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b/>
          <w:bCs/>
          <w:sz w:val="32"/>
          <w:szCs w:val="32"/>
        </w:rPr>
      </w:pPr>
    </w:p>
    <w:p>
      <w:pPr>
        <w:spacing w:line="360" w:lineRule="auto"/>
        <w:jc w:val="center"/>
        <w:rPr>
          <w:rFonts w:ascii="Times New Roman" w:hAnsi="Times New Roman"/>
          <w:b/>
          <w:bCs/>
          <w:sz w:val="52"/>
          <w:szCs w:val="56"/>
        </w:rPr>
      </w:pPr>
    </w:p>
    <w:p>
      <w:pPr>
        <w:spacing w:line="360" w:lineRule="auto"/>
        <w:jc w:val="center"/>
        <w:rPr>
          <w:rFonts w:ascii="Times New Roman" w:hAnsi="Times New Roman"/>
          <w:b/>
          <w:bCs/>
          <w:sz w:val="52"/>
          <w:szCs w:val="56"/>
        </w:rPr>
      </w:pPr>
    </w:p>
    <w:p>
      <w:pPr>
        <w:spacing w:line="360" w:lineRule="auto"/>
        <w:jc w:val="center"/>
        <w:rPr>
          <w:rFonts w:ascii="Times New Roman" w:hAnsi="Times New Roman"/>
          <w:b/>
          <w:bCs/>
          <w:sz w:val="52"/>
          <w:szCs w:val="56"/>
        </w:rPr>
      </w:pPr>
    </w:p>
    <w:p>
      <w:pPr>
        <w:spacing w:line="360" w:lineRule="auto"/>
        <w:jc w:val="center"/>
        <w:rPr>
          <w:rFonts w:ascii="Times New Roman" w:hAnsi="Times New Roman"/>
          <w:b/>
          <w:bCs/>
          <w:sz w:val="52"/>
          <w:szCs w:val="56"/>
        </w:rPr>
      </w:pPr>
    </w:p>
    <w:p>
      <w:pPr>
        <w:spacing w:line="360" w:lineRule="auto"/>
        <w:jc w:val="center"/>
        <w:rPr>
          <w:rFonts w:ascii="Times New Roman" w:hAnsi="Times New Roman"/>
          <w:b/>
          <w:color w:val="auto"/>
          <w:sz w:val="52"/>
          <w:szCs w:val="52"/>
          <w:u w:val="none"/>
        </w:rPr>
      </w:pPr>
      <w:bookmarkStart w:id="0" w:name="_Toc17676"/>
      <w:bookmarkStart w:id="1" w:name="_Toc18889"/>
      <w:bookmarkStart w:id="2" w:name="_Toc16856"/>
      <w:bookmarkStart w:id="3" w:name="_Toc10073"/>
      <w:r>
        <w:rPr>
          <w:rFonts w:hint="eastAsia" w:ascii="方正小标宋简体" w:hAnsi="方正小标宋简体" w:eastAsia="方正小标宋简体" w:cs="方正小标宋简体"/>
          <w:b w:val="0"/>
          <w:bCs/>
          <w:color w:val="auto"/>
          <w:sz w:val="44"/>
          <w:szCs w:val="44"/>
          <w:highlight w:val="none"/>
          <w:u w:val="none"/>
          <w:lang w:val="en-US" w:eastAsia="zh-CN"/>
        </w:rPr>
        <w:t>建设工程招标代理规程</w:t>
      </w:r>
      <w:bookmarkEnd w:id="0"/>
      <w:bookmarkEnd w:id="1"/>
      <w:bookmarkEnd w:id="2"/>
      <w:bookmarkEnd w:id="3"/>
    </w:p>
    <w:p>
      <w:pPr>
        <w:widowControl/>
        <w:spacing w:line="360" w:lineRule="auto"/>
        <w:jc w:val="center"/>
        <w:rPr>
          <w:rFonts w:ascii="Times New Roman" w:hAnsi="Times New Roman"/>
          <w:b/>
          <w:bCs/>
          <w:sz w:val="32"/>
          <w:szCs w:val="32"/>
        </w:rPr>
      </w:pPr>
      <w:r>
        <w:rPr>
          <w:rFonts w:hint="eastAsia" w:ascii="Times New Roman" w:hAnsi="Times New Roman"/>
          <w:b/>
          <w:bCs/>
          <w:sz w:val="32"/>
          <w:szCs w:val="32"/>
        </w:rPr>
        <w:t>（征求意见稿）</w:t>
      </w:r>
      <w:bookmarkStart w:id="386" w:name="_GoBack"/>
      <w:bookmarkEnd w:id="386"/>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12"/>
        <w:spacing w:line="360" w:lineRule="auto"/>
        <w:ind w:firstLine="803"/>
        <w:rPr>
          <w:rFonts w:hint="eastAsia" w:ascii="Times New Roman" w:hAnsi="Times New Roman" w:cs="Times New Roman"/>
          <w:b/>
          <w:bCs/>
          <w:color w:val="FF0000"/>
          <w:lang w:val="en-US" w:eastAsia="zh-CN"/>
        </w:rPr>
      </w:pPr>
    </w:p>
    <w:p>
      <w:pPr>
        <w:pStyle w:val="2"/>
        <w:keepNext w:val="0"/>
        <w:keepLines w:val="0"/>
        <w:pageBreakBefore w:val="0"/>
        <w:widowControl w:val="0"/>
        <w:tabs>
          <w:tab w:val="left" w:pos="5460"/>
          <w:tab w:val="left" w:pos="8200"/>
        </w:tabs>
        <w:kinsoku/>
        <w:wordWrap/>
        <w:overflowPunct/>
        <w:topLinePunct w:val="0"/>
        <w:autoSpaceDE w:val="0"/>
        <w:autoSpaceDN w:val="0"/>
        <w:bidi w:val="0"/>
        <w:adjustRightInd/>
        <w:snapToGrid/>
        <w:spacing w:line="480" w:lineRule="auto"/>
        <w:ind w:right="3465" w:rightChars="1650"/>
        <w:jc w:val="distribute"/>
        <w:rPr>
          <w:rStyle w:val="18"/>
          <w:rFonts w:ascii="黑体" w:hAnsi="黑体" w:eastAsia="黑体"/>
          <w:b w:val="0"/>
          <w:i w:val="0"/>
          <w:caps w:val="0"/>
          <w:color w:val="auto"/>
          <w:spacing w:val="0"/>
          <w:w w:val="100"/>
          <w:kern w:val="2"/>
          <w:sz w:val="32"/>
          <w:szCs w:val="32"/>
          <w:highlight w:val="none"/>
          <w:lang w:val="en-US" w:eastAsia="zh-CN" w:bidi="ar-SA"/>
        </w:rPr>
      </w:pPr>
    </w:p>
    <w:p>
      <w:pPr>
        <w:pStyle w:val="2"/>
        <w:keepNext w:val="0"/>
        <w:keepLines w:val="0"/>
        <w:pageBreakBefore w:val="0"/>
        <w:widowControl w:val="0"/>
        <w:tabs>
          <w:tab w:val="left" w:pos="5460"/>
          <w:tab w:val="left" w:pos="8200"/>
        </w:tabs>
        <w:kinsoku/>
        <w:wordWrap/>
        <w:overflowPunct/>
        <w:topLinePunct w:val="0"/>
        <w:autoSpaceDE w:val="0"/>
        <w:autoSpaceDN w:val="0"/>
        <w:bidi w:val="0"/>
        <w:adjustRightInd/>
        <w:snapToGrid/>
        <w:spacing w:line="480" w:lineRule="auto"/>
        <w:ind w:right="3465" w:rightChars="1650"/>
        <w:jc w:val="distribute"/>
        <w:rPr>
          <w:rStyle w:val="18"/>
          <w:rFonts w:ascii="黑体" w:hAnsi="黑体" w:eastAsia="黑体"/>
          <w:b w:val="0"/>
          <w:i w:val="0"/>
          <w:caps w:val="0"/>
          <w:color w:val="auto"/>
          <w:spacing w:val="0"/>
          <w:w w:val="100"/>
          <w:kern w:val="2"/>
          <w:sz w:val="32"/>
          <w:szCs w:val="32"/>
          <w:highlight w:val="none"/>
          <w:lang w:val="en-US" w:eastAsia="zh-CN" w:bidi="ar-SA"/>
        </w:rPr>
        <w:sectPr>
          <w:footerReference r:id="rId3" w:type="default"/>
          <w:pgSz w:w="11906" w:h="16838"/>
          <w:pgMar w:top="1440" w:right="1800" w:bottom="1440" w:left="1800" w:header="0" w:footer="850" w:gutter="0"/>
          <w:pgNumType w:fmt="decimal"/>
          <w:cols w:space="0" w:num="1"/>
          <w:rtlGutter w:val="0"/>
          <w:docGrid w:type="lines" w:linePitch="322" w:charSpace="0"/>
        </w:sectPr>
      </w:pPr>
    </w:p>
    <w:sdt>
      <w:sdtPr>
        <w:rPr>
          <w:rFonts w:hint="eastAsia" w:ascii="宋体" w:hAnsi="宋体" w:eastAsia="宋体" w:cs="宋体"/>
          <w:b/>
          <w:bCs/>
          <w:color w:val="auto"/>
          <w:kern w:val="0"/>
          <w:sz w:val="32"/>
          <w:szCs w:val="32"/>
          <w:highlight w:val="none"/>
          <w:lang w:val="en-US" w:eastAsia="zh-CN" w:bidi="zh-CN"/>
        </w:rPr>
        <w:id w:val="147470251"/>
        <w:docPartObj>
          <w:docPartGallery w:val="Table of Contents"/>
          <w:docPartUnique/>
        </w:docPartObj>
      </w:sdtPr>
      <w:sdtEndPr>
        <w:rPr>
          <w:rFonts w:hint="eastAsia" w:ascii="Times New Roman" w:hAnsi="Times New Roman" w:eastAsia="宋体" w:cs="Times New Roman"/>
          <w:b/>
          <w:bCs/>
          <w:color w:val="auto"/>
          <w:kern w:val="0"/>
          <w:sz w:val="20"/>
          <w:szCs w:val="20"/>
          <w:highlight w:val="none"/>
          <w:lang w:val="en-US" w:eastAsia="zh-CN" w:bidi="zh-CN"/>
        </w:rPr>
      </w:sdtEndPr>
      <w:sdtContent>
        <w:p>
          <w:pPr>
            <w:rPr>
              <w:rFonts w:hint="eastAsia" w:ascii="宋体" w:hAnsi="宋体" w:eastAsia="宋体" w:cs="宋体"/>
              <w:b/>
              <w:bCs/>
              <w:color w:val="auto"/>
              <w:kern w:val="0"/>
              <w:sz w:val="32"/>
              <w:szCs w:val="32"/>
              <w:highlight w:val="none"/>
              <w:lang w:val="en-US" w:eastAsia="zh-CN" w:bidi="zh-CN"/>
            </w:rPr>
          </w:pPr>
          <w:bookmarkStart w:id="4" w:name="_Toc3637_WPSOffice_Type1"/>
        </w:p>
        <w:p>
          <w:pPr>
            <w:spacing w:before="0" w:beforeLines="0" w:after="0" w:afterLines="0" w:line="240" w:lineRule="auto"/>
            <w:ind w:left="0" w:leftChars="0" w:right="0" w:rightChars="0" w:firstLine="0" w:firstLineChars="0"/>
            <w:jc w:val="center"/>
            <w:rPr>
              <w:rFonts w:hint="eastAsia" w:ascii="宋体" w:hAnsi="宋体" w:eastAsia="宋体" w:cs="宋体"/>
              <w:b/>
              <w:bCs/>
              <w:color w:val="auto"/>
              <w:kern w:val="0"/>
              <w:sz w:val="32"/>
              <w:szCs w:val="32"/>
              <w:highlight w:val="none"/>
              <w:lang w:val="en-US" w:eastAsia="zh-CN" w:bidi="zh-CN"/>
            </w:rPr>
          </w:pPr>
          <w:r>
            <w:rPr>
              <w:rFonts w:hint="eastAsia" w:ascii="宋体" w:hAnsi="宋体" w:eastAsia="宋体" w:cs="宋体"/>
              <w:b/>
              <w:bCs/>
              <w:color w:val="auto"/>
              <w:kern w:val="0"/>
              <w:sz w:val="32"/>
              <w:szCs w:val="32"/>
              <w:highlight w:val="none"/>
              <w:lang w:val="en-US" w:eastAsia="zh-CN" w:bidi="zh-CN"/>
            </w:rPr>
            <w:t>目   次</w:t>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_Toc20019_WPSOffice_Level1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54293"/>
              <w:placeholder>
                <w:docPart w:val="{d9302ae3-c4c0-4c35-86fe-d496c5985520}"/>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1总 则</w:t>
              </w:r>
            </w:sdtContent>
          </w:sdt>
          <w:r>
            <w:rPr>
              <w:rFonts w:hint="eastAsia" w:asciiTheme="majorEastAsia" w:hAnsiTheme="majorEastAsia" w:eastAsiaTheme="majorEastAsia" w:cstheme="majorEastAsia"/>
              <w:kern w:val="2"/>
              <w:sz w:val="24"/>
              <w:szCs w:val="24"/>
              <w:lang w:val="en-US" w:eastAsia="zh-CN" w:bidi="ar-SA"/>
            </w:rPr>
            <w:tab/>
          </w:r>
          <w:bookmarkStart w:id="5" w:name="_Toc20019_WPSOffice_Level1Page"/>
          <w:r>
            <w:rPr>
              <w:rFonts w:hint="eastAsia" w:asciiTheme="majorEastAsia" w:hAnsiTheme="majorEastAsia" w:eastAsiaTheme="majorEastAsia" w:cstheme="majorEastAsia"/>
              <w:kern w:val="2"/>
              <w:sz w:val="24"/>
              <w:szCs w:val="24"/>
              <w:lang w:val="en-US" w:eastAsia="zh-CN" w:bidi="ar-SA"/>
            </w:rPr>
            <w:t>1</w:t>
          </w:r>
          <w:bookmarkEnd w:id="5"/>
          <w:r>
            <w:rPr>
              <w:rFonts w:hint="eastAsia" w:asciiTheme="majorEastAsia" w:hAnsiTheme="majorEastAsia" w:eastAsiaTheme="majorEastAsia" w:cstheme="majorEastAsia"/>
              <w:kern w:val="2"/>
              <w:sz w:val="24"/>
              <w:szCs w:val="24"/>
              <w:lang w:val="en-US" w:eastAsia="zh-CN" w:bidi="ar-SA"/>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_Toc1556_WPSOffice_Level1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52194"/>
              <w:placeholder>
                <w:docPart w:val="{7a209852-10b3-4398-b6ed-a08d75bab041}"/>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2术 语</w:t>
              </w:r>
            </w:sdtContent>
          </w:sdt>
          <w:r>
            <w:rPr>
              <w:rFonts w:hint="eastAsia" w:asciiTheme="majorEastAsia" w:hAnsiTheme="majorEastAsia" w:eastAsiaTheme="majorEastAsia" w:cstheme="majorEastAsia"/>
              <w:kern w:val="2"/>
              <w:sz w:val="24"/>
              <w:szCs w:val="24"/>
              <w:lang w:val="en-US" w:eastAsia="zh-CN" w:bidi="ar-SA"/>
            </w:rPr>
            <w:tab/>
          </w:r>
          <w:bookmarkStart w:id="6" w:name="_Toc1556_WPSOffice_Level1Page"/>
          <w:r>
            <w:rPr>
              <w:rFonts w:hint="eastAsia" w:asciiTheme="majorEastAsia" w:hAnsiTheme="majorEastAsia" w:eastAsiaTheme="majorEastAsia" w:cstheme="majorEastAsia"/>
              <w:kern w:val="2"/>
              <w:sz w:val="24"/>
              <w:szCs w:val="24"/>
              <w:lang w:val="en-US" w:eastAsia="zh-CN" w:bidi="ar-SA"/>
            </w:rPr>
            <w:t>2</w:t>
          </w:r>
          <w:bookmarkEnd w:id="6"/>
          <w:r>
            <w:rPr>
              <w:rFonts w:hint="eastAsia" w:asciiTheme="majorEastAsia" w:hAnsiTheme="majorEastAsia" w:eastAsiaTheme="majorEastAsia" w:cstheme="majorEastAsia"/>
              <w:kern w:val="2"/>
              <w:sz w:val="24"/>
              <w:szCs w:val="24"/>
              <w:lang w:val="en-US" w:eastAsia="zh-CN" w:bidi="ar-SA"/>
            </w:rPr>
            <w:fldChar w:fldCharType="end"/>
          </w:r>
        </w:p>
        <w:p>
          <w:pPr>
            <w:pStyle w:val="9"/>
            <w:spacing w:line="48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_Toc32494_WPSOffice_Level1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58696"/>
              <w:placeholder>
                <w:docPart w:val="{d6dccb6b-2f93-45f3-87ec-3c872259c6b1}"/>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3基本规定</w:t>
              </w:r>
            </w:sdtContent>
          </w:sdt>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4</w:t>
          </w:r>
        </w:p>
        <w:p>
          <w:pPr>
            <w:pStyle w:val="9"/>
            <w:spacing w:line="48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_Toc28598_WPSOffice_Level1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5635"/>
              <w:placeholder>
                <w:docPart w:val="{1c1eec02-0222-4975-8313-9e33793fe1c6}"/>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4招标代理合同</w:t>
              </w:r>
            </w:sdtContent>
          </w:sdt>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5</w:t>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_Toc6596_WPSOffice_Level1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3213"/>
              <w:placeholder>
                <w:docPart w:val="{90dfa27d-3b17-4564-9124-6098d79b8014}"/>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4.1 合同签订</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5</w:t>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_Toc21279_WPSOffice_Level1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82787"/>
              <w:placeholder>
                <w:docPart w:val="{1254ff5b-904f-4954-83d3-5285fb188d27}"/>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4.2 合同内容</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_Toc14957_WPSOffice_Level1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3203"/>
              <w:placeholder>
                <w:docPart w:val="{4da748e5-e82c-4450-8716-61562bd51802}"/>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4.3 招标代理服务费</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p>
        <w:p>
          <w:pPr>
            <w:pStyle w:val="26"/>
            <w:tabs>
              <w:tab w:val="right" w:leader="dot" w:pos="8306"/>
            </w:tabs>
            <w:spacing w:line="480" w:lineRule="auto"/>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_Toc23702_WPSOffice_Level1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62737"/>
              <w:placeholder>
                <w:docPart w:val="{48c4395c-67dd-440d-a9f5-b872152ee16a}"/>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5招标代理机构</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lang w:val="en-US" w:eastAsia="zh-CN"/>
            </w:rPr>
            <w:t>7</w:t>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_Toc30545_WPSOffice_Level1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83597"/>
              <w:placeholder>
                <w:docPart w:val="{e4e43cbb-1b51-4db5-bc82-5baf1f723838}"/>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5.1 组织形式与构成</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7</w:t>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_Toc18223_WPSOffice_Level1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0377"/>
              <w:placeholder>
                <w:docPart w:val="{0ff73b00-96dc-4ed6-96d4-0ce8b62bd0bf}"/>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5.2 招标代理项目组要求</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_Toc19539_WPSOffice_Level1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2787"/>
              <w:placeholder>
                <w:docPart w:val="{83bf41c6-d49c-4105-9f99-f413da413f20}"/>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5.3 质量控制</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lang w:val="en-US" w:eastAsia="zh-CN"/>
            </w:rPr>
            <w:fldChar w:fldCharType="end"/>
          </w:r>
        </w:p>
        <w:p>
          <w:pPr>
            <w:pStyle w:val="26"/>
            <w:tabs>
              <w:tab w:val="right" w:leader="dot" w:pos="8306"/>
            </w:tabs>
            <w:spacing w:line="48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_Toc8155_WPSOffice_Level1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55656"/>
              <w:placeholder>
                <w:docPart w:val="{baf52e2d-a839-42d8-aeb4-2428516f2182}"/>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6招标准备及计划</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lang w:val="en-US" w:eastAsia="zh-CN"/>
            </w:rPr>
            <w:t>9</w:t>
          </w:r>
          <w:r>
            <w:rPr>
              <w:rFonts w:hint="eastAsia" w:asciiTheme="majorEastAsia" w:hAnsiTheme="majorEastAsia" w:eastAsiaTheme="majorEastAsia" w:cstheme="majorEastAsia"/>
              <w:sz w:val="24"/>
              <w:szCs w:val="24"/>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_Toc30934_WPSOffice_Level1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5486"/>
              <w:placeholder>
                <w:docPart w:val="{d9c4dcf7-0415-49ee-8c2f-6244298cf9cc}"/>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6.1 一般规定</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9</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_Toc15837_WPSOffice_Level1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3628"/>
              <w:placeholder>
                <w:docPart w:val="{e3a82618-56f4-450d-9ee7-53db687fdb0c}"/>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6.2 资料收集</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9</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_Toc24274_WPSOffice_Level1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8771"/>
              <w:placeholder>
                <w:docPart w:val="{89dfca75-2d1f-41ac-be49-63aa5e7777d0}"/>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6.3 招标方案</w:t>
              </w:r>
            </w:sdtContent>
          </w:sdt>
          <w:r>
            <w:rPr>
              <w:rFonts w:hint="eastAsia" w:asciiTheme="majorEastAsia" w:hAnsiTheme="majorEastAsia" w:eastAsiaTheme="majorEastAsia" w:cstheme="majorEastAsia"/>
              <w:sz w:val="24"/>
              <w:szCs w:val="24"/>
              <w:lang w:val="en-US" w:eastAsia="zh-CN"/>
            </w:rPr>
            <w:tab/>
          </w:r>
          <w:bookmarkStart w:id="7" w:name="_Toc24274_WPSOffice_Level1Page"/>
          <w:r>
            <w:rPr>
              <w:rFonts w:hint="eastAsia" w:asciiTheme="majorEastAsia" w:hAnsiTheme="majorEastAsia" w:eastAsiaTheme="majorEastAsia" w:cstheme="majorEastAsia"/>
              <w:sz w:val="24"/>
              <w:szCs w:val="24"/>
              <w:lang w:val="en-US" w:eastAsia="zh-CN"/>
            </w:rPr>
            <w:t>1</w:t>
          </w:r>
          <w:bookmarkEnd w:id="7"/>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lang w:val="en-US" w:eastAsia="zh-CN"/>
            </w:rPr>
            <w:fldChar w:fldCharType="end"/>
          </w:r>
        </w:p>
        <w:p>
          <w:pPr>
            <w:pStyle w:val="26"/>
            <w:tabs>
              <w:tab w:val="right" w:leader="dot" w:pos="8306"/>
            </w:tabs>
            <w:spacing w:line="48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_Toc19460_WPSOffice_Level1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51307"/>
              <w:placeholder>
                <w:docPart w:val="{46d83c94-2620-4c86-aab5-ab945450f0f5}"/>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7招标公告、投标邀请书</w:t>
              </w:r>
            </w:sdtContent>
          </w:sdt>
          <w:r>
            <w:rPr>
              <w:rFonts w:hint="eastAsia" w:asciiTheme="majorEastAsia" w:hAnsiTheme="majorEastAsia" w:eastAsiaTheme="majorEastAsia" w:cstheme="majorEastAsia"/>
              <w:sz w:val="24"/>
              <w:szCs w:val="24"/>
            </w:rPr>
            <w:tab/>
          </w:r>
          <w:bookmarkStart w:id="8" w:name="_Toc19460_WPSOffice_Level1Page"/>
          <w:r>
            <w:rPr>
              <w:rFonts w:hint="eastAsia" w:asciiTheme="majorEastAsia" w:hAnsiTheme="majorEastAsia" w:eastAsiaTheme="majorEastAsia" w:cstheme="majorEastAsia"/>
              <w:sz w:val="24"/>
              <w:szCs w:val="24"/>
            </w:rPr>
            <w:t>1</w:t>
          </w:r>
          <w:bookmarkEnd w:id="8"/>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fldChar w:fldCharType="end"/>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_Toc29612_WPSOffice_Level1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1884"/>
              <w:placeholder>
                <w:docPart w:val="{75e89695-4553-440c-9ec6-e4e32764c883}"/>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7.1 一般规定</w:t>
              </w:r>
            </w:sdtContent>
          </w:sdt>
          <w:r>
            <w:rPr>
              <w:rFonts w:hint="eastAsia" w:asciiTheme="majorEastAsia" w:hAnsiTheme="majorEastAsia" w:eastAsiaTheme="majorEastAsia" w:cstheme="majorEastAsia"/>
              <w:sz w:val="24"/>
              <w:szCs w:val="24"/>
              <w:lang w:val="en-US" w:eastAsia="zh-CN"/>
            </w:rPr>
            <w:tab/>
          </w:r>
          <w:bookmarkStart w:id="9" w:name="_Toc29612_WPSOffice_Level1Page"/>
          <w:r>
            <w:rPr>
              <w:rFonts w:hint="eastAsia" w:asciiTheme="majorEastAsia" w:hAnsiTheme="majorEastAsia" w:eastAsiaTheme="majorEastAsia" w:cstheme="majorEastAsia"/>
              <w:sz w:val="24"/>
              <w:szCs w:val="24"/>
              <w:lang w:val="en-US" w:eastAsia="zh-CN"/>
            </w:rPr>
            <w:t>1</w:t>
          </w:r>
          <w:bookmarkEnd w:id="9"/>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3</w:t>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_Toc20653_WPSOffice_Level1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1451"/>
              <w:placeholder>
                <w:docPart w:val="{6ddf43a6-c23a-47f4-9ae9-4cbe5aeaa625}"/>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7.2 招标公告、投标邀请书编制</w:t>
              </w:r>
            </w:sdtContent>
          </w:sdt>
          <w:r>
            <w:rPr>
              <w:rFonts w:hint="eastAsia" w:asciiTheme="majorEastAsia" w:hAnsiTheme="majorEastAsia" w:eastAsiaTheme="majorEastAsia" w:cstheme="majorEastAsia"/>
              <w:sz w:val="24"/>
              <w:szCs w:val="24"/>
              <w:lang w:val="en-US" w:eastAsia="zh-CN"/>
            </w:rPr>
            <w:tab/>
          </w:r>
          <w:bookmarkStart w:id="10" w:name="_Toc20653_WPSOffice_Level1Page"/>
          <w:r>
            <w:rPr>
              <w:rFonts w:hint="eastAsia" w:asciiTheme="majorEastAsia" w:hAnsiTheme="majorEastAsia" w:eastAsiaTheme="majorEastAsia" w:cstheme="majorEastAsia"/>
              <w:sz w:val="24"/>
              <w:szCs w:val="24"/>
              <w:lang w:val="en-US" w:eastAsia="zh-CN"/>
            </w:rPr>
            <w:t>1</w:t>
          </w:r>
          <w:bookmarkEnd w:id="10"/>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_Toc6316_WPSOffice_Level1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3206"/>
              <w:placeholder>
                <w:docPart w:val="{c0ee08ae-afdc-4611-a1f9-e8f4a8eeaafe}"/>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7.3 招标公吿的发布、投标邀请书的发出</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4</w:t>
          </w:r>
        </w:p>
        <w:p>
          <w:pPr>
            <w:pStyle w:val="26"/>
            <w:tabs>
              <w:tab w:val="right" w:leader="dot" w:pos="8306"/>
            </w:tabs>
            <w:spacing w:line="480" w:lineRule="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_Toc21208_WPSOffice_Level1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52049"/>
              <w:placeholder>
                <w:docPart w:val="{820b386e-ed34-48e4-9ff5-d1921527b0c9}"/>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8资格预审</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lang w:val="en-US" w:eastAsia="zh-CN"/>
            </w:rPr>
            <w:t>6</w:t>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_Toc8264_WPSOffice_Level1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7633"/>
              <w:placeholder>
                <w:docPart w:val="{b20e7c38-d55f-4527-9227-64a034488ed3}"/>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8.1 一般规定</w:t>
              </w:r>
            </w:sdtContent>
          </w:sdt>
          <w:r>
            <w:rPr>
              <w:rFonts w:hint="eastAsia" w:asciiTheme="majorEastAsia" w:hAnsiTheme="majorEastAsia" w:eastAsiaTheme="majorEastAsia" w:cstheme="majorEastAsia"/>
              <w:sz w:val="24"/>
              <w:szCs w:val="24"/>
              <w:lang w:val="en-US" w:eastAsia="zh-CN"/>
            </w:rPr>
            <w:tab/>
          </w:r>
          <w:bookmarkStart w:id="11" w:name="_Toc8264_WPSOffice_Level1Page"/>
          <w:r>
            <w:rPr>
              <w:rFonts w:hint="eastAsia" w:asciiTheme="majorEastAsia" w:hAnsiTheme="majorEastAsia" w:eastAsiaTheme="majorEastAsia" w:cstheme="majorEastAsia"/>
              <w:sz w:val="24"/>
              <w:szCs w:val="24"/>
              <w:lang w:val="en-US" w:eastAsia="zh-CN"/>
            </w:rPr>
            <w:t>1</w:t>
          </w:r>
          <w:bookmarkEnd w:id="11"/>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_Toc27858_WPSOffice_Level1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6554"/>
              <w:placeholder>
                <w:docPart w:val="{32e6f3d3-d4a7-4f13-b1e9-501b54d57b6a}"/>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8.2 资格预审文件编制</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7</w:t>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_Toc11929_WPSOffice_Level1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1411"/>
              <w:placeholder>
                <w:docPart w:val="{07d1323f-9667-4477-b8f8-fad0d1a5e79a}"/>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8.3 资格预审公告的发布、资格预审文件的发布、澄清及异议</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8</w:t>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_Toc24898_WPSOffice_Level1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8434"/>
              <w:placeholder>
                <w:docPart w:val="{a02319a1-cd0e-4e5d-880b-359a435e3ee8}"/>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8.4 资格审查</w:t>
              </w:r>
            </w:sdtContent>
          </w:sdt>
          <w:r>
            <w:rPr>
              <w:rFonts w:hint="eastAsia" w:asciiTheme="majorEastAsia" w:hAnsiTheme="majorEastAsia" w:eastAsiaTheme="majorEastAsia" w:cstheme="majorEastAsia"/>
              <w:sz w:val="24"/>
              <w:szCs w:val="24"/>
              <w:lang w:val="en-US" w:eastAsia="zh-CN"/>
            </w:rPr>
            <w:tab/>
          </w:r>
          <w:bookmarkStart w:id="12" w:name="_Toc24898_WPSOffice_Level1Page"/>
          <w:r>
            <w:rPr>
              <w:rFonts w:hint="eastAsia" w:asciiTheme="majorEastAsia" w:hAnsiTheme="majorEastAsia" w:eastAsiaTheme="majorEastAsia" w:cstheme="majorEastAsia"/>
              <w:sz w:val="24"/>
              <w:szCs w:val="24"/>
              <w:lang w:val="en-US" w:eastAsia="zh-CN"/>
            </w:rPr>
            <w:t>19</w:t>
          </w:r>
          <w:bookmarkEnd w:id="12"/>
          <w:r>
            <w:rPr>
              <w:rFonts w:hint="eastAsia" w:asciiTheme="majorEastAsia" w:hAnsiTheme="majorEastAsia" w:eastAsiaTheme="majorEastAsia" w:cstheme="majorEastAsia"/>
              <w:sz w:val="24"/>
              <w:szCs w:val="24"/>
              <w:lang w:val="en-US" w:eastAsia="zh-CN"/>
            </w:rPr>
            <w:fldChar w:fldCharType="end"/>
          </w:r>
        </w:p>
        <w:p>
          <w:pPr>
            <w:pStyle w:val="26"/>
            <w:tabs>
              <w:tab w:val="right" w:leader="dot" w:pos="8306"/>
            </w:tabs>
            <w:spacing w:line="48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_Toc22204_WPSOffice_Level1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60690"/>
              <w:placeholder>
                <w:docPart w:val="{d1030782-2dd9-432b-81a0-228a6ab63ec3}"/>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9招标文件编制</w:t>
              </w:r>
            </w:sdtContent>
          </w:sdt>
          <w:r>
            <w:rPr>
              <w:rFonts w:hint="eastAsia" w:asciiTheme="majorEastAsia" w:hAnsiTheme="majorEastAsia" w:eastAsiaTheme="majorEastAsia" w:cstheme="majorEastAsia"/>
              <w:sz w:val="24"/>
              <w:szCs w:val="24"/>
            </w:rPr>
            <w:tab/>
          </w:r>
          <w:bookmarkStart w:id="13" w:name="_Toc22204_WPSOffice_Level1Page"/>
          <w:r>
            <w:rPr>
              <w:rFonts w:hint="eastAsia" w:asciiTheme="majorEastAsia" w:hAnsiTheme="majorEastAsia" w:eastAsiaTheme="majorEastAsia" w:cstheme="majorEastAsia"/>
              <w:sz w:val="24"/>
              <w:szCs w:val="24"/>
            </w:rPr>
            <w:t>2</w:t>
          </w:r>
          <w:bookmarkEnd w:id="13"/>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_Toc11680_WPSOffice_Level1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9833"/>
              <w:placeholder>
                <w:docPart w:val="{6ee65653-f6b6-4325-842d-d37e8844ac91}"/>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9.1 一般规定</w:t>
              </w:r>
            </w:sdtContent>
          </w:sdt>
          <w:r>
            <w:rPr>
              <w:rFonts w:hint="eastAsia" w:asciiTheme="majorEastAsia" w:hAnsiTheme="majorEastAsia" w:eastAsiaTheme="majorEastAsia" w:cstheme="majorEastAsia"/>
              <w:sz w:val="24"/>
              <w:szCs w:val="24"/>
              <w:lang w:val="en-US" w:eastAsia="zh-CN"/>
            </w:rPr>
            <w:tab/>
          </w:r>
          <w:bookmarkStart w:id="14" w:name="_Toc11680_WPSOffice_Level1Page"/>
          <w:r>
            <w:rPr>
              <w:rFonts w:hint="eastAsia" w:asciiTheme="majorEastAsia" w:hAnsiTheme="majorEastAsia" w:eastAsiaTheme="majorEastAsia" w:cstheme="majorEastAsia"/>
              <w:sz w:val="24"/>
              <w:szCs w:val="24"/>
              <w:lang w:val="en-US" w:eastAsia="zh-CN"/>
            </w:rPr>
            <w:t>2</w:t>
          </w:r>
          <w:bookmarkEnd w:id="14"/>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_Toc9193_WPSOffice_Level1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82323"/>
              <w:placeholder>
                <w:docPart w:val="{3ea6581f-3e95-4c3e-b42d-798a0c37d181}"/>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9.2 招标文件编制</w:t>
              </w:r>
            </w:sdtContent>
          </w:sdt>
          <w:r>
            <w:rPr>
              <w:rFonts w:hint="eastAsia" w:asciiTheme="majorEastAsia" w:hAnsiTheme="majorEastAsia" w:eastAsiaTheme="majorEastAsia" w:cstheme="majorEastAsia"/>
              <w:sz w:val="24"/>
              <w:szCs w:val="24"/>
              <w:lang w:val="en-US" w:eastAsia="zh-CN"/>
            </w:rPr>
            <w:tab/>
          </w:r>
          <w:bookmarkStart w:id="15" w:name="_Toc9193_WPSOffice_Level1Page"/>
          <w:r>
            <w:rPr>
              <w:rFonts w:hint="eastAsia" w:asciiTheme="majorEastAsia" w:hAnsiTheme="majorEastAsia" w:eastAsiaTheme="majorEastAsia" w:cstheme="majorEastAsia"/>
              <w:sz w:val="24"/>
              <w:szCs w:val="24"/>
              <w:lang w:val="en-US" w:eastAsia="zh-CN"/>
            </w:rPr>
            <w:t>2</w:t>
          </w:r>
          <w:bookmarkEnd w:id="15"/>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lang w:val="en-US" w:eastAsia="zh-CN"/>
            </w:rPr>
            <w:fldChar w:fldCharType="end"/>
          </w:r>
        </w:p>
        <w:p>
          <w:pPr>
            <w:pStyle w:val="26"/>
            <w:tabs>
              <w:tab w:val="right" w:leader="dot" w:pos="8306"/>
            </w:tabs>
            <w:spacing w:line="480" w:lineRule="auto"/>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_Toc11614_WPSOffice_Level1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71303"/>
              <w:placeholder>
                <w:docPart w:val="{90411c05-1613-46ae-a016-c1154d53305e}"/>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10工程量清单与最高投标限价（招标控制价）编制</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lang w:val="en-US" w:eastAsia="zh-CN"/>
            </w:rPr>
            <w:t>25</w:t>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_Toc29824_WPSOffice_Level1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1528"/>
              <w:placeholder>
                <w:docPart w:val="{ac4b70b8-eb3b-4c7c-847e-4267257fac9a}"/>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10.1 一般规定</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5</w:t>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_Toc15172_WPSOffice_Level1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8521"/>
              <w:placeholder>
                <w:docPart w:val="{dec14e06-ef36-46cd-ab3b-9f8df2495f4f}"/>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10.2 工程量清单编制</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5</w:t>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_Toc32362_WPSOffice_Level1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9130"/>
              <w:placeholder>
                <w:docPart w:val="{93d6fad7-b062-42f6-9e60-4d30023aa28b}"/>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10.3 最高投标限价编制（招标控制价）</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6</w:t>
          </w:r>
        </w:p>
        <w:p>
          <w:pPr>
            <w:pStyle w:val="26"/>
            <w:tabs>
              <w:tab w:val="right" w:leader="dot" w:pos="8306"/>
            </w:tabs>
            <w:spacing w:line="480" w:lineRule="auto"/>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_Toc27348_WPSOffice_Level1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71311"/>
              <w:placeholder>
                <w:docPart w:val="{09269d14-30b6-4fb4-bbec-46c3886f43f0}"/>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11招标文件澄清、修改和异议</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lang w:val="en-US" w:eastAsia="zh-CN"/>
            </w:rPr>
            <w:t>28</w:t>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_Toc20339_WPSOffice_Level1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5587"/>
              <w:placeholder>
                <w:docPart w:val="{ec93df50-f4bc-4735-9106-7eb75f87b80e}"/>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11.1 招标文件澄清、修改</w:t>
              </w:r>
            </w:sdtContent>
          </w:sdt>
          <w:r>
            <w:rPr>
              <w:rFonts w:hint="eastAsia" w:asciiTheme="majorEastAsia" w:hAnsiTheme="majorEastAsia" w:eastAsiaTheme="majorEastAsia" w:cstheme="majorEastAsia"/>
              <w:sz w:val="24"/>
              <w:szCs w:val="24"/>
              <w:lang w:val="en-US" w:eastAsia="zh-CN"/>
            </w:rPr>
            <w:tab/>
          </w:r>
          <w:bookmarkStart w:id="16" w:name="_Toc20339_WPSOffice_Level1Page"/>
          <w:r>
            <w:rPr>
              <w:rFonts w:hint="eastAsia" w:asciiTheme="majorEastAsia" w:hAnsiTheme="majorEastAsia" w:eastAsiaTheme="majorEastAsia" w:cstheme="majorEastAsia"/>
              <w:sz w:val="24"/>
              <w:szCs w:val="24"/>
              <w:lang w:val="en-US" w:eastAsia="zh-CN"/>
            </w:rPr>
            <w:t>28</w:t>
          </w:r>
          <w:bookmarkEnd w:id="16"/>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_Toc435_WPSOffice_Level1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6446"/>
              <w:placeholder>
                <w:docPart w:val="{5b5ba229-a2a3-4e2c-940c-26cb495241e2}"/>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11.2 招标文件的异议</w:t>
              </w:r>
            </w:sdtContent>
          </w:sdt>
          <w:r>
            <w:rPr>
              <w:rFonts w:hint="eastAsia" w:asciiTheme="majorEastAsia" w:hAnsiTheme="majorEastAsia" w:eastAsiaTheme="majorEastAsia" w:cstheme="majorEastAsia"/>
              <w:sz w:val="24"/>
              <w:szCs w:val="24"/>
              <w:lang w:val="en-US" w:eastAsia="zh-CN"/>
            </w:rPr>
            <w:tab/>
          </w:r>
          <w:bookmarkStart w:id="17" w:name="_Toc435_WPSOffice_Level1Page"/>
          <w:r>
            <w:rPr>
              <w:rFonts w:hint="eastAsia" w:asciiTheme="majorEastAsia" w:hAnsiTheme="majorEastAsia" w:eastAsiaTheme="majorEastAsia" w:cstheme="majorEastAsia"/>
              <w:sz w:val="24"/>
              <w:szCs w:val="24"/>
              <w:lang w:val="en-US" w:eastAsia="zh-CN"/>
            </w:rPr>
            <w:t>28</w:t>
          </w:r>
          <w:bookmarkEnd w:id="17"/>
          <w:r>
            <w:rPr>
              <w:rFonts w:hint="eastAsia" w:asciiTheme="majorEastAsia" w:hAnsiTheme="majorEastAsia" w:eastAsiaTheme="majorEastAsia" w:cstheme="majorEastAsia"/>
              <w:sz w:val="24"/>
              <w:szCs w:val="24"/>
              <w:lang w:val="en-US" w:eastAsia="zh-CN"/>
            </w:rPr>
            <w:fldChar w:fldCharType="end"/>
          </w:r>
        </w:p>
        <w:p>
          <w:pPr>
            <w:pStyle w:val="26"/>
            <w:tabs>
              <w:tab w:val="right" w:leader="dot" w:pos="8306"/>
            </w:tabs>
            <w:spacing w:line="48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_Toc29068_WPSOffice_Level1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66744"/>
              <w:placeholder>
                <w:docPart w:val="{d84d18a5-d031-4f93-8d19-36c84c7d99ce}"/>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12接收投标文件</w:t>
              </w:r>
            </w:sdtContent>
          </w:sdt>
          <w:r>
            <w:rPr>
              <w:rFonts w:hint="eastAsia" w:asciiTheme="majorEastAsia" w:hAnsiTheme="majorEastAsia" w:eastAsiaTheme="majorEastAsia" w:cstheme="majorEastAsia"/>
              <w:sz w:val="24"/>
              <w:szCs w:val="24"/>
            </w:rPr>
            <w:tab/>
          </w:r>
          <w:bookmarkStart w:id="18" w:name="_Toc29068_WPSOffice_Level1Page"/>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0</w:t>
          </w:r>
          <w:bookmarkEnd w:id="18"/>
          <w:r>
            <w:rPr>
              <w:rFonts w:hint="eastAsia" w:asciiTheme="majorEastAsia" w:hAnsiTheme="majorEastAsia" w:eastAsiaTheme="majorEastAsia" w:cstheme="majorEastAsia"/>
              <w:sz w:val="24"/>
              <w:szCs w:val="24"/>
            </w:rPr>
            <w:fldChar w:fldCharType="end"/>
          </w:r>
        </w:p>
        <w:p>
          <w:pPr>
            <w:pStyle w:val="26"/>
            <w:tabs>
              <w:tab w:val="right" w:leader="dot" w:pos="8306"/>
            </w:tabs>
            <w:spacing w:line="48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_Toc22885_WPSOffice_Level1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64577"/>
              <w:placeholder>
                <w:docPart w:val="{7f973704-dc31-4100-8a49-894fd89decd5}"/>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13组织开标</w:t>
              </w:r>
            </w:sdtContent>
          </w:sdt>
          <w:r>
            <w:rPr>
              <w:rFonts w:hint="eastAsia" w:asciiTheme="majorEastAsia" w:hAnsiTheme="majorEastAsia" w:eastAsiaTheme="majorEastAsia" w:cstheme="majorEastAsia"/>
              <w:sz w:val="24"/>
              <w:szCs w:val="24"/>
            </w:rPr>
            <w:tab/>
          </w:r>
          <w:bookmarkStart w:id="19" w:name="_Toc22885_WPSOffice_Level1Page"/>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1</w:t>
          </w:r>
          <w:bookmarkEnd w:id="19"/>
          <w:r>
            <w:rPr>
              <w:rFonts w:hint="eastAsia" w:asciiTheme="majorEastAsia" w:hAnsiTheme="majorEastAsia" w:eastAsiaTheme="majorEastAsia" w:cstheme="majorEastAsia"/>
              <w:sz w:val="24"/>
              <w:szCs w:val="24"/>
            </w:rPr>
            <w:fldChar w:fldCharType="end"/>
          </w:r>
        </w:p>
        <w:p>
          <w:pPr>
            <w:pStyle w:val="26"/>
            <w:tabs>
              <w:tab w:val="right" w:leader="dot" w:pos="8306"/>
            </w:tabs>
            <w:spacing w:line="480" w:lineRule="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_Toc23069_WPSOffice_Level1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77104"/>
              <w:placeholder>
                <w:docPart w:val="{5ec12620-916b-40d6-adeb-80e02927da78}"/>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14组织评标</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lang w:val="en-US" w:eastAsia="zh-CN"/>
            </w:rPr>
            <w:t>3</w:t>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_Toc21472_WPSOffice_Level1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1826"/>
              <w:placeholder>
                <w:docPart w:val="{da2bc976-05ef-4d6e-9865-a5e231a870c4}"/>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14.1 一般规定</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3</w:t>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_Toc17603_WPSOffice_Level1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2589"/>
              <w:placeholder>
                <w:docPart w:val="{0b9abb95-1694-4868-bbfa-6aa393f3a7af}"/>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14.2 评标委员会的组建</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3</w:t>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_Toc8643_WPSOffice_Level1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9141"/>
              <w:placeholder>
                <w:docPart w:val="{e943a833-7e66-4879-8185-5b5600063d51}"/>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14.3 评标</w:t>
              </w:r>
            </w:sdtContent>
          </w:sdt>
          <w:r>
            <w:rPr>
              <w:rFonts w:hint="eastAsia" w:asciiTheme="majorEastAsia" w:hAnsiTheme="majorEastAsia" w:eastAsiaTheme="majorEastAsia" w:cstheme="majorEastAsia"/>
              <w:sz w:val="24"/>
              <w:szCs w:val="24"/>
              <w:lang w:val="en-US" w:eastAsia="zh-CN"/>
            </w:rPr>
            <w:tab/>
          </w:r>
          <w:bookmarkStart w:id="20" w:name="_Toc8643_WPSOffice_Level1Page"/>
          <w:r>
            <w:rPr>
              <w:rFonts w:hint="eastAsia" w:asciiTheme="majorEastAsia" w:hAnsiTheme="majorEastAsia" w:eastAsiaTheme="majorEastAsia" w:cstheme="majorEastAsia"/>
              <w:sz w:val="24"/>
              <w:szCs w:val="24"/>
              <w:lang w:val="en-US" w:eastAsia="zh-CN"/>
            </w:rPr>
            <w:t>34</w:t>
          </w:r>
          <w:bookmarkEnd w:id="20"/>
          <w:r>
            <w:rPr>
              <w:rFonts w:hint="eastAsia" w:asciiTheme="majorEastAsia" w:hAnsiTheme="majorEastAsia" w:eastAsiaTheme="majorEastAsia" w:cstheme="majorEastAsia"/>
              <w:sz w:val="24"/>
              <w:szCs w:val="24"/>
              <w:lang w:val="en-US" w:eastAsia="zh-CN"/>
            </w:rPr>
            <w:fldChar w:fldCharType="end"/>
          </w:r>
        </w:p>
        <w:p>
          <w:pPr>
            <w:pStyle w:val="26"/>
            <w:tabs>
              <w:tab w:val="right" w:leader="dot" w:pos="8306"/>
            </w:tabs>
            <w:spacing w:line="48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_Toc23863_WPSOffice_Level1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59701"/>
              <w:placeholder>
                <w:docPart w:val="{ce0f0770-b165-4c8c-85c0-5305336e0d40}"/>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15协助定标</w:t>
              </w:r>
            </w:sdtContent>
          </w:sdt>
          <w:r>
            <w:rPr>
              <w:rFonts w:hint="eastAsia" w:asciiTheme="majorEastAsia" w:hAnsiTheme="majorEastAsia" w:eastAsiaTheme="majorEastAsia" w:cstheme="majorEastAsia"/>
              <w:sz w:val="24"/>
              <w:szCs w:val="24"/>
            </w:rPr>
            <w:tab/>
          </w:r>
          <w:bookmarkStart w:id="21" w:name="_Toc23863_WPSOffice_Level1Page"/>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6</w:t>
          </w:r>
          <w:bookmarkEnd w:id="21"/>
          <w:r>
            <w:rPr>
              <w:rFonts w:hint="eastAsia" w:asciiTheme="majorEastAsia" w:hAnsiTheme="majorEastAsia" w:eastAsiaTheme="majorEastAsia" w:cstheme="majorEastAsia"/>
              <w:sz w:val="24"/>
              <w:szCs w:val="24"/>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_Toc20274_WPSOffice_Level1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3552"/>
              <w:placeholder>
                <w:docPart w:val="{c2e9667b-c741-4594-9e09-f42f8d7d0e89}"/>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15.1 中标候选人公示</w:t>
              </w:r>
            </w:sdtContent>
          </w:sdt>
          <w:r>
            <w:rPr>
              <w:rFonts w:hint="eastAsia" w:asciiTheme="majorEastAsia" w:hAnsiTheme="majorEastAsia" w:eastAsiaTheme="majorEastAsia" w:cstheme="majorEastAsia"/>
              <w:sz w:val="24"/>
              <w:szCs w:val="24"/>
              <w:lang w:val="en-US" w:eastAsia="zh-CN"/>
            </w:rPr>
            <w:tab/>
          </w:r>
          <w:bookmarkStart w:id="22" w:name="_Toc20274_WPSOffice_Level1Page"/>
          <w:r>
            <w:rPr>
              <w:rFonts w:hint="eastAsia" w:asciiTheme="majorEastAsia" w:hAnsiTheme="majorEastAsia" w:eastAsiaTheme="majorEastAsia" w:cstheme="majorEastAsia"/>
              <w:sz w:val="24"/>
              <w:szCs w:val="24"/>
              <w:lang w:val="en-US" w:eastAsia="zh-CN"/>
            </w:rPr>
            <w:t>36</w:t>
          </w:r>
          <w:bookmarkEnd w:id="22"/>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_Toc31021_WPSOffice_Level1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4334"/>
              <w:placeholder>
                <w:docPart w:val="{0d31b15a-9b31-44ae-a740-793ac7caef07}"/>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15.2 协助定标</w:t>
              </w:r>
            </w:sdtContent>
          </w:sdt>
          <w:r>
            <w:rPr>
              <w:rFonts w:hint="eastAsia" w:asciiTheme="majorEastAsia" w:hAnsiTheme="majorEastAsia" w:eastAsiaTheme="majorEastAsia" w:cstheme="majorEastAsia"/>
              <w:sz w:val="24"/>
              <w:szCs w:val="24"/>
              <w:lang w:val="en-US" w:eastAsia="zh-CN"/>
            </w:rPr>
            <w:tab/>
          </w:r>
          <w:bookmarkStart w:id="23" w:name="_Toc31021_WPSOffice_Level1Page"/>
          <w:r>
            <w:rPr>
              <w:rFonts w:hint="eastAsia" w:asciiTheme="majorEastAsia" w:hAnsiTheme="majorEastAsia" w:eastAsiaTheme="majorEastAsia" w:cstheme="majorEastAsia"/>
              <w:sz w:val="24"/>
              <w:szCs w:val="24"/>
              <w:lang w:val="en-US" w:eastAsia="zh-CN"/>
            </w:rPr>
            <w:t>36</w:t>
          </w:r>
          <w:bookmarkEnd w:id="23"/>
          <w:r>
            <w:rPr>
              <w:rFonts w:hint="eastAsia" w:asciiTheme="majorEastAsia" w:hAnsiTheme="majorEastAsia" w:eastAsiaTheme="majorEastAsia" w:cstheme="majorEastAsia"/>
              <w:sz w:val="24"/>
              <w:szCs w:val="24"/>
              <w:lang w:val="en-US" w:eastAsia="zh-CN"/>
            </w:rPr>
            <w:fldChar w:fldCharType="end"/>
          </w:r>
        </w:p>
        <w:p>
          <w:pPr>
            <w:pStyle w:val="26"/>
            <w:tabs>
              <w:tab w:val="right" w:leader="dot" w:pos="8306"/>
            </w:tabs>
            <w:spacing w:line="48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_Toc29862_WPSOffice_Level1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51985"/>
              <w:placeholder>
                <w:docPart w:val="{fbee6c12-5b53-4a7b-8054-c46b85b206ea}"/>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16协助签订合同及其他服务</w:t>
              </w:r>
            </w:sdtContent>
          </w:sdt>
          <w:r>
            <w:rPr>
              <w:rFonts w:hint="eastAsia" w:asciiTheme="majorEastAsia" w:hAnsiTheme="majorEastAsia" w:eastAsiaTheme="majorEastAsia" w:cstheme="majorEastAsia"/>
              <w:sz w:val="24"/>
              <w:szCs w:val="24"/>
            </w:rPr>
            <w:tab/>
          </w:r>
          <w:bookmarkStart w:id="24" w:name="_Toc29862_WPSOffice_Level1Page"/>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8</w:t>
          </w:r>
          <w:bookmarkEnd w:id="24"/>
          <w:r>
            <w:rPr>
              <w:rFonts w:hint="eastAsia" w:asciiTheme="majorEastAsia" w:hAnsiTheme="majorEastAsia" w:eastAsiaTheme="majorEastAsia" w:cstheme="majorEastAsia"/>
              <w:sz w:val="24"/>
              <w:szCs w:val="24"/>
            </w:rPr>
            <w:fldChar w:fldCharType="end"/>
          </w:r>
        </w:p>
        <w:p>
          <w:pPr>
            <w:pStyle w:val="26"/>
            <w:tabs>
              <w:tab w:val="right" w:leader="dot" w:pos="8306"/>
            </w:tabs>
            <w:spacing w:line="48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_Toc27245_WPSOffice_Level1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54400"/>
              <w:placeholder>
                <w:docPart w:val="{3b6f9cc1-29a6-4395-9113-22e4a15b807b}"/>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17招标代理项目档案管理</w:t>
              </w:r>
            </w:sdtContent>
          </w:sdt>
          <w:r>
            <w:rPr>
              <w:rFonts w:hint="eastAsia" w:asciiTheme="majorEastAsia" w:hAnsiTheme="majorEastAsia" w:eastAsiaTheme="majorEastAsia" w:cstheme="majorEastAsia"/>
              <w:sz w:val="24"/>
              <w:szCs w:val="24"/>
            </w:rPr>
            <w:tab/>
          </w:r>
          <w:bookmarkStart w:id="25" w:name="_Toc27245_WPSOffice_Level1Page"/>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0</w:t>
          </w:r>
          <w:bookmarkEnd w:id="25"/>
          <w:r>
            <w:rPr>
              <w:rFonts w:hint="eastAsia" w:asciiTheme="majorEastAsia" w:hAnsiTheme="majorEastAsia" w:eastAsiaTheme="majorEastAsia" w:cstheme="majorEastAsia"/>
              <w:sz w:val="24"/>
              <w:szCs w:val="24"/>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_Toc4917_WPSOffice_Level1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8588"/>
              <w:placeholder>
                <w:docPart w:val="{e6f3a2c5-4b0a-4215-bd5a-6d86ec5eec67}"/>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17.1 一般规定</w:t>
              </w:r>
            </w:sdtContent>
          </w:sdt>
          <w:r>
            <w:rPr>
              <w:rFonts w:hint="eastAsia" w:asciiTheme="majorEastAsia" w:hAnsiTheme="majorEastAsia" w:eastAsiaTheme="majorEastAsia" w:cstheme="majorEastAsia"/>
              <w:sz w:val="24"/>
              <w:szCs w:val="24"/>
              <w:lang w:val="en-US" w:eastAsia="zh-CN"/>
            </w:rPr>
            <w:tab/>
          </w:r>
          <w:bookmarkStart w:id="26" w:name="_Toc4917_WPSOffice_Level1Page"/>
          <w:r>
            <w:rPr>
              <w:rFonts w:hint="eastAsia" w:asciiTheme="majorEastAsia" w:hAnsiTheme="majorEastAsia" w:eastAsiaTheme="majorEastAsia" w:cstheme="majorEastAsia"/>
              <w:sz w:val="24"/>
              <w:szCs w:val="24"/>
              <w:lang w:val="en-US" w:eastAsia="zh-CN"/>
            </w:rPr>
            <w:t>40</w:t>
          </w:r>
          <w:bookmarkEnd w:id="26"/>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_Toc29301_WPSOffice_Level1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6123"/>
              <w:placeholder>
                <w:docPart w:val="{e9527547-e526-4b0c-9ff9-d16a55c94a9c}"/>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17.2 归档资料</w:t>
              </w:r>
            </w:sdtContent>
          </w:sdt>
          <w:r>
            <w:rPr>
              <w:rFonts w:hint="eastAsia" w:asciiTheme="majorEastAsia" w:hAnsiTheme="majorEastAsia" w:eastAsiaTheme="majorEastAsia" w:cstheme="majorEastAsia"/>
              <w:sz w:val="24"/>
              <w:szCs w:val="24"/>
              <w:lang w:val="en-US" w:eastAsia="zh-CN"/>
            </w:rPr>
            <w:tab/>
          </w:r>
          <w:bookmarkStart w:id="27" w:name="_Toc29301_WPSOffice_Level1Page"/>
          <w:r>
            <w:rPr>
              <w:rFonts w:hint="eastAsia" w:asciiTheme="majorEastAsia" w:hAnsiTheme="majorEastAsia" w:eastAsiaTheme="majorEastAsia" w:cstheme="majorEastAsia"/>
              <w:sz w:val="24"/>
              <w:szCs w:val="24"/>
              <w:lang w:val="en-US" w:eastAsia="zh-CN"/>
            </w:rPr>
            <w:t>40</w:t>
          </w:r>
          <w:bookmarkEnd w:id="27"/>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_Toc8220_WPSOffice_Level1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1317"/>
              <w:placeholder>
                <w:docPart w:val="{87145ece-c3bd-4f35-9bec-52fc0b4d6967}"/>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17.3 立卷归档</w:t>
              </w:r>
            </w:sdtContent>
          </w:sdt>
          <w:r>
            <w:rPr>
              <w:rFonts w:hint="eastAsia" w:asciiTheme="majorEastAsia" w:hAnsiTheme="majorEastAsia" w:eastAsiaTheme="majorEastAsia" w:cstheme="majorEastAsia"/>
              <w:sz w:val="24"/>
              <w:szCs w:val="24"/>
              <w:lang w:val="en-US" w:eastAsia="zh-CN"/>
            </w:rPr>
            <w:tab/>
          </w:r>
          <w:bookmarkStart w:id="28" w:name="_Toc8220_WPSOffice_Level1Page"/>
          <w:r>
            <w:rPr>
              <w:rFonts w:hint="eastAsia" w:asciiTheme="majorEastAsia" w:hAnsiTheme="majorEastAsia" w:eastAsiaTheme="majorEastAsia" w:cstheme="majorEastAsia"/>
              <w:sz w:val="24"/>
              <w:szCs w:val="24"/>
              <w:lang w:val="en-US" w:eastAsia="zh-CN"/>
            </w:rPr>
            <w:t>41</w:t>
          </w:r>
          <w:bookmarkEnd w:id="28"/>
          <w:r>
            <w:rPr>
              <w:rFonts w:hint="eastAsia" w:asciiTheme="majorEastAsia" w:hAnsiTheme="majorEastAsia" w:eastAsiaTheme="majorEastAsia" w:cstheme="majorEastAsia"/>
              <w:sz w:val="24"/>
              <w:szCs w:val="24"/>
              <w:lang w:val="en-US" w:eastAsia="zh-CN"/>
            </w:rPr>
            <w:fldChar w:fldCharType="end"/>
          </w:r>
        </w:p>
        <w:p>
          <w:pPr>
            <w:pStyle w:val="26"/>
            <w:tabs>
              <w:tab w:val="right" w:leader="dot" w:pos="8306"/>
            </w:tabs>
            <w:spacing w:line="480" w:lineRule="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_Toc27746_WPSOffice_Level1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64884"/>
              <w:placeholder>
                <w:docPart w:val="{8f89504b-607b-49eb-9efe-2e52f9dc8b69}"/>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18服务评价与改进</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lang w:val="en-US" w:eastAsia="zh-CN"/>
            </w:rPr>
            <w:t>2</w:t>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_Toc8592_WPSOffice_Level1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7188"/>
              <w:placeholder>
                <w:docPart w:val="{c6e9cfb9-56d7-497b-a8f4-67de381a9484}"/>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18.1 服务评价</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2</w:t>
          </w:r>
        </w:p>
        <w:p>
          <w:pPr>
            <w:pStyle w:val="10"/>
            <w:tabs>
              <w:tab w:val="right" w:leader="dot" w:pos="8296"/>
            </w:tabs>
            <w:spacing w:line="48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_Toc9975_WPSOffice_Level1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3085"/>
              <w:placeholder>
                <w:docPart w:val="{64a73339-42af-436a-a846-50ca2fbaa1d6}"/>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18.2 服务改进</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2</w:t>
          </w:r>
        </w:p>
        <w:p>
          <w:pPr>
            <w:pStyle w:val="26"/>
            <w:tabs>
              <w:tab w:val="right" w:leader="dot" w:pos="8306"/>
            </w:tabs>
            <w:spacing w:line="480" w:lineRule="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_Toc3872_WPSOffice_Level1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78950"/>
              <w:placeholder>
                <w:docPart w:val="{b6b5529a-54d9-4d9e-b633-f5847411806b}"/>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kern w:val="2"/>
                  <w:sz w:val="24"/>
                  <w:szCs w:val="24"/>
                  <w:lang w:val="en-US" w:eastAsia="zh-CN" w:bidi="ar-SA"/>
                </w:rPr>
                <w:t>附录A招标代理基本服务收费指导（资料性标准）</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lang w:val="en-US" w:eastAsia="zh-CN"/>
            </w:rPr>
            <w:t>3</w:t>
          </w:r>
        </w:p>
        <w:p>
          <w:pPr>
            <w:pStyle w:val="26"/>
            <w:tabs>
              <w:tab w:val="right" w:leader="dot" w:pos="8306"/>
            </w:tabs>
            <w:spacing w:line="480" w:lineRule="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_Toc3872_WPSOffice_Level1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82815"/>
              <w:placeholder>
                <w:docPart w:val="{a0f83520-0cb2-4163-879c-4bccc20905c4}"/>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本规程用词说明</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lang w:val="en-US" w:eastAsia="zh-CN"/>
            </w:rPr>
            <w:t>5</w:t>
          </w:r>
        </w:p>
        <w:p>
          <w:pPr>
            <w:pStyle w:val="26"/>
            <w:tabs>
              <w:tab w:val="right" w:leader="dot" w:pos="8306"/>
            </w:tabs>
            <w:spacing w:line="480" w:lineRule="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_Toc26479_WPSOffice_Level1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66664"/>
              <w:placeholder>
                <w:docPart w:val="{161a1802-cc54-42e1-aedc-8942302af531}"/>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引用标准名录</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lang w:val="en-US" w:eastAsia="zh-CN"/>
            </w:rPr>
            <w:t>6</w:t>
          </w:r>
        </w:p>
        <w:p>
          <w:pPr>
            <w:pStyle w:val="26"/>
            <w:tabs>
              <w:tab w:val="right" w:leader="dot" w:pos="8306"/>
            </w:tabs>
            <w:spacing w:line="480" w:lineRule="auto"/>
            <w:rPr>
              <w:rFonts w:hint="eastAsia" w:eastAsiaTheme="majorEastAsia"/>
              <w:lang w:val="en-US" w:eastAsia="zh-CN"/>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\l _Toc17091_WPSOffice_Level1 </w:instrText>
          </w:r>
          <w:r>
            <w:rPr>
              <w:rFonts w:hint="eastAsia" w:asciiTheme="majorEastAsia" w:hAnsiTheme="majorEastAsia" w:eastAsiaTheme="majorEastAsia" w:cstheme="majorEastAsia"/>
              <w:sz w:val="24"/>
              <w:szCs w:val="24"/>
            </w:rPr>
            <w:fldChar w:fldCharType="separate"/>
          </w:r>
          <w:sdt>
            <w:sdtPr>
              <w:rPr>
                <w:rFonts w:hint="eastAsia" w:asciiTheme="majorEastAsia" w:hAnsiTheme="majorEastAsia" w:eastAsiaTheme="majorEastAsia" w:cstheme="majorEastAsia"/>
                <w:kern w:val="0"/>
                <w:sz w:val="24"/>
                <w:szCs w:val="24"/>
                <w:lang w:val="zh-CN" w:eastAsia="zh-CN" w:bidi="zh-CN"/>
              </w:rPr>
              <w:id w:val="147481057"/>
              <w:placeholder>
                <w:docPart w:val="{e153f178-1700-461e-bf8b-87e94062107f}"/>
              </w:placeholder>
            </w:sdtPr>
            <w:sdtEndPr>
              <w:rPr>
                <w:rFonts w:hint="eastAsia" w:asciiTheme="majorEastAsia" w:hAnsiTheme="majorEastAsia" w:eastAsiaTheme="majorEastAsia" w:cstheme="majorEastAsia"/>
                <w:kern w:val="0"/>
                <w:sz w:val="24"/>
                <w:szCs w:val="24"/>
                <w:lang w:val="zh-CN" w:eastAsia="zh-CN" w:bidi="zh-CN"/>
              </w:rPr>
            </w:sdtEndPr>
            <w:sdtContent>
              <w:r>
                <w:rPr>
                  <w:rFonts w:hint="eastAsia" w:asciiTheme="majorEastAsia" w:hAnsiTheme="majorEastAsia" w:eastAsiaTheme="majorEastAsia" w:cstheme="majorEastAsia"/>
                  <w:sz w:val="24"/>
                  <w:szCs w:val="24"/>
                </w:rPr>
                <w:t>条 文 说 明</w:t>
              </w:r>
            </w:sdtContent>
          </w:sdt>
          <w:r>
            <w:rPr>
              <w:rFonts w:hint="eastAsia" w:asciiTheme="majorEastAsia" w:hAnsiTheme="majorEastAsia" w:eastAsiaTheme="majorEastAsia" w:cstheme="majorEastAsia"/>
              <w:sz w:val="24"/>
              <w:szCs w:val="24"/>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z w:val="24"/>
              <w:szCs w:val="24"/>
              <w:lang w:val="en-US" w:eastAsia="zh-CN"/>
            </w:rPr>
            <w:t>7</w:t>
          </w:r>
        </w:p>
        <w:bookmarkEnd w:id="4"/>
        <w:p>
          <w:pPr>
            <w:pStyle w:val="26"/>
            <w:tabs>
              <w:tab w:val="right" w:leader="dot" w:pos="8306"/>
            </w:tabs>
          </w:pPr>
        </w:p>
      </w:sdtContent>
    </w:sdt>
    <w:p>
      <w:pPr>
        <w:pStyle w:val="9"/>
        <w:tabs>
          <w:tab w:val="right" w:leader="dot" w:pos="9280"/>
          <w:tab w:val="clear" w:pos="8296"/>
        </w:tabs>
        <w:spacing w:line="480" w:lineRule="auto"/>
        <w:rPr>
          <w:rFonts w:hint="eastAsia"/>
          <w:color w:val="auto"/>
          <w:highlight w:val="none"/>
          <w:lang w:val="en-US" w:eastAsia="zh-CN"/>
        </w:rPr>
        <w:sectPr>
          <w:headerReference r:id="rId4" w:type="default"/>
          <w:footerReference r:id="rId6" w:type="default"/>
          <w:headerReference r:id="rId5" w:type="even"/>
          <w:footerReference r:id="rId7" w:type="even"/>
          <w:pgSz w:w="11906" w:h="16838"/>
          <w:pgMar w:top="1440" w:right="1800" w:bottom="1440" w:left="1800" w:header="850" w:footer="850" w:gutter="0"/>
          <w:pgNumType w:fmt="upperRoman" w:start="1"/>
          <w:cols w:space="0" w:num="1"/>
          <w:rtlGutter w:val="0"/>
          <w:docGrid w:type="lines" w:linePitch="322" w:charSpace="0"/>
        </w:sectPr>
      </w:pPr>
    </w:p>
    <w:p>
      <w:pPr>
        <w:keepNext w:val="0"/>
        <w:keepLines w:val="0"/>
        <w:pageBreakBefore w:val="0"/>
        <w:widowControl w:val="0"/>
        <w:kinsoku/>
        <w:wordWrap/>
        <w:overflowPunct/>
        <w:topLinePunct w:val="0"/>
        <w:autoSpaceDE/>
        <w:autoSpaceDN/>
        <w:bidi w:val="0"/>
        <w:adjustRightInd/>
        <w:snapToGrid/>
        <w:spacing w:before="240" w:beforeLines="0" w:afterLines="0" w:line="480" w:lineRule="auto"/>
        <w:ind w:left="0" w:leftChars="0" w:right="0" w:rightChars="0" w:firstLine="0" w:firstLineChars="0"/>
        <w:jc w:val="center"/>
        <w:textAlignment w:val="auto"/>
        <w:rPr>
          <w:rFonts w:hint="eastAsia" w:ascii="宋体" w:hAnsi="宋体" w:eastAsia="宋体" w:cs="宋体"/>
          <w:b/>
          <w:bCs/>
          <w:color w:val="auto"/>
          <w:kern w:val="0"/>
          <w:sz w:val="32"/>
          <w:szCs w:val="32"/>
          <w:highlight w:val="none"/>
          <w:lang w:val="en-US" w:eastAsia="zh-CN" w:bidi="zh-CN"/>
        </w:rPr>
      </w:pPr>
      <w:bookmarkStart w:id="29" w:name="_Toc5325_WPSOffice_Level1"/>
      <w:r>
        <w:rPr>
          <w:rFonts w:hint="eastAsia" w:ascii="宋体" w:hAnsi="宋体" w:eastAsia="宋体" w:cs="宋体"/>
          <w:b/>
          <w:bCs/>
          <w:color w:val="auto"/>
          <w:kern w:val="0"/>
          <w:sz w:val="32"/>
          <w:szCs w:val="32"/>
          <w:highlight w:val="none"/>
          <w:lang w:val="en-US" w:eastAsia="zh-CN" w:bidi="zh-CN"/>
        </w:rPr>
        <w:t>Contents</w:t>
      </w:r>
      <w:bookmarkEnd w:id="29"/>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fldChar w:fldCharType="begin"/>
      </w:r>
      <w:r>
        <w:rPr>
          <w:rFonts w:hint="default" w:ascii="Times New Roman" w:hAnsi="Times New Roman" w:eastAsia="宋体" w:cs="Times New Roman"/>
          <w:color w:val="auto"/>
          <w:sz w:val="24"/>
          <w:szCs w:val="24"/>
          <w:highlight w:val="none"/>
          <w:lang w:val="en-US" w:eastAsia="zh-CN"/>
        </w:rPr>
        <w:instrText xml:space="preserve">TOC \o "1-2" \h \u </w:instrText>
      </w:r>
      <w:r>
        <w:rPr>
          <w:rFonts w:hint="default" w:ascii="Times New Roman" w:hAnsi="Times New Roman" w:eastAsia="宋体" w:cs="Times New Roman"/>
          <w:color w:val="auto"/>
          <w:sz w:val="24"/>
          <w:szCs w:val="24"/>
          <w:highlight w:val="none"/>
          <w:lang w:val="en-US" w:eastAsia="zh-CN"/>
        </w:rPr>
        <w:fldChar w:fldCharType="separate"/>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_Toc4061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 General Provision</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_Toc4061 \h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fldChar w:fldCharType="end"/>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_Toc7159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 Terms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2</w:t>
      </w:r>
      <w:r>
        <w:rPr>
          <w:rFonts w:hint="eastAsia" w:asciiTheme="majorEastAsia" w:hAnsiTheme="majorEastAsia" w:eastAsiaTheme="majorEastAsia" w:cstheme="majorEastAsia"/>
          <w:kern w:val="2"/>
          <w:sz w:val="24"/>
          <w:szCs w:val="24"/>
          <w:lang w:val="en-US" w:eastAsia="zh-CN" w:bidi="ar-SA"/>
        </w:rPr>
        <w:fldChar w:fldCharType="end"/>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_Toc26922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 Basic Regulations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4</w:t>
      </w:r>
      <w:r>
        <w:rPr>
          <w:rFonts w:hint="eastAsia" w:asciiTheme="majorEastAsia" w:hAnsiTheme="majorEastAsia" w:eastAsiaTheme="majorEastAsia" w:cstheme="majorEastAsia"/>
          <w:kern w:val="2"/>
          <w:sz w:val="24"/>
          <w:szCs w:val="24"/>
          <w:lang w:val="en-US" w:eastAsia="zh-CN" w:bidi="ar-SA"/>
        </w:rPr>
        <w:fldChar w:fldCharType="end"/>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_Toc21625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4 Tendering Agency Contract</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5</w:t>
      </w:r>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_Toc25478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4.1 Contract Conclusion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_Toc9820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4.2 Contract Content</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_Toc9495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4.3 Tendering Agency Service Fees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_Toc19874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5 Tendering Agency</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7</w:t>
      </w:r>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_Toc13949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5.1 Organizational Forms and Composition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_Toc8811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5.2 Requirements for Tendering Agency Project Teams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_Toc16721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5.3 Quality Control</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lang w:val="en-US" w:eastAsia="zh-CN"/>
        </w:rPr>
        <w:fldChar w:fldCharType="end"/>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_Toc31230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6 Tendering Preparation and Planning</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9</w:t>
      </w:r>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_Toc6027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6.1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9</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_Toc4372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6.2 Data Collection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9</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_Toc29466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6.3 Tendering Plan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1</w:t>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_Toc20884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7 Tender Announcements and Bidding Invitations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_Toc20884 \h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13</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_Toc5938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7.1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_Toc5938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13</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_Toc5923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7.2 Compilation of Tender Announcements and Bidding Invitations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_Toc5923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13</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_Toc2336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7.3 Publication of Tender Announcements and Issuance of Bidding Invitations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_Toc2336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14</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_Toc28976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8 Prequalification</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_Toc28976 \h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16</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_Toc1182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8.1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_Toc1182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_Toc5733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8.2 Compilation of Prequalification Documents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_Toc5733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17</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_Toc12297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8.3 Publication of Prequalification Announcements, Release, Clarification, and Objections of Prequalification Documents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_Toc12297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18</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_Toc7336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8.4 Qualification Review</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_Toc7336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19</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_Toc30425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9 Compilation of Tender Documents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2</w:t>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_Toc30425 \h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_Toc25100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9.1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1</w:t>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_Toc25935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9.2 Compilation of Tender Documents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_Toc25935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_Toc13923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10 Compilation of Bill of Quantities and Maximum Bid Limit (Tender Control Price)</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2</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5</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_Toc30270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10.1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5</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_Toc4692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10.2 Compilation of Bill of Quantities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5</w:t>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_Toc3150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10.3 Compilation of Maximum Bid Limit (Tender Control Price)</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_Toc3150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26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_Toc20508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11 Tender Document Clarifications, Amendments, and Objections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_Toc20508 \h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28</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_Toc23088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11.1 Clarifications and Amendments of Tender Documents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_Toc23088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28</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_Toc15207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11.2 Objections to Tender Documents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_Toc15207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28</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_Toc22939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12 Receipt of Bid Documents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3</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0</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_Toc14564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13 Organization of Bid Opening</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3</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1</w:t>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_Toc12044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14 Organization of Bid Evaluation</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_Toc12044 \h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33</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_Toc2942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14.1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_Toc2942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33</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_Toc2200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14.2 Formation of Bid Evaluation Committee</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_Toc2200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33</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_Toc11366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14.3 Bid Evaluation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_Toc11366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34</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9"/>
        <w:spacing w:line="36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_Toc14427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15 Assistance in Awarding Contracts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_Toc14427 \h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36</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_Toc5194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15.1 Publicity of Bid-winning Candidates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_Toc5194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36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36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_Toc3909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15.2 Assistance in Awarding Contracts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PAGEREF _Toc3909 \h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36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fldChar w:fldCharType="end"/>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_Toc1903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16 Assistance in Contract Signing and Other Services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3</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8</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_Toc25421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17 Tendering Agency Project Record Management</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4</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0</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_Toc17298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17.1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0</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_Toc17497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17.2 Archival Materials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0</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_Toc9646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17.3 Filing and Archiving</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1</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_Toc15715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18 Service Evaluation and Improvement</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4</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2</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_Toc20253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18.1 Service Evaluation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2</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_Toc11154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18.2 Service Improvement</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42</w:t>
      </w:r>
      <w:r>
        <w:rPr>
          <w:rFonts w:hint="eastAsia" w:asciiTheme="majorEastAsia" w:hAnsiTheme="majorEastAsia" w:eastAsiaTheme="majorEastAsia" w:cstheme="majorEastAsia"/>
          <w:sz w:val="24"/>
          <w:szCs w:val="24"/>
          <w:lang w:val="en-US" w:eastAsia="zh-CN"/>
        </w:rPr>
        <w:fldChar w:fldCharType="end"/>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_Toc19640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 xml:space="preserve">Appendix A Guidance on Basic Service Charges for Tendering Agency </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t>(Informative Standard)</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4</w:t>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PAGEREF _Toc19640 \h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fldChar w:fldCharType="end"/>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_Toc19640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Explanation of Terms Used in This Standard</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4</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5</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_Toc19640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List of Referenced Standards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4</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6</w:t>
      </w:r>
    </w:p>
    <w:p>
      <w:pPr>
        <w:pStyle w:val="9"/>
        <w:spacing w:line="480" w:lineRule="auto"/>
        <w:jc w:val="right"/>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_Toc15715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Article Explanation</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4</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7</w:t>
      </w:r>
    </w:p>
    <w:p>
      <w:pPr>
        <w:rPr>
          <w:rFonts w:hint="eastAsia" w:asciiTheme="majorEastAsia" w:hAnsiTheme="majorEastAsia" w:eastAsiaTheme="majorEastAsia" w:cstheme="majorEastAsia"/>
          <w:kern w:val="2"/>
          <w:sz w:val="24"/>
          <w:szCs w:val="24"/>
          <w:lang w:val="en-US" w:eastAsia="zh-CN" w:bidi="ar-SA"/>
        </w:rPr>
      </w:pPr>
    </w:p>
    <w:p>
      <w:pPr>
        <w:pStyle w:val="12"/>
        <w:rPr>
          <w:rFonts w:hint="eastAsia"/>
          <w:lang w:val="en-US" w:eastAsia="zh-CN"/>
        </w:rPr>
        <w:sectPr>
          <w:footerReference r:id="rId9" w:type="first"/>
          <w:footerReference r:id="rId8" w:type="default"/>
          <w:footnotePr>
            <w:numFmt w:val="decimal"/>
          </w:footnotePr>
          <w:pgSz w:w="11906" w:h="16838"/>
          <w:pgMar w:top="1440" w:right="1800" w:bottom="1440" w:left="1800" w:header="850" w:footer="850" w:gutter="0"/>
          <w:pgNumType w:fmt="upperRoman"/>
          <w:cols w:space="0" w:num="1"/>
          <w:rtlGutter w:val="0"/>
          <w:docGrid w:type="lines" w:linePitch="322" w:charSpace="0"/>
        </w:sect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Cs w:val="24"/>
          <w:highlight w:val="none"/>
          <w:lang w:val="en-US" w:eastAsia="zh-CN"/>
        </w:rPr>
      </w:pPr>
      <w:r>
        <w:rPr>
          <w:rFonts w:hint="default" w:ascii="Times New Roman" w:hAnsi="Times New Roman" w:eastAsia="宋体" w:cs="Times New Roman"/>
          <w:color w:val="auto"/>
          <w:szCs w:val="24"/>
          <w:highlight w:val="none"/>
          <w:lang w:val="en-US" w:eastAsia="zh-CN"/>
        </w:rPr>
        <w:fldChar w:fldCharType="end"/>
      </w:r>
      <w:bookmarkStart w:id="30" w:name="_Toc20019_WPSOffice_Level1"/>
      <w:bookmarkStart w:id="31" w:name="_Toc4061"/>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sz w:val="36"/>
          <w:szCs w:val="36"/>
          <w:lang w:val="en-US" w:eastAsia="zh-CN"/>
        </w:rPr>
      </w:pPr>
      <w:r>
        <w:rPr>
          <w:rFonts w:hint="eastAsia" w:ascii="Times New Roman" w:hAnsi="Times New Roman" w:eastAsia="宋体" w:cs="Times New Roman"/>
          <w:b/>
          <w:sz w:val="36"/>
          <w:szCs w:val="36"/>
          <w:lang w:val="en-US" w:eastAsia="zh-CN"/>
        </w:rPr>
        <w:t>1总 则</w:t>
      </w:r>
      <w:bookmarkEnd w:id="30"/>
      <w:bookmarkEnd w:id="31"/>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1.0.1 </w:t>
      </w:r>
      <w:r>
        <w:rPr>
          <w:rFonts w:hint="eastAsia" w:ascii="Times New Roman" w:hAnsi="Times New Roman" w:eastAsia="宋体" w:cs="Times New Roman"/>
          <w:b w:val="0"/>
          <w:bCs w:val="0"/>
          <w:sz w:val="24"/>
          <w:szCs w:val="24"/>
        </w:rPr>
        <w:t>为贯彻执行《中华人民共和国招标投标法》《中华人民共和国招标投标法实施条例》等法律法规，规范工程建设项目招标代理活动，健全招标代理机构服务机制，制定本规程。</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1.0.2 </w:t>
      </w:r>
      <w:r>
        <w:rPr>
          <w:rFonts w:hint="eastAsia" w:ascii="Times New Roman" w:hAnsi="Times New Roman" w:eastAsia="宋体" w:cs="Times New Roman"/>
          <w:b w:val="0"/>
          <w:bCs w:val="0"/>
          <w:sz w:val="24"/>
          <w:szCs w:val="24"/>
        </w:rPr>
        <w:t>本规程适用于招标代理机构在本省行政区域内依法开展的工程建设项目招标代理活动。</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1.0.3 </w:t>
      </w:r>
      <w:r>
        <w:rPr>
          <w:rFonts w:hint="eastAsia" w:ascii="Times New Roman" w:hAnsi="Times New Roman" w:eastAsia="宋体" w:cs="Times New Roman"/>
          <w:b w:val="0"/>
          <w:bCs w:val="0"/>
          <w:sz w:val="24"/>
          <w:szCs w:val="24"/>
        </w:rPr>
        <w:t>工程建设项目招标代理活动除应遵守本规程外，尚应符合国家、省现行有关标准的规定。</w:t>
      </w:r>
    </w:p>
    <w:p>
      <w:pPr>
        <w:pStyle w:val="27"/>
        <w:spacing w:line="360" w:lineRule="auto"/>
        <w:ind w:firstLine="0" w:firstLineChars="0"/>
        <w:rPr>
          <w:rFonts w:hint="eastAsia" w:ascii="Times New Roman" w:hAnsi="Times New Roman" w:eastAsia="宋体" w:cs="Times New Roman"/>
          <w:b/>
          <w:bCs/>
          <w:sz w:val="24"/>
          <w:szCs w:val="24"/>
          <w:lang w:val="en-US" w:eastAsia="zh-CN"/>
        </w:rPr>
        <w:sectPr>
          <w:footerReference r:id="rId12" w:type="first"/>
          <w:headerReference r:id="rId10" w:type="default"/>
          <w:footerReference r:id="rId11" w:type="default"/>
          <w:footnotePr>
            <w:numFmt w:val="decimal"/>
          </w:footnotePr>
          <w:pgSz w:w="11906" w:h="16838"/>
          <w:pgMar w:top="1440" w:right="1800" w:bottom="1440" w:left="1800" w:header="850" w:footer="850" w:gutter="0"/>
          <w:pgNumType w:fmt="decimal" w:start="1"/>
          <w:cols w:space="0" w:num="1"/>
          <w:rtlGutter w:val="0"/>
          <w:docGrid w:type="lines" w:linePitch="317" w:charSpace="0"/>
        </w:sectPr>
      </w:pPr>
      <w:bookmarkStart w:id="32" w:name="_Toc7159"/>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33" w:name="_Toc1556_WPSOffice_Level1"/>
      <w:r>
        <w:rPr>
          <w:rFonts w:hint="eastAsia" w:ascii="Times New Roman" w:hAnsi="Times New Roman" w:eastAsia="宋体" w:cs="Times New Roman"/>
          <w:b/>
          <w:sz w:val="36"/>
          <w:szCs w:val="36"/>
          <w:lang w:val="en-US" w:eastAsia="zh-CN"/>
        </w:rPr>
        <w:t>2术 语</w:t>
      </w:r>
      <w:bookmarkEnd w:id="32"/>
      <w:bookmarkEnd w:id="33"/>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2.0.1</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工程建设项目</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Construction Projects</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建设工程以及与工程建设有关的勘察、设计、监理等服务，与工程建设有关的设备、材料等货物。</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2.0.2</w:t>
      </w:r>
      <w:r>
        <w:rPr>
          <w:rFonts w:hint="eastAsia" w:ascii="Times New Roman" w:hAnsi="Times New Roman" w:eastAsia="宋体" w:cs="Times New Roman"/>
          <w:b w:val="0"/>
          <w:bCs w:val="0"/>
          <w:i w:val="0"/>
          <w:iCs w:val="0"/>
          <w:sz w:val="24"/>
          <w:szCs w:val="24"/>
        </w:rPr>
        <w:t xml:space="preserve"> 建设工程</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Construction Works</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包括建筑物和构筑物的新建、改建、扩建及其相关的装修、拆除、修缮等。</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2.0.3</w:t>
      </w:r>
      <w:r>
        <w:rPr>
          <w:rFonts w:hint="eastAsia" w:ascii="Times New Roman" w:hAnsi="Times New Roman" w:eastAsia="宋体" w:cs="Times New Roman"/>
          <w:b w:val="0"/>
          <w:bCs w:val="0"/>
          <w:i w:val="0"/>
          <w:iCs w:val="0"/>
          <w:sz w:val="24"/>
          <w:szCs w:val="24"/>
        </w:rPr>
        <w:t xml:space="preserve"> 招标代理</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Tendering Agent</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招标代理机构接受招标人的委托，从事工程建设项目的勘察、设计、施工、监理以及与工程建设有关的重要设备、材料等的招标代理业务。工程建设项目招标代理简称招标代理。</w:t>
      </w:r>
    </w:p>
    <w:p>
      <w:pPr>
        <w:pStyle w:val="27"/>
        <w:spacing w:line="360" w:lineRule="auto"/>
        <w:ind w:firstLine="0" w:firstLineChars="0"/>
        <w:rPr>
          <w:rFonts w:hint="eastAsia" w:ascii="Times New Roman" w:hAnsi="Times New Roman" w:eastAsia="宋体" w:cs="Times New Roman"/>
          <w:b w:val="0"/>
          <w:bCs w:val="0"/>
          <w:i w:val="0"/>
          <w:iCs w:val="0"/>
          <w:sz w:val="24"/>
          <w:szCs w:val="24"/>
        </w:rPr>
      </w:pPr>
      <w:bookmarkStart w:id="34" w:name="_Toc18550_WPSOffice_Level1"/>
      <w:r>
        <w:rPr>
          <w:rFonts w:hint="eastAsia" w:ascii="Times New Roman" w:hAnsi="Times New Roman" w:eastAsia="宋体" w:cs="Times New Roman"/>
          <w:b/>
          <w:bCs/>
          <w:i w:val="0"/>
          <w:iCs w:val="0"/>
          <w:sz w:val="24"/>
          <w:szCs w:val="24"/>
        </w:rPr>
        <w:t>2.0.4</w:t>
      </w:r>
      <w:r>
        <w:rPr>
          <w:rFonts w:hint="eastAsia" w:ascii="Times New Roman" w:hAnsi="Times New Roman" w:eastAsia="宋体" w:cs="Times New Roman"/>
          <w:b w:val="0"/>
          <w:bCs w:val="0"/>
          <w:i w:val="0"/>
          <w:iCs w:val="0"/>
          <w:sz w:val="24"/>
          <w:szCs w:val="24"/>
        </w:rPr>
        <w:t xml:space="preserve"> 招标代理机构</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Tendering Agency</w:t>
      </w:r>
      <w:bookmarkEnd w:id="34"/>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依法设立、独立承担民事责任，从事工程建设项目招标代理业务并提供相关服务的社会中介组织。</w:t>
      </w:r>
    </w:p>
    <w:p>
      <w:pPr>
        <w:pStyle w:val="27"/>
        <w:spacing w:line="360" w:lineRule="auto"/>
        <w:ind w:firstLine="0" w:firstLineChars="0"/>
        <w:rPr>
          <w:rFonts w:hint="eastAsia" w:ascii="Times New Roman" w:hAnsi="Times New Roman" w:eastAsia="宋体" w:cs="Times New Roman"/>
          <w:b w:val="0"/>
          <w:bCs w:val="0"/>
          <w:i w:val="0"/>
          <w:iCs w:val="0"/>
          <w:sz w:val="24"/>
          <w:szCs w:val="24"/>
        </w:rPr>
      </w:pPr>
      <w:bookmarkStart w:id="35" w:name="_Toc13997_WPSOffice_Level1"/>
      <w:r>
        <w:rPr>
          <w:rFonts w:hint="eastAsia" w:ascii="Times New Roman" w:hAnsi="Times New Roman" w:eastAsia="宋体" w:cs="Times New Roman"/>
          <w:b/>
          <w:bCs/>
          <w:i w:val="0"/>
          <w:iCs w:val="0"/>
          <w:sz w:val="24"/>
          <w:szCs w:val="24"/>
        </w:rPr>
        <w:t>2.0.5</w:t>
      </w:r>
      <w:r>
        <w:rPr>
          <w:rFonts w:hint="eastAsia" w:ascii="Times New Roman" w:hAnsi="Times New Roman" w:eastAsia="宋体" w:cs="Times New Roman"/>
          <w:b w:val="0"/>
          <w:bCs w:val="0"/>
          <w:i w:val="0"/>
          <w:iCs w:val="0"/>
          <w:sz w:val="24"/>
          <w:szCs w:val="24"/>
        </w:rPr>
        <w:t xml:space="preserve"> 招标代理项目组</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Tendering Agent Project Team</w:t>
      </w:r>
      <w:bookmarkEnd w:id="35"/>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招标代理机构根据招标项目的内容和特点成立由该机构从业人员实名组成的工作组织。</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2.0.6</w:t>
      </w:r>
      <w:r>
        <w:rPr>
          <w:rFonts w:hint="eastAsia" w:ascii="Times New Roman" w:hAnsi="Times New Roman" w:eastAsia="宋体" w:cs="Times New Roman"/>
          <w:b w:val="0"/>
          <w:bCs w:val="0"/>
          <w:i w:val="0"/>
          <w:iCs w:val="0"/>
          <w:sz w:val="24"/>
          <w:szCs w:val="24"/>
        </w:rPr>
        <w:t xml:space="preserve"> 招标代理机构从业人员</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Professionals in Tendering Agencies</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依法与招标代理机构签订劳动合同，由本单位缴纳社会保险，从事招标代理工作的专业人员。</w:t>
      </w:r>
    </w:p>
    <w:p>
      <w:pPr>
        <w:pStyle w:val="27"/>
        <w:spacing w:line="360" w:lineRule="auto"/>
        <w:ind w:firstLine="0" w:firstLineChars="0"/>
        <w:rPr>
          <w:rFonts w:hint="eastAsia" w:ascii="Times New Roman" w:hAnsi="Times New Roman" w:eastAsia="宋体" w:cs="Times New Roman"/>
          <w:b w:val="0"/>
          <w:bCs w:val="0"/>
          <w:i w:val="0"/>
          <w:iCs w:val="0"/>
          <w:sz w:val="24"/>
          <w:szCs w:val="24"/>
        </w:rPr>
      </w:pPr>
      <w:bookmarkStart w:id="36" w:name="_Toc12705_WPSOffice_Level1"/>
      <w:r>
        <w:rPr>
          <w:rFonts w:hint="eastAsia" w:ascii="Times New Roman" w:hAnsi="Times New Roman" w:eastAsia="宋体" w:cs="Times New Roman"/>
          <w:b/>
          <w:bCs/>
          <w:i w:val="0"/>
          <w:iCs w:val="0"/>
          <w:sz w:val="24"/>
          <w:szCs w:val="24"/>
        </w:rPr>
        <w:t>2.0.7</w:t>
      </w:r>
      <w:r>
        <w:rPr>
          <w:rFonts w:hint="eastAsia" w:ascii="Times New Roman" w:hAnsi="Times New Roman" w:eastAsia="宋体" w:cs="Times New Roman"/>
          <w:b w:val="0"/>
          <w:bCs w:val="0"/>
          <w:i w:val="0"/>
          <w:iCs w:val="0"/>
          <w:sz w:val="24"/>
          <w:szCs w:val="24"/>
        </w:rPr>
        <w:t xml:space="preserve"> 招标项目负责人</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Tendering Project Manager</w:t>
      </w:r>
      <w:bookmarkEnd w:id="36"/>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对招标代理活动全过程负责，并承担相应责任，带领招标代理项目组完成招标任务的招标代理机构从业人员。</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w:t>
      </w:r>
      <w:r>
        <w:rPr>
          <w:rFonts w:hint="eastAsia" w:ascii="Times New Roman" w:hAnsi="Times New Roman" w:eastAsia="宋体" w:cs="Times New Roman"/>
          <w:b/>
          <w:bCs/>
          <w:i w:val="0"/>
          <w:iCs w:val="0"/>
          <w:sz w:val="24"/>
          <w:szCs w:val="24"/>
          <w:lang w:val="en-US" w:eastAsia="zh-CN"/>
        </w:rPr>
        <w:t>8</w:t>
      </w:r>
      <w:r>
        <w:rPr>
          <w:rFonts w:hint="eastAsia" w:ascii="Times New Roman" w:hAnsi="Times New Roman" w:eastAsia="宋体" w:cs="Times New Roman"/>
          <w:b w:val="0"/>
          <w:bCs w:val="0"/>
          <w:i w:val="0"/>
          <w:iCs w:val="0"/>
          <w:sz w:val="24"/>
          <w:szCs w:val="24"/>
        </w:rPr>
        <w:t xml:space="preserve"> 招标方案</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Tendering Plan</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招标人为了有效实施招标项目，通过分析和掌握招标项目的技术、经济、管理的特征，以及招标项目的功能、规模、质量、价格、进度、服务等需求目标，依据有关法律法规、技术标准和市场竞争状况，针对一次招标组织实施工作的总体策划。</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w:t>
      </w:r>
      <w:r>
        <w:rPr>
          <w:rFonts w:hint="eastAsia" w:ascii="Times New Roman" w:hAnsi="Times New Roman" w:eastAsia="宋体" w:cs="Times New Roman"/>
          <w:b/>
          <w:bCs/>
          <w:i w:val="0"/>
          <w:iCs w:val="0"/>
          <w:sz w:val="24"/>
          <w:szCs w:val="24"/>
          <w:lang w:val="en-US" w:eastAsia="zh-CN"/>
        </w:rPr>
        <w:t>9</w:t>
      </w:r>
      <w:r>
        <w:rPr>
          <w:rFonts w:hint="eastAsia" w:ascii="Times New Roman" w:hAnsi="Times New Roman" w:eastAsia="宋体" w:cs="Times New Roman"/>
          <w:b w:val="0"/>
          <w:bCs w:val="0"/>
          <w:i w:val="0"/>
          <w:iCs w:val="0"/>
          <w:sz w:val="24"/>
          <w:szCs w:val="24"/>
        </w:rPr>
        <w:t xml:space="preserve"> 招标文件</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Tendering Documents</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告知潜在投标人招标项目的内容、范围和数量、投标资格条件、招标投标的程序规则、投标文件编制和递交要求、评标的标准和方法、定标方法和标准、拟签订合同的主要条款、技术标准和要求等信息的载体，是指导招标投标活动全过程的纲领性文件，是投标人编制投标文件、评标委员会对投标文件进行评审并推荐中标候选人、招标人确定中标人，以及招标人和中标人签订合同的依据。</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2.0.1</w:t>
      </w:r>
      <w:r>
        <w:rPr>
          <w:rFonts w:hint="eastAsia" w:ascii="Times New Roman" w:hAnsi="Times New Roman" w:eastAsia="宋体" w:cs="Times New Roman"/>
          <w:b/>
          <w:bCs/>
          <w:i w:val="0"/>
          <w:iCs w:val="0"/>
          <w:sz w:val="24"/>
          <w:szCs w:val="24"/>
          <w:lang w:val="en-US" w:eastAsia="zh-CN"/>
        </w:rPr>
        <w:t>0</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资格预审</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Prequalification</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招标人发出投标邀请书或招标文件前，按照资格预审文件确定的资格条件、标准和方法，对潜在投标人提交的资格预审申请文件载明的订立合同的资格和履行合同的能力等进行审查。</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2.0.1</w:t>
      </w:r>
      <w:r>
        <w:rPr>
          <w:rFonts w:hint="eastAsia" w:ascii="Times New Roman" w:hAnsi="Times New Roman" w:eastAsia="宋体" w:cs="Times New Roman"/>
          <w:b/>
          <w:bCs/>
          <w:i w:val="0"/>
          <w:iCs w:val="0"/>
          <w:sz w:val="24"/>
          <w:szCs w:val="24"/>
          <w:lang w:val="en-US" w:eastAsia="zh-CN"/>
        </w:rPr>
        <w:t>1</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潜在投标人</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Prospective Bidders</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知悉招标项目有关条件和要求，符合招标基本资格条件，具备承担招标项目的能力，有意向参加投标，但尚未正式提交投标文件的法人、非法人组织或者自然人。</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2.0.1</w:t>
      </w:r>
      <w:r>
        <w:rPr>
          <w:rFonts w:hint="eastAsia" w:ascii="Times New Roman" w:hAnsi="Times New Roman" w:eastAsia="宋体" w:cs="Times New Roman"/>
          <w:b/>
          <w:bCs/>
          <w:i w:val="0"/>
          <w:iCs w:val="0"/>
          <w:sz w:val="24"/>
          <w:szCs w:val="24"/>
          <w:lang w:val="en-US" w:eastAsia="zh-CN"/>
        </w:rPr>
        <w:t>2</w:t>
      </w:r>
      <w:r>
        <w:rPr>
          <w:rFonts w:hint="eastAsia" w:ascii="Times New Roman" w:hAnsi="Times New Roman" w:eastAsia="宋体" w:cs="Times New Roman"/>
          <w:b w:val="0"/>
          <w:bCs w:val="0"/>
          <w:i w:val="0"/>
          <w:iCs w:val="0"/>
          <w:sz w:val="24"/>
          <w:szCs w:val="24"/>
        </w:rPr>
        <w:t xml:space="preserve"> 联合体投标</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Consortium Bidding</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具备承担招标项目的相应能力的两个以上法人或者非法人组织组成一个联合体，以一个投标人的身份共同投标。</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2.0.1</w:t>
      </w:r>
      <w:r>
        <w:rPr>
          <w:rFonts w:hint="eastAsia" w:ascii="Times New Roman" w:hAnsi="Times New Roman" w:eastAsia="宋体" w:cs="Times New Roman"/>
          <w:b/>
          <w:bCs/>
          <w:i w:val="0"/>
          <w:iCs w:val="0"/>
          <w:sz w:val="24"/>
          <w:szCs w:val="24"/>
          <w:lang w:val="en-US" w:eastAsia="zh-CN"/>
        </w:rPr>
        <w:t>3</w:t>
      </w:r>
      <w:r>
        <w:rPr>
          <w:rFonts w:hint="eastAsia" w:ascii="Times New Roman" w:hAnsi="Times New Roman" w:eastAsia="宋体" w:cs="Times New Roman"/>
          <w:b w:val="0"/>
          <w:bCs w:val="0"/>
          <w:i w:val="0"/>
          <w:iCs w:val="0"/>
          <w:sz w:val="24"/>
          <w:szCs w:val="24"/>
        </w:rPr>
        <w:t xml:space="preserve"> 投标文件</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Bidding Documents</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投标人按照招标文件要求编制的、对招标文件提出的实质性要求和条件作出响应的文件，内容应与招标文件的具体要求相对应。</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2.0.1</w:t>
      </w:r>
      <w:r>
        <w:rPr>
          <w:rFonts w:hint="eastAsia" w:ascii="Times New Roman" w:hAnsi="Times New Roman" w:eastAsia="宋体" w:cs="Times New Roman"/>
          <w:b/>
          <w:bCs/>
          <w:i w:val="0"/>
          <w:iCs w:val="0"/>
          <w:sz w:val="24"/>
          <w:szCs w:val="24"/>
          <w:lang w:val="en-US" w:eastAsia="zh-CN"/>
        </w:rPr>
        <w:t>4</w:t>
      </w:r>
      <w:r>
        <w:rPr>
          <w:rFonts w:hint="eastAsia" w:ascii="Times New Roman" w:hAnsi="Times New Roman" w:eastAsia="宋体" w:cs="Times New Roman"/>
          <w:b w:val="0"/>
          <w:bCs w:val="0"/>
          <w:i w:val="0"/>
          <w:iCs w:val="0"/>
          <w:sz w:val="24"/>
          <w:szCs w:val="24"/>
        </w:rPr>
        <w:t xml:space="preserve"> 异常低价 Abnormally Low Bids</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投标人的报价明显低于社会平均成本、投标人个别成本或其他通过符合性审查投标人的报价，投标人不能说明其报价合理性，导致影响产品质量或合同履行风险过高的价格。</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2.0.1</w:t>
      </w:r>
      <w:r>
        <w:rPr>
          <w:rFonts w:hint="eastAsia" w:ascii="Times New Roman" w:hAnsi="Times New Roman" w:eastAsia="宋体" w:cs="Times New Roman"/>
          <w:b/>
          <w:bCs/>
          <w:i w:val="0"/>
          <w:iCs w:val="0"/>
          <w:sz w:val="24"/>
          <w:szCs w:val="24"/>
          <w:lang w:val="en-US" w:eastAsia="zh-CN"/>
        </w:rPr>
        <w:t>5</w:t>
      </w:r>
      <w:r>
        <w:rPr>
          <w:rFonts w:hint="eastAsia" w:ascii="Times New Roman" w:hAnsi="Times New Roman" w:eastAsia="宋体" w:cs="Times New Roman"/>
          <w:b w:val="0"/>
          <w:bCs w:val="0"/>
          <w:i w:val="0"/>
          <w:iCs w:val="0"/>
          <w:sz w:val="24"/>
          <w:szCs w:val="24"/>
        </w:rPr>
        <w:t xml:space="preserve"> 评定分离</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Separation of Evaluation and Award</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招标人通过评标和定标两个环节自主确定中标人。</w:t>
      </w:r>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i w:val="0"/>
          <w:iCs w:val="0"/>
          <w:sz w:val="24"/>
          <w:szCs w:val="24"/>
        </w:rPr>
        <w:t>2.0.1</w:t>
      </w:r>
      <w:r>
        <w:rPr>
          <w:rFonts w:hint="eastAsia" w:ascii="Times New Roman" w:hAnsi="Times New Roman" w:eastAsia="宋体" w:cs="Times New Roman"/>
          <w:b/>
          <w:bCs/>
          <w:i w:val="0"/>
          <w:iCs w:val="0"/>
          <w:sz w:val="24"/>
          <w:szCs w:val="24"/>
          <w:lang w:val="en-US" w:eastAsia="zh-CN"/>
        </w:rPr>
        <w:t>6</w:t>
      </w:r>
      <w:r>
        <w:rPr>
          <w:rFonts w:hint="eastAsia" w:ascii="Times New Roman" w:hAnsi="Times New Roman" w:eastAsia="宋体" w:cs="Times New Roman"/>
          <w:b w:val="0"/>
          <w:bCs w:val="0"/>
          <w:i w:val="0"/>
          <w:iCs w:val="0"/>
          <w:sz w:val="24"/>
          <w:szCs w:val="24"/>
        </w:rPr>
        <w:t xml:space="preserve"> 电子招标投标活动</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eastAsia="宋体" w:cs="Times New Roman"/>
          <w:b w:val="0"/>
          <w:bCs w:val="0"/>
          <w:i w:val="0"/>
          <w:iCs w:val="0"/>
          <w:sz w:val="24"/>
          <w:szCs w:val="24"/>
        </w:rPr>
        <w:t>Electronic Tendering and Bidding Activities</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t>以数据电文形式，依托电子招标投标系统完成的全部或者部分招标投标交易、公共服务和行政监督活动。</w:t>
      </w:r>
    </w:p>
    <w:p>
      <w:pPr>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eastAsia="宋体" w:cs="Times New Roman"/>
          <w:b w:val="0"/>
          <w:bCs w:val="0"/>
          <w:i w:val="0"/>
          <w:iCs w:val="0"/>
          <w:sz w:val="24"/>
          <w:szCs w:val="24"/>
          <w:lang w:val="en-US" w:eastAsia="zh-CN"/>
        </w:rPr>
        <w:br w:type="page"/>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37" w:name="_Toc32494_WPSOffice_Level1"/>
      <w:bookmarkStart w:id="38" w:name="_Toc26922"/>
      <w:r>
        <w:rPr>
          <w:rFonts w:hint="eastAsia" w:ascii="Times New Roman" w:hAnsi="Times New Roman" w:eastAsia="宋体" w:cs="Times New Roman"/>
          <w:b/>
          <w:sz w:val="36"/>
          <w:szCs w:val="36"/>
          <w:lang w:val="en-US" w:eastAsia="zh-CN"/>
        </w:rPr>
        <w:t>3基本规定</w:t>
      </w:r>
      <w:bookmarkEnd w:id="37"/>
      <w:bookmarkEnd w:id="38"/>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3.0.1 </w:t>
      </w:r>
      <w:r>
        <w:rPr>
          <w:rFonts w:hint="eastAsia" w:ascii="Times New Roman" w:hAnsi="Times New Roman" w:eastAsia="宋体" w:cs="Times New Roman"/>
          <w:b w:val="0"/>
          <w:bCs w:val="0"/>
          <w:sz w:val="24"/>
          <w:szCs w:val="24"/>
        </w:rPr>
        <w:t>招标代理活动应遵循公开、公平、公正和诚实信用原则。</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3.0.2 </w:t>
      </w:r>
      <w:r>
        <w:rPr>
          <w:rFonts w:hint="eastAsia" w:ascii="Times New Roman" w:hAnsi="Times New Roman" w:eastAsia="宋体" w:cs="Times New Roman"/>
          <w:b w:val="0"/>
          <w:bCs w:val="0"/>
          <w:sz w:val="24"/>
          <w:szCs w:val="24"/>
        </w:rPr>
        <w:t>招标代理机构应与招标人签订书面委托合同，在招标人委托的范围内开展招标代理业务。</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3.0.3 </w:t>
      </w:r>
      <w:r>
        <w:rPr>
          <w:rFonts w:hint="eastAsia" w:ascii="Times New Roman" w:hAnsi="Times New Roman" w:eastAsia="宋体" w:cs="Times New Roman"/>
          <w:b w:val="0"/>
          <w:bCs w:val="0"/>
          <w:sz w:val="24"/>
          <w:szCs w:val="24"/>
        </w:rPr>
        <w:t>招标代理机构及从业人员应严格执行国家、省相关</w:t>
      </w:r>
      <w:r>
        <w:rPr>
          <w:rFonts w:hint="eastAsia" w:ascii="Times New Roman" w:hAnsi="Times New Roman" w:eastAsia="宋体" w:cs="Times New Roman"/>
          <w:b w:val="0"/>
          <w:bCs w:val="0"/>
          <w:sz w:val="24"/>
          <w:szCs w:val="24"/>
          <w:lang w:eastAsia="zh-CN"/>
        </w:rPr>
        <w:t>法律法规</w:t>
      </w:r>
      <w:r>
        <w:rPr>
          <w:rFonts w:hint="eastAsia" w:ascii="Times New Roman" w:hAnsi="Times New Roman" w:eastAsia="宋体" w:cs="Times New Roman"/>
          <w:b w:val="0"/>
          <w:bCs w:val="0"/>
          <w:sz w:val="24"/>
          <w:szCs w:val="24"/>
        </w:rPr>
        <w:t>和标准，遵守招标代理机构服务行为自律准则及行为规范，开展招标代理专业人员能力评价，提升招标代理专业服务水平，恪守职业道德，维护国家利益、社会公共利益和招标投标活动当事人的合法权益。</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3.0.4 </w:t>
      </w:r>
      <w:r>
        <w:rPr>
          <w:rFonts w:hint="eastAsia" w:ascii="Times New Roman" w:hAnsi="Times New Roman" w:eastAsia="宋体" w:cs="Times New Roman"/>
          <w:b w:val="0"/>
          <w:bCs w:val="0"/>
          <w:sz w:val="24"/>
          <w:szCs w:val="24"/>
        </w:rPr>
        <w:t>招标代理机构应按照招标代理委托合同的要求，编制并发布资格预审公告、招标公告（投标邀请书）、资格预审文件、招标文件，组织开标、评标、协助招标人审</w:t>
      </w:r>
      <w:r>
        <w:rPr>
          <w:rFonts w:hint="eastAsia" w:ascii="Times New Roman" w:hAnsi="Times New Roman" w:eastAsia="宋体" w:cs="Times New Roman"/>
          <w:b w:val="0"/>
          <w:bCs w:val="0"/>
          <w:sz w:val="24"/>
          <w:szCs w:val="24"/>
          <w:lang w:val="en-US" w:eastAsia="zh-CN"/>
        </w:rPr>
        <w:t>查</w:t>
      </w:r>
      <w:r>
        <w:rPr>
          <w:rFonts w:hint="eastAsia" w:ascii="Times New Roman" w:hAnsi="Times New Roman" w:eastAsia="宋体" w:cs="Times New Roman"/>
          <w:b w:val="0"/>
          <w:bCs w:val="0"/>
          <w:sz w:val="24"/>
          <w:szCs w:val="24"/>
        </w:rPr>
        <w:t>评标报告、确定中标人和签订中标合同，向有关行政监督部门报告招标投标情况，协助、配合处理招标投标活动中有关异议投诉，收集、整理和移交代理项目的档案资料。</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3.0.5 </w:t>
      </w:r>
      <w:r>
        <w:rPr>
          <w:rFonts w:hint="eastAsia" w:ascii="Times New Roman" w:hAnsi="Times New Roman" w:eastAsia="宋体" w:cs="Times New Roman"/>
          <w:b w:val="0"/>
          <w:bCs w:val="0"/>
          <w:sz w:val="24"/>
          <w:szCs w:val="24"/>
        </w:rPr>
        <w:t>招标代理机构不</w:t>
      </w:r>
      <w:r>
        <w:rPr>
          <w:rFonts w:hint="eastAsia" w:ascii="Times New Roman" w:hAnsi="Times New Roman" w:eastAsia="宋体" w:cs="Times New Roman"/>
          <w:b w:val="0"/>
          <w:bCs w:val="0"/>
          <w:sz w:val="24"/>
          <w:szCs w:val="24"/>
          <w:lang w:val="en-US" w:eastAsia="zh-CN"/>
        </w:rPr>
        <w:t>得</w:t>
      </w:r>
      <w:r>
        <w:rPr>
          <w:rFonts w:hint="eastAsia" w:ascii="Times New Roman" w:hAnsi="Times New Roman" w:eastAsia="宋体" w:cs="Times New Roman"/>
          <w:b w:val="0"/>
          <w:bCs w:val="0"/>
          <w:sz w:val="24"/>
          <w:szCs w:val="24"/>
        </w:rPr>
        <w:t>在所代理的招标项目中投标或者代理投标，</w:t>
      </w:r>
      <w:r>
        <w:rPr>
          <w:rFonts w:hint="eastAsia" w:ascii="Times New Roman" w:hAnsi="Times New Roman" w:eastAsia="宋体" w:cs="Times New Roman"/>
          <w:b w:val="0"/>
          <w:bCs w:val="0"/>
          <w:sz w:val="24"/>
          <w:szCs w:val="24"/>
          <w:lang w:val="en-US" w:eastAsia="zh-CN"/>
        </w:rPr>
        <w:t>不得</w:t>
      </w:r>
      <w:r>
        <w:rPr>
          <w:rFonts w:hint="eastAsia" w:ascii="Times New Roman" w:hAnsi="Times New Roman" w:eastAsia="宋体" w:cs="Times New Roman"/>
          <w:b w:val="0"/>
          <w:bCs w:val="0"/>
          <w:sz w:val="24"/>
          <w:szCs w:val="24"/>
        </w:rPr>
        <w:t>为所代理的招标项目的投标人提供咨询。</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3.0.6 </w:t>
      </w:r>
      <w:r>
        <w:rPr>
          <w:rFonts w:hint="eastAsia" w:ascii="Times New Roman" w:hAnsi="Times New Roman" w:eastAsia="宋体" w:cs="Times New Roman"/>
          <w:b w:val="0"/>
          <w:bCs w:val="0"/>
          <w:sz w:val="24"/>
          <w:szCs w:val="24"/>
        </w:rPr>
        <w:t>承担招标代理业务的</w:t>
      </w:r>
      <w:r>
        <w:rPr>
          <w:rFonts w:hint="eastAsia" w:ascii="Times New Roman" w:hAnsi="Times New Roman" w:eastAsia="宋体" w:cs="Times New Roman"/>
          <w:b w:val="0"/>
          <w:bCs w:val="0"/>
          <w:sz w:val="24"/>
          <w:szCs w:val="24"/>
          <w:lang w:val="en-US" w:eastAsia="zh-CN"/>
        </w:rPr>
        <w:t>招标</w:t>
      </w:r>
      <w:r>
        <w:rPr>
          <w:rFonts w:hint="eastAsia" w:ascii="Times New Roman" w:hAnsi="Times New Roman" w:eastAsia="宋体" w:cs="Times New Roman"/>
          <w:b w:val="0"/>
          <w:bCs w:val="0"/>
          <w:sz w:val="24"/>
          <w:szCs w:val="24"/>
        </w:rPr>
        <w:t>代理机构及项目组人员，应对招标代理业务的质量负责。</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3.0.7 </w:t>
      </w:r>
      <w:r>
        <w:rPr>
          <w:rFonts w:hint="eastAsia" w:ascii="Times New Roman" w:hAnsi="Times New Roman" w:eastAsia="宋体" w:cs="Times New Roman"/>
          <w:b w:val="0"/>
          <w:bCs w:val="0"/>
          <w:sz w:val="24"/>
          <w:szCs w:val="24"/>
          <w:lang w:eastAsia="zh-CN"/>
        </w:rPr>
        <w:t>受委托办理招</w:t>
      </w:r>
      <w:r>
        <w:rPr>
          <w:rFonts w:hint="eastAsia" w:ascii="Times New Roman" w:hAnsi="Times New Roman" w:eastAsia="宋体" w:cs="Times New Roman"/>
          <w:b w:val="0"/>
          <w:bCs w:val="0"/>
          <w:sz w:val="24"/>
          <w:szCs w:val="24"/>
        </w:rPr>
        <w:t>标代理</w:t>
      </w:r>
      <w:r>
        <w:rPr>
          <w:rFonts w:hint="eastAsia" w:ascii="Times New Roman" w:hAnsi="Times New Roman" w:eastAsia="宋体" w:cs="Times New Roman"/>
          <w:b w:val="0"/>
          <w:bCs w:val="0"/>
          <w:sz w:val="24"/>
          <w:szCs w:val="24"/>
          <w:lang w:eastAsia="zh-CN"/>
        </w:rPr>
        <w:t>事宜</w:t>
      </w:r>
      <w:r>
        <w:rPr>
          <w:rFonts w:hint="eastAsia" w:ascii="Times New Roman" w:hAnsi="Times New Roman" w:eastAsia="宋体" w:cs="Times New Roman"/>
          <w:b w:val="0"/>
          <w:bCs w:val="0"/>
          <w:sz w:val="24"/>
          <w:szCs w:val="24"/>
        </w:rPr>
        <w:t>的</w:t>
      </w:r>
      <w:r>
        <w:rPr>
          <w:rFonts w:hint="eastAsia" w:ascii="Times New Roman" w:hAnsi="Times New Roman" w:eastAsia="宋体" w:cs="Times New Roman"/>
          <w:b w:val="0"/>
          <w:bCs w:val="0"/>
          <w:sz w:val="24"/>
          <w:szCs w:val="24"/>
          <w:lang w:val="en-US" w:eastAsia="zh-CN"/>
        </w:rPr>
        <w:t>招标</w:t>
      </w:r>
      <w:r>
        <w:rPr>
          <w:rFonts w:hint="eastAsia" w:ascii="Times New Roman" w:hAnsi="Times New Roman" w:eastAsia="宋体" w:cs="Times New Roman"/>
          <w:b w:val="0"/>
          <w:bCs w:val="0"/>
          <w:sz w:val="24"/>
          <w:szCs w:val="24"/>
        </w:rPr>
        <w:t>代理机构及项目组人员，不</w:t>
      </w:r>
      <w:r>
        <w:rPr>
          <w:rFonts w:hint="eastAsia" w:ascii="Times New Roman" w:hAnsi="Times New Roman" w:eastAsia="宋体" w:cs="Times New Roman"/>
          <w:b w:val="0"/>
          <w:bCs w:val="0"/>
          <w:sz w:val="24"/>
          <w:szCs w:val="24"/>
          <w:lang w:eastAsia="zh-CN"/>
        </w:rPr>
        <w:t>应</w:t>
      </w:r>
      <w:r>
        <w:rPr>
          <w:rFonts w:hint="eastAsia" w:ascii="Times New Roman" w:hAnsi="Times New Roman" w:eastAsia="宋体" w:cs="Times New Roman"/>
          <w:b w:val="0"/>
          <w:bCs w:val="0"/>
          <w:sz w:val="24"/>
          <w:szCs w:val="24"/>
        </w:rPr>
        <w:t>向招标人以外的其他人员透</w:t>
      </w:r>
      <w:r>
        <w:rPr>
          <w:rFonts w:hint="eastAsia" w:ascii="Times New Roman" w:hAnsi="Times New Roman" w:eastAsia="宋体" w:cs="Times New Roman"/>
          <w:b w:val="0"/>
          <w:bCs w:val="0"/>
          <w:sz w:val="24"/>
          <w:szCs w:val="24"/>
          <w:lang w:val="en-US" w:eastAsia="zh-CN"/>
        </w:rPr>
        <w:t>露</w:t>
      </w:r>
      <w:r>
        <w:rPr>
          <w:rFonts w:hint="eastAsia" w:ascii="Times New Roman" w:hAnsi="Times New Roman" w:eastAsia="宋体" w:cs="Times New Roman"/>
          <w:b w:val="0"/>
          <w:bCs w:val="0"/>
          <w:sz w:val="24"/>
          <w:szCs w:val="24"/>
        </w:rPr>
        <w:t>潜在投标人的名称、数量或者可能影响公平竞争的有关招标投标的其他情况。</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3.0.8 </w:t>
      </w:r>
      <w:r>
        <w:rPr>
          <w:rFonts w:hint="eastAsia" w:ascii="Times New Roman" w:hAnsi="Times New Roman" w:eastAsia="宋体" w:cs="Times New Roman"/>
          <w:b w:val="0"/>
          <w:bCs w:val="0"/>
          <w:sz w:val="24"/>
          <w:szCs w:val="24"/>
        </w:rPr>
        <w:t>招标代理机构及项目组人员应接受招标投标行政监督部门</w:t>
      </w:r>
      <w:r>
        <w:rPr>
          <w:rFonts w:hint="eastAsia" w:ascii="Times New Roman" w:hAnsi="Times New Roman" w:eastAsia="宋体" w:cs="Times New Roman"/>
          <w:b w:val="0"/>
          <w:bCs w:val="0"/>
          <w:sz w:val="24"/>
          <w:szCs w:val="24"/>
          <w:lang w:val="en-US" w:eastAsia="zh-CN"/>
        </w:rPr>
        <w:t>依法实施的监督</w:t>
      </w:r>
      <w:r>
        <w:rPr>
          <w:rFonts w:hint="eastAsia" w:ascii="Times New Roman" w:hAnsi="Times New Roman" w:eastAsia="宋体" w:cs="Times New Roman"/>
          <w:b w:val="0"/>
          <w:bCs w:val="0"/>
          <w:sz w:val="24"/>
          <w:szCs w:val="24"/>
        </w:rPr>
        <w:t>。</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3.0.9 </w:t>
      </w:r>
      <w:r>
        <w:rPr>
          <w:rFonts w:hint="eastAsia" w:ascii="Times New Roman" w:hAnsi="Times New Roman" w:eastAsia="宋体" w:cs="Times New Roman"/>
          <w:b w:val="0"/>
          <w:bCs w:val="0"/>
          <w:sz w:val="24"/>
          <w:szCs w:val="24"/>
          <w:lang w:val="en-US" w:eastAsia="zh-CN"/>
        </w:rPr>
        <w:t>招标代理机构收集、保存和移交的招标投标活动全过程文件</w:t>
      </w:r>
      <w:r>
        <w:rPr>
          <w:rFonts w:hint="eastAsia" w:ascii="Times New Roman" w:hAnsi="Times New Roman" w:eastAsia="宋体" w:cs="Times New Roman"/>
          <w:b w:val="0"/>
          <w:bCs w:val="0"/>
          <w:sz w:val="24"/>
          <w:szCs w:val="24"/>
        </w:rPr>
        <w:t>应</w:t>
      </w:r>
      <w:r>
        <w:rPr>
          <w:rFonts w:hint="eastAsia" w:ascii="Times New Roman" w:hAnsi="Times New Roman" w:eastAsia="宋体" w:cs="Times New Roman"/>
          <w:b w:val="0"/>
          <w:bCs w:val="0"/>
          <w:sz w:val="24"/>
          <w:szCs w:val="24"/>
          <w:lang w:eastAsia="zh-CN"/>
        </w:rPr>
        <w:t>符合</w:t>
      </w:r>
      <w:r>
        <w:rPr>
          <w:rFonts w:hint="eastAsia" w:ascii="Times New Roman" w:hAnsi="Times New Roman" w:eastAsia="宋体" w:cs="Times New Roman"/>
          <w:b w:val="0"/>
          <w:bCs w:val="0"/>
          <w:sz w:val="24"/>
          <w:szCs w:val="24"/>
        </w:rPr>
        <w:t>本规程</w:t>
      </w:r>
      <w:r>
        <w:rPr>
          <w:rFonts w:hint="eastAsia" w:ascii="Times New Roman" w:hAnsi="Times New Roman" w:eastAsia="宋体" w:cs="Times New Roman"/>
          <w:b w:val="0"/>
          <w:bCs w:val="0"/>
          <w:sz w:val="24"/>
          <w:szCs w:val="24"/>
          <w:lang w:eastAsia="zh-CN"/>
        </w:rPr>
        <w:t>招标项目档案管理</w:t>
      </w:r>
      <w:r>
        <w:rPr>
          <w:rFonts w:hint="eastAsia" w:ascii="Times New Roman" w:hAnsi="Times New Roman" w:eastAsia="宋体" w:cs="Times New Roman"/>
          <w:b w:val="0"/>
          <w:bCs w:val="0"/>
          <w:sz w:val="24"/>
          <w:szCs w:val="24"/>
        </w:rPr>
        <w:t>要求</w:t>
      </w:r>
      <w:r>
        <w:rPr>
          <w:rFonts w:hint="eastAsia" w:ascii="Times New Roman" w:hAnsi="Times New Roman" w:eastAsia="宋体" w:cs="Times New Roman"/>
          <w:b w:val="0"/>
          <w:bCs w:val="0"/>
          <w:sz w:val="24"/>
          <w:szCs w:val="24"/>
          <w:lang w:eastAsia="zh-CN"/>
        </w:rPr>
        <w:t>，尚应符合国家现行有关标准的规定</w:t>
      </w:r>
      <w:r>
        <w:rPr>
          <w:rFonts w:hint="eastAsia" w:ascii="Times New Roman" w:hAnsi="Times New Roman" w:eastAsia="宋体" w:cs="Times New Roman"/>
          <w:b w:val="0"/>
          <w:bCs w:val="0"/>
          <w:sz w:val="24"/>
          <w:szCs w:val="24"/>
        </w:rPr>
        <w:t>。</w:t>
      </w:r>
    </w:p>
    <w:p>
      <w:pPr>
        <w:pStyle w:val="3"/>
        <w:bidi w:val="0"/>
        <w:jc w:val="left"/>
        <w:rPr>
          <w:rFonts w:hint="eastAsia" w:ascii="黑体" w:hAnsi="黑体" w:eastAsia="黑体" w:cs="黑体"/>
          <w:b w:val="0"/>
          <w:bCs w:val="0"/>
          <w:color w:val="auto"/>
          <w:sz w:val="21"/>
          <w:szCs w:val="21"/>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39" w:name="_Toc21625"/>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40" w:name="_Toc28598_WPSOffice_Level1"/>
      <w:r>
        <w:rPr>
          <w:rFonts w:hint="eastAsia" w:ascii="Times New Roman" w:hAnsi="Times New Roman" w:eastAsia="宋体" w:cs="Times New Roman"/>
          <w:b/>
          <w:sz w:val="36"/>
          <w:szCs w:val="36"/>
          <w:lang w:val="en-US" w:eastAsia="zh-CN"/>
        </w:rPr>
        <w:t>4招标代理合同</w:t>
      </w:r>
      <w:bookmarkEnd w:id="39"/>
      <w:bookmarkEnd w:id="40"/>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41" w:name="_Toc25478"/>
      <w:bookmarkStart w:id="42" w:name="_Toc6596_WPSOffice_Level1"/>
      <w:r>
        <w:rPr>
          <w:rFonts w:hint="eastAsia" w:ascii="Times New Roman" w:hAnsi="Times New Roman" w:eastAsia="宋体" w:cs="Times New Roman"/>
          <w:b/>
          <w:kern w:val="0"/>
          <w:sz w:val="28"/>
          <w:szCs w:val="28"/>
          <w:lang w:val="en-US" w:eastAsia="zh-CN"/>
        </w:rPr>
        <w:t>4.1 合同签订</w:t>
      </w:r>
      <w:bookmarkEnd w:id="41"/>
      <w:bookmarkEnd w:id="42"/>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4.1.1 </w:t>
      </w:r>
      <w:r>
        <w:rPr>
          <w:rFonts w:hint="eastAsia" w:ascii="Times New Roman" w:hAnsi="Times New Roman" w:eastAsia="宋体" w:cs="Times New Roman"/>
          <w:b w:val="0"/>
          <w:bCs w:val="0"/>
          <w:sz w:val="24"/>
          <w:szCs w:val="24"/>
        </w:rPr>
        <w:t>招标代理机构在签订合同之前应具备相应的招标代理能力和以下条件：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依法登记设立；</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有从事招标代理业务的固定营业场所、必要设施和相应资金；</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拥有不少于5名具备策划招标方案、编制资格预审文件、招标文件、组织资格审查和组织开标、评标相应专业能力的从业人员；</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具有完善的内部管理制度，明确内部岗位职责；</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法律法规规定的其他条件。</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4.1.2 </w:t>
      </w:r>
      <w:r>
        <w:rPr>
          <w:rFonts w:hint="eastAsia" w:ascii="Times New Roman" w:hAnsi="Times New Roman" w:eastAsia="宋体" w:cs="Times New Roman"/>
          <w:b w:val="0"/>
          <w:bCs w:val="0"/>
          <w:sz w:val="24"/>
          <w:szCs w:val="24"/>
        </w:rPr>
        <w:t>招标代理机构从事招标代理业务，</w:t>
      </w:r>
      <w:r>
        <w:rPr>
          <w:rFonts w:hint="eastAsia" w:ascii="Times New Roman" w:hAnsi="Times New Roman" w:eastAsia="宋体" w:cs="Times New Roman"/>
          <w:b w:val="0"/>
          <w:bCs w:val="0"/>
          <w:sz w:val="24"/>
          <w:szCs w:val="24"/>
          <w:lang w:val="en-US" w:eastAsia="zh-CN"/>
        </w:rPr>
        <w:t>应</w:t>
      </w:r>
      <w:r>
        <w:rPr>
          <w:rFonts w:hint="eastAsia" w:ascii="Times New Roman" w:hAnsi="Times New Roman" w:eastAsia="宋体" w:cs="Times New Roman"/>
          <w:b w:val="0"/>
          <w:bCs w:val="0"/>
          <w:sz w:val="24"/>
          <w:szCs w:val="24"/>
        </w:rPr>
        <w:t>与招标人签订书面合同，在合同约定的范围内实施招标代理，未签订书面合同的，</w:t>
      </w:r>
      <w:r>
        <w:rPr>
          <w:rFonts w:hint="eastAsia" w:ascii="Times New Roman" w:hAnsi="Times New Roman" w:eastAsia="宋体" w:cs="Times New Roman"/>
          <w:b w:val="0"/>
          <w:bCs w:val="0"/>
          <w:sz w:val="24"/>
          <w:szCs w:val="24"/>
          <w:lang w:val="en-US" w:eastAsia="zh-CN"/>
        </w:rPr>
        <w:t>不应</w:t>
      </w:r>
      <w:r>
        <w:rPr>
          <w:rFonts w:hint="eastAsia" w:ascii="Times New Roman" w:hAnsi="Times New Roman" w:eastAsia="宋体" w:cs="Times New Roman"/>
          <w:b w:val="0"/>
          <w:bCs w:val="0"/>
          <w:sz w:val="24"/>
          <w:szCs w:val="24"/>
        </w:rPr>
        <w:t>实施招标代理活动。</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4.1.3 </w:t>
      </w:r>
      <w:r>
        <w:rPr>
          <w:rFonts w:hint="eastAsia" w:ascii="Times New Roman" w:hAnsi="Times New Roman" w:eastAsia="宋体" w:cs="Times New Roman"/>
          <w:b w:val="0"/>
          <w:bCs w:val="0"/>
          <w:sz w:val="24"/>
          <w:szCs w:val="24"/>
        </w:rPr>
        <w:t>招标代理合同应采用国家发布的《工程建设项目招标代理合同示范文本》。</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43" w:name="_Toc21279_WPSOffice_Level1"/>
      <w:bookmarkStart w:id="44" w:name="_Toc9820"/>
      <w:r>
        <w:rPr>
          <w:rFonts w:hint="eastAsia" w:ascii="Times New Roman" w:hAnsi="Times New Roman" w:eastAsia="宋体" w:cs="Times New Roman"/>
          <w:b/>
          <w:kern w:val="0"/>
          <w:sz w:val="28"/>
          <w:szCs w:val="28"/>
          <w:lang w:val="en-US" w:eastAsia="zh-CN"/>
        </w:rPr>
        <w:t>4.2 合同内容</w:t>
      </w:r>
      <w:bookmarkEnd w:id="43"/>
      <w:bookmarkEnd w:id="44"/>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4.2.1 </w:t>
      </w:r>
      <w:r>
        <w:rPr>
          <w:rFonts w:hint="eastAsia" w:ascii="Times New Roman" w:hAnsi="Times New Roman" w:eastAsia="宋体" w:cs="Times New Roman"/>
          <w:b w:val="0"/>
          <w:bCs w:val="0"/>
          <w:sz w:val="24"/>
          <w:szCs w:val="24"/>
        </w:rPr>
        <w:t>招标代理合同应包含以下内容：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招标项目的具体范围和内容；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双方的权利、义务和违约责任；</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招标人提供的招标项目所需的资料和时间要求；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招标代理机构组织招标工作的内容和时间要求以及相关咨询服务内容；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招标代理服务费金额及支付方式。</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4.2.2 </w:t>
      </w:r>
      <w:r>
        <w:rPr>
          <w:rFonts w:hint="eastAsia" w:ascii="Times New Roman" w:hAnsi="Times New Roman" w:eastAsia="宋体" w:cs="Times New Roman"/>
          <w:b w:val="0"/>
          <w:bCs w:val="0"/>
          <w:sz w:val="24"/>
          <w:szCs w:val="24"/>
        </w:rPr>
        <w:t>依法必须招标项目，组织招标工作的内容包括但不限于以下内容：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eastAsia="zh-CN"/>
        </w:rPr>
        <w:t>1</w:t>
      </w:r>
      <w:r>
        <w:rPr>
          <w:rFonts w:hint="eastAsia" w:ascii="Times New Roman" w:hAnsi="Times New Roman" w:eastAsia="宋体" w:cs="Times New Roman"/>
          <w:b w:val="0"/>
          <w:bCs w:val="0"/>
          <w:sz w:val="24"/>
          <w:szCs w:val="24"/>
          <w:lang w:eastAsia="zh-CN"/>
        </w:rPr>
        <w:t xml:space="preserve"> 拟</w:t>
      </w:r>
      <w:r>
        <w:rPr>
          <w:rFonts w:hint="eastAsia" w:ascii="Times New Roman" w:hAnsi="Times New Roman" w:eastAsia="宋体" w:cs="Times New Roman"/>
          <w:b w:val="0"/>
          <w:bCs w:val="0"/>
          <w:sz w:val="24"/>
          <w:szCs w:val="24"/>
        </w:rPr>
        <w:t>订招标方案；</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2</w:t>
      </w:r>
      <w:r>
        <w:rPr>
          <w:rFonts w:hint="eastAsia" w:ascii="Times New Roman" w:hAnsi="Times New Roman" w:eastAsia="宋体" w:cs="Times New Roman"/>
          <w:b w:val="0"/>
          <w:bCs w:val="0"/>
          <w:sz w:val="24"/>
          <w:szCs w:val="24"/>
          <w:lang w:val="en-US" w:eastAsia="zh-CN"/>
        </w:rPr>
        <w:t xml:space="preserve"> 编制资格预审文件；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3</w:t>
      </w:r>
      <w:r>
        <w:rPr>
          <w:rFonts w:hint="eastAsia" w:ascii="Times New Roman" w:hAnsi="Times New Roman" w:eastAsia="宋体" w:cs="Times New Roman"/>
          <w:b w:val="0"/>
          <w:bCs w:val="0"/>
          <w:sz w:val="24"/>
          <w:szCs w:val="24"/>
          <w:lang w:val="en-US" w:eastAsia="zh-CN"/>
        </w:rPr>
        <w:t xml:space="preserve"> 发布资格预审公告；</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4</w:t>
      </w:r>
      <w:r>
        <w:rPr>
          <w:rFonts w:hint="eastAsia" w:ascii="Times New Roman" w:hAnsi="Times New Roman" w:eastAsia="宋体" w:cs="Times New Roman"/>
          <w:b w:val="0"/>
          <w:bCs w:val="0"/>
          <w:sz w:val="24"/>
          <w:szCs w:val="24"/>
          <w:lang w:val="en-US" w:eastAsia="zh-CN"/>
        </w:rPr>
        <w:t xml:space="preserve"> 组织资格审查；</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5</w:t>
      </w:r>
      <w:r>
        <w:rPr>
          <w:rFonts w:hint="eastAsia" w:ascii="Times New Roman" w:hAnsi="Times New Roman" w:eastAsia="宋体" w:cs="Times New Roman"/>
          <w:b w:val="0"/>
          <w:bCs w:val="0"/>
          <w:sz w:val="24"/>
          <w:szCs w:val="24"/>
          <w:lang w:val="en-US" w:eastAsia="zh-CN"/>
        </w:rPr>
        <w:t xml:space="preserve"> 通知资格预审结果；</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6</w:t>
      </w:r>
      <w:r>
        <w:rPr>
          <w:rFonts w:hint="eastAsia" w:ascii="Times New Roman" w:hAnsi="Times New Roman" w:eastAsia="宋体" w:cs="Times New Roman"/>
          <w:b w:val="0"/>
          <w:bCs w:val="0"/>
          <w:sz w:val="24"/>
          <w:szCs w:val="24"/>
          <w:lang w:val="en-US" w:eastAsia="zh-CN"/>
        </w:rPr>
        <w:t xml:space="preserve"> 编制招标文件；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7</w:t>
      </w:r>
      <w:r>
        <w:rPr>
          <w:rFonts w:hint="eastAsia" w:ascii="Times New Roman" w:hAnsi="Times New Roman" w:eastAsia="宋体" w:cs="Times New Roman"/>
          <w:b w:val="0"/>
          <w:bCs w:val="0"/>
          <w:sz w:val="24"/>
          <w:szCs w:val="24"/>
          <w:lang w:val="en-US" w:eastAsia="zh-CN"/>
        </w:rPr>
        <w:t xml:space="preserve"> 发布招标公告；</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8</w:t>
      </w:r>
      <w:r>
        <w:rPr>
          <w:rFonts w:hint="eastAsia" w:ascii="Times New Roman" w:hAnsi="Times New Roman" w:eastAsia="宋体" w:cs="Times New Roman"/>
          <w:b w:val="0"/>
          <w:bCs w:val="0"/>
          <w:sz w:val="24"/>
          <w:szCs w:val="24"/>
          <w:lang w:val="en-US" w:eastAsia="zh-CN"/>
        </w:rPr>
        <w:t xml:space="preserve"> 组织投标人踏勘现场；</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9</w:t>
      </w:r>
      <w:r>
        <w:rPr>
          <w:rFonts w:hint="eastAsia" w:ascii="Times New Roman" w:hAnsi="Times New Roman" w:eastAsia="宋体" w:cs="Times New Roman"/>
          <w:b w:val="0"/>
          <w:bCs w:val="0"/>
          <w:sz w:val="24"/>
          <w:szCs w:val="24"/>
          <w:lang w:eastAsia="zh-CN"/>
        </w:rPr>
        <w:t xml:space="preserve"> </w:t>
      </w:r>
      <w:r>
        <w:rPr>
          <w:rFonts w:hint="eastAsia" w:ascii="Times New Roman" w:hAnsi="Times New Roman" w:eastAsia="宋体" w:cs="Times New Roman"/>
          <w:b w:val="0"/>
          <w:bCs w:val="0"/>
          <w:sz w:val="24"/>
          <w:szCs w:val="24"/>
        </w:rPr>
        <w:t>组织开评标活动；</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eastAsia="zh-CN"/>
        </w:rPr>
      </w:pPr>
      <w:r>
        <w:rPr>
          <w:rFonts w:hint="eastAsia" w:ascii="Times New Roman" w:hAnsi="Times New Roman" w:eastAsia="宋体" w:cs="Times New Roman"/>
          <w:b/>
          <w:bCs/>
          <w:sz w:val="24"/>
          <w:szCs w:val="24"/>
          <w:lang w:val="en-US" w:eastAsia="zh-CN"/>
        </w:rPr>
        <w:t>10</w:t>
      </w:r>
      <w:r>
        <w:rPr>
          <w:rFonts w:hint="eastAsia" w:ascii="Times New Roman" w:hAnsi="Times New Roman" w:eastAsia="宋体" w:cs="Times New Roman"/>
          <w:b w:val="0"/>
          <w:bCs w:val="0"/>
          <w:sz w:val="24"/>
          <w:szCs w:val="24"/>
          <w:lang w:eastAsia="zh-CN"/>
        </w:rPr>
        <w:t xml:space="preserve"> 发</w:t>
      </w:r>
      <w:r>
        <w:rPr>
          <w:rFonts w:hint="eastAsia" w:ascii="Times New Roman" w:hAnsi="Times New Roman" w:eastAsia="宋体" w:cs="Times New Roman"/>
          <w:b w:val="0"/>
          <w:bCs w:val="0"/>
          <w:sz w:val="24"/>
          <w:szCs w:val="24"/>
        </w:rPr>
        <w:t>布中标候选人公示</w:t>
      </w:r>
      <w:r>
        <w:rPr>
          <w:rFonts w:hint="eastAsia" w:ascii="Times New Roman" w:hAnsi="Times New Roman" w:eastAsia="宋体" w:cs="Times New Roman"/>
          <w:b w:val="0"/>
          <w:bCs w:val="0"/>
          <w:sz w:val="24"/>
          <w:szCs w:val="24"/>
          <w:lang w:eastAsia="zh-CN"/>
        </w:rPr>
        <w:t>；</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eastAsia="zh-CN"/>
        </w:rPr>
      </w:pPr>
      <w:r>
        <w:rPr>
          <w:rFonts w:hint="eastAsia" w:ascii="Times New Roman" w:hAnsi="Times New Roman" w:eastAsia="宋体" w:cs="Times New Roman"/>
          <w:b/>
          <w:bCs/>
          <w:sz w:val="24"/>
          <w:szCs w:val="24"/>
          <w:lang w:val="en-US" w:eastAsia="zh-CN"/>
        </w:rPr>
        <w:t>11</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lang w:eastAsia="zh-CN"/>
        </w:rPr>
        <w:t>协</w:t>
      </w:r>
      <w:r>
        <w:rPr>
          <w:rFonts w:hint="eastAsia" w:ascii="Times New Roman" w:hAnsi="Times New Roman" w:eastAsia="宋体" w:cs="Times New Roman"/>
          <w:b w:val="0"/>
          <w:bCs w:val="0"/>
          <w:sz w:val="24"/>
          <w:szCs w:val="24"/>
        </w:rPr>
        <w:t>助、配合处理招标投标活动中有关异议投诉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12</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中标结果公示；</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13</w:t>
      </w:r>
      <w:r>
        <w:rPr>
          <w:rFonts w:hint="eastAsia" w:ascii="Times New Roman" w:hAnsi="Times New Roman" w:eastAsia="宋体" w:cs="Times New Roman"/>
          <w:b w:val="0"/>
          <w:bCs w:val="0"/>
          <w:sz w:val="24"/>
          <w:szCs w:val="24"/>
          <w:lang w:eastAsia="zh-CN"/>
        </w:rPr>
        <w:t xml:space="preserve"> 协</w:t>
      </w:r>
      <w:r>
        <w:rPr>
          <w:rFonts w:hint="eastAsia" w:ascii="Times New Roman" w:hAnsi="Times New Roman" w:eastAsia="宋体" w:cs="Times New Roman"/>
          <w:b w:val="0"/>
          <w:bCs w:val="0"/>
          <w:sz w:val="24"/>
          <w:szCs w:val="24"/>
        </w:rPr>
        <w:t>助招标人与中标人签订合同；</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14</w:t>
      </w:r>
      <w:r>
        <w:rPr>
          <w:rFonts w:hint="eastAsia" w:ascii="Times New Roman" w:hAnsi="Times New Roman" w:eastAsia="宋体" w:cs="Times New Roman"/>
          <w:b w:val="0"/>
          <w:bCs w:val="0"/>
          <w:sz w:val="24"/>
          <w:szCs w:val="24"/>
          <w:lang w:eastAsia="zh-CN"/>
        </w:rPr>
        <w:t xml:space="preserve"> 向</w:t>
      </w:r>
      <w:r>
        <w:rPr>
          <w:rFonts w:hint="eastAsia" w:ascii="Times New Roman" w:hAnsi="Times New Roman" w:eastAsia="宋体" w:cs="Times New Roman"/>
          <w:b w:val="0"/>
          <w:bCs w:val="0"/>
          <w:sz w:val="24"/>
          <w:szCs w:val="24"/>
        </w:rPr>
        <w:t>有关行政监督部门报告招标投标情况；</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15</w:t>
      </w:r>
      <w:r>
        <w:rPr>
          <w:rFonts w:hint="eastAsia" w:ascii="Times New Roman" w:hAnsi="Times New Roman" w:eastAsia="宋体" w:cs="Times New Roman"/>
          <w:b w:val="0"/>
          <w:bCs w:val="0"/>
          <w:sz w:val="24"/>
          <w:szCs w:val="24"/>
          <w:lang w:eastAsia="zh-CN"/>
        </w:rPr>
        <w:t xml:space="preserve"> 收</w:t>
      </w:r>
      <w:r>
        <w:rPr>
          <w:rFonts w:hint="eastAsia" w:ascii="Times New Roman" w:hAnsi="Times New Roman" w:eastAsia="宋体" w:cs="Times New Roman"/>
          <w:b w:val="0"/>
          <w:bCs w:val="0"/>
          <w:sz w:val="24"/>
          <w:szCs w:val="24"/>
        </w:rPr>
        <w:t>集、保存和移交招标项目的档案资料。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lang w:val="en-US" w:eastAsia="zh-CN"/>
        </w:rPr>
        <w:t>委托内容应在招标代理合同中予以明确，招标代理机构不因委托而替代招标人的主体责任。</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4.2.3</w:t>
      </w:r>
      <w:r>
        <w:rPr>
          <w:rFonts w:hint="eastAsia" w:ascii="Times New Roman" w:hAnsi="Times New Roman" w:eastAsia="宋体" w:cs="Times New Roman"/>
          <w:b w:val="0"/>
          <w:bCs w:val="0"/>
          <w:sz w:val="24"/>
          <w:szCs w:val="24"/>
        </w:rPr>
        <w:t xml:space="preserve"> 双方对专用条款内容应充分协商，填写完整。</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45" w:name="_Toc14957_WPSOffice_Level1"/>
      <w:bookmarkStart w:id="46" w:name="_Toc9495"/>
      <w:r>
        <w:rPr>
          <w:rFonts w:hint="eastAsia" w:ascii="Times New Roman" w:hAnsi="Times New Roman" w:eastAsia="宋体" w:cs="Times New Roman"/>
          <w:b/>
          <w:kern w:val="0"/>
          <w:sz w:val="28"/>
          <w:szCs w:val="28"/>
          <w:lang w:val="en-US" w:eastAsia="zh-CN"/>
        </w:rPr>
        <w:t>4.3 招标代理服务费</w:t>
      </w:r>
      <w:bookmarkEnd w:id="45"/>
      <w:bookmarkEnd w:id="46"/>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4.3.1</w:t>
      </w:r>
      <w:r>
        <w:rPr>
          <w:rFonts w:hint="eastAsia" w:ascii="Times New Roman" w:hAnsi="Times New Roman" w:eastAsia="宋体" w:cs="Times New Roman"/>
          <w:b/>
          <w:bCs/>
          <w:sz w:val="24"/>
          <w:szCs w:val="24"/>
          <w:lang w:eastAsia="zh-CN"/>
        </w:rPr>
        <w:t xml:space="preserve"> </w:t>
      </w:r>
      <w:r>
        <w:rPr>
          <w:rFonts w:hint="eastAsia" w:ascii="Times New Roman" w:hAnsi="Times New Roman" w:eastAsia="宋体" w:cs="Times New Roman"/>
          <w:b w:val="0"/>
          <w:bCs w:val="0"/>
          <w:sz w:val="24"/>
          <w:szCs w:val="24"/>
        </w:rPr>
        <w:t>招标代理机构应按照招标代理合同的约定收取招标代理服务费，招标代理服务包括基本服务和增值服务。招标代理基本服务收费指导标准宜参照本</w:t>
      </w:r>
      <w:r>
        <w:rPr>
          <w:rFonts w:hint="eastAsia" w:ascii="Times New Roman" w:hAnsi="Times New Roman" w:eastAsia="宋体" w:cs="Times New Roman"/>
          <w:b w:val="0"/>
          <w:bCs w:val="0"/>
          <w:sz w:val="24"/>
          <w:szCs w:val="24"/>
          <w:lang w:val="en-US" w:eastAsia="zh-CN"/>
        </w:rPr>
        <w:t>规程</w:t>
      </w:r>
      <w:r>
        <w:rPr>
          <w:rFonts w:hint="eastAsia" w:ascii="Times New Roman" w:hAnsi="Times New Roman" w:eastAsia="宋体" w:cs="Times New Roman"/>
          <w:b w:val="0"/>
          <w:bCs w:val="0"/>
          <w:sz w:val="24"/>
          <w:szCs w:val="24"/>
        </w:rPr>
        <w:t>附录A。</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4.3.2</w:t>
      </w:r>
      <w:r>
        <w:rPr>
          <w:rFonts w:hint="eastAsia" w:ascii="Times New Roman" w:hAnsi="Times New Roman" w:eastAsia="宋体" w:cs="Times New Roman"/>
          <w:b/>
          <w:bCs/>
          <w:sz w:val="24"/>
          <w:szCs w:val="24"/>
          <w:lang w:eastAsia="zh-CN"/>
        </w:rPr>
        <w:t xml:space="preserve"> </w:t>
      </w:r>
      <w:r>
        <w:rPr>
          <w:rFonts w:hint="eastAsia" w:ascii="Times New Roman" w:hAnsi="Times New Roman" w:eastAsia="宋体" w:cs="Times New Roman"/>
          <w:b w:val="0"/>
          <w:bCs w:val="0"/>
          <w:sz w:val="24"/>
          <w:szCs w:val="24"/>
        </w:rPr>
        <w:t>招标代理合同应明确招标代理服务费的预付额度（比例）和支付时间。</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4.3.3</w:t>
      </w:r>
      <w:r>
        <w:rPr>
          <w:rFonts w:hint="eastAsia" w:ascii="Times New Roman" w:hAnsi="Times New Roman" w:eastAsia="宋体" w:cs="Times New Roman"/>
          <w:b/>
          <w:bCs/>
          <w:sz w:val="24"/>
          <w:szCs w:val="24"/>
          <w:lang w:eastAsia="zh-CN"/>
        </w:rPr>
        <w:t xml:space="preserve"> </w:t>
      </w:r>
      <w:r>
        <w:rPr>
          <w:rFonts w:hint="eastAsia" w:ascii="Times New Roman" w:hAnsi="Times New Roman" w:eastAsia="宋体" w:cs="Times New Roman"/>
          <w:b w:val="0"/>
          <w:bCs w:val="0"/>
          <w:sz w:val="24"/>
          <w:szCs w:val="24"/>
        </w:rPr>
        <w:t>招标代理合同应明确在招标代理业务范围内双方各自承担的费用，包括项目招标失败后招标代理服务费的收取。</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47" w:name="_Toc19874"/>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48" w:name="_Toc23702_WPSOffice_Level1"/>
      <w:r>
        <w:rPr>
          <w:rFonts w:hint="eastAsia" w:ascii="Times New Roman" w:hAnsi="Times New Roman" w:eastAsia="宋体" w:cs="Times New Roman"/>
          <w:b/>
          <w:sz w:val="36"/>
          <w:szCs w:val="36"/>
          <w:lang w:val="en-US" w:eastAsia="zh-CN"/>
        </w:rPr>
        <w:t>5招标代理机构</w:t>
      </w:r>
      <w:bookmarkEnd w:id="47"/>
      <w:bookmarkEnd w:id="48"/>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49" w:name="_Toc13949"/>
      <w:bookmarkStart w:id="50" w:name="_Toc30545_WPSOffice_Level1"/>
      <w:r>
        <w:rPr>
          <w:rFonts w:hint="eastAsia" w:ascii="Times New Roman" w:hAnsi="Times New Roman" w:eastAsia="宋体" w:cs="Times New Roman"/>
          <w:b/>
          <w:kern w:val="0"/>
          <w:sz w:val="28"/>
          <w:szCs w:val="28"/>
          <w:lang w:val="en-US" w:eastAsia="zh-CN"/>
        </w:rPr>
        <w:t>5.1 组织形式与构成</w:t>
      </w:r>
      <w:bookmarkEnd w:id="49"/>
      <w:bookmarkEnd w:id="50"/>
    </w:p>
    <w:p>
      <w:pPr>
        <w:pStyle w:val="27"/>
        <w:spacing w:line="360" w:lineRule="auto"/>
        <w:ind w:firstLine="0" w:firstLineChars="0"/>
        <w:rPr>
          <w:rFonts w:hint="eastAsia" w:ascii="Times New Roman" w:hAnsi="Times New Roman" w:eastAsia="宋体" w:cs="Times New Roman"/>
          <w:b w:val="0"/>
          <w:bCs w:val="0"/>
          <w:i w:val="0"/>
          <w:iCs w:val="0"/>
          <w:sz w:val="24"/>
          <w:szCs w:val="24"/>
        </w:rPr>
      </w:pPr>
      <w:r>
        <w:rPr>
          <w:rFonts w:hint="eastAsia" w:ascii="Times New Roman" w:hAnsi="Times New Roman" w:eastAsia="宋体" w:cs="Times New Roman"/>
          <w:b/>
          <w:bCs/>
          <w:sz w:val="24"/>
          <w:szCs w:val="24"/>
        </w:rPr>
        <w:t xml:space="preserve">5.1.1 </w:t>
      </w:r>
      <w:r>
        <w:rPr>
          <w:rFonts w:hint="eastAsia" w:ascii="Times New Roman" w:hAnsi="Times New Roman" w:eastAsia="宋体" w:cs="Times New Roman"/>
          <w:b w:val="0"/>
          <w:bCs w:val="0"/>
          <w:i w:val="0"/>
          <w:iCs w:val="0"/>
          <w:sz w:val="24"/>
          <w:szCs w:val="24"/>
        </w:rPr>
        <w:t>招标代理机构应配备满足招标项目需要的招标代理机构从业人员，合理设置专业岗位，细化招标项目代理流程，明确时间节点，建立健全招标代理过程重要成果文件的审核审批制度。</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5.1.2 </w:t>
      </w:r>
      <w:r>
        <w:rPr>
          <w:rFonts w:hint="eastAsia" w:ascii="Times New Roman" w:hAnsi="Times New Roman" w:eastAsia="宋体" w:cs="Times New Roman"/>
          <w:b w:val="0"/>
          <w:bCs w:val="0"/>
          <w:sz w:val="24"/>
          <w:szCs w:val="24"/>
        </w:rPr>
        <w:t>招标代理合同签订后，招标代理机构应根据招标项目的内容和特点成立由招标代理机构从业人员组成的项目组，成员数量不少于2名，其中1名为项目负责人。项目组成员办理代理业务时应实名。</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5.1.3 </w:t>
      </w:r>
      <w:r>
        <w:rPr>
          <w:rFonts w:hint="eastAsia" w:ascii="Times New Roman" w:hAnsi="Times New Roman" w:eastAsia="宋体" w:cs="Times New Roman"/>
          <w:b w:val="0"/>
          <w:bCs w:val="0"/>
          <w:sz w:val="24"/>
          <w:szCs w:val="24"/>
        </w:rPr>
        <w:t>招标项目负责人应具有工程建设类执业资格或工程建设类、工程管理类、经济类中级及以上职称，并具有两年以上同类项目招标代理工作经历，其他专职从业人员应至少具备一年以上招标代理工作经历。</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5.1.4 </w:t>
      </w:r>
      <w:r>
        <w:rPr>
          <w:rFonts w:hint="eastAsia" w:ascii="Times New Roman" w:hAnsi="Times New Roman" w:eastAsia="宋体" w:cs="Times New Roman"/>
          <w:b w:val="0"/>
          <w:bCs w:val="0"/>
          <w:sz w:val="24"/>
          <w:szCs w:val="24"/>
        </w:rPr>
        <w:t>招标代理合同签订后，招标代理项目组成员</w:t>
      </w:r>
      <w:r>
        <w:rPr>
          <w:rFonts w:hint="eastAsia" w:ascii="Times New Roman" w:hAnsi="Times New Roman" w:eastAsia="宋体" w:cs="Times New Roman"/>
          <w:b w:val="0"/>
          <w:bCs w:val="0"/>
          <w:sz w:val="24"/>
          <w:szCs w:val="24"/>
          <w:lang w:val="en-US" w:eastAsia="zh-CN"/>
        </w:rPr>
        <w:t>应</w:t>
      </w:r>
      <w:r>
        <w:rPr>
          <w:rFonts w:hint="eastAsia" w:ascii="Times New Roman" w:hAnsi="Times New Roman" w:eastAsia="宋体" w:cs="Times New Roman"/>
          <w:b w:val="0"/>
          <w:bCs w:val="0"/>
          <w:sz w:val="24"/>
          <w:szCs w:val="24"/>
        </w:rPr>
        <w:t>保持不变。除由于解除劳动合同或重大疾病等特殊原因，未经招标人书面同意，项目负责人不得变更，替换的项目负责人应具备同等专业水平。</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51" w:name="_Toc18223_WPSOffice_Level1"/>
      <w:bookmarkStart w:id="52" w:name="_Toc8811"/>
      <w:r>
        <w:rPr>
          <w:rFonts w:hint="eastAsia" w:ascii="Times New Roman" w:hAnsi="Times New Roman" w:eastAsia="宋体" w:cs="Times New Roman"/>
          <w:b/>
          <w:kern w:val="0"/>
          <w:sz w:val="28"/>
          <w:szCs w:val="28"/>
          <w:lang w:val="en-US" w:eastAsia="zh-CN"/>
        </w:rPr>
        <w:t>5.2 招标代理项目组要求</w:t>
      </w:r>
      <w:bookmarkEnd w:id="51"/>
      <w:bookmarkEnd w:id="52"/>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5.2.1 </w:t>
      </w:r>
      <w:r>
        <w:rPr>
          <w:rFonts w:hint="eastAsia" w:ascii="Times New Roman" w:hAnsi="Times New Roman" w:eastAsia="宋体" w:cs="Times New Roman"/>
          <w:b w:val="0"/>
          <w:bCs w:val="0"/>
          <w:sz w:val="24"/>
          <w:szCs w:val="24"/>
        </w:rPr>
        <w:t>招标代理项目组成员应熟悉招标投标相关法律法规和标准，熟练掌握招标投标操作流程，熟练运用电子招标投标交易平台，熟悉招标项目相关专业内容</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同时具备良好的职业道德及项目管理能力。</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5.2.2 </w:t>
      </w:r>
      <w:r>
        <w:rPr>
          <w:rFonts w:hint="eastAsia" w:ascii="Times New Roman" w:hAnsi="Times New Roman" w:eastAsia="宋体" w:cs="Times New Roman"/>
          <w:b w:val="0"/>
          <w:bCs w:val="0"/>
          <w:sz w:val="24"/>
          <w:szCs w:val="24"/>
        </w:rPr>
        <w:t>招标代理项目组应依法合规组织开展招标、开标、评标工作</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协助招标人完成定标工作。</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5.2.3 </w:t>
      </w:r>
      <w:r>
        <w:rPr>
          <w:rFonts w:hint="eastAsia" w:ascii="Times New Roman" w:hAnsi="Times New Roman" w:eastAsia="宋体" w:cs="Times New Roman"/>
          <w:b w:val="0"/>
          <w:bCs w:val="0"/>
          <w:sz w:val="24"/>
          <w:szCs w:val="24"/>
        </w:rPr>
        <w:t>招标代理项目组应根据招标项目特点，进行招标整体策划和各环节安排。招标方案应科学合理，切实可行。招标工作计划应科学周密。</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5.2.4 </w:t>
      </w:r>
      <w:r>
        <w:rPr>
          <w:rFonts w:hint="eastAsia" w:ascii="Times New Roman" w:hAnsi="Times New Roman" w:eastAsia="宋体" w:cs="Times New Roman"/>
          <w:b w:val="0"/>
          <w:bCs w:val="0"/>
          <w:sz w:val="24"/>
          <w:szCs w:val="24"/>
        </w:rPr>
        <w:t>招标代理项目组应按招标代理合同约定范围开展工作，就招标项目的有关情况及时与招标人进行沟通，由招标人组织或经招标人许可后可以与项目相关方（如勘察设计单位、造价咨询单位、技术规格书咨询单位等）研究商议，科学、合理推进项目招标工作。</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53" w:name="_Toc19539_WPSOffice_Level1"/>
      <w:bookmarkStart w:id="54" w:name="_Toc16721"/>
      <w:r>
        <w:rPr>
          <w:rFonts w:hint="eastAsia" w:ascii="Times New Roman" w:hAnsi="Times New Roman" w:eastAsia="宋体" w:cs="Times New Roman"/>
          <w:b/>
          <w:kern w:val="0"/>
          <w:sz w:val="28"/>
          <w:szCs w:val="28"/>
          <w:lang w:val="en-US" w:eastAsia="zh-CN"/>
        </w:rPr>
        <w:t>5.3 质量控制</w:t>
      </w:r>
      <w:bookmarkEnd w:id="53"/>
      <w:bookmarkEnd w:id="54"/>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5.3.1 </w:t>
      </w:r>
      <w:r>
        <w:rPr>
          <w:rFonts w:hint="eastAsia" w:ascii="Times New Roman" w:hAnsi="Times New Roman" w:eastAsia="宋体" w:cs="Times New Roman"/>
          <w:b w:val="0"/>
          <w:bCs w:val="0"/>
          <w:sz w:val="24"/>
          <w:szCs w:val="24"/>
        </w:rPr>
        <w:t>招标代理合同签订后，招标代理项目组应充分了解招标需求，根据招标项目规模、专业特点、重点难点等实际情况，制定科学合理，切实可行的招标方案。招标需求是指招标项目及其需要满足的技术、商务要求。</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5.3.2 </w:t>
      </w:r>
      <w:r>
        <w:rPr>
          <w:rFonts w:hint="eastAsia" w:ascii="Times New Roman" w:hAnsi="Times New Roman" w:eastAsia="宋体" w:cs="Times New Roman"/>
          <w:b w:val="0"/>
          <w:bCs w:val="0"/>
          <w:sz w:val="24"/>
          <w:szCs w:val="24"/>
          <w:lang w:eastAsia="zh-CN"/>
        </w:rPr>
        <w:t>招</w:t>
      </w:r>
      <w:r>
        <w:rPr>
          <w:rFonts w:hint="eastAsia" w:ascii="Times New Roman" w:hAnsi="Times New Roman" w:eastAsia="宋体" w:cs="Times New Roman"/>
          <w:b w:val="0"/>
          <w:bCs w:val="0"/>
          <w:sz w:val="24"/>
          <w:szCs w:val="24"/>
        </w:rPr>
        <w:t>标代理机构对资格预审公告、招标公告、资格预审文件、招标文件、澄清</w:t>
      </w:r>
      <w:r>
        <w:rPr>
          <w:rFonts w:hint="eastAsia" w:ascii="Times New Roman" w:hAnsi="Times New Roman" w:eastAsia="宋体" w:cs="Times New Roman"/>
          <w:b w:val="0"/>
          <w:bCs w:val="0"/>
          <w:sz w:val="24"/>
          <w:szCs w:val="24"/>
          <w:lang w:eastAsia="zh-CN"/>
        </w:rPr>
        <w:t>修</w:t>
      </w:r>
      <w:r>
        <w:rPr>
          <w:rFonts w:hint="eastAsia" w:ascii="Times New Roman" w:hAnsi="Times New Roman" w:eastAsia="宋体" w:cs="Times New Roman"/>
          <w:b w:val="0"/>
          <w:bCs w:val="0"/>
          <w:sz w:val="24"/>
          <w:szCs w:val="24"/>
          <w:lang w:val="en-US" w:eastAsia="zh-CN"/>
        </w:rPr>
        <w:t>改</w:t>
      </w:r>
      <w:r>
        <w:rPr>
          <w:rFonts w:hint="eastAsia" w:ascii="Times New Roman" w:hAnsi="Times New Roman" w:eastAsia="宋体" w:cs="Times New Roman"/>
          <w:b w:val="0"/>
          <w:bCs w:val="0"/>
          <w:sz w:val="24"/>
          <w:szCs w:val="24"/>
        </w:rPr>
        <w:t>文件、工程量清单、最高投标限价、技术规格书等重要成果文件，应实行项目负责人复核、</w:t>
      </w:r>
      <w:r>
        <w:rPr>
          <w:rFonts w:hint="eastAsia" w:ascii="Times New Roman" w:hAnsi="Times New Roman" w:eastAsia="宋体" w:cs="Times New Roman"/>
          <w:b w:val="0"/>
          <w:bCs w:val="0"/>
          <w:sz w:val="24"/>
          <w:szCs w:val="24"/>
          <w:lang w:val="en-US" w:eastAsia="zh-CN"/>
        </w:rPr>
        <w:t>部门负责人</w:t>
      </w:r>
      <w:r>
        <w:rPr>
          <w:rFonts w:hint="eastAsia" w:ascii="Times New Roman" w:hAnsi="Times New Roman" w:eastAsia="宋体" w:cs="Times New Roman"/>
          <w:b w:val="0"/>
          <w:bCs w:val="0"/>
          <w:sz w:val="24"/>
          <w:szCs w:val="24"/>
        </w:rPr>
        <w:t>复核、质量控制部门复核三级复核制。</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5.3.3 </w:t>
      </w:r>
      <w:r>
        <w:rPr>
          <w:rFonts w:hint="eastAsia" w:ascii="Times New Roman" w:hAnsi="Times New Roman" w:eastAsia="宋体" w:cs="Times New Roman"/>
          <w:b w:val="0"/>
          <w:bCs w:val="0"/>
          <w:sz w:val="24"/>
          <w:szCs w:val="24"/>
        </w:rPr>
        <w:t>招标代理项目组应按规定时间、规定程序与办法组织开标、评标、协助定标的工作，做好相关记录。</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5.3.4 </w:t>
      </w:r>
      <w:r>
        <w:rPr>
          <w:rFonts w:hint="eastAsia" w:ascii="Times New Roman" w:hAnsi="Times New Roman" w:eastAsia="宋体" w:cs="Times New Roman"/>
          <w:b w:val="0"/>
          <w:bCs w:val="0"/>
          <w:sz w:val="24"/>
          <w:szCs w:val="24"/>
        </w:rPr>
        <w:t>招标代理机构应按照有关规定及招标代理合同约定的期限及时将招标投标重要成果文件归档后交招标人存档</w:t>
      </w:r>
      <w:r>
        <w:rPr>
          <w:rFonts w:hint="eastAsia" w:ascii="Times New Roman" w:hAnsi="Times New Roman" w:eastAsia="宋体" w:cs="Times New Roman"/>
          <w:b w:val="0"/>
          <w:bCs w:val="0"/>
          <w:sz w:val="24"/>
          <w:szCs w:val="24"/>
          <w:lang w:val="en-US" w:eastAsia="zh-CN"/>
        </w:rPr>
        <w:t>或按招标代理合同约定方式存档</w:t>
      </w:r>
      <w:r>
        <w:rPr>
          <w:rFonts w:hint="eastAsia" w:ascii="Times New Roman" w:hAnsi="Times New Roman" w:eastAsia="宋体" w:cs="Times New Roman"/>
          <w:b w:val="0"/>
          <w:bCs w:val="0"/>
          <w:sz w:val="24"/>
          <w:szCs w:val="24"/>
        </w:rPr>
        <w:t>。招标人宜对招标代理机构满意度作出评价。</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5.3.5 </w:t>
      </w:r>
      <w:r>
        <w:rPr>
          <w:rFonts w:hint="eastAsia" w:ascii="Times New Roman" w:hAnsi="Times New Roman" w:eastAsia="宋体" w:cs="Times New Roman"/>
          <w:b w:val="0"/>
          <w:bCs w:val="0"/>
          <w:sz w:val="24"/>
          <w:szCs w:val="24"/>
        </w:rPr>
        <w:t>招标代理机构应建立完善招标代理人才培养机制，加强对招标代理机构从业人员的</w:t>
      </w:r>
      <w:r>
        <w:rPr>
          <w:rFonts w:hint="eastAsia" w:ascii="Times New Roman" w:hAnsi="Times New Roman" w:eastAsia="宋体" w:cs="Times New Roman"/>
          <w:b w:val="0"/>
          <w:bCs w:val="0"/>
          <w:sz w:val="24"/>
          <w:szCs w:val="24"/>
          <w:lang w:val="en-US" w:eastAsia="zh-CN"/>
        </w:rPr>
        <w:t>业务</w:t>
      </w:r>
      <w:r>
        <w:rPr>
          <w:rFonts w:hint="eastAsia" w:ascii="Times New Roman" w:hAnsi="Times New Roman" w:eastAsia="宋体" w:cs="Times New Roman"/>
          <w:b w:val="0"/>
          <w:bCs w:val="0"/>
          <w:sz w:val="24"/>
          <w:szCs w:val="24"/>
        </w:rPr>
        <w:t>培训，提升招标代理专业服务水平。</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5.3.6 </w:t>
      </w:r>
      <w:r>
        <w:rPr>
          <w:rFonts w:hint="eastAsia" w:ascii="Times New Roman" w:hAnsi="Times New Roman" w:eastAsia="宋体" w:cs="Times New Roman"/>
          <w:b w:val="0"/>
          <w:bCs w:val="0"/>
          <w:sz w:val="24"/>
          <w:szCs w:val="24"/>
        </w:rPr>
        <w:t>招标代理机构应按要求填报招标项目招标投标数据，保证数据上传的及时性和准确性。</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5.3.7 </w:t>
      </w:r>
      <w:r>
        <w:rPr>
          <w:rFonts w:hint="eastAsia" w:ascii="Times New Roman" w:hAnsi="Times New Roman" w:eastAsia="宋体" w:cs="Times New Roman"/>
          <w:b w:val="0"/>
          <w:bCs w:val="0"/>
          <w:sz w:val="24"/>
          <w:szCs w:val="24"/>
        </w:rPr>
        <w:t>招标代理机构应按要求填报评标专家履职情况。</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55" w:name="_Toc31230"/>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56" w:name="_Toc8155_WPSOffice_Level1"/>
      <w:r>
        <w:rPr>
          <w:rFonts w:hint="eastAsia" w:ascii="Times New Roman" w:hAnsi="Times New Roman" w:eastAsia="宋体" w:cs="Times New Roman"/>
          <w:b/>
          <w:sz w:val="36"/>
          <w:szCs w:val="36"/>
          <w:lang w:val="en-US" w:eastAsia="zh-CN"/>
        </w:rPr>
        <w:t>6招标准备及计划</w:t>
      </w:r>
      <w:bookmarkEnd w:id="55"/>
      <w:bookmarkEnd w:id="56"/>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57" w:name="_Toc30934_WPSOffice_Level1"/>
      <w:bookmarkStart w:id="58" w:name="_Toc6027"/>
      <w:r>
        <w:rPr>
          <w:rFonts w:hint="eastAsia" w:ascii="Times New Roman" w:hAnsi="Times New Roman" w:eastAsia="宋体" w:cs="Times New Roman"/>
          <w:b/>
          <w:kern w:val="0"/>
          <w:sz w:val="28"/>
          <w:szCs w:val="28"/>
          <w:lang w:val="en-US" w:eastAsia="zh-CN"/>
        </w:rPr>
        <w:t>6.1 一般规定</w:t>
      </w:r>
      <w:bookmarkEnd w:id="57"/>
      <w:bookmarkEnd w:id="58"/>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6.1.1</w:t>
      </w:r>
      <w:r>
        <w:rPr>
          <w:rFonts w:hint="eastAsia" w:ascii="Times New Roman" w:hAnsi="Times New Roman" w:eastAsia="宋体" w:cs="Times New Roman"/>
          <w:b w:val="0"/>
          <w:bCs w:val="0"/>
          <w:sz w:val="24"/>
          <w:szCs w:val="24"/>
        </w:rPr>
        <w:t xml:space="preserve"> 招标准备及计划应包括成立招标代理项目组、收集资料、编制招标方案和招标计划等工作。</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6.1.2</w:t>
      </w:r>
      <w:r>
        <w:rPr>
          <w:rFonts w:hint="eastAsia" w:ascii="Times New Roman" w:hAnsi="Times New Roman" w:eastAsia="宋体" w:cs="Times New Roman"/>
          <w:b w:val="0"/>
          <w:bCs w:val="0"/>
          <w:sz w:val="24"/>
          <w:szCs w:val="24"/>
        </w:rPr>
        <w:t xml:space="preserve"> 招标代理项目组应在充分掌握招标项目的建设意图、规模、建设环境条件、资金来源等基本信息基础上，根据招标项目的招标需求，针对招标项目特点进行详尽的招标准备及计划。</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59" w:name="_Toc15837_WPSOffice_Level1"/>
      <w:bookmarkStart w:id="60" w:name="_Toc4372"/>
      <w:r>
        <w:rPr>
          <w:rFonts w:hint="eastAsia" w:ascii="Times New Roman" w:hAnsi="Times New Roman" w:eastAsia="宋体" w:cs="Times New Roman"/>
          <w:b/>
          <w:kern w:val="0"/>
          <w:sz w:val="28"/>
          <w:szCs w:val="28"/>
          <w:lang w:val="en-US" w:eastAsia="zh-CN"/>
        </w:rPr>
        <w:t>6.2 资料收集</w:t>
      </w:r>
      <w:bookmarkEnd w:id="59"/>
      <w:bookmarkEnd w:id="60"/>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6.2.1</w:t>
      </w:r>
      <w:r>
        <w:rPr>
          <w:rFonts w:hint="eastAsia" w:ascii="Times New Roman" w:hAnsi="Times New Roman" w:eastAsia="宋体" w:cs="Times New Roman"/>
          <w:b w:val="0"/>
          <w:bCs w:val="0"/>
          <w:sz w:val="24"/>
          <w:szCs w:val="24"/>
        </w:rPr>
        <w:t xml:space="preserve"> 招标代理项目组应收集下列与招标项目有关的基础资料：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招标范围、招标组织形式和招标方式等应履行审批、核准或备案手续的相关资料；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项目有关审批、核准或备案资料；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详细建设意图、投资性质、资金来源及落实情况、投资规模等资料；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工程建设地点的自然条件以及周边环境资料；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其他与招标项目有关的专业技术文件和资料。</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6.2.2</w:t>
      </w:r>
      <w:r>
        <w:rPr>
          <w:rFonts w:hint="eastAsia" w:ascii="Times New Roman" w:hAnsi="Times New Roman" w:eastAsia="宋体" w:cs="Times New Roman"/>
          <w:b w:val="0"/>
          <w:bCs w:val="0"/>
          <w:sz w:val="24"/>
          <w:szCs w:val="24"/>
        </w:rPr>
        <w:t xml:space="preserve"> 工程勘察招标除本规程第6.2.1条外还应收集下列资料：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初步勘察应包括下列资料：</w:t>
      </w:r>
    </w:p>
    <w:p>
      <w:pPr>
        <w:pStyle w:val="27"/>
        <w:spacing w:line="360" w:lineRule="auto"/>
        <w:ind w:left="900" w:firstLine="0" w:firstLine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1）用地范围红线图、地形图；</w:t>
      </w:r>
    </w:p>
    <w:p>
      <w:pPr>
        <w:pStyle w:val="27"/>
        <w:spacing w:line="360" w:lineRule="auto"/>
        <w:ind w:left="900" w:firstLine="0" w:firstLine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2）工程总平面布置图；</w:t>
      </w:r>
    </w:p>
    <w:p>
      <w:pPr>
        <w:pStyle w:val="27"/>
        <w:spacing w:line="360" w:lineRule="auto"/>
        <w:ind w:left="900" w:firstLine="0" w:firstLine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3）主要建（构）筑物、重型设备等基本布局情况；</w:t>
      </w:r>
    </w:p>
    <w:p>
      <w:pPr>
        <w:pStyle w:val="27"/>
        <w:spacing w:line="360" w:lineRule="auto"/>
        <w:ind w:left="900" w:firstLine="0" w:firstLine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4）技术经济标准、规范和规程等。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详细勘察除本条第1款资料外还应包括下列资料：</w:t>
      </w:r>
    </w:p>
    <w:p>
      <w:pPr>
        <w:pStyle w:val="27"/>
        <w:spacing w:line="360" w:lineRule="auto"/>
        <w:ind w:left="900" w:firstLine="0" w:firstLine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1）项目选址意见书、建设用地规划许可证、建设工程规划许可证、土地使用证等；</w:t>
      </w:r>
    </w:p>
    <w:p>
      <w:pPr>
        <w:pStyle w:val="27"/>
        <w:spacing w:line="360" w:lineRule="auto"/>
        <w:ind w:left="900" w:firstLine="0" w:firstLine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2）拟建建（构）筑物详细特性等。</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6.2.3</w:t>
      </w:r>
      <w:r>
        <w:rPr>
          <w:rFonts w:hint="eastAsia" w:ascii="Times New Roman" w:hAnsi="Times New Roman" w:eastAsia="宋体" w:cs="Times New Roman"/>
          <w:b w:val="0"/>
          <w:bCs w:val="0"/>
          <w:sz w:val="24"/>
          <w:szCs w:val="24"/>
        </w:rPr>
        <w:t xml:space="preserve"> 工程设计招标除本规程第6.2.1条外还应收集下列资料：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用地范围红线图、地形图；</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项目选址意见书、建设用地规划许可证、建设工程规划许可证、土地使用证等；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经批准的控制性详细规划或修建性详细规划（适用于符合编制详细规划的建筑用地）；</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设计任务书或项目说明书；</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技术经济标准、规范和规程等；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投资控制要求等。</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6.2.4</w:t>
      </w:r>
      <w:r>
        <w:rPr>
          <w:rFonts w:hint="eastAsia" w:ascii="Times New Roman" w:hAnsi="Times New Roman" w:eastAsia="宋体" w:cs="Times New Roman"/>
          <w:b w:val="0"/>
          <w:bCs w:val="0"/>
          <w:sz w:val="24"/>
          <w:szCs w:val="24"/>
        </w:rPr>
        <w:t xml:space="preserve"> 工程施工监理招标除本规程第6.2.1条外还应收集下列资料：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 </w:t>
      </w:r>
      <w:r>
        <w:rPr>
          <w:rFonts w:hint="eastAsia" w:ascii="Times New Roman" w:hAnsi="Times New Roman" w:eastAsia="宋体" w:cs="Times New Roman"/>
          <w:b w:val="0"/>
          <w:bCs w:val="0"/>
          <w:sz w:val="24"/>
          <w:szCs w:val="24"/>
        </w:rPr>
        <w:t>经批准的设计方案文件；政府投资工程，需经批准的初步设计文件；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2 </w:t>
      </w:r>
      <w:r>
        <w:rPr>
          <w:rFonts w:hint="eastAsia" w:ascii="Times New Roman" w:hAnsi="Times New Roman" w:eastAsia="宋体" w:cs="Times New Roman"/>
          <w:b w:val="0"/>
          <w:bCs w:val="0"/>
          <w:sz w:val="24"/>
          <w:szCs w:val="24"/>
        </w:rPr>
        <w:t>工程概算或投资估算；</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3 </w:t>
      </w:r>
      <w:r>
        <w:rPr>
          <w:rFonts w:hint="eastAsia" w:ascii="Times New Roman" w:hAnsi="Times New Roman" w:eastAsia="宋体" w:cs="Times New Roman"/>
          <w:b w:val="0"/>
          <w:bCs w:val="0"/>
          <w:sz w:val="24"/>
          <w:szCs w:val="24"/>
        </w:rPr>
        <w:t>工程总平面布置图；</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建设场地地质资料、现场环境及施工条件；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5 </w:t>
      </w:r>
      <w:r>
        <w:rPr>
          <w:rFonts w:hint="eastAsia" w:ascii="Times New Roman" w:hAnsi="Times New Roman" w:eastAsia="宋体" w:cs="Times New Roman"/>
          <w:b w:val="0"/>
          <w:bCs w:val="0"/>
          <w:sz w:val="24"/>
          <w:szCs w:val="24"/>
        </w:rPr>
        <w:t>技术经济标准、规范和规程等。</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6.2.5</w:t>
      </w:r>
      <w:r>
        <w:rPr>
          <w:rFonts w:hint="eastAsia" w:ascii="Times New Roman" w:hAnsi="Times New Roman" w:eastAsia="宋体" w:cs="Times New Roman"/>
          <w:b w:val="0"/>
          <w:bCs w:val="0"/>
          <w:sz w:val="24"/>
          <w:szCs w:val="24"/>
        </w:rPr>
        <w:t xml:space="preserve"> 工程施工招标除本规程第6.2.1条外还应收集下列资料：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工程施工图预算或设计概算；</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建设场地地质资料、现场环境及施工条件；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技术经济标准、规范和规程等；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满足招标要求的设计文件，包括图纸和文字说明；</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同期的人工、机械和材料市场价格；</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同期有关设备、构配件、成品或半成品市场价格、运输、仓储等费用行情，施工设备租赁价格等。</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6.2.6</w:t>
      </w:r>
      <w:r>
        <w:rPr>
          <w:rFonts w:hint="eastAsia" w:ascii="Times New Roman" w:hAnsi="Times New Roman" w:eastAsia="宋体" w:cs="Times New Roman"/>
          <w:b w:val="0"/>
          <w:bCs w:val="0"/>
          <w:sz w:val="24"/>
          <w:szCs w:val="24"/>
        </w:rPr>
        <w:t xml:space="preserve"> 工程货物招标除本规程第6.2.1条外还应收集下列资料：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工程施工图预算或设计概算；</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建设场地地质资料、现场环境及施工条件；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技术经济标准、规范和规程等；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满足招标要求的设计文件，包括图纸和文字说明；</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满足招标要求的技术规格（书）；</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满足招标要求的商务要求；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7</w:t>
      </w:r>
      <w:r>
        <w:rPr>
          <w:rFonts w:hint="eastAsia" w:ascii="Times New Roman" w:hAnsi="Times New Roman" w:eastAsia="宋体" w:cs="Times New Roman"/>
          <w:b w:val="0"/>
          <w:bCs w:val="0"/>
          <w:sz w:val="24"/>
          <w:szCs w:val="24"/>
        </w:rPr>
        <w:t xml:space="preserve"> 同期有关货物市场价格、运输、仓储等费用行情等。</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6.2.7 </w:t>
      </w:r>
      <w:r>
        <w:rPr>
          <w:rFonts w:hint="eastAsia" w:ascii="Times New Roman" w:hAnsi="Times New Roman" w:eastAsia="宋体" w:cs="Times New Roman"/>
          <w:b w:val="0"/>
          <w:bCs w:val="0"/>
          <w:sz w:val="24"/>
          <w:szCs w:val="24"/>
        </w:rPr>
        <w:t>勘察设计一次性总体招标资料收集应符合本规程第6.2.1条、第6.2.2条、第6.2.3条的要求。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设计分段招标资料收集应符合本规程第6.2.1条、第6.2.2条、第6.2.3条的要求，还应收集前段设计文件。</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6.2.8</w:t>
      </w:r>
      <w:r>
        <w:rPr>
          <w:rFonts w:hint="eastAsia" w:ascii="Times New Roman" w:hAnsi="Times New Roman" w:eastAsia="宋体" w:cs="Times New Roman"/>
          <w:b w:val="0"/>
          <w:bCs w:val="0"/>
          <w:sz w:val="24"/>
          <w:szCs w:val="24"/>
        </w:rPr>
        <w:t xml:space="preserve"> 工程总承包招标资料收集应符合本规程第6.2.1条、第6.2.3条、第6.2.5条、6.2.6条的要求。</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61" w:name="_Toc24274_WPSOffice_Level1"/>
      <w:bookmarkStart w:id="62" w:name="_Toc29466"/>
      <w:r>
        <w:rPr>
          <w:rFonts w:hint="eastAsia" w:ascii="Times New Roman" w:hAnsi="Times New Roman" w:eastAsia="宋体" w:cs="Times New Roman"/>
          <w:b/>
          <w:kern w:val="0"/>
          <w:sz w:val="28"/>
          <w:szCs w:val="28"/>
          <w:lang w:val="en-US" w:eastAsia="zh-CN"/>
        </w:rPr>
        <w:t>6.3 招标方案</w:t>
      </w:r>
      <w:bookmarkEnd w:id="61"/>
      <w:bookmarkEnd w:id="62"/>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6.3.1 </w:t>
      </w:r>
      <w:r>
        <w:rPr>
          <w:rFonts w:hint="eastAsia" w:ascii="Times New Roman" w:hAnsi="Times New Roman" w:eastAsia="宋体" w:cs="Times New Roman"/>
          <w:b w:val="0"/>
          <w:bCs w:val="0"/>
          <w:sz w:val="24"/>
          <w:szCs w:val="24"/>
        </w:rPr>
        <w:t>招标方案可对整个项目进行，也可按不同招标项目类型或不同招标阶段分别进行。</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6.3.2 </w:t>
      </w:r>
      <w:r>
        <w:rPr>
          <w:rFonts w:hint="eastAsia" w:ascii="Times New Roman" w:hAnsi="Times New Roman" w:eastAsia="宋体" w:cs="Times New Roman"/>
          <w:b w:val="0"/>
          <w:bCs w:val="0"/>
          <w:sz w:val="24"/>
          <w:szCs w:val="24"/>
        </w:rPr>
        <w:t>招标方案应根据工程规模、资金来源、生产效益、工期、设计条件、现场条件、专业工程特点等进行编制。</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6.3.3 </w:t>
      </w:r>
      <w:r>
        <w:rPr>
          <w:rFonts w:hint="eastAsia" w:ascii="Times New Roman" w:hAnsi="Times New Roman" w:eastAsia="宋体" w:cs="Times New Roman"/>
          <w:b w:val="0"/>
          <w:bCs w:val="0"/>
          <w:sz w:val="24"/>
          <w:szCs w:val="24"/>
        </w:rPr>
        <w:t>招标方案宜包括以下主要内容：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 </w:t>
      </w:r>
      <w:r>
        <w:rPr>
          <w:rFonts w:hint="eastAsia" w:ascii="Times New Roman" w:hAnsi="Times New Roman" w:eastAsia="宋体" w:cs="Times New Roman"/>
          <w:b w:val="0"/>
          <w:bCs w:val="0"/>
          <w:sz w:val="24"/>
          <w:szCs w:val="24"/>
        </w:rPr>
        <w:t>招标方式；</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2 </w:t>
      </w:r>
      <w:r>
        <w:rPr>
          <w:rFonts w:hint="eastAsia" w:ascii="Times New Roman" w:hAnsi="Times New Roman" w:eastAsia="宋体" w:cs="Times New Roman"/>
          <w:b w:val="0"/>
          <w:bCs w:val="0"/>
          <w:sz w:val="24"/>
          <w:szCs w:val="24"/>
        </w:rPr>
        <w:t>招标目标及计划；</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3 </w:t>
      </w:r>
      <w:r>
        <w:rPr>
          <w:rFonts w:hint="eastAsia" w:ascii="Times New Roman" w:hAnsi="Times New Roman" w:eastAsia="宋体" w:cs="Times New Roman"/>
          <w:b w:val="0"/>
          <w:bCs w:val="0"/>
          <w:sz w:val="24"/>
          <w:szCs w:val="24"/>
        </w:rPr>
        <w:t>招标程序；</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4 </w:t>
      </w:r>
      <w:r>
        <w:rPr>
          <w:rFonts w:hint="eastAsia" w:ascii="Times New Roman" w:hAnsi="Times New Roman" w:eastAsia="宋体" w:cs="Times New Roman"/>
          <w:b w:val="0"/>
          <w:bCs w:val="0"/>
          <w:sz w:val="24"/>
          <w:szCs w:val="24"/>
        </w:rPr>
        <w:t>招标代理范围、内容；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5 </w:t>
      </w:r>
      <w:r>
        <w:rPr>
          <w:rFonts w:hint="eastAsia" w:ascii="Times New Roman" w:hAnsi="Times New Roman" w:eastAsia="宋体" w:cs="Times New Roman"/>
          <w:b w:val="0"/>
          <w:bCs w:val="0"/>
          <w:sz w:val="24"/>
          <w:szCs w:val="24"/>
        </w:rPr>
        <w:t>招标项目管理及人员配备；</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6 </w:t>
      </w:r>
      <w:r>
        <w:rPr>
          <w:rFonts w:hint="eastAsia" w:ascii="Times New Roman" w:hAnsi="Times New Roman" w:eastAsia="宋体" w:cs="Times New Roman"/>
          <w:b w:val="0"/>
          <w:bCs w:val="0"/>
          <w:sz w:val="24"/>
          <w:szCs w:val="24"/>
        </w:rPr>
        <w:t>招标项目实施建议、保证措施及风险分析；</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7 </w:t>
      </w:r>
      <w:r>
        <w:rPr>
          <w:rFonts w:hint="eastAsia" w:ascii="Times New Roman" w:hAnsi="Times New Roman" w:eastAsia="宋体" w:cs="Times New Roman"/>
          <w:b w:val="0"/>
          <w:bCs w:val="0"/>
          <w:sz w:val="24"/>
          <w:szCs w:val="24"/>
        </w:rPr>
        <w:t>需招标人配合的有关工作。</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6.3.4 </w:t>
      </w:r>
      <w:r>
        <w:rPr>
          <w:rFonts w:hint="eastAsia" w:ascii="Times New Roman" w:hAnsi="Times New Roman" w:eastAsia="宋体" w:cs="Times New Roman"/>
          <w:b w:val="0"/>
          <w:bCs w:val="0"/>
          <w:sz w:val="24"/>
          <w:szCs w:val="24"/>
        </w:rPr>
        <w:t>招标代理活动中，当外部条件发生重大变化时应及时调整招标方案。</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6.3.5 </w:t>
      </w:r>
      <w:r>
        <w:rPr>
          <w:rFonts w:hint="eastAsia" w:ascii="Times New Roman" w:hAnsi="Times New Roman" w:eastAsia="宋体" w:cs="Times New Roman"/>
          <w:b w:val="0"/>
          <w:bCs w:val="0"/>
          <w:sz w:val="24"/>
          <w:szCs w:val="24"/>
        </w:rPr>
        <w:t>招标计划应根据招标方案进行编制。招标计划宜包括以下主要内容：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项目情况；</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招标项目批次划分建议；</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招标项目标段划分建议等。</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6.3.6 </w:t>
      </w:r>
      <w:r>
        <w:rPr>
          <w:rFonts w:hint="eastAsia" w:ascii="Times New Roman" w:hAnsi="Times New Roman" w:eastAsia="宋体" w:cs="Times New Roman"/>
          <w:b w:val="0"/>
          <w:bCs w:val="0"/>
          <w:sz w:val="24"/>
          <w:szCs w:val="24"/>
          <w:lang w:eastAsia="zh-CN"/>
        </w:rPr>
        <w:t>招</w:t>
      </w:r>
      <w:r>
        <w:rPr>
          <w:rFonts w:hint="eastAsia" w:ascii="Times New Roman" w:hAnsi="Times New Roman" w:eastAsia="宋体" w:cs="Times New Roman"/>
          <w:b w:val="0"/>
          <w:bCs w:val="0"/>
          <w:sz w:val="24"/>
          <w:szCs w:val="24"/>
        </w:rPr>
        <w:t>标批次划分顺序宜为：勘察、设计招标，监理招标，</w:t>
      </w:r>
      <w:r>
        <w:rPr>
          <w:rFonts w:hint="eastAsia" w:ascii="Times New Roman" w:hAnsi="Times New Roman" w:eastAsia="宋体" w:cs="Times New Roman"/>
          <w:b w:val="0"/>
          <w:bCs w:val="0"/>
          <w:sz w:val="24"/>
          <w:szCs w:val="24"/>
          <w:lang w:val="en-US" w:eastAsia="zh-CN"/>
        </w:rPr>
        <w:t>施工总承包</w:t>
      </w:r>
      <w:r>
        <w:rPr>
          <w:rFonts w:hint="eastAsia" w:ascii="Times New Roman" w:hAnsi="Times New Roman" w:eastAsia="宋体" w:cs="Times New Roman"/>
          <w:b w:val="0"/>
          <w:bCs w:val="0"/>
          <w:sz w:val="24"/>
          <w:szCs w:val="24"/>
        </w:rPr>
        <w:t>招标，</w:t>
      </w:r>
      <w:r>
        <w:rPr>
          <w:rFonts w:hint="eastAsia" w:ascii="Times New Roman" w:hAnsi="Times New Roman" w:eastAsia="宋体" w:cs="Times New Roman"/>
          <w:b w:val="0"/>
          <w:bCs w:val="0"/>
          <w:sz w:val="24"/>
          <w:szCs w:val="24"/>
          <w:lang w:val="en-US" w:eastAsia="zh-CN"/>
        </w:rPr>
        <w:t>专业工程施工</w:t>
      </w:r>
      <w:r>
        <w:rPr>
          <w:rFonts w:hint="eastAsia" w:ascii="Times New Roman" w:hAnsi="Times New Roman" w:eastAsia="宋体" w:cs="Times New Roman"/>
          <w:b w:val="0"/>
          <w:bCs w:val="0"/>
          <w:sz w:val="24"/>
          <w:szCs w:val="24"/>
        </w:rPr>
        <w:t>招标等。</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6.3.7 </w:t>
      </w:r>
      <w:r>
        <w:rPr>
          <w:rFonts w:hint="eastAsia" w:ascii="Times New Roman" w:hAnsi="Times New Roman" w:eastAsia="宋体" w:cs="Times New Roman"/>
          <w:b w:val="0"/>
          <w:bCs w:val="0"/>
          <w:sz w:val="24"/>
          <w:szCs w:val="24"/>
        </w:rPr>
        <w:t>招标标段划分应考虑以下主要因素：</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法律法规及标准规定；</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项目管理模式；</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工期、规模及资金情况；</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招标人项目管理力量；</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潜在投标人竞争格局；</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工程技术关联性；</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7</w:t>
      </w:r>
      <w:r>
        <w:rPr>
          <w:rFonts w:hint="eastAsia"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b w:val="0"/>
          <w:bCs w:val="0"/>
          <w:sz w:val="24"/>
          <w:szCs w:val="24"/>
        </w:rPr>
        <w:t>工程计量关联性；</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8</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工作界面的关联性；</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9</w:t>
      </w:r>
      <w:r>
        <w:rPr>
          <w:rFonts w:hint="eastAsia"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b w:val="0"/>
          <w:bCs w:val="0"/>
          <w:sz w:val="24"/>
          <w:szCs w:val="24"/>
        </w:rPr>
        <w:t>货物关联性；</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10</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服务关联性。</w:t>
      </w:r>
    </w:p>
    <w:p>
      <w:pPr>
        <w:pStyle w:val="3"/>
        <w:bidi w:val="0"/>
        <w:jc w:val="left"/>
        <w:rPr>
          <w:rFonts w:hint="eastAsia" w:ascii="黑体" w:hAnsi="黑体" w:eastAsia="黑体" w:cs="黑体"/>
          <w:b w:val="0"/>
          <w:bCs w:val="0"/>
          <w:color w:val="auto"/>
          <w:sz w:val="21"/>
          <w:szCs w:val="21"/>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63" w:name="_Toc20884"/>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64" w:name="_Toc19460_WPSOffice_Level1"/>
      <w:r>
        <w:rPr>
          <w:rFonts w:hint="eastAsia" w:ascii="Times New Roman" w:hAnsi="Times New Roman" w:eastAsia="宋体" w:cs="Times New Roman"/>
          <w:b/>
          <w:sz w:val="36"/>
          <w:szCs w:val="36"/>
          <w:lang w:val="en-US" w:eastAsia="zh-CN"/>
        </w:rPr>
        <w:t>7招标公告、投标邀请书</w:t>
      </w:r>
      <w:bookmarkEnd w:id="63"/>
      <w:bookmarkEnd w:id="64"/>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65" w:name="_Toc29612_WPSOffice_Level1"/>
      <w:bookmarkStart w:id="66" w:name="_Toc5938"/>
      <w:r>
        <w:rPr>
          <w:rFonts w:hint="eastAsia" w:ascii="Times New Roman" w:hAnsi="Times New Roman" w:eastAsia="宋体" w:cs="Times New Roman"/>
          <w:b/>
          <w:kern w:val="0"/>
          <w:sz w:val="28"/>
          <w:szCs w:val="28"/>
          <w:lang w:val="en-US" w:eastAsia="zh-CN"/>
        </w:rPr>
        <w:t>7.1 一般规定</w:t>
      </w:r>
      <w:bookmarkEnd w:id="65"/>
      <w:bookmarkEnd w:id="66"/>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7.1.1 </w:t>
      </w:r>
      <w:r>
        <w:rPr>
          <w:rFonts w:hint="eastAsia" w:ascii="Times New Roman" w:hAnsi="Times New Roman" w:eastAsia="宋体" w:cs="Times New Roman"/>
          <w:b w:val="0"/>
          <w:bCs w:val="0"/>
          <w:sz w:val="24"/>
          <w:szCs w:val="24"/>
        </w:rPr>
        <w:t>在招标必需的基础资料收集齐全、招标准备及计划完成后，编制招标公告或投标邀请书。</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7.1.2 </w:t>
      </w:r>
      <w:r>
        <w:rPr>
          <w:rFonts w:hint="eastAsia" w:ascii="Times New Roman" w:hAnsi="Times New Roman" w:eastAsia="宋体" w:cs="Times New Roman"/>
          <w:b w:val="0"/>
          <w:bCs w:val="0"/>
          <w:sz w:val="24"/>
          <w:szCs w:val="24"/>
        </w:rPr>
        <w:t>依法必须招标项目，发布招标公告或发出投标邀请书应具备下列条件：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招标人已经依法成立；</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项目按规定已经履行审批、核准或者备案手续；</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项目建设相应资金或资金来源已落实；</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项目建设招标所需的设计文件及其他技术资料；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法律法规规定的其他条件。</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7.1.3 </w:t>
      </w:r>
      <w:r>
        <w:rPr>
          <w:rFonts w:hint="eastAsia" w:ascii="Times New Roman" w:hAnsi="Times New Roman" w:eastAsia="宋体" w:cs="Times New Roman"/>
          <w:b w:val="0"/>
          <w:bCs w:val="0"/>
          <w:sz w:val="24"/>
          <w:szCs w:val="24"/>
        </w:rPr>
        <w:t>依法必须招标项目，采用公开招标方式的，</w:t>
      </w:r>
      <w:r>
        <w:rPr>
          <w:rFonts w:hint="default" w:ascii="Times New Roman" w:hAnsi="Times New Roman" w:eastAsia="宋体" w:cs="Times New Roman"/>
          <w:b w:val="0"/>
          <w:bCs w:val="0"/>
          <w:sz w:val="24"/>
          <w:szCs w:val="24"/>
        </w:rPr>
        <w:t>招标</w:t>
      </w:r>
      <w:r>
        <w:rPr>
          <w:rFonts w:hint="eastAsia" w:ascii="Times New Roman" w:hAnsi="Times New Roman" w:eastAsia="宋体" w:cs="Times New Roman"/>
          <w:b w:val="0"/>
          <w:bCs w:val="0"/>
          <w:sz w:val="24"/>
          <w:szCs w:val="24"/>
          <w:lang w:val="en-US" w:eastAsia="zh-CN"/>
        </w:rPr>
        <w:t>代理机构</w:t>
      </w:r>
      <w:r>
        <w:rPr>
          <w:rFonts w:hint="eastAsia" w:ascii="Times New Roman" w:hAnsi="Times New Roman" w:eastAsia="宋体" w:cs="Times New Roman"/>
          <w:b w:val="0"/>
          <w:bCs w:val="0"/>
          <w:sz w:val="24"/>
          <w:szCs w:val="24"/>
        </w:rPr>
        <w:t>应在国家或省指定的媒介发布招标公告。采用邀请招标方式的，</w:t>
      </w:r>
      <w:r>
        <w:rPr>
          <w:rFonts w:hint="default" w:ascii="Times New Roman" w:hAnsi="Times New Roman" w:eastAsia="宋体" w:cs="Times New Roman"/>
          <w:b w:val="0"/>
          <w:bCs w:val="0"/>
          <w:sz w:val="24"/>
          <w:szCs w:val="24"/>
        </w:rPr>
        <w:t>招标</w:t>
      </w:r>
      <w:r>
        <w:rPr>
          <w:rFonts w:hint="eastAsia" w:ascii="Times New Roman" w:hAnsi="Times New Roman" w:eastAsia="宋体" w:cs="Times New Roman"/>
          <w:b w:val="0"/>
          <w:bCs w:val="0"/>
          <w:sz w:val="24"/>
          <w:szCs w:val="24"/>
          <w:lang w:val="en-US" w:eastAsia="zh-CN"/>
        </w:rPr>
        <w:t>代理机构</w:t>
      </w:r>
      <w:r>
        <w:rPr>
          <w:rFonts w:hint="eastAsia" w:ascii="Times New Roman" w:hAnsi="Times New Roman" w:eastAsia="宋体" w:cs="Times New Roman"/>
          <w:b w:val="0"/>
          <w:bCs w:val="0"/>
          <w:sz w:val="24"/>
          <w:szCs w:val="24"/>
        </w:rPr>
        <w:t>应向3个以上具备承担招标项目能力、资信良好的特定的法人或其他组织发出投标邀请书。</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7.1.4 </w:t>
      </w:r>
      <w:r>
        <w:rPr>
          <w:rFonts w:hint="eastAsia" w:ascii="Times New Roman" w:hAnsi="Times New Roman" w:eastAsia="宋体" w:cs="Times New Roman"/>
          <w:b w:val="0"/>
          <w:bCs w:val="0"/>
          <w:sz w:val="24"/>
          <w:szCs w:val="24"/>
        </w:rPr>
        <w:t>招标公告、投标邀请书应作为招标文件的第一章，其载明事项应与招标文件其他章节内容一致。</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67" w:name="_Toc5923"/>
      <w:bookmarkStart w:id="68" w:name="_Toc20653_WPSOffice_Level1"/>
      <w:r>
        <w:rPr>
          <w:rFonts w:hint="eastAsia" w:ascii="Times New Roman" w:hAnsi="Times New Roman" w:eastAsia="宋体" w:cs="Times New Roman"/>
          <w:b/>
          <w:kern w:val="0"/>
          <w:sz w:val="28"/>
          <w:szCs w:val="28"/>
          <w:lang w:val="en-US" w:eastAsia="zh-CN"/>
        </w:rPr>
        <w:t>7.2 招标公告、投标邀请书编制</w:t>
      </w:r>
      <w:bookmarkEnd w:id="67"/>
      <w:bookmarkEnd w:id="68"/>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7.2.1 </w:t>
      </w:r>
      <w:r>
        <w:rPr>
          <w:rFonts w:hint="eastAsia" w:ascii="Times New Roman" w:hAnsi="Times New Roman" w:eastAsia="宋体" w:cs="Times New Roman"/>
          <w:b w:val="0"/>
          <w:bCs w:val="0"/>
          <w:sz w:val="24"/>
          <w:szCs w:val="24"/>
        </w:rPr>
        <w:t>招标公告、投标邀请书是招标文件的组成部分，招标代理机构应根据招标项目的特点和需要编制，保证招标公吿的内容真实、准确、完整，并对以下内容</w:t>
      </w:r>
      <w:r>
        <w:rPr>
          <w:rFonts w:hint="eastAsia" w:ascii="Times New Roman" w:hAnsi="Times New Roman" w:eastAsia="宋体" w:cs="Times New Roman"/>
          <w:b w:val="0"/>
          <w:bCs w:val="0"/>
          <w:sz w:val="24"/>
          <w:szCs w:val="24"/>
          <w:lang w:val="en-US" w:eastAsia="zh-CN"/>
        </w:rPr>
        <w:t>作</w:t>
      </w:r>
      <w:r>
        <w:rPr>
          <w:rFonts w:hint="eastAsia" w:ascii="Times New Roman" w:hAnsi="Times New Roman" w:eastAsia="宋体" w:cs="Times New Roman"/>
          <w:b w:val="0"/>
          <w:bCs w:val="0"/>
          <w:sz w:val="24"/>
          <w:szCs w:val="24"/>
        </w:rPr>
        <w:t>出简要规定或说明：</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招标条件（包括项目名称、批文名称及编号、项目审批、核准或招标人名称、资金来源等）；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项目概况与招标范围（包括招标项目的建设地点、规模、投资估算或工程概算、合同估算价、计划工期、招标范围、标段划分等）；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投标人的资格条件要求（包括投标人资质及业绩、</w:t>
      </w:r>
      <w:r>
        <w:rPr>
          <w:rFonts w:hint="eastAsia" w:ascii="Times New Roman" w:hAnsi="Times New Roman" w:eastAsia="宋体" w:cs="Times New Roman"/>
          <w:b w:val="0"/>
          <w:bCs w:val="0"/>
          <w:sz w:val="24"/>
          <w:szCs w:val="24"/>
          <w:lang w:val="en-US" w:eastAsia="zh-CN"/>
        </w:rPr>
        <w:t>项目</w:t>
      </w:r>
      <w:r>
        <w:rPr>
          <w:rFonts w:hint="eastAsia" w:ascii="Times New Roman" w:hAnsi="Times New Roman" w:eastAsia="宋体" w:cs="Times New Roman"/>
          <w:b w:val="0"/>
          <w:bCs w:val="0"/>
          <w:sz w:val="24"/>
          <w:szCs w:val="24"/>
        </w:rPr>
        <w:t>负责人资格及业绩、是否接受联合体、允许投标的标段个数及允许中标的标段个数等）；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招标文件获取的时间、地点、费用；</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投标文件的递交截止日期、递交地点；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招标公告发布的媒介，投标邀请书的确认；</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7</w:t>
      </w:r>
      <w:r>
        <w:rPr>
          <w:rFonts w:hint="eastAsia" w:ascii="Times New Roman" w:hAnsi="Times New Roman" w:eastAsia="宋体" w:cs="Times New Roman"/>
          <w:b w:val="0"/>
          <w:bCs w:val="0"/>
          <w:sz w:val="24"/>
          <w:szCs w:val="24"/>
        </w:rPr>
        <w:t xml:space="preserve"> 采用电子招标投标方式的，潜在投标人访问电子招标投标交易平台的网址和方法；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8</w:t>
      </w:r>
      <w:r>
        <w:rPr>
          <w:rFonts w:hint="eastAsia" w:ascii="Times New Roman" w:hAnsi="Times New Roman" w:eastAsia="宋体" w:cs="Times New Roman"/>
          <w:b w:val="0"/>
          <w:bCs w:val="0"/>
          <w:sz w:val="24"/>
          <w:szCs w:val="24"/>
        </w:rPr>
        <w:t xml:space="preserve"> 招标投标行政监督部门名称</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lang w:val="en-US" w:eastAsia="zh-CN"/>
        </w:rPr>
        <w:t>联系方式</w:t>
      </w:r>
      <w:r>
        <w:rPr>
          <w:rFonts w:hint="eastAsia" w:ascii="Times New Roman" w:hAnsi="Times New Roman" w:eastAsia="宋体" w:cs="Times New Roman"/>
          <w:b w:val="0"/>
          <w:bCs w:val="0"/>
          <w:sz w:val="24"/>
          <w:szCs w:val="24"/>
        </w:rPr>
        <w:t>；</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9</w:t>
      </w:r>
      <w:r>
        <w:rPr>
          <w:rFonts w:hint="eastAsia" w:ascii="Times New Roman" w:hAnsi="Times New Roman" w:eastAsia="宋体" w:cs="Times New Roman"/>
          <w:b w:val="0"/>
          <w:bCs w:val="0"/>
          <w:sz w:val="24"/>
          <w:szCs w:val="24"/>
        </w:rPr>
        <w:t xml:space="preserve"> 招标人、招标代理机构的名称、地址、联系人、联系电话；</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10</w:t>
      </w:r>
      <w:r>
        <w:rPr>
          <w:rFonts w:hint="eastAsia" w:ascii="Times New Roman" w:hAnsi="Times New Roman" w:eastAsia="宋体" w:cs="Times New Roman"/>
          <w:b w:val="0"/>
          <w:bCs w:val="0"/>
          <w:sz w:val="24"/>
          <w:szCs w:val="24"/>
        </w:rPr>
        <w:t xml:space="preserve"> 受理异议的联系人和联系方式；</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11</w:t>
      </w:r>
      <w:r>
        <w:rPr>
          <w:rFonts w:hint="eastAsia" w:ascii="Times New Roman" w:hAnsi="Times New Roman" w:eastAsia="宋体" w:cs="Times New Roman"/>
          <w:b w:val="0"/>
          <w:bCs w:val="0"/>
          <w:sz w:val="24"/>
          <w:szCs w:val="24"/>
        </w:rPr>
        <w:t xml:space="preserve"> 其他依法应载明的内容。</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7.2.2 </w:t>
      </w:r>
      <w:r>
        <w:rPr>
          <w:rFonts w:hint="eastAsia" w:ascii="Times New Roman" w:hAnsi="Times New Roman" w:eastAsia="宋体" w:cs="Times New Roman"/>
          <w:b w:val="0"/>
          <w:bCs w:val="0"/>
          <w:sz w:val="24"/>
          <w:szCs w:val="24"/>
        </w:rPr>
        <w:t>招标公告应符合招标项目的需要，不应有模棱两可或者产生歧义的条款和文字，不得对潜在投标人提出与招标项目实际要求不符的资质、资格和业绩要求等，不得含有倾向或排斥潜在投标人内容。</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7.2.3 </w:t>
      </w:r>
      <w:r>
        <w:rPr>
          <w:rFonts w:hint="eastAsia" w:ascii="Times New Roman" w:hAnsi="Times New Roman" w:eastAsia="宋体" w:cs="Times New Roman"/>
          <w:b w:val="0"/>
          <w:bCs w:val="0"/>
          <w:sz w:val="24"/>
          <w:szCs w:val="24"/>
        </w:rPr>
        <w:t>招标公告中如要求投标人提供与招标项目类似的业绩，应明确描述类似项目的主要特征。</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7.2.4 </w:t>
      </w:r>
      <w:r>
        <w:rPr>
          <w:rFonts w:hint="eastAsia" w:ascii="Times New Roman" w:hAnsi="Times New Roman" w:eastAsia="宋体" w:cs="Times New Roman"/>
          <w:b w:val="0"/>
          <w:bCs w:val="0"/>
          <w:sz w:val="24"/>
          <w:szCs w:val="24"/>
        </w:rPr>
        <w:t>国家、省有关部门制定</w:t>
      </w:r>
      <w:r>
        <w:rPr>
          <w:rFonts w:hint="eastAsia" w:ascii="Times New Roman" w:hAnsi="Times New Roman" w:eastAsia="宋体" w:cs="Times New Roman"/>
          <w:b w:val="0"/>
          <w:bCs w:val="0"/>
          <w:sz w:val="24"/>
          <w:szCs w:val="24"/>
          <w:lang w:val="en-US" w:eastAsia="zh-CN"/>
        </w:rPr>
        <w:t>标准招标文件（示范文本）</w:t>
      </w:r>
      <w:r>
        <w:rPr>
          <w:rFonts w:hint="eastAsia" w:ascii="Times New Roman" w:hAnsi="Times New Roman" w:eastAsia="宋体" w:cs="Times New Roman"/>
          <w:b w:val="0"/>
          <w:bCs w:val="0"/>
          <w:sz w:val="24"/>
          <w:szCs w:val="24"/>
        </w:rPr>
        <w:t>的，依法必须招标项目应按标准招标文件（示范文本</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规定的格式编制招标公告或投标邀请书。</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69" w:name="_Toc2336"/>
      <w:bookmarkStart w:id="70" w:name="_Toc6316_WPSOffice_Level1"/>
      <w:r>
        <w:rPr>
          <w:rFonts w:hint="eastAsia" w:ascii="Times New Roman" w:hAnsi="Times New Roman" w:eastAsia="宋体" w:cs="Times New Roman"/>
          <w:b/>
          <w:kern w:val="0"/>
          <w:sz w:val="28"/>
          <w:szCs w:val="28"/>
          <w:lang w:val="en-US" w:eastAsia="zh-CN"/>
        </w:rPr>
        <w:t>7.3 招标公吿的发布、投标邀请书的发出</w:t>
      </w:r>
      <w:bookmarkEnd w:id="69"/>
      <w:bookmarkEnd w:id="70"/>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7.3.1 </w:t>
      </w:r>
      <w:r>
        <w:rPr>
          <w:rFonts w:hint="eastAsia" w:ascii="Times New Roman" w:hAnsi="Times New Roman" w:eastAsia="宋体" w:cs="Times New Roman"/>
          <w:b w:val="0"/>
          <w:bCs w:val="0"/>
          <w:sz w:val="24"/>
          <w:szCs w:val="24"/>
        </w:rPr>
        <w:t>拟发布的招标公告、投标邀请书文本应由招标人或其委托的招标代理机构盖章，并由主要负责人或其授权负责人签名。采用数据电文形式的，应按规定进行电子签名。</w:t>
      </w:r>
    </w:p>
    <w:p>
      <w:pPr>
        <w:pStyle w:val="27"/>
        <w:spacing w:line="360" w:lineRule="auto"/>
        <w:ind w:firstLine="0" w:firstLineChars="0"/>
        <w:rPr>
          <w:rFonts w:hint="eastAsia" w:ascii="Times New Roman" w:hAnsi="Times New Roman" w:eastAsia="宋体" w:cs="Times New Roman"/>
          <w:b w:val="0"/>
          <w:bCs w:val="0"/>
          <w:sz w:val="24"/>
          <w:szCs w:val="24"/>
          <w:lang w:eastAsia="zh-CN"/>
        </w:rPr>
      </w:pPr>
      <w:r>
        <w:rPr>
          <w:rFonts w:hint="eastAsia" w:ascii="Times New Roman" w:hAnsi="Times New Roman" w:eastAsia="宋体" w:cs="Times New Roman"/>
          <w:b/>
          <w:bCs/>
          <w:sz w:val="24"/>
          <w:szCs w:val="24"/>
        </w:rPr>
        <w:t xml:space="preserve">7.3.2 </w:t>
      </w:r>
      <w:r>
        <w:rPr>
          <w:rFonts w:hint="eastAsia" w:ascii="Times New Roman" w:hAnsi="Times New Roman" w:eastAsia="宋体" w:cs="Times New Roman"/>
          <w:b w:val="0"/>
          <w:bCs w:val="0"/>
          <w:sz w:val="24"/>
          <w:szCs w:val="24"/>
        </w:rPr>
        <w:t>依法必须招标项目的招标公告应在“中国招标投标公共服务平台”或者项目所在地省级电子招标投标公共服务平台发布</w:t>
      </w:r>
      <w:r>
        <w:rPr>
          <w:rFonts w:hint="eastAsia" w:ascii="Times New Roman" w:hAnsi="Times New Roman" w:eastAsia="宋体" w:cs="Times New Roman"/>
          <w:b w:val="0"/>
          <w:bCs w:val="0"/>
          <w:sz w:val="24"/>
          <w:szCs w:val="24"/>
          <w:lang w:eastAsia="zh-CN"/>
        </w:rPr>
        <w:t>。</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在不同媒介发布依法必须招标项目的招标公告的内容应一致。</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7.3.</w:t>
      </w:r>
      <w:r>
        <w:rPr>
          <w:rFonts w:hint="eastAsia" w:ascii="Times New Roman" w:hAnsi="Times New Roman" w:eastAsia="宋体" w:cs="Times New Roman"/>
          <w:b/>
          <w:bCs/>
          <w:sz w:val="24"/>
          <w:szCs w:val="24"/>
          <w:lang w:val="en-US" w:eastAsia="zh-CN"/>
        </w:rPr>
        <w:t>3</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rPr>
        <w:t>采用资格预审或邀请招标的，招标代理机构应向通过资格预审的申请人或潜在投标人发出投标邀请书</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并要求其在投标邀请书规定的时间内以书面形式回复是否参加投标。通过资格预审的申请人或潜在投标人在投标邀请书规定的时间内未表示是否参加投标或明确表示不参加投标的</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招标代理机构不应再接受其参加投标。</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7.3.</w:t>
      </w:r>
      <w:r>
        <w:rPr>
          <w:rFonts w:hint="eastAsia" w:ascii="Times New Roman" w:hAnsi="Times New Roman" w:eastAsia="宋体" w:cs="Times New Roman"/>
          <w:b/>
          <w:bCs/>
          <w:sz w:val="24"/>
          <w:szCs w:val="24"/>
          <w:lang w:val="en-US" w:eastAsia="zh-CN"/>
        </w:rPr>
        <w:t>4</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rPr>
        <w:t>依法必须招标项目的招标公告发布前，应按招标项目所在地招标投标行政监督部门要求发布招标计划。</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71" w:name="_Toc28976"/>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72" w:name="_Toc21208_WPSOffice_Level1"/>
      <w:r>
        <w:rPr>
          <w:rFonts w:hint="eastAsia" w:ascii="Times New Roman" w:hAnsi="Times New Roman" w:eastAsia="宋体" w:cs="Times New Roman"/>
          <w:b/>
          <w:sz w:val="36"/>
          <w:szCs w:val="36"/>
          <w:lang w:val="en-US" w:eastAsia="zh-CN"/>
        </w:rPr>
        <w:t>8资格预审</w:t>
      </w:r>
      <w:bookmarkEnd w:id="71"/>
      <w:bookmarkEnd w:id="72"/>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73" w:name="_Toc8264_WPSOffice_Level1"/>
      <w:bookmarkStart w:id="74" w:name="_Toc1182"/>
      <w:r>
        <w:rPr>
          <w:rFonts w:hint="eastAsia" w:ascii="Times New Roman" w:hAnsi="Times New Roman" w:eastAsia="宋体" w:cs="Times New Roman"/>
          <w:b/>
          <w:kern w:val="0"/>
          <w:sz w:val="28"/>
          <w:szCs w:val="28"/>
          <w:lang w:val="en-US" w:eastAsia="zh-CN"/>
        </w:rPr>
        <w:t>8.1 一般规定</w:t>
      </w:r>
      <w:bookmarkEnd w:id="73"/>
      <w:bookmarkEnd w:id="74"/>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8.1.1 </w:t>
      </w:r>
      <w:r>
        <w:rPr>
          <w:rFonts w:hint="eastAsia" w:ascii="Times New Roman" w:hAnsi="Times New Roman" w:eastAsia="宋体" w:cs="Times New Roman"/>
          <w:b w:val="0"/>
          <w:bCs w:val="0"/>
          <w:sz w:val="24"/>
          <w:szCs w:val="24"/>
        </w:rPr>
        <w:t>实行资格预审的，招标人在发出投标邀请书或发售招标文件前，应按照资格预审文件的规定对潜在投标人进行资格审查。</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8.1.2 </w:t>
      </w:r>
      <w:r>
        <w:rPr>
          <w:rFonts w:hint="eastAsia" w:ascii="Times New Roman" w:hAnsi="Times New Roman" w:eastAsia="宋体" w:cs="Times New Roman"/>
          <w:b w:val="0"/>
          <w:bCs w:val="0"/>
          <w:sz w:val="24"/>
          <w:szCs w:val="24"/>
        </w:rPr>
        <w:t>招标人根据招标项目具体特点和实际需要，可选择合格制或有限数量制的审查方法。</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8.1.3 </w:t>
      </w:r>
      <w:r>
        <w:rPr>
          <w:rFonts w:hint="eastAsia" w:ascii="Times New Roman" w:hAnsi="Times New Roman" w:eastAsia="宋体" w:cs="Times New Roman"/>
          <w:b w:val="0"/>
          <w:bCs w:val="0"/>
          <w:sz w:val="24"/>
          <w:szCs w:val="24"/>
        </w:rPr>
        <w:t>通过资格预审的申请人少于3个的，招标人重新组织资格预审或不再组织资格预审而直接招标。</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8.1.4 </w:t>
      </w:r>
      <w:r>
        <w:rPr>
          <w:rFonts w:hint="eastAsia" w:ascii="Times New Roman" w:hAnsi="Times New Roman" w:eastAsia="宋体" w:cs="Times New Roman"/>
          <w:b w:val="0"/>
          <w:bCs w:val="0"/>
          <w:sz w:val="24"/>
          <w:szCs w:val="24"/>
        </w:rPr>
        <w:t>资格预审文件载明</w:t>
      </w:r>
      <w:r>
        <w:rPr>
          <w:rFonts w:hint="eastAsia" w:ascii="Times New Roman" w:hAnsi="Times New Roman" w:eastAsia="宋体" w:cs="Times New Roman"/>
          <w:b w:val="0"/>
          <w:bCs w:val="0"/>
          <w:sz w:val="24"/>
          <w:szCs w:val="24"/>
          <w:lang w:val="en-US" w:eastAsia="zh-CN"/>
        </w:rPr>
        <w:t>的</w:t>
      </w:r>
      <w:r>
        <w:rPr>
          <w:rFonts w:hint="eastAsia" w:ascii="Times New Roman" w:hAnsi="Times New Roman" w:eastAsia="宋体" w:cs="Times New Roman"/>
          <w:b w:val="0"/>
          <w:bCs w:val="0"/>
          <w:sz w:val="24"/>
          <w:szCs w:val="24"/>
        </w:rPr>
        <w:t>资格预审的条件、标准和方法不得含有倾向性或违反公平竞争的内容。</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8.1.5 </w:t>
      </w:r>
      <w:r>
        <w:rPr>
          <w:rFonts w:hint="eastAsia" w:ascii="Times New Roman" w:hAnsi="Times New Roman" w:eastAsia="宋体" w:cs="Times New Roman"/>
          <w:b w:val="0"/>
          <w:bCs w:val="0"/>
          <w:sz w:val="24"/>
          <w:szCs w:val="24"/>
        </w:rPr>
        <w:t>资格审查应按资格预审文件规定的标准和方法进行。</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8.1.6 </w:t>
      </w:r>
      <w:r>
        <w:rPr>
          <w:rFonts w:hint="eastAsia" w:ascii="Times New Roman" w:hAnsi="Times New Roman" w:eastAsia="宋体" w:cs="Times New Roman"/>
          <w:b w:val="0"/>
          <w:bCs w:val="0"/>
          <w:sz w:val="24"/>
          <w:szCs w:val="24"/>
        </w:rPr>
        <w:t>资格预审应遵循下列基本程序：</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编制资格预审文件；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发布资格预审公告；</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发售资格预审文件；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澄清或修改资格预审文件；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组织资格审查；</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发出投标邀请书</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代资格预审通过通知书</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8.1.7 </w:t>
      </w:r>
      <w:r>
        <w:rPr>
          <w:rFonts w:hint="eastAsia" w:ascii="Times New Roman" w:hAnsi="Times New Roman" w:eastAsia="宋体" w:cs="Times New Roman"/>
          <w:b w:val="0"/>
          <w:bCs w:val="0"/>
          <w:sz w:val="24"/>
          <w:szCs w:val="24"/>
        </w:rPr>
        <w:t>资格预审文件的内容违反法律法规的强制规定，影响资格预审结果的，</w:t>
      </w:r>
      <w:r>
        <w:rPr>
          <w:rFonts w:hint="eastAsia" w:ascii="Times New Roman" w:hAnsi="Times New Roman" w:eastAsia="宋体" w:cs="Times New Roman"/>
          <w:b w:val="0"/>
          <w:bCs w:val="0"/>
          <w:sz w:val="24"/>
          <w:szCs w:val="24"/>
          <w:lang w:val="en-US" w:eastAsia="zh-CN"/>
        </w:rPr>
        <w:t>依法必须进行招标的项目的</w:t>
      </w:r>
      <w:r>
        <w:rPr>
          <w:rFonts w:hint="eastAsia" w:ascii="Times New Roman" w:hAnsi="Times New Roman" w:eastAsia="宋体" w:cs="Times New Roman"/>
          <w:b w:val="0"/>
          <w:bCs w:val="0"/>
          <w:sz w:val="24"/>
          <w:szCs w:val="24"/>
        </w:rPr>
        <w:t>招标人应修</w:t>
      </w:r>
      <w:r>
        <w:rPr>
          <w:rFonts w:hint="eastAsia" w:ascii="Times New Roman" w:hAnsi="Times New Roman" w:eastAsia="宋体" w:cs="Times New Roman"/>
          <w:b w:val="0"/>
          <w:bCs w:val="0"/>
          <w:sz w:val="24"/>
          <w:szCs w:val="24"/>
          <w:lang w:val="en-US" w:eastAsia="zh-CN"/>
        </w:rPr>
        <w:t>改</w:t>
      </w:r>
      <w:r>
        <w:rPr>
          <w:rFonts w:hint="eastAsia" w:ascii="Times New Roman" w:hAnsi="Times New Roman" w:eastAsia="宋体" w:cs="Times New Roman"/>
          <w:b w:val="0"/>
          <w:bCs w:val="0"/>
          <w:sz w:val="24"/>
          <w:szCs w:val="24"/>
        </w:rPr>
        <w:t>资格预审文件，重新招标。</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8.1.8 </w:t>
      </w:r>
      <w:r>
        <w:rPr>
          <w:rFonts w:hint="eastAsia" w:ascii="Times New Roman" w:hAnsi="Times New Roman" w:eastAsia="宋体" w:cs="Times New Roman"/>
          <w:b w:val="0"/>
          <w:bCs w:val="0"/>
          <w:sz w:val="24"/>
          <w:szCs w:val="24"/>
        </w:rPr>
        <w:t>招标人发出资格预审文件后终止招标的，应发布公告通知已获取资格预审文件的潜在投标人；已发售资格预审文件的，应退还收取的资格预审文件费用。</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8.1.9 </w:t>
      </w:r>
      <w:r>
        <w:rPr>
          <w:rFonts w:hint="eastAsia" w:ascii="Times New Roman" w:hAnsi="Times New Roman" w:eastAsia="宋体" w:cs="Times New Roman"/>
          <w:b w:val="0"/>
          <w:bCs w:val="0"/>
          <w:sz w:val="24"/>
          <w:szCs w:val="24"/>
        </w:rPr>
        <w:t>资格预审通过后，投标人发生合并、分立、破产等重大变化的，投标人是否仍具备资格预审文件规定的资格条件或其投标是否影响招标公正性。其认定方式如下：</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国有资金占控股或者主导地位的依法必须进行招标的项目，通过资格预审的申请人在提交投标文件前发生重大变化的，由招标人组织原资格审查委员会进行评审。对其是否具备投标资格作出认定；</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在评标阶段投标人发生重大变化的，由评标委员会依据招标文件或资格预审文件对投标人的资格条件进行复核，并对其是否具备投标条件或是否影响招标的公正性进行评估；</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评标结束后，中标通知书发出前，中标候选人发生重大变化的，招标人组织原评标委员会根据招标文件或资格预审文件对中标候选人的履约能力进行审查，依法维持原评标结果或重新确定中标候选人；</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中标通知书发出后，中标人发生重大变化</w:t>
      </w:r>
      <w:r>
        <w:rPr>
          <w:rFonts w:hint="eastAsia" w:ascii="Times New Roman" w:hAnsi="Times New Roman" w:eastAsia="宋体" w:cs="Times New Roman"/>
          <w:b w:val="0"/>
          <w:bCs w:val="0"/>
          <w:sz w:val="24"/>
          <w:szCs w:val="24"/>
          <w:lang w:val="en-US" w:eastAsia="zh-CN"/>
        </w:rPr>
        <w:t>不符合中标条件且尚未签订合同或已经签订合同但尚未履行的</w:t>
      </w:r>
      <w:r>
        <w:rPr>
          <w:rFonts w:hint="eastAsia" w:ascii="Times New Roman" w:hAnsi="Times New Roman" w:eastAsia="宋体" w:cs="Times New Roman"/>
          <w:b w:val="0"/>
          <w:bCs w:val="0"/>
          <w:sz w:val="24"/>
          <w:szCs w:val="24"/>
        </w:rPr>
        <w:t>，</w:t>
      </w:r>
      <w:r>
        <w:rPr>
          <w:rFonts w:hint="eastAsia" w:ascii="Times New Roman" w:hAnsi="Times New Roman" w:eastAsia="宋体" w:cs="Times New Roman"/>
          <w:b w:val="0"/>
          <w:bCs w:val="0"/>
          <w:sz w:val="24"/>
          <w:szCs w:val="24"/>
          <w:lang w:val="en-US" w:eastAsia="zh-CN"/>
        </w:rPr>
        <w:t>招标人可以按照评标委员会提出的中标候选人名单确定其他中标候选人为中标人，也可以重新招标。合同已经履行给他人造成损失的，相关当事人可依法提起诉讼，由责任人依法承担损失。</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8.1.10 </w:t>
      </w:r>
      <w:r>
        <w:rPr>
          <w:rFonts w:hint="eastAsia" w:ascii="Times New Roman" w:hAnsi="Times New Roman" w:eastAsia="宋体" w:cs="Times New Roman"/>
          <w:b w:val="0"/>
          <w:bCs w:val="0"/>
          <w:sz w:val="24"/>
          <w:szCs w:val="24"/>
        </w:rPr>
        <w:t>投标人发生合并、分立、破产等重大变化，且不再具备资格预审文件规定的资格条件或其投标影响招标公正性的，其投标无效。</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75" w:name="_Toc5733"/>
      <w:bookmarkStart w:id="76" w:name="_Toc27858_WPSOffice_Level1"/>
      <w:r>
        <w:rPr>
          <w:rFonts w:hint="eastAsia" w:ascii="Times New Roman" w:hAnsi="Times New Roman" w:eastAsia="宋体" w:cs="Times New Roman"/>
          <w:b/>
          <w:kern w:val="0"/>
          <w:sz w:val="28"/>
          <w:szCs w:val="28"/>
          <w:lang w:val="en-US" w:eastAsia="zh-CN"/>
        </w:rPr>
        <w:t>8.2 资格预审文件编制</w:t>
      </w:r>
      <w:bookmarkEnd w:id="75"/>
      <w:bookmarkEnd w:id="76"/>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8.2.1 </w:t>
      </w:r>
      <w:r>
        <w:rPr>
          <w:rFonts w:hint="eastAsia" w:ascii="Times New Roman" w:hAnsi="Times New Roman" w:eastAsia="宋体" w:cs="Times New Roman"/>
          <w:b w:val="0"/>
          <w:bCs w:val="0"/>
          <w:sz w:val="24"/>
          <w:szCs w:val="24"/>
          <w:lang w:val="en-US" w:eastAsia="zh-CN"/>
        </w:rPr>
        <w:t>招标代理机构编制资格预审文件时，</w:t>
      </w:r>
      <w:r>
        <w:rPr>
          <w:rFonts w:hint="eastAsia" w:ascii="Times New Roman" w:hAnsi="Times New Roman" w:eastAsia="宋体" w:cs="Times New Roman"/>
          <w:b w:val="0"/>
          <w:bCs w:val="0"/>
          <w:sz w:val="24"/>
          <w:szCs w:val="24"/>
        </w:rPr>
        <w:t>应全面分析招标项目的特点，提出招标项目范围及具体要求，对潜在投标人的资格条件、履约能力作出规定，列明资格预审的条件、方法、标准和程序。</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8.2.2 </w:t>
      </w:r>
      <w:r>
        <w:rPr>
          <w:rFonts w:hint="eastAsia" w:ascii="Times New Roman" w:hAnsi="Times New Roman" w:eastAsia="宋体" w:cs="Times New Roman"/>
          <w:b w:val="0"/>
          <w:bCs w:val="0"/>
          <w:sz w:val="24"/>
          <w:szCs w:val="24"/>
        </w:rPr>
        <w:t>资格预审文件应包括资格预审公告、申请人须知、资格审查办法、资格预审申请文件格式、项目概况等章节。</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8.2.3 </w:t>
      </w:r>
      <w:r>
        <w:rPr>
          <w:rFonts w:hint="eastAsia" w:ascii="Times New Roman" w:hAnsi="Times New Roman" w:eastAsia="宋体" w:cs="Times New Roman"/>
          <w:b w:val="0"/>
          <w:bCs w:val="0"/>
          <w:sz w:val="24"/>
          <w:szCs w:val="24"/>
        </w:rPr>
        <w:t>资格预审公告应包括以下内容：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招标条件（包括项目名称、批文名称及编号、项目审批核准或备案机关名称、招标人名称、资金来源等）；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项目概况与招标范围（包括招标项目的建设地点、规模、计划工期、招标范围、标段划分等）；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申请人资格要求（包括申请人资质及业绩、是否接受联合体、允许投标的标段个数及允许中标的标段个数等）；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资格预审方法；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资格预审文件获取的时间、地点、费用；</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资格预审申请文件的递交截止日期、递交地点；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7</w:t>
      </w:r>
      <w:r>
        <w:rPr>
          <w:rFonts w:hint="eastAsia" w:ascii="Times New Roman" w:hAnsi="Times New Roman" w:eastAsia="宋体" w:cs="Times New Roman"/>
          <w:b w:val="0"/>
          <w:bCs w:val="0"/>
          <w:sz w:val="24"/>
          <w:szCs w:val="24"/>
        </w:rPr>
        <w:t xml:space="preserve"> 发布资格预审公告的媒介；</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8</w:t>
      </w:r>
      <w:r>
        <w:rPr>
          <w:rFonts w:hint="eastAsia" w:ascii="Times New Roman" w:hAnsi="Times New Roman" w:eastAsia="宋体" w:cs="Times New Roman"/>
          <w:b w:val="0"/>
          <w:bCs w:val="0"/>
          <w:sz w:val="24"/>
          <w:szCs w:val="24"/>
        </w:rPr>
        <w:t xml:space="preserve"> 采用电子招标投标方式的，潜在投标人访问电子招标投标交易平台的网址和方法；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9</w:t>
      </w:r>
      <w:r>
        <w:rPr>
          <w:rFonts w:hint="eastAsia" w:ascii="Times New Roman" w:hAnsi="Times New Roman" w:eastAsia="宋体" w:cs="Times New Roman"/>
          <w:b w:val="0"/>
          <w:bCs w:val="0"/>
          <w:sz w:val="24"/>
          <w:szCs w:val="24"/>
          <w:lang w:val="en-US" w:eastAsia="zh-CN"/>
        </w:rPr>
        <w:t xml:space="preserve"> 招标投标行政监督部门名称、联系方式；</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10</w:t>
      </w:r>
      <w:r>
        <w:rPr>
          <w:rFonts w:hint="eastAsia" w:ascii="Times New Roman" w:hAnsi="Times New Roman" w:eastAsia="宋体" w:cs="Times New Roman"/>
          <w:b w:val="0"/>
          <w:bCs w:val="0"/>
          <w:sz w:val="24"/>
          <w:szCs w:val="24"/>
        </w:rPr>
        <w:t xml:space="preserve"> 招标人、招标代理机构的名称、地址、联系人、联系电话；</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11</w:t>
      </w:r>
      <w:r>
        <w:rPr>
          <w:rFonts w:hint="eastAsia" w:ascii="Times New Roman" w:hAnsi="Times New Roman" w:eastAsia="宋体" w:cs="Times New Roman"/>
          <w:b w:val="0"/>
          <w:bCs w:val="0"/>
          <w:sz w:val="24"/>
          <w:szCs w:val="24"/>
        </w:rPr>
        <w:t xml:space="preserve"> 受理异议的联系人和联系方式；</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12</w:t>
      </w:r>
      <w:r>
        <w:rPr>
          <w:rFonts w:hint="eastAsia" w:ascii="Times New Roman" w:hAnsi="Times New Roman" w:eastAsia="宋体" w:cs="Times New Roman"/>
          <w:b w:val="0"/>
          <w:bCs w:val="0"/>
          <w:sz w:val="24"/>
          <w:szCs w:val="24"/>
        </w:rPr>
        <w:t xml:space="preserve"> 其他依法应载明的内容。</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8.2.4 </w:t>
      </w:r>
      <w:r>
        <w:rPr>
          <w:rFonts w:hint="eastAsia" w:ascii="Times New Roman" w:hAnsi="Times New Roman" w:eastAsia="宋体" w:cs="Times New Roman"/>
          <w:b w:val="0"/>
          <w:bCs w:val="0"/>
          <w:sz w:val="24"/>
          <w:szCs w:val="24"/>
        </w:rPr>
        <w:t>申请人须知应对下列内容作出说明（包括不限于）：</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项目质量要求；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申请人资质条件、能力和信誉；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申请人近年财务状况的年份要求；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完成的类似项目的年份要求；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资格预审文件澄清、修订截止时间，资格申请截止时间，资格预审文件的递交时间；</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资格审查方法；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7</w:t>
      </w:r>
      <w:r>
        <w:rPr>
          <w:rFonts w:hint="eastAsia" w:ascii="Times New Roman" w:hAnsi="Times New Roman" w:eastAsia="宋体" w:cs="Times New Roman"/>
          <w:b w:val="0"/>
          <w:bCs w:val="0"/>
          <w:sz w:val="24"/>
          <w:szCs w:val="24"/>
        </w:rPr>
        <w:t xml:space="preserve"> 资格预审结果的通知时间，资格预审结果的确认时间等。</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8.2.5 </w:t>
      </w:r>
      <w:r>
        <w:rPr>
          <w:rFonts w:hint="eastAsia" w:ascii="Times New Roman" w:hAnsi="Times New Roman" w:eastAsia="宋体" w:cs="Times New Roman"/>
          <w:b w:val="0"/>
          <w:bCs w:val="0"/>
          <w:sz w:val="24"/>
          <w:szCs w:val="24"/>
        </w:rPr>
        <w:t>资格审查办法应包括审查方法、审查标准、审查程序、审查结果。采用有限数量制的，还应编制详细的评分标准。</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8.2.6 </w:t>
      </w:r>
      <w:r>
        <w:rPr>
          <w:rFonts w:hint="eastAsia" w:ascii="Times New Roman" w:hAnsi="Times New Roman" w:eastAsia="宋体" w:cs="Times New Roman"/>
          <w:b w:val="0"/>
          <w:bCs w:val="0"/>
          <w:sz w:val="24"/>
          <w:szCs w:val="24"/>
        </w:rPr>
        <w:t>编制依法必须招标项目的资格预审文件，应使用国家、省有关部门制定的标准资格预审文件（示范文本）。</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8.2.7 </w:t>
      </w:r>
      <w:r>
        <w:rPr>
          <w:rFonts w:hint="eastAsia" w:ascii="Times New Roman" w:hAnsi="Times New Roman" w:eastAsia="宋体" w:cs="Times New Roman"/>
          <w:b w:val="0"/>
          <w:bCs w:val="0"/>
          <w:sz w:val="24"/>
          <w:szCs w:val="24"/>
        </w:rPr>
        <w:t>资格预审文件的主要内容应与发布的资格预审公告内容一致。</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77" w:name="_Toc12297"/>
      <w:bookmarkStart w:id="78" w:name="_Toc11929_WPSOffice_Level1"/>
      <w:r>
        <w:rPr>
          <w:rFonts w:hint="eastAsia" w:ascii="Times New Roman" w:hAnsi="Times New Roman" w:eastAsia="宋体" w:cs="Times New Roman"/>
          <w:b/>
          <w:kern w:val="0"/>
          <w:sz w:val="28"/>
          <w:szCs w:val="28"/>
          <w:lang w:val="en-US" w:eastAsia="zh-CN"/>
        </w:rPr>
        <w:t>8.3 资格预审公告的发布、资格预审文件的发布、澄清及异议</w:t>
      </w:r>
      <w:bookmarkEnd w:id="77"/>
      <w:bookmarkEnd w:id="78"/>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8.3.1 </w:t>
      </w:r>
      <w:r>
        <w:rPr>
          <w:rFonts w:hint="eastAsia" w:ascii="Times New Roman" w:hAnsi="Times New Roman" w:eastAsia="宋体" w:cs="Times New Roman"/>
          <w:b w:val="0"/>
          <w:bCs w:val="0"/>
          <w:sz w:val="24"/>
          <w:szCs w:val="24"/>
        </w:rPr>
        <w:t>拟发布的资格预审公告和拟发售的资格预审文件应由招标人或其委托的招标代理机构盖章，并由主要负责人或其授权负责人签名。采用数据电文形式的，应按规定进行电子签名。</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8.3.2 </w:t>
      </w:r>
      <w:r>
        <w:rPr>
          <w:rFonts w:hint="eastAsia" w:ascii="Times New Roman" w:hAnsi="Times New Roman" w:eastAsia="宋体" w:cs="Times New Roman"/>
          <w:b w:val="0"/>
          <w:bCs w:val="0"/>
          <w:sz w:val="24"/>
          <w:szCs w:val="24"/>
          <w:lang w:val="en-US" w:eastAsia="zh-CN"/>
        </w:rPr>
        <w:t>依法必须招标项目的资格预审公告应在中国招标投标公共服务平台或者项目所在地省级电子招标投标公共服务平台发布</w:t>
      </w:r>
      <w:r>
        <w:rPr>
          <w:rFonts w:hint="eastAsia" w:ascii="Times New Roman" w:hAnsi="Times New Roman" w:eastAsia="宋体" w:cs="Times New Roman"/>
          <w:b w:val="0"/>
          <w:bCs w:val="0"/>
          <w:sz w:val="24"/>
          <w:szCs w:val="24"/>
        </w:rPr>
        <w:t>。</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在不同媒介发布依法必须招标项目的资格预审公告的内容应一致。</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8.3.3 </w:t>
      </w:r>
      <w:r>
        <w:rPr>
          <w:rFonts w:hint="eastAsia" w:ascii="Times New Roman" w:hAnsi="Times New Roman" w:eastAsia="宋体" w:cs="Times New Roman"/>
          <w:b w:val="0"/>
          <w:bCs w:val="0"/>
          <w:sz w:val="24"/>
          <w:szCs w:val="24"/>
        </w:rPr>
        <w:t>资格预审文件应按照资格预审公告载明的时间和地点发售，依法必须招标项目的资格预审文件的发售期不得少于5日。</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8.3.4 </w:t>
      </w:r>
      <w:r>
        <w:rPr>
          <w:rFonts w:hint="eastAsia" w:ascii="Times New Roman" w:hAnsi="Times New Roman" w:eastAsia="宋体" w:cs="Times New Roman"/>
          <w:b w:val="0"/>
          <w:bCs w:val="0"/>
          <w:sz w:val="24"/>
          <w:szCs w:val="24"/>
        </w:rPr>
        <w:t>提交资格预审申请文件的时间，自依法必须招标项目的资格预审文件停止发售之日起不得少于5日。</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8.3.5 </w:t>
      </w:r>
      <w:r>
        <w:rPr>
          <w:rFonts w:hint="eastAsia" w:ascii="Times New Roman" w:hAnsi="Times New Roman" w:eastAsia="宋体" w:cs="Times New Roman"/>
          <w:b w:val="0"/>
          <w:bCs w:val="0"/>
          <w:sz w:val="24"/>
          <w:szCs w:val="24"/>
        </w:rPr>
        <w:t>依法必须招标项目，资格预审文件的澄清或修改可能影响资格预审申请文件编制的，招标人、招标代理机构应在提交资格预审申请文件截止时间至少3日前，以书面形式通知所有获取资格预审文件的潜在投标人，不足3日的，招标人应顺延提交资格预审申请文件的截止时间。</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8.3.6 </w:t>
      </w:r>
      <w:r>
        <w:rPr>
          <w:rFonts w:hint="eastAsia" w:ascii="Times New Roman" w:hAnsi="Times New Roman" w:eastAsia="宋体" w:cs="Times New Roman"/>
          <w:b w:val="0"/>
          <w:bCs w:val="0"/>
          <w:sz w:val="24"/>
          <w:szCs w:val="24"/>
        </w:rPr>
        <w:t>依法必须招标项目的潜在投标人或者其他利害关系人在提交资格预审申请文件截止时间2日前，对资格预审文件提出异议的，招标人、招标代理机构应自收到异议之日起3日内作出答复，作出答复前，应暂停招标投标活动。</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79" w:name="_Toc24898_WPSOffice_Level1"/>
      <w:bookmarkStart w:id="80" w:name="_Toc7336"/>
      <w:r>
        <w:rPr>
          <w:rFonts w:hint="eastAsia" w:ascii="Times New Roman" w:hAnsi="Times New Roman" w:eastAsia="宋体" w:cs="Times New Roman"/>
          <w:b/>
          <w:kern w:val="0"/>
          <w:sz w:val="28"/>
          <w:szCs w:val="28"/>
          <w:lang w:val="en-US" w:eastAsia="zh-CN"/>
        </w:rPr>
        <w:t>8.4 资格审查</w:t>
      </w:r>
      <w:bookmarkEnd w:id="79"/>
      <w:bookmarkEnd w:id="80"/>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8.4.1 </w:t>
      </w:r>
      <w:r>
        <w:rPr>
          <w:rFonts w:hint="eastAsia" w:ascii="Times New Roman" w:hAnsi="Times New Roman" w:eastAsia="宋体" w:cs="Times New Roman"/>
          <w:b w:val="0"/>
          <w:bCs w:val="0"/>
          <w:sz w:val="24"/>
          <w:szCs w:val="24"/>
        </w:rPr>
        <w:t>资格审查前，招标代理机构应准备资格审查所需的资料。</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8.4.2 </w:t>
      </w:r>
      <w:r>
        <w:rPr>
          <w:rFonts w:hint="eastAsia" w:ascii="Times New Roman" w:hAnsi="Times New Roman" w:eastAsia="宋体" w:cs="Times New Roman"/>
          <w:b w:val="0"/>
          <w:bCs w:val="0"/>
          <w:sz w:val="24"/>
          <w:szCs w:val="24"/>
        </w:rPr>
        <w:t>资格预审申请文件密封不符合资格预审文件要求以及逾期送达的</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招标人、招标代理机构应拒收。</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8.4.3 </w:t>
      </w:r>
      <w:r>
        <w:rPr>
          <w:rFonts w:hint="eastAsia" w:ascii="Times New Roman" w:hAnsi="Times New Roman" w:eastAsia="宋体" w:cs="Times New Roman"/>
          <w:b w:val="0"/>
          <w:bCs w:val="0"/>
          <w:sz w:val="24"/>
          <w:szCs w:val="24"/>
          <w:lang w:val="en-US" w:eastAsia="zh-CN"/>
        </w:rPr>
        <w:t>采用电子招标投标时，</w:t>
      </w:r>
      <w:r>
        <w:rPr>
          <w:rFonts w:hint="eastAsia" w:ascii="Times New Roman" w:hAnsi="Times New Roman" w:eastAsia="宋体" w:cs="Times New Roman"/>
          <w:b w:val="0"/>
          <w:bCs w:val="0"/>
          <w:sz w:val="24"/>
          <w:szCs w:val="24"/>
        </w:rPr>
        <w:t>招标代理机构应在资格预审公告载明的电子招标投标交易平台接收资格预审申请文件。对于在资格预审申请截止时间前未完成资格预审申请文件传输的、资格预审申请截止时间后送达的或未按规定加密的资格预审申请文件，应拒收并提示。</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8.4.4 </w:t>
      </w:r>
      <w:r>
        <w:rPr>
          <w:rFonts w:hint="eastAsia" w:ascii="Times New Roman" w:hAnsi="Times New Roman" w:eastAsia="宋体" w:cs="Times New Roman"/>
          <w:b w:val="0"/>
          <w:bCs w:val="0"/>
          <w:sz w:val="24"/>
          <w:szCs w:val="24"/>
        </w:rPr>
        <w:t>电子招标投标交易平台收到申请人送达的资格预审申请文件，应即时向申请人发出确认回执通知，并妥善保存资格预审申请文件。在资格预审申请截止时间前，除申请人补充、修订或者撤回资格预审申请文件外，任何单位和个人不得解密、提取资格预审申请文件。</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8.4.5 </w:t>
      </w:r>
      <w:r>
        <w:rPr>
          <w:rFonts w:hint="eastAsia" w:ascii="Times New Roman" w:hAnsi="Times New Roman" w:eastAsia="宋体" w:cs="Times New Roman"/>
          <w:b w:val="0"/>
          <w:bCs w:val="0"/>
          <w:sz w:val="24"/>
          <w:szCs w:val="24"/>
        </w:rPr>
        <w:t>除资格预审文件另有规定外，申请人递交的资格预审申请文件不予退还。</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8.4.6 </w:t>
      </w:r>
      <w:r>
        <w:rPr>
          <w:rFonts w:hint="eastAsia" w:ascii="Times New Roman" w:hAnsi="Times New Roman" w:eastAsia="宋体" w:cs="Times New Roman"/>
          <w:b w:val="0"/>
          <w:bCs w:val="0"/>
          <w:sz w:val="24"/>
          <w:szCs w:val="24"/>
        </w:rPr>
        <w:t>国有资金占控股或主导地位的依法必须进行招标的项目，招标人应组建资格审查委员会审查资格预审申请文件。资格审查委员会由招标人的代表和有关技术、经济等方面的专家组成，成员人数为五人以上单数，其中技术、经济等方面的专家不得少于成员总数的三分之二。</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8.4.7 </w:t>
      </w:r>
      <w:r>
        <w:rPr>
          <w:rFonts w:hint="eastAsia" w:ascii="Times New Roman" w:hAnsi="Times New Roman" w:eastAsia="宋体" w:cs="Times New Roman"/>
          <w:b w:val="0"/>
          <w:bCs w:val="0"/>
          <w:sz w:val="24"/>
          <w:szCs w:val="24"/>
        </w:rPr>
        <w:t>资格审查委员会成员与申请人有利害关系的，应主动回避。</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8.4.8 </w:t>
      </w:r>
      <w:r>
        <w:rPr>
          <w:rFonts w:hint="eastAsia" w:ascii="Times New Roman" w:hAnsi="Times New Roman" w:eastAsia="宋体" w:cs="Times New Roman"/>
          <w:b w:val="0"/>
          <w:bCs w:val="0"/>
          <w:sz w:val="24"/>
          <w:szCs w:val="24"/>
        </w:rPr>
        <w:t>资格审查委员会应按照资格预审文件中载明的标准和方法对资格预审申请人进行资格审查，完成资格审查后向招标人提交资格审查报告。</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8.4.9 </w:t>
      </w:r>
      <w:r>
        <w:rPr>
          <w:rFonts w:hint="eastAsia" w:ascii="Times New Roman" w:hAnsi="Times New Roman" w:eastAsia="宋体" w:cs="Times New Roman"/>
          <w:b w:val="0"/>
          <w:bCs w:val="0"/>
          <w:sz w:val="24"/>
          <w:szCs w:val="24"/>
        </w:rPr>
        <w:t>招标人、招标代理机构应在资格预审文件规定的时间内书面通知资格预审申请人资格预审结果，并向通过资格预审的申请人发出投标邀请书。</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8.4.10 </w:t>
      </w:r>
      <w:r>
        <w:rPr>
          <w:rFonts w:hint="eastAsia" w:ascii="Times New Roman" w:hAnsi="Times New Roman" w:eastAsia="宋体" w:cs="Times New Roman"/>
          <w:b w:val="0"/>
          <w:bCs w:val="0"/>
          <w:sz w:val="24"/>
          <w:szCs w:val="24"/>
        </w:rPr>
        <w:t>通过资格预审的申请人收到投标邀请书后，应在资格预审文件规定的时间内以书面形式回复是否参加投标。</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8.4.11 </w:t>
      </w:r>
      <w:r>
        <w:rPr>
          <w:rFonts w:hint="eastAsia" w:ascii="Times New Roman" w:hAnsi="Times New Roman" w:eastAsia="宋体" w:cs="Times New Roman"/>
          <w:b w:val="0"/>
          <w:bCs w:val="0"/>
          <w:sz w:val="24"/>
          <w:szCs w:val="24"/>
        </w:rPr>
        <w:t>招标代理机构应配合招标人处理资格预审活动中出现的异议以及配合有关招标投标行政监督部门调查处理投诉。</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8.4.12 </w:t>
      </w:r>
      <w:r>
        <w:rPr>
          <w:rFonts w:hint="eastAsia" w:ascii="Times New Roman" w:hAnsi="Times New Roman" w:eastAsia="宋体" w:cs="Times New Roman"/>
          <w:b w:val="0"/>
          <w:bCs w:val="0"/>
          <w:sz w:val="24"/>
          <w:szCs w:val="24"/>
        </w:rPr>
        <w:t>资格预审书面报告应包括以下内容：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资格预审文件；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发布资格预审公告的媒介；</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资格审查委员会的组成和评审报告；</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投标邀请书</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代资格预审通过通知书</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以及资格预审的申请人的确认；</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已通过资格预审的申请人的资格预审申请文件；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有关异议、投诉的处理结果。</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8.4.13 </w:t>
      </w:r>
      <w:r>
        <w:rPr>
          <w:rFonts w:hint="eastAsia" w:ascii="Times New Roman" w:hAnsi="Times New Roman" w:eastAsia="宋体" w:cs="Times New Roman"/>
          <w:b w:val="0"/>
          <w:bCs w:val="0"/>
          <w:sz w:val="24"/>
          <w:szCs w:val="24"/>
        </w:rPr>
        <w:t>招标文件应发售给所有通过资格预审的申请人。</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81" w:name="_Toc30425"/>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82" w:name="_Toc22204_WPSOffice_Level1"/>
      <w:r>
        <w:rPr>
          <w:rFonts w:hint="eastAsia" w:ascii="Times New Roman" w:hAnsi="Times New Roman" w:eastAsia="宋体" w:cs="Times New Roman"/>
          <w:b/>
          <w:sz w:val="36"/>
          <w:szCs w:val="36"/>
          <w:lang w:val="en-US" w:eastAsia="zh-CN"/>
        </w:rPr>
        <w:t>9招标文件编制</w:t>
      </w:r>
      <w:bookmarkEnd w:id="81"/>
      <w:bookmarkEnd w:id="82"/>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83" w:name="_Toc11680_WPSOffice_Level1"/>
      <w:bookmarkStart w:id="84" w:name="_Toc25100"/>
      <w:r>
        <w:rPr>
          <w:rFonts w:hint="eastAsia" w:ascii="Times New Roman" w:hAnsi="Times New Roman" w:eastAsia="宋体" w:cs="Times New Roman"/>
          <w:b/>
          <w:kern w:val="0"/>
          <w:sz w:val="28"/>
          <w:szCs w:val="28"/>
          <w:lang w:val="en-US" w:eastAsia="zh-CN"/>
        </w:rPr>
        <w:t>9.1 一般规定</w:t>
      </w:r>
      <w:bookmarkEnd w:id="83"/>
      <w:bookmarkEnd w:id="84"/>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9.1.1 </w:t>
      </w:r>
      <w:r>
        <w:rPr>
          <w:rFonts w:hint="eastAsia" w:ascii="Times New Roman" w:hAnsi="Times New Roman" w:eastAsia="宋体" w:cs="Times New Roman"/>
          <w:b w:val="0"/>
          <w:bCs w:val="0"/>
          <w:sz w:val="24"/>
          <w:szCs w:val="24"/>
        </w:rPr>
        <w:t>招标代理机构应根据招标项目的特点和需要编制招标文件，招标文件内容应取得招标人认可。</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9.1.2 </w:t>
      </w:r>
      <w:r>
        <w:rPr>
          <w:rFonts w:hint="eastAsia" w:ascii="Times New Roman" w:hAnsi="Times New Roman" w:eastAsia="宋体" w:cs="Times New Roman"/>
          <w:b w:val="0"/>
          <w:bCs w:val="0"/>
          <w:sz w:val="24"/>
          <w:szCs w:val="24"/>
        </w:rPr>
        <w:t>编制招标文件应具备下列条件：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技术、商务要求和标准明确；</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设计文件深度满足招标要求；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较为完整的基础资料；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法律法规规定的其他条件。</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9.1.3 </w:t>
      </w:r>
      <w:r>
        <w:rPr>
          <w:rFonts w:hint="eastAsia" w:ascii="Times New Roman" w:hAnsi="Times New Roman" w:eastAsia="宋体" w:cs="Times New Roman"/>
          <w:b w:val="0"/>
          <w:bCs w:val="0"/>
          <w:sz w:val="24"/>
          <w:szCs w:val="24"/>
        </w:rPr>
        <w:t>招标文件按标的物的类型可分为工程类招标文件、货物类招标文件和服务类招标文件。选用招标文件应遵循以下要求：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工程类招标文件适用于建筑物和构筑物的新建、改建、扩建及其相关的装修、拆除、修缮等施工招标；</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货物类招标文件适用于构成工程不可分割的组成部分，且为实现工程基本功能所必需的设备、材料等招标；</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服务类招标文件适用于为完成工程所需的勘察、设计、监理等服务招标。</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9.1.4 </w:t>
      </w:r>
      <w:r>
        <w:rPr>
          <w:rFonts w:hint="eastAsia" w:ascii="Times New Roman" w:hAnsi="Times New Roman" w:eastAsia="宋体" w:cs="Times New Roman"/>
          <w:b w:val="0"/>
          <w:bCs w:val="0"/>
          <w:sz w:val="24"/>
          <w:szCs w:val="24"/>
        </w:rPr>
        <w:t>依法必须招标项目的招标文件明确的开标时间自招标文件开始发出之日起至投标提交投标文件截止之日止，最短不得少于20日。</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85" w:name="_Toc9193_WPSOffice_Level1"/>
      <w:bookmarkStart w:id="86" w:name="_Toc25935"/>
      <w:r>
        <w:rPr>
          <w:rFonts w:hint="eastAsia" w:ascii="Times New Roman" w:hAnsi="Times New Roman" w:eastAsia="宋体" w:cs="Times New Roman"/>
          <w:b/>
          <w:kern w:val="0"/>
          <w:sz w:val="28"/>
          <w:szCs w:val="28"/>
          <w:lang w:val="en-US" w:eastAsia="zh-CN"/>
        </w:rPr>
        <w:t>9.2 招标文件编制</w:t>
      </w:r>
      <w:bookmarkEnd w:id="85"/>
      <w:bookmarkEnd w:id="86"/>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9.2.1 </w:t>
      </w:r>
      <w:r>
        <w:rPr>
          <w:rFonts w:hint="eastAsia" w:ascii="Times New Roman" w:hAnsi="Times New Roman" w:eastAsia="宋体" w:cs="Times New Roman"/>
          <w:b w:val="0"/>
          <w:bCs w:val="0"/>
          <w:sz w:val="24"/>
          <w:szCs w:val="24"/>
        </w:rPr>
        <w:t>招标文件编制依据应包括以下内容：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国家现行的相关法律法规及规范性文件；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国家和省有关标准招标文件（示范文本）和有关规程；</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招标项目的设计文件及其他技术资料；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招标项目所在地招标投标行政监督部门的相关规定。</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9.2.2 </w:t>
      </w:r>
      <w:r>
        <w:rPr>
          <w:rFonts w:hint="eastAsia" w:ascii="Times New Roman" w:hAnsi="Times New Roman" w:eastAsia="宋体" w:cs="Times New Roman"/>
          <w:b w:val="0"/>
          <w:bCs w:val="0"/>
          <w:sz w:val="24"/>
          <w:szCs w:val="24"/>
        </w:rPr>
        <w:t>招标文件内容应完整无遗漏，文字严密，表达准确。招标文件应包括以下主要内容：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招标公告或投标邀请书；</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投标人须知；</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评标办法</w:t>
      </w:r>
      <w:r>
        <w:rPr>
          <w:rFonts w:hint="eastAsia" w:ascii="Times New Roman" w:hAnsi="Times New Roman" w:eastAsia="宋体" w:cs="Times New Roman"/>
          <w:b w:val="0"/>
          <w:bCs w:val="0"/>
          <w:sz w:val="24"/>
          <w:szCs w:val="24"/>
          <w:lang w:val="en-US" w:eastAsia="zh-CN"/>
        </w:rPr>
        <w:t>及定标办法</w:t>
      </w:r>
      <w:r>
        <w:rPr>
          <w:rFonts w:hint="eastAsia" w:ascii="Times New Roman" w:hAnsi="Times New Roman" w:eastAsia="宋体" w:cs="Times New Roman"/>
          <w:b w:val="0"/>
          <w:bCs w:val="0"/>
          <w:sz w:val="24"/>
          <w:szCs w:val="24"/>
        </w:rPr>
        <w:t>；</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合同主要条款；</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技术要求；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投标文件格式。</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9.2.3 </w:t>
      </w:r>
      <w:r>
        <w:rPr>
          <w:rFonts w:hint="eastAsia" w:ascii="Times New Roman" w:hAnsi="Times New Roman" w:eastAsia="宋体" w:cs="Times New Roman"/>
          <w:b w:val="0"/>
          <w:bCs w:val="0"/>
          <w:sz w:val="24"/>
          <w:szCs w:val="24"/>
        </w:rPr>
        <w:t>招标文件主要内容除本规程第9.2.2条外，工程类招标文件还应包括工程量清单、图纸、技术标准和要求；货物类招标文件还应包括供货要求；服务类招标文件还应包括发包人（委托人）要求。</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9.2.4 </w:t>
      </w:r>
      <w:r>
        <w:rPr>
          <w:rFonts w:hint="eastAsia" w:ascii="Times New Roman" w:hAnsi="Times New Roman" w:eastAsia="宋体" w:cs="Times New Roman"/>
          <w:b w:val="0"/>
          <w:bCs w:val="0"/>
          <w:sz w:val="24"/>
          <w:szCs w:val="24"/>
        </w:rPr>
        <w:t>编制依法必须招标项目的招标文件应使用国家、省有关部门制定的标准招标文件（示范文本）。</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9.2.5 </w:t>
      </w:r>
      <w:r>
        <w:rPr>
          <w:rFonts w:hint="eastAsia" w:ascii="Times New Roman" w:hAnsi="Times New Roman" w:eastAsia="宋体" w:cs="Times New Roman"/>
          <w:b w:val="0"/>
          <w:bCs w:val="0"/>
          <w:sz w:val="24"/>
          <w:szCs w:val="24"/>
        </w:rPr>
        <w:t>招标文件的编制应符合以下要求：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招标文件编制前招标代理机构应拟定招标文件编制方案和审查流程；</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招标文件内容应符合国家法律法规规定；</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不得要求或者标明特定的生产供应者以及含有倾向或排斥潜在投标人、妨碍或者限制投标人之间公平竞争的其他内容；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招标文件条款和文字应表述清晰准确；</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招标文件中的招标公告或投标邀请书应与发布的公告或发出的投标邀请书的内容一致；</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6</w:t>
      </w:r>
      <w:r>
        <w:rPr>
          <w:rFonts w:hint="eastAsia" w:ascii="Times New Roman" w:hAnsi="Times New Roman" w:eastAsia="宋体" w:cs="Times New Roman"/>
          <w:b w:val="0"/>
          <w:bCs w:val="0"/>
          <w:sz w:val="24"/>
          <w:szCs w:val="24"/>
          <w:lang w:val="en-US" w:eastAsia="zh-CN"/>
        </w:rPr>
        <w:t xml:space="preserve"> 招标代理机构编制招标文件时相关内容应与工程量清单编制相衔接；</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7</w:t>
      </w:r>
      <w:r>
        <w:rPr>
          <w:rFonts w:hint="eastAsia" w:ascii="Times New Roman" w:hAnsi="Times New Roman" w:eastAsia="宋体" w:cs="Times New Roman"/>
          <w:b w:val="0"/>
          <w:bCs w:val="0"/>
          <w:sz w:val="24"/>
          <w:szCs w:val="24"/>
        </w:rPr>
        <w:t xml:space="preserve"> 招标项目所在地招标投标行政监督部门对招标文件编制有规定的，应从其规定。</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9.2.6 </w:t>
      </w:r>
      <w:r>
        <w:rPr>
          <w:rFonts w:hint="eastAsia" w:ascii="Times New Roman" w:hAnsi="Times New Roman" w:eastAsia="宋体" w:cs="Times New Roman"/>
          <w:b w:val="0"/>
          <w:bCs w:val="0"/>
          <w:sz w:val="24"/>
          <w:szCs w:val="24"/>
        </w:rPr>
        <w:t>投标人须知编制应符合下列要求：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投标人须知前附表应涵盖投标人须知的主要内容；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明确投标文件使用的语言文字和报价货币种类；</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载明项目概况、资金来源和落实情况，对招标范围的描述清楚准确；</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招标项目质量要求，投标人资质条件、能力和信誉；</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合理划分标段，明确计划工期；</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明确投标有效期；</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7</w:t>
      </w:r>
      <w:r>
        <w:rPr>
          <w:rFonts w:hint="eastAsia" w:ascii="Times New Roman" w:hAnsi="Times New Roman" w:eastAsia="宋体" w:cs="Times New Roman"/>
          <w:b w:val="0"/>
          <w:bCs w:val="0"/>
          <w:sz w:val="24"/>
          <w:szCs w:val="24"/>
        </w:rPr>
        <w:t xml:space="preserve"> 明确投标保证金的形式、金额、期限及退还条件和退还时间。境内投标单位，以现金或者支票形式提交投标保证金的应从其基本账户转出。投标保证金收取应符合法律法规相关规定。投标保证金有效期应与投标有效期一致。在投标阶段不得要求投标人提交除投标保证金之外的其</w:t>
      </w:r>
      <w:r>
        <w:rPr>
          <w:rFonts w:hint="eastAsia" w:ascii="Times New Roman" w:hAnsi="Times New Roman" w:eastAsia="宋体" w:cs="Times New Roman"/>
          <w:b w:val="0"/>
          <w:bCs w:val="0"/>
          <w:sz w:val="24"/>
          <w:szCs w:val="24"/>
          <w:lang w:val="en-US" w:eastAsia="zh-CN"/>
        </w:rPr>
        <w:t>他</w:t>
      </w:r>
      <w:r>
        <w:rPr>
          <w:rFonts w:hint="eastAsia" w:ascii="Times New Roman" w:hAnsi="Times New Roman" w:eastAsia="宋体" w:cs="Times New Roman"/>
          <w:b w:val="0"/>
          <w:bCs w:val="0"/>
          <w:sz w:val="24"/>
          <w:szCs w:val="24"/>
        </w:rPr>
        <w:t>保证金；</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8</w:t>
      </w:r>
      <w:r>
        <w:rPr>
          <w:rFonts w:hint="eastAsia" w:ascii="Times New Roman" w:hAnsi="Times New Roman" w:eastAsia="宋体" w:cs="Times New Roman"/>
          <w:b w:val="0"/>
          <w:bCs w:val="0"/>
          <w:sz w:val="24"/>
          <w:szCs w:val="24"/>
        </w:rPr>
        <w:t xml:space="preserve"> 开标时间和地点应准确无误，开标时间应与投标文件递交截止时间为同一时间；</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9</w:t>
      </w:r>
      <w:r>
        <w:rPr>
          <w:rFonts w:hint="eastAsia" w:ascii="Times New Roman" w:hAnsi="Times New Roman" w:eastAsia="宋体" w:cs="Times New Roman"/>
          <w:b w:val="0"/>
          <w:bCs w:val="0"/>
          <w:sz w:val="24"/>
          <w:szCs w:val="24"/>
        </w:rPr>
        <w:t xml:space="preserve"> 对投标文件的主要组成内容表述清晰完整，对投标文件的签署、份数、封装及递交等要求不宜过于繁杂。采用电子招标投标的，应明确对电子投标文件的编制、加密、递交、传输、接收确认等要求；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10</w:t>
      </w:r>
      <w:r>
        <w:rPr>
          <w:rFonts w:hint="eastAsia" w:ascii="Times New Roman" w:hAnsi="Times New Roman" w:eastAsia="宋体" w:cs="Times New Roman"/>
          <w:b w:val="0"/>
          <w:bCs w:val="0"/>
          <w:sz w:val="24"/>
          <w:szCs w:val="24"/>
        </w:rPr>
        <w:t xml:space="preserve"> 载明投标报价的方式和依据，明确是否接受备选方案；</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11</w:t>
      </w:r>
      <w:r>
        <w:rPr>
          <w:rFonts w:hint="eastAsia" w:ascii="Times New Roman" w:hAnsi="Times New Roman" w:eastAsia="宋体" w:cs="Times New Roman"/>
          <w:b w:val="0"/>
          <w:bCs w:val="0"/>
          <w:sz w:val="24"/>
          <w:szCs w:val="24"/>
        </w:rPr>
        <w:t xml:space="preserve"> 明确开标的相关程序，包括投标文件的开标先后顺序，技术文件、商务文件和报价文件开启顺序、到场人员要求及开标现场需携带的相关证件、资料、样品等要求。采用电子招标投标的，应明确电子开标流程及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12</w:t>
      </w:r>
      <w:r>
        <w:rPr>
          <w:rFonts w:hint="eastAsia" w:ascii="Times New Roman" w:hAnsi="Times New Roman" w:eastAsia="宋体" w:cs="Times New Roman"/>
          <w:b w:val="0"/>
          <w:bCs w:val="0"/>
          <w:sz w:val="24"/>
          <w:szCs w:val="24"/>
        </w:rPr>
        <w:t xml:space="preserve"> 明确定标方式、中标通知、履约担保和签订合同等方面的要求；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13</w:t>
      </w:r>
      <w:r>
        <w:rPr>
          <w:rFonts w:hint="eastAsia" w:ascii="Times New Roman" w:hAnsi="Times New Roman" w:eastAsia="宋体" w:cs="Times New Roman"/>
          <w:b w:val="0"/>
          <w:bCs w:val="0"/>
          <w:sz w:val="24"/>
          <w:szCs w:val="24"/>
        </w:rPr>
        <w:t xml:space="preserve"> 载明对重新招标和不再招标的处理办法等。</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9.2.7 </w:t>
      </w:r>
      <w:r>
        <w:rPr>
          <w:rFonts w:hint="eastAsia" w:ascii="Times New Roman" w:hAnsi="Times New Roman" w:eastAsia="宋体" w:cs="Times New Roman"/>
          <w:b w:val="0"/>
          <w:bCs w:val="0"/>
          <w:sz w:val="24"/>
          <w:szCs w:val="24"/>
        </w:rPr>
        <w:t>评标办法</w:t>
      </w:r>
      <w:r>
        <w:rPr>
          <w:rFonts w:hint="eastAsia" w:ascii="Times New Roman" w:hAnsi="Times New Roman" w:eastAsia="宋体" w:cs="Times New Roman"/>
          <w:b w:val="0"/>
          <w:bCs w:val="0"/>
          <w:sz w:val="24"/>
          <w:szCs w:val="24"/>
          <w:lang w:val="en-US" w:eastAsia="zh-CN"/>
        </w:rPr>
        <w:t>及定标办法</w:t>
      </w:r>
      <w:r>
        <w:rPr>
          <w:rFonts w:hint="eastAsia" w:ascii="Times New Roman" w:hAnsi="Times New Roman" w:eastAsia="宋体" w:cs="Times New Roman"/>
          <w:b w:val="0"/>
          <w:bCs w:val="0"/>
          <w:sz w:val="24"/>
          <w:szCs w:val="24"/>
        </w:rPr>
        <w:t>编制应符合下列要求：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应遵循公平、公正、科学、择优的原则，根据招标项目的特点和实际情况科学合理的选择；</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评标程序应包括初步评审和详细评审，其评审因素和标准的制定应科学合理；</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招标项目设有标底的，标底只能作为评标的参考，不得以投标报价是否接近标底作为中标条件，不得以投标报价是否接近标底作为中标条件，也不得以投标报价超过标底上下浮动范围作为否决投标的条件；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否决投标条款应集中表述，设置应严谨、准确，文字表达无歧义。投标报价</w:t>
      </w:r>
      <w:r>
        <w:rPr>
          <w:rFonts w:hint="eastAsia" w:ascii="Times New Roman" w:hAnsi="Times New Roman" w:eastAsia="宋体" w:cs="Times New Roman"/>
          <w:b w:val="0"/>
          <w:bCs w:val="0"/>
          <w:sz w:val="24"/>
          <w:szCs w:val="24"/>
          <w:lang w:val="en-US" w:eastAsia="zh-CN"/>
        </w:rPr>
        <w:t>属于异常低价</w:t>
      </w:r>
      <w:r>
        <w:rPr>
          <w:rFonts w:hint="eastAsia" w:ascii="Times New Roman" w:hAnsi="Times New Roman" w:eastAsia="宋体" w:cs="Times New Roman"/>
          <w:b w:val="0"/>
          <w:bCs w:val="0"/>
          <w:sz w:val="24"/>
          <w:szCs w:val="24"/>
        </w:rPr>
        <w:t>或者高于招标文件设定的最高投标限价的应否决其投标。对法律法规有规定应否决其投标的在招标文件中应载明</w:t>
      </w:r>
      <w:r>
        <w:rPr>
          <w:rFonts w:hint="eastAsia" w:ascii="Times New Roman" w:hAnsi="Times New Roman" w:eastAsia="宋体" w:cs="Times New Roman"/>
          <w:b w:val="0"/>
          <w:bCs w:val="0"/>
          <w:sz w:val="24"/>
          <w:szCs w:val="24"/>
          <w:lang w:eastAsia="zh-CN"/>
        </w:rPr>
        <w:t>；</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5</w:t>
      </w:r>
      <w:r>
        <w:rPr>
          <w:rFonts w:hint="eastAsia" w:ascii="Times New Roman" w:hAnsi="Times New Roman" w:eastAsia="宋体" w:cs="Times New Roman"/>
          <w:b w:val="0"/>
          <w:bCs w:val="0"/>
          <w:sz w:val="24"/>
          <w:szCs w:val="24"/>
          <w:lang w:val="en-US" w:eastAsia="zh-CN"/>
        </w:rPr>
        <w:t xml:space="preserve"> 适用于异常低价评审制度的，宜明确异常低价评审具体办法。</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9.2.8 </w:t>
      </w:r>
      <w:r>
        <w:rPr>
          <w:rFonts w:hint="eastAsia" w:ascii="Times New Roman" w:hAnsi="Times New Roman" w:eastAsia="宋体" w:cs="Times New Roman"/>
          <w:b w:val="0"/>
          <w:bCs w:val="0"/>
          <w:sz w:val="24"/>
          <w:szCs w:val="24"/>
        </w:rPr>
        <w:t>评标</w:t>
      </w:r>
      <w:r>
        <w:rPr>
          <w:rFonts w:hint="eastAsia" w:ascii="Times New Roman" w:hAnsi="Times New Roman" w:eastAsia="宋体" w:cs="Times New Roman"/>
          <w:b w:val="0"/>
          <w:bCs w:val="0"/>
          <w:sz w:val="24"/>
          <w:szCs w:val="24"/>
          <w:lang w:val="en-US" w:eastAsia="zh-CN"/>
        </w:rPr>
        <w:t>方</w:t>
      </w:r>
      <w:r>
        <w:rPr>
          <w:rFonts w:hint="eastAsia" w:ascii="Times New Roman" w:hAnsi="Times New Roman" w:eastAsia="宋体" w:cs="Times New Roman"/>
          <w:b w:val="0"/>
          <w:bCs w:val="0"/>
          <w:sz w:val="24"/>
          <w:szCs w:val="24"/>
        </w:rPr>
        <w:t>法包括经评审的最低投标价法、综合评估法或者法律法规允许的其他评标方法。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采用经评审的最低投标价法的，应在投标文件能够满足招标文件实质性要求的投标人中，评审出投标价格最低的投标人。</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采用综合评估法的，应对投标文件是否满足招标文件全部实质性要求，能否最大限度地满足招标文件中规定的各项要求和评价标准进行评审和比较。工程施工的评审因素应包括工程质量、施工工期、投标价格、施工组织设计或者施工方案、投标人及项目经理业绩等；工程货物、服务的评审因素应包括投标报价、技术或者服务水平、履约能力、售后服务等。</w:t>
      </w:r>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 xml:space="preserve">9.2.9 </w:t>
      </w:r>
      <w:r>
        <w:rPr>
          <w:rFonts w:hint="default" w:ascii="Times New Roman" w:hAnsi="Times New Roman" w:eastAsia="宋体" w:cs="Times New Roman"/>
          <w:b w:val="0"/>
          <w:bCs w:val="0"/>
          <w:sz w:val="24"/>
          <w:szCs w:val="24"/>
          <w:lang w:eastAsia="zh-CN"/>
        </w:rPr>
        <w:t>定标方法应根据</w:t>
      </w:r>
      <w:r>
        <w:rPr>
          <w:rFonts w:hint="eastAsia" w:ascii="Times New Roman" w:hAnsi="Times New Roman" w:eastAsia="宋体" w:cs="Times New Roman"/>
          <w:b w:val="0"/>
          <w:bCs w:val="0"/>
          <w:sz w:val="24"/>
          <w:szCs w:val="24"/>
          <w:lang w:val="en-US" w:eastAsia="zh-CN"/>
        </w:rPr>
        <w:t>招标</w:t>
      </w:r>
      <w:r>
        <w:rPr>
          <w:rFonts w:hint="default" w:ascii="Times New Roman" w:hAnsi="Times New Roman" w:eastAsia="宋体" w:cs="Times New Roman"/>
          <w:b w:val="0"/>
          <w:bCs w:val="0"/>
          <w:sz w:val="24"/>
          <w:szCs w:val="24"/>
          <w:lang w:eastAsia="zh-CN"/>
        </w:rPr>
        <w:t>项目的具体需求和特点选择，</w:t>
      </w:r>
      <w:r>
        <w:rPr>
          <w:rFonts w:hint="eastAsia" w:ascii="Times New Roman" w:hAnsi="Times New Roman" w:eastAsia="宋体" w:cs="Times New Roman"/>
          <w:b w:val="0"/>
          <w:bCs w:val="0"/>
          <w:sz w:val="24"/>
          <w:szCs w:val="24"/>
          <w:lang w:val="en-US" w:eastAsia="zh-CN"/>
        </w:rPr>
        <w:t>可采用集体议事法、票决定标法或者法律法规允许的其他定标方法</w:t>
      </w:r>
      <w:r>
        <w:rPr>
          <w:rFonts w:hint="eastAsia" w:ascii="Times New Roman" w:hAnsi="Times New Roman" w:eastAsia="宋体" w:cs="Times New Roman"/>
          <w:b w:val="0"/>
          <w:bCs w:val="0"/>
          <w:sz w:val="24"/>
          <w:szCs w:val="24"/>
        </w:rPr>
        <w:t>。</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9.2.</w:t>
      </w:r>
      <w:r>
        <w:rPr>
          <w:rFonts w:hint="eastAsia" w:ascii="Times New Roman" w:hAnsi="Times New Roman" w:eastAsia="宋体" w:cs="Times New Roman"/>
          <w:b/>
          <w:bCs/>
          <w:sz w:val="24"/>
          <w:szCs w:val="24"/>
          <w:lang w:val="en-US" w:eastAsia="zh-CN"/>
        </w:rPr>
        <w:t>10</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rPr>
        <w:t>所提供的图纸应符合下列要求：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图纸应根据招标项目具体特点和实际需要配置，与招标范围和工程量清单内容相适应；</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招标文件应列明详细的图纸目录，以便投标人核对和查阅。</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9.2.1</w:t>
      </w:r>
      <w:r>
        <w:rPr>
          <w:rFonts w:hint="eastAsia" w:ascii="Times New Roman" w:hAnsi="Times New Roman" w:eastAsia="宋体" w:cs="Times New Roman"/>
          <w:b/>
          <w:bCs/>
          <w:sz w:val="24"/>
          <w:szCs w:val="24"/>
          <w:lang w:val="en-US" w:eastAsia="zh-CN"/>
        </w:rPr>
        <w:t>1</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rPr>
        <w:t>工程量清单及最高投标限价的编制要求见本规程第10章。</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9.2.1</w:t>
      </w:r>
      <w:r>
        <w:rPr>
          <w:rFonts w:hint="eastAsia" w:ascii="Times New Roman" w:hAnsi="Times New Roman" w:eastAsia="宋体" w:cs="Times New Roman"/>
          <w:b/>
          <w:bCs/>
          <w:sz w:val="24"/>
          <w:szCs w:val="24"/>
          <w:lang w:val="en-US" w:eastAsia="zh-CN"/>
        </w:rPr>
        <w:t>2</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rPr>
        <w:t>技术标准和要求的编制应符合下列要求：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技术标准和要求的主要内容应具有针对性，能体现</w:t>
      </w:r>
      <w:r>
        <w:rPr>
          <w:rFonts w:hint="eastAsia" w:ascii="Times New Roman" w:hAnsi="Times New Roman" w:eastAsia="宋体" w:cs="Times New Roman"/>
          <w:b w:val="0"/>
          <w:bCs w:val="0"/>
          <w:sz w:val="24"/>
          <w:szCs w:val="24"/>
          <w:lang w:val="en-US" w:eastAsia="zh-CN"/>
        </w:rPr>
        <w:t>招标</w:t>
      </w:r>
      <w:r>
        <w:rPr>
          <w:rFonts w:hint="eastAsia" w:ascii="Times New Roman" w:hAnsi="Times New Roman" w:eastAsia="宋体" w:cs="Times New Roman"/>
          <w:b w:val="0"/>
          <w:bCs w:val="0"/>
          <w:sz w:val="24"/>
          <w:szCs w:val="24"/>
        </w:rPr>
        <w:t>项目特点；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各项技术标准应符合国家强制性标准</w:t>
      </w:r>
      <w:r>
        <w:rPr>
          <w:rFonts w:hint="eastAsia" w:ascii="Times New Roman" w:hAnsi="Times New Roman" w:eastAsia="宋体" w:cs="Times New Roman"/>
          <w:b w:val="0"/>
          <w:bCs w:val="0"/>
          <w:sz w:val="24"/>
          <w:szCs w:val="24"/>
          <w:lang w:val="en-US" w:eastAsia="zh-CN"/>
        </w:rPr>
        <w:t>或技术规范</w:t>
      </w:r>
      <w:r>
        <w:rPr>
          <w:rFonts w:hint="eastAsia" w:ascii="Times New Roman" w:hAnsi="Times New Roman" w:eastAsia="宋体" w:cs="Times New Roman"/>
          <w:b w:val="0"/>
          <w:bCs w:val="0"/>
          <w:sz w:val="24"/>
          <w:szCs w:val="24"/>
        </w:rPr>
        <w:t>，不得要求或标明某一特定的专利、商标、名称、设计、原产地或生产供应者，不得含有倾向或者排斥潜在投标人的其他内容。如果必须引用某一生产供应者的技术标准才能准确或清楚地说明拟招标项目的技术标准时，则应在参照后面加上“或相当于”字样。</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9.2.1</w:t>
      </w:r>
      <w:r>
        <w:rPr>
          <w:rFonts w:hint="eastAsia" w:ascii="Times New Roman" w:hAnsi="Times New Roman" w:eastAsia="宋体" w:cs="Times New Roman"/>
          <w:b/>
          <w:bCs/>
          <w:sz w:val="24"/>
          <w:szCs w:val="24"/>
          <w:lang w:val="en-US" w:eastAsia="zh-CN"/>
        </w:rPr>
        <w:t>3</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rPr>
        <w:t>投标文件格式的编制应保证格式设置合理，便于理解、编写。</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9.2.1</w:t>
      </w:r>
      <w:r>
        <w:rPr>
          <w:rFonts w:hint="eastAsia" w:ascii="Times New Roman" w:hAnsi="Times New Roman" w:eastAsia="宋体" w:cs="Times New Roman"/>
          <w:b/>
          <w:bCs/>
          <w:sz w:val="24"/>
          <w:szCs w:val="24"/>
          <w:lang w:val="en-US" w:eastAsia="zh-CN"/>
        </w:rPr>
        <w:t>4</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rPr>
        <w:t>合同主要条款编制应符合下列要求：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明确合同范围、合同期限和质量要求、合同价款及支付、合同价款调整、违约条款等内容；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明确合同计价类型，合同计价类型主要包括总价合同、单价合同和成本加酬金合同等。</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87" w:name="_Toc13923"/>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88" w:name="_Toc11614_WPSOffice_Level1"/>
      <w:r>
        <w:rPr>
          <w:rFonts w:hint="eastAsia" w:ascii="Times New Roman" w:hAnsi="Times New Roman" w:eastAsia="宋体" w:cs="Times New Roman"/>
          <w:b/>
          <w:sz w:val="36"/>
          <w:szCs w:val="36"/>
          <w:lang w:val="en-US" w:eastAsia="zh-CN"/>
        </w:rPr>
        <w:t>10工程量清单与最高投标限价（招标控制价）编制</w:t>
      </w:r>
      <w:bookmarkEnd w:id="87"/>
      <w:bookmarkEnd w:id="88"/>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89" w:name="_Toc29824_WPSOffice_Level1"/>
      <w:bookmarkStart w:id="90" w:name="_Toc30270"/>
      <w:r>
        <w:rPr>
          <w:rFonts w:hint="eastAsia" w:ascii="Times New Roman" w:hAnsi="Times New Roman" w:eastAsia="宋体" w:cs="Times New Roman"/>
          <w:b/>
          <w:kern w:val="0"/>
          <w:sz w:val="28"/>
          <w:szCs w:val="28"/>
          <w:lang w:val="en-US" w:eastAsia="zh-CN"/>
        </w:rPr>
        <w:t>10.1 一般规定</w:t>
      </w:r>
      <w:bookmarkEnd w:id="89"/>
      <w:bookmarkEnd w:id="90"/>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10.1.1 </w:t>
      </w:r>
      <w:r>
        <w:rPr>
          <w:rFonts w:hint="eastAsia" w:ascii="Times New Roman" w:hAnsi="Times New Roman" w:eastAsia="宋体" w:cs="Times New Roman"/>
          <w:b w:val="0"/>
          <w:bCs w:val="0"/>
          <w:sz w:val="24"/>
          <w:szCs w:val="24"/>
        </w:rPr>
        <w:t>使用国有资金投资的建设工程发承包，必须采用工程量清单计价。非国有资金投资的建设工程发承包，宜采用工程量清单计价。</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10.1.2 </w:t>
      </w:r>
      <w:r>
        <w:rPr>
          <w:rFonts w:hint="eastAsia" w:ascii="Times New Roman" w:hAnsi="Times New Roman" w:eastAsia="宋体" w:cs="Times New Roman"/>
          <w:b w:val="0"/>
          <w:bCs w:val="0"/>
          <w:sz w:val="24"/>
          <w:szCs w:val="24"/>
        </w:rPr>
        <w:t>工程量清单与最高投标限价（招标控制价）的编制，应遵循合法、独立、公平、公正和诚实信用的原则。</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10.1.3 </w:t>
      </w:r>
      <w:r>
        <w:rPr>
          <w:rFonts w:hint="eastAsia" w:ascii="Times New Roman" w:hAnsi="Times New Roman" w:eastAsia="宋体" w:cs="Times New Roman"/>
          <w:b w:val="0"/>
          <w:bCs w:val="0"/>
          <w:sz w:val="24"/>
          <w:szCs w:val="24"/>
        </w:rPr>
        <w:t>工程量清单应采用综合单价和费率计价。</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10.1.4 </w:t>
      </w:r>
      <w:r>
        <w:rPr>
          <w:rFonts w:hint="eastAsia" w:ascii="Times New Roman" w:hAnsi="Times New Roman" w:eastAsia="宋体" w:cs="Times New Roman"/>
          <w:b w:val="0"/>
          <w:bCs w:val="0"/>
          <w:sz w:val="24"/>
          <w:szCs w:val="24"/>
        </w:rPr>
        <w:t>工程量清单与最高投标限价（招标控制价）成果文件应按照规范格式要求签字盖章，并根据招标项目所在地行业管理部门要求报送备案。</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91" w:name="_Toc4692"/>
      <w:bookmarkStart w:id="92" w:name="_Toc15172_WPSOffice_Level1"/>
      <w:r>
        <w:rPr>
          <w:rFonts w:hint="eastAsia" w:ascii="Times New Roman" w:hAnsi="Times New Roman" w:eastAsia="宋体" w:cs="Times New Roman"/>
          <w:b/>
          <w:kern w:val="0"/>
          <w:sz w:val="28"/>
          <w:szCs w:val="28"/>
          <w:lang w:val="en-US" w:eastAsia="zh-CN"/>
        </w:rPr>
        <w:t>10.2 工程量清单编制</w:t>
      </w:r>
      <w:bookmarkEnd w:id="91"/>
      <w:bookmarkEnd w:id="92"/>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10.2.1 </w:t>
      </w:r>
      <w:r>
        <w:rPr>
          <w:rFonts w:hint="eastAsia" w:ascii="Times New Roman" w:hAnsi="Times New Roman" w:eastAsia="宋体" w:cs="Times New Roman"/>
          <w:b w:val="0"/>
          <w:bCs w:val="0"/>
          <w:sz w:val="24"/>
          <w:szCs w:val="24"/>
        </w:rPr>
        <w:t>工程量清单编制主要包括以下依据：</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现行的计价规范和相关工程的国家计量规范；</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现行国家或省级、行业建设主管部门颁发的计价依据和办法；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建设工程设计文件及相关资料；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与建设工程有关的标准、规范、技术资料；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拟定的招标文件；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施工现场情况、地勘水文资料、工程特点及常规施工方案。</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10.2.2 </w:t>
      </w:r>
      <w:r>
        <w:rPr>
          <w:rFonts w:hint="eastAsia" w:ascii="Times New Roman" w:hAnsi="Times New Roman" w:eastAsia="宋体" w:cs="Times New Roman"/>
          <w:b w:val="0"/>
          <w:bCs w:val="0"/>
          <w:sz w:val="24"/>
          <w:szCs w:val="24"/>
        </w:rPr>
        <w:t>工程量清单必须作为招标文件的组成部分，其准确性和完整性应由招标人负责。</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10.2.3 </w:t>
      </w:r>
      <w:r>
        <w:rPr>
          <w:rFonts w:hint="eastAsia" w:ascii="Times New Roman" w:hAnsi="Times New Roman" w:eastAsia="宋体" w:cs="Times New Roman"/>
          <w:b w:val="0"/>
          <w:bCs w:val="0"/>
          <w:sz w:val="24"/>
          <w:szCs w:val="24"/>
        </w:rPr>
        <w:t>工程量清单编制成果文件除应符合相关标准及规程的规定外，还应符合下列要求：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工程量清单应以单位或单项工程进行编制，其组成应包括分部分项工程项目清单、措施项目清单、不可竞争项目清单、其他项目清单和税金项目清单；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分部分项工程项目清单必须载明项目编码、项目名称、项目特征、计量单位和工程量。分部分项工程项目清单必须根据相关工程现行国家和省计价规范的项目编码、项目名称、项目特征、计量单位和工程量计算规则进行编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措施项目清单必须根据相关工程现行计价文件的规定，并结合拟建工程的实际情况编制；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不可竞争项目清单应符合最新计价文件要求，包括安全文明施工费和环境保护税等，其中安全文明施工费包括环境保护费、文明施工费、安全施工费、临时设施费；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其他项目清单包括暂列金额、暂估价、计日工和总承包服务费。暂列金额应根据工程特点按有关计价规定估算。暂估价中的材料、工程设备暂估价应参照工程造价信息或市场价格估算，列出明细表；专业工程暂估价应为综合暂估价，包括除不可竞争费、税金以外的所有费用。</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税金项目清单计列国家税法规定的应计入建设工程造价内的增值税。</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10.2.4 </w:t>
      </w:r>
      <w:r>
        <w:rPr>
          <w:rFonts w:hint="eastAsia" w:ascii="Times New Roman" w:hAnsi="Times New Roman" w:eastAsia="宋体" w:cs="Times New Roman"/>
          <w:b w:val="0"/>
          <w:bCs w:val="0"/>
          <w:sz w:val="24"/>
          <w:szCs w:val="24"/>
        </w:rPr>
        <w:t>工程量清单编制范围应与招标文件中明确的工程招标范围一致。工程量清单的组成内容应完整、项目特征描述应准确全面，与设计文件保持一致。</w:t>
      </w:r>
    </w:p>
    <w:p>
      <w:pPr>
        <w:spacing w:before="156" w:beforeLines="50" w:after="156" w:afterLines="50" w:line="360" w:lineRule="auto"/>
        <w:jc w:val="center"/>
        <w:outlineLvl w:val="1"/>
        <w:rPr>
          <w:rFonts w:hint="eastAsia" w:ascii="Times New Roman" w:hAnsi="Times New Roman" w:eastAsia="宋体" w:cs="Times New Roman"/>
          <w:b w:val="0"/>
          <w:bCs w:val="0"/>
          <w:kern w:val="2"/>
          <w:sz w:val="24"/>
          <w:szCs w:val="24"/>
          <w:lang w:val="en-US" w:eastAsia="zh-CN" w:bidi="ar-SA"/>
        </w:rPr>
      </w:pPr>
      <w:bookmarkStart w:id="93" w:name="_Toc32362_WPSOffice_Level1"/>
      <w:bookmarkStart w:id="94" w:name="_Toc3150"/>
      <w:r>
        <w:rPr>
          <w:rFonts w:hint="eastAsia" w:ascii="Times New Roman" w:hAnsi="Times New Roman" w:eastAsia="宋体" w:cs="Times New Roman"/>
          <w:b/>
          <w:kern w:val="0"/>
          <w:sz w:val="28"/>
          <w:szCs w:val="28"/>
          <w:lang w:val="en-US" w:eastAsia="zh-CN"/>
        </w:rPr>
        <w:t>10.3 最高投标限价编制（招标控制价）</w:t>
      </w:r>
      <w:bookmarkEnd w:id="93"/>
      <w:bookmarkEnd w:id="94"/>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10.3.1 </w:t>
      </w:r>
      <w:r>
        <w:rPr>
          <w:rFonts w:hint="eastAsia" w:ascii="Times New Roman" w:hAnsi="Times New Roman" w:eastAsia="宋体" w:cs="Times New Roman"/>
          <w:b w:val="0"/>
          <w:bCs w:val="0"/>
          <w:sz w:val="24"/>
          <w:szCs w:val="24"/>
        </w:rPr>
        <w:t>最高投标限价（招标控制价）编制主要包括以下依据：</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现行的计价规范；</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现行国家或省级、行业建设主管部门颁发的计价定额和计价办法；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建设工程设计文件及相关资料；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拟定的招标文件、招标工程量清单；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与建设工程有关的标准、规范、技术资料；</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6</w:t>
      </w:r>
      <w:r>
        <w:rPr>
          <w:rFonts w:hint="eastAsia" w:ascii="Times New Roman" w:hAnsi="Times New Roman" w:eastAsia="宋体" w:cs="Times New Roman"/>
          <w:b w:val="0"/>
          <w:bCs w:val="0"/>
          <w:sz w:val="24"/>
          <w:szCs w:val="24"/>
        </w:rPr>
        <w:t xml:space="preserve"> 施工现场情况、地勘水文资料、工程特点及常规施工方案；</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7</w:t>
      </w:r>
      <w:r>
        <w:rPr>
          <w:rFonts w:hint="eastAsia" w:ascii="Times New Roman" w:hAnsi="Times New Roman" w:eastAsia="宋体" w:cs="Times New Roman"/>
          <w:b w:val="0"/>
          <w:bCs w:val="0"/>
          <w:sz w:val="24"/>
          <w:szCs w:val="24"/>
        </w:rPr>
        <w:t xml:space="preserve"> 工程造价管理机构发布的工程造价信息</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市场价格信息</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10.3.2 </w:t>
      </w:r>
      <w:r>
        <w:rPr>
          <w:rFonts w:hint="eastAsia" w:ascii="Times New Roman" w:hAnsi="Times New Roman" w:eastAsia="宋体" w:cs="Times New Roman"/>
          <w:b w:val="0"/>
          <w:bCs w:val="0"/>
          <w:sz w:val="24"/>
          <w:szCs w:val="24"/>
        </w:rPr>
        <w:t>最高投标限价应随招标文件公布，不应上调或下浮。如最高投标限价超过批准的概算，招标人应将其报原概算审批部门审核。</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10.3.3  </w:t>
      </w:r>
      <w:r>
        <w:rPr>
          <w:rFonts w:hint="eastAsia" w:ascii="Times New Roman" w:hAnsi="Times New Roman" w:eastAsia="宋体" w:cs="Times New Roman"/>
          <w:b w:val="0"/>
          <w:bCs w:val="0"/>
          <w:sz w:val="24"/>
          <w:szCs w:val="24"/>
        </w:rPr>
        <w:t>最高投标限价应采用综合单价和费率计价，成果文件除应符合相关标准及规程的规定外，还应符合下列要求：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最高投标限价</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招标控制价</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组成应包括分部分项工程费、措施项目费、不可竞争费、其他项目费和税金；</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分部分项工程项目的综合单价应根据拟定的招标文件和工程量清单中的特征描述及有关要求确定，内容应包括人工费、材料费、机械费、管理费和利润，以及应由投标人承担的风险费用；</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措施项目费包含夜间施工增加费、二次搬运费、冬雨季施工增加费、已完工程及设备保护费、工程定位复测费、临时保护设施费、赶工措施费以及其他措施项目费。措施项目费采用费率计价，应根据拟定的招标文件、计价规范、常规施工方案以及施工现场情况确定。其他应列而未列的措施项目费，应按实际情况列明措施项目及计费方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4</w:t>
      </w:r>
      <w:r>
        <w:rPr>
          <w:rFonts w:hint="eastAsia" w:ascii="Times New Roman" w:hAnsi="Times New Roman" w:eastAsia="宋体" w:cs="Times New Roman"/>
          <w:b w:val="0"/>
          <w:bCs w:val="0"/>
          <w:sz w:val="24"/>
          <w:szCs w:val="24"/>
        </w:rPr>
        <w:t xml:space="preserve"> 不可竞争费由安全文明施工费和环境保护税构成，安全文明施工费中包含扬尘污染防治费和建筑工人实名制管理费。安全文明施工费费率应按定额规定费率计取，不得调整。其他应列而未列的不可竞争费，应按实际情况列明计费项目及计费方法。</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5</w:t>
      </w:r>
      <w:r>
        <w:rPr>
          <w:rFonts w:hint="eastAsia" w:ascii="Times New Roman" w:hAnsi="Times New Roman" w:eastAsia="宋体" w:cs="Times New Roman"/>
          <w:b w:val="0"/>
          <w:bCs w:val="0"/>
          <w:sz w:val="24"/>
          <w:szCs w:val="24"/>
        </w:rPr>
        <w:t xml:space="preserve"> 其他项目费中暂列金额、专业工程暂估价应按招标工程量清单中列出的金额填写，材料、工程设备的暂估单价应按招标工程量清单列出的单价计入综合单价。</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10.3.4 </w:t>
      </w:r>
      <w:r>
        <w:rPr>
          <w:rFonts w:hint="eastAsia" w:ascii="Times New Roman" w:hAnsi="Times New Roman" w:eastAsia="宋体" w:cs="Times New Roman"/>
          <w:b w:val="0"/>
          <w:bCs w:val="0"/>
          <w:sz w:val="24"/>
          <w:szCs w:val="24"/>
        </w:rPr>
        <w:t>最高投标限价编制内容应准确完整，与招标文件、工程量清单和设计文件内容相符，并结合施工现场情况确定。</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10.3.5 </w:t>
      </w:r>
      <w:r>
        <w:rPr>
          <w:rFonts w:hint="eastAsia" w:ascii="Times New Roman" w:hAnsi="Times New Roman" w:eastAsia="宋体" w:cs="Times New Roman"/>
          <w:b w:val="0"/>
          <w:bCs w:val="0"/>
          <w:sz w:val="24"/>
          <w:szCs w:val="24"/>
        </w:rPr>
        <w:t>最高投标限价采用的人工、材料价格应依据工程造价信息（市场价格信息）。主要材料及设备采用市场价格的，应保留询价记录。</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95" w:name="_Toc20508"/>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96" w:name="_Toc27348_WPSOffice_Level1"/>
      <w:r>
        <w:rPr>
          <w:rFonts w:hint="eastAsia" w:ascii="Times New Roman" w:hAnsi="Times New Roman" w:eastAsia="宋体" w:cs="Times New Roman"/>
          <w:b/>
          <w:sz w:val="36"/>
          <w:szCs w:val="36"/>
          <w:lang w:val="en-US" w:eastAsia="zh-CN"/>
        </w:rPr>
        <w:t>11招标文件澄清、修改和异议</w:t>
      </w:r>
      <w:bookmarkEnd w:id="95"/>
      <w:bookmarkEnd w:id="96"/>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97" w:name="_Toc23088"/>
      <w:bookmarkStart w:id="98" w:name="_Toc20339_WPSOffice_Level1"/>
      <w:r>
        <w:rPr>
          <w:rFonts w:hint="eastAsia" w:ascii="Times New Roman" w:hAnsi="Times New Roman" w:eastAsia="宋体" w:cs="Times New Roman"/>
          <w:b/>
          <w:kern w:val="0"/>
          <w:sz w:val="28"/>
          <w:szCs w:val="28"/>
          <w:lang w:val="en-US" w:eastAsia="zh-CN"/>
        </w:rPr>
        <w:t>11.1 招标文件澄清、修</w:t>
      </w:r>
      <w:bookmarkEnd w:id="97"/>
      <w:r>
        <w:rPr>
          <w:rFonts w:hint="eastAsia" w:ascii="Times New Roman" w:hAnsi="Times New Roman" w:eastAsia="宋体" w:cs="Times New Roman"/>
          <w:b/>
          <w:kern w:val="0"/>
          <w:sz w:val="28"/>
          <w:szCs w:val="28"/>
          <w:lang w:val="en-US" w:eastAsia="zh-CN"/>
        </w:rPr>
        <w:t>改</w:t>
      </w:r>
      <w:bookmarkEnd w:id="98"/>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11.1.1 </w:t>
      </w:r>
      <w:r>
        <w:rPr>
          <w:rFonts w:hint="eastAsia" w:ascii="Times New Roman" w:hAnsi="Times New Roman" w:eastAsia="宋体" w:cs="Times New Roman"/>
          <w:b w:val="0"/>
          <w:bCs w:val="0"/>
          <w:sz w:val="24"/>
          <w:szCs w:val="24"/>
        </w:rPr>
        <w:t>招标人可对已发出的招标文件进行必要的澄清或修改，澄清或修改的内容应为招标文件的组成部分。</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11.1.2 </w:t>
      </w:r>
      <w:r>
        <w:rPr>
          <w:rFonts w:hint="eastAsia" w:ascii="Times New Roman" w:hAnsi="Times New Roman" w:eastAsia="宋体" w:cs="Times New Roman"/>
          <w:b w:val="0"/>
          <w:bCs w:val="0"/>
          <w:sz w:val="24"/>
          <w:szCs w:val="24"/>
        </w:rPr>
        <w:t>招标代理机构负责收集和整理潜在投标人书面提出的问题，组织相关各方进行澄清或修改。</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11.1.3 </w:t>
      </w:r>
      <w:r>
        <w:rPr>
          <w:rFonts w:hint="eastAsia" w:ascii="Times New Roman" w:hAnsi="Times New Roman" w:eastAsia="宋体" w:cs="Times New Roman"/>
          <w:b w:val="0"/>
          <w:bCs w:val="0"/>
          <w:sz w:val="24"/>
          <w:szCs w:val="24"/>
        </w:rPr>
        <w:t>对于潜在投标人提出的关于设计图纸或工程量清单等方面的问题，应由工程设计单位或工程造价咨询单位等参与答复，澄清或修改的内容应取得招标人认可。</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11.1.4 </w:t>
      </w:r>
      <w:r>
        <w:rPr>
          <w:rFonts w:hint="eastAsia" w:ascii="Times New Roman" w:hAnsi="Times New Roman" w:eastAsia="宋体" w:cs="Times New Roman"/>
          <w:b w:val="0"/>
          <w:bCs w:val="0"/>
          <w:sz w:val="24"/>
          <w:szCs w:val="24"/>
        </w:rPr>
        <w:t>澄清或修改的内容可能影响投标文件编制的，应在投标截止时间至少15日前，以书面或其他具有法律效力的形式通知所有潜在投标人。不足15日的应顺延提交投标文件的截止时间。</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11.1.5 </w:t>
      </w:r>
      <w:r>
        <w:rPr>
          <w:rFonts w:hint="eastAsia" w:ascii="Times New Roman" w:hAnsi="Times New Roman" w:eastAsia="宋体" w:cs="Times New Roman"/>
          <w:b w:val="0"/>
          <w:bCs w:val="0"/>
          <w:sz w:val="24"/>
          <w:szCs w:val="24"/>
        </w:rPr>
        <w:t>同一</w:t>
      </w:r>
      <w:r>
        <w:rPr>
          <w:rFonts w:hint="eastAsia" w:ascii="Times New Roman" w:hAnsi="Times New Roman" w:eastAsia="宋体" w:cs="Times New Roman"/>
          <w:b w:val="0"/>
          <w:bCs w:val="0"/>
          <w:sz w:val="24"/>
          <w:szCs w:val="24"/>
          <w:lang w:val="en-US" w:eastAsia="zh-CN"/>
        </w:rPr>
        <w:t>招标</w:t>
      </w:r>
      <w:r>
        <w:rPr>
          <w:rFonts w:hint="eastAsia" w:ascii="Times New Roman" w:hAnsi="Times New Roman" w:eastAsia="宋体" w:cs="Times New Roman"/>
          <w:b w:val="0"/>
          <w:bCs w:val="0"/>
          <w:sz w:val="24"/>
          <w:szCs w:val="24"/>
        </w:rPr>
        <w:t>项目对招标文件进行多次澄清或修改的，澄清或修改的内容应按时间顺序编号。招标文件、招标文件的澄清或修改等在同一内容的表述上不一致时，以最后发出的文件为准。</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11.1.6 </w:t>
      </w:r>
      <w:r>
        <w:rPr>
          <w:rFonts w:hint="eastAsia" w:ascii="Times New Roman" w:hAnsi="Times New Roman" w:eastAsia="宋体" w:cs="Times New Roman"/>
          <w:b w:val="0"/>
          <w:bCs w:val="0"/>
          <w:sz w:val="24"/>
          <w:szCs w:val="24"/>
        </w:rPr>
        <w:t>采用电子招标投标的，招标人对招标文件进行澄清或者修改，应通过电子招标投标交易平台以醒目的方式公告澄清或者修订的内容，并以有效方式通知所有已下载招标文件的潜在投标人。</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99" w:name="_Toc435_WPSOffice_Level1"/>
      <w:bookmarkStart w:id="100" w:name="_Toc15207"/>
      <w:r>
        <w:rPr>
          <w:rFonts w:hint="eastAsia" w:ascii="Times New Roman" w:hAnsi="Times New Roman" w:eastAsia="宋体" w:cs="Times New Roman"/>
          <w:b/>
          <w:kern w:val="0"/>
          <w:sz w:val="28"/>
          <w:szCs w:val="28"/>
          <w:lang w:val="en-US" w:eastAsia="zh-CN"/>
        </w:rPr>
        <w:t>11.2 招标文件的异议</w:t>
      </w:r>
      <w:bookmarkEnd w:id="99"/>
      <w:bookmarkEnd w:id="100"/>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11.2.1 </w:t>
      </w:r>
      <w:r>
        <w:rPr>
          <w:rFonts w:hint="eastAsia" w:ascii="Times New Roman" w:hAnsi="Times New Roman" w:eastAsia="宋体" w:cs="Times New Roman"/>
          <w:b w:val="0"/>
          <w:bCs w:val="0"/>
          <w:sz w:val="24"/>
          <w:szCs w:val="24"/>
        </w:rPr>
        <w:t>潜在投标人或其他利害关系人有权对招标文件提出异议。对招标文件有异议的，应当在投标截止时间10日前提出。</w:t>
      </w:r>
      <w:r>
        <w:rPr>
          <w:rFonts w:hint="eastAsia" w:ascii="Times New Roman" w:hAnsi="Times New Roman" w:eastAsia="宋体" w:cs="Times New Roman"/>
          <w:b w:val="0"/>
          <w:bCs w:val="0"/>
          <w:sz w:val="24"/>
          <w:szCs w:val="24"/>
          <w:lang w:val="en-US" w:eastAsia="zh-CN"/>
        </w:rPr>
        <w:t>招标人或招标代理机构</w:t>
      </w:r>
      <w:r>
        <w:rPr>
          <w:rFonts w:hint="eastAsia" w:ascii="Times New Roman" w:hAnsi="Times New Roman" w:eastAsia="宋体" w:cs="Times New Roman"/>
          <w:b w:val="0"/>
          <w:bCs w:val="0"/>
          <w:sz w:val="24"/>
          <w:szCs w:val="24"/>
        </w:rPr>
        <w:t>应当自收到异议之日起3日内作出答复；作出答复前，应当暂停招标投标活动。</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11.2.2 </w:t>
      </w:r>
      <w:r>
        <w:rPr>
          <w:rFonts w:hint="eastAsia" w:ascii="Times New Roman" w:hAnsi="Times New Roman" w:eastAsia="宋体" w:cs="Times New Roman"/>
          <w:b w:val="0"/>
          <w:bCs w:val="0"/>
          <w:sz w:val="24"/>
          <w:szCs w:val="24"/>
        </w:rPr>
        <w:t>采用电子招标投标的，潜在投标人对招标文件有异议的，应通过电子招标投标交易平台提出，</w:t>
      </w:r>
      <w:r>
        <w:rPr>
          <w:rFonts w:hint="eastAsia" w:ascii="Times New Roman" w:hAnsi="Times New Roman" w:eastAsia="宋体" w:cs="Times New Roman"/>
          <w:b w:val="0"/>
          <w:bCs w:val="0"/>
          <w:sz w:val="24"/>
          <w:szCs w:val="24"/>
          <w:lang w:val="en-US" w:eastAsia="zh-CN"/>
        </w:rPr>
        <w:t>招标人或招标代理机构</w:t>
      </w:r>
      <w:r>
        <w:rPr>
          <w:rFonts w:hint="eastAsia" w:ascii="Times New Roman" w:hAnsi="Times New Roman" w:eastAsia="宋体" w:cs="Times New Roman"/>
          <w:b w:val="0"/>
          <w:bCs w:val="0"/>
          <w:sz w:val="24"/>
          <w:szCs w:val="24"/>
        </w:rPr>
        <w:t>通过电子招标投标交易平台予以答复。</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 xml:space="preserve">11.2.3 </w:t>
      </w:r>
      <w:r>
        <w:rPr>
          <w:rFonts w:hint="eastAsia" w:ascii="Times New Roman" w:hAnsi="Times New Roman" w:eastAsia="宋体" w:cs="Times New Roman"/>
          <w:b w:val="0"/>
          <w:bCs w:val="0"/>
          <w:sz w:val="24"/>
          <w:szCs w:val="24"/>
          <w:lang w:val="en-US" w:eastAsia="zh-CN"/>
        </w:rPr>
        <w:t>招标代理机构应配合招标投标行政监督部门处理投诉，如实提供有关资料及情况，不得拒绝、隐匿或者伪报。</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101" w:name="_Toc22939"/>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02" w:name="_Toc29068_WPSOffice_Level1"/>
      <w:r>
        <w:rPr>
          <w:rFonts w:hint="eastAsia" w:ascii="Times New Roman" w:hAnsi="Times New Roman" w:eastAsia="宋体" w:cs="Times New Roman"/>
          <w:b/>
          <w:sz w:val="36"/>
          <w:szCs w:val="36"/>
          <w:lang w:val="en-US" w:eastAsia="zh-CN"/>
        </w:rPr>
        <w:t>12接收投标文件</w:t>
      </w:r>
      <w:bookmarkEnd w:id="101"/>
      <w:bookmarkEnd w:id="102"/>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12.0.1 </w:t>
      </w:r>
      <w:r>
        <w:rPr>
          <w:rFonts w:hint="eastAsia" w:ascii="Times New Roman" w:hAnsi="Times New Roman" w:eastAsia="宋体" w:cs="Times New Roman"/>
          <w:b w:val="0"/>
          <w:bCs w:val="0"/>
          <w:sz w:val="24"/>
          <w:szCs w:val="24"/>
        </w:rPr>
        <w:t>招标代理机构应按照招标文件确定的时间、方式接收投标文件。</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12.0.2</w:t>
      </w:r>
      <w:r>
        <w:rPr>
          <w:rFonts w:hint="eastAsia"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b w:val="0"/>
          <w:bCs w:val="0"/>
          <w:sz w:val="24"/>
          <w:szCs w:val="24"/>
        </w:rPr>
        <w:t>招标代理机构应在接收投标文件时，如实记载投标文件的送达时间和密封</w:t>
      </w:r>
      <w:r>
        <w:rPr>
          <w:rFonts w:hint="eastAsia" w:ascii="Times New Roman" w:hAnsi="Times New Roman" w:eastAsia="宋体" w:cs="Times New Roman"/>
          <w:b w:val="0"/>
          <w:bCs w:val="0"/>
          <w:sz w:val="24"/>
          <w:szCs w:val="24"/>
          <w:lang w:eastAsia="zh-CN"/>
        </w:rPr>
        <w:t>情况。</w:t>
      </w:r>
      <w:r>
        <w:rPr>
          <w:rFonts w:hint="eastAsia" w:ascii="Times New Roman" w:hAnsi="Times New Roman" w:eastAsia="宋体" w:cs="Times New Roman"/>
          <w:b w:val="0"/>
          <w:bCs w:val="0"/>
          <w:sz w:val="24"/>
          <w:szCs w:val="24"/>
        </w:rPr>
        <w:t>签收并妥善保管投标文件</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lang w:val="en-US" w:eastAsia="zh-CN"/>
        </w:rPr>
        <w:t>在</w:t>
      </w:r>
      <w:r>
        <w:rPr>
          <w:rFonts w:hint="eastAsia" w:ascii="Times New Roman" w:hAnsi="Times New Roman" w:eastAsia="宋体" w:cs="Times New Roman"/>
          <w:b w:val="0"/>
          <w:bCs w:val="0"/>
          <w:sz w:val="24"/>
          <w:szCs w:val="24"/>
        </w:rPr>
        <w:t>投标截止时间前不得开启。</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采用电子招标投标的，招标人或招标代理机构通过电子招标投标交易平台收到投标人送达的投标文件，应</w:t>
      </w:r>
      <w:r>
        <w:rPr>
          <w:rFonts w:hint="eastAsia" w:ascii="Times New Roman" w:hAnsi="Times New Roman" w:eastAsia="宋体" w:cs="Times New Roman"/>
          <w:b w:val="0"/>
          <w:bCs w:val="0"/>
          <w:sz w:val="24"/>
          <w:szCs w:val="24"/>
          <w:lang w:eastAsia="zh-CN"/>
        </w:rPr>
        <w:t>及时</w:t>
      </w:r>
      <w:r>
        <w:rPr>
          <w:rFonts w:hint="eastAsia" w:ascii="Times New Roman" w:hAnsi="Times New Roman" w:eastAsia="宋体" w:cs="Times New Roman"/>
          <w:b w:val="0"/>
          <w:bCs w:val="0"/>
          <w:sz w:val="24"/>
          <w:szCs w:val="24"/>
        </w:rPr>
        <w:t>向投标人发出确认回执通知，并妥善保存投标文件。在投标截止时间前，除投标人补充、修改或者撤回投标文件外，任何单位和个人不得解密、提取投标文件。</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12.0.3 </w:t>
      </w:r>
      <w:r>
        <w:rPr>
          <w:rFonts w:hint="eastAsia" w:ascii="Times New Roman" w:hAnsi="Times New Roman" w:eastAsia="宋体" w:cs="Times New Roman"/>
          <w:b w:val="0"/>
          <w:bCs w:val="0"/>
          <w:sz w:val="24"/>
          <w:szCs w:val="24"/>
        </w:rPr>
        <w:t>有下列情形之一的，招标代理机构应拒收投标文件：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w:t>
      </w:r>
      <w:r>
        <w:rPr>
          <w:rFonts w:hint="eastAsia" w:ascii="Times New Roman" w:hAnsi="Times New Roman" w:eastAsia="宋体" w:cs="Times New Roman"/>
          <w:b w:val="0"/>
          <w:bCs w:val="0"/>
          <w:sz w:val="24"/>
          <w:szCs w:val="24"/>
        </w:rPr>
        <w:t xml:space="preserve"> 未通过资格预审的申请人提交的投标文件；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val="0"/>
          <w:bCs w:val="0"/>
          <w:sz w:val="24"/>
          <w:szCs w:val="24"/>
        </w:rPr>
        <w:t xml:space="preserve"> 逾期送达的投标文件；</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rPr>
        <w:t>3</w:t>
      </w:r>
      <w:r>
        <w:rPr>
          <w:rFonts w:hint="eastAsia" w:ascii="Times New Roman" w:hAnsi="Times New Roman" w:eastAsia="宋体" w:cs="Times New Roman"/>
          <w:b w:val="0"/>
          <w:bCs w:val="0"/>
          <w:sz w:val="24"/>
          <w:szCs w:val="24"/>
        </w:rPr>
        <w:t xml:space="preserve"> 未按招标文件要求密封的投标文件</w:t>
      </w:r>
      <w:r>
        <w:rPr>
          <w:rFonts w:hint="eastAsia" w:ascii="Times New Roman" w:hAnsi="Times New Roman" w:eastAsia="宋体" w:cs="Times New Roman"/>
          <w:b w:val="0"/>
          <w:bCs w:val="0"/>
          <w:sz w:val="24"/>
          <w:szCs w:val="24"/>
          <w:lang w:eastAsia="zh-CN"/>
        </w:rPr>
        <w:t>；</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4</w:t>
      </w:r>
      <w:r>
        <w:rPr>
          <w:rFonts w:hint="eastAsia" w:ascii="Times New Roman" w:hAnsi="Times New Roman" w:eastAsia="宋体" w:cs="Times New Roman"/>
          <w:b w:val="0"/>
          <w:bCs w:val="0"/>
          <w:sz w:val="24"/>
          <w:szCs w:val="24"/>
          <w:lang w:val="en-US" w:eastAsia="zh-CN"/>
        </w:rPr>
        <w:t xml:space="preserve"> 采用电子招标投标的，未按规定加密的投标文件。</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12.0.4 </w:t>
      </w:r>
      <w:r>
        <w:rPr>
          <w:rFonts w:hint="eastAsia" w:ascii="Times New Roman" w:hAnsi="Times New Roman" w:eastAsia="宋体" w:cs="Times New Roman"/>
          <w:b w:val="0"/>
          <w:bCs w:val="0"/>
          <w:sz w:val="24"/>
          <w:szCs w:val="24"/>
        </w:rPr>
        <w:t>招标文件要求提交样品的，招标代理机构应接收样品，存放在指定位置。其他要求应符合本规程第12.0.1、12.0.2、12.0.3的规定。</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12.0.5 </w:t>
      </w:r>
      <w:r>
        <w:rPr>
          <w:rFonts w:hint="eastAsia" w:ascii="Times New Roman" w:hAnsi="Times New Roman" w:eastAsia="宋体" w:cs="Times New Roman"/>
          <w:b w:val="0"/>
          <w:bCs w:val="0"/>
          <w:sz w:val="24"/>
          <w:szCs w:val="24"/>
        </w:rPr>
        <w:t>招标代理机构对投标人在投标截止时间前书面通知并递交的补充、修改的投标文件，应予接收。</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12.0.6 </w:t>
      </w:r>
      <w:r>
        <w:rPr>
          <w:rFonts w:hint="eastAsia" w:ascii="Times New Roman" w:hAnsi="Times New Roman" w:eastAsia="宋体" w:cs="Times New Roman"/>
          <w:b w:val="0"/>
          <w:bCs w:val="0"/>
          <w:sz w:val="24"/>
          <w:szCs w:val="24"/>
        </w:rPr>
        <w:t>招标代理机构对投标人在投标截止时间前书面通知并要求撤回的投标文件，应予撤回</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投标截止时间前未完成投标文件传输的，视为撤回投标文件。</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12.0.7 </w:t>
      </w:r>
      <w:r>
        <w:rPr>
          <w:rFonts w:hint="eastAsia" w:ascii="Times New Roman" w:hAnsi="Times New Roman" w:eastAsia="宋体" w:cs="Times New Roman"/>
          <w:b w:val="0"/>
          <w:bCs w:val="0"/>
          <w:sz w:val="24"/>
          <w:szCs w:val="24"/>
        </w:rPr>
        <w:t>招标文件中要求接收投标文件过程有监督及相关人员参加的，招标代理机构应做好参加人员的签字记录。</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103" w:name="_Toc14564"/>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04" w:name="_Toc22885_WPSOffice_Level1"/>
      <w:r>
        <w:rPr>
          <w:rFonts w:hint="eastAsia" w:ascii="Times New Roman" w:hAnsi="Times New Roman" w:eastAsia="宋体" w:cs="Times New Roman"/>
          <w:b/>
          <w:sz w:val="36"/>
          <w:szCs w:val="36"/>
          <w:lang w:val="en-US" w:eastAsia="zh-CN"/>
        </w:rPr>
        <w:t>13组织开标</w:t>
      </w:r>
      <w:bookmarkEnd w:id="103"/>
      <w:bookmarkEnd w:id="104"/>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13.0.1</w:t>
      </w:r>
      <w:r>
        <w:rPr>
          <w:rFonts w:hint="eastAsia" w:ascii="Times New Roman" w:hAnsi="Times New Roman" w:eastAsia="宋体" w:cs="Times New Roman"/>
          <w:b w:val="0"/>
          <w:bCs w:val="0"/>
          <w:sz w:val="24"/>
          <w:szCs w:val="24"/>
        </w:rPr>
        <w:t xml:space="preserve"> 招标代理机构应按照招标文件确定的时间、地点组织开标。开标应在招标文件确定的提交投标文件截止时间的同一时间公开进行。依法必须公开招标项目应在项目所在地的招标投标行政监督部门规定的交易场所组织开标。电子开标应按照招标文件要求在电子招标投标交易平台上公开进行。</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13.0.2 </w:t>
      </w:r>
      <w:r>
        <w:rPr>
          <w:rFonts w:hint="eastAsia" w:ascii="Times New Roman" w:hAnsi="Times New Roman" w:eastAsia="宋体" w:cs="Times New Roman"/>
          <w:b w:val="0"/>
          <w:bCs w:val="0"/>
          <w:sz w:val="24"/>
          <w:szCs w:val="24"/>
        </w:rPr>
        <w:t>开标由招标代理机构主持的，招标代理机构应提前完成准备工作并委派该项目</w:t>
      </w:r>
      <w:r>
        <w:rPr>
          <w:rFonts w:hint="eastAsia" w:ascii="Times New Roman" w:hAnsi="Times New Roman" w:eastAsia="宋体" w:cs="Times New Roman"/>
          <w:b w:val="0"/>
          <w:bCs w:val="0"/>
          <w:sz w:val="24"/>
          <w:szCs w:val="24"/>
          <w:lang w:val="en-US" w:eastAsia="zh-CN"/>
        </w:rPr>
        <w:t>组</w:t>
      </w:r>
      <w:r>
        <w:rPr>
          <w:rFonts w:hint="eastAsia" w:ascii="Times New Roman" w:hAnsi="Times New Roman" w:eastAsia="宋体" w:cs="Times New Roman"/>
          <w:b w:val="0"/>
          <w:bCs w:val="0"/>
          <w:sz w:val="24"/>
          <w:szCs w:val="24"/>
        </w:rPr>
        <w:t>负责人组织开标。招标代理机构应邀请所有投标人的法定代表人或其委托代理人准时参加开标。投标人法定代表人或其委托代理人</w:t>
      </w:r>
      <w:r>
        <w:rPr>
          <w:rFonts w:hint="eastAsia" w:ascii="Times New Roman" w:hAnsi="Times New Roman" w:eastAsia="宋体" w:cs="Times New Roman"/>
          <w:b w:val="0"/>
          <w:bCs w:val="0"/>
          <w:sz w:val="24"/>
          <w:szCs w:val="24"/>
          <w:lang w:val="en-US" w:eastAsia="zh-CN"/>
        </w:rPr>
        <w:t>未</w:t>
      </w:r>
      <w:r>
        <w:rPr>
          <w:rFonts w:hint="eastAsia" w:ascii="Times New Roman" w:hAnsi="Times New Roman" w:eastAsia="宋体" w:cs="Times New Roman"/>
          <w:b w:val="0"/>
          <w:bCs w:val="0"/>
          <w:sz w:val="24"/>
          <w:szCs w:val="24"/>
        </w:rPr>
        <w:t>出席开标活动，视为该投标人默认开标结果。电子开标时所有投标人的法定代表人或其委托代理人应准时在线参加开标。项目所在地招标投标行政监督部门对开标现场有管理规定的，招标代理</w:t>
      </w:r>
      <w:r>
        <w:rPr>
          <w:rFonts w:hint="eastAsia" w:ascii="Times New Roman" w:hAnsi="Times New Roman" w:eastAsia="宋体" w:cs="Times New Roman"/>
          <w:b w:val="0"/>
          <w:bCs w:val="0"/>
          <w:sz w:val="24"/>
          <w:szCs w:val="24"/>
          <w:lang w:val="en-US" w:eastAsia="zh-CN"/>
        </w:rPr>
        <w:t>机构从业</w:t>
      </w:r>
      <w:r>
        <w:rPr>
          <w:rFonts w:hint="eastAsia" w:ascii="Times New Roman" w:hAnsi="Times New Roman" w:eastAsia="宋体" w:cs="Times New Roman"/>
          <w:b w:val="0"/>
          <w:bCs w:val="0"/>
          <w:sz w:val="24"/>
          <w:szCs w:val="24"/>
        </w:rPr>
        <w:t>人员应遵守其规定。</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13.0.3 </w:t>
      </w:r>
      <w:r>
        <w:rPr>
          <w:rFonts w:hint="eastAsia" w:ascii="Times New Roman" w:hAnsi="Times New Roman" w:eastAsia="宋体" w:cs="Times New Roman"/>
          <w:b w:val="0"/>
          <w:bCs w:val="0"/>
          <w:sz w:val="24"/>
          <w:szCs w:val="24"/>
        </w:rPr>
        <w:t>开标时，招标代理机构的主持人应宣布开标纪律，公布投标截止时间前递交投标文件的投标人名称，宣布参与开标的有关人员名单。</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13.0.4 </w:t>
      </w:r>
      <w:r>
        <w:rPr>
          <w:rFonts w:hint="eastAsia" w:ascii="Times New Roman" w:hAnsi="Times New Roman" w:eastAsia="宋体" w:cs="Times New Roman"/>
          <w:b w:val="0"/>
          <w:bCs w:val="0"/>
          <w:sz w:val="24"/>
          <w:szCs w:val="24"/>
        </w:rPr>
        <w:t>招标代理机构应按要求在特邀社会监督员的监督下，将投标文件交由投标人或者其推选的代表检查文件的密封情况，也可由招标人委托的公证机构检查并公证。</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13.0.</w:t>
      </w:r>
      <w:r>
        <w:rPr>
          <w:rFonts w:hint="eastAsia" w:ascii="Times New Roman" w:hAnsi="Times New Roman" w:eastAsia="宋体" w:cs="Times New Roman"/>
          <w:b w:val="0"/>
          <w:bCs w:val="0"/>
          <w:sz w:val="24"/>
          <w:szCs w:val="24"/>
        </w:rPr>
        <w:t>5 因投标人原因造成投标文件未按时解密的，招标代理机构应视其撤销投标文件。</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13.0.6 </w:t>
      </w:r>
      <w:r>
        <w:rPr>
          <w:rFonts w:hint="eastAsia" w:ascii="Times New Roman" w:hAnsi="Times New Roman" w:eastAsia="宋体" w:cs="Times New Roman"/>
          <w:b w:val="0"/>
          <w:bCs w:val="0"/>
          <w:sz w:val="24"/>
          <w:szCs w:val="24"/>
        </w:rPr>
        <w:t>投标文件经确认无误后，招标代理</w:t>
      </w:r>
      <w:r>
        <w:rPr>
          <w:rFonts w:hint="eastAsia" w:ascii="Times New Roman" w:hAnsi="Times New Roman" w:eastAsia="宋体" w:cs="Times New Roman"/>
          <w:b w:val="0"/>
          <w:bCs w:val="0"/>
          <w:sz w:val="24"/>
          <w:szCs w:val="24"/>
          <w:lang w:val="en-US" w:eastAsia="zh-CN"/>
        </w:rPr>
        <w:t>项目组</w:t>
      </w:r>
      <w:r>
        <w:rPr>
          <w:rFonts w:hint="eastAsia" w:ascii="Times New Roman" w:hAnsi="Times New Roman" w:eastAsia="宋体" w:cs="Times New Roman"/>
          <w:b w:val="0"/>
          <w:bCs w:val="0"/>
          <w:sz w:val="24"/>
          <w:szCs w:val="24"/>
        </w:rPr>
        <w:t>人员应根据招标文件载明的开标顺序当众拆封所有投标人投标文件，宣读投标人名称、投标价格和投标文件的其他主要内容。在招标文件要求提交投标文件的截止时间前收到的所有投标文件，招标代理机构开标时都应</w:t>
      </w:r>
      <w:r>
        <w:rPr>
          <w:rFonts w:hint="eastAsia" w:ascii="Times New Roman" w:hAnsi="Times New Roman" w:eastAsia="宋体" w:cs="Times New Roman"/>
          <w:b w:val="0"/>
          <w:bCs w:val="0"/>
          <w:sz w:val="24"/>
          <w:szCs w:val="24"/>
          <w:lang w:val="en-US" w:eastAsia="zh-CN"/>
        </w:rPr>
        <w:t>当</w:t>
      </w:r>
      <w:r>
        <w:rPr>
          <w:rFonts w:hint="eastAsia" w:ascii="Times New Roman" w:hAnsi="Times New Roman" w:eastAsia="宋体" w:cs="Times New Roman"/>
          <w:b w:val="0"/>
          <w:bCs w:val="0"/>
          <w:sz w:val="24"/>
          <w:szCs w:val="24"/>
        </w:rPr>
        <w:t>众予以拆封、宣读。</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13.0.7 </w:t>
      </w:r>
      <w:r>
        <w:rPr>
          <w:rFonts w:hint="eastAsia" w:ascii="Times New Roman" w:hAnsi="Times New Roman" w:eastAsia="宋体" w:cs="Times New Roman"/>
          <w:b w:val="0"/>
          <w:bCs w:val="0"/>
          <w:sz w:val="24"/>
          <w:szCs w:val="24"/>
        </w:rPr>
        <w:t>电子开标时，电子招标投标交易平台提示招标代理机构和投标人按招标文件规定方式按时在线解密。招标代理机构导入并读取所有成功解密的投标文件后应向所有投标人公布投标人名称、投标价格和招标文件规定的其他内容。</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13.0.8 </w:t>
      </w:r>
      <w:r>
        <w:rPr>
          <w:rFonts w:hint="eastAsia" w:ascii="Times New Roman" w:hAnsi="Times New Roman" w:eastAsia="宋体" w:cs="Times New Roman"/>
          <w:b w:val="0"/>
          <w:bCs w:val="0"/>
          <w:sz w:val="24"/>
          <w:szCs w:val="24"/>
        </w:rPr>
        <w:t>招标代理机构应如实记录开标过程，并要求投标人代表、招标人代表、监标人、记录人等在开标记录上签字确认。开标过程记录应存档备查。</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电子开标时，电子招标投标交易平台应生成开标记录并向社会公众公布，但依法应保密的除外。</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13.0.9 </w:t>
      </w:r>
      <w:r>
        <w:rPr>
          <w:rFonts w:hint="eastAsia" w:ascii="Times New Roman" w:hAnsi="Times New Roman" w:eastAsia="宋体" w:cs="Times New Roman"/>
          <w:b w:val="0"/>
          <w:bCs w:val="0"/>
          <w:sz w:val="24"/>
          <w:szCs w:val="24"/>
        </w:rPr>
        <w:t>开标结束后，招标代理机构应及时将所有接收的投标文件移交依法组建的评标委员会进行评审。</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13.0.10</w:t>
      </w:r>
      <w:r>
        <w:rPr>
          <w:rFonts w:hint="eastAsia"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b w:val="0"/>
          <w:bCs w:val="0"/>
          <w:sz w:val="24"/>
          <w:szCs w:val="24"/>
        </w:rPr>
        <w:t>至投标截止时间提交投标文件或者成功解密投标文件的投标人数量少于3个时不应开标，招标代理机构在报告招标人后，将接收的全部投标文件原封退回投标人，对投标截止时间后5日内未领回的投标文件应按机密件销毁。招标代理机构应协助招标人分析项目招标失败原因并给出解决方案，经招标人同意后依法重新招标。</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13.0.11 </w:t>
      </w:r>
      <w:r>
        <w:rPr>
          <w:rFonts w:hint="eastAsia" w:ascii="Times New Roman" w:hAnsi="Times New Roman" w:eastAsia="宋体" w:cs="Times New Roman"/>
          <w:b w:val="0"/>
          <w:bCs w:val="0"/>
          <w:sz w:val="24"/>
          <w:szCs w:val="24"/>
        </w:rPr>
        <w:t>投标人对开标有异议且在开标现场提出的，招标代理机构应协助招标人当场作出答复，并制作记录。</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电子开标时，投标人对开标有异议可在线上提出。</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105" w:name="_Toc12044"/>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06" w:name="_Toc23069_WPSOffice_Level1"/>
      <w:r>
        <w:rPr>
          <w:rFonts w:hint="eastAsia" w:ascii="Times New Roman" w:hAnsi="Times New Roman" w:eastAsia="宋体" w:cs="Times New Roman"/>
          <w:b/>
          <w:sz w:val="36"/>
          <w:szCs w:val="36"/>
          <w:lang w:val="en-US" w:eastAsia="zh-CN"/>
        </w:rPr>
        <w:t>14组织评标</w:t>
      </w:r>
      <w:bookmarkEnd w:id="105"/>
      <w:bookmarkEnd w:id="106"/>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107" w:name="_Toc21472_WPSOffice_Level1"/>
      <w:bookmarkStart w:id="108" w:name="_Toc2942"/>
      <w:r>
        <w:rPr>
          <w:rFonts w:hint="eastAsia" w:ascii="Times New Roman" w:hAnsi="Times New Roman" w:eastAsia="宋体" w:cs="Times New Roman"/>
          <w:b/>
          <w:kern w:val="0"/>
          <w:sz w:val="28"/>
          <w:szCs w:val="28"/>
          <w:lang w:val="en-US" w:eastAsia="zh-CN"/>
        </w:rPr>
        <w:t>14.1 一般规定</w:t>
      </w:r>
      <w:bookmarkEnd w:id="107"/>
      <w:bookmarkEnd w:id="108"/>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14.1.1</w:t>
      </w:r>
      <w:r>
        <w:rPr>
          <w:rFonts w:hint="eastAsia" w:ascii="Times New Roman" w:hAnsi="Times New Roman" w:eastAsia="宋体" w:cs="Times New Roman"/>
          <w:b w:val="0"/>
          <w:bCs w:val="0"/>
          <w:sz w:val="24"/>
          <w:szCs w:val="24"/>
        </w:rPr>
        <w:t xml:space="preserve"> </w:t>
      </w:r>
      <w:r>
        <w:rPr>
          <w:rFonts w:hint="eastAsia" w:ascii="Times New Roman" w:hAnsi="Times New Roman" w:eastAsia="宋体" w:cs="Times New Roman"/>
          <w:b w:val="0"/>
          <w:bCs w:val="0"/>
          <w:sz w:val="24"/>
          <w:szCs w:val="24"/>
          <w:lang w:val="en-US" w:eastAsia="zh-CN"/>
        </w:rPr>
        <w:t>招标代理机构应依据国家法律法规的规定和招标文件要求协助招标人组建评标委员会、做好评标准备等服务工作</w:t>
      </w:r>
      <w:r>
        <w:rPr>
          <w:rFonts w:hint="eastAsia" w:ascii="Times New Roman" w:hAnsi="Times New Roman" w:eastAsia="宋体" w:cs="Times New Roman"/>
          <w:b w:val="0"/>
          <w:bCs w:val="0"/>
          <w:sz w:val="24"/>
          <w:szCs w:val="24"/>
        </w:rPr>
        <w:t>。</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14.1.2 </w:t>
      </w:r>
      <w:r>
        <w:rPr>
          <w:rFonts w:hint="eastAsia" w:ascii="Times New Roman" w:hAnsi="Times New Roman" w:eastAsia="宋体" w:cs="Times New Roman"/>
          <w:b w:val="0"/>
          <w:bCs w:val="0"/>
          <w:sz w:val="24"/>
          <w:szCs w:val="24"/>
          <w:lang w:val="en-US" w:eastAsia="zh-CN"/>
        </w:rPr>
        <w:t>招标代理机构应按规定组织评标，并妥善保管投标文件、</w:t>
      </w:r>
      <w:r>
        <w:rPr>
          <w:rFonts w:hint="eastAsia" w:ascii="Times New Roman" w:hAnsi="Times New Roman" w:eastAsia="宋体" w:cs="Times New Roman"/>
          <w:b w:val="0"/>
          <w:bCs w:val="0"/>
          <w:sz w:val="24"/>
          <w:szCs w:val="24"/>
        </w:rPr>
        <w:t>评标资料和相关音视频资料，不得遗失或调换，在评标结束前不得将投标文件和评标资料移出评标区。</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109" w:name="_Toc17603_WPSOffice_Level1"/>
      <w:bookmarkStart w:id="110" w:name="_Toc2200"/>
      <w:r>
        <w:rPr>
          <w:rFonts w:hint="eastAsia" w:ascii="Times New Roman" w:hAnsi="Times New Roman" w:eastAsia="宋体" w:cs="Times New Roman"/>
          <w:b/>
          <w:kern w:val="0"/>
          <w:sz w:val="28"/>
          <w:szCs w:val="28"/>
          <w:lang w:val="en-US" w:eastAsia="zh-CN"/>
        </w:rPr>
        <w:t>14.2 评标委员会的组建</w:t>
      </w:r>
      <w:bookmarkEnd w:id="109"/>
      <w:bookmarkEnd w:id="110"/>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14.2.1 </w:t>
      </w:r>
      <w:r>
        <w:rPr>
          <w:rFonts w:hint="eastAsia" w:ascii="Times New Roman" w:hAnsi="Times New Roman" w:eastAsia="宋体" w:cs="Times New Roman"/>
          <w:b w:val="0"/>
          <w:bCs w:val="0"/>
          <w:sz w:val="24"/>
          <w:szCs w:val="24"/>
          <w:lang w:val="en-US" w:eastAsia="zh-CN"/>
        </w:rPr>
        <w:t>招标代理机构协助</w:t>
      </w:r>
      <w:r>
        <w:rPr>
          <w:rFonts w:hint="eastAsia" w:ascii="Times New Roman" w:hAnsi="Times New Roman" w:eastAsia="宋体" w:cs="Times New Roman"/>
          <w:b w:val="0"/>
          <w:bCs w:val="0"/>
          <w:sz w:val="24"/>
          <w:szCs w:val="24"/>
        </w:rPr>
        <w:t>招标人依法组建的评标委员会负责。</w:t>
      </w:r>
      <w:r>
        <w:rPr>
          <w:rFonts w:hint="eastAsia" w:ascii="Times New Roman" w:hAnsi="Times New Roman" w:eastAsia="宋体" w:cs="Times New Roman"/>
          <w:b w:val="0"/>
          <w:bCs w:val="0"/>
          <w:sz w:val="24"/>
          <w:szCs w:val="24"/>
          <w:lang w:val="en-US" w:eastAsia="zh-CN"/>
        </w:rPr>
        <w:t>依法必须进行招标的项目，</w:t>
      </w:r>
      <w:r>
        <w:rPr>
          <w:rFonts w:hint="eastAsia" w:ascii="Times New Roman" w:hAnsi="Times New Roman" w:eastAsia="宋体" w:cs="Times New Roman"/>
          <w:b w:val="0"/>
          <w:bCs w:val="0"/>
          <w:sz w:val="24"/>
          <w:szCs w:val="24"/>
        </w:rPr>
        <w:t>评标委员会可由招标人代表和有关技术、经济等方面的专家组成，成员为五人以上单数，其中技术、经济等方面的专家不得少于成员总数的三分之二。评标专家的人员和数量应符合项目评标工作的需要。</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14.2.2</w:t>
      </w:r>
      <w:r>
        <w:rPr>
          <w:rFonts w:hint="eastAsia"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b w:val="0"/>
          <w:bCs w:val="0"/>
          <w:sz w:val="24"/>
          <w:szCs w:val="24"/>
          <w:lang w:val="en-US" w:eastAsia="zh-CN"/>
        </w:rPr>
        <w:t>评标委员会成员与投标人有利害关系的人不得进入相关项目的评标委员会，已经进入的应更换。被更换的评标委员会成员作出的评审结论无效，由更换后的评标委员会成员重新进行评审。</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14.2.3 </w:t>
      </w:r>
      <w:r>
        <w:rPr>
          <w:rFonts w:hint="eastAsia" w:ascii="Times New Roman" w:hAnsi="Times New Roman" w:eastAsia="宋体" w:cs="Times New Roman"/>
          <w:b w:val="0"/>
          <w:bCs w:val="0"/>
          <w:sz w:val="24"/>
          <w:szCs w:val="24"/>
          <w:lang w:val="en-US" w:eastAsia="zh-CN"/>
        </w:rPr>
        <w:t>评标委员会负责人由评标委员会成员推举产生或者由招标人确定。评标委员会负责人与评标委员会的其他成员有同等的表决权。</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14.2.4 </w:t>
      </w:r>
      <w:r>
        <w:rPr>
          <w:rFonts w:hint="eastAsia" w:ascii="Times New Roman" w:hAnsi="Times New Roman" w:eastAsia="宋体" w:cs="Times New Roman"/>
          <w:b w:val="0"/>
          <w:bCs w:val="0"/>
          <w:sz w:val="24"/>
          <w:szCs w:val="24"/>
          <w:lang w:val="en-US" w:eastAsia="zh-CN"/>
        </w:rPr>
        <w:t>依法必须招标项目，评标专家应从依法组建的评标专家库中抽取，出现专家请假或回避等情形，应及时补抽。对于技术复杂、专业性强或者国家有特殊要求，无法采取随机抽取方式的，招标人可以依法直接确定评标专家，并向有关行政监督部门报告。</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14.2.5 </w:t>
      </w:r>
      <w:r>
        <w:rPr>
          <w:rFonts w:hint="eastAsia" w:ascii="Times New Roman" w:hAnsi="Times New Roman" w:eastAsia="宋体" w:cs="Times New Roman"/>
          <w:b w:val="0"/>
          <w:bCs w:val="0"/>
          <w:sz w:val="24"/>
          <w:szCs w:val="24"/>
          <w:lang w:val="en-US" w:eastAsia="zh-CN"/>
        </w:rPr>
        <w:t>对评标委员会成员的确定方式、评标专家的抽取和评标活动应接受有关行政监督部门按照规定的职责分工进行监督。负责监督项目的行政监督部门工作人员不得进入相关项目的评标委员会，已经进入的应当更换。</w:t>
      </w:r>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rPr>
        <w:t xml:space="preserve">14.2.6 </w:t>
      </w:r>
      <w:r>
        <w:rPr>
          <w:rFonts w:hint="eastAsia" w:ascii="Times New Roman" w:hAnsi="Times New Roman" w:eastAsia="宋体" w:cs="Times New Roman"/>
          <w:b w:val="0"/>
          <w:bCs w:val="0"/>
          <w:sz w:val="24"/>
          <w:szCs w:val="24"/>
          <w:lang w:val="en-US" w:eastAsia="zh-CN"/>
        </w:rPr>
        <w:t>评标委员会成员的名单在中标结果确定前应保密。</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14.2.7 </w:t>
      </w:r>
      <w:r>
        <w:rPr>
          <w:rFonts w:hint="eastAsia" w:ascii="Times New Roman" w:hAnsi="Times New Roman" w:eastAsia="宋体" w:cs="Times New Roman"/>
          <w:b w:val="0"/>
          <w:bCs w:val="0"/>
          <w:sz w:val="24"/>
          <w:szCs w:val="24"/>
          <w:lang w:val="en-US" w:eastAsia="zh-CN"/>
        </w:rPr>
        <w:t>采用远程评标的招标项目，应协助招标人通过项目所在地交易中心电子招标投标交易平台向省综合评标专家库管理系统提交远程异地评标评审申请。</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111" w:name="_Toc11366"/>
      <w:bookmarkStart w:id="112" w:name="_Toc8643_WPSOffice_Level1"/>
      <w:r>
        <w:rPr>
          <w:rFonts w:hint="eastAsia" w:ascii="Times New Roman" w:hAnsi="Times New Roman" w:eastAsia="宋体" w:cs="Times New Roman"/>
          <w:b/>
          <w:kern w:val="0"/>
          <w:sz w:val="28"/>
          <w:szCs w:val="28"/>
          <w:lang w:val="en-US" w:eastAsia="zh-CN"/>
        </w:rPr>
        <w:t>14.3 评标</w:t>
      </w:r>
      <w:bookmarkEnd w:id="111"/>
      <w:bookmarkEnd w:id="112"/>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14.3.1 </w:t>
      </w:r>
      <w:r>
        <w:rPr>
          <w:rFonts w:hint="eastAsia" w:ascii="Times New Roman" w:hAnsi="Times New Roman" w:eastAsia="宋体" w:cs="Times New Roman"/>
          <w:b w:val="0"/>
          <w:bCs w:val="0"/>
          <w:sz w:val="24"/>
          <w:szCs w:val="24"/>
          <w:lang w:val="en-US" w:eastAsia="zh-CN"/>
        </w:rPr>
        <w:t>招标代理机构应协助招标人采取必要的措施，保证评标在有效监控和保密的环境下进行，协助评标委员会编制供评标使用的相应表格。</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14.3.2 </w:t>
      </w:r>
      <w:r>
        <w:rPr>
          <w:rFonts w:hint="eastAsia" w:ascii="Times New Roman" w:hAnsi="Times New Roman" w:eastAsia="宋体" w:cs="Times New Roman"/>
          <w:b w:val="0"/>
          <w:bCs w:val="0"/>
          <w:sz w:val="24"/>
          <w:szCs w:val="24"/>
          <w:lang w:val="en-US" w:eastAsia="zh-CN"/>
        </w:rPr>
        <w:t>招标代理机构应协助评标委员会熟悉项目招标的目标、招标项目的性质和范围、招标文件中规定的主要技术要求、标准和商务条款、评标标准、评标方法以及在评标过程中需考虑的相关因素。</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14.3.3</w:t>
      </w:r>
      <w:r>
        <w:rPr>
          <w:rFonts w:hint="eastAsia"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b w:val="0"/>
          <w:bCs w:val="0"/>
          <w:sz w:val="24"/>
          <w:szCs w:val="24"/>
          <w:lang w:val="en-US" w:eastAsia="zh-CN"/>
        </w:rPr>
        <w:t>招标代理机构可根据评标委员会授权进行清标；评标委员会就投标文件有关内容需投标人做出澄清、说明与补正的，招标代理机构应协助评标委员会与投标人通过交换数据电文进行澄清或者说明，做好辅助工作。</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14.3.4 </w:t>
      </w:r>
      <w:r>
        <w:rPr>
          <w:rFonts w:hint="eastAsia" w:ascii="Times New Roman" w:hAnsi="Times New Roman" w:eastAsia="宋体" w:cs="Times New Roman"/>
          <w:b w:val="0"/>
          <w:bCs w:val="0"/>
          <w:sz w:val="24"/>
          <w:szCs w:val="24"/>
          <w:lang w:val="en-US" w:eastAsia="zh-CN"/>
        </w:rPr>
        <w:t>招标文件没有规定的评标标准和方法不得作为评标的依据，招标代理机构发现评标委员会未按照招标文件确定的评标标准和方法客观、公正地对投标文件提出评审意见的，应及时提醒，对仍拒不改正的，应及时向招标投标行政监督部门报告。招标代理机构不得参与评审或影响评标委员会独立评审。</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14.3.5 </w:t>
      </w:r>
      <w:r>
        <w:rPr>
          <w:rFonts w:hint="eastAsia" w:ascii="Times New Roman" w:hAnsi="Times New Roman" w:eastAsia="宋体" w:cs="Times New Roman"/>
          <w:b w:val="0"/>
          <w:bCs w:val="0"/>
          <w:sz w:val="24"/>
          <w:szCs w:val="24"/>
          <w:lang w:val="en-US" w:eastAsia="zh-CN"/>
        </w:rPr>
        <w:t>评标过程中发现问题时，评标委员会应及时作出处理或者向招标人提出处理建议，招标代理机构应做好书面记录。</w:t>
      </w:r>
    </w:p>
    <w:p>
      <w:pPr>
        <w:pStyle w:val="27"/>
        <w:spacing w:line="360" w:lineRule="auto"/>
        <w:ind w:firstLine="0" w:firstLineChars="0"/>
        <w:rPr>
          <w:rFonts w:hint="eastAsia" w:ascii="Times New Roman" w:hAnsi="Times New Roman" w:eastAsia="宋体" w:cs="Times New Roman"/>
          <w:b/>
          <w:bCs/>
          <w:sz w:val="24"/>
          <w:szCs w:val="24"/>
          <w:lang w:eastAsia="zh-CN"/>
        </w:rPr>
      </w:pPr>
      <w:r>
        <w:rPr>
          <w:rFonts w:hint="eastAsia" w:ascii="Times New Roman" w:hAnsi="Times New Roman" w:eastAsia="宋体" w:cs="Times New Roman"/>
          <w:b/>
          <w:bCs/>
          <w:sz w:val="24"/>
          <w:szCs w:val="24"/>
        </w:rPr>
        <w:t>14.3.</w:t>
      </w:r>
      <w:r>
        <w:rPr>
          <w:rFonts w:hint="eastAsia" w:ascii="Times New Roman" w:hAnsi="Times New Roman" w:eastAsia="宋体" w:cs="Times New Roman"/>
          <w:b/>
          <w:bCs/>
          <w:sz w:val="24"/>
          <w:szCs w:val="24"/>
          <w:lang w:val="en-US" w:eastAsia="zh-CN"/>
        </w:rPr>
        <w:t>6</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lang w:val="en-US" w:eastAsia="zh-CN"/>
        </w:rPr>
        <w:t>在评审过程中，评标委员会认定投标人报价为异常低价，评标委员会应否决其投标。</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14.3.</w:t>
      </w:r>
      <w:r>
        <w:rPr>
          <w:rFonts w:hint="eastAsia" w:ascii="Times New Roman" w:hAnsi="Times New Roman" w:eastAsia="宋体" w:cs="Times New Roman"/>
          <w:b/>
          <w:bCs/>
          <w:sz w:val="24"/>
          <w:szCs w:val="24"/>
          <w:lang w:val="en-US" w:eastAsia="zh-CN"/>
        </w:rPr>
        <w:t>7</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lang w:val="en-US" w:eastAsia="zh-CN"/>
        </w:rPr>
        <w:t>在评标过程中，如有效投标不足3个，招标代理机构应提醒评标委员会对有效投标是否仍具有竞争性进行评审，并在评标报告中予以说明。</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14.3.</w:t>
      </w:r>
      <w:r>
        <w:rPr>
          <w:rFonts w:hint="eastAsia" w:ascii="Times New Roman" w:hAnsi="Times New Roman" w:eastAsia="宋体" w:cs="Times New Roman"/>
          <w:b/>
          <w:bCs/>
          <w:sz w:val="24"/>
          <w:szCs w:val="24"/>
          <w:lang w:val="en-US" w:eastAsia="zh-CN"/>
        </w:rPr>
        <w:t>8</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lang w:val="en-US" w:eastAsia="zh-CN"/>
        </w:rPr>
        <w:t>评标完成后，招标代理机构可协助评标委员会按国家或省有关要求向招标人提交书面形式或数据电文形式的评标报告。</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14.3.</w:t>
      </w:r>
      <w:r>
        <w:rPr>
          <w:rFonts w:hint="eastAsia" w:ascii="Times New Roman" w:hAnsi="Times New Roman" w:eastAsia="宋体" w:cs="Times New Roman"/>
          <w:b/>
          <w:bCs/>
          <w:sz w:val="24"/>
          <w:szCs w:val="24"/>
          <w:lang w:val="en-US" w:eastAsia="zh-CN"/>
        </w:rPr>
        <w:t>9</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lang w:val="en-US" w:eastAsia="zh-CN"/>
        </w:rPr>
        <w:t>评标结束后，招标代理机构应及时将开评标数据录入电子招标投标交易平台，并做好评标过程中相关资料的收集等工作，并妥善保存。</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14.3.1</w:t>
      </w:r>
      <w:r>
        <w:rPr>
          <w:rFonts w:hint="eastAsia" w:ascii="Times New Roman" w:hAnsi="Times New Roman" w:eastAsia="宋体" w:cs="Times New Roman"/>
          <w:b/>
          <w:bCs/>
          <w:sz w:val="24"/>
          <w:szCs w:val="24"/>
          <w:lang w:val="en-US" w:eastAsia="zh-CN"/>
        </w:rPr>
        <w:t>0</w:t>
      </w:r>
      <w:r>
        <w:rPr>
          <w:rFonts w:hint="eastAsia"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lang w:val="en-US" w:eastAsia="zh-CN"/>
        </w:rPr>
        <w:t>中标候选人公示前，招标代理机构应按招标代理合同约定协助招标人审核评标委员会提交的评标报告。包括以下主要审核内容：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1</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评标委员会是否按照招标文件规定的评标标准和方法</w:t>
      </w:r>
      <w:r>
        <w:rPr>
          <w:rFonts w:hint="eastAsia" w:ascii="Times New Roman" w:hAnsi="Times New Roman" w:eastAsia="宋体" w:cs="Times New Roman"/>
          <w:b w:val="0"/>
          <w:bCs w:val="0"/>
          <w:sz w:val="24"/>
          <w:szCs w:val="24"/>
          <w:lang w:eastAsia="zh-CN"/>
        </w:rPr>
        <w:t>进行评审</w:t>
      </w:r>
      <w:r>
        <w:rPr>
          <w:rFonts w:hint="eastAsia" w:ascii="Times New Roman" w:hAnsi="Times New Roman" w:eastAsia="宋体" w:cs="Times New Roman"/>
          <w:b w:val="0"/>
          <w:bCs w:val="0"/>
          <w:sz w:val="24"/>
          <w:szCs w:val="24"/>
        </w:rPr>
        <w:t>；是否存在对客观评审因素评分不一致，或者评分畸高、畸低现象；</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2</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eastAsia="宋体" w:cs="Times New Roman"/>
          <w:b w:val="0"/>
          <w:bCs w:val="0"/>
          <w:sz w:val="24"/>
          <w:szCs w:val="24"/>
        </w:rPr>
        <w:t>评标委员会对</w:t>
      </w:r>
      <w:r>
        <w:rPr>
          <w:rFonts w:hint="eastAsia" w:ascii="Times New Roman" w:hAnsi="Times New Roman" w:eastAsia="宋体" w:cs="Times New Roman"/>
          <w:b w:val="0"/>
          <w:bCs w:val="0"/>
          <w:sz w:val="24"/>
          <w:szCs w:val="24"/>
          <w:lang w:eastAsia="zh-CN"/>
        </w:rPr>
        <w:t>异常低价的投标人</w:t>
      </w:r>
      <w:r>
        <w:rPr>
          <w:rFonts w:hint="eastAsia" w:ascii="Times New Roman" w:hAnsi="Times New Roman" w:eastAsia="宋体" w:cs="Times New Roman"/>
          <w:b w:val="0"/>
          <w:bCs w:val="0"/>
          <w:sz w:val="24"/>
          <w:szCs w:val="24"/>
        </w:rPr>
        <w:t>报价是否进行</w:t>
      </w:r>
      <w:r>
        <w:rPr>
          <w:rFonts w:hint="eastAsia" w:ascii="Times New Roman" w:hAnsi="Times New Roman" w:eastAsia="宋体" w:cs="Times New Roman"/>
          <w:b w:val="0"/>
          <w:bCs w:val="0"/>
          <w:sz w:val="24"/>
          <w:szCs w:val="24"/>
          <w:lang w:eastAsia="zh-CN"/>
        </w:rPr>
        <w:t>重点评审</w:t>
      </w:r>
      <w:r>
        <w:rPr>
          <w:rFonts w:hint="eastAsia" w:ascii="Times New Roman" w:hAnsi="Times New Roman" w:eastAsia="宋体" w:cs="Times New Roman"/>
          <w:b w:val="0"/>
          <w:bCs w:val="0"/>
          <w:sz w:val="24"/>
          <w:szCs w:val="24"/>
        </w:rPr>
        <w:t>，</w:t>
      </w:r>
      <w:r>
        <w:rPr>
          <w:rFonts w:hint="eastAsia" w:ascii="Times New Roman" w:hAnsi="Times New Roman" w:eastAsia="宋体" w:cs="Times New Roman"/>
          <w:b w:val="0"/>
          <w:bCs w:val="0"/>
          <w:sz w:val="24"/>
          <w:szCs w:val="24"/>
          <w:lang w:eastAsia="zh-CN"/>
        </w:rPr>
        <w:t>认定为异常低价的是否</w:t>
      </w:r>
      <w:r>
        <w:rPr>
          <w:rFonts w:hint="eastAsia" w:ascii="Times New Roman" w:hAnsi="Times New Roman" w:eastAsia="宋体" w:cs="Times New Roman"/>
          <w:b w:val="0"/>
          <w:bCs w:val="0"/>
          <w:sz w:val="24"/>
          <w:szCs w:val="24"/>
        </w:rPr>
        <w:t>否决</w:t>
      </w:r>
      <w:r>
        <w:rPr>
          <w:rFonts w:hint="eastAsia" w:ascii="Times New Roman" w:hAnsi="Times New Roman" w:eastAsia="宋体" w:cs="Times New Roman"/>
          <w:b w:val="0"/>
          <w:bCs w:val="0"/>
          <w:sz w:val="24"/>
          <w:szCs w:val="24"/>
          <w:lang w:eastAsia="zh-CN"/>
        </w:rPr>
        <w:t>其</w:t>
      </w:r>
      <w:r>
        <w:rPr>
          <w:rFonts w:hint="eastAsia" w:ascii="Times New Roman" w:hAnsi="Times New Roman" w:eastAsia="宋体" w:cs="Times New Roman"/>
          <w:b w:val="0"/>
          <w:bCs w:val="0"/>
          <w:sz w:val="24"/>
          <w:szCs w:val="24"/>
        </w:rPr>
        <w:t>投标；</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eastAsia="zh-CN"/>
        </w:rPr>
      </w:pPr>
      <w:r>
        <w:rPr>
          <w:rFonts w:hint="eastAsia" w:ascii="Times New Roman" w:hAnsi="Times New Roman" w:eastAsia="宋体" w:cs="Times New Roman"/>
          <w:b/>
          <w:bCs/>
          <w:sz w:val="24"/>
          <w:szCs w:val="24"/>
          <w:lang w:val="en-US" w:eastAsia="zh-CN"/>
        </w:rPr>
        <w:t>3</w:t>
      </w:r>
      <w:r>
        <w:rPr>
          <w:rFonts w:hint="eastAsia" w:ascii="Times New Roman" w:hAnsi="Times New Roman" w:eastAsia="宋体" w:cs="Times New Roman"/>
          <w:b w:val="0"/>
          <w:bCs w:val="0"/>
          <w:sz w:val="24"/>
          <w:szCs w:val="24"/>
          <w:lang w:val="en-US" w:eastAsia="zh-CN"/>
        </w:rPr>
        <w:t xml:space="preserve"> 对应</w:t>
      </w:r>
      <w:r>
        <w:rPr>
          <w:rFonts w:hint="eastAsia" w:ascii="Times New Roman" w:hAnsi="Times New Roman" w:eastAsia="宋体" w:cs="Times New Roman"/>
          <w:b w:val="0"/>
          <w:bCs w:val="0"/>
          <w:sz w:val="24"/>
          <w:szCs w:val="24"/>
        </w:rPr>
        <w:t>否决投标的情况</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评标委员会是否</w:t>
      </w:r>
      <w:r>
        <w:rPr>
          <w:rFonts w:hint="eastAsia" w:ascii="Times New Roman" w:hAnsi="Times New Roman" w:eastAsia="宋体" w:cs="Times New Roman"/>
          <w:b w:val="0"/>
          <w:bCs w:val="0"/>
          <w:sz w:val="24"/>
          <w:szCs w:val="24"/>
          <w:lang w:eastAsia="zh-CN"/>
        </w:rPr>
        <w:t>已否决其投标，是否</w:t>
      </w:r>
      <w:r>
        <w:rPr>
          <w:rFonts w:hint="eastAsia" w:ascii="Times New Roman" w:hAnsi="Times New Roman" w:eastAsia="宋体" w:cs="Times New Roman"/>
          <w:b w:val="0"/>
          <w:bCs w:val="0"/>
          <w:sz w:val="24"/>
          <w:szCs w:val="24"/>
        </w:rPr>
        <w:t>存在随意</w:t>
      </w:r>
      <w:r>
        <w:rPr>
          <w:rFonts w:hint="eastAsia" w:ascii="Times New Roman" w:hAnsi="Times New Roman" w:eastAsia="宋体" w:cs="Times New Roman"/>
          <w:b w:val="0"/>
          <w:bCs w:val="0"/>
          <w:sz w:val="24"/>
          <w:szCs w:val="24"/>
          <w:lang w:eastAsia="zh-CN"/>
        </w:rPr>
        <w:t>否决投标情形，</w:t>
      </w:r>
      <w:r>
        <w:rPr>
          <w:rFonts w:hint="eastAsia" w:ascii="Times New Roman" w:hAnsi="Times New Roman" w:eastAsia="宋体" w:cs="Times New Roman"/>
          <w:b w:val="0"/>
          <w:bCs w:val="0"/>
          <w:sz w:val="24"/>
          <w:szCs w:val="24"/>
        </w:rPr>
        <w:t>是否依法通知投标人进行澄清、说明</w:t>
      </w:r>
      <w:r>
        <w:rPr>
          <w:rFonts w:hint="eastAsia" w:ascii="Times New Roman" w:hAnsi="Times New Roman" w:eastAsia="宋体" w:cs="Times New Roman"/>
          <w:b w:val="0"/>
          <w:bCs w:val="0"/>
          <w:sz w:val="24"/>
          <w:szCs w:val="24"/>
          <w:lang w:eastAsia="zh-CN"/>
        </w:rPr>
        <w:t>。</w:t>
      </w:r>
    </w:p>
    <w:p>
      <w:pPr>
        <w:pStyle w:val="27"/>
        <w:spacing w:line="360" w:lineRule="auto"/>
        <w:ind w:firstLine="0" w:firstLineChars="0"/>
        <w:rPr>
          <w:rFonts w:hint="eastAsia" w:ascii="Times New Roman" w:hAnsi="Times New Roman" w:eastAsia="宋体" w:cs="Times New Roman"/>
          <w:b/>
          <w:bCs/>
          <w:sz w:val="24"/>
          <w:szCs w:val="24"/>
        </w:rPr>
      </w:pPr>
      <w:r>
        <w:rPr>
          <w:rFonts w:hint="default" w:ascii="Times New Roman" w:hAnsi="Times New Roman" w:eastAsia="宋体" w:cs="Times New Roman"/>
          <w:b/>
          <w:bCs/>
          <w:sz w:val="24"/>
          <w:szCs w:val="24"/>
        </w:rPr>
        <w:t>14.3.</w:t>
      </w:r>
      <w:r>
        <w:rPr>
          <w:rFonts w:hint="eastAsia" w:ascii="Times New Roman" w:hAnsi="Times New Roman" w:eastAsia="宋体" w:cs="Times New Roman"/>
          <w:b/>
          <w:bCs/>
          <w:sz w:val="24"/>
          <w:szCs w:val="24"/>
          <w:lang w:val="en-US" w:eastAsia="zh-CN"/>
        </w:rPr>
        <w:t>11</w:t>
      </w:r>
      <w:r>
        <w:rPr>
          <w:rFonts w:hint="default" w:ascii="Times New Roman" w:hAnsi="Times New Roman" w:eastAsia="宋体" w:cs="Times New Roman"/>
          <w:b/>
          <w:bCs/>
          <w:sz w:val="24"/>
          <w:szCs w:val="24"/>
        </w:rPr>
        <w:t xml:space="preserve"> </w:t>
      </w:r>
      <w:r>
        <w:rPr>
          <w:rFonts w:hint="eastAsia" w:ascii="Times New Roman" w:hAnsi="Times New Roman" w:eastAsia="宋体" w:cs="Times New Roman"/>
          <w:b w:val="0"/>
          <w:bCs w:val="0"/>
          <w:sz w:val="24"/>
          <w:szCs w:val="24"/>
          <w:lang w:val="en-US" w:eastAsia="zh-CN"/>
        </w:rPr>
        <w:t>与评标活动有关的招标代理项目组人员，对评标过程中所有信息负有保密责任。</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113" w:name="_Toc14427"/>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14" w:name="_Toc23863_WPSOffice_Level1"/>
      <w:r>
        <w:rPr>
          <w:rFonts w:hint="eastAsia" w:ascii="Times New Roman" w:hAnsi="Times New Roman" w:eastAsia="宋体" w:cs="Times New Roman"/>
          <w:b/>
          <w:sz w:val="36"/>
          <w:szCs w:val="36"/>
          <w:lang w:val="en-US" w:eastAsia="zh-CN"/>
        </w:rPr>
        <w:t>15协助定标</w:t>
      </w:r>
      <w:bookmarkEnd w:id="113"/>
      <w:bookmarkEnd w:id="114"/>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115" w:name="_Toc20274_WPSOffice_Level1"/>
      <w:bookmarkStart w:id="116" w:name="_Toc5194"/>
      <w:r>
        <w:rPr>
          <w:rFonts w:hint="eastAsia" w:ascii="Times New Roman" w:hAnsi="Times New Roman" w:eastAsia="宋体" w:cs="Times New Roman"/>
          <w:b/>
          <w:kern w:val="0"/>
          <w:sz w:val="28"/>
          <w:szCs w:val="28"/>
          <w:lang w:val="en-US" w:eastAsia="zh-CN"/>
        </w:rPr>
        <w:t>15.1 中标候选人公示</w:t>
      </w:r>
      <w:bookmarkEnd w:id="115"/>
      <w:bookmarkEnd w:id="116"/>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15.1.1 </w:t>
      </w:r>
      <w:r>
        <w:rPr>
          <w:rFonts w:hint="eastAsia" w:ascii="Times New Roman" w:hAnsi="Times New Roman" w:eastAsia="宋体" w:cs="Times New Roman"/>
          <w:b w:val="0"/>
          <w:bCs w:val="0"/>
          <w:sz w:val="24"/>
          <w:szCs w:val="24"/>
        </w:rPr>
        <w:t>依法必须进行招标的项目，招标代理机构应协助招标人自收到评标报告之日起3日内公示中标候选人，公示期不得少于3日。中标候选人公示应在“中国招标投标公共服务平台”或者项目所在地省级电子招标投标公共服务平台发布。</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15.1.2 </w:t>
      </w:r>
      <w:r>
        <w:rPr>
          <w:rFonts w:hint="eastAsia" w:ascii="Times New Roman" w:hAnsi="Times New Roman" w:eastAsia="宋体" w:cs="Times New Roman"/>
          <w:b w:val="0"/>
          <w:bCs w:val="0"/>
          <w:sz w:val="24"/>
          <w:szCs w:val="24"/>
        </w:rPr>
        <w:t>中标候选人公示应包括以下主要内容：中标候选人排序、名称、投标报价、质量、工期</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交货期</w:t>
      </w:r>
      <w:r>
        <w:rPr>
          <w:rFonts w:hint="eastAsia" w:ascii="Times New Roman" w:hAnsi="Times New Roman" w:eastAsia="宋体" w:cs="Times New Roman"/>
          <w:b w:val="0"/>
          <w:bCs w:val="0"/>
          <w:sz w:val="24"/>
          <w:szCs w:val="24"/>
          <w:lang w:eastAsia="zh-CN"/>
        </w:rPr>
        <w:t>）</w:t>
      </w:r>
      <w:r>
        <w:rPr>
          <w:rFonts w:hint="eastAsia" w:ascii="Times New Roman" w:hAnsi="Times New Roman" w:eastAsia="宋体" w:cs="Times New Roman"/>
          <w:b w:val="0"/>
          <w:bCs w:val="0"/>
          <w:sz w:val="24"/>
          <w:szCs w:val="24"/>
        </w:rPr>
        <w:t>，评标情况及投标文件被否决原因，提出异议的渠道和方式，以及招标文件规定公示的其他内容。</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15.1.3 </w:t>
      </w:r>
      <w:r>
        <w:rPr>
          <w:rFonts w:hint="eastAsia" w:ascii="Times New Roman" w:hAnsi="Times New Roman" w:eastAsia="宋体" w:cs="Times New Roman"/>
          <w:b w:val="0"/>
          <w:bCs w:val="0"/>
          <w:sz w:val="24"/>
          <w:szCs w:val="24"/>
        </w:rPr>
        <w:t>招标代理机构对投标人或者其他利害关系人在中标候选人公示期间提出的异议，应协助招标人在收到异议之日起3日内作出答复，作出答复前，应暂停招标投标活动。</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采用电子招标投标的，电子招标投标交易平台应支持电子招标投标交易平台在线提出异议、跟踪处理进程、接收异议答复。</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15.1.4 </w:t>
      </w:r>
      <w:r>
        <w:rPr>
          <w:rFonts w:hint="eastAsia" w:ascii="Times New Roman" w:hAnsi="Times New Roman" w:eastAsia="宋体" w:cs="Times New Roman"/>
          <w:b w:val="0"/>
          <w:bCs w:val="0"/>
          <w:sz w:val="24"/>
          <w:szCs w:val="24"/>
          <w:lang w:val="en-US" w:eastAsia="zh-CN"/>
        </w:rPr>
        <w:t>招标代理机构应协助招标人对异议的内容进行调查、核实。如异议涉及评标过程及结果的，应组织该项目原评标委员会协助、配合招标人处理异议，原评标委员会按规定程序复核、纠正评标报告中的错误</w:t>
      </w:r>
      <w:r>
        <w:rPr>
          <w:rFonts w:hint="eastAsia" w:ascii="Times New Roman" w:hAnsi="Times New Roman" w:eastAsia="宋体" w:cs="Times New Roman"/>
          <w:b w:val="0"/>
          <w:bCs w:val="0"/>
          <w:sz w:val="24"/>
          <w:szCs w:val="24"/>
        </w:rPr>
        <w:t>。</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15.1.5 </w:t>
      </w:r>
      <w:r>
        <w:rPr>
          <w:rFonts w:hint="eastAsia" w:ascii="Times New Roman" w:hAnsi="Times New Roman" w:eastAsia="宋体" w:cs="Times New Roman"/>
          <w:b w:val="0"/>
          <w:bCs w:val="0"/>
          <w:sz w:val="24"/>
          <w:szCs w:val="24"/>
        </w:rPr>
        <w:t>招标代理机构应配合行政监督部门处理投诉，配合调取有关材料。投诉事项应先提出异议的，配合提供异议及答复文件。</w:t>
      </w:r>
    </w:p>
    <w:p>
      <w:pPr>
        <w:spacing w:before="156" w:beforeLines="50" w:after="156" w:afterLines="50" w:line="360" w:lineRule="auto"/>
        <w:jc w:val="center"/>
        <w:outlineLvl w:val="1"/>
        <w:rPr>
          <w:rFonts w:hint="eastAsia" w:ascii="Times New Roman" w:hAnsi="Times New Roman" w:eastAsia="宋体" w:cs="Times New Roman"/>
          <w:b/>
          <w:kern w:val="0"/>
          <w:sz w:val="30"/>
          <w:szCs w:val="30"/>
          <w:lang w:val="en-US" w:eastAsia="zh-CN"/>
        </w:rPr>
      </w:pPr>
      <w:bookmarkStart w:id="117" w:name="_Toc3909"/>
      <w:bookmarkStart w:id="118" w:name="_Toc31021_WPSOffice_Level1"/>
      <w:r>
        <w:rPr>
          <w:rFonts w:hint="eastAsia" w:ascii="Times New Roman" w:hAnsi="Times New Roman" w:eastAsia="宋体" w:cs="Times New Roman"/>
          <w:b/>
          <w:kern w:val="0"/>
          <w:sz w:val="30"/>
          <w:szCs w:val="30"/>
          <w:lang w:val="en-US" w:eastAsia="zh-CN"/>
        </w:rPr>
        <w:t>15.2 协助定标</w:t>
      </w:r>
      <w:bookmarkEnd w:id="117"/>
      <w:bookmarkEnd w:id="118"/>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15.2.1</w:t>
      </w:r>
      <w:r>
        <w:rPr>
          <w:rFonts w:hint="eastAsia" w:ascii="Times New Roman" w:hAnsi="Times New Roman" w:eastAsia="宋体" w:cs="Times New Roman"/>
          <w:b w:val="0"/>
          <w:bCs w:val="0"/>
          <w:sz w:val="24"/>
          <w:szCs w:val="24"/>
        </w:rPr>
        <w:t xml:space="preserve"> 招标</w:t>
      </w:r>
      <w:r>
        <w:rPr>
          <w:rFonts w:hint="eastAsia" w:ascii="Times New Roman" w:hAnsi="Times New Roman" w:eastAsia="宋体" w:cs="Times New Roman"/>
          <w:b w:val="0"/>
          <w:bCs w:val="0"/>
          <w:sz w:val="24"/>
          <w:szCs w:val="24"/>
          <w:lang w:eastAsia="zh-CN"/>
        </w:rPr>
        <w:t>代理</w:t>
      </w:r>
      <w:r>
        <w:rPr>
          <w:rFonts w:hint="eastAsia" w:ascii="Times New Roman" w:hAnsi="Times New Roman" w:eastAsia="宋体" w:cs="Times New Roman"/>
          <w:b w:val="0"/>
          <w:bCs w:val="0"/>
          <w:sz w:val="24"/>
          <w:szCs w:val="24"/>
        </w:rPr>
        <w:t>应协助招标人按以下原则确定中标人：</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1</w:t>
      </w:r>
      <w:r>
        <w:rPr>
          <w:rFonts w:hint="eastAsia" w:ascii="Times New Roman" w:hAnsi="Times New Roman" w:eastAsia="宋体" w:cs="Times New Roman"/>
          <w:b w:val="0"/>
          <w:bCs w:val="0"/>
          <w:sz w:val="24"/>
          <w:szCs w:val="24"/>
          <w:lang w:val="en-US" w:eastAsia="zh-CN"/>
        </w:rPr>
        <w:t xml:space="preserve"> 采用评定分离方式确定中标人的，评标委员会根据招标文件规定的评标程序和方法独立开展评审，向招标人推荐合格的中标候选人，并出具评审意见。招标人组建定标委员会，根据招标文件规定的定标程序和方法，从评标委员会推荐的中标候选人范围内自主择优确定中标人。实行定标全过程记录和可追溯管理。</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2</w:t>
      </w:r>
      <w:r>
        <w:rPr>
          <w:rFonts w:hint="eastAsia" w:ascii="Times New Roman" w:hAnsi="Times New Roman" w:eastAsia="宋体" w:cs="Times New Roman"/>
          <w:b w:val="0"/>
          <w:bCs w:val="0"/>
          <w:sz w:val="24"/>
          <w:szCs w:val="24"/>
          <w:lang w:val="en-US" w:eastAsia="zh-CN"/>
        </w:rPr>
        <w:t xml:space="preserve"> 不采用评定分离方式的，评标委员会应按照招标文件确定的评标标准和方法，对投标文件进行评审和比较。完成评标后，评标委员会应向招标人提出书面评标报告，并推荐不超过三个标明排序的中标候选人，或根据招标人授权直接确定中标人。</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15.2.2 </w:t>
      </w:r>
      <w:r>
        <w:rPr>
          <w:rFonts w:hint="eastAsia" w:ascii="Times New Roman" w:hAnsi="Times New Roman" w:eastAsia="宋体" w:cs="Times New Roman"/>
          <w:b w:val="0"/>
          <w:bCs w:val="0"/>
          <w:sz w:val="24"/>
          <w:szCs w:val="24"/>
          <w:lang w:val="en-US" w:eastAsia="zh-CN"/>
        </w:rPr>
        <w:t>依法必须招标的项目在定标后应发布中标结果公示，公示内容应包括以下主要内容：项目名称、中标人名称、中标金额、评标委员会成员名单等</w:t>
      </w:r>
      <w:r>
        <w:rPr>
          <w:rFonts w:hint="eastAsia" w:ascii="Times New Roman" w:hAnsi="Times New Roman" w:eastAsia="宋体" w:cs="Times New Roman"/>
          <w:b w:val="0"/>
          <w:bCs w:val="0"/>
          <w:sz w:val="24"/>
          <w:szCs w:val="24"/>
        </w:rPr>
        <w:t>。</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15.2.3 </w:t>
      </w:r>
      <w:r>
        <w:rPr>
          <w:rFonts w:hint="eastAsia" w:ascii="Times New Roman" w:hAnsi="Times New Roman" w:eastAsia="宋体" w:cs="Times New Roman"/>
          <w:b w:val="0"/>
          <w:bCs w:val="0"/>
          <w:sz w:val="24"/>
          <w:szCs w:val="24"/>
        </w:rPr>
        <w:t>中标人确定后7日内，招标代理机构应协助招标人向中标人发出中标通知书。</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15.2.4 </w:t>
      </w:r>
      <w:r>
        <w:rPr>
          <w:rFonts w:hint="eastAsia" w:ascii="Times New Roman" w:hAnsi="Times New Roman" w:eastAsia="宋体" w:cs="Times New Roman"/>
          <w:b w:val="0"/>
          <w:bCs w:val="0"/>
          <w:sz w:val="24"/>
          <w:szCs w:val="24"/>
        </w:rPr>
        <w:t>依法必须招标的项目，自确定中标人之日起15日内，招标代理机构应协助招标人向有关行政监督部门提交招标投标情况的书面报告。</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119" w:name="_Toc1903"/>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20" w:name="_Toc29862_WPSOffice_Level1"/>
      <w:r>
        <w:rPr>
          <w:rFonts w:hint="eastAsia" w:ascii="Times New Roman" w:hAnsi="Times New Roman" w:eastAsia="宋体" w:cs="Times New Roman"/>
          <w:b/>
          <w:sz w:val="36"/>
          <w:szCs w:val="36"/>
          <w:lang w:val="en-US" w:eastAsia="zh-CN"/>
        </w:rPr>
        <w:t>16协助签订合同及其他服务</w:t>
      </w:r>
      <w:bookmarkEnd w:id="119"/>
      <w:bookmarkEnd w:id="120"/>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16.0.1</w:t>
      </w:r>
      <w:r>
        <w:rPr>
          <w:rFonts w:hint="eastAsia" w:ascii="Times New Roman" w:hAnsi="Times New Roman" w:eastAsia="宋体" w:cs="Times New Roman"/>
          <w:b w:val="0"/>
          <w:bCs w:val="0"/>
          <w:sz w:val="24"/>
          <w:szCs w:val="24"/>
        </w:rPr>
        <w:t xml:space="preserve"> 招标代理委托合同有约定的，招标代理机构应协助招标人与中标人签订书面合同。协助签订合同包括以下主要工作内容：</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1</w:t>
      </w:r>
      <w:r>
        <w:rPr>
          <w:rFonts w:hint="eastAsia" w:ascii="Times New Roman" w:hAnsi="Times New Roman" w:eastAsia="宋体" w:cs="Times New Roman"/>
          <w:b w:val="0"/>
          <w:bCs w:val="0"/>
          <w:sz w:val="24"/>
          <w:szCs w:val="24"/>
          <w:lang w:val="en-US" w:eastAsia="zh-CN"/>
        </w:rPr>
        <w:t xml:space="preserve"> 草拟合同文本；</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2</w:t>
      </w:r>
      <w:r>
        <w:rPr>
          <w:rFonts w:hint="eastAsia" w:ascii="Times New Roman" w:hAnsi="Times New Roman" w:eastAsia="宋体" w:cs="Times New Roman"/>
          <w:b w:val="0"/>
          <w:bCs w:val="0"/>
          <w:sz w:val="24"/>
          <w:szCs w:val="24"/>
          <w:lang w:val="en-US" w:eastAsia="zh-CN"/>
        </w:rPr>
        <w:t xml:space="preserve"> 协助招标人对招标文件中合同主要条款进行解释；</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3</w:t>
      </w:r>
      <w:r>
        <w:rPr>
          <w:rFonts w:hint="eastAsia" w:ascii="Times New Roman" w:hAnsi="Times New Roman" w:eastAsia="宋体" w:cs="Times New Roman"/>
          <w:b w:val="0"/>
          <w:bCs w:val="0"/>
          <w:sz w:val="24"/>
          <w:szCs w:val="24"/>
          <w:lang w:val="en-US" w:eastAsia="zh-CN"/>
        </w:rPr>
        <w:t xml:space="preserve"> 向招标人及中标人宣传招投标法律法规对合同签订的要求。</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16.0.2 </w:t>
      </w:r>
      <w:r>
        <w:rPr>
          <w:rFonts w:hint="eastAsia" w:ascii="Times New Roman" w:hAnsi="Times New Roman" w:eastAsia="宋体" w:cs="Times New Roman"/>
          <w:b w:val="0"/>
          <w:bCs w:val="0"/>
          <w:sz w:val="24"/>
          <w:szCs w:val="24"/>
        </w:rPr>
        <w:t>招标代理机构协助签订合同应符合以下要求：</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1</w:t>
      </w:r>
      <w:r>
        <w:rPr>
          <w:rFonts w:hint="eastAsia" w:ascii="Times New Roman" w:hAnsi="Times New Roman" w:eastAsia="宋体" w:cs="Times New Roman"/>
          <w:b w:val="0"/>
          <w:bCs w:val="0"/>
          <w:sz w:val="24"/>
          <w:szCs w:val="24"/>
          <w:lang w:val="en-US" w:eastAsia="zh-CN"/>
        </w:rPr>
        <w:t xml:space="preserve"> 合同文本宜采用国家、省有关部门制定的现行合同示范文本；</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2</w:t>
      </w:r>
      <w:r>
        <w:rPr>
          <w:rFonts w:hint="eastAsia" w:ascii="Times New Roman" w:hAnsi="Times New Roman" w:eastAsia="宋体" w:cs="Times New Roman"/>
          <w:b w:val="0"/>
          <w:bCs w:val="0"/>
          <w:sz w:val="24"/>
          <w:szCs w:val="24"/>
          <w:lang w:val="en-US" w:eastAsia="zh-CN"/>
        </w:rPr>
        <w:t xml:space="preserve"> 依据招标文件和中标人的投标文件草拟合同文本；</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3</w:t>
      </w:r>
      <w:r>
        <w:rPr>
          <w:rFonts w:hint="eastAsia" w:ascii="Times New Roman" w:hAnsi="Times New Roman" w:eastAsia="宋体" w:cs="Times New Roman"/>
          <w:b w:val="0"/>
          <w:bCs w:val="0"/>
          <w:sz w:val="24"/>
          <w:szCs w:val="24"/>
          <w:lang w:val="en-US" w:eastAsia="zh-CN"/>
        </w:rPr>
        <w:t xml:space="preserve"> 在投标有效期内自中标通知书发出之日起30日内，订立书面合同；</w:t>
      </w:r>
    </w:p>
    <w:p>
      <w:pPr>
        <w:pStyle w:val="2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4</w:t>
      </w:r>
      <w:r>
        <w:rPr>
          <w:rFonts w:hint="eastAsia" w:ascii="Times New Roman" w:hAnsi="Times New Roman" w:eastAsia="宋体" w:cs="Times New Roman"/>
          <w:b w:val="0"/>
          <w:bCs w:val="0"/>
          <w:sz w:val="24"/>
          <w:szCs w:val="24"/>
          <w:lang w:val="en-US" w:eastAsia="zh-CN"/>
        </w:rPr>
        <w:t xml:space="preserve"> 合同内容符合相关现行法律法规的要求，内容完整、书写规范。</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16.0.3 </w:t>
      </w:r>
      <w:r>
        <w:rPr>
          <w:rFonts w:hint="eastAsia" w:ascii="Times New Roman" w:hAnsi="Times New Roman" w:eastAsia="宋体" w:cs="Times New Roman"/>
          <w:b w:val="0"/>
          <w:bCs w:val="0"/>
          <w:sz w:val="24"/>
          <w:szCs w:val="24"/>
        </w:rPr>
        <w:t>在投标有效期内无法完成合同签订的，招标代理机构可以书面形式要求投标人适当延长投标有效期，但不得要求修改投标文件的实质性内容；投标人拒绝延长的，其投标失效，投标人有权收回其投标保证金。</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16.0.4 </w:t>
      </w:r>
      <w:r>
        <w:rPr>
          <w:rFonts w:hint="eastAsia" w:ascii="Times New Roman" w:hAnsi="Times New Roman" w:eastAsia="宋体" w:cs="Times New Roman"/>
          <w:b w:val="0"/>
          <w:bCs w:val="0"/>
          <w:sz w:val="24"/>
          <w:szCs w:val="24"/>
        </w:rPr>
        <w:t>招标人或中标人无正当理由拒签合同的，招标代理机构应告知违约方可能承担的法律责任。</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16.0.5 </w:t>
      </w:r>
      <w:r>
        <w:rPr>
          <w:rFonts w:hint="eastAsia" w:ascii="Times New Roman" w:hAnsi="Times New Roman" w:eastAsia="宋体" w:cs="Times New Roman"/>
          <w:b w:val="0"/>
          <w:bCs w:val="0"/>
          <w:sz w:val="24"/>
          <w:szCs w:val="24"/>
        </w:rPr>
        <w:t>招标文件要求中标人提交履约保证金的，招标代理机构应提醒中标人按照招标文件的要求提交；招标文件要求招标人提供支付担保的，招标代理机构应提醒招标人按照招标文件规定执行。</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16.0.6 </w:t>
      </w:r>
      <w:r>
        <w:rPr>
          <w:rFonts w:hint="eastAsia" w:ascii="Times New Roman" w:hAnsi="Times New Roman" w:eastAsia="宋体" w:cs="Times New Roman"/>
          <w:b w:val="0"/>
          <w:bCs w:val="0"/>
          <w:sz w:val="24"/>
          <w:szCs w:val="24"/>
          <w:lang w:val="en-US" w:eastAsia="zh-CN"/>
        </w:rPr>
        <w:t>依法必须招标的项目，</w:t>
      </w:r>
      <w:r>
        <w:rPr>
          <w:rFonts w:hint="eastAsia" w:ascii="Times New Roman" w:hAnsi="Times New Roman" w:eastAsia="宋体" w:cs="Times New Roman"/>
          <w:b w:val="0"/>
          <w:bCs w:val="0"/>
          <w:sz w:val="24"/>
          <w:szCs w:val="24"/>
        </w:rPr>
        <w:t>招标代理机构应协助招标人按照有关规定进行合同公开。</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16.0.7 </w:t>
      </w:r>
      <w:r>
        <w:rPr>
          <w:rFonts w:hint="eastAsia" w:ascii="Times New Roman" w:hAnsi="Times New Roman" w:eastAsia="宋体" w:cs="Times New Roman"/>
          <w:b w:val="0"/>
          <w:bCs w:val="0"/>
          <w:sz w:val="24"/>
          <w:szCs w:val="24"/>
        </w:rPr>
        <w:t>招标代理机构应协助招标人最迟应在书面合同签订后5日内向中标人和未中标的投标人退还投标保证金及银行同期存款利息。</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16.0.8 </w:t>
      </w:r>
      <w:r>
        <w:rPr>
          <w:rFonts w:hint="eastAsia" w:ascii="Times New Roman" w:hAnsi="Times New Roman" w:eastAsia="宋体" w:cs="Times New Roman"/>
          <w:b w:val="0"/>
          <w:bCs w:val="0"/>
          <w:sz w:val="24"/>
          <w:szCs w:val="24"/>
        </w:rPr>
        <w:t>电子招标投标交易活动中，招标代理机构应在电子招标投标交易平台上及时、准确的信息填报。协助招标人按照有关规定进行项目履约信息公开。</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16.0.9 </w:t>
      </w:r>
      <w:r>
        <w:rPr>
          <w:rFonts w:hint="eastAsia" w:ascii="Times New Roman" w:hAnsi="Times New Roman" w:eastAsia="宋体" w:cs="Times New Roman"/>
          <w:b w:val="0"/>
          <w:bCs w:val="0"/>
          <w:sz w:val="24"/>
          <w:szCs w:val="24"/>
        </w:rPr>
        <w:t>招标代理机构可提供投资咨询、招标代理、勘察、设计、监理、造价、项目管理、BIM咨询等全过程工程咨询服务。上述服务如有相关资质、资信要求的，咨询服务单位应具有与工程规模及委托内容相适应的资质、资信条件，相应业务的负责人应具有法律法规规定的相应执（职）业资格。</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121" w:name="_Toc25421"/>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22" w:name="_Toc27245_WPSOffice_Level1"/>
      <w:r>
        <w:rPr>
          <w:rFonts w:hint="eastAsia" w:ascii="Times New Roman" w:hAnsi="Times New Roman" w:eastAsia="宋体" w:cs="Times New Roman"/>
          <w:b/>
          <w:sz w:val="36"/>
          <w:szCs w:val="36"/>
          <w:lang w:val="en-US" w:eastAsia="zh-CN"/>
        </w:rPr>
        <w:t>17招标代理项目档案管理</w:t>
      </w:r>
      <w:bookmarkEnd w:id="121"/>
      <w:bookmarkEnd w:id="122"/>
    </w:p>
    <w:p>
      <w:pPr>
        <w:spacing w:before="156" w:beforeLines="50" w:after="156" w:afterLines="50" w:line="360" w:lineRule="auto"/>
        <w:jc w:val="center"/>
        <w:outlineLvl w:val="1"/>
        <w:rPr>
          <w:rFonts w:hint="eastAsia" w:ascii="Times New Roman" w:hAnsi="Times New Roman" w:eastAsia="宋体" w:cs="Times New Roman"/>
          <w:b/>
          <w:kern w:val="0"/>
          <w:sz w:val="30"/>
          <w:szCs w:val="30"/>
          <w:lang w:val="en-US" w:eastAsia="zh-CN"/>
        </w:rPr>
      </w:pPr>
      <w:bookmarkStart w:id="123" w:name="_Toc17298"/>
      <w:bookmarkStart w:id="124" w:name="_Toc4917_WPSOffice_Level1"/>
      <w:r>
        <w:rPr>
          <w:rFonts w:hint="eastAsia" w:ascii="Times New Roman" w:hAnsi="Times New Roman" w:eastAsia="宋体" w:cs="Times New Roman"/>
          <w:b/>
          <w:kern w:val="0"/>
          <w:sz w:val="30"/>
          <w:szCs w:val="30"/>
          <w:lang w:val="en-US" w:eastAsia="zh-CN"/>
        </w:rPr>
        <w:t>17.1 一般规定</w:t>
      </w:r>
      <w:bookmarkEnd w:id="123"/>
      <w:bookmarkEnd w:id="124"/>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17.1.1</w:t>
      </w:r>
      <w:r>
        <w:rPr>
          <w:rFonts w:hint="eastAsia" w:ascii="Times New Roman" w:hAnsi="Times New Roman" w:eastAsia="宋体" w:cs="Times New Roman"/>
          <w:b w:val="0"/>
          <w:bCs w:val="0"/>
          <w:sz w:val="24"/>
          <w:szCs w:val="24"/>
        </w:rPr>
        <w:t xml:space="preserve"> 招标代理机构应建立完善的招标代理项目档案管理制度，并应符合国家和有关部门发布档案管理相关规定。招标代理机构对档案的接收、装订、调阅、存放条件、管理人员等方面做出明确规定。</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17.1.2</w:t>
      </w:r>
      <w:r>
        <w:rPr>
          <w:rFonts w:hint="eastAsia" w:ascii="Times New Roman" w:hAnsi="Times New Roman" w:eastAsia="宋体" w:cs="Times New Roman"/>
          <w:b w:val="0"/>
          <w:bCs w:val="0"/>
          <w:sz w:val="24"/>
          <w:szCs w:val="24"/>
        </w:rPr>
        <w:t xml:space="preserve"> 招标代理活动结束后，应及时向招标人提供全套招标档案资料，并办理档案资料移交签收手续。</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档案的形式可采取纸质、电子介质等方式。</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17.1.3 </w:t>
      </w:r>
      <w:r>
        <w:rPr>
          <w:rFonts w:hint="eastAsia" w:ascii="Times New Roman" w:hAnsi="Times New Roman" w:eastAsia="宋体" w:cs="Times New Roman"/>
          <w:b w:val="0"/>
          <w:bCs w:val="0"/>
          <w:sz w:val="24"/>
          <w:szCs w:val="24"/>
        </w:rPr>
        <w:t>招标代理项目归档资料的保管期限，应符合国家现行有关标准规定。电子档案的保管期限应不低于关于工程、货物、服务的行政管理、诉讼、审计等活动所需的追溯年限。纸质档案的保管期限不宜少于5年。</w:t>
      </w:r>
    </w:p>
    <w:p>
      <w:pPr>
        <w:spacing w:before="156" w:beforeLines="50" w:after="156" w:afterLines="50" w:line="360" w:lineRule="auto"/>
        <w:jc w:val="center"/>
        <w:outlineLvl w:val="1"/>
        <w:rPr>
          <w:rFonts w:hint="eastAsia" w:ascii="Times New Roman" w:hAnsi="Times New Roman" w:eastAsia="宋体" w:cs="Times New Roman"/>
          <w:b/>
          <w:kern w:val="0"/>
          <w:sz w:val="30"/>
          <w:szCs w:val="30"/>
          <w:lang w:val="en-US" w:eastAsia="zh-CN"/>
        </w:rPr>
      </w:pPr>
      <w:bookmarkStart w:id="125" w:name="_Toc17497"/>
      <w:bookmarkStart w:id="126" w:name="_Toc29301_WPSOffice_Level1"/>
      <w:r>
        <w:rPr>
          <w:rFonts w:hint="eastAsia" w:ascii="Times New Roman" w:hAnsi="Times New Roman" w:eastAsia="宋体" w:cs="Times New Roman"/>
          <w:b/>
          <w:kern w:val="0"/>
          <w:sz w:val="30"/>
          <w:szCs w:val="30"/>
          <w:lang w:val="en-US" w:eastAsia="zh-CN"/>
        </w:rPr>
        <w:t>17.2 归档资料</w:t>
      </w:r>
      <w:bookmarkEnd w:id="125"/>
      <w:bookmarkEnd w:id="126"/>
    </w:p>
    <w:p>
      <w:pPr>
        <w:spacing w:line="360" w:lineRule="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17.2.1</w:t>
      </w:r>
      <w:r>
        <w:rPr>
          <w:rFonts w:hint="eastAsia" w:ascii="宋体" w:hAnsi="宋体" w:eastAsia="宋体" w:cs="宋体"/>
          <w:color w:val="auto"/>
          <w:sz w:val="24"/>
          <w:szCs w:val="24"/>
          <w:highlight w:val="none"/>
        </w:rPr>
        <w:t xml:space="preserve"> 招标代理机构归档的文件资料应包括以下内容，并按以下顺序归档：</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 xml:space="preserve">1 </w:t>
      </w:r>
      <w:r>
        <w:rPr>
          <w:rFonts w:hint="eastAsia" w:ascii="宋体" w:hAnsi="宋体" w:eastAsia="宋体" w:cs="宋体"/>
          <w:color w:val="auto"/>
          <w:sz w:val="24"/>
          <w:szCs w:val="24"/>
          <w:highlight w:val="none"/>
        </w:rPr>
        <w:t>工程建设项目招标代理合同；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2</w:t>
      </w:r>
      <w:r>
        <w:rPr>
          <w:rFonts w:hint="eastAsia" w:ascii="宋体" w:hAnsi="宋体" w:eastAsia="宋体" w:cs="宋体"/>
          <w:color w:val="auto"/>
          <w:sz w:val="24"/>
          <w:szCs w:val="24"/>
          <w:highlight w:val="none"/>
        </w:rPr>
        <w:t xml:space="preserve"> 工程建设项目招标的前期资料；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3</w:t>
      </w:r>
      <w:r>
        <w:rPr>
          <w:rFonts w:hint="eastAsia" w:ascii="宋体" w:hAnsi="宋体" w:eastAsia="宋体" w:cs="宋体"/>
          <w:color w:val="auto"/>
          <w:sz w:val="24"/>
          <w:szCs w:val="24"/>
          <w:highlight w:val="none"/>
        </w:rPr>
        <w:t xml:space="preserve"> 招标公告或者投标邀请书；</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4</w:t>
      </w:r>
      <w:r>
        <w:rPr>
          <w:rFonts w:hint="eastAsia" w:ascii="宋体" w:hAnsi="宋体" w:eastAsia="宋体" w:cs="宋体"/>
          <w:color w:val="auto"/>
          <w:sz w:val="24"/>
          <w:szCs w:val="24"/>
          <w:highlight w:val="none"/>
        </w:rPr>
        <w:t xml:space="preserve"> 资格预审文件、合格申请人的资格预审申请材料、资格审查报告等（如有）；</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5</w:t>
      </w:r>
      <w:r>
        <w:rPr>
          <w:rFonts w:hint="eastAsia" w:ascii="宋体" w:hAnsi="宋体" w:eastAsia="宋体" w:cs="宋体"/>
          <w:color w:val="auto"/>
          <w:sz w:val="24"/>
          <w:szCs w:val="24"/>
          <w:highlight w:val="none"/>
        </w:rPr>
        <w:t xml:space="preserve"> 招标文件（工程量清单及最高投标限价）以及对招标文件的澄清或者修改文件；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6</w:t>
      </w:r>
      <w:r>
        <w:rPr>
          <w:rFonts w:hint="eastAsia" w:ascii="宋体" w:hAnsi="宋体" w:eastAsia="宋体" w:cs="宋体"/>
          <w:color w:val="auto"/>
          <w:sz w:val="24"/>
          <w:szCs w:val="24"/>
          <w:highlight w:val="none"/>
        </w:rPr>
        <w:t xml:space="preserve"> 评标专家的抽取或组建记录以及招标人代表授权书；</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7</w:t>
      </w:r>
      <w:r>
        <w:rPr>
          <w:rFonts w:hint="eastAsia" w:ascii="宋体" w:hAnsi="宋体" w:eastAsia="宋体" w:cs="宋体"/>
          <w:color w:val="auto"/>
          <w:sz w:val="24"/>
          <w:szCs w:val="24"/>
          <w:highlight w:val="none"/>
        </w:rPr>
        <w:t xml:space="preserve"> 评标报告；</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8</w:t>
      </w:r>
      <w:r>
        <w:rPr>
          <w:rFonts w:hint="eastAsia" w:ascii="宋体" w:hAnsi="宋体" w:eastAsia="宋体" w:cs="宋体"/>
          <w:color w:val="auto"/>
          <w:sz w:val="24"/>
          <w:szCs w:val="24"/>
          <w:highlight w:val="none"/>
        </w:rPr>
        <w:t xml:space="preserve"> 中标候选人公示；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9</w:t>
      </w:r>
      <w:r>
        <w:rPr>
          <w:rFonts w:hint="eastAsia" w:ascii="宋体" w:hAnsi="宋体" w:eastAsia="宋体" w:cs="宋体"/>
          <w:color w:val="auto"/>
          <w:sz w:val="24"/>
          <w:szCs w:val="24"/>
          <w:highlight w:val="none"/>
        </w:rPr>
        <w:t xml:space="preserve"> 定标报告（如有）；</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10</w:t>
      </w:r>
      <w:r>
        <w:rPr>
          <w:rFonts w:hint="eastAsia" w:ascii="宋体" w:hAnsi="宋体" w:eastAsia="宋体" w:cs="宋体"/>
          <w:color w:val="auto"/>
          <w:sz w:val="24"/>
          <w:szCs w:val="24"/>
          <w:highlight w:val="none"/>
        </w:rPr>
        <w:t xml:space="preserve"> 中标结果公示；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11</w:t>
      </w:r>
      <w:r>
        <w:rPr>
          <w:rFonts w:hint="eastAsia" w:ascii="宋体" w:hAnsi="宋体" w:eastAsia="宋体" w:cs="宋体"/>
          <w:color w:val="auto"/>
          <w:sz w:val="24"/>
          <w:szCs w:val="24"/>
          <w:highlight w:val="none"/>
        </w:rPr>
        <w:t xml:space="preserve"> 异议及回复相关资料；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12</w:t>
      </w:r>
      <w:r>
        <w:rPr>
          <w:rFonts w:hint="eastAsia" w:ascii="宋体" w:hAnsi="宋体" w:eastAsia="宋体" w:cs="宋体"/>
          <w:color w:val="auto"/>
          <w:sz w:val="24"/>
          <w:szCs w:val="24"/>
          <w:highlight w:val="none"/>
        </w:rPr>
        <w:t xml:space="preserve"> 中标通知书；</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 xml:space="preserve">13 </w:t>
      </w:r>
      <w:r>
        <w:rPr>
          <w:rFonts w:hint="eastAsia" w:ascii="宋体" w:hAnsi="宋体" w:eastAsia="宋体" w:cs="宋体"/>
          <w:color w:val="auto"/>
          <w:sz w:val="24"/>
          <w:szCs w:val="24"/>
          <w:highlight w:val="none"/>
        </w:rPr>
        <w:t>中标人及中标候选人的投标文件；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14</w:t>
      </w:r>
      <w:r>
        <w:rPr>
          <w:rFonts w:hint="eastAsia" w:ascii="宋体" w:hAnsi="宋体" w:eastAsia="宋体" w:cs="宋体"/>
          <w:color w:val="auto"/>
          <w:sz w:val="24"/>
          <w:szCs w:val="24"/>
          <w:highlight w:val="none"/>
        </w:rPr>
        <w:t xml:space="preserve"> 对工程</w:t>
      </w:r>
      <w:r>
        <w:rPr>
          <w:rFonts w:hint="eastAsia" w:ascii="宋体" w:hAnsi="宋体" w:eastAsia="宋体" w:cs="宋体"/>
          <w:color w:val="auto"/>
          <w:sz w:val="24"/>
          <w:szCs w:val="24"/>
          <w:highlight w:val="none"/>
          <w:lang w:val="en-US" w:eastAsia="zh-CN"/>
        </w:rPr>
        <w:t>建设项目</w:t>
      </w:r>
      <w:r>
        <w:rPr>
          <w:rFonts w:hint="eastAsia" w:ascii="宋体" w:hAnsi="宋体" w:eastAsia="宋体" w:cs="宋体"/>
          <w:color w:val="auto"/>
          <w:sz w:val="24"/>
          <w:szCs w:val="24"/>
          <w:highlight w:val="none"/>
        </w:rPr>
        <w:t>招标代理评价意见表；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 xml:space="preserve">15 </w:t>
      </w:r>
      <w:r>
        <w:rPr>
          <w:rFonts w:hint="eastAsia" w:ascii="宋体" w:hAnsi="宋体" w:eastAsia="宋体" w:cs="宋体"/>
          <w:color w:val="auto"/>
          <w:sz w:val="24"/>
          <w:szCs w:val="24"/>
          <w:highlight w:val="none"/>
        </w:rPr>
        <w:t>招标档案资料移交签收表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16</w:t>
      </w:r>
      <w:r>
        <w:rPr>
          <w:rFonts w:hint="eastAsia" w:ascii="宋体" w:hAnsi="宋体" w:eastAsia="宋体" w:cs="宋体"/>
          <w:color w:val="auto"/>
          <w:sz w:val="24"/>
          <w:szCs w:val="24"/>
          <w:highlight w:val="none"/>
        </w:rPr>
        <w:t xml:space="preserve"> 其他资料。</w:t>
      </w:r>
    </w:p>
    <w:p>
      <w:pPr>
        <w:spacing w:before="156" w:beforeLines="50" w:after="156" w:afterLines="50" w:line="360" w:lineRule="auto"/>
        <w:jc w:val="center"/>
        <w:outlineLvl w:val="1"/>
        <w:rPr>
          <w:rFonts w:hint="eastAsia" w:ascii="Times New Roman" w:hAnsi="Times New Roman" w:eastAsia="宋体" w:cs="Times New Roman"/>
          <w:b/>
          <w:kern w:val="0"/>
          <w:sz w:val="30"/>
          <w:szCs w:val="30"/>
          <w:lang w:val="en-US" w:eastAsia="zh-CN"/>
        </w:rPr>
      </w:pPr>
      <w:bookmarkStart w:id="127" w:name="_Toc9646"/>
      <w:bookmarkStart w:id="128" w:name="_Toc8220_WPSOffice_Level1"/>
      <w:r>
        <w:rPr>
          <w:rFonts w:hint="eastAsia" w:ascii="Times New Roman" w:hAnsi="Times New Roman" w:eastAsia="宋体" w:cs="Times New Roman"/>
          <w:b/>
          <w:kern w:val="0"/>
          <w:sz w:val="30"/>
          <w:szCs w:val="30"/>
          <w:lang w:val="en-US" w:eastAsia="zh-CN"/>
        </w:rPr>
        <w:t>17.3 立卷归档</w:t>
      </w:r>
      <w:bookmarkEnd w:id="127"/>
      <w:bookmarkEnd w:id="128"/>
    </w:p>
    <w:p>
      <w:pPr>
        <w:spacing w:line="360" w:lineRule="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 xml:space="preserve">17.3.1 </w:t>
      </w:r>
      <w:r>
        <w:rPr>
          <w:rFonts w:hint="eastAsia" w:ascii="宋体" w:hAnsi="宋体" w:eastAsia="宋体" w:cs="宋体"/>
          <w:color w:val="auto"/>
          <w:sz w:val="24"/>
          <w:szCs w:val="24"/>
          <w:highlight w:val="none"/>
        </w:rPr>
        <w:t>填写归档招投标文件材料应字迹清楚、图表整洁，需要单位或个人签章的，其签章手续应完备。应采用碳素墨水、蓝黑墨水耐久性强的材料书写，不得使用圆珠笔、铅笔等易褪色的材料书写。所有存档的文件材料应统一</w:t>
      </w:r>
      <w:r>
        <w:rPr>
          <w:rFonts w:hint="eastAsia" w:ascii="宋体" w:hAnsi="宋体" w:eastAsia="宋体" w:cs="宋体"/>
          <w:b w:val="0"/>
          <w:bCs w:val="0"/>
          <w:color w:val="auto"/>
          <w:sz w:val="24"/>
          <w:szCs w:val="24"/>
          <w:highlight w:val="none"/>
        </w:rPr>
        <w:t>使用A4或A3纸</w:t>
      </w:r>
      <w:r>
        <w:rPr>
          <w:rFonts w:hint="eastAsia" w:ascii="宋体" w:hAnsi="宋体" w:eastAsia="宋体" w:cs="宋体"/>
          <w:color w:val="auto"/>
          <w:sz w:val="24"/>
          <w:szCs w:val="24"/>
          <w:highlight w:val="none"/>
        </w:rPr>
        <w:t>（图纸除外）。</w:t>
      </w:r>
    </w:p>
    <w:p>
      <w:pPr>
        <w:spacing w:line="360" w:lineRule="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 xml:space="preserve">17.3.2 </w:t>
      </w:r>
      <w:r>
        <w:rPr>
          <w:rFonts w:hint="eastAsia" w:ascii="宋体" w:hAnsi="宋体" w:eastAsia="宋体" w:cs="宋体"/>
          <w:color w:val="auto"/>
          <w:sz w:val="24"/>
          <w:szCs w:val="24"/>
          <w:highlight w:val="none"/>
        </w:rPr>
        <w:t>归档文件必须真实完整，并与招标项目实际相符。同一项目分阶段招标的，每一阶段应分别组卷，内容相同的材料，可不必重复存档，但应在档案备注表中注明相关材料的存档信息；卷与卷之间应保持系统联系，便于档案的利用、查询和保管。</w:t>
      </w:r>
    </w:p>
    <w:p>
      <w:pPr>
        <w:spacing w:line="360" w:lineRule="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17.3.3</w:t>
      </w:r>
      <w:r>
        <w:rPr>
          <w:rFonts w:hint="eastAsia" w:ascii="宋体" w:hAnsi="宋体" w:eastAsia="宋体" w:cs="宋体"/>
          <w:color w:val="auto"/>
          <w:sz w:val="24"/>
          <w:szCs w:val="24"/>
          <w:highlight w:val="none"/>
        </w:rPr>
        <w:t xml:space="preserve"> 归档装订的文件材料应有案卷封面和卷内目录。</w:t>
      </w:r>
    </w:p>
    <w:p>
      <w:pPr>
        <w:spacing w:line="360" w:lineRule="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17.3.4</w:t>
      </w:r>
      <w:r>
        <w:rPr>
          <w:rFonts w:hint="eastAsia" w:ascii="宋体" w:hAnsi="宋体" w:eastAsia="宋体" w:cs="宋体"/>
          <w:color w:val="auto"/>
          <w:sz w:val="24"/>
          <w:szCs w:val="24"/>
          <w:highlight w:val="none"/>
        </w:rPr>
        <w:t xml:space="preserve"> 项目采用电子介质归档管理的，推荐采用只读光盘、一次写光盘、磁带、可擦写光盘、硬磁盘等作为保存的载体。不允许用软磁盘作为归档电子文件长期保存的载体。</w:t>
      </w:r>
    </w:p>
    <w:p>
      <w:pPr>
        <w:spacing w:line="360" w:lineRule="auto"/>
        <w:rPr>
          <w:rFonts w:hint="eastAsia" w:ascii="宋体" w:hAnsi="宋体" w:eastAsia="宋体" w:cs="宋体"/>
          <w:color w:val="auto"/>
          <w:sz w:val="24"/>
          <w:szCs w:val="24"/>
          <w:highlight w:val="none"/>
        </w:rPr>
      </w:pPr>
      <w:r>
        <w:rPr>
          <w:rFonts w:hint="eastAsia" w:ascii="Times New Roman" w:hAnsi="Times New Roman" w:eastAsia="宋体" w:cs="Times New Roman"/>
          <w:b/>
          <w:bCs/>
          <w:kern w:val="2"/>
          <w:sz w:val="24"/>
          <w:szCs w:val="24"/>
          <w:lang w:val="en-US" w:eastAsia="zh-CN" w:bidi="ar-SA"/>
        </w:rPr>
        <w:t xml:space="preserve">17.3.5 </w:t>
      </w:r>
      <w:r>
        <w:rPr>
          <w:rFonts w:hint="eastAsia" w:ascii="宋体" w:hAnsi="宋体" w:eastAsia="宋体" w:cs="宋体"/>
          <w:color w:val="auto"/>
          <w:sz w:val="24"/>
          <w:szCs w:val="24"/>
          <w:highlight w:val="none"/>
        </w:rPr>
        <w:t>电子文件的处理和保存应符合国家的安全保密规定，针对自然灾害、非法访问、非法操作、病毒侵害等采取与系统安全和保密等级要求相符的防范对策。</w:t>
      </w:r>
    </w:p>
    <w:p>
      <w:pPr>
        <w:pStyle w:val="6"/>
        <w:spacing w:before="312" w:beforeLines="100" w:after="312" w:afterLines="100" w:line="360" w:lineRule="auto"/>
        <w:jc w:val="center"/>
        <w:outlineLvl w:val="0"/>
        <w:rPr>
          <w:rFonts w:hint="eastAsia" w:ascii="宋体" w:hAnsi="宋体" w:eastAsia="宋体" w:cs="宋体"/>
          <w:b/>
          <w:sz w:val="24"/>
          <w:szCs w:val="24"/>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bookmarkStart w:id="129" w:name="_Toc15715"/>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30" w:name="_Toc27746_WPSOffice_Level1"/>
      <w:r>
        <w:rPr>
          <w:rFonts w:hint="eastAsia" w:ascii="Times New Roman" w:hAnsi="Times New Roman" w:eastAsia="宋体" w:cs="Times New Roman"/>
          <w:b/>
          <w:sz w:val="36"/>
          <w:szCs w:val="36"/>
          <w:lang w:val="en-US" w:eastAsia="zh-CN"/>
        </w:rPr>
        <w:t>18服务评价与改进</w:t>
      </w:r>
      <w:bookmarkEnd w:id="129"/>
      <w:bookmarkEnd w:id="130"/>
    </w:p>
    <w:p>
      <w:pPr>
        <w:spacing w:before="156" w:beforeLines="50" w:after="156" w:afterLines="50" w:line="360" w:lineRule="auto"/>
        <w:jc w:val="center"/>
        <w:outlineLvl w:val="1"/>
        <w:rPr>
          <w:rFonts w:hint="eastAsia" w:ascii="Times New Roman" w:hAnsi="Times New Roman" w:eastAsia="宋体" w:cs="Times New Roman"/>
          <w:b/>
          <w:kern w:val="0"/>
          <w:sz w:val="30"/>
          <w:szCs w:val="30"/>
          <w:lang w:val="en-US" w:eastAsia="zh-CN"/>
        </w:rPr>
      </w:pPr>
      <w:bookmarkStart w:id="131" w:name="_Toc8592_WPSOffice_Level1"/>
      <w:bookmarkStart w:id="132" w:name="_Toc20253"/>
      <w:r>
        <w:rPr>
          <w:rFonts w:hint="eastAsia" w:ascii="Times New Roman" w:hAnsi="Times New Roman" w:eastAsia="宋体" w:cs="Times New Roman"/>
          <w:b/>
          <w:kern w:val="0"/>
          <w:sz w:val="30"/>
          <w:szCs w:val="30"/>
          <w:lang w:val="en-US" w:eastAsia="zh-CN"/>
        </w:rPr>
        <w:t>18.1 服务评价</w:t>
      </w:r>
      <w:bookmarkEnd w:id="131"/>
      <w:bookmarkEnd w:id="132"/>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18.1.1 </w:t>
      </w:r>
      <w:r>
        <w:rPr>
          <w:rFonts w:hint="eastAsia" w:ascii="Times New Roman" w:hAnsi="Times New Roman" w:eastAsia="宋体" w:cs="Times New Roman"/>
          <w:b w:val="0"/>
          <w:bCs w:val="0"/>
          <w:sz w:val="24"/>
          <w:szCs w:val="24"/>
        </w:rPr>
        <w:t>招标代理机构应收集、整理招标人对其项目服务评价意见。评价内容包括</w:t>
      </w:r>
      <w:r>
        <w:rPr>
          <w:rFonts w:hint="eastAsia" w:ascii="Times New Roman" w:hAnsi="Times New Roman" w:eastAsia="宋体" w:cs="Times New Roman"/>
          <w:b w:val="0"/>
          <w:bCs w:val="0"/>
          <w:sz w:val="24"/>
          <w:szCs w:val="24"/>
          <w:lang w:val="en-US" w:eastAsia="zh-CN"/>
        </w:rPr>
        <w:t>服务质量、专业技术能力与水平、廉洁自律、</w:t>
      </w:r>
      <w:r>
        <w:rPr>
          <w:rFonts w:hint="eastAsia" w:ascii="Times New Roman" w:hAnsi="Times New Roman" w:eastAsia="宋体" w:cs="Times New Roman"/>
          <w:b w:val="0"/>
          <w:bCs w:val="0"/>
          <w:sz w:val="24"/>
          <w:szCs w:val="24"/>
        </w:rPr>
        <w:t>招标代理合同约定的其他相关事项。</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18.1.2 </w:t>
      </w:r>
      <w:r>
        <w:rPr>
          <w:rFonts w:hint="eastAsia" w:ascii="Times New Roman" w:hAnsi="Times New Roman" w:eastAsia="宋体" w:cs="Times New Roman"/>
          <w:b w:val="0"/>
          <w:bCs w:val="0"/>
          <w:sz w:val="24"/>
          <w:szCs w:val="24"/>
        </w:rPr>
        <w:t>招标代理机构及其从业人员应接受招标投标行政监督部门对其招标代理行为的动态监管，配合行政监督部门依法进行检查、调查、取证等有关工作。</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18.1.3 </w:t>
      </w:r>
      <w:r>
        <w:rPr>
          <w:rFonts w:hint="eastAsia" w:ascii="Times New Roman" w:hAnsi="Times New Roman" w:eastAsia="宋体" w:cs="Times New Roman"/>
          <w:b w:val="0"/>
          <w:bCs w:val="0"/>
          <w:sz w:val="24"/>
          <w:szCs w:val="24"/>
        </w:rPr>
        <w:t>招标代理机构应遵守行业自律及行为规范，参加招标代理机构从业人员专业技术能力评价，提升招标代理服务水平。</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18.1.4 </w:t>
      </w:r>
      <w:r>
        <w:rPr>
          <w:rFonts w:hint="eastAsia" w:ascii="Times New Roman" w:hAnsi="Times New Roman" w:eastAsia="宋体" w:cs="Times New Roman"/>
          <w:b w:val="0"/>
          <w:bCs w:val="0"/>
          <w:sz w:val="24"/>
          <w:szCs w:val="24"/>
        </w:rPr>
        <w:t>招标代理机构应结合内部质量管理体系、业务管理规程及招标项目的服务反馈情况等开展服务自评，并对评价结果进行分析和总结。</w:t>
      </w:r>
    </w:p>
    <w:p>
      <w:pPr>
        <w:spacing w:before="156" w:beforeLines="50" w:after="156" w:afterLines="50" w:line="360" w:lineRule="auto"/>
        <w:jc w:val="center"/>
        <w:outlineLvl w:val="1"/>
        <w:rPr>
          <w:rFonts w:hint="eastAsia" w:ascii="Times New Roman" w:hAnsi="Times New Roman" w:eastAsia="宋体" w:cs="Times New Roman"/>
          <w:b/>
          <w:kern w:val="0"/>
          <w:sz w:val="30"/>
          <w:szCs w:val="30"/>
          <w:lang w:val="en-US" w:eastAsia="zh-CN"/>
        </w:rPr>
      </w:pPr>
      <w:bookmarkStart w:id="133" w:name="_Toc11154"/>
      <w:bookmarkStart w:id="134" w:name="_Toc9975_WPSOffice_Level1"/>
      <w:r>
        <w:rPr>
          <w:rFonts w:hint="eastAsia" w:ascii="Times New Roman" w:hAnsi="Times New Roman" w:eastAsia="宋体" w:cs="Times New Roman"/>
          <w:b/>
          <w:kern w:val="0"/>
          <w:sz w:val="30"/>
          <w:szCs w:val="30"/>
          <w:lang w:val="en-US" w:eastAsia="zh-CN"/>
        </w:rPr>
        <w:t>18.2 服务改进</w:t>
      </w:r>
      <w:bookmarkEnd w:id="133"/>
      <w:bookmarkEnd w:id="134"/>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18.2.1 </w:t>
      </w:r>
      <w:r>
        <w:rPr>
          <w:rFonts w:hint="eastAsia" w:ascii="Times New Roman" w:hAnsi="Times New Roman" w:eastAsia="宋体" w:cs="Times New Roman"/>
          <w:b w:val="0"/>
          <w:bCs w:val="0"/>
          <w:sz w:val="24"/>
          <w:szCs w:val="24"/>
        </w:rPr>
        <w:t>招标代理机构宜对服务评价结果进行整理，分析总结服务过程中存在问题和不足，并分类梳理，</w:t>
      </w:r>
      <w:r>
        <w:rPr>
          <w:rFonts w:hint="eastAsia" w:ascii="Times New Roman" w:hAnsi="Times New Roman" w:eastAsia="宋体" w:cs="Times New Roman"/>
          <w:b w:val="0"/>
          <w:bCs w:val="0"/>
          <w:sz w:val="24"/>
          <w:szCs w:val="24"/>
          <w:lang w:eastAsia="zh-CN"/>
        </w:rPr>
        <w:t>明确改进事项</w:t>
      </w:r>
      <w:r>
        <w:rPr>
          <w:rFonts w:hint="eastAsia" w:ascii="Times New Roman" w:hAnsi="Times New Roman" w:eastAsia="宋体" w:cs="Times New Roman"/>
          <w:b w:val="0"/>
          <w:bCs w:val="0"/>
          <w:sz w:val="24"/>
          <w:szCs w:val="24"/>
        </w:rPr>
        <w:t>。</w:t>
      </w:r>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rPr>
        <w:t xml:space="preserve">18.2.2 </w:t>
      </w:r>
      <w:r>
        <w:rPr>
          <w:rFonts w:hint="eastAsia" w:ascii="Times New Roman" w:hAnsi="Times New Roman" w:eastAsia="宋体" w:cs="Times New Roman"/>
          <w:b w:val="0"/>
          <w:bCs w:val="0"/>
          <w:sz w:val="24"/>
          <w:szCs w:val="24"/>
        </w:rPr>
        <w:t>根据总结分析结果，制定具体的改进计划，明确改进目标、措施、责任人及时间节点。改进措施应具有针对性和可操作性，认真组织实施改进，切实解决存在的问题，同时加强对改进过程的监督和检查，确保改进措施落实到位。</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 xml:space="preserve">18.2.3 </w:t>
      </w:r>
      <w:r>
        <w:rPr>
          <w:rFonts w:hint="eastAsia" w:ascii="Times New Roman" w:hAnsi="Times New Roman" w:eastAsia="宋体" w:cs="Times New Roman"/>
          <w:b w:val="0"/>
          <w:bCs w:val="0"/>
          <w:sz w:val="24"/>
          <w:szCs w:val="24"/>
        </w:rPr>
        <w:t>招标代理机构宜定期对改进效果进行评估，总结经验，不断完善服务评价与改进机制，持续提高招标代理服务质量和服务水平。</w:t>
      </w:r>
    </w:p>
    <w:p>
      <w:pPr>
        <w:bidi w:val="0"/>
        <w:rPr>
          <w:rFonts w:hint="eastAsia"/>
          <w:lang w:val="en-US" w:eastAsia="zh-CN"/>
        </w:rPr>
      </w:pPr>
    </w:p>
    <w:p>
      <w:pPr>
        <w:tabs>
          <w:tab w:val="left" w:pos="7561"/>
        </w:tabs>
        <w:bidi w:val="0"/>
        <w:jc w:val="left"/>
        <w:rPr>
          <w:rFonts w:hint="eastAsia"/>
          <w:lang w:val="en-US" w:eastAsia="zh-CN"/>
        </w:rPr>
        <w:sectPr>
          <w:footnotePr>
            <w:numFmt w:val="decimal"/>
          </w:footnotePr>
          <w:pgSz w:w="11906" w:h="16838"/>
          <w:pgMar w:top="1440" w:right="1800" w:bottom="1440" w:left="1800" w:header="850" w:footer="850" w:gutter="0"/>
          <w:pgNumType w:fmt="decimal"/>
          <w:cols w:space="0" w:num="1"/>
          <w:rtlGutter w:val="0"/>
          <w:docGrid w:type="lines" w:linePitch="317" w:charSpace="0"/>
        </w:sectPr>
      </w:pPr>
      <w:r>
        <w:rPr>
          <w:rFonts w:hint="eastAsia"/>
          <w:lang w:val="en-US" w:eastAsia="zh-CN"/>
        </w:rPr>
        <w:tab/>
      </w:r>
    </w:p>
    <w:p>
      <w:pPr>
        <w:spacing w:line="360" w:lineRule="auto"/>
        <w:jc w:val="center"/>
        <w:outlineLvl w:val="0"/>
        <w:rPr>
          <w:rFonts w:hint="eastAsia" w:ascii="Times New Roman" w:hAnsi="Times New Roman" w:eastAsia="宋体" w:cs="Times New Roman"/>
          <w:b/>
          <w:sz w:val="36"/>
          <w:szCs w:val="36"/>
          <w:lang w:val="en-US" w:eastAsia="zh-CN"/>
        </w:rPr>
      </w:pPr>
      <w:bookmarkStart w:id="135" w:name="_Toc19640"/>
      <w:r>
        <w:rPr>
          <w:rFonts w:hint="eastAsia" w:ascii="Times New Roman" w:hAnsi="Times New Roman" w:eastAsia="宋体" w:cs="Times New Roman"/>
          <w:b/>
          <w:sz w:val="36"/>
          <w:szCs w:val="36"/>
          <w:lang w:val="en-US" w:eastAsia="zh-CN"/>
        </w:rPr>
        <w:t>附录A</w:t>
      </w:r>
      <w:bookmarkEnd w:id="135"/>
    </w:p>
    <w:p>
      <w:pPr>
        <w:spacing w:before="156" w:beforeLines="50" w:after="156" w:afterLines="50" w:line="360" w:lineRule="auto"/>
        <w:jc w:val="center"/>
        <w:outlineLvl w:val="1"/>
        <w:rPr>
          <w:rFonts w:hint="eastAsia" w:ascii="Times New Roman" w:hAnsi="Times New Roman" w:eastAsia="宋体" w:cs="Times New Roman"/>
          <w:b/>
          <w:kern w:val="0"/>
          <w:sz w:val="30"/>
          <w:szCs w:val="30"/>
          <w:lang w:val="en-US" w:eastAsia="zh-CN"/>
        </w:rPr>
      </w:pPr>
      <w:bookmarkStart w:id="136" w:name="_Toc17259"/>
      <w:r>
        <w:rPr>
          <w:rFonts w:hint="eastAsia" w:ascii="Times New Roman" w:hAnsi="Times New Roman" w:eastAsia="宋体" w:cs="Times New Roman"/>
          <w:b/>
          <w:kern w:val="0"/>
          <w:sz w:val="30"/>
          <w:szCs w:val="30"/>
          <w:lang w:val="en-US" w:eastAsia="zh-CN"/>
        </w:rPr>
        <w:t>（资料性）</w:t>
      </w:r>
      <w:bookmarkEnd w:id="136"/>
    </w:p>
    <w:p>
      <w:pPr>
        <w:spacing w:before="156" w:beforeLines="50" w:after="156" w:afterLines="50" w:line="360" w:lineRule="auto"/>
        <w:jc w:val="center"/>
        <w:outlineLvl w:val="1"/>
        <w:rPr>
          <w:rFonts w:hint="eastAsia" w:ascii="Times New Roman" w:hAnsi="Times New Roman" w:eastAsia="宋体" w:cs="Times New Roman"/>
          <w:b/>
          <w:kern w:val="0"/>
          <w:sz w:val="30"/>
          <w:szCs w:val="30"/>
          <w:lang w:val="en-US" w:eastAsia="zh-CN"/>
        </w:rPr>
      </w:pPr>
      <w:bookmarkStart w:id="137" w:name="_Toc6098"/>
      <w:r>
        <w:rPr>
          <w:rFonts w:hint="eastAsia" w:ascii="Times New Roman" w:hAnsi="Times New Roman" w:eastAsia="宋体" w:cs="Times New Roman"/>
          <w:b/>
          <w:kern w:val="0"/>
          <w:sz w:val="30"/>
          <w:szCs w:val="30"/>
          <w:lang w:val="en-US" w:eastAsia="zh-CN"/>
        </w:rPr>
        <w:t>招标代理行业基本服务收费指导</w:t>
      </w:r>
      <w:bookmarkEnd w:id="137"/>
    </w:p>
    <w:p>
      <w:pPr>
        <w:pStyle w:val="23"/>
        <w:keepNext w:val="0"/>
        <w:keepLines w:val="0"/>
        <w:widowControl w:val="0"/>
        <w:shd w:val="clear" w:color="auto" w:fill="auto"/>
        <w:tabs>
          <w:tab w:val="left" w:pos="1109"/>
        </w:tabs>
        <w:bidi w:val="0"/>
        <w:spacing w:before="0" w:after="0" w:line="360" w:lineRule="auto"/>
        <w:ind w:left="0" w:leftChars="0" w:right="0" w:firstLine="0" w:firstLineChars="0"/>
        <w:jc w:val="left"/>
        <w:rPr>
          <w:rFonts w:hint="eastAsia" w:ascii="宋体" w:hAnsi="宋体" w:eastAsia="宋体" w:cs="宋体"/>
          <w:bCs/>
          <w:color w:val="auto"/>
          <w:kern w:val="2"/>
          <w:sz w:val="24"/>
          <w:szCs w:val="24"/>
          <w:highlight w:val="none"/>
          <w:u w:val="none"/>
          <w:lang w:val="en-US" w:eastAsia="zh-CN" w:bidi="ar-SA"/>
        </w:rPr>
      </w:pPr>
      <w:r>
        <w:rPr>
          <w:rFonts w:hint="eastAsia" w:ascii="宋体" w:hAnsi="宋体" w:eastAsia="宋体" w:cs="宋体"/>
          <w:b w:val="0"/>
          <w:bCs/>
          <w:color w:val="auto"/>
          <w:kern w:val="2"/>
          <w:sz w:val="24"/>
          <w:szCs w:val="24"/>
          <w:highlight w:val="none"/>
          <w:u w:val="none"/>
          <w:lang w:val="en-US" w:eastAsia="zh-CN" w:bidi="ar-SA"/>
        </w:rPr>
        <w:t>第一条</w:t>
      </w:r>
      <w:r>
        <w:rPr>
          <w:rFonts w:hint="eastAsia" w:ascii="宋体" w:hAnsi="宋体" w:eastAsia="宋体" w:cs="宋体"/>
          <w:bCs/>
          <w:color w:val="auto"/>
          <w:kern w:val="2"/>
          <w:sz w:val="24"/>
          <w:szCs w:val="24"/>
          <w:highlight w:val="none"/>
          <w:u w:val="none"/>
          <w:lang w:val="en-US" w:eastAsia="zh-CN" w:bidi="ar-SA"/>
        </w:rPr>
        <w:t xml:space="preserve">  </w:t>
      </w:r>
      <w:r>
        <w:rPr>
          <w:rFonts w:hint="eastAsia" w:cs="宋体"/>
          <w:bCs/>
          <w:color w:val="auto"/>
          <w:kern w:val="2"/>
          <w:sz w:val="24"/>
          <w:szCs w:val="24"/>
          <w:highlight w:val="none"/>
          <w:u w:val="none"/>
          <w:lang w:val="en-US" w:eastAsia="zh-CN" w:bidi="ar-SA"/>
        </w:rPr>
        <w:t>招标</w:t>
      </w:r>
      <w:r>
        <w:rPr>
          <w:rFonts w:hint="eastAsia" w:ascii="宋体" w:hAnsi="宋体" w:eastAsia="宋体" w:cs="宋体"/>
          <w:bCs/>
          <w:color w:val="auto"/>
          <w:kern w:val="2"/>
          <w:sz w:val="24"/>
          <w:szCs w:val="24"/>
          <w:highlight w:val="none"/>
          <w:u w:val="none"/>
          <w:lang w:val="en-US" w:eastAsia="zh-CN" w:bidi="ar-SA"/>
        </w:rPr>
        <w:t>代理服务费由</w:t>
      </w:r>
      <w:r>
        <w:rPr>
          <w:rFonts w:hint="eastAsia" w:cs="宋体"/>
          <w:bCs/>
          <w:color w:val="auto"/>
          <w:kern w:val="2"/>
          <w:sz w:val="24"/>
          <w:szCs w:val="24"/>
          <w:highlight w:val="none"/>
          <w:u w:val="none"/>
          <w:lang w:val="en-US" w:eastAsia="zh-CN" w:bidi="ar-SA"/>
        </w:rPr>
        <w:t>招标人</w:t>
      </w:r>
      <w:r>
        <w:rPr>
          <w:rFonts w:hint="eastAsia" w:ascii="宋体" w:hAnsi="宋体" w:eastAsia="宋体" w:cs="宋体"/>
          <w:bCs/>
          <w:color w:val="auto"/>
          <w:kern w:val="2"/>
          <w:sz w:val="24"/>
          <w:szCs w:val="24"/>
          <w:highlight w:val="none"/>
          <w:u w:val="none"/>
          <w:lang w:val="en-US" w:eastAsia="zh-CN" w:bidi="ar-SA"/>
        </w:rPr>
        <w:t>与</w:t>
      </w:r>
      <w:r>
        <w:rPr>
          <w:rFonts w:hint="eastAsia" w:cs="宋体"/>
          <w:bCs/>
          <w:color w:val="auto"/>
          <w:kern w:val="2"/>
          <w:sz w:val="24"/>
          <w:szCs w:val="24"/>
          <w:highlight w:val="none"/>
          <w:u w:val="none"/>
          <w:lang w:val="en-US" w:eastAsia="zh-CN" w:bidi="ar-SA"/>
        </w:rPr>
        <w:t>招标</w:t>
      </w:r>
      <w:r>
        <w:rPr>
          <w:rFonts w:hint="eastAsia" w:ascii="宋体" w:hAnsi="宋体" w:eastAsia="宋体" w:cs="宋体"/>
          <w:bCs/>
          <w:color w:val="auto"/>
          <w:kern w:val="2"/>
          <w:sz w:val="24"/>
          <w:szCs w:val="24"/>
          <w:highlight w:val="none"/>
          <w:u w:val="none"/>
          <w:lang w:val="en-US" w:eastAsia="zh-CN" w:bidi="ar-SA"/>
        </w:rPr>
        <w:t>代理机构根据市场供需、物价水平、成本投入、服务内容及质量等自行商定，实行市场定价。</w:t>
      </w:r>
    </w:p>
    <w:p>
      <w:pPr>
        <w:pStyle w:val="23"/>
        <w:keepNext w:val="0"/>
        <w:keepLines w:val="0"/>
        <w:widowControl w:val="0"/>
        <w:shd w:val="clear" w:color="auto" w:fill="auto"/>
        <w:tabs>
          <w:tab w:val="left" w:pos="1109"/>
        </w:tabs>
        <w:bidi w:val="0"/>
        <w:spacing w:before="0" w:after="80" w:line="360" w:lineRule="auto"/>
        <w:ind w:left="0" w:leftChars="0" w:right="0" w:firstLine="0" w:firstLineChars="0"/>
        <w:jc w:val="both"/>
        <w:rPr>
          <w:rFonts w:hint="eastAsia" w:ascii="宋体" w:hAnsi="宋体" w:eastAsia="宋体" w:cs="宋体"/>
          <w:bCs/>
          <w:color w:val="auto"/>
          <w:kern w:val="2"/>
          <w:sz w:val="24"/>
          <w:szCs w:val="24"/>
          <w:highlight w:val="none"/>
          <w:u w:val="none"/>
          <w:lang w:val="en-US" w:eastAsia="zh-CN" w:bidi="ar-SA"/>
        </w:rPr>
      </w:pPr>
      <w:r>
        <w:rPr>
          <w:rFonts w:hint="eastAsia" w:ascii="宋体" w:hAnsi="宋体" w:eastAsia="宋体" w:cs="宋体"/>
          <w:b w:val="0"/>
          <w:bCs/>
          <w:color w:val="auto"/>
          <w:kern w:val="2"/>
          <w:sz w:val="24"/>
          <w:szCs w:val="24"/>
          <w:highlight w:val="none"/>
          <w:u w:val="none"/>
          <w:lang w:val="en-US" w:eastAsia="zh-CN" w:bidi="ar-SA"/>
        </w:rPr>
        <w:t>第二条</w:t>
      </w:r>
      <w:r>
        <w:rPr>
          <w:rFonts w:hint="eastAsia" w:ascii="宋体" w:hAnsi="宋体" w:eastAsia="宋体" w:cs="宋体"/>
          <w:bCs/>
          <w:color w:val="auto"/>
          <w:kern w:val="2"/>
          <w:sz w:val="24"/>
          <w:szCs w:val="24"/>
          <w:highlight w:val="none"/>
          <w:u w:val="none"/>
          <w:lang w:val="en-US" w:eastAsia="zh-CN" w:bidi="ar-SA"/>
        </w:rPr>
        <w:t xml:space="preserve">  </w:t>
      </w:r>
      <w:r>
        <w:rPr>
          <w:rFonts w:hint="eastAsia" w:cs="宋体"/>
          <w:bCs/>
          <w:color w:val="auto"/>
          <w:kern w:val="2"/>
          <w:sz w:val="24"/>
          <w:szCs w:val="24"/>
          <w:highlight w:val="none"/>
          <w:u w:val="none"/>
          <w:lang w:val="en-US" w:eastAsia="zh-CN" w:bidi="ar-SA"/>
        </w:rPr>
        <w:t>招标</w:t>
      </w:r>
      <w:r>
        <w:rPr>
          <w:rFonts w:hint="eastAsia" w:ascii="宋体" w:hAnsi="宋体" w:eastAsia="宋体" w:cs="宋体"/>
          <w:bCs/>
          <w:color w:val="auto"/>
          <w:kern w:val="2"/>
          <w:sz w:val="24"/>
          <w:szCs w:val="24"/>
          <w:highlight w:val="none"/>
          <w:u w:val="none"/>
          <w:lang w:val="en-US" w:eastAsia="zh-CN" w:bidi="ar-SA"/>
        </w:rPr>
        <w:t>代理服务费市场价格难以确定的，</w:t>
      </w:r>
      <w:r>
        <w:rPr>
          <w:rFonts w:hint="eastAsia" w:cs="宋体"/>
          <w:bCs/>
          <w:color w:val="auto"/>
          <w:kern w:val="2"/>
          <w:sz w:val="24"/>
          <w:szCs w:val="24"/>
          <w:highlight w:val="none"/>
          <w:u w:val="none"/>
          <w:lang w:val="en-US" w:eastAsia="zh-CN" w:bidi="ar-SA"/>
        </w:rPr>
        <w:t>招标</w:t>
      </w:r>
      <w:r>
        <w:rPr>
          <w:rFonts w:hint="eastAsia" w:ascii="宋体" w:hAnsi="宋体" w:eastAsia="宋体" w:cs="宋体"/>
          <w:bCs/>
          <w:color w:val="auto"/>
          <w:kern w:val="2"/>
          <w:sz w:val="24"/>
          <w:szCs w:val="24"/>
          <w:highlight w:val="none"/>
          <w:u w:val="none"/>
          <w:lang w:val="en-US" w:eastAsia="zh-CN" w:bidi="ar-SA"/>
        </w:rPr>
        <w:t>代理机构和</w:t>
      </w:r>
      <w:r>
        <w:rPr>
          <w:rFonts w:hint="eastAsia" w:cs="宋体"/>
          <w:bCs/>
          <w:color w:val="auto"/>
          <w:kern w:val="2"/>
          <w:sz w:val="24"/>
          <w:szCs w:val="24"/>
          <w:highlight w:val="none"/>
          <w:u w:val="none"/>
          <w:lang w:val="en-US" w:eastAsia="zh-CN" w:bidi="ar-SA"/>
        </w:rPr>
        <w:t>招标人</w:t>
      </w:r>
      <w:r>
        <w:rPr>
          <w:rFonts w:hint="eastAsia" w:ascii="宋体" w:hAnsi="宋体" w:eastAsia="宋体" w:cs="宋体"/>
          <w:bCs/>
          <w:color w:val="auto"/>
          <w:kern w:val="2"/>
          <w:sz w:val="24"/>
          <w:szCs w:val="24"/>
          <w:highlight w:val="none"/>
          <w:u w:val="none"/>
          <w:lang w:val="en-US" w:eastAsia="zh-CN" w:bidi="ar-SA"/>
        </w:rPr>
        <w:t>可参考以下指导标准，根据</w:t>
      </w:r>
      <w:r>
        <w:rPr>
          <w:rFonts w:hint="eastAsia" w:cs="宋体"/>
          <w:bCs/>
          <w:color w:val="auto"/>
          <w:kern w:val="2"/>
          <w:sz w:val="24"/>
          <w:szCs w:val="24"/>
          <w:highlight w:val="none"/>
          <w:u w:val="none"/>
          <w:lang w:val="en-US" w:eastAsia="zh-CN" w:bidi="ar-SA"/>
        </w:rPr>
        <w:t>招标</w:t>
      </w:r>
      <w:r>
        <w:rPr>
          <w:rFonts w:hint="eastAsia" w:ascii="宋体" w:hAnsi="宋体" w:eastAsia="宋体" w:cs="宋体"/>
          <w:bCs/>
          <w:color w:val="auto"/>
          <w:kern w:val="2"/>
          <w:sz w:val="24"/>
          <w:szCs w:val="24"/>
          <w:highlight w:val="none"/>
          <w:u w:val="none"/>
          <w:lang w:val="en-US" w:eastAsia="zh-CN" w:bidi="ar-SA"/>
        </w:rPr>
        <w:t>项目的紧急性、复杂性等情形，建议上下浮动幅度不超过</w:t>
      </w:r>
      <w:r>
        <w:rPr>
          <w:rFonts w:hint="eastAsia" w:ascii="宋体" w:hAnsi="宋体" w:eastAsia="宋体" w:cs="宋体"/>
          <w:b w:val="0"/>
          <w:bCs w:val="0"/>
          <w:color w:val="auto"/>
          <w:kern w:val="2"/>
          <w:sz w:val="24"/>
          <w:szCs w:val="24"/>
          <w:highlight w:val="none"/>
          <w:u w:val="none"/>
          <w:lang w:val="en-US" w:eastAsia="zh-CN" w:bidi="ar-SA"/>
        </w:rPr>
        <w:t>20</w:t>
      </w:r>
      <w:r>
        <w:rPr>
          <w:rFonts w:hint="eastAsia" w:ascii="宋体" w:hAnsi="宋体" w:eastAsia="宋体" w:cs="宋体"/>
          <w:bCs/>
          <w:color w:val="auto"/>
          <w:kern w:val="2"/>
          <w:sz w:val="24"/>
          <w:szCs w:val="24"/>
          <w:highlight w:val="none"/>
          <w:u w:val="none"/>
          <w:lang w:val="en-US" w:eastAsia="zh-CN" w:bidi="ar-SA"/>
        </w:rPr>
        <w:t>%</w:t>
      </w:r>
      <w:r>
        <w:rPr>
          <w:rFonts w:hint="eastAsia" w:cs="宋体"/>
          <w:bCs/>
          <w:color w:val="auto"/>
          <w:kern w:val="2"/>
          <w:sz w:val="24"/>
          <w:szCs w:val="24"/>
          <w:highlight w:val="none"/>
          <w:u w:val="none"/>
          <w:lang w:val="en-US" w:eastAsia="zh-CN" w:bidi="ar-SA"/>
        </w:rPr>
        <w:t>，</w:t>
      </w:r>
      <w:r>
        <w:rPr>
          <w:rFonts w:hint="eastAsia" w:ascii="宋体" w:hAnsi="宋体" w:eastAsia="宋体" w:cs="宋体"/>
          <w:bCs/>
          <w:color w:val="auto"/>
          <w:kern w:val="2"/>
          <w:sz w:val="24"/>
          <w:szCs w:val="24"/>
          <w:highlight w:val="none"/>
          <w:u w:val="none"/>
          <w:lang w:val="en-US" w:eastAsia="zh-CN" w:bidi="ar-SA"/>
        </w:rPr>
        <w:t>不得采用恶意竞争等不正当竞争手段扰乱市场秩序。</w:t>
      </w:r>
    </w:p>
    <w:p>
      <w:pPr>
        <w:pStyle w:val="23"/>
        <w:keepNext w:val="0"/>
        <w:keepLines w:val="0"/>
        <w:widowControl w:val="0"/>
        <w:shd w:val="clear" w:color="auto" w:fill="auto"/>
        <w:bidi w:val="0"/>
        <w:spacing w:before="0" w:after="180" w:line="240" w:lineRule="auto"/>
        <w:ind w:left="80" w:right="0" w:firstLine="0"/>
        <w:jc w:val="center"/>
        <w:outlineLvl w:val="0"/>
        <w:rPr>
          <w:rFonts w:hint="eastAsia" w:ascii="宋体" w:hAnsi="宋体" w:eastAsia="宋体" w:cs="宋体"/>
          <w:b/>
          <w:bCs/>
          <w:color w:val="auto"/>
          <w:sz w:val="21"/>
          <w:szCs w:val="21"/>
          <w:highlight w:val="none"/>
        </w:rPr>
      </w:pPr>
      <w:bookmarkStart w:id="138" w:name="_Toc23625"/>
      <w:r>
        <w:rPr>
          <w:rFonts w:hint="eastAsia" w:ascii="黑体" w:hAnsi="黑体" w:eastAsia="黑体" w:cs="黑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1293495</wp:posOffset>
                </wp:positionH>
                <wp:positionV relativeFrom="paragraph">
                  <wp:posOffset>313690</wp:posOffset>
                </wp:positionV>
                <wp:extent cx="753745" cy="435610"/>
                <wp:effectExtent l="0" t="0" r="0" b="0"/>
                <wp:wrapNone/>
                <wp:docPr id="6" name="文本框 6"/>
                <wp:cNvGraphicFramePr/>
                <a:graphic xmlns:a="http://schemas.openxmlformats.org/drawingml/2006/main">
                  <a:graphicData uri="http://schemas.microsoft.com/office/word/2010/wordprocessingShape">
                    <wps:wsp>
                      <wps:cNvSpPr txBox="1"/>
                      <wps:spPr>
                        <a:xfrm>
                          <a:off x="651510" y="4902200"/>
                          <a:ext cx="753745" cy="4356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仿宋" w:hAnsi="仿宋" w:eastAsia="仿宋" w:cs="仿宋"/>
                                <w:b w:val="0"/>
                                <w:bCs w:val="0"/>
                                <w:i w:val="0"/>
                                <w:iCs w:val="0"/>
                                <w:smallCaps w:val="0"/>
                                <w:strike w:val="0"/>
                                <w:color w:val="000000"/>
                                <w:spacing w:val="0"/>
                                <w:w w:val="100"/>
                                <w:position w:val="0"/>
                                <w:sz w:val="18"/>
                                <w:szCs w:val="18"/>
                                <w:u w:val="none"/>
                                <w:shd w:val="clear" w:color="auto" w:fill="auto"/>
                                <w:lang w:val="en-US" w:eastAsia="zh-CN" w:bidi="zh-CN"/>
                              </w:rPr>
                            </w:pPr>
                            <w:r>
                              <w:rPr>
                                <w:rFonts w:hint="eastAsia" w:ascii="宋体" w:hAnsi="宋体" w:eastAsia="宋体" w:cs="宋体"/>
                                <w:b w:val="0"/>
                                <w:bCs w:val="0"/>
                                <w:i w:val="0"/>
                                <w:iCs w:val="0"/>
                                <w:smallCaps w:val="0"/>
                                <w:strike w:val="0"/>
                                <w:color w:val="000000"/>
                                <w:spacing w:val="0"/>
                                <w:w w:val="100"/>
                                <w:position w:val="0"/>
                                <w:sz w:val="18"/>
                                <w:szCs w:val="18"/>
                                <w:u w:val="none"/>
                                <w:shd w:val="clear" w:color="auto" w:fill="auto"/>
                                <w:lang w:val="en-US" w:eastAsia="zh-CN" w:bidi="zh-CN"/>
                              </w:rPr>
                              <w:t>服务类型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1.85pt;margin-top:24.7pt;height:34.3pt;width:59.35pt;z-index:251662336;mso-width-relative:page;mso-height-relative:page;" filled="f" stroked="f" coordsize="21600,21600" o:gfxdata="UEsDBAoAAAAAAIdO4kAAAAAAAAAAAAAAAAAEAAAAZHJzL1BLAwQUAAAACACHTuJA4ATS79sAAAAK&#10;AQAADwAAAGRycy9kb3ducmV2LnhtbE2Py07DMBBF90j8gzVI7Kgdt0AIcSoUqUJCdNHSDTsndpMI&#10;exxi9wFfz7CC3Yzm6M655fLsHTvaKQ4BFWQzAcxiG8yAnYLd2+omBxaTRqNdQKvgy0ZYVpcXpS5M&#10;OOHGHrepYxSCsdAK+pTGgvPY9tbrOAujRbrtw+R1onXquJn0icK941KIO+71gPSh16Ote9t+bA9e&#10;wUu9WutNI33+7ern1/3T+Ll7v1Xq+ioTj8CSPac/GH71SR0qcmrCAU1kToEU83tCFSweFsAImEtJ&#10;Q0NklgvgVcn/V6h+AFBLAwQUAAAACACHTuJAevR1rEUCAABwBAAADgAAAGRycy9lMm9Eb2MueG1s&#10;rVTNjtowEL5X6jtYvpfwF+giwoouoqqEuivRqmfjOCSS7XFtQ0IfoH2DPfXSe5+L5+jYARZte9hD&#10;L2bsGb6Z75uZTG8bJcleWFeBzmiv06VEaA55pbcZ/fxp+eYtJc4znTMJWmT0IBy9nb1+Na3NRPSh&#10;BJkLSxBEu0ltMlp6byZJ4ngpFHMdMEKjswCrmMer3Sa5ZTWiK5n0u91RUoPNjQUunMPXReukJ0T7&#10;EkAoioqLBfCdEtq3qFZI5pGSKyvj6CxWWxSC+/uicMITmVFk6uOJSdDehDOZTdlka5kpK34qgb2k&#10;hGecFKs0Jr1ALZhnZGerv6BUxS04KHyHg0paIlERZNHrPtNmXTIjIheU2pmL6O7/wfKP+wdLqjyj&#10;I0o0U9jw4+OP48/fx1/fySjIUxs3wai1wTjfvIMGh+b87vAxsG4Kq8Iv8iHoH6W9tIcKHzI6vOn2&#10;seutzqLxhKN/nA7Gw5QSHgIG6QhjMVHyhGOs8+8FKBKMjFpsY1SX7VfOt6HnkJBWw7KSMrZSalJj&#10;AYO0G/9w8SC41JgjsGmrDpZvNs2J4gbyAzK00I6IM3xZYfIVc/6BWZwJ5INb4+/xKCRgEjhZlJRg&#10;v/3rPcRjq9BLSY0zllH3dcesoER+0NjEm95wGIYyXobpuI8Xe+3ZXHv0Tt0BjnEP99PwaIZ4L89m&#10;YUF9weWah6zoYppj7oz6s3nn28nH5eRiPo9BOIaG+ZVeGx6gWznnOw9FFZUOMrXanNTDQYy9Oi1N&#10;mPTre4x6+lDM/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gBNLv2wAAAAoBAAAPAAAAAAAAAAEA&#10;IAAAACIAAABkcnMvZG93bnJldi54bWxQSwECFAAUAAAACACHTuJAevR1rEUCAABwBAAADgAAAAAA&#10;AAABACAAAAAqAQAAZHJzL2Uyb0RvYy54bWxQSwUGAAAAAAYABgBZAQAA4QUAAAAA&#10;">
                <v:fill on="f" focussize="0,0"/>
                <v:stroke on="f" weight="0.5pt"/>
                <v:imagedata o:title=""/>
                <o:lock v:ext="edit" aspectratio="f"/>
                <v:textbox>
                  <w:txbxContent>
                    <w:p>
                      <w:pPr>
                        <w:rPr>
                          <w:rFonts w:hint="default" w:ascii="仿宋" w:hAnsi="仿宋" w:eastAsia="仿宋" w:cs="仿宋"/>
                          <w:b w:val="0"/>
                          <w:bCs w:val="0"/>
                          <w:i w:val="0"/>
                          <w:iCs w:val="0"/>
                          <w:smallCaps w:val="0"/>
                          <w:strike w:val="0"/>
                          <w:color w:val="000000"/>
                          <w:spacing w:val="0"/>
                          <w:w w:val="100"/>
                          <w:position w:val="0"/>
                          <w:sz w:val="18"/>
                          <w:szCs w:val="18"/>
                          <w:u w:val="none"/>
                          <w:shd w:val="clear" w:color="auto" w:fill="auto"/>
                          <w:lang w:val="en-US" w:eastAsia="zh-CN" w:bidi="zh-CN"/>
                        </w:rPr>
                      </w:pPr>
                      <w:r>
                        <w:rPr>
                          <w:rFonts w:hint="eastAsia" w:ascii="宋体" w:hAnsi="宋体" w:eastAsia="宋体" w:cs="宋体"/>
                          <w:b w:val="0"/>
                          <w:bCs w:val="0"/>
                          <w:i w:val="0"/>
                          <w:iCs w:val="0"/>
                          <w:smallCaps w:val="0"/>
                          <w:strike w:val="0"/>
                          <w:color w:val="000000"/>
                          <w:spacing w:val="0"/>
                          <w:w w:val="100"/>
                          <w:position w:val="0"/>
                          <w:sz w:val="18"/>
                          <w:szCs w:val="18"/>
                          <w:u w:val="none"/>
                          <w:shd w:val="clear" w:color="auto" w:fill="auto"/>
                          <w:lang w:val="en-US" w:eastAsia="zh-CN" w:bidi="zh-CN"/>
                        </w:rPr>
                        <w:t>服务类型</w:t>
                      </w:r>
                    </w:p>
                  </w:txbxContent>
                </v:textbox>
              </v:shape>
            </w:pict>
          </mc:Fallback>
        </mc:AlternateContent>
      </w:r>
      <w:r>
        <w:rPr>
          <w:rFonts w:hint="eastAsia" w:ascii="黑体" w:hAnsi="黑体" w:eastAsia="黑体" w:cs="黑体"/>
          <w:b w:val="0"/>
          <w:bCs w:val="0"/>
          <w:color w:val="auto"/>
          <w:sz w:val="21"/>
          <w:szCs w:val="21"/>
          <w:highlight w:val="none"/>
          <w:lang w:val="en-US" w:eastAsia="zh-CN"/>
        </w:rPr>
        <w:t xml:space="preserve">表1  </w:t>
      </w:r>
      <w:r>
        <w:rPr>
          <w:rFonts w:hint="eastAsia" w:ascii="黑体" w:hAnsi="黑体" w:eastAsia="黑体" w:cs="黑体"/>
          <w:b w:val="0"/>
          <w:bCs w:val="0"/>
          <w:color w:val="auto"/>
          <w:spacing w:val="0"/>
          <w:w w:val="100"/>
          <w:position w:val="0"/>
          <w:sz w:val="21"/>
          <w:szCs w:val="21"/>
          <w:highlight w:val="none"/>
          <w:shd w:val="clear" w:color="auto" w:fill="auto"/>
        </w:rPr>
        <w:t>招标代理</w:t>
      </w:r>
      <w:r>
        <w:rPr>
          <w:rFonts w:hint="eastAsia" w:ascii="黑体" w:hAnsi="黑体" w:eastAsia="黑体" w:cs="黑体"/>
          <w:b w:val="0"/>
          <w:bCs w:val="0"/>
          <w:color w:val="auto"/>
          <w:spacing w:val="0"/>
          <w:w w:val="100"/>
          <w:position w:val="0"/>
          <w:sz w:val="21"/>
          <w:szCs w:val="21"/>
          <w:highlight w:val="none"/>
          <w:shd w:val="clear" w:color="auto" w:fill="auto"/>
          <w:lang w:val="en-US" w:eastAsia="zh-CN"/>
        </w:rPr>
        <w:t>基本</w:t>
      </w:r>
      <w:r>
        <w:rPr>
          <w:rFonts w:hint="eastAsia" w:ascii="黑体" w:hAnsi="黑体" w:eastAsia="黑体" w:cs="黑体"/>
          <w:b w:val="0"/>
          <w:bCs w:val="0"/>
          <w:color w:val="auto"/>
          <w:spacing w:val="0"/>
          <w:w w:val="100"/>
          <w:position w:val="0"/>
          <w:sz w:val="21"/>
          <w:szCs w:val="21"/>
          <w:highlight w:val="none"/>
          <w:shd w:val="clear" w:color="auto" w:fill="auto"/>
        </w:rPr>
        <w:t>服务收费指导标准</w:t>
      </w:r>
      <w:bookmarkEnd w:id="138"/>
    </w:p>
    <w:tbl>
      <w:tblPr>
        <w:tblStyle w:val="13"/>
        <w:tblW w:w="7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680"/>
        <w:gridCol w:w="1894"/>
        <w:gridCol w:w="1554"/>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2" w:hRule="atLeast"/>
          <w:jc w:val="center"/>
        </w:trPr>
        <w:tc>
          <w:tcPr>
            <w:tcW w:w="2680" w:type="dxa"/>
            <w:shd w:val="clear" w:color="auto" w:fill="FFFFFF"/>
            <w:vAlign w:val="center"/>
          </w:tcPr>
          <w:p>
            <w:pPr>
              <w:pStyle w:val="24"/>
              <w:keepNext w:val="0"/>
              <w:keepLines w:val="0"/>
              <w:widowControl w:val="0"/>
              <w:shd w:val="clear" w:color="auto" w:fill="auto"/>
              <w:tabs>
                <w:tab w:val="left" w:pos="1555"/>
              </w:tabs>
              <w:bidi w:val="0"/>
              <w:spacing w:before="0" w:after="480" w:line="240" w:lineRule="auto"/>
              <w:ind w:left="320" w:right="0" w:firstLine="0"/>
              <w:jc w:val="both"/>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mc:AlternateContent>
                <mc:Choice Requires="wps">
                  <w:drawing>
                    <wp:anchor distT="0" distB="0" distL="114300" distR="114300" simplePos="0" relativeHeight="251664384" behindDoc="0" locked="0" layoutInCell="1" allowOverlap="1">
                      <wp:simplePos x="0" y="0"/>
                      <wp:positionH relativeFrom="column">
                        <wp:posOffset>361950</wp:posOffset>
                      </wp:positionH>
                      <wp:positionV relativeFrom="paragraph">
                        <wp:posOffset>39370</wp:posOffset>
                      </wp:positionV>
                      <wp:extent cx="753745" cy="435610"/>
                      <wp:effectExtent l="0" t="0" r="0" b="0"/>
                      <wp:wrapNone/>
                      <wp:docPr id="7" name="文本框 7"/>
                      <wp:cNvGraphicFramePr/>
                      <a:graphic xmlns:a="http://schemas.openxmlformats.org/drawingml/2006/main">
                        <a:graphicData uri="http://schemas.microsoft.com/office/word/2010/wordprocessingShape">
                          <wps:wsp>
                            <wps:cNvSpPr txBox="1"/>
                            <wps:spPr>
                              <a:xfrm>
                                <a:off x="0" y="0"/>
                                <a:ext cx="753745" cy="4356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宋体" w:hAnsi="宋体" w:eastAsia="宋体" w:cs="宋体"/>
                                      <w:b w:val="0"/>
                                      <w:bCs w:val="0"/>
                                      <w:i w:val="0"/>
                                      <w:iCs w:val="0"/>
                                      <w:smallCaps w:val="0"/>
                                      <w:strike w:val="0"/>
                                      <w:color w:val="000000"/>
                                      <w:spacing w:val="0"/>
                                      <w:w w:val="100"/>
                                      <w:position w:val="0"/>
                                      <w:sz w:val="18"/>
                                      <w:szCs w:val="18"/>
                                      <w:u w:val="none"/>
                                      <w:shd w:val="clear" w:color="auto" w:fill="auto"/>
                                      <w:lang w:val="en-US" w:eastAsia="zh-CN" w:bidi="zh-CN"/>
                                    </w:rPr>
                                  </w:pPr>
                                  <w:r>
                                    <w:rPr>
                                      <w:rFonts w:hint="eastAsia" w:ascii="宋体" w:hAnsi="宋体" w:eastAsia="宋体" w:cs="宋体"/>
                                      <w:b w:val="0"/>
                                      <w:bCs w:val="0"/>
                                      <w:i w:val="0"/>
                                      <w:iCs w:val="0"/>
                                      <w:smallCaps w:val="0"/>
                                      <w:strike w:val="0"/>
                                      <w:color w:val="000000"/>
                                      <w:spacing w:val="0"/>
                                      <w:w w:val="100"/>
                                      <w:position w:val="0"/>
                                      <w:sz w:val="18"/>
                                      <w:szCs w:val="18"/>
                                      <w:u w:val="none"/>
                                      <w:shd w:val="clear" w:color="auto" w:fill="auto"/>
                                      <w:lang w:val="en-US" w:eastAsia="zh-CN" w:bidi="zh-CN"/>
                                    </w:rPr>
                                    <w:t>费率</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5pt;margin-top:3.1pt;height:34.3pt;width:59.35pt;z-index:251664384;mso-width-relative:page;mso-height-relative:page;" filled="f" stroked="f" coordsize="21600,21600" o:gfxdata="UEsDBAoAAAAAAIdO4kAAAAAAAAAAAAAAAAAEAAAAZHJzL1BLAwQUAAAACACHTuJA7UBQs9kAAAAH&#10;AQAADwAAAGRycy9kb3ducmV2LnhtbE2PT0vDQBTE70K/w/IK3uymwTQhZlMkUATRQ2sv3l6S1yS4&#10;+zZmt3/007s92eMww8xvivXFaHGiyQ2WFSwXEQjixrYDdwr2H5uHDITzyC1qy6Tghxysy9ldgXlr&#10;z7yl0853IpSwy1FB7/2YS+mangy6hR2Jg3ewk0Ef5NTJdsJzKDdaxlG0kgYHDgs9jlT11HztjkbB&#10;a7V5x20dm+xXVy9vh+fxe/+ZKHU/X0ZPIDxd/H8YrvgBHcrAVNsjt05oBUkarngFqxjE1U6TFESt&#10;IH3MQJaFvOUv/wBQSwMEFAAAAAgAh07iQFWQ9Pg7AgAAZQQAAA4AAABkcnMvZTJvRG9jLnhtbK1U&#10;zY4TMQy+I/EOUe50+l+oOl2VrYqQVuxKBXFOM5lOpCQOSdqZ8gDwBpy4cOe5+hw4mbZbLRz2wCXj&#10;2I7t77M9s5tGK7IXzkswOe11upQIw6GQZpvTTx9Xr15T4gMzBVNgRE4PwtOb+csXs9pORR8qUIVw&#10;BIMYP61tTqsQ7DTLPK+EZr4DVhg0luA0C3h126xwrMboWmX9bnec1eAK64AL71G7bI30FNE9JyCU&#10;peRiCXynhQltVCcUCwjJV9J6Ok/VlqXg4b4svQhE5RSRhnRiEpQ38czmMzbdOmYryU8lsOeU8AST&#10;ZtJg0kuoJQuM7Jz8K5SW3IGHMnQ46KwFkhhBFL3uE27WFbMiYUGqvb2Q7v9fWP5h/+CILHI6ocQw&#10;jQ0//vh+/Pn7+OsbmUR6auun6LW26Beat9Dg0Jz1HpURdVM6Hb+Ih6AdyT1cyBVNIByVk9FgMhxR&#10;wtE0HIzGvUR+9vjYOh/eCdAkCjl12LtEKdvf+YCFoOvZJeYysJJKpf4pQ+qcjgejbnpwseALZfBh&#10;hNCWGqXQbJoTrg0UB4TloJ0Lb/lKYvI75sMDczgIiARXJdzjUSrAJHCSKKnAff2XPvpjf9BKSY2D&#10;lVP/ZcecoES9N9i5N73hME5iugxHkz5e3LVlc20xO30LOLs9XErLkxj9gzqLpQP9GTdqEbOiiRmO&#10;uXMazuJtaMcdN5KLxSI54exZFu7M2vIYuqVzsQtQysR0pKnl5sQeTl9qwGlT4nhf35PX499h/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tQFCz2QAAAAcBAAAPAAAAAAAAAAEAIAAAACIAAABkcnMv&#10;ZG93bnJldi54bWxQSwECFAAUAAAACACHTuJAVZD0+DsCAABlBAAADgAAAAAAAAABACAAAAAoAQAA&#10;ZHJzL2Uyb0RvYy54bWxQSwUGAAAAAAYABgBZAQAA1QUAAAAA&#10;">
                      <v:fill on="f" focussize="0,0"/>
                      <v:stroke on="f" weight="0.5pt"/>
                      <v:imagedata o:title=""/>
                      <o:lock v:ext="edit" aspectratio="f"/>
                      <v:textbox>
                        <w:txbxContent>
                          <w:p>
                            <w:pPr>
                              <w:rPr>
                                <w:rFonts w:hint="eastAsia" w:ascii="宋体" w:hAnsi="宋体" w:eastAsia="宋体" w:cs="宋体"/>
                                <w:b w:val="0"/>
                                <w:bCs w:val="0"/>
                                <w:i w:val="0"/>
                                <w:iCs w:val="0"/>
                                <w:smallCaps w:val="0"/>
                                <w:strike w:val="0"/>
                                <w:color w:val="000000"/>
                                <w:spacing w:val="0"/>
                                <w:w w:val="100"/>
                                <w:position w:val="0"/>
                                <w:sz w:val="18"/>
                                <w:szCs w:val="18"/>
                                <w:u w:val="none"/>
                                <w:shd w:val="clear" w:color="auto" w:fill="auto"/>
                                <w:lang w:val="en-US" w:eastAsia="zh-CN" w:bidi="zh-CN"/>
                              </w:rPr>
                            </w:pPr>
                            <w:r>
                              <w:rPr>
                                <w:rFonts w:hint="eastAsia" w:ascii="宋体" w:hAnsi="宋体" w:eastAsia="宋体" w:cs="宋体"/>
                                <w:b w:val="0"/>
                                <w:bCs w:val="0"/>
                                <w:i w:val="0"/>
                                <w:iCs w:val="0"/>
                                <w:smallCaps w:val="0"/>
                                <w:strike w:val="0"/>
                                <w:color w:val="000000"/>
                                <w:spacing w:val="0"/>
                                <w:w w:val="100"/>
                                <w:position w:val="0"/>
                                <w:sz w:val="18"/>
                                <w:szCs w:val="18"/>
                                <w:u w:val="none"/>
                                <w:shd w:val="clear" w:color="auto" w:fill="auto"/>
                                <w:lang w:val="en-US" w:eastAsia="zh-CN" w:bidi="zh-CN"/>
                              </w:rPr>
                              <w:t>费率</w:t>
                            </w:r>
                          </w:p>
                        </w:txbxContent>
                      </v:textbox>
                    </v:shape>
                  </w:pict>
                </mc:Fallback>
              </mc:AlternateContent>
            </w:r>
            <w:r>
              <w:rPr>
                <w:rFonts w:hint="eastAsia" w:ascii="宋体" w:hAnsi="宋体" w:eastAsia="宋体" w:cs="宋体"/>
                <w:b/>
                <w:bCs/>
                <w:color w:val="auto"/>
                <w:sz w:val="18"/>
                <w:szCs w:val="18"/>
                <w:highlight w:val="none"/>
              </w:rPr>
              <mc:AlternateContent>
                <mc:Choice Requires="wps">
                  <w:drawing>
                    <wp:anchor distT="0" distB="0" distL="114300" distR="114300" simplePos="0" relativeHeight="251661312" behindDoc="0" locked="0" layoutInCell="1" allowOverlap="1">
                      <wp:simplePos x="0" y="0"/>
                      <wp:positionH relativeFrom="column">
                        <wp:posOffset>-6350</wp:posOffset>
                      </wp:positionH>
                      <wp:positionV relativeFrom="paragraph">
                        <wp:posOffset>196850</wp:posOffset>
                      </wp:positionV>
                      <wp:extent cx="1704340" cy="504190"/>
                      <wp:effectExtent l="1270" t="4445" r="8890" b="12065"/>
                      <wp:wrapNone/>
                      <wp:docPr id="5" name="直接连接符 5"/>
                      <wp:cNvGraphicFramePr/>
                      <a:graphic xmlns:a="http://schemas.openxmlformats.org/drawingml/2006/main">
                        <a:graphicData uri="http://schemas.microsoft.com/office/word/2010/wordprocessingShape">
                          <wps:wsp>
                            <wps:cNvCnPr/>
                            <wps:spPr>
                              <a:xfrm>
                                <a:off x="0" y="0"/>
                                <a:ext cx="1704340" cy="504190"/>
                              </a:xfrm>
                              <a:prstGeom prst="line">
                                <a:avLst/>
                              </a:prstGeom>
                              <a:ln w="317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5pt;margin-top:15.5pt;height:39.7pt;width:134.2pt;z-index:251661312;mso-width-relative:page;mso-height-relative:page;" filled="f" stroked="t" coordsize="21600,21600" o:gfxdata="UEsDBAoAAAAAAIdO4kAAAAAAAAAAAAAAAAAEAAAAZHJzL1BLAwQUAAAACACHTuJA4haVOtgAAAAJ&#10;AQAADwAAAGRycy9kb3ducmV2LnhtbE2PQUvDQBCF74L/YRnBW7ubNlSJ2RQRpGAFafXibZIds8Hs&#10;bshuk/rvnZ70NDze4833yu3Z9WKiMXbBa8iWCgT5JpjOtxo+3p8X9yBiQm+wD540/FCEbXV9VWJh&#10;wuwPNB1TK7jExwI12JSGQsrYWHIYl2Egz95XGB0mlmMrzYgzl7terpTaSIed5w8WB3qy1HwfT07D&#10;zmL9avLJ7PdzeHx7ydaf6HZa395k6gFEonP6C8MFn9GhYqY6nLyJotewyHhK0rC+XPZXm7scRM3B&#10;TOUgq1L+X1D9AlBLAwQUAAAACACHTuJA6s25J/wBAADYAwAADgAAAGRycy9lMm9Eb2MueG1srVNL&#10;btswEN0X6B0I7mtJiV2nguUAjeFu+jHQ9AA0RUkE+AOHtuxL9AIFumtXXWbf2zQ9RoaU4rTpJotC&#10;ADUczryZ9zhcXB60InvhQVpT0WKSUyIMt7U0bUU/Xa9fXFACgZmaKWtERY8C6OXy+bNF70pxZjur&#10;auEJghgoe1fRLgRXZhnwTmgGE+uEwcPGes0Cbn2b1Z71iK5VdpbnL7Pe+tp5ywUAelfDIR0R/VMA&#10;bdNILlaW77QwYUD1QrGAlKCTDugydds0gocPTQMiEFVRZBrSikXQ3sY1Wy5Y2XrmOsnHFthTWnjE&#10;STNpsOgJasUCIzsv/4HSknsLtgkTbnU2EEmKIIsif6TNx445kbig1OBOosP/g+Xv9xtPZF3RGSWG&#10;abzw2y83vz5/+/3zK663P76TWRSpd1Bi7JXZ+HEHbuMj40PjdfwjF3JIwh5PwopDIBydxTyfnk9R&#10;c45ns3xavErKZw/ZzkN4I6wm0aiokiYSZyXbv4WAFTH0PiS6jV1LpdLlKUP6ip4XcyTAGQ5kg4OA&#10;pnZICkxLCVMtTjoPPiGCVbKO2REHfLu9Up7sGc7H63X8UpDa6Xe2HtzzWZ7ftzvGp37+AorNrRh0&#10;Q0o6GmZLy4DPRUld0QvEOSEpgyBR1UHHaG1tfUzyJj9eeCozDmecqD/3KfvhQS7v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IWlTrYAAAACQEAAA8AAAAAAAAAAQAgAAAAIgAAAGRycy9kb3ducmV2&#10;LnhtbFBLAQIUABQAAAAIAIdO4kDqzbkn/AEAANgDAAAOAAAAAAAAAAEAIAAAACcBAABkcnMvZTJv&#10;RG9jLnhtbFBLBQYAAAAABgAGAFkBAACVBQAAAAA=&#10;">
                      <v:fill on="f" focussize="0,0"/>
                      <v:stroke weight="0.25pt" color="#BFBFBF [2412]" miterlimit="8" joinstyle="miter"/>
                      <v:imagedata o:title=""/>
                      <o:lock v:ext="edit" aspectratio="f"/>
                    </v:line>
                  </w:pict>
                </mc:Fallback>
              </mc:AlternateContent>
            </w:r>
            <w:r>
              <w:rPr>
                <w:rFonts w:hint="eastAsia" w:ascii="宋体" w:hAnsi="宋体" w:eastAsia="宋体" w:cs="宋体"/>
                <w:b/>
                <w:bCs/>
                <w:color w:val="auto"/>
                <w:sz w:val="18"/>
                <w:szCs w:val="18"/>
                <w:highlight w:val="none"/>
              </w:rPr>
              <mc:AlternateContent>
                <mc:Choice Requires="wps">
                  <w:drawing>
                    <wp:anchor distT="0" distB="0" distL="114300" distR="114300" simplePos="0" relativeHeight="251665408" behindDoc="0" locked="0" layoutInCell="1" allowOverlap="1">
                      <wp:simplePos x="0" y="0"/>
                      <wp:positionH relativeFrom="column">
                        <wp:posOffset>-36195</wp:posOffset>
                      </wp:positionH>
                      <wp:positionV relativeFrom="paragraph">
                        <wp:posOffset>355600</wp:posOffset>
                      </wp:positionV>
                      <wp:extent cx="956945" cy="435610"/>
                      <wp:effectExtent l="0" t="0" r="0" b="0"/>
                      <wp:wrapNone/>
                      <wp:docPr id="8" name="文本框 8"/>
                      <wp:cNvGraphicFramePr/>
                      <a:graphic xmlns:a="http://schemas.openxmlformats.org/drawingml/2006/main">
                        <a:graphicData uri="http://schemas.microsoft.com/office/word/2010/wordprocessingShape">
                          <wps:wsp>
                            <wps:cNvSpPr txBox="1"/>
                            <wps:spPr>
                              <a:xfrm>
                                <a:off x="0" y="0"/>
                                <a:ext cx="956945" cy="4356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宋体" w:hAnsi="宋体" w:eastAsia="宋体" w:cs="宋体"/>
                                      <w:b w:val="0"/>
                                      <w:bCs w:val="0"/>
                                      <w:i w:val="0"/>
                                      <w:iCs w:val="0"/>
                                      <w:smallCaps w:val="0"/>
                                      <w:strike w:val="0"/>
                                      <w:color w:val="000000"/>
                                      <w:spacing w:val="0"/>
                                      <w:w w:val="100"/>
                                      <w:position w:val="0"/>
                                      <w:sz w:val="18"/>
                                      <w:szCs w:val="18"/>
                                      <w:u w:val="none"/>
                                      <w:shd w:val="clear" w:color="auto" w:fill="auto"/>
                                      <w:lang w:val="en-US" w:eastAsia="zh-CN" w:bidi="zh-CN"/>
                                    </w:rPr>
                                  </w:pPr>
                                  <w:r>
                                    <w:rPr>
                                      <w:rFonts w:hint="eastAsia" w:ascii="宋体" w:hAnsi="宋体" w:eastAsia="宋体" w:cs="宋体"/>
                                      <w:b w:val="0"/>
                                      <w:bCs w:val="0"/>
                                      <w:i w:val="0"/>
                                      <w:iCs w:val="0"/>
                                      <w:smallCaps w:val="0"/>
                                      <w:strike w:val="0"/>
                                      <w:color w:val="000000"/>
                                      <w:spacing w:val="0"/>
                                      <w:w w:val="100"/>
                                      <w:position w:val="0"/>
                                      <w:sz w:val="18"/>
                                      <w:szCs w:val="18"/>
                                      <w:u w:val="none"/>
                                      <w:shd w:val="clear" w:color="auto" w:fill="auto"/>
                                      <w:lang w:val="en-US" w:eastAsia="zh-CN" w:bidi="zh-CN"/>
                                    </w:rPr>
                                    <w:t>中标金额</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5pt;margin-top:28pt;height:34.3pt;width:75.35pt;z-index:251665408;mso-width-relative:page;mso-height-relative:page;" filled="f" stroked="f" coordsize="21600,21600" o:gfxdata="UEsDBAoAAAAAAIdO4kAAAAAAAAAAAAAAAAAEAAAAZHJzL1BLAwQUAAAACACHTuJAY0OWttkAAAAJ&#10;AQAADwAAAGRycy9kb3ducmV2LnhtbE2PzU7DMBCE70i8g7VI3FqnUROqEKdCkSokBIeWXrg58TaJ&#10;sNchdn/g6dme4DarGc1+U64vzooTTmHwpGAxT0Agtd4M1CnYv29mKxAhajLaekIF3xhgXd3elLow&#10;/kxbPO1iJ7iEQqEV9DGOhZSh7dHpMPcjEnsHPzkd+Zw6aSZ95nJnZZokuXR6IP7Q6xHrHtvP3dEp&#10;eKk3b3rbpG71Y+vn18PT+LX/yJS6v1skjyAiXuJfGK74jA4VMzX+SCYIq2CWPXBSQZbzpKu/zFg0&#10;LNJlDrIq5f8F1S9QSwMEFAAAAAgAh07iQJ3FLSs8AgAAZQQAAA4AAABkcnMvZTJvRG9jLnhtbK1U&#10;wY4aMQy9V+o/RLmXARboghhWdBFVpVV3JVr1HDIJM1ISp0lghn5A+wd76qX3fhffUScDLNr2sIde&#10;Mo7t2H7P9kxvGq3ITjhfgclpr9OlRBgORWU2Of38afnmmhIfmCmYAiNyuhee3sxev5rWdiL6UIIq&#10;hCMYxPhJbXNahmAnWeZ5KTTzHbDCoFGC0yzg1W2ywrEao2uV9bvdUVaDK6wDLrxH7aI10mNE95KA&#10;IGXFxQL4VgsT2qhOKBYQki8r6+ksVSul4OFeSi8CUTlFpCGdmATldTyz2ZRNNo7ZsuLHEthLSniG&#10;SbPKYNJzqAULjGxd9VcoXXEHHmTocNBZCyQxgih63WfcrEpmRcKCVHt7Jt3/v7D84+7BkarIKbbd&#10;MI0NPzz+OPz8ffj1nVxHemrrJ+i1sugXmnfQ4NCc9B6VEXUjnY5fxEPQjuTuz+SKJhCOyvFwNB4M&#10;KeFoGlwNR71Efvb02Dof3gvQJAo5ddi7RCnb3fmAhaDrySXmMrCslEr9U4bUOR1dDbvpwdmCL5TB&#10;hxFCW2qUQrNujrjWUOwRloN2LrzlywqT3zEfHpjDQUAkuCrhHg+pAJPAUaKkBPftX/roj/1BKyU1&#10;DlZO/dctc4IS9cFg58a9wSBOYroMhm/7eHGXlvWlxWz1LeDs9nApLU9i9A/qJEoH+gtu1DxmRRMz&#10;HHPnNJzE29COO24kF/N5csLZsyzcmZXlMXRL53wbQFaJ6UhTy82RPZy+1IDjpsTxvrwnr6e/w+w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Y0OWttkAAAAJAQAADwAAAAAAAAABACAAAAAiAAAAZHJz&#10;L2Rvd25yZXYueG1sUEsBAhQAFAAAAAgAh07iQJ3FLSs8AgAAZQQAAA4AAAAAAAAAAQAgAAAAKAEA&#10;AGRycy9lMm9Eb2MueG1sUEsFBgAAAAAGAAYAWQEAANYFAAAAAA==&#10;">
                      <v:fill on="f" focussize="0,0"/>
                      <v:stroke on="f" weight="0.5pt"/>
                      <v:imagedata o:title=""/>
                      <o:lock v:ext="edit" aspectratio="f"/>
                      <v:textbox>
                        <w:txbxContent>
                          <w:p>
                            <w:pPr>
                              <w:rPr>
                                <w:rFonts w:hint="eastAsia" w:ascii="宋体" w:hAnsi="宋体" w:eastAsia="宋体" w:cs="宋体"/>
                                <w:b w:val="0"/>
                                <w:bCs w:val="0"/>
                                <w:i w:val="0"/>
                                <w:iCs w:val="0"/>
                                <w:smallCaps w:val="0"/>
                                <w:strike w:val="0"/>
                                <w:color w:val="000000"/>
                                <w:spacing w:val="0"/>
                                <w:w w:val="100"/>
                                <w:position w:val="0"/>
                                <w:sz w:val="18"/>
                                <w:szCs w:val="18"/>
                                <w:u w:val="none"/>
                                <w:shd w:val="clear" w:color="auto" w:fill="auto"/>
                                <w:lang w:val="en-US" w:eastAsia="zh-CN" w:bidi="zh-CN"/>
                              </w:rPr>
                            </w:pPr>
                            <w:r>
                              <w:rPr>
                                <w:rFonts w:hint="eastAsia" w:ascii="宋体" w:hAnsi="宋体" w:eastAsia="宋体" w:cs="宋体"/>
                                <w:b w:val="0"/>
                                <w:bCs w:val="0"/>
                                <w:i w:val="0"/>
                                <w:iCs w:val="0"/>
                                <w:smallCaps w:val="0"/>
                                <w:strike w:val="0"/>
                                <w:color w:val="000000"/>
                                <w:spacing w:val="0"/>
                                <w:w w:val="100"/>
                                <w:position w:val="0"/>
                                <w:sz w:val="18"/>
                                <w:szCs w:val="18"/>
                                <w:u w:val="none"/>
                                <w:shd w:val="clear" w:color="auto" w:fill="auto"/>
                                <w:lang w:val="en-US" w:eastAsia="zh-CN" w:bidi="zh-CN"/>
                              </w:rPr>
                              <w:t>中标金额</w:t>
                            </w:r>
                          </w:p>
                        </w:txbxContent>
                      </v:textbox>
                    </v:shape>
                  </w:pict>
                </mc:Fallback>
              </mc:AlternateContent>
            </w:r>
            <w:r>
              <w:rPr>
                <w:rFonts w:hint="eastAsia" w:ascii="宋体" w:hAnsi="宋体" w:eastAsia="宋体" w:cs="宋体"/>
                <w:b/>
                <w:bCs/>
                <w:color w:val="auto"/>
                <w:sz w:val="18"/>
                <w:szCs w:val="18"/>
                <w:highlight w:val="none"/>
              </w:rPr>
              <mc:AlternateContent>
                <mc:Choice Requires="wps">
                  <w:drawing>
                    <wp:anchor distT="0" distB="0" distL="114300" distR="114300" simplePos="0" relativeHeight="251660288" behindDoc="0" locked="0" layoutInCell="1" allowOverlap="1">
                      <wp:simplePos x="0" y="0"/>
                      <wp:positionH relativeFrom="column">
                        <wp:posOffset>869950</wp:posOffset>
                      </wp:positionH>
                      <wp:positionV relativeFrom="paragraph">
                        <wp:posOffset>-3175</wp:posOffset>
                      </wp:positionV>
                      <wp:extent cx="824865" cy="704215"/>
                      <wp:effectExtent l="3175" t="3810" r="10160" b="3175"/>
                      <wp:wrapNone/>
                      <wp:docPr id="9" name="直接连接符 9"/>
                      <wp:cNvGraphicFramePr/>
                      <a:graphic xmlns:a="http://schemas.openxmlformats.org/drawingml/2006/main">
                        <a:graphicData uri="http://schemas.microsoft.com/office/word/2010/wordprocessingShape">
                          <wps:wsp>
                            <wps:cNvCnPr/>
                            <wps:spPr>
                              <a:xfrm>
                                <a:off x="2536190" y="4460240"/>
                                <a:ext cx="824865" cy="704215"/>
                              </a:xfrm>
                              <a:prstGeom prst="line">
                                <a:avLst/>
                              </a:prstGeom>
                              <a:ln w="317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8.5pt;margin-top:-0.25pt;height:55.45pt;width:64.95pt;z-index:251660288;mso-width-relative:page;mso-height-relative:page;" filled="f" stroked="t" coordsize="21600,21600" o:gfxdata="UEsDBAoAAAAAAIdO4kAAAAAAAAAAAAAAAAAEAAAAZHJzL1BLAwQUAAAACACHTuJAZFcnutcAAAAJ&#10;AQAADwAAAGRycy9kb3ducmV2LnhtbE2PQUvEMBCF74L/IYzgbTfp7lq1Nl1EkAVXEFcv3qZNbIrN&#10;pDTZdv33jic9Pr7hzffK7cn3YrJj7AJpyJYKhKUmmI5aDe9vj4sbEDEhGewDWQ3fNsK2Oj8rsTBh&#10;plc7HVIruIRigRpcSkMhZWyc9RiXYbDE7DOMHhPHsZVmxJnLfS9XSuXSY0f8weFgH5xtvg5Hr2Hn&#10;sH42m8ns93O4f3nK1h/od1pfXmTqDkSyp/R3DL/6rA4VO9XhSCaKnvP6mrckDYsrEMxXeX4LomaQ&#10;qQ3IqpT/F1Q/UEsDBBQAAAAIAIdO4kAcsqJmCQIAAOMDAAAOAAAAZHJzL2Uyb0RvYy54bWytk82O&#10;0zAQx+9IvIPlO03abbtt1HQltioXPioBD+A6TmLJX/K4TfsSvAASNzhx5M7bsDwGYyd0YbnsAUVy&#10;7PH45/n/M1ndnLQiR+FBWlPS8SinRBhuK2makr5/t322oAQCMxVT1oiSngXQm/XTJ6vOFWJiW6sq&#10;4QlCDBSdK2kbgiuyDHgrNIORdcLgZm29ZgGXvskqzzqka5VN8nyeddZXzlsuADC66TfpQPSPAdq6&#10;llxsLD9oYUJP9UKxgJKglQ7oOlVb14KHN3UNIhBVUlQa0oiX4Hwfx2y9YkXjmWslH0pgjynhgSbN&#10;pMFLL6gNC4wcvPwHpSX3FmwdRtzqrBeSHEEV4/yBN29b5kTSglaDu5gO/w/LXx93nsiqpEtKDNP4&#10;we8+fvvx4fPP759wvPv6hSyjSZ2DAnNvzc4PK3A7HxWfaq/jG7WQU0kns6v5eIn2nks6nc7zyXQw&#10;WZwC4ZiwmEwX8xklHBOu8+lkPIv87B7kPIQXwmoSJyVV0kQPWMGOLyH0qb9TYtjYrVQK46xQhnQl&#10;vRpfRzzD3qyxJ3CqHeoD01DCVINNz4NPRLBKVvF0PAy+2d8qT44MW+X5Nj4pSR30K1v14etZnic5&#10;WO6Qn0r/CxSL2zBo+yNpq28zLQP+OUpqNAE5F5IyCIkG95bG2d5W5+R0iuO3T9cMfRqb6891On3/&#10;b65/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RXJ7rXAAAACQEAAA8AAAAAAAAAAQAgAAAAIgAA&#10;AGRycy9kb3ducmV2LnhtbFBLAQIUABQAAAAIAIdO4kAcsqJmCQIAAOMDAAAOAAAAAAAAAAEAIAAA&#10;ACYBAABkcnMvZTJvRG9jLnhtbFBLBQYAAAAABgAGAFkBAAChBQAAAAA=&#10;">
                      <v:fill on="f" focussize="0,0"/>
                      <v:stroke weight="0.25pt" color="#BFBFBF [2412]" miterlimit="8" joinstyle="miter"/>
                      <v:imagedata o:title=""/>
                      <o:lock v:ext="edit" aspectratio="f"/>
                    </v:line>
                  </w:pict>
                </mc:Fallback>
              </mc:AlternateContent>
            </w:r>
          </w:p>
          <w:p>
            <w:pPr>
              <w:pStyle w:val="24"/>
              <w:keepNext w:val="0"/>
              <w:keepLines w:val="0"/>
              <w:widowControl w:val="0"/>
              <w:shd w:val="clear" w:color="auto" w:fill="auto"/>
              <w:bidi w:val="0"/>
              <w:spacing w:before="0" w:after="0" w:line="240" w:lineRule="auto"/>
              <w:ind w:left="0" w:right="0" w:firstLine="0"/>
              <w:jc w:val="both"/>
              <w:rPr>
                <w:rFonts w:hint="eastAsia" w:ascii="宋体" w:hAnsi="宋体" w:eastAsia="宋体" w:cs="宋体"/>
                <w:b/>
                <w:bCs/>
                <w:color w:val="auto"/>
                <w:sz w:val="18"/>
                <w:szCs w:val="18"/>
                <w:highlight w:val="none"/>
              </w:rPr>
            </w:pPr>
          </w:p>
        </w:tc>
        <w:tc>
          <w:tcPr>
            <w:tcW w:w="18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pacing w:val="0"/>
                <w:w w:val="100"/>
                <w:position w:val="0"/>
                <w:sz w:val="18"/>
                <w:szCs w:val="18"/>
                <w:highlight w:val="none"/>
                <w:shd w:val="clear" w:color="auto" w:fill="auto"/>
              </w:rPr>
              <w:t>货物招标</w:t>
            </w:r>
          </w:p>
        </w:tc>
        <w:tc>
          <w:tcPr>
            <w:tcW w:w="155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pacing w:val="0"/>
                <w:w w:val="100"/>
                <w:position w:val="0"/>
                <w:sz w:val="18"/>
                <w:szCs w:val="18"/>
                <w:highlight w:val="none"/>
                <w:shd w:val="clear" w:color="auto" w:fill="auto"/>
              </w:rPr>
              <w:t>服务招标</w:t>
            </w:r>
          </w:p>
        </w:tc>
        <w:tc>
          <w:tcPr>
            <w:tcW w:w="14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pacing w:val="0"/>
                <w:w w:val="100"/>
                <w:position w:val="0"/>
                <w:sz w:val="18"/>
                <w:szCs w:val="18"/>
                <w:highlight w:val="none"/>
                <w:shd w:val="clear" w:color="auto" w:fill="auto"/>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2680"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100万元以下</w:t>
            </w:r>
          </w:p>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（含100万元）</w:t>
            </w:r>
          </w:p>
        </w:tc>
        <w:tc>
          <w:tcPr>
            <w:tcW w:w="18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1.5%</w:t>
            </w:r>
          </w:p>
        </w:tc>
        <w:tc>
          <w:tcPr>
            <w:tcW w:w="155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1.5%</w:t>
            </w:r>
          </w:p>
        </w:tc>
        <w:tc>
          <w:tcPr>
            <w:tcW w:w="14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2680"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100万元</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-500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万元</w:t>
            </w:r>
          </w:p>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（含500万元）</w:t>
            </w:r>
          </w:p>
        </w:tc>
        <w:tc>
          <w:tcPr>
            <w:tcW w:w="18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1.1%</w:t>
            </w:r>
          </w:p>
        </w:tc>
        <w:tc>
          <w:tcPr>
            <w:tcW w:w="155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0.8%</w:t>
            </w:r>
          </w:p>
        </w:tc>
        <w:tc>
          <w:tcPr>
            <w:tcW w:w="14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2680"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500万元</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-1000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万元</w:t>
            </w:r>
          </w:p>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（含1000万元）</w:t>
            </w:r>
          </w:p>
        </w:tc>
        <w:tc>
          <w:tcPr>
            <w:tcW w:w="18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8%</w:t>
            </w:r>
          </w:p>
        </w:tc>
        <w:tc>
          <w:tcPr>
            <w:tcW w:w="155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45%</w:t>
            </w:r>
          </w:p>
        </w:tc>
        <w:tc>
          <w:tcPr>
            <w:tcW w:w="14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2680"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1000万元</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-5000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万元</w:t>
            </w:r>
          </w:p>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（含5000万元）</w:t>
            </w:r>
          </w:p>
        </w:tc>
        <w:tc>
          <w:tcPr>
            <w:tcW w:w="18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5%</w:t>
            </w:r>
          </w:p>
        </w:tc>
        <w:tc>
          <w:tcPr>
            <w:tcW w:w="155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25%</w:t>
            </w:r>
          </w:p>
        </w:tc>
        <w:tc>
          <w:tcPr>
            <w:tcW w:w="14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2680"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5000万元</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-1</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亿元</w:t>
            </w:r>
          </w:p>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（含1亿元）</w:t>
            </w:r>
          </w:p>
        </w:tc>
        <w:tc>
          <w:tcPr>
            <w:tcW w:w="18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25%</w:t>
            </w:r>
          </w:p>
        </w:tc>
        <w:tc>
          <w:tcPr>
            <w:tcW w:w="155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1%</w:t>
            </w:r>
          </w:p>
        </w:tc>
        <w:tc>
          <w:tcPr>
            <w:tcW w:w="14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2680"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1亿元</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-10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亿元</w:t>
            </w:r>
          </w:p>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（含10亿元）</w:t>
            </w:r>
          </w:p>
        </w:tc>
        <w:tc>
          <w:tcPr>
            <w:tcW w:w="18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05%</w:t>
            </w:r>
          </w:p>
        </w:tc>
        <w:tc>
          <w:tcPr>
            <w:tcW w:w="155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05%</w:t>
            </w:r>
          </w:p>
        </w:tc>
        <w:tc>
          <w:tcPr>
            <w:tcW w:w="14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lang w:val="en-US" w:eastAsia="en-US"/>
              </w:rPr>
              <w:t>0.</w:t>
            </w: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9" w:hRule="atLeast"/>
          <w:jc w:val="center"/>
        </w:trPr>
        <w:tc>
          <w:tcPr>
            <w:tcW w:w="2680"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10亿元以上</w:t>
            </w:r>
          </w:p>
        </w:tc>
        <w:tc>
          <w:tcPr>
            <w:tcW w:w="18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0.01%</w:t>
            </w:r>
          </w:p>
        </w:tc>
        <w:tc>
          <w:tcPr>
            <w:tcW w:w="155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0.01%</w:t>
            </w:r>
          </w:p>
        </w:tc>
        <w:tc>
          <w:tcPr>
            <w:tcW w:w="1494" w:type="dxa"/>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pPr>
            <w:r>
              <w:rPr>
                <w:rFonts w:hint="eastAsia" w:ascii="宋体" w:hAnsi="宋体" w:eastAsia="宋体" w:cs="宋体"/>
                <w:b w:val="0"/>
                <w:bCs w:val="0"/>
                <w:i w:val="0"/>
                <w:iCs w:val="0"/>
                <w:smallCaps w:val="0"/>
                <w:strike w:val="0"/>
                <w:color w:val="auto"/>
                <w:spacing w:val="0"/>
                <w:w w:val="100"/>
                <w:position w:val="0"/>
                <w:sz w:val="18"/>
                <w:szCs w:val="18"/>
                <w:highlight w:val="none"/>
                <w:shd w:val="clear" w:color="auto" w:fill="auto"/>
              </w:rPr>
              <w:t>0.01%</w:t>
            </w:r>
          </w:p>
        </w:tc>
      </w:tr>
    </w:tbl>
    <w:p>
      <w:pPr>
        <w:pStyle w:val="25"/>
        <w:keepNext w:val="0"/>
        <w:keepLines w:val="0"/>
        <w:widowControl w:val="0"/>
        <w:shd w:val="clear" w:color="auto" w:fill="auto"/>
        <w:bidi w:val="0"/>
        <w:spacing w:before="0" w:after="0" w:line="360" w:lineRule="auto"/>
        <w:ind w:left="0" w:right="0" w:firstLine="0"/>
        <w:jc w:val="left"/>
        <w:rPr>
          <w:rFonts w:hint="eastAsia" w:ascii="宋体" w:hAnsi="宋体" w:eastAsia="宋体" w:cs="宋体"/>
          <w:color w:val="auto"/>
          <w:sz w:val="21"/>
          <w:szCs w:val="21"/>
          <w:highlight w:val="none"/>
        </w:rPr>
      </w:pPr>
      <w:r>
        <w:rPr>
          <w:rFonts w:hint="eastAsia" w:ascii="黑体" w:hAnsi="黑体" w:eastAsia="黑体" w:cs="黑体"/>
          <w:color w:val="auto"/>
          <w:spacing w:val="0"/>
          <w:w w:val="100"/>
          <w:position w:val="0"/>
          <w:sz w:val="18"/>
          <w:szCs w:val="18"/>
          <w:highlight w:val="none"/>
          <w:shd w:val="clear" w:color="auto" w:fill="auto"/>
        </w:rPr>
        <w:t>注：</w:t>
      </w:r>
      <w:r>
        <w:rPr>
          <w:rFonts w:hint="eastAsia" w:ascii="黑体" w:hAnsi="黑体" w:eastAsia="黑体" w:cs="黑体"/>
          <w:b w:val="0"/>
          <w:bCs w:val="0"/>
          <w:color w:val="auto"/>
          <w:spacing w:val="0"/>
          <w:w w:val="100"/>
          <w:position w:val="0"/>
          <w:sz w:val="18"/>
          <w:szCs w:val="18"/>
          <w:highlight w:val="none"/>
          <w:shd w:val="clear" w:color="auto" w:fill="auto"/>
        </w:rPr>
        <w:t>1</w:t>
      </w:r>
      <w:r>
        <w:rPr>
          <w:rFonts w:hint="eastAsia" w:ascii="黑体" w:hAnsi="黑体" w:eastAsia="黑体" w:cs="黑体"/>
          <w:color w:val="auto"/>
          <w:spacing w:val="0"/>
          <w:w w:val="100"/>
          <w:position w:val="0"/>
          <w:sz w:val="18"/>
          <w:szCs w:val="18"/>
          <w:highlight w:val="none"/>
          <w:shd w:val="clear" w:color="auto" w:fill="auto"/>
        </w:rPr>
        <w:t>.</w:t>
      </w:r>
      <w:r>
        <w:rPr>
          <w:rFonts w:hint="eastAsia" w:ascii="宋体" w:hAnsi="宋体" w:eastAsia="宋体" w:cs="宋体"/>
          <w:color w:val="auto"/>
          <w:spacing w:val="0"/>
          <w:w w:val="100"/>
          <w:position w:val="0"/>
          <w:sz w:val="18"/>
          <w:szCs w:val="18"/>
          <w:highlight w:val="none"/>
          <w:shd w:val="clear" w:color="auto" w:fill="auto"/>
          <w:lang w:val="en-US" w:eastAsia="zh-CN"/>
        </w:rPr>
        <w:t xml:space="preserve"> </w:t>
      </w:r>
      <w:r>
        <w:rPr>
          <w:rFonts w:hint="eastAsia" w:ascii="宋体" w:hAnsi="宋体" w:eastAsia="宋体" w:cs="宋体"/>
          <w:color w:val="auto"/>
          <w:spacing w:val="0"/>
          <w:w w:val="100"/>
          <w:position w:val="0"/>
          <w:sz w:val="18"/>
          <w:szCs w:val="18"/>
          <w:highlight w:val="none"/>
          <w:shd w:val="clear" w:color="auto" w:fill="auto"/>
        </w:rPr>
        <w:t>收费以中标金额为基础，按差额定率累进法计算。</w:t>
      </w:r>
    </w:p>
    <w:p>
      <w:pPr>
        <w:pStyle w:val="23"/>
        <w:keepNext w:val="0"/>
        <w:keepLines w:val="0"/>
        <w:widowControl w:val="0"/>
        <w:numPr>
          <w:ilvl w:val="0"/>
          <w:numId w:val="2"/>
        </w:numPr>
        <w:shd w:val="clear" w:color="auto" w:fill="auto"/>
        <w:bidi w:val="0"/>
        <w:spacing w:before="0" w:after="0" w:line="360" w:lineRule="auto"/>
        <w:ind w:right="0" w:rightChars="0" w:firstLine="360" w:firstLineChars="200"/>
        <w:jc w:val="both"/>
        <w:rPr>
          <w:rFonts w:hint="eastAsia" w:ascii="宋体" w:hAnsi="宋体" w:eastAsia="宋体" w:cs="宋体"/>
          <w:color w:val="auto"/>
          <w:spacing w:val="0"/>
          <w:w w:val="100"/>
          <w:position w:val="0"/>
          <w:sz w:val="18"/>
          <w:szCs w:val="18"/>
          <w:highlight w:val="none"/>
          <w:shd w:val="clear" w:color="auto" w:fill="auto"/>
        </w:rPr>
      </w:pPr>
      <w:r>
        <w:rPr>
          <w:rFonts w:hint="eastAsia" w:ascii="宋体" w:hAnsi="宋体" w:eastAsia="宋体" w:cs="宋体"/>
          <w:color w:val="auto"/>
          <w:spacing w:val="0"/>
          <w:w w:val="100"/>
          <w:position w:val="0"/>
          <w:sz w:val="18"/>
          <w:szCs w:val="18"/>
          <w:highlight w:val="none"/>
          <w:shd w:val="clear" w:color="auto" w:fill="auto"/>
        </w:rPr>
        <w:t>按本表费率计算的收费为招标代理服务全过程的收费基准价格，单独提供编制招标文件（有标底的含标底）服务的，可按标准的</w:t>
      </w:r>
      <w:r>
        <w:rPr>
          <w:rFonts w:hint="eastAsia" w:ascii="宋体" w:hAnsi="宋体" w:eastAsia="宋体" w:cs="宋体"/>
          <w:b w:val="0"/>
          <w:bCs w:val="0"/>
          <w:color w:val="auto"/>
          <w:spacing w:val="0"/>
          <w:w w:val="100"/>
          <w:position w:val="0"/>
          <w:sz w:val="18"/>
          <w:szCs w:val="18"/>
          <w:highlight w:val="none"/>
          <w:shd w:val="clear" w:color="auto" w:fill="auto"/>
        </w:rPr>
        <w:t>30</w:t>
      </w:r>
      <w:r>
        <w:rPr>
          <w:rFonts w:hint="eastAsia" w:ascii="宋体" w:hAnsi="宋体" w:eastAsia="宋体" w:cs="宋体"/>
          <w:color w:val="auto"/>
          <w:spacing w:val="0"/>
          <w:w w:val="100"/>
          <w:position w:val="0"/>
          <w:sz w:val="18"/>
          <w:szCs w:val="18"/>
          <w:highlight w:val="none"/>
          <w:shd w:val="clear" w:color="auto" w:fill="auto"/>
        </w:rPr>
        <w:t>%计收。</w:t>
      </w:r>
    </w:p>
    <w:p>
      <w:pPr>
        <w:pStyle w:val="23"/>
        <w:keepNext w:val="0"/>
        <w:keepLines w:val="0"/>
        <w:widowControl w:val="0"/>
        <w:shd w:val="clear" w:color="auto" w:fill="auto"/>
        <w:tabs>
          <w:tab w:val="left" w:pos="1109"/>
        </w:tabs>
        <w:bidi w:val="0"/>
        <w:spacing w:before="0" w:after="0" w:line="360" w:lineRule="auto"/>
        <w:ind w:left="0" w:leftChars="0" w:right="0" w:firstLine="0" w:firstLineChars="0"/>
        <w:jc w:val="left"/>
        <w:rPr>
          <w:rFonts w:hint="eastAsia" w:ascii="宋体" w:hAnsi="宋体" w:eastAsia="宋体" w:cs="宋体"/>
          <w:bCs/>
          <w:color w:val="auto"/>
          <w:kern w:val="2"/>
          <w:sz w:val="24"/>
          <w:szCs w:val="24"/>
          <w:highlight w:val="none"/>
          <w:u w:val="none"/>
          <w:lang w:val="en-US" w:eastAsia="zh-CN" w:bidi="ar-SA"/>
        </w:rPr>
      </w:pPr>
      <w:r>
        <w:rPr>
          <w:rFonts w:hint="eastAsia" w:ascii="宋体" w:hAnsi="宋体" w:eastAsia="宋体" w:cs="宋体"/>
          <w:b w:val="0"/>
          <w:bCs/>
          <w:color w:val="auto"/>
          <w:kern w:val="2"/>
          <w:sz w:val="24"/>
          <w:szCs w:val="24"/>
          <w:highlight w:val="none"/>
          <w:u w:val="none"/>
          <w:lang w:val="en-US" w:eastAsia="zh-CN" w:bidi="ar-SA"/>
        </w:rPr>
        <w:t>第三条</w:t>
      </w:r>
      <w:r>
        <w:rPr>
          <w:rFonts w:hint="eastAsia" w:ascii="宋体" w:hAnsi="宋体" w:eastAsia="宋体" w:cs="宋体"/>
          <w:bCs/>
          <w:color w:val="auto"/>
          <w:kern w:val="2"/>
          <w:sz w:val="24"/>
          <w:szCs w:val="24"/>
          <w:highlight w:val="none"/>
          <w:u w:val="none"/>
          <w:lang w:val="en-US" w:eastAsia="zh-CN" w:bidi="ar-SA"/>
        </w:rPr>
        <w:t xml:space="preserve">  </w:t>
      </w:r>
      <w:r>
        <w:rPr>
          <w:rFonts w:hint="eastAsia" w:cs="宋体"/>
          <w:bCs/>
          <w:color w:val="auto"/>
          <w:kern w:val="2"/>
          <w:sz w:val="24"/>
          <w:szCs w:val="24"/>
          <w:highlight w:val="none"/>
          <w:u w:val="none"/>
          <w:lang w:val="en-US" w:eastAsia="zh-CN" w:bidi="ar-SA"/>
        </w:rPr>
        <w:t>招标项目招标金额较小，</w:t>
      </w:r>
      <w:r>
        <w:rPr>
          <w:rFonts w:hint="eastAsia" w:ascii="宋体" w:hAnsi="宋体" w:eastAsia="宋体" w:cs="宋体"/>
          <w:bCs/>
          <w:color w:val="auto"/>
          <w:kern w:val="2"/>
          <w:sz w:val="24"/>
          <w:szCs w:val="24"/>
          <w:highlight w:val="none"/>
          <w:u w:val="none"/>
          <w:lang w:val="en-US" w:eastAsia="zh-CN" w:bidi="ar-SA"/>
        </w:rPr>
        <w:t>招标代理服务费</w:t>
      </w:r>
      <w:r>
        <w:rPr>
          <w:rFonts w:hint="eastAsia" w:cs="宋体"/>
          <w:bCs/>
          <w:color w:val="auto"/>
          <w:kern w:val="2"/>
          <w:sz w:val="24"/>
          <w:szCs w:val="24"/>
          <w:highlight w:val="none"/>
          <w:u w:val="none"/>
          <w:lang w:val="en-US" w:eastAsia="zh-CN" w:bidi="ar-SA"/>
        </w:rPr>
        <w:t>收费不足</w:t>
      </w:r>
      <w:r>
        <w:rPr>
          <w:rFonts w:hint="eastAsia" w:ascii="宋体" w:hAnsi="宋体" w:eastAsia="宋体" w:cs="宋体"/>
          <w:b w:val="0"/>
          <w:bCs w:val="0"/>
          <w:color w:val="auto"/>
          <w:kern w:val="2"/>
          <w:sz w:val="24"/>
          <w:szCs w:val="24"/>
          <w:highlight w:val="none"/>
          <w:u w:val="none"/>
          <w:lang w:val="en-US" w:eastAsia="en-US" w:bidi="ar-SA"/>
        </w:rPr>
        <w:t>5000</w:t>
      </w:r>
      <w:r>
        <w:rPr>
          <w:rFonts w:hint="eastAsia" w:ascii="宋体" w:hAnsi="宋体" w:eastAsia="宋体" w:cs="宋体"/>
          <w:bCs/>
          <w:color w:val="auto"/>
          <w:kern w:val="2"/>
          <w:sz w:val="24"/>
          <w:szCs w:val="24"/>
          <w:highlight w:val="none"/>
          <w:u w:val="none"/>
          <w:lang w:val="en-US" w:eastAsia="zh-CN" w:bidi="ar-SA"/>
        </w:rPr>
        <w:t>元</w:t>
      </w:r>
      <w:r>
        <w:rPr>
          <w:rFonts w:hint="eastAsia" w:cs="宋体"/>
          <w:bCs/>
          <w:color w:val="auto"/>
          <w:kern w:val="2"/>
          <w:sz w:val="24"/>
          <w:szCs w:val="24"/>
          <w:highlight w:val="none"/>
          <w:u w:val="none"/>
          <w:lang w:val="en-US" w:eastAsia="zh-CN" w:bidi="ar-SA"/>
        </w:rPr>
        <w:t>的，可按照5000元</w:t>
      </w:r>
      <w:r>
        <w:rPr>
          <w:rFonts w:hint="eastAsia" w:ascii="宋体" w:hAnsi="宋体" w:eastAsia="宋体" w:cs="宋体"/>
          <w:bCs/>
          <w:color w:val="auto"/>
          <w:kern w:val="2"/>
          <w:sz w:val="24"/>
          <w:szCs w:val="24"/>
          <w:highlight w:val="none"/>
          <w:u w:val="none"/>
          <w:lang w:val="en-US" w:eastAsia="zh-CN" w:bidi="ar-SA"/>
        </w:rPr>
        <w:t>/个计算。特殊</w:t>
      </w:r>
      <w:r>
        <w:rPr>
          <w:rFonts w:hint="eastAsia" w:cs="宋体"/>
          <w:bCs/>
          <w:color w:val="auto"/>
          <w:kern w:val="2"/>
          <w:sz w:val="24"/>
          <w:szCs w:val="24"/>
          <w:highlight w:val="none"/>
          <w:u w:val="none"/>
          <w:lang w:val="en-US" w:eastAsia="zh-CN" w:bidi="ar-SA"/>
        </w:rPr>
        <w:t>招标</w:t>
      </w:r>
      <w:r>
        <w:rPr>
          <w:rFonts w:hint="eastAsia" w:ascii="宋体" w:hAnsi="宋体" w:eastAsia="宋体" w:cs="宋体"/>
          <w:bCs/>
          <w:color w:val="auto"/>
          <w:kern w:val="2"/>
          <w:sz w:val="24"/>
          <w:szCs w:val="24"/>
          <w:highlight w:val="none"/>
          <w:u w:val="none"/>
          <w:lang w:val="en-US" w:eastAsia="zh-CN" w:bidi="ar-SA"/>
        </w:rPr>
        <w:t>项目由</w:t>
      </w:r>
      <w:r>
        <w:rPr>
          <w:rFonts w:hint="eastAsia" w:cs="宋体"/>
          <w:bCs/>
          <w:color w:val="auto"/>
          <w:kern w:val="2"/>
          <w:sz w:val="24"/>
          <w:szCs w:val="24"/>
          <w:highlight w:val="none"/>
          <w:u w:val="none"/>
          <w:lang w:val="en-US" w:eastAsia="zh-CN" w:bidi="ar-SA"/>
        </w:rPr>
        <w:t>招标人</w:t>
      </w:r>
      <w:r>
        <w:rPr>
          <w:rFonts w:hint="eastAsia" w:ascii="宋体" w:hAnsi="宋体" w:eastAsia="宋体" w:cs="宋体"/>
          <w:bCs/>
          <w:color w:val="auto"/>
          <w:kern w:val="2"/>
          <w:sz w:val="24"/>
          <w:szCs w:val="24"/>
          <w:highlight w:val="none"/>
          <w:u w:val="none"/>
          <w:lang w:val="en-US" w:eastAsia="zh-CN" w:bidi="ar-SA"/>
        </w:rPr>
        <w:t>和</w:t>
      </w:r>
      <w:r>
        <w:rPr>
          <w:rFonts w:hint="eastAsia" w:cs="宋体"/>
          <w:bCs/>
          <w:color w:val="auto"/>
          <w:kern w:val="2"/>
          <w:sz w:val="24"/>
          <w:szCs w:val="24"/>
          <w:highlight w:val="none"/>
          <w:u w:val="none"/>
          <w:lang w:val="en-US" w:eastAsia="zh-CN" w:bidi="ar-SA"/>
        </w:rPr>
        <w:t>招标</w:t>
      </w:r>
      <w:r>
        <w:rPr>
          <w:rFonts w:hint="eastAsia" w:ascii="宋体" w:hAnsi="宋体" w:eastAsia="宋体" w:cs="宋体"/>
          <w:bCs/>
          <w:color w:val="auto"/>
          <w:kern w:val="2"/>
          <w:sz w:val="24"/>
          <w:szCs w:val="24"/>
          <w:highlight w:val="none"/>
          <w:u w:val="none"/>
          <w:lang w:val="en-US" w:eastAsia="zh-CN" w:bidi="ar-SA"/>
        </w:rPr>
        <w:t>代理机构协商确定。</w:t>
      </w:r>
    </w:p>
    <w:p>
      <w:pPr>
        <w:pStyle w:val="23"/>
        <w:keepNext w:val="0"/>
        <w:keepLines w:val="0"/>
        <w:widowControl w:val="0"/>
        <w:shd w:val="clear" w:color="auto" w:fill="auto"/>
        <w:tabs>
          <w:tab w:val="left" w:pos="1109"/>
        </w:tabs>
        <w:bidi w:val="0"/>
        <w:spacing w:before="0" w:after="0" w:line="360" w:lineRule="auto"/>
        <w:ind w:left="0" w:leftChars="0" w:right="0" w:firstLine="0" w:firstLineChars="0"/>
        <w:jc w:val="left"/>
        <w:rPr>
          <w:rFonts w:hint="eastAsia" w:ascii="宋体" w:hAnsi="宋体" w:eastAsia="宋体" w:cs="宋体"/>
          <w:bCs/>
          <w:color w:val="auto"/>
          <w:kern w:val="2"/>
          <w:sz w:val="24"/>
          <w:szCs w:val="24"/>
          <w:highlight w:val="none"/>
          <w:u w:val="none"/>
          <w:lang w:val="en-US" w:eastAsia="zh-CN" w:bidi="ar-SA"/>
        </w:rPr>
      </w:pPr>
      <w:r>
        <w:rPr>
          <w:rFonts w:hint="eastAsia" w:ascii="宋体" w:hAnsi="宋体" w:eastAsia="宋体" w:cs="宋体"/>
          <w:b w:val="0"/>
          <w:bCs/>
          <w:color w:val="auto"/>
          <w:kern w:val="2"/>
          <w:sz w:val="24"/>
          <w:szCs w:val="24"/>
          <w:highlight w:val="none"/>
          <w:u w:val="none"/>
          <w:lang w:val="en-US" w:eastAsia="zh-CN" w:bidi="ar-SA"/>
        </w:rPr>
        <w:t>第四条</w:t>
      </w:r>
      <w:r>
        <w:rPr>
          <w:rFonts w:hint="eastAsia" w:ascii="宋体" w:hAnsi="宋体" w:eastAsia="宋体" w:cs="宋体"/>
          <w:bCs/>
          <w:color w:val="auto"/>
          <w:kern w:val="2"/>
          <w:sz w:val="24"/>
          <w:szCs w:val="24"/>
          <w:highlight w:val="none"/>
          <w:u w:val="none"/>
          <w:lang w:val="en-US" w:eastAsia="zh-CN" w:bidi="ar-SA"/>
        </w:rPr>
        <w:t xml:space="preserve">  在招标</w:t>
      </w:r>
      <w:r>
        <w:rPr>
          <w:rFonts w:hint="eastAsia" w:cs="宋体"/>
          <w:bCs/>
          <w:color w:val="auto"/>
          <w:kern w:val="2"/>
          <w:sz w:val="24"/>
          <w:szCs w:val="24"/>
          <w:highlight w:val="none"/>
          <w:u w:val="none"/>
          <w:lang w:val="en-US" w:eastAsia="zh-CN" w:bidi="ar-SA"/>
        </w:rPr>
        <w:t>代理</w:t>
      </w:r>
      <w:r>
        <w:rPr>
          <w:rFonts w:hint="eastAsia" w:ascii="宋体" w:hAnsi="宋体" w:eastAsia="宋体" w:cs="宋体"/>
          <w:bCs/>
          <w:color w:val="auto"/>
          <w:kern w:val="2"/>
          <w:sz w:val="24"/>
          <w:szCs w:val="24"/>
          <w:highlight w:val="none"/>
          <w:u w:val="none"/>
          <w:lang w:val="en-US" w:eastAsia="zh-CN" w:bidi="ar-SA"/>
        </w:rPr>
        <w:t>合同约定工作范围之外的附加工作费用，由</w:t>
      </w:r>
      <w:r>
        <w:rPr>
          <w:rFonts w:hint="eastAsia" w:cs="宋体"/>
          <w:bCs/>
          <w:color w:val="auto"/>
          <w:kern w:val="2"/>
          <w:sz w:val="24"/>
          <w:szCs w:val="24"/>
          <w:highlight w:val="none"/>
          <w:u w:val="none"/>
          <w:lang w:val="en-US" w:eastAsia="zh-CN" w:bidi="ar-SA"/>
        </w:rPr>
        <w:t>招标人</w:t>
      </w:r>
      <w:r>
        <w:rPr>
          <w:rFonts w:hint="eastAsia" w:ascii="宋体" w:hAnsi="宋体" w:eastAsia="宋体" w:cs="宋体"/>
          <w:bCs/>
          <w:color w:val="auto"/>
          <w:kern w:val="2"/>
          <w:sz w:val="24"/>
          <w:szCs w:val="24"/>
          <w:highlight w:val="none"/>
          <w:u w:val="none"/>
          <w:lang w:val="en-US" w:eastAsia="zh-CN" w:bidi="ar-SA"/>
        </w:rPr>
        <w:t>、</w:t>
      </w:r>
      <w:r>
        <w:rPr>
          <w:rFonts w:hint="eastAsia" w:cs="宋体"/>
          <w:bCs/>
          <w:color w:val="auto"/>
          <w:kern w:val="2"/>
          <w:sz w:val="24"/>
          <w:szCs w:val="24"/>
          <w:highlight w:val="none"/>
          <w:u w:val="none"/>
          <w:lang w:val="en-US" w:eastAsia="zh-CN" w:bidi="ar-SA"/>
        </w:rPr>
        <w:t>招标</w:t>
      </w:r>
      <w:r>
        <w:rPr>
          <w:rFonts w:hint="eastAsia" w:ascii="宋体" w:hAnsi="宋体" w:eastAsia="宋体" w:cs="宋体"/>
          <w:bCs/>
          <w:color w:val="auto"/>
          <w:kern w:val="2"/>
          <w:sz w:val="24"/>
          <w:szCs w:val="24"/>
          <w:highlight w:val="none"/>
          <w:u w:val="none"/>
          <w:lang w:val="en-US" w:eastAsia="zh-CN" w:bidi="ar-SA"/>
        </w:rPr>
        <w:t>代理机构另行协商约定，但不应转嫁投标人承担。</w:t>
      </w:r>
    </w:p>
    <w:p>
      <w:pPr>
        <w:pStyle w:val="23"/>
        <w:keepNext w:val="0"/>
        <w:keepLines w:val="0"/>
        <w:widowControl w:val="0"/>
        <w:shd w:val="clear" w:color="auto" w:fill="auto"/>
        <w:tabs>
          <w:tab w:val="left" w:pos="1109"/>
        </w:tabs>
        <w:bidi w:val="0"/>
        <w:spacing w:before="0" w:after="0" w:line="360" w:lineRule="auto"/>
        <w:ind w:left="0" w:leftChars="0" w:right="0" w:firstLine="0" w:firstLineChars="0"/>
        <w:jc w:val="left"/>
        <w:rPr>
          <w:rFonts w:hint="eastAsia" w:ascii="宋体" w:hAnsi="宋体" w:eastAsia="宋体" w:cs="宋体"/>
          <w:bCs/>
          <w:color w:val="auto"/>
          <w:kern w:val="2"/>
          <w:sz w:val="24"/>
          <w:szCs w:val="24"/>
          <w:highlight w:val="none"/>
          <w:u w:val="none"/>
          <w:lang w:val="en-US" w:eastAsia="zh-CN" w:bidi="ar-SA"/>
        </w:rPr>
      </w:pPr>
      <w:r>
        <w:rPr>
          <w:rFonts w:hint="eastAsia" w:ascii="宋体" w:hAnsi="宋体" w:eastAsia="宋体" w:cs="宋体"/>
          <w:b w:val="0"/>
          <w:bCs/>
          <w:color w:val="auto"/>
          <w:kern w:val="2"/>
          <w:sz w:val="24"/>
          <w:szCs w:val="24"/>
          <w:highlight w:val="none"/>
          <w:u w:val="none"/>
          <w:lang w:val="en-US" w:eastAsia="zh-CN" w:bidi="ar-SA"/>
        </w:rPr>
        <w:t>第五条</w:t>
      </w:r>
      <w:r>
        <w:rPr>
          <w:rFonts w:hint="eastAsia" w:ascii="宋体" w:hAnsi="宋体" w:eastAsia="宋体" w:cs="宋体"/>
          <w:bCs/>
          <w:color w:val="auto"/>
          <w:kern w:val="2"/>
          <w:sz w:val="24"/>
          <w:szCs w:val="24"/>
          <w:highlight w:val="none"/>
          <w:u w:val="none"/>
          <w:lang w:val="en-US" w:eastAsia="zh-CN" w:bidi="ar-SA"/>
        </w:rPr>
        <w:t xml:space="preserve">  </w:t>
      </w:r>
      <w:r>
        <w:rPr>
          <w:rFonts w:hint="eastAsia" w:cs="宋体"/>
          <w:bCs/>
          <w:color w:val="auto"/>
          <w:kern w:val="2"/>
          <w:sz w:val="24"/>
          <w:szCs w:val="24"/>
          <w:highlight w:val="none"/>
          <w:u w:val="none"/>
          <w:lang w:val="en-US" w:eastAsia="zh-CN" w:bidi="ar-SA"/>
        </w:rPr>
        <w:t>招标</w:t>
      </w:r>
      <w:r>
        <w:rPr>
          <w:rFonts w:hint="eastAsia" w:ascii="宋体" w:hAnsi="宋体" w:eastAsia="宋体" w:cs="宋体"/>
          <w:bCs/>
          <w:color w:val="auto"/>
          <w:kern w:val="2"/>
          <w:sz w:val="24"/>
          <w:szCs w:val="24"/>
          <w:highlight w:val="none"/>
          <w:u w:val="none"/>
          <w:lang w:val="en-US" w:eastAsia="zh-CN" w:bidi="ar-SA"/>
        </w:rPr>
        <w:t>代理机构代付专家评审费的，应有专家评审费领取记录，但不得泄露应当保密的信息。</w:t>
      </w:r>
    </w:p>
    <w:p>
      <w:pPr>
        <w:keepNext w:val="0"/>
        <w:keepLines w:val="0"/>
        <w:pageBreakBefore w:val="0"/>
        <w:widowControl w:val="0"/>
        <w:kinsoku/>
        <w:wordWrap/>
        <w:overflowPunct/>
        <w:topLinePunct w:val="0"/>
        <w:autoSpaceDE w:val="0"/>
        <w:autoSpaceDN w:val="0"/>
        <w:bidi w:val="0"/>
        <w:adjustRightInd/>
        <w:snapToGrid/>
        <w:spacing w:before="0" w:beforeLines="100" w:beforeAutospacing="0" w:afterAutospacing="0" w:line="360" w:lineRule="auto"/>
        <w:ind w:left="0" w:leftChars="0" w:right="0" w:firstLineChars="0"/>
        <w:jc w:val="both"/>
        <w:textAlignment w:val="baseline"/>
        <w:outlineLvl w:val="9"/>
        <w:rPr>
          <w:rStyle w:val="18"/>
          <w:rFonts w:hint="eastAsia" w:ascii="宋体" w:hAnsi="宋体" w:eastAsia="宋体" w:cs="宋体"/>
          <w:b/>
          <w:bCs/>
          <w:i w:val="0"/>
          <w:caps w:val="0"/>
          <w:color w:val="auto"/>
          <w:spacing w:val="0"/>
          <w:w w:val="100"/>
          <w:kern w:val="2"/>
          <w:sz w:val="21"/>
          <w:szCs w:val="21"/>
          <w:highlight w:val="none"/>
          <w:lang w:val="en-US" w:eastAsia="zh-CN" w:bidi="ar-SA"/>
        </w:rPr>
        <w:sectPr>
          <w:pgSz w:w="11906" w:h="16838"/>
          <w:pgMar w:top="1440" w:right="1800" w:bottom="1440" w:left="1800" w:header="850" w:footer="850" w:gutter="0"/>
          <w:pgNumType w:fmt="decimal"/>
          <w:cols w:space="0" w:num="1"/>
          <w:docGrid w:type="lines" w:linePitch="317" w:charSpace="0"/>
        </w:sectPr>
      </w:pPr>
    </w:p>
    <w:p>
      <w:pPr>
        <w:spacing w:line="360" w:lineRule="auto"/>
        <w:jc w:val="center"/>
        <w:outlineLvl w:val="0"/>
        <w:rPr>
          <w:rFonts w:hint="default" w:ascii="Times New Roman" w:hAnsi="Times New Roman" w:eastAsia="宋体" w:cs="Times New Roman"/>
          <w:b/>
          <w:sz w:val="36"/>
          <w:szCs w:val="36"/>
          <w:lang w:val="en-US" w:eastAsia="zh-CN"/>
        </w:rPr>
      </w:pPr>
      <w:bookmarkStart w:id="139" w:name="_Toc3872_WPSOffice_Level1"/>
      <w:bookmarkStart w:id="140" w:name="_Toc25829"/>
      <w:bookmarkStart w:id="141" w:name="_Toc7345"/>
      <w:bookmarkStart w:id="142" w:name="_Toc31642"/>
      <w:bookmarkStart w:id="143" w:name="_Toc6353"/>
      <w:r>
        <w:rPr>
          <w:rFonts w:hint="eastAsia" w:ascii="Times New Roman" w:hAnsi="Times New Roman" w:eastAsia="宋体" w:cs="Times New Roman"/>
          <w:b/>
          <w:sz w:val="36"/>
          <w:szCs w:val="36"/>
          <w:lang w:val="en-US" w:eastAsia="zh-CN"/>
        </w:rPr>
        <w:t>本规程用词说明</w:t>
      </w:r>
      <w:bookmarkEnd w:id="139"/>
    </w:p>
    <w:p>
      <w:pPr>
        <w:spacing w:line="360" w:lineRule="auto"/>
        <w:ind w:firstLine="477" w:firstLineChars="199"/>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  为了便于在执行本规范条文时区别对待，对要求严格程度不同的用词说明如下：</w:t>
      </w:r>
    </w:p>
    <w:p>
      <w:pPr>
        <w:numPr>
          <w:ilvl w:val="0"/>
          <w:numId w:val="3"/>
        </w:numPr>
        <w:spacing w:line="360" w:lineRule="auto"/>
        <w:jc w:val="left"/>
        <w:rPr>
          <w:rFonts w:hint="eastAsia" w:ascii="宋体" w:hAnsi="宋体"/>
          <w:sz w:val="24"/>
          <w:szCs w:val="24"/>
          <w:lang w:val="en-US" w:eastAsia="zh-CN"/>
        </w:rPr>
      </w:pPr>
      <w:bookmarkStart w:id="144" w:name="_Toc30709_WPSOffice_Level1"/>
      <w:r>
        <w:rPr>
          <w:rFonts w:hint="eastAsia" w:ascii="宋体" w:hAnsi="宋体"/>
          <w:sz w:val="24"/>
          <w:szCs w:val="24"/>
          <w:lang w:val="en-US" w:eastAsia="zh-CN"/>
        </w:rPr>
        <w:t>表示很严格，非这样做不可的用词：</w:t>
      </w:r>
      <w:bookmarkEnd w:id="14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lang w:val="en-US" w:eastAsia="zh-CN"/>
        </w:rPr>
      </w:pPr>
      <w:r>
        <w:rPr>
          <w:rFonts w:hint="eastAsia" w:ascii="宋体" w:hAnsi="宋体"/>
          <w:sz w:val="24"/>
          <w:szCs w:val="24"/>
          <w:lang w:val="en-US" w:eastAsia="zh-CN"/>
        </w:rPr>
        <w:t>　　正面词采用“必须”；反面词采用“严禁”。</w:t>
      </w:r>
    </w:p>
    <w:p>
      <w:pPr>
        <w:numPr>
          <w:ilvl w:val="0"/>
          <w:numId w:val="3"/>
        </w:numPr>
        <w:spacing w:line="360" w:lineRule="auto"/>
        <w:jc w:val="left"/>
        <w:rPr>
          <w:rFonts w:hint="eastAsia" w:ascii="宋体" w:hAnsi="宋体"/>
          <w:sz w:val="24"/>
          <w:szCs w:val="24"/>
          <w:lang w:val="en-US" w:eastAsia="zh-CN"/>
        </w:rPr>
      </w:pPr>
      <w:bookmarkStart w:id="145" w:name="_Toc31287_WPSOffice_Level1"/>
      <w:r>
        <w:rPr>
          <w:rFonts w:hint="eastAsia" w:ascii="宋体" w:hAnsi="宋体"/>
          <w:sz w:val="24"/>
          <w:szCs w:val="24"/>
          <w:lang w:val="en-US" w:eastAsia="zh-CN"/>
        </w:rPr>
        <w:t>表示严格，在正常情况下均应这样做的用词：</w:t>
      </w:r>
      <w:bookmarkEnd w:id="14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　　正面词采用“应”；反面词采用“不应”或“不得”。</w:t>
      </w:r>
    </w:p>
    <w:p>
      <w:pPr>
        <w:numPr>
          <w:ilvl w:val="0"/>
          <w:numId w:val="3"/>
        </w:numPr>
        <w:spacing w:line="360" w:lineRule="auto"/>
        <w:jc w:val="left"/>
        <w:rPr>
          <w:rFonts w:hint="eastAsia" w:ascii="宋体" w:hAnsi="宋体"/>
          <w:sz w:val="24"/>
          <w:szCs w:val="24"/>
          <w:lang w:val="en-US" w:eastAsia="zh-CN"/>
        </w:rPr>
      </w:pPr>
      <w:bookmarkStart w:id="146" w:name="_Toc6949_WPSOffice_Level1"/>
      <w:r>
        <w:rPr>
          <w:rFonts w:hint="eastAsia" w:ascii="宋体" w:hAnsi="宋体"/>
          <w:sz w:val="24"/>
          <w:szCs w:val="24"/>
          <w:lang w:val="en-US" w:eastAsia="zh-CN"/>
        </w:rPr>
        <w:t>表示允许稍有选择，在条件许可时首先应这样做的用词：</w:t>
      </w:r>
      <w:bookmarkEnd w:id="14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　　正面词采用“宜”；反面词采用“不宜”；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　　表示有选择，在一定条件下可以这样做的用词，采用“可”。</w:t>
      </w:r>
    </w:p>
    <w:p>
      <w:pPr>
        <w:spacing w:line="360" w:lineRule="auto"/>
        <w:ind w:firstLine="477" w:firstLineChars="199"/>
        <w:jc w:val="left"/>
        <w:rPr>
          <w:rFonts w:hint="eastAsia" w:ascii="宋体" w:hAnsi="宋体" w:eastAsia="宋体" w:cs="Times New Roman"/>
          <w:sz w:val="24"/>
          <w:szCs w:val="24"/>
          <w:lang w:val="en-US" w:eastAsia="zh-CN"/>
        </w:rPr>
        <w:sectPr>
          <w:pgSz w:w="11906" w:h="16838"/>
          <w:pgMar w:top="1440" w:right="1800" w:bottom="1440" w:left="1800" w:header="850" w:footer="850" w:gutter="0"/>
          <w:pgNumType w:fmt="decimal"/>
          <w:cols w:space="0" w:num="1"/>
          <w:docGrid w:type="lines" w:linePitch="317" w:charSpace="0"/>
        </w:sectPr>
      </w:pPr>
      <w:r>
        <w:rPr>
          <w:rFonts w:hint="eastAsia" w:ascii="宋体" w:hAnsi="宋体" w:eastAsia="宋体" w:cs="Times New Roman"/>
          <w:sz w:val="24"/>
          <w:szCs w:val="24"/>
          <w:lang w:val="en-US" w:eastAsia="zh-CN"/>
        </w:rPr>
        <w:t>2  条文中指定应按其他有关标准、规范执行的写法为“应符合……的规定”或“应按……执行”。</w:t>
      </w:r>
    </w:p>
    <w:p>
      <w:pPr>
        <w:spacing w:line="360" w:lineRule="auto"/>
        <w:jc w:val="center"/>
        <w:outlineLvl w:val="0"/>
        <w:rPr>
          <w:rFonts w:hint="eastAsia" w:ascii="Times New Roman" w:hAnsi="Times New Roman" w:eastAsia="宋体" w:cs="Times New Roman"/>
          <w:b/>
          <w:sz w:val="36"/>
          <w:szCs w:val="36"/>
          <w:lang w:val="en-US" w:eastAsia="zh-CN"/>
        </w:rPr>
      </w:pPr>
      <w:bookmarkStart w:id="147" w:name="_Toc26479_WPSOffice_Level1"/>
      <w:bookmarkStart w:id="148" w:name="_Toc5745"/>
      <w:bookmarkStart w:id="149" w:name="_Toc114512231"/>
      <w:bookmarkStart w:id="150" w:name="_Toc20046"/>
      <w:bookmarkStart w:id="151" w:name="_Toc30672"/>
      <w:bookmarkStart w:id="152" w:name="_Toc13185"/>
      <w:bookmarkStart w:id="153" w:name="_Toc13831"/>
      <w:bookmarkStart w:id="154" w:name="_Toc8893"/>
      <w:r>
        <w:rPr>
          <w:rFonts w:hint="eastAsia" w:ascii="Times New Roman" w:hAnsi="Times New Roman" w:eastAsia="宋体" w:cs="Times New Roman"/>
          <w:b/>
          <w:sz w:val="36"/>
          <w:szCs w:val="36"/>
          <w:lang w:val="en-US" w:eastAsia="zh-CN"/>
        </w:rPr>
        <w:t>引用标准名录</w:t>
      </w:r>
      <w:bookmarkEnd w:id="147"/>
      <w:bookmarkEnd w:id="148"/>
      <w:bookmarkEnd w:id="149"/>
      <w:bookmarkEnd w:id="150"/>
      <w:bookmarkEnd w:id="151"/>
      <w:bookmarkEnd w:id="152"/>
      <w:bookmarkEnd w:id="153"/>
      <w:bookmarkEnd w:id="154"/>
    </w:p>
    <w:p>
      <w:pPr>
        <w:pStyle w:val="27"/>
        <w:spacing w:line="360" w:lineRule="auto"/>
        <w:ind w:firstLine="0" w:firstLineChars="0"/>
        <w:jc w:val="left"/>
        <w:rPr>
          <w:rFonts w:ascii="Times New Roman" w:hAnsi="Times New Roman"/>
          <w:sz w:val="24"/>
          <w:szCs w:val="24"/>
        </w:rPr>
      </w:pPr>
      <w:r>
        <w:rPr>
          <w:rFonts w:hint="eastAsia" w:ascii="Times New Roman" w:hAnsi="Times New Roman"/>
          <w:b/>
          <w:sz w:val="24"/>
          <w:szCs w:val="24"/>
          <w:lang w:val="en-US" w:eastAsia="zh-CN"/>
        </w:rPr>
        <w:t>1</w:t>
      </w:r>
      <w:r>
        <w:rPr>
          <w:rFonts w:ascii="Times New Roman" w:hAnsi="Times New Roman"/>
          <w:b/>
          <w:sz w:val="24"/>
          <w:szCs w:val="24"/>
        </w:rPr>
        <w:t>.</w:t>
      </w:r>
      <w:r>
        <w:rPr>
          <w:rFonts w:hint="eastAsia" w:ascii="Times New Roman" w:hAnsi="Times New Roman"/>
          <w:sz w:val="24"/>
          <w:szCs w:val="24"/>
        </w:rPr>
        <w:t>《招标代理服务规范》GB/T 38357-2019</w:t>
      </w:r>
    </w:p>
    <w:p>
      <w:pPr>
        <w:pStyle w:val="27"/>
        <w:spacing w:line="360" w:lineRule="auto"/>
        <w:ind w:firstLine="0" w:firstLineChars="0"/>
        <w:jc w:val="left"/>
        <w:rPr>
          <w:rFonts w:ascii="Times New Roman" w:hAnsi="Times New Roman"/>
          <w:sz w:val="24"/>
          <w:szCs w:val="24"/>
        </w:rPr>
      </w:pPr>
      <w:r>
        <w:rPr>
          <w:rFonts w:hint="eastAsia" w:ascii="Times New Roman" w:hAnsi="Times New Roman"/>
          <w:b/>
          <w:sz w:val="24"/>
          <w:szCs w:val="24"/>
          <w:lang w:val="en-US" w:eastAsia="zh-CN"/>
        </w:rPr>
        <w:t>2</w:t>
      </w:r>
      <w:r>
        <w:rPr>
          <w:rFonts w:ascii="Times New Roman" w:hAnsi="Times New Roman"/>
          <w:b/>
          <w:sz w:val="24"/>
          <w:szCs w:val="24"/>
        </w:rPr>
        <w:t>.</w:t>
      </w:r>
      <w:r>
        <w:rPr>
          <w:rFonts w:hint="eastAsia" w:ascii="Times New Roman" w:hAnsi="Times New Roman"/>
          <w:sz w:val="24"/>
          <w:szCs w:val="24"/>
        </w:rPr>
        <w:t>《建设工程项目管理规范》GB／T 50326-2017</w:t>
      </w:r>
    </w:p>
    <w:p>
      <w:pPr>
        <w:pStyle w:val="27"/>
        <w:spacing w:line="360" w:lineRule="auto"/>
        <w:ind w:firstLine="0" w:firstLineChars="0"/>
        <w:jc w:val="left"/>
        <w:rPr>
          <w:rFonts w:ascii="Times New Roman" w:hAnsi="Times New Roman"/>
          <w:sz w:val="24"/>
          <w:szCs w:val="24"/>
        </w:rPr>
      </w:pPr>
      <w:r>
        <w:rPr>
          <w:rFonts w:hint="eastAsia" w:ascii="Times New Roman" w:hAnsi="Times New Roman"/>
          <w:b/>
          <w:sz w:val="24"/>
          <w:szCs w:val="24"/>
          <w:lang w:val="en-US" w:eastAsia="zh-CN"/>
        </w:rPr>
        <w:t>3</w:t>
      </w:r>
      <w:r>
        <w:rPr>
          <w:rFonts w:ascii="Times New Roman" w:hAnsi="Times New Roman"/>
          <w:b/>
          <w:sz w:val="24"/>
          <w:szCs w:val="24"/>
        </w:rPr>
        <w:t>.</w:t>
      </w:r>
      <w:r>
        <w:rPr>
          <w:rFonts w:hint="eastAsia" w:ascii="Times New Roman" w:hAnsi="Times New Roman"/>
          <w:sz w:val="24"/>
          <w:szCs w:val="24"/>
        </w:rPr>
        <w:t>《电子文件归档与电子档案管理规范》GB/T 18894-2016</w:t>
      </w:r>
    </w:p>
    <w:p>
      <w:pPr>
        <w:pStyle w:val="27"/>
        <w:spacing w:line="360" w:lineRule="auto"/>
        <w:ind w:firstLine="0" w:firstLineChars="0"/>
        <w:jc w:val="left"/>
        <w:rPr>
          <w:rFonts w:ascii="Times New Roman" w:hAnsi="Times New Roman"/>
          <w:sz w:val="24"/>
          <w:szCs w:val="24"/>
        </w:rPr>
      </w:pPr>
      <w:r>
        <w:rPr>
          <w:rFonts w:hint="eastAsia" w:ascii="Times New Roman" w:hAnsi="Times New Roman"/>
          <w:b/>
          <w:sz w:val="24"/>
          <w:szCs w:val="24"/>
          <w:lang w:val="en-US" w:eastAsia="zh-CN"/>
        </w:rPr>
        <w:t>4</w:t>
      </w:r>
      <w:r>
        <w:rPr>
          <w:rFonts w:ascii="Times New Roman" w:hAnsi="Times New Roman"/>
          <w:b/>
          <w:sz w:val="24"/>
          <w:szCs w:val="24"/>
        </w:rPr>
        <w:t>.</w:t>
      </w:r>
      <w:r>
        <w:rPr>
          <w:rFonts w:hint="eastAsia" w:ascii="Times New Roman" w:hAnsi="Times New Roman"/>
          <w:sz w:val="24"/>
          <w:szCs w:val="24"/>
        </w:rPr>
        <w:t>《招标投标电子文件归档规范》DA/T 103-2024</w:t>
      </w:r>
    </w:p>
    <w:p>
      <w:pPr>
        <w:pStyle w:val="27"/>
        <w:spacing w:line="360" w:lineRule="auto"/>
        <w:ind w:firstLine="0" w:firstLineChars="0"/>
        <w:jc w:val="left"/>
        <w:rPr>
          <w:rFonts w:ascii="Times New Roman" w:hAnsi="Times New Roman"/>
          <w:sz w:val="24"/>
          <w:szCs w:val="24"/>
        </w:rPr>
      </w:pPr>
      <w:r>
        <w:rPr>
          <w:rFonts w:hint="eastAsia" w:ascii="Times New Roman" w:hAnsi="Times New Roman"/>
          <w:b/>
          <w:sz w:val="24"/>
          <w:szCs w:val="24"/>
          <w:lang w:val="en-US" w:eastAsia="zh-CN"/>
        </w:rPr>
        <w:t>5</w:t>
      </w:r>
      <w:r>
        <w:rPr>
          <w:rFonts w:ascii="Times New Roman" w:hAnsi="Times New Roman"/>
          <w:b/>
          <w:sz w:val="24"/>
          <w:szCs w:val="24"/>
        </w:rPr>
        <w:t>.</w:t>
      </w:r>
      <w:r>
        <w:rPr>
          <w:rFonts w:hint="eastAsia" w:ascii="Times New Roman" w:hAnsi="Times New Roman"/>
          <w:sz w:val="24"/>
          <w:szCs w:val="24"/>
        </w:rPr>
        <w:t>《不见面开标工作规范》DB34/T 4814-2024</w:t>
      </w:r>
    </w:p>
    <w:p>
      <w:pPr>
        <w:pStyle w:val="27"/>
        <w:spacing w:line="360" w:lineRule="auto"/>
        <w:ind w:firstLine="0" w:firstLineChars="0"/>
        <w:jc w:val="left"/>
        <w:rPr>
          <w:rFonts w:ascii="Times New Roman" w:hAnsi="Times New Roman"/>
          <w:sz w:val="24"/>
          <w:szCs w:val="24"/>
        </w:rPr>
      </w:pPr>
      <w:r>
        <w:rPr>
          <w:rFonts w:hint="eastAsia" w:ascii="Times New Roman" w:hAnsi="Times New Roman"/>
          <w:b/>
          <w:sz w:val="24"/>
          <w:szCs w:val="24"/>
          <w:lang w:val="en-US" w:eastAsia="zh-CN"/>
        </w:rPr>
        <w:t>6</w:t>
      </w:r>
      <w:r>
        <w:rPr>
          <w:rFonts w:ascii="Times New Roman" w:hAnsi="Times New Roman"/>
          <w:b/>
          <w:sz w:val="24"/>
          <w:szCs w:val="24"/>
        </w:rPr>
        <w:t>.</w:t>
      </w:r>
      <w:r>
        <w:rPr>
          <w:rFonts w:hint="eastAsia" w:ascii="Times New Roman" w:hAnsi="Times New Roman"/>
          <w:sz w:val="24"/>
          <w:szCs w:val="24"/>
        </w:rPr>
        <w:t>《公共资源交易招标货物需求编制指南》DB34/T 4813-2024</w:t>
      </w:r>
    </w:p>
    <w:p>
      <w:pPr>
        <w:pStyle w:val="27"/>
        <w:spacing w:line="360" w:lineRule="auto"/>
        <w:ind w:firstLine="0" w:firstLineChars="0"/>
        <w:jc w:val="left"/>
        <w:rPr>
          <w:rFonts w:ascii="Times New Roman" w:hAnsi="Times New Roman"/>
          <w:sz w:val="24"/>
          <w:szCs w:val="24"/>
        </w:rPr>
      </w:pPr>
      <w:r>
        <w:rPr>
          <w:rFonts w:ascii="Times New Roman" w:hAnsi="Times New Roman"/>
          <w:b/>
          <w:sz w:val="24"/>
          <w:szCs w:val="24"/>
        </w:rPr>
        <w:t>7.</w:t>
      </w:r>
      <w:r>
        <w:rPr>
          <w:rFonts w:hint="eastAsia" w:ascii="Times New Roman" w:hAnsi="Times New Roman"/>
          <w:sz w:val="24"/>
          <w:szCs w:val="24"/>
        </w:rPr>
        <w:t>《建设工程招标代理工作标准》DB37/T 5181-2021</w:t>
      </w:r>
    </w:p>
    <w:p>
      <w:pPr>
        <w:pStyle w:val="27"/>
        <w:spacing w:line="360" w:lineRule="auto"/>
        <w:ind w:firstLine="0" w:firstLineChars="0"/>
        <w:jc w:val="left"/>
        <w:rPr>
          <w:rFonts w:ascii="Times New Roman" w:hAnsi="Times New Roman"/>
          <w:sz w:val="24"/>
          <w:szCs w:val="24"/>
        </w:rPr>
      </w:pPr>
      <w:r>
        <w:rPr>
          <w:rFonts w:hint="eastAsia" w:ascii="Times New Roman" w:hAnsi="Times New Roman"/>
          <w:b/>
          <w:sz w:val="24"/>
          <w:szCs w:val="24"/>
          <w:lang w:val="en-US" w:eastAsia="zh-CN"/>
        </w:rPr>
        <w:t>8</w:t>
      </w:r>
      <w:r>
        <w:rPr>
          <w:rFonts w:ascii="Times New Roman" w:hAnsi="Times New Roman"/>
          <w:b/>
          <w:sz w:val="24"/>
          <w:szCs w:val="24"/>
        </w:rPr>
        <w:t>.</w:t>
      </w:r>
      <w:r>
        <w:rPr>
          <w:rFonts w:hint="eastAsia" w:ascii="Times New Roman" w:hAnsi="Times New Roman"/>
          <w:sz w:val="24"/>
          <w:szCs w:val="24"/>
        </w:rPr>
        <w:t>《四川省工程建设项目招标代理操作规程》DBJ51/T</w:t>
      </w:r>
      <w:r>
        <w:rPr>
          <w:rFonts w:hint="eastAsia" w:ascii="Times New Roman" w:hAnsi="Times New Roman"/>
          <w:sz w:val="24"/>
          <w:szCs w:val="24"/>
          <w:lang w:val="en-US" w:eastAsia="zh-CN"/>
        </w:rPr>
        <w:t xml:space="preserve"> </w:t>
      </w:r>
      <w:r>
        <w:rPr>
          <w:rFonts w:hint="eastAsia" w:ascii="Times New Roman" w:hAnsi="Times New Roman"/>
          <w:sz w:val="24"/>
          <w:szCs w:val="24"/>
        </w:rPr>
        <w:t>040-2021</w:t>
      </w:r>
    </w:p>
    <w:p>
      <w:pPr>
        <w:pStyle w:val="27"/>
        <w:spacing w:line="360" w:lineRule="auto"/>
        <w:ind w:firstLine="0" w:firstLineChars="0"/>
        <w:jc w:val="left"/>
        <w:rPr>
          <w:rFonts w:ascii="Times New Roman" w:hAnsi="Times New Roman"/>
          <w:sz w:val="24"/>
          <w:szCs w:val="24"/>
        </w:rPr>
      </w:pPr>
      <w:r>
        <w:rPr>
          <w:rFonts w:hint="eastAsia" w:ascii="Times New Roman" w:hAnsi="Times New Roman"/>
          <w:b/>
          <w:sz w:val="24"/>
          <w:szCs w:val="24"/>
          <w:lang w:val="en-US" w:eastAsia="zh-CN"/>
        </w:rPr>
        <w:t>9</w:t>
      </w:r>
      <w:r>
        <w:rPr>
          <w:rFonts w:ascii="Times New Roman" w:hAnsi="Times New Roman"/>
          <w:b/>
          <w:sz w:val="24"/>
          <w:szCs w:val="24"/>
        </w:rPr>
        <w:t>.</w:t>
      </w:r>
      <w:r>
        <w:rPr>
          <w:rFonts w:hint="eastAsia" w:ascii="Times New Roman" w:hAnsi="Times New Roman"/>
          <w:sz w:val="24"/>
          <w:szCs w:val="24"/>
        </w:rPr>
        <w:t>《建设工程项目招标投标活动程序标准》DB22/T 5036-2020</w:t>
      </w:r>
    </w:p>
    <w:p>
      <w:pPr>
        <w:pStyle w:val="27"/>
        <w:spacing w:line="360" w:lineRule="auto"/>
        <w:ind w:firstLine="0" w:firstLineChars="0"/>
        <w:jc w:val="left"/>
        <w:rPr>
          <w:rFonts w:ascii="Times New Roman" w:hAnsi="Times New Roman"/>
          <w:sz w:val="24"/>
          <w:szCs w:val="24"/>
        </w:rPr>
      </w:pPr>
    </w:p>
    <w:p>
      <w:pPr>
        <w:pStyle w:val="12"/>
        <w:rPr>
          <w:rFonts w:hint="eastAsia"/>
          <w:lang w:val="en-US" w:eastAsia="zh-CN"/>
        </w:rPr>
        <w:sectPr>
          <w:pgSz w:w="11906" w:h="16838"/>
          <w:pgMar w:top="1440" w:right="1800" w:bottom="1440" w:left="1800" w:header="850" w:footer="850" w:gutter="0"/>
          <w:pgNumType w:fmt="decimal"/>
          <w:cols w:space="0" w:num="1"/>
          <w:docGrid w:type="lines" w:linePitch="317" w:charSpace="0"/>
        </w:sectPr>
      </w:pPr>
    </w:p>
    <w:p>
      <w:pPr>
        <w:spacing w:line="360" w:lineRule="auto"/>
        <w:jc w:val="center"/>
        <w:outlineLvl w:val="0"/>
        <w:rPr>
          <w:rFonts w:ascii="Times New Roman" w:hAnsi="Times New Roman"/>
          <w:b/>
          <w:sz w:val="36"/>
          <w:szCs w:val="36"/>
        </w:rPr>
      </w:pPr>
      <w:bookmarkStart w:id="155" w:name="_Toc17091_WPSOffice_Level1"/>
      <w:bookmarkStart w:id="156" w:name="_Toc29216"/>
      <w:bookmarkStart w:id="157" w:name="_Toc114512232"/>
      <w:bookmarkStart w:id="158" w:name="_Toc21799"/>
      <w:r>
        <w:rPr>
          <w:rFonts w:hint="eastAsia" w:ascii="Times New Roman" w:hAnsi="Times New Roman"/>
          <w:b/>
          <w:sz w:val="36"/>
          <w:szCs w:val="36"/>
        </w:rPr>
        <w:t>条</w:t>
      </w:r>
      <w:r>
        <w:rPr>
          <w:rFonts w:ascii="Times New Roman" w:hAnsi="Times New Roman"/>
          <w:b/>
          <w:sz w:val="36"/>
          <w:szCs w:val="36"/>
        </w:rPr>
        <w:t xml:space="preserve"> </w:t>
      </w:r>
      <w:r>
        <w:rPr>
          <w:rFonts w:hint="eastAsia" w:ascii="Times New Roman" w:hAnsi="Times New Roman"/>
          <w:b/>
          <w:sz w:val="36"/>
          <w:szCs w:val="36"/>
        </w:rPr>
        <w:t>文</w:t>
      </w:r>
      <w:r>
        <w:rPr>
          <w:rFonts w:ascii="Times New Roman" w:hAnsi="Times New Roman"/>
          <w:b/>
          <w:sz w:val="36"/>
          <w:szCs w:val="36"/>
        </w:rPr>
        <w:t xml:space="preserve"> </w:t>
      </w:r>
      <w:r>
        <w:rPr>
          <w:rFonts w:hint="eastAsia" w:ascii="Times New Roman" w:hAnsi="Times New Roman"/>
          <w:b/>
          <w:sz w:val="36"/>
          <w:szCs w:val="36"/>
        </w:rPr>
        <w:t>说</w:t>
      </w:r>
      <w:r>
        <w:rPr>
          <w:rFonts w:ascii="Times New Roman" w:hAnsi="Times New Roman"/>
          <w:b/>
          <w:sz w:val="36"/>
          <w:szCs w:val="36"/>
        </w:rPr>
        <w:t xml:space="preserve"> </w:t>
      </w:r>
      <w:r>
        <w:rPr>
          <w:rFonts w:hint="eastAsia" w:ascii="Times New Roman" w:hAnsi="Times New Roman"/>
          <w:b/>
          <w:sz w:val="36"/>
          <w:szCs w:val="36"/>
        </w:rPr>
        <w:t>明</w:t>
      </w:r>
      <w:bookmarkEnd w:id="155"/>
      <w:bookmarkEnd w:id="156"/>
      <w:bookmarkEnd w:id="157"/>
      <w:bookmarkEnd w:id="158"/>
    </w:p>
    <w:p>
      <w:pPr>
        <w:spacing w:before="0" w:beforeLines="0" w:after="0" w:afterLines="0" w:line="240" w:lineRule="auto"/>
        <w:ind w:left="0" w:leftChars="0" w:right="0" w:rightChars="0" w:firstLine="0" w:firstLineChars="0"/>
        <w:jc w:val="both"/>
        <w:rPr>
          <w:rFonts w:ascii="宋体" w:hAnsi="宋体" w:eastAsia="宋体" w:cstheme="minorBidi"/>
          <w:color w:val="auto"/>
          <w:kern w:val="2"/>
          <w:sz w:val="21"/>
          <w:szCs w:val="24"/>
          <w:highlight w:val="none"/>
          <w:lang w:val="en-US" w:eastAsia="zh-CN" w:bidi="ar-SA"/>
        </w:rPr>
        <w:sectPr>
          <w:pgSz w:w="11906" w:h="16838"/>
          <w:pgMar w:top="1440" w:right="1800" w:bottom="1440" w:left="1800" w:header="850" w:footer="850" w:gutter="0"/>
          <w:pgNumType w:fmt="decimal"/>
          <w:cols w:space="0" w:num="1"/>
          <w:docGrid w:type="lines" w:linePitch="315" w:charSpace="0"/>
        </w:sectPr>
      </w:pPr>
    </w:p>
    <w:sdt>
      <w:sdtPr>
        <w:rPr>
          <w:rFonts w:hint="eastAsia" w:ascii="黑体" w:hAnsi="黑体" w:eastAsia="黑体" w:cs="黑体"/>
          <w:color w:val="auto"/>
          <w:sz w:val="32"/>
          <w:szCs w:val="32"/>
          <w:highlight w:val="none"/>
          <w:lang w:val="en-US" w:eastAsia="zh-CN"/>
        </w:rPr>
        <w:id w:val="147457916"/>
        <w15:color w:val="DBDBDB"/>
        <w:docPartObj>
          <w:docPartGallery w:val="Table of Contents"/>
          <w:docPartUnique/>
        </w:docPartObj>
      </w:sdtPr>
      <w:sdtEndPr>
        <w:rPr>
          <w:rFonts w:hint="eastAsia" w:ascii="宋体" w:hAnsi="宋体" w:eastAsia="宋体" w:cs="宋体"/>
          <w:b/>
          <w:bCs/>
          <w:color w:val="auto"/>
          <w:kern w:val="36"/>
          <w:sz w:val="32"/>
          <w:szCs w:val="24"/>
          <w:highlight w:val="none"/>
          <w:lang w:val="en-US" w:eastAsia="zh-CN" w:bidi="ar-SA"/>
        </w:rPr>
      </w:sdtEndPr>
      <w:sdtContent>
        <w:p>
          <w:pPr>
            <w:pStyle w:val="9"/>
            <w:keepNext w:val="0"/>
            <w:keepLines w:val="0"/>
            <w:pageBreakBefore w:val="0"/>
            <w:widowControl w:val="0"/>
            <w:tabs>
              <w:tab w:val="right" w:leader="dot" w:pos="9280"/>
              <w:tab w:val="clear" w:pos="8296"/>
            </w:tabs>
            <w:kinsoku/>
            <w:wordWrap/>
            <w:overflowPunct/>
            <w:topLinePunct w:val="0"/>
            <w:autoSpaceDE/>
            <w:autoSpaceDN/>
            <w:bidi w:val="0"/>
            <w:adjustRightInd/>
            <w:snapToGrid/>
            <w:spacing w:before="240" w:line="480" w:lineRule="auto"/>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b/>
              <w:bCs/>
              <w:color w:val="auto"/>
              <w:sz w:val="32"/>
              <w:szCs w:val="32"/>
              <w:highlight w:val="none"/>
              <w:lang w:val="en-US" w:eastAsia="zh-CN"/>
            </w:rPr>
            <w:t>目   次</w:t>
          </w:r>
          <w:r>
            <w:rPr>
              <w:rFonts w:hint="eastAsia" w:asciiTheme="minorEastAsia" w:hAnsiTheme="minorEastAsia" w:eastAsiaTheme="minorEastAsia" w:cstheme="minorEastAsia"/>
              <w:color w:val="auto"/>
              <w:sz w:val="21"/>
              <w:szCs w:val="21"/>
              <w:highlight w:val="none"/>
              <w:lang w:val="en-US" w:eastAsia="zh-CN"/>
            </w:rPr>
            <w:fldChar w:fldCharType="begin"/>
          </w:r>
          <w:r>
            <w:rPr>
              <w:rFonts w:hint="eastAsia" w:asciiTheme="minorEastAsia" w:hAnsiTheme="minorEastAsia" w:eastAsiaTheme="minorEastAsia" w:cstheme="minorEastAsia"/>
              <w:color w:val="auto"/>
              <w:sz w:val="21"/>
              <w:szCs w:val="21"/>
              <w:highlight w:val="none"/>
              <w:lang w:val="en-US" w:eastAsia="zh-CN"/>
            </w:rPr>
            <w:instrText xml:space="preserve">TOC \o "1-2" \h \u </w:instrText>
          </w:r>
          <w:r>
            <w:rPr>
              <w:rFonts w:hint="eastAsia" w:asciiTheme="minorEastAsia" w:hAnsiTheme="minorEastAsia" w:eastAsiaTheme="minorEastAsia" w:cstheme="minorEastAsia"/>
              <w:color w:val="auto"/>
              <w:sz w:val="21"/>
              <w:szCs w:val="21"/>
              <w:highlight w:val="none"/>
              <w:lang w:val="en-US" w:eastAsia="zh-CN"/>
            </w:rPr>
            <w:fldChar w:fldCharType="separate"/>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_Toc11305_WPSOffice_Level1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67516"/>
              <w:placeholder>
                <w:docPart w:val="{6f666503-36f2-4661-987f-440eb22b5fd6}"/>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1总 则</w:t>
              </w:r>
            </w:sdtContent>
          </w:sdt>
          <w:r>
            <w:rPr>
              <w:rFonts w:hint="eastAsia" w:asciiTheme="majorEastAsia" w:hAnsiTheme="majorEastAsia" w:eastAsiaTheme="majorEastAsia" w:cstheme="majorEastAsia"/>
              <w:kern w:val="2"/>
              <w:sz w:val="24"/>
              <w:szCs w:val="24"/>
              <w:lang w:val="en-US" w:eastAsia="zh-CN" w:bidi="ar-SA"/>
            </w:rPr>
            <w:tab/>
          </w:r>
          <w:bookmarkStart w:id="159" w:name="_Toc11305_WPSOffice_Level1Page"/>
          <w:r>
            <w:rPr>
              <w:rFonts w:hint="eastAsia" w:asciiTheme="majorEastAsia" w:hAnsiTheme="majorEastAsia" w:eastAsiaTheme="majorEastAsia" w:cstheme="majorEastAsia"/>
              <w:kern w:val="2"/>
              <w:sz w:val="24"/>
              <w:szCs w:val="24"/>
              <w:lang w:val="en-US" w:eastAsia="zh-CN" w:bidi="ar-SA"/>
            </w:rPr>
            <w:t>55</w:t>
          </w:r>
          <w:bookmarkEnd w:id="159"/>
          <w:r>
            <w:rPr>
              <w:rFonts w:hint="eastAsia" w:asciiTheme="majorEastAsia" w:hAnsiTheme="majorEastAsia" w:eastAsiaTheme="majorEastAsia" w:cstheme="majorEastAsia"/>
              <w:kern w:val="2"/>
              <w:sz w:val="24"/>
              <w:szCs w:val="24"/>
              <w:lang w:val="en-US" w:eastAsia="zh-CN" w:bidi="ar-SA"/>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_Toc14743_WPSOffice_Level1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7193"/>
              <w:placeholder>
                <w:docPart w:val="{fc019e19-8e07-4ae2-80e5-dbff65b47ea2}"/>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2术 语</w:t>
              </w:r>
            </w:sdtContent>
          </w:sdt>
          <w:r>
            <w:rPr>
              <w:rFonts w:hint="eastAsia" w:asciiTheme="majorEastAsia" w:hAnsiTheme="majorEastAsia" w:eastAsiaTheme="majorEastAsia" w:cstheme="majorEastAsia"/>
              <w:kern w:val="2"/>
              <w:sz w:val="24"/>
              <w:szCs w:val="24"/>
              <w:lang w:val="en-US" w:eastAsia="zh-CN" w:bidi="ar-SA"/>
            </w:rPr>
            <w:tab/>
          </w:r>
          <w:bookmarkStart w:id="160" w:name="_Toc14743_WPSOffice_Level1Page"/>
          <w:r>
            <w:rPr>
              <w:rFonts w:hint="eastAsia" w:asciiTheme="majorEastAsia" w:hAnsiTheme="majorEastAsia" w:eastAsiaTheme="majorEastAsia" w:cstheme="majorEastAsia"/>
              <w:kern w:val="2"/>
              <w:sz w:val="24"/>
              <w:szCs w:val="24"/>
              <w:lang w:val="en-US" w:eastAsia="zh-CN" w:bidi="ar-SA"/>
            </w:rPr>
            <w:t>56</w:t>
          </w:r>
          <w:bookmarkEnd w:id="160"/>
          <w:r>
            <w:rPr>
              <w:rFonts w:hint="eastAsia" w:asciiTheme="majorEastAsia" w:hAnsiTheme="majorEastAsia" w:eastAsiaTheme="majorEastAsia" w:cstheme="majorEastAsia"/>
              <w:kern w:val="2"/>
              <w:sz w:val="24"/>
              <w:szCs w:val="24"/>
              <w:lang w:val="en-US" w:eastAsia="zh-CN" w:bidi="ar-SA"/>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_Toc25324_WPSOffice_Level1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7173"/>
              <w:placeholder>
                <w:docPart w:val="{acab1abc-c71a-4aad-88e7-992afb05471f}"/>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3基本规定</w:t>
              </w:r>
            </w:sdtContent>
          </w:sdt>
          <w:r>
            <w:rPr>
              <w:rFonts w:hint="eastAsia" w:asciiTheme="majorEastAsia" w:hAnsiTheme="majorEastAsia" w:eastAsiaTheme="majorEastAsia" w:cstheme="majorEastAsia"/>
              <w:kern w:val="2"/>
              <w:sz w:val="24"/>
              <w:szCs w:val="24"/>
              <w:lang w:val="en-US" w:eastAsia="zh-CN" w:bidi="ar-SA"/>
            </w:rPr>
            <w:tab/>
          </w:r>
          <w:bookmarkStart w:id="161" w:name="_Toc25324_WPSOffice_Level1Page"/>
          <w:r>
            <w:rPr>
              <w:rFonts w:hint="eastAsia" w:asciiTheme="majorEastAsia" w:hAnsiTheme="majorEastAsia" w:eastAsiaTheme="majorEastAsia" w:cstheme="majorEastAsia"/>
              <w:kern w:val="2"/>
              <w:sz w:val="24"/>
              <w:szCs w:val="24"/>
              <w:lang w:val="en-US" w:eastAsia="zh-CN" w:bidi="ar-SA"/>
            </w:rPr>
            <w:t>57</w:t>
          </w:r>
          <w:bookmarkEnd w:id="161"/>
          <w:r>
            <w:rPr>
              <w:rFonts w:hint="eastAsia" w:asciiTheme="majorEastAsia" w:hAnsiTheme="majorEastAsia" w:eastAsiaTheme="majorEastAsia" w:cstheme="majorEastAsia"/>
              <w:kern w:val="2"/>
              <w:sz w:val="24"/>
              <w:szCs w:val="24"/>
              <w:lang w:val="en-US" w:eastAsia="zh-CN" w:bidi="ar-SA"/>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_Toc12477_WPSOffice_Level1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0154"/>
              <w:placeholder>
                <w:docPart w:val="{0b93cd29-d28d-4102-a740-af7dd53ac6a0}"/>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4招标代理合同</w:t>
              </w:r>
            </w:sdtContent>
          </w:sdt>
          <w:r>
            <w:rPr>
              <w:rFonts w:hint="eastAsia" w:asciiTheme="majorEastAsia" w:hAnsiTheme="majorEastAsia" w:eastAsiaTheme="majorEastAsia" w:cstheme="majorEastAsia"/>
              <w:kern w:val="2"/>
              <w:sz w:val="24"/>
              <w:szCs w:val="24"/>
              <w:lang w:val="en-US" w:eastAsia="zh-CN" w:bidi="ar-SA"/>
            </w:rPr>
            <w:tab/>
          </w:r>
          <w:bookmarkStart w:id="162" w:name="_Toc12477_WPSOffice_Level1Page"/>
          <w:r>
            <w:rPr>
              <w:rFonts w:hint="eastAsia" w:asciiTheme="majorEastAsia" w:hAnsiTheme="majorEastAsia" w:eastAsiaTheme="majorEastAsia" w:cstheme="majorEastAsia"/>
              <w:kern w:val="2"/>
              <w:sz w:val="24"/>
              <w:szCs w:val="24"/>
              <w:lang w:val="en-US" w:eastAsia="zh-CN" w:bidi="ar-SA"/>
            </w:rPr>
            <w:t>58</w:t>
          </w:r>
          <w:bookmarkEnd w:id="162"/>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_Toc28108_WPSOffice_Level1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2813"/>
              <w:placeholder>
                <w:docPart w:val="{8b0b1245-7f1a-4a68-a0c6-4f71a07466c5}"/>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4.1 合同签订</w:t>
              </w:r>
            </w:sdtContent>
          </w:sdt>
          <w:r>
            <w:rPr>
              <w:rFonts w:hint="eastAsia" w:asciiTheme="majorEastAsia" w:hAnsiTheme="majorEastAsia" w:eastAsiaTheme="majorEastAsia" w:cstheme="majorEastAsia"/>
              <w:sz w:val="24"/>
              <w:szCs w:val="24"/>
              <w:lang w:val="en-US" w:eastAsia="zh-CN"/>
            </w:rPr>
            <w:tab/>
          </w:r>
          <w:bookmarkStart w:id="163" w:name="_Toc28108_WPSOffice_Level1Page"/>
          <w:r>
            <w:rPr>
              <w:rFonts w:hint="eastAsia" w:asciiTheme="majorEastAsia" w:hAnsiTheme="majorEastAsia" w:eastAsiaTheme="majorEastAsia" w:cstheme="majorEastAsia"/>
              <w:sz w:val="24"/>
              <w:szCs w:val="24"/>
              <w:lang w:val="en-US" w:eastAsia="zh-CN"/>
            </w:rPr>
            <w:t>58</w:t>
          </w:r>
          <w:bookmarkEnd w:id="163"/>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_Toc15387_WPSOffice_Level1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4867"/>
              <w:placeholder>
                <w:docPart w:val="{f2896ae3-c624-4616-8cc7-af23317835f9}"/>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4.2 合同内容</w:t>
              </w:r>
            </w:sdtContent>
          </w:sdt>
          <w:r>
            <w:rPr>
              <w:rFonts w:hint="eastAsia" w:asciiTheme="majorEastAsia" w:hAnsiTheme="majorEastAsia" w:eastAsiaTheme="majorEastAsia" w:cstheme="majorEastAsia"/>
              <w:sz w:val="24"/>
              <w:szCs w:val="24"/>
              <w:lang w:val="en-US" w:eastAsia="zh-CN"/>
            </w:rPr>
            <w:tab/>
          </w:r>
          <w:bookmarkStart w:id="164" w:name="_Toc15387_WPSOffice_Level1Page"/>
          <w:r>
            <w:rPr>
              <w:rFonts w:hint="eastAsia" w:asciiTheme="majorEastAsia" w:hAnsiTheme="majorEastAsia" w:eastAsiaTheme="majorEastAsia" w:cstheme="majorEastAsia"/>
              <w:sz w:val="24"/>
              <w:szCs w:val="24"/>
              <w:lang w:val="en-US" w:eastAsia="zh-CN"/>
            </w:rPr>
            <w:t>58</w:t>
          </w:r>
          <w:bookmarkEnd w:id="164"/>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_Toc8032_WPSOffice_Level1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5142"/>
              <w:placeholder>
                <w:docPart w:val="{0c903f65-fd9e-4274-b029-762ddba4a85e}"/>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4.3 招标代理服务费</w:t>
              </w:r>
            </w:sdtContent>
          </w:sdt>
          <w:r>
            <w:rPr>
              <w:rFonts w:hint="eastAsia" w:asciiTheme="majorEastAsia" w:hAnsiTheme="majorEastAsia" w:eastAsiaTheme="majorEastAsia" w:cstheme="majorEastAsia"/>
              <w:sz w:val="24"/>
              <w:szCs w:val="24"/>
              <w:lang w:val="en-US" w:eastAsia="zh-CN"/>
            </w:rPr>
            <w:tab/>
          </w:r>
          <w:bookmarkStart w:id="165" w:name="_Toc8032_WPSOffice_Level1Page"/>
          <w:r>
            <w:rPr>
              <w:rFonts w:hint="eastAsia" w:asciiTheme="majorEastAsia" w:hAnsiTheme="majorEastAsia" w:eastAsiaTheme="majorEastAsia" w:cstheme="majorEastAsia"/>
              <w:sz w:val="24"/>
              <w:szCs w:val="24"/>
              <w:lang w:val="en-US" w:eastAsia="zh-CN"/>
            </w:rPr>
            <w:t>58</w:t>
          </w:r>
          <w:bookmarkEnd w:id="165"/>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_Toc8086_WPSOffice_Level1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55824"/>
              <w:placeholder>
                <w:docPart w:val="{9bcc9576-b841-40f2-a1c3-615953ac9637}"/>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5招标代理机构</w:t>
              </w:r>
            </w:sdtContent>
          </w:sdt>
          <w:r>
            <w:rPr>
              <w:rFonts w:hint="eastAsia" w:asciiTheme="majorEastAsia" w:hAnsiTheme="majorEastAsia" w:eastAsiaTheme="majorEastAsia" w:cstheme="majorEastAsia"/>
              <w:kern w:val="2"/>
              <w:sz w:val="24"/>
              <w:szCs w:val="24"/>
              <w:lang w:val="en-US" w:eastAsia="zh-CN" w:bidi="ar-SA"/>
            </w:rPr>
            <w:tab/>
          </w:r>
          <w:bookmarkStart w:id="166" w:name="_Toc8086_WPSOffice_Level1Page"/>
          <w:r>
            <w:rPr>
              <w:rFonts w:hint="eastAsia" w:asciiTheme="majorEastAsia" w:hAnsiTheme="majorEastAsia" w:eastAsiaTheme="majorEastAsia" w:cstheme="majorEastAsia"/>
              <w:kern w:val="2"/>
              <w:sz w:val="24"/>
              <w:szCs w:val="24"/>
              <w:lang w:val="en-US" w:eastAsia="zh-CN" w:bidi="ar-SA"/>
            </w:rPr>
            <w:t>59</w:t>
          </w:r>
          <w:bookmarkEnd w:id="166"/>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_Toc9232_WPSOffice_Level1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8725"/>
              <w:placeholder>
                <w:docPart w:val="{f7e44afa-9223-459a-b8f1-b26b421d650e}"/>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5.1 组织形式与构成</w:t>
              </w:r>
            </w:sdtContent>
          </w:sdt>
          <w:r>
            <w:rPr>
              <w:rFonts w:hint="eastAsia" w:asciiTheme="majorEastAsia" w:hAnsiTheme="majorEastAsia" w:eastAsiaTheme="majorEastAsia" w:cstheme="majorEastAsia"/>
              <w:sz w:val="24"/>
              <w:szCs w:val="24"/>
              <w:lang w:val="en-US" w:eastAsia="zh-CN"/>
            </w:rPr>
            <w:tab/>
          </w:r>
          <w:bookmarkStart w:id="167" w:name="_Toc9232_WPSOffice_Level1Page"/>
          <w:r>
            <w:rPr>
              <w:rFonts w:hint="eastAsia" w:asciiTheme="majorEastAsia" w:hAnsiTheme="majorEastAsia" w:eastAsiaTheme="majorEastAsia" w:cstheme="majorEastAsia"/>
              <w:sz w:val="24"/>
              <w:szCs w:val="24"/>
              <w:lang w:val="en-US" w:eastAsia="zh-CN"/>
            </w:rPr>
            <w:t>59</w:t>
          </w:r>
          <w:bookmarkEnd w:id="167"/>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_Toc15808_WPSOffice_Level1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4218"/>
              <w:placeholder>
                <w:docPart w:val="{cbf89e02-6720-4006-9236-04cad8eafd1f}"/>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5.2 招标代理项目组要求</w:t>
              </w:r>
            </w:sdtContent>
          </w:sdt>
          <w:r>
            <w:rPr>
              <w:rFonts w:hint="eastAsia" w:asciiTheme="majorEastAsia" w:hAnsiTheme="majorEastAsia" w:eastAsiaTheme="majorEastAsia" w:cstheme="majorEastAsia"/>
              <w:sz w:val="24"/>
              <w:szCs w:val="24"/>
              <w:lang w:val="en-US" w:eastAsia="zh-CN"/>
            </w:rPr>
            <w:tab/>
          </w:r>
          <w:bookmarkStart w:id="168" w:name="_Toc15808_WPSOffice_Level1Page"/>
          <w:r>
            <w:rPr>
              <w:rFonts w:hint="eastAsia" w:asciiTheme="majorEastAsia" w:hAnsiTheme="majorEastAsia" w:eastAsiaTheme="majorEastAsia" w:cstheme="majorEastAsia"/>
              <w:sz w:val="24"/>
              <w:szCs w:val="24"/>
              <w:lang w:val="en-US" w:eastAsia="zh-CN"/>
            </w:rPr>
            <w:t>59</w:t>
          </w:r>
          <w:bookmarkEnd w:id="168"/>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_Toc6146_WPSOffice_Level1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7637"/>
              <w:placeholder>
                <w:docPart w:val="{a9150db1-5e7a-4db6-8b13-740743f392e7}"/>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5.3 质量控制</w:t>
              </w:r>
            </w:sdtContent>
          </w:sdt>
          <w:r>
            <w:rPr>
              <w:rFonts w:hint="eastAsia" w:asciiTheme="majorEastAsia" w:hAnsiTheme="majorEastAsia" w:eastAsiaTheme="majorEastAsia" w:cstheme="majorEastAsia"/>
              <w:sz w:val="24"/>
              <w:szCs w:val="24"/>
              <w:lang w:val="en-US" w:eastAsia="zh-CN"/>
            </w:rPr>
            <w:tab/>
          </w:r>
          <w:bookmarkStart w:id="169" w:name="_Toc6146_WPSOffice_Level1Page"/>
          <w:r>
            <w:rPr>
              <w:rFonts w:hint="eastAsia" w:asciiTheme="majorEastAsia" w:hAnsiTheme="majorEastAsia" w:eastAsiaTheme="majorEastAsia" w:cstheme="majorEastAsia"/>
              <w:sz w:val="24"/>
              <w:szCs w:val="24"/>
              <w:lang w:val="en-US" w:eastAsia="zh-CN"/>
            </w:rPr>
            <w:t>59</w:t>
          </w:r>
          <w:bookmarkEnd w:id="169"/>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_Toc32054_WPSOffice_Level1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2611"/>
              <w:placeholder>
                <w:docPart w:val="{3cd8fa4b-2e16-49b2-9fb5-69cd0b5bd015}"/>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6招标准备及计划</w:t>
              </w:r>
            </w:sdtContent>
          </w:sdt>
          <w:r>
            <w:rPr>
              <w:rFonts w:hint="eastAsia" w:asciiTheme="majorEastAsia" w:hAnsiTheme="majorEastAsia" w:eastAsiaTheme="majorEastAsia" w:cstheme="majorEastAsia"/>
              <w:kern w:val="2"/>
              <w:sz w:val="24"/>
              <w:szCs w:val="24"/>
              <w:lang w:val="en-US" w:eastAsia="zh-CN" w:bidi="ar-SA"/>
            </w:rPr>
            <w:tab/>
          </w:r>
          <w:bookmarkStart w:id="170" w:name="_Toc32054_WPSOffice_Level1Page"/>
          <w:r>
            <w:rPr>
              <w:rFonts w:hint="eastAsia" w:asciiTheme="majorEastAsia" w:hAnsiTheme="majorEastAsia" w:eastAsiaTheme="majorEastAsia" w:cstheme="majorEastAsia"/>
              <w:kern w:val="2"/>
              <w:sz w:val="24"/>
              <w:szCs w:val="24"/>
              <w:lang w:val="en-US" w:eastAsia="zh-CN" w:bidi="ar-SA"/>
            </w:rPr>
            <w:t>60</w:t>
          </w:r>
          <w:bookmarkEnd w:id="170"/>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_Toc29658_WPSOffice_Level1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3591"/>
              <w:placeholder>
                <w:docPart w:val="{1ad7cfbb-4072-438a-a8a2-973d47657a1f}"/>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6.1 一般规定</w:t>
              </w:r>
            </w:sdtContent>
          </w:sdt>
          <w:r>
            <w:rPr>
              <w:rFonts w:hint="eastAsia" w:asciiTheme="majorEastAsia" w:hAnsiTheme="majorEastAsia" w:eastAsiaTheme="majorEastAsia" w:cstheme="majorEastAsia"/>
              <w:sz w:val="24"/>
              <w:szCs w:val="24"/>
              <w:lang w:val="en-US" w:eastAsia="zh-CN"/>
            </w:rPr>
            <w:tab/>
          </w:r>
          <w:bookmarkStart w:id="171" w:name="_Toc29658_WPSOffice_Level1Page"/>
          <w:r>
            <w:rPr>
              <w:rFonts w:hint="eastAsia" w:asciiTheme="majorEastAsia" w:hAnsiTheme="majorEastAsia" w:eastAsiaTheme="majorEastAsia" w:cstheme="majorEastAsia"/>
              <w:sz w:val="24"/>
              <w:szCs w:val="24"/>
              <w:lang w:val="en-US" w:eastAsia="zh-CN"/>
            </w:rPr>
            <w:t>60</w:t>
          </w:r>
          <w:bookmarkEnd w:id="171"/>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_Toc22176_WPSOffice_Level1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8997"/>
              <w:placeholder>
                <w:docPart w:val="{a2c12f7b-1524-4591-9bd0-37dcb8591926}"/>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6.3 招标方案</w:t>
              </w:r>
            </w:sdtContent>
          </w:sdt>
          <w:r>
            <w:rPr>
              <w:rFonts w:hint="eastAsia" w:asciiTheme="majorEastAsia" w:hAnsiTheme="majorEastAsia" w:eastAsiaTheme="majorEastAsia" w:cstheme="majorEastAsia"/>
              <w:sz w:val="24"/>
              <w:szCs w:val="24"/>
              <w:lang w:val="en-US" w:eastAsia="zh-CN"/>
            </w:rPr>
            <w:tab/>
          </w:r>
          <w:bookmarkStart w:id="172" w:name="_Toc22176_WPSOffice_Level1Page"/>
          <w:r>
            <w:rPr>
              <w:rFonts w:hint="eastAsia" w:asciiTheme="majorEastAsia" w:hAnsiTheme="majorEastAsia" w:eastAsiaTheme="majorEastAsia" w:cstheme="majorEastAsia"/>
              <w:sz w:val="24"/>
              <w:szCs w:val="24"/>
              <w:lang w:val="en-US" w:eastAsia="zh-CN"/>
            </w:rPr>
            <w:t>60</w:t>
          </w:r>
          <w:bookmarkEnd w:id="172"/>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_Toc28139_WPSOffice_Level1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8749"/>
              <w:placeholder>
                <w:docPart w:val="{364d0c25-fefb-452a-a597-de1f9c784d22}"/>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7招标公告、投标邀请书</w:t>
              </w:r>
            </w:sdtContent>
          </w:sdt>
          <w:r>
            <w:rPr>
              <w:rFonts w:hint="eastAsia" w:asciiTheme="majorEastAsia" w:hAnsiTheme="majorEastAsia" w:eastAsiaTheme="majorEastAsia" w:cstheme="majorEastAsia"/>
              <w:kern w:val="2"/>
              <w:sz w:val="24"/>
              <w:szCs w:val="24"/>
              <w:lang w:val="en-US" w:eastAsia="zh-CN" w:bidi="ar-SA"/>
            </w:rPr>
            <w:tab/>
          </w:r>
          <w:bookmarkStart w:id="173" w:name="_Toc28139_WPSOffice_Level1Page"/>
          <w:r>
            <w:rPr>
              <w:rFonts w:hint="eastAsia" w:asciiTheme="majorEastAsia" w:hAnsiTheme="majorEastAsia" w:eastAsiaTheme="majorEastAsia" w:cstheme="majorEastAsia"/>
              <w:kern w:val="2"/>
              <w:sz w:val="24"/>
              <w:szCs w:val="24"/>
              <w:lang w:val="en-US" w:eastAsia="zh-CN" w:bidi="ar-SA"/>
            </w:rPr>
            <w:t>61</w:t>
          </w:r>
          <w:bookmarkEnd w:id="173"/>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_Toc28197_WPSOffice_Level1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5560"/>
              <w:placeholder>
                <w:docPart w:val="{47e38504-1299-4317-b954-29ec364bb692}"/>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7.1 一般规定</w:t>
              </w:r>
            </w:sdtContent>
          </w:sdt>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61</w:t>
          </w:r>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_Toc28197_WPSOffice_Level1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5560"/>
              <w:placeholder>
                <w:docPart w:val="{423b3bd0-996d-4033-b096-31168f7096cf}"/>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7.3 招标公告的发布、投标邀请书的发出</w:t>
              </w:r>
            </w:sdtContent>
          </w:sdt>
          <w:r>
            <w:rPr>
              <w:rFonts w:hint="eastAsia" w:asciiTheme="majorEastAsia" w:hAnsiTheme="majorEastAsia" w:eastAsiaTheme="majorEastAsia" w:cstheme="majorEastAsia"/>
              <w:sz w:val="24"/>
              <w:szCs w:val="24"/>
              <w:lang w:val="en-US" w:eastAsia="zh-CN"/>
            </w:rPr>
            <w:tab/>
          </w:r>
          <w:bookmarkStart w:id="174" w:name="_Toc28197_WPSOffice_Level1Page"/>
          <w:r>
            <w:rPr>
              <w:rFonts w:hint="eastAsia" w:asciiTheme="majorEastAsia" w:hAnsiTheme="majorEastAsia" w:eastAsiaTheme="majorEastAsia" w:cstheme="majorEastAsia"/>
              <w:sz w:val="24"/>
              <w:szCs w:val="24"/>
              <w:lang w:val="en-US" w:eastAsia="zh-CN"/>
            </w:rPr>
            <w:t>61</w:t>
          </w:r>
          <w:bookmarkEnd w:id="174"/>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_Toc19543_WPSOffice_Level1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5824"/>
              <w:placeholder>
                <w:docPart w:val="{ff422837-d837-4ab9-ae5f-e71d41b51c2c}"/>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8资格预审</w:t>
              </w:r>
            </w:sdtContent>
          </w:sdt>
          <w:r>
            <w:rPr>
              <w:rFonts w:hint="eastAsia" w:asciiTheme="majorEastAsia" w:hAnsiTheme="majorEastAsia" w:eastAsiaTheme="majorEastAsia" w:cstheme="majorEastAsia"/>
              <w:kern w:val="2"/>
              <w:sz w:val="24"/>
              <w:szCs w:val="24"/>
              <w:lang w:val="en-US" w:eastAsia="zh-CN" w:bidi="ar-SA"/>
            </w:rPr>
            <w:tab/>
          </w:r>
          <w:bookmarkStart w:id="175" w:name="_Toc19543_WPSOffice_Level1Page"/>
          <w:r>
            <w:rPr>
              <w:rFonts w:hint="eastAsia" w:asciiTheme="majorEastAsia" w:hAnsiTheme="majorEastAsia" w:eastAsiaTheme="majorEastAsia" w:cstheme="majorEastAsia"/>
              <w:kern w:val="2"/>
              <w:sz w:val="24"/>
              <w:szCs w:val="24"/>
              <w:lang w:val="en-US" w:eastAsia="zh-CN" w:bidi="ar-SA"/>
            </w:rPr>
            <w:t>62</w:t>
          </w:r>
          <w:bookmarkEnd w:id="175"/>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_Toc16784_WPSOffice_Level1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8174"/>
              <w:placeholder>
                <w:docPart w:val="{8fa0bb16-d26f-4afc-9a7d-b9e4bc3e2e5c}"/>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8.1 一般规定</w:t>
              </w:r>
            </w:sdtContent>
          </w:sdt>
          <w:r>
            <w:rPr>
              <w:rFonts w:hint="eastAsia" w:asciiTheme="majorEastAsia" w:hAnsiTheme="majorEastAsia" w:eastAsiaTheme="majorEastAsia" w:cstheme="majorEastAsia"/>
              <w:sz w:val="24"/>
              <w:szCs w:val="24"/>
              <w:lang w:val="en-US" w:eastAsia="zh-CN"/>
            </w:rPr>
            <w:tab/>
          </w:r>
          <w:bookmarkStart w:id="176" w:name="_Toc16784_WPSOffice_Level1Page"/>
          <w:r>
            <w:rPr>
              <w:rFonts w:hint="eastAsia" w:asciiTheme="majorEastAsia" w:hAnsiTheme="majorEastAsia" w:eastAsiaTheme="majorEastAsia" w:cstheme="majorEastAsia"/>
              <w:sz w:val="24"/>
              <w:szCs w:val="24"/>
              <w:lang w:val="en-US" w:eastAsia="zh-CN"/>
            </w:rPr>
            <w:t>62</w:t>
          </w:r>
          <w:bookmarkEnd w:id="176"/>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_Toc27944_WPSOffice_Level1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68551"/>
              <w:placeholder>
                <w:docPart w:val="{b0d13667-a833-43f9-a55d-e0c178738a42}"/>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9招标文件编制</w:t>
              </w:r>
            </w:sdtContent>
          </w:sdt>
          <w:r>
            <w:rPr>
              <w:rFonts w:hint="eastAsia" w:asciiTheme="majorEastAsia" w:hAnsiTheme="majorEastAsia" w:eastAsiaTheme="majorEastAsia" w:cstheme="majorEastAsia"/>
              <w:kern w:val="2"/>
              <w:sz w:val="24"/>
              <w:szCs w:val="24"/>
              <w:lang w:val="en-US" w:eastAsia="zh-CN" w:bidi="ar-SA"/>
            </w:rPr>
            <w:tab/>
          </w:r>
          <w:bookmarkStart w:id="177" w:name="_Toc27944_WPSOffice_Level1Page"/>
          <w:r>
            <w:rPr>
              <w:rFonts w:hint="eastAsia" w:asciiTheme="majorEastAsia" w:hAnsiTheme="majorEastAsia" w:eastAsiaTheme="majorEastAsia" w:cstheme="majorEastAsia"/>
              <w:kern w:val="2"/>
              <w:sz w:val="24"/>
              <w:szCs w:val="24"/>
              <w:lang w:val="en-US" w:eastAsia="zh-CN" w:bidi="ar-SA"/>
            </w:rPr>
            <w:t>63</w:t>
          </w:r>
          <w:bookmarkEnd w:id="177"/>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_Toc22663_WPSOffice_Level1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8660"/>
              <w:placeholder>
                <w:docPart w:val="{c1b8cf4c-0942-442a-81a3-4553b76be6bf}"/>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9.1 一般规定</w:t>
              </w:r>
            </w:sdtContent>
          </w:sdt>
          <w:r>
            <w:rPr>
              <w:rFonts w:hint="eastAsia" w:asciiTheme="majorEastAsia" w:hAnsiTheme="majorEastAsia" w:eastAsiaTheme="majorEastAsia" w:cstheme="majorEastAsia"/>
              <w:sz w:val="24"/>
              <w:szCs w:val="24"/>
              <w:lang w:val="en-US" w:eastAsia="zh-CN"/>
            </w:rPr>
            <w:tab/>
          </w:r>
          <w:bookmarkStart w:id="178" w:name="_Toc22663_WPSOffice_Level1Page"/>
          <w:r>
            <w:rPr>
              <w:rFonts w:hint="eastAsia" w:asciiTheme="majorEastAsia" w:hAnsiTheme="majorEastAsia" w:eastAsiaTheme="majorEastAsia" w:cstheme="majorEastAsia"/>
              <w:sz w:val="24"/>
              <w:szCs w:val="24"/>
              <w:lang w:val="en-US" w:eastAsia="zh-CN"/>
            </w:rPr>
            <w:t>63</w:t>
          </w:r>
          <w:bookmarkEnd w:id="178"/>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_Toc23592_WPSOffice_Level1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1061"/>
              <w:placeholder>
                <w:docPart w:val="{7161edfc-a836-4603-bcd9-2898ebd08310}"/>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9.2 招标文件的编制</w:t>
              </w:r>
            </w:sdtContent>
          </w:sdt>
          <w:r>
            <w:rPr>
              <w:rFonts w:hint="eastAsia" w:asciiTheme="majorEastAsia" w:hAnsiTheme="majorEastAsia" w:eastAsiaTheme="majorEastAsia" w:cstheme="majorEastAsia"/>
              <w:sz w:val="24"/>
              <w:szCs w:val="24"/>
              <w:lang w:val="en-US" w:eastAsia="zh-CN"/>
            </w:rPr>
            <w:tab/>
          </w:r>
          <w:bookmarkStart w:id="179" w:name="_Toc23592_WPSOffice_Level1Page"/>
          <w:r>
            <w:rPr>
              <w:rFonts w:hint="eastAsia" w:asciiTheme="majorEastAsia" w:hAnsiTheme="majorEastAsia" w:eastAsiaTheme="majorEastAsia" w:cstheme="majorEastAsia"/>
              <w:sz w:val="24"/>
              <w:szCs w:val="24"/>
              <w:lang w:val="en-US" w:eastAsia="zh-CN"/>
            </w:rPr>
            <w:t>63</w:t>
          </w:r>
          <w:bookmarkEnd w:id="179"/>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_Toc3965_WPSOffice_Level1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81638"/>
              <w:placeholder>
                <w:docPart w:val="{d85f137c-a400-4de9-af9f-f558d1f5aa58}"/>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10工程量清单与最高投标限价编制</w:t>
              </w:r>
            </w:sdtContent>
          </w:sdt>
          <w:r>
            <w:rPr>
              <w:rFonts w:hint="eastAsia" w:asciiTheme="majorEastAsia" w:hAnsiTheme="majorEastAsia" w:eastAsiaTheme="majorEastAsia" w:cstheme="majorEastAsia"/>
              <w:kern w:val="2"/>
              <w:sz w:val="24"/>
              <w:szCs w:val="24"/>
              <w:lang w:val="en-US" w:eastAsia="zh-CN" w:bidi="ar-SA"/>
            </w:rPr>
            <w:tab/>
          </w:r>
          <w:bookmarkStart w:id="180" w:name="_Toc3965_WPSOffice_Level1Page"/>
          <w:r>
            <w:rPr>
              <w:rFonts w:hint="eastAsia" w:asciiTheme="majorEastAsia" w:hAnsiTheme="majorEastAsia" w:eastAsiaTheme="majorEastAsia" w:cstheme="majorEastAsia"/>
              <w:kern w:val="2"/>
              <w:sz w:val="24"/>
              <w:szCs w:val="24"/>
              <w:lang w:val="en-US" w:eastAsia="zh-CN" w:bidi="ar-SA"/>
            </w:rPr>
            <w:t>66</w:t>
          </w:r>
          <w:bookmarkEnd w:id="180"/>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_Toc19586_WPSOffice_Level1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5672"/>
              <w:placeholder>
                <w:docPart w:val="{1c551288-78ac-4691-a1e7-de4955f325cb}"/>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10.1 一般规定</w:t>
              </w:r>
            </w:sdtContent>
          </w:sdt>
          <w:r>
            <w:rPr>
              <w:rFonts w:hint="eastAsia" w:asciiTheme="majorEastAsia" w:hAnsiTheme="majorEastAsia" w:eastAsiaTheme="majorEastAsia" w:cstheme="majorEastAsia"/>
              <w:sz w:val="24"/>
              <w:szCs w:val="24"/>
              <w:lang w:val="en-US" w:eastAsia="zh-CN"/>
            </w:rPr>
            <w:tab/>
          </w:r>
          <w:bookmarkStart w:id="181" w:name="_Toc19586_WPSOffice_Level1Page"/>
          <w:r>
            <w:rPr>
              <w:rFonts w:hint="eastAsia" w:asciiTheme="majorEastAsia" w:hAnsiTheme="majorEastAsia" w:eastAsiaTheme="majorEastAsia" w:cstheme="majorEastAsia"/>
              <w:sz w:val="24"/>
              <w:szCs w:val="24"/>
              <w:lang w:val="en-US" w:eastAsia="zh-CN"/>
            </w:rPr>
            <w:t>66</w:t>
          </w:r>
          <w:bookmarkEnd w:id="181"/>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_Toc6994_WPSOffice_Level1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1956"/>
              <w:placeholder>
                <w:docPart w:val="{9a94bbd4-9b29-4e33-8bd1-22aa1a220d75}"/>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10.2 工程量清单编制</w:t>
              </w:r>
            </w:sdtContent>
          </w:sdt>
          <w:r>
            <w:rPr>
              <w:rFonts w:hint="eastAsia" w:asciiTheme="majorEastAsia" w:hAnsiTheme="majorEastAsia" w:eastAsiaTheme="majorEastAsia" w:cstheme="majorEastAsia"/>
              <w:sz w:val="24"/>
              <w:szCs w:val="24"/>
              <w:lang w:val="en-US" w:eastAsia="zh-CN"/>
            </w:rPr>
            <w:tab/>
          </w:r>
          <w:bookmarkStart w:id="182" w:name="_Toc6994_WPSOffice_Level1Page"/>
          <w:r>
            <w:rPr>
              <w:rFonts w:hint="eastAsia" w:asciiTheme="majorEastAsia" w:hAnsiTheme="majorEastAsia" w:eastAsiaTheme="majorEastAsia" w:cstheme="majorEastAsia"/>
              <w:sz w:val="24"/>
              <w:szCs w:val="24"/>
              <w:lang w:val="en-US" w:eastAsia="zh-CN"/>
            </w:rPr>
            <w:t>66</w:t>
          </w:r>
          <w:bookmarkEnd w:id="182"/>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_Toc15481_WPSOffice_Level1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3277"/>
              <w:placeholder>
                <w:docPart w:val="{98d7943b-ef2e-4eab-8993-22437efb6926}"/>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10.3 最高投标限价（招标控制价）编制</w:t>
              </w:r>
            </w:sdtContent>
          </w:sdt>
          <w:r>
            <w:rPr>
              <w:rFonts w:hint="eastAsia" w:asciiTheme="majorEastAsia" w:hAnsiTheme="majorEastAsia" w:eastAsiaTheme="majorEastAsia" w:cstheme="majorEastAsia"/>
              <w:sz w:val="24"/>
              <w:szCs w:val="24"/>
              <w:lang w:val="en-US" w:eastAsia="zh-CN"/>
            </w:rPr>
            <w:tab/>
          </w:r>
          <w:bookmarkStart w:id="183" w:name="_Toc15481_WPSOffice_Level1Page"/>
          <w:r>
            <w:rPr>
              <w:rFonts w:hint="eastAsia" w:asciiTheme="majorEastAsia" w:hAnsiTheme="majorEastAsia" w:eastAsiaTheme="majorEastAsia" w:cstheme="majorEastAsia"/>
              <w:sz w:val="24"/>
              <w:szCs w:val="24"/>
              <w:lang w:val="en-US" w:eastAsia="zh-CN"/>
            </w:rPr>
            <w:t>66</w:t>
          </w:r>
          <w:bookmarkEnd w:id="183"/>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_Toc4784_WPSOffice_Level1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58745"/>
              <w:placeholder>
                <w:docPart w:val="{a47468b8-4fe6-4346-a75a-b0a786e9ddf7}"/>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11招标文件澄清、修改和异议</w:t>
              </w:r>
            </w:sdtContent>
          </w:sdt>
          <w:r>
            <w:rPr>
              <w:rFonts w:hint="eastAsia" w:asciiTheme="majorEastAsia" w:hAnsiTheme="majorEastAsia" w:eastAsiaTheme="majorEastAsia" w:cstheme="majorEastAsia"/>
              <w:kern w:val="2"/>
              <w:sz w:val="24"/>
              <w:szCs w:val="24"/>
              <w:lang w:val="en-US" w:eastAsia="zh-CN" w:bidi="ar-SA"/>
            </w:rPr>
            <w:tab/>
          </w:r>
          <w:bookmarkStart w:id="184" w:name="_Toc4784_WPSOffice_Level1Page"/>
          <w:r>
            <w:rPr>
              <w:rFonts w:hint="eastAsia" w:asciiTheme="majorEastAsia" w:hAnsiTheme="majorEastAsia" w:eastAsiaTheme="majorEastAsia" w:cstheme="majorEastAsia"/>
              <w:kern w:val="2"/>
              <w:sz w:val="24"/>
              <w:szCs w:val="24"/>
              <w:lang w:val="en-US" w:eastAsia="zh-CN" w:bidi="ar-SA"/>
            </w:rPr>
            <w:t>67</w:t>
          </w:r>
          <w:bookmarkEnd w:id="184"/>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_Toc31665_WPSOffice_Level1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82271"/>
              <w:placeholder>
                <w:docPart w:val="{c83cba11-b9d8-492f-8fce-ab9215371ef1}"/>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11.1 招标文件澄清、修改</w:t>
              </w:r>
            </w:sdtContent>
          </w:sdt>
          <w:r>
            <w:rPr>
              <w:rFonts w:hint="eastAsia" w:asciiTheme="majorEastAsia" w:hAnsiTheme="majorEastAsia" w:eastAsiaTheme="majorEastAsia" w:cstheme="majorEastAsia"/>
              <w:sz w:val="24"/>
              <w:szCs w:val="24"/>
              <w:lang w:val="en-US" w:eastAsia="zh-CN"/>
            </w:rPr>
            <w:tab/>
          </w:r>
          <w:bookmarkStart w:id="185" w:name="_Toc31665_WPSOffice_Level1Page"/>
          <w:r>
            <w:rPr>
              <w:rFonts w:hint="eastAsia" w:asciiTheme="majorEastAsia" w:hAnsiTheme="majorEastAsia" w:eastAsiaTheme="majorEastAsia" w:cstheme="majorEastAsia"/>
              <w:sz w:val="24"/>
              <w:szCs w:val="24"/>
              <w:lang w:val="en-US" w:eastAsia="zh-CN"/>
            </w:rPr>
            <w:t>67</w:t>
          </w:r>
          <w:bookmarkEnd w:id="185"/>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_Toc29617_WPSOffice_Level1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9771"/>
              <w:placeholder>
                <w:docPart w:val="{bbbc21da-96f5-44c8-a720-4bb855fe00bf}"/>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11.2 招标文件的异议</w:t>
              </w:r>
            </w:sdtContent>
          </w:sdt>
          <w:r>
            <w:rPr>
              <w:rFonts w:hint="eastAsia" w:asciiTheme="majorEastAsia" w:hAnsiTheme="majorEastAsia" w:eastAsiaTheme="majorEastAsia" w:cstheme="majorEastAsia"/>
              <w:sz w:val="24"/>
              <w:szCs w:val="24"/>
              <w:lang w:val="en-US" w:eastAsia="zh-CN"/>
            </w:rPr>
            <w:tab/>
          </w:r>
          <w:bookmarkStart w:id="186" w:name="_Toc29617_WPSOffice_Level1Page"/>
          <w:r>
            <w:rPr>
              <w:rFonts w:hint="eastAsia" w:asciiTheme="majorEastAsia" w:hAnsiTheme="majorEastAsia" w:eastAsiaTheme="majorEastAsia" w:cstheme="majorEastAsia"/>
              <w:sz w:val="24"/>
              <w:szCs w:val="24"/>
              <w:lang w:val="en-US" w:eastAsia="zh-CN"/>
            </w:rPr>
            <w:t>67</w:t>
          </w:r>
          <w:bookmarkEnd w:id="186"/>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_Toc20698_WPSOffice_Level1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64557"/>
              <w:placeholder>
                <w:docPart w:val="{eb56dff3-3c4f-4f96-9599-2c9d04bbd22f}"/>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12接收投标文件</w:t>
              </w:r>
            </w:sdtContent>
          </w:sdt>
          <w:r>
            <w:rPr>
              <w:rFonts w:hint="eastAsia" w:asciiTheme="majorEastAsia" w:hAnsiTheme="majorEastAsia" w:eastAsiaTheme="majorEastAsia" w:cstheme="majorEastAsia"/>
              <w:kern w:val="2"/>
              <w:sz w:val="24"/>
              <w:szCs w:val="24"/>
              <w:lang w:val="en-US" w:eastAsia="zh-CN" w:bidi="ar-SA"/>
            </w:rPr>
            <w:tab/>
          </w:r>
          <w:bookmarkStart w:id="187" w:name="_Toc20698_WPSOffice_Level1Page"/>
          <w:r>
            <w:rPr>
              <w:rFonts w:hint="eastAsia" w:asciiTheme="majorEastAsia" w:hAnsiTheme="majorEastAsia" w:eastAsiaTheme="majorEastAsia" w:cstheme="majorEastAsia"/>
              <w:kern w:val="2"/>
              <w:sz w:val="24"/>
              <w:szCs w:val="24"/>
              <w:lang w:val="en-US" w:eastAsia="zh-CN" w:bidi="ar-SA"/>
            </w:rPr>
            <w:t>69</w:t>
          </w:r>
          <w:bookmarkEnd w:id="187"/>
          <w:r>
            <w:rPr>
              <w:rFonts w:hint="eastAsia" w:asciiTheme="majorEastAsia" w:hAnsiTheme="majorEastAsia" w:eastAsiaTheme="majorEastAsia" w:cstheme="majorEastAsia"/>
              <w:kern w:val="2"/>
              <w:sz w:val="24"/>
              <w:szCs w:val="24"/>
              <w:lang w:val="en-US" w:eastAsia="zh-CN" w:bidi="ar-SA"/>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_Toc3920_WPSOffice_Level1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6150"/>
              <w:placeholder>
                <w:docPart w:val="{c9120700-f986-4abc-b158-3660f4800463}"/>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13组织开标</w:t>
              </w:r>
            </w:sdtContent>
          </w:sdt>
          <w:r>
            <w:rPr>
              <w:rFonts w:hint="eastAsia" w:asciiTheme="majorEastAsia" w:hAnsiTheme="majorEastAsia" w:eastAsiaTheme="majorEastAsia" w:cstheme="majorEastAsia"/>
              <w:kern w:val="2"/>
              <w:sz w:val="24"/>
              <w:szCs w:val="24"/>
              <w:lang w:val="en-US" w:eastAsia="zh-CN" w:bidi="ar-SA"/>
            </w:rPr>
            <w:tab/>
          </w:r>
          <w:bookmarkStart w:id="188" w:name="_Toc3920_WPSOffice_Level1Page"/>
          <w:r>
            <w:rPr>
              <w:rFonts w:hint="eastAsia" w:asciiTheme="majorEastAsia" w:hAnsiTheme="majorEastAsia" w:eastAsiaTheme="majorEastAsia" w:cstheme="majorEastAsia"/>
              <w:kern w:val="2"/>
              <w:sz w:val="24"/>
              <w:szCs w:val="24"/>
              <w:lang w:val="en-US" w:eastAsia="zh-CN" w:bidi="ar-SA"/>
            </w:rPr>
            <w:t>70</w:t>
          </w:r>
          <w:bookmarkEnd w:id="188"/>
          <w:r>
            <w:rPr>
              <w:rFonts w:hint="eastAsia" w:asciiTheme="majorEastAsia" w:hAnsiTheme="majorEastAsia" w:eastAsiaTheme="majorEastAsia" w:cstheme="majorEastAsia"/>
              <w:kern w:val="2"/>
              <w:sz w:val="24"/>
              <w:szCs w:val="24"/>
              <w:lang w:val="en-US" w:eastAsia="zh-CN" w:bidi="ar-SA"/>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_Toc8652_WPSOffice_Level1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3265"/>
              <w:placeholder>
                <w:docPart w:val="{98ffcee5-6292-45f4-8150-0428623aaa4e}"/>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14组织评标</w:t>
              </w:r>
            </w:sdtContent>
          </w:sdt>
          <w:r>
            <w:rPr>
              <w:rFonts w:hint="eastAsia" w:asciiTheme="majorEastAsia" w:hAnsiTheme="majorEastAsia" w:eastAsiaTheme="majorEastAsia" w:cstheme="majorEastAsia"/>
              <w:kern w:val="2"/>
              <w:sz w:val="24"/>
              <w:szCs w:val="24"/>
              <w:lang w:val="en-US" w:eastAsia="zh-CN" w:bidi="ar-SA"/>
            </w:rPr>
            <w:tab/>
          </w:r>
          <w:bookmarkStart w:id="189" w:name="_Toc8652_WPSOffice_Level1Page"/>
          <w:r>
            <w:rPr>
              <w:rFonts w:hint="eastAsia" w:asciiTheme="majorEastAsia" w:hAnsiTheme="majorEastAsia" w:eastAsiaTheme="majorEastAsia" w:cstheme="majorEastAsia"/>
              <w:kern w:val="2"/>
              <w:sz w:val="24"/>
              <w:szCs w:val="24"/>
              <w:lang w:val="en-US" w:eastAsia="zh-CN" w:bidi="ar-SA"/>
            </w:rPr>
            <w:t>71</w:t>
          </w:r>
          <w:bookmarkEnd w:id="189"/>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_Toc20907_WPSOffice_Level1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82319"/>
              <w:placeholder>
                <w:docPart w:val="{12737261-81f7-4ba1-a025-174a99ea19bf}"/>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14.2 评标委员会的组建</w:t>
              </w:r>
            </w:sdtContent>
          </w:sdt>
          <w:r>
            <w:rPr>
              <w:rFonts w:hint="eastAsia" w:asciiTheme="majorEastAsia" w:hAnsiTheme="majorEastAsia" w:eastAsiaTheme="majorEastAsia" w:cstheme="majorEastAsia"/>
              <w:sz w:val="24"/>
              <w:szCs w:val="24"/>
              <w:lang w:val="en-US" w:eastAsia="zh-CN"/>
            </w:rPr>
            <w:tab/>
          </w:r>
          <w:bookmarkStart w:id="190" w:name="_Toc20907_WPSOffice_Level1Page"/>
          <w:r>
            <w:rPr>
              <w:rFonts w:hint="eastAsia" w:asciiTheme="majorEastAsia" w:hAnsiTheme="majorEastAsia" w:eastAsiaTheme="majorEastAsia" w:cstheme="majorEastAsia"/>
              <w:sz w:val="24"/>
              <w:szCs w:val="24"/>
              <w:lang w:val="en-US" w:eastAsia="zh-CN"/>
            </w:rPr>
            <w:t>71</w:t>
          </w:r>
          <w:bookmarkEnd w:id="190"/>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_Toc22858_WPSOffice_Level1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7014"/>
              <w:placeholder>
                <w:docPart w:val="{40772a29-c85f-4be9-8cca-dcb8d4677222}"/>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14.3 评标</w:t>
              </w:r>
            </w:sdtContent>
          </w:sdt>
          <w:r>
            <w:rPr>
              <w:rFonts w:hint="eastAsia" w:asciiTheme="majorEastAsia" w:hAnsiTheme="majorEastAsia" w:eastAsiaTheme="majorEastAsia" w:cstheme="majorEastAsia"/>
              <w:sz w:val="24"/>
              <w:szCs w:val="24"/>
              <w:lang w:val="en-US" w:eastAsia="zh-CN"/>
            </w:rPr>
            <w:tab/>
          </w:r>
          <w:bookmarkStart w:id="191" w:name="_Toc22858_WPSOffice_Level1Page"/>
          <w:r>
            <w:rPr>
              <w:rFonts w:hint="eastAsia" w:asciiTheme="majorEastAsia" w:hAnsiTheme="majorEastAsia" w:eastAsiaTheme="majorEastAsia" w:cstheme="majorEastAsia"/>
              <w:sz w:val="24"/>
              <w:szCs w:val="24"/>
              <w:lang w:val="en-US" w:eastAsia="zh-CN"/>
            </w:rPr>
            <w:t>71</w:t>
          </w:r>
          <w:bookmarkEnd w:id="191"/>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_Toc21801_WPSOffice_Level1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2875"/>
              <w:placeholder>
                <w:docPart w:val="{bdb7ef4c-5958-4754-abb8-ff56e7ee9b27}"/>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15协助定标</w:t>
              </w:r>
            </w:sdtContent>
          </w:sdt>
          <w:r>
            <w:rPr>
              <w:rFonts w:hint="eastAsia" w:asciiTheme="majorEastAsia" w:hAnsiTheme="majorEastAsia" w:eastAsiaTheme="majorEastAsia" w:cstheme="majorEastAsia"/>
              <w:kern w:val="2"/>
              <w:sz w:val="24"/>
              <w:szCs w:val="24"/>
              <w:lang w:val="en-US" w:eastAsia="zh-CN" w:bidi="ar-SA"/>
            </w:rPr>
            <w:tab/>
          </w:r>
          <w:bookmarkStart w:id="192" w:name="_Toc21801_WPSOffice_Level1Page"/>
          <w:r>
            <w:rPr>
              <w:rFonts w:hint="eastAsia" w:asciiTheme="majorEastAsia" w:hAnsiTheme="majorEastAsia" w:eastAsiaTheme="majorEastAsia" w:cstheme="majorEastAsia"/>
              <w:kern w:val="2"/>
              <w:sz w:val="24"/>
              <w:szCs w:val="24"/>
              <w:lang w:val="en-US" w:eastAsia="zh-CN" w:bidi="ar-SA"/>
            </w:rPr>
            <w:t>73</w:t>
          </w:r>
          <w:bookmarkEnd w:id="192"/>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_Toc24580_WPSOffice_Level1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8049"/>
              <w:placeholder>
                <w:docPart w:val="{eed91ef6-6e0f-46bb-afca-216ec79d29be}"/>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15.1 中标候选人公示</w:t>
              </w:r>
            </w:sdtContent>
          </w:sdt>
          <w:r>
            <w:rPr>
              <w:rFonts w:hint="eastAsia" w:asciiTheme="majorEastAsia" w:hAnsiTheme="majorEastAsia" w:eastAsiaTheme="majorEastAsia" w:cstheme="majorEastAsia"/>
              <w:sz w:val="24"/>
              <w:szCs w:val="24"/>
              <w:lang w:val="en-US" w:eastAsia="zh-CN"/>
            </w:rPr>
            <w:tab/>
          </w:r>
          <w:bookmarkStart w:id="193" w:name="_Toc24580_WPSOffice_Level1Page"/>
          <w:r>
            <w:rPr>
              <w:rFonts w:hint="eastAsia" w:asciiTheme="majorEastAsia" w:hAnsiTheme="majorEastAsia" w:eastAsiaTheme="majorEastAsia" w:cstheme="majorEastAsia"/>
              <w:sz w:val="24"/>
              <w:szCs w:val="24"/>
              <w:lang w:val="en-US" w:eastAsia="zh-CN"/>
            </w:rPr>
            <w:t>73</w:t>
          </w:r>
          <w:bookmarkEnd w:id="193"/>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_Toc24576_WPSOffice_Level1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9651"/>
              <w:placeholder>
                <w:docPart w:val="{82f6c507-6902-411f-9924-5557de4d4501}"/>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15.2 协助定标</w:t>
              </w:r>
            </w:sdtContent>
          </w:sdt>
          <w:r>
            <w:rPr>
              <w:rFonts w:hint="eastAsia" w:asciiTheme="majorEastAsia" w:hAnsiTheme="majorEastAsia" w:eastAsiaTheme="majorEastAsia" w:cstheme="majorEastAsia"/>
              <w:sz w:val="24"/>
              <w:szCs w:val="24"/>
              <w:lang w:val="en-US" w:eastAsia="zh-CN"/>
            </w:rPr>
            <w:tab/>
          </w:r>
          <w:bookmarkStart w:id="194" w:name="_Toc24576_WPSOffice_Level1Page"/>
          <w:r>
            <w:rPr>
              <w:rFonts w:hint="eastAsia" w:asciiTheme="majorEastAsia" w:hAnsiTheme="majorEastAsia" w:eastAsiaTheme="majorEastAsia" w:cstheme="majorEastAsia"/>
              <w:sz w:val="24"/>
              <w:szCs w:val="24"/>
              <w:lang w:val="en-US" w:eastAsia="zh-CN"/>
            </w:rPr>
            <w:t>73</w:t>
          </w:r>
          <w:bookmarkEnd w:id="194"/>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_Toc27285_WPSOffice_Level1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67696"/>
              <w:placeholder>
                <w:docPart w:val="{9543c30d-5a39-4115-8940-8c261f6c6c11}"/>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16协助签订合同及其他服务</w:t>
              </w:r>
            </w:sdtContent>
          </w:sdt>
          <w:r>
            <w:rPr>
              <w:rFonts w:hint="eastAsia" w:asciiTheme="majorEastAsia" w:hAnsiTheme="majorEastAsia" w:eastAsiaTheme="majorEastAsia" w:cstheme="majorEastAsia"/>
              <w:kern w:val="2"/>
              <w:sz w:val="24"/>
              <w:szCs w:val="24"/>
              <w:lang w:val="en-US" w:eastAsia="zh-CN" w:bidi="ar-SA"/>
            </w:rPr>
            <w:tab/>
          </w:r>
          <w:bookmarkStart w:id="195" w:name="_Toc27285_WPSOffice_Level1Page"/>
          <w:r>
            <w:rPr>
              <w:rFonts w:hint="eastAsia" w:asciiTheme="majorEastAsia" w:hAnsiTheme="majorEastAsia" w:eastAsiaTheme="majorEastAsia" w:cstheme="majorEastAsia"/>
              <w:kern w:val="2"/>
              <w:sz w:val="24"/>
              <w:szCs w:val="24"/>
              <w:lang w:val="en-US" w:eastAsia="zh-CN" w:bidi="ar-SA"/>
            </w:rPr>
            <w:t>75</w:t>
          </w:r>
          <w:bookmarkEnd w:id="195"/>
          <w:r>
            <w:rPr>
              <w:rFonts w:hint="eastAsia" w:asciiTheme="majorEastAsia" w:hAnsiTheme="majorEastAsia" w:eastAsiaTheme="majorEastAsia" w:cstheme="majorEastAsia"/>
              <w:kern w:val="2"/>
              <w:sz w:val="24"/>
              <w:szCs w:val="24"/>
              <w:lang w:val="en-US" w:eastAsia="zh-CN" w:bidi="ar-SA"/>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_Toc9899_WPSOffice_Level1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57650"/>
              <w:placeholder>
                <w:docPart w:val="{aca1ee15-dbc4-4fbd-af2f-a6f27167ae07}"/>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17招标代理项目档案管理</w:t>
              </w:r>
            </w:sdtContent>
          </w:sdt>
          <w:r>
            <w:rPr>
              <w:rFonts w:hint="eastAsia" w:asciiTheme="majorEastAsia" w:hAnsiTheme="majorEastAsia" w:eastAsiaTheme="majorEastAsia" w:cstheme="majorEastAsia"/>
              <w:kern w:val="2"/>
              <w:sz w:val="24"/>
              <w:szCs w:val="24"/>
              <w:lang w:val="en-US" w:eastAsia="zh-CN" w:bidi="ar-SA"/>
            </w:rPr>
            <w:tab/>
          </w:r>
          <w:bookmarkStart w:id="196" w:name="_Toc9899_WPSOffice_Level1Page"/>
          <w:r>
            <w:rPr>
              <w:rFonts w:hint="eastAsia" w:asciiTheme="majorEastAsia" w:hAnsiTheme="majorEastAsia" w:eastAsiaTheme="majorEastAsia" w:cstheme="majorEastAsia"/>
              <w:kern w:val="2"/>
              <w:sz w:val="24"/>
              <w:szCs w:val="24"/>
              <w:lang w:val="en-US" w:eastAsia="zh-CN" w:bidi="ar-SA"/>
            </w:rPr>
            <w:t>76</w:t>
          </w:r>
          <w:bookmarkEnd w:id="196"/>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_Toc11410_WPSOffice_Level1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67825"/>
              <w:placeholder>
                <w:docPart w:val="{618d7e64-a8f1-4b7d-8ded-244292cb055f}"/>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17.1 一般规定</w:t>
              </w:r>
            </w:sdtContent>
          </w:sdt>
          <w:r>
            <w:rPr>
              <w:rFonts w:hint="eastAsia" w:asciiTheme="majorEastAsia" w:hAnsiTheme="majorEastAsia" w:eastAsiaTheme="majorEastAsia" w:cstheme="majorEastAsia"/>
              <w:sz w:val="24"/>
              <w:szCs w:val="24"/>
              <w:lang w:val="en-US" w:eastAsia="zh-CN"/>
            </w:rPr>
            <w:tab/>
          </w:r>
          <w:bookmarkStart w:id="197" w:name="_Toc11410_WPSOffice_Level1Page"/>
          <w:r>
            <w:rPr>
              <w:rFonts w:hint="eastAsia" w:asciiTheme="majorEastAsia" w:hAnsiTheme="majorEastAsia" w:eastAsiaTheme="majorEastAsia" w:cstheme="majorEastAsia"/>
              <w:sz w:val="24"/>
              <w:szCs w:val="24"/>
              <w:lang w:val="en-US" w:eastAsia="zh-CN"/>
            </w:rPr>
            <w:t>76</w:t>
          </w:r>
          <w:bookmarkEnd w:id="197"/>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_Toc17235_WPSOffice_Level1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4515"/>
              <w:placeholder>
                <w:docPart w:val="{fe2c5f28-7f34-4b3a-950b-b12546f9aec4}"/>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17.2 归档资料</w:t>
              </w:r>
            </w:sdtContent>
          </w:sdt>
          <w:r>
            <w:rPr>
              <w:rFonts w:hint="eastAsia" w:asciiTheme="majorEastAsia" w:hAnsiTheme="majorEastAsia" w:eastAsiaTheme="majorEastAsia" w:cstheme="majorEastAsia"/>
              <w:sz w:val="24"/>
              <w:szCs w:val="24"/>
              <w:lang w:val="en-US" w:eastAsia="zh-CN"/>
            </w:rPr>
            <w:tab/>
          </w:r>
          <w:bookmarkStart w:id="198" w:name="_Toc17235_WPSOffice_Level1Page"/>
          <w:r>
            <w:rPr>
              <w:rFonts w:hint="eastAsia" w:asciiTheme="majorEastAsia" w:hAnsiTheme="majorEastAsia" w:eastAsiaTheme="majorEastAsia" w:cstheme="majorEastAsia"/>
              <w:sz w:val="24"/>
              <w:szCs w:val="24"/>
              <w:lang w:val="en-US" w:eastAsia="zh-CN"/>
            </w:rPr>
            <w:t>76</w:t>
          </w:r>
          <w:bookmarkEnd w:id="198"/>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_Toc16609_WPSOffice_Level1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6131"/>
              <w:placeholder>
                <w:docPart w:val="{faabbbc4-0b21-405f-b37f-b0c9bfff2e76}"/>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17.3 立卷材料</w:t>
              </w:r>
            </w:sdtContent>
          </w:sdt>
          <w:r>
            <w:rPr>
              <w:rFonts w:hint="eastAsia" w:asciiTheme="majorEastAsia" w:hAnsiTheme="majorEastAsia" w:eastAsiaTheme="majorEastAsia" w:cstheme="majorEastAsia"/>
              <w:sz w:val="24"/>
              <w:szCs w:val="24"/>
              <w:lang w:val="en-US" w:eastAsia="zh-CN"/>
            </w:rPr>
            <w:tab/>
          </w:r>
          <w:bookmarkStart w:id="199" w:name="_Toc16609_WPSOffice_Level1Page"/>
          <w:r>
            <w:rPr>
              <w:rFonts w:hint="eastAsia" w:asciiTheme="majorEastAsia" w:hAnsiTheme="majorEastAsia" w:eastAsiaTheme="majorEastAsia" w:cstheme="majorEastAsia"/>
              <w:sz w:val="24"/>
              <w:szCs w:val="24"/>
              <w:lang w:val="en-US" w:eastAsia="zh-CN"/>
            </w:rPr>
            <w:t>76</w:t>
          </w:r>
          <w:bookmarkEnd w:id="199"/>
          <w:r>
            <w:rPr>
              <w:rFonts w:hint="eastAsia" w:asciiTheme="majorEastAsia" w:hAnsiTheme="majorEastAsia" w:eastAsiaTheme="majorEastAsia" w:cstheme="majorEastAsia"/>
              <w:sz w:val="24"/>
              <w:szCs w:val="24"/>
              <w:lang w:val="en-US" w:eastAsia="zh-CN"/>
            </w:rPr>
            <w:fldChar w:fldCharType="end"/>
          </w:r>
        </w:p>
        <w:p>
          <w:pPr>
            <w:pStyle w:val="9"/>
            <w:spacing w:line="480" w:lineRule="auto"/>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_Toc4406_WPSOffice_Level1 </w:instrText>
          </w:r>
          <w:r>
            <w:rPr>
              <w:rFonts w:hint="eastAsia" w:asciiTheme="majorEastAsia" w:hAnsiTheme="majorEastAsia" w:eastAsiaTheme="majorEastAsia" w:cstheme="majorEastAsia"/>
              <w:kern w:val="2"/>
              <w:sz w:val="24"/>
              <w:szCs w:val="24"/>
              <w:lang w:val="en-US" w:eastAsia="zh-CN" w:bidi="ar-SA"/>
            </w:rPr>
            <w:fldChar w:fldCharType="separate"/>
          </w:r>
          <w:sdt>
            <w:sdtPr>
              <w:rPr>
                <w:rFonts w:hint="eastAsia" w:asciiTheme="majorEastAsia" w:hAnsiTheme="majorEastAsia" w:eastAsiaTheme="majorEastAsia" w:cstheme="majorEastAsia"/>
                <w:kern w:val="2"/>
                <w:sz w:val="24"/>
                <w:szCs w:val="24"/>
                <w:lang w:val="zh-CN" w:eastAsia="zh-CN" w:bidi="ar-SA"/>
              </w:rPr>
              <w:id w:val="147477086"/>
              <w:placeholder>
                <w:docPart w:val="{4fc18585-57f8-4870-9293-b1929802b317}"/>
              </w:placeholder>
            </w:sdtPr>
            <w:sdtEndPr>
              <w:rPr>
                <w:rFonts w:hint="eastAsia" w:asciiTheme="majorEastAsia" w:hAnsiTheme="majorEastAsia" w:eastAsiaTheme="majorEastAsia" w:cstheme="majorEastAsia"/>
                <w:kern w:val="2"/>
                <w:sz w:val="24"/>
                <w:szCs w:val="24"/>
                <w:lang w:val="zh-CN" w:eastAsia="zh-CN" w:bidi="ar-SA"/>
              </w:rPr>
            </w:sdtEndPr>
            <w:sdtContent>
              <w:r>
                <w:rPr>
                  <w:rFonts w:hint="eastAsia" w:asciiTheme="majorEastAsia" w:hAnsiTheme="majorEastAsia" w:eastAsiaTheme="majorEastAsia" w:cstheme="majorEastAsia"/>
                  <w:kern w:val="2"/>
                  <w:sz w:val="24"/>
                  <w:szCs w:val="24"/>
                  <w:lang w:val="en-US" w:eastAsia="zh-CN" w:bidi="ar-SA"/>
                </w:rPr>
                <w:t>18服务评价与改进</w:t>
              </w:r>
            </w:sdtContent>
          </w:sdt>
          <w:r>
            <w:rPr>
              <w:rFonts w:hint="eastAsia" w:asciiTheme="majorEastAsia" w:hAnsiTheme="majorEastAsia" w:eastAsiaTheme="majorEastAsia" w:cstheme="majorEastAsia"/>
              <w:kern w:val="2"/>
              <w:sz w:val="24"/>
              <w:szCs w:val="24"/>
              <w:lang w:val="en-US" w:eastAsia="zh-CN" w:bidi="ar-SA"/>
            </w:rPr>
            <w:tab/>
          </w:r>
          <w:bookmarkStart w:id="200" w:name="_Toc4406_WPSOffice_Level1Page"/>
          <w:r>
            <w:rPr>
              <w:rFonts w:hint="eastAsia" w:asciiTheme="majorEastAsia" w:hAnsiTheme="majorEastAsia" w:eastAsiaTheme="majorEastAsia" w:cstheme="majorEastAsia"/>
              <w:kern w:val="2"/>
              <w:sz w:val="24"/>
              <w:szCs w:val="24"/>
              <w:lang w:val="en-US" w:eastAsia="zh-CN" w:bidi="ar-SA"/>
            </w:rPr>
            <w:t>77</w:t>
          </w:r>
          <w:bookmarkEnd w:id="200"/>
          <w:r>
            <w:rPr>
              <w:rFonts w:hint="eastAsia" w:asciiTheme="majorEastAsia" w:hAnsiTheme="majorEastAsia" w:eastAsiaTheme="majorEastAsia" w:cstheme="majorEastAsia"/>
              <w:kern w:val="2"/>
              <w:sz w:val="24"/>
              <w:szCs w:val="24"/>
              <w:lang w:val="en-US" w:eastAsia="zh-CN" w:bidi="ar-SA"/>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_Toc23022_WPSOffice_Level1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56762"/>
              <w:placeholder>
                <w:docPart w:val="{f20cc6ba-de1d-45bc-81ea-5b848a35ed1d}"/>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18.1 服务评价</w:t>
              </w:r>
            </w:sdtContent>
          </w:sdt>
          <w:r>
            <w:rPr>
              <w:rFonts w:hint="eastAsia" w:asciiTheme="majorEastAsia" w:hAnsiTheme="majorEastAsia" w:eastAsiaTheme="majorEastAsia" w:cstheme="majorEastAsia"/>
              <w:sz w:val="24"/>
              <w:szCs w:val="24"/>
              <w:lang w:val="en-US" w:eastAsia="zh-CN"/>
            </w:rPr>
            <w:tab/>
          </w:r>
          <w:bookmarkStart w:id="201" w:name="_Toc23022_WPSOffice_Level1Page"/>
          <w:r>
            <w:rPr>
              <w:rFonts w:hint="eastAsia" w:asciiTheme="majorEastAsia" w:hAnsiTheme="majorEastAsia" w:eastAsiaTheme="majorEastAsia" w:cstheme="majorEastAsia"/>
              <w:sz w:val="24"/>
              <w:szCs w:val="24"/>
              <w:lang w:val="en-US" w:eastAsia="zh-CN"/>
            </w:rPr>
            <w:t>77</w:t>
          </w:r>
          <w:bookmarkEnd w:id="201"/>
          <w:r>
            <w:rPr>
              <w:rFonts w:hint="eastAsia" w:asciiTheme="majorEastAsia" w:hAnsiTheme="majorEastAsia" w:eastAsiaTheme="majorEastAsia" w:cstheme="majorEastAsia"/>
              <w:sz w:val="24"/>
              <w:szCs w:val="24"/>
              <w:lang w:val="en-US" w:eastAsia="zh-CN"/>
            </w:rPr>
            <w:fldChar w:fldCharType="end"/>
          </w:r>
        </w:p>
        <w:p>
          <w:pPr>
            <w:pStyle w:val="10"/>
            <w:tabs>
              <w:tab w:val="right" w:leader="dot" w:pos="8296"/>
            </w:tabs>
            <w:spacing w:line="480" w:lineRule="auto"/>
            <w:ind w:left="0" w:leftChars="0"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_Toc21646_WPSOffice_Level1 </w:instrText>
          </w:r>
          <w:r>
            <w:rPr>
              <w:rFonts w:hint="eastAsia" w:asciiTheme="majorEastAsia" w:hAnsiTheme="majorEastAsia" w:eastAsiaTheme="majorEastAsia" w:cstheme="majorEastAsia"/>
              <w:sz w:val="24"/>
              <w:szCs w:val="24"/>
              <w:lang w:val="en-US" w:eastAsia="zh-CN"/>
            </w:rPr>
            <w:fldChar w:fldCharType="separate"/>
          </w:r>
          <w:sdt>
            <w:sdtPr>
              <w:rPr>
                <w:rFonts w:hint="eastAsia" w:asciiTheme="majorEastAsia" w:hAnsiTheme="majorEastAsia" w:eastAsiaTheme="majorEastAsia" w:cstheme="majorEastAsia"/>
                <w:sz w:val="24"/>
                <w:szCs w:val="24"/>
                <w:lang w:val="zh-CN" w:eastAsia="zh-CN"/>
              </w:rPr>
              <w:id w:val="147472625"/>
              <w:placeholder>
                <w:docPart w:val="{37fe37ad-5f46-4f84-893d-ef502086e594}"/>
              </w:placeholder>
            </w:sdtPr>
            <w:sdtEndPr>
              <w:rPr>
                <w:rFonts w:hint="eastAsia" w:asciiTheme="majorEastAsia" w:hAnsiTheme="majorEastAsia" w:eastAsiaTheme="majorEastAsia" w:cstheme="majorEastAsia"/>
                <w:sz w:val="24"/>
                <w:szCs w:val="24"/>
                <w:lang w:val="zh-CN" w:eastAsia="zh-CN"/>
              </w:rPr>
            </w:sdtEndPr>
            <w:sdtContent>
              <w:r>
                <w:rPr>
                  <w:rFonts w:hint="eastAsia" w:asciiTheme="majorEastAsia" w:hAnsiTheme="majorEastAsia" w:eastAsiaTheme="majorEastAsia" w:cstheme="majorEastAsia"/>
                  <w:sz w:val="24"/>
                  <w:szCs w:val="24"/>
                  <w:lang w:val="en-US" w:eastAsia="zh-CN"/>
                </w:rPr>
                <w:t>18.2 服务改进</w:t>
              </w:r>
            </w:sdtContent>
          </w:sdt>
          <w:r>
            <w:rPr>
              <w:rFonts w:hint="eastAsia" w:asciiTheme="majorEastAsia" w:hAnsiTheme="majorEastAsia" w:eastAsiaTheme="majorEastAsia" w:cstheme="majorEastAsia"/>
              <w:sz w:val="24"/>
              <w:szCs w:val="24"/>
              <w:lang w:val="en-US" w:eastAsia="zh-CN"/>
            </w:rPr>
            <w:tab/>
          </w:r>
          <w:bookmarkStart w:id="202" w:name="_Toc21646_WPSOffice_Level1Page"/>
          <w:r>
            <w:rPr>
              <w:rFonts w:hint="eastAsia" w:asciiTheme="majorEastAsia" w:hAnsiTheme="majorEastAsia" w:eastAsiaTheme="majorEastAsia" w:cstheme="majorEastAsia"/>
              <w:sz w:val="24"/>
              <w:szCs w:val="24"/>
              <w:lang w:val="en-US" w:eastAsia="zh-CN"/>
            </w:rPr>
            <w:t>77</w:t>
          </w:r>
          <w:bookmarkEnd w:id="202"/>
          <w:r>
            <w:rPr>
              <w:rFonts w:hint="eastAsia" w:asciiTheme="majorEastAsia" w:hAnsiTheme="majorEastAsia" w:eastAsiaTheme="majorEastAsia" w:cstheme="majorEastAsia"/>
              <w:sz w:val="24"/>
              <w:szCs w:val="24"/>
              <w:lang w:val="en-US" w:eastAsia="zh-CN"/>
            </w:rPr>
            <w:fldChar w:fldCharType="end"/>
          </w:r>
        </w:p>
        <w:p>
          <w:pPr>
            <w:pStyle w:val="9"/>
            <w:tabs>
              <w:tab w:val="right" w:leader="dot" w:pos="9280"/>
              <w:tab w:val="clear" w:pos="8296"/>
            </w:tabs>
            <w:spacing w:line="480" w:lineRule="auto"/>
            <w:rPr>
              <w:rFonts w:hint="eastAsia"/>
              <w:color w:val="auto"/>
              <w:highlight w:val="none"/>
              <w:lang w:val="en-US" w:eastAsia="zh-CN"/>
            </w:rPr>
            <w:sectPr>
              <w:headerReference r:id="rId13" w:type="default"/>
              <w:headerReference r:id="rId14" w:type="even"/>
              <w:footerReference r:id="rId15" w:type="even"/>
              <w:pgSz w:w="11906" w:h="16838"/>
              <w:pgMar w:top="1440" w:right="1800" w:bottom="1440" w:left="1800" w:header="850" w:footer="850" w:gutter="0"/>
              <w:pgNumType w:fmt="decimal"/>
              <w:cols w:space="0" w:num="1"/>
              <w:rtlGutter w:val="0"/>
              <w:docGrid w:type="lines" w:linePitch="322" w:charSpace="0"/>
            </w:sectPr>
          </w:pPr>
          <w:r>
            <w:rPr>
              <w:rFonts w:hint="eastAsia" w:asciiTheme="minorEastAsia" w:hAnsiTheme="minorEastAsia" w:eastAsiaTheme="minorEastAsia" w:cstheme="minorEastAsia"/>
              <w:color w:val="auto"/>
              <w:sz w:val="21"/>
              <w:szCs w:val="21"/>
              <w:highlight w:val="none"/>
              <w:lang w:val="en-US"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before="240" w:beforeLines="0" w:afterLines="0" w:line="480" w:lineRule="auto"/>
        <w:ind w:left="0" w:leftChars="0" w:right="0" w:rightChars="0" w:firstLine="0" w:firstLineChars="0"/>
        <w:jc w:val="center"/>
        <w:textAlignment w:val="auto"/>
        <w:rPr>
          <w:rFonts w:hint="eastAsia" w:ascii="宋体" w:hAnsi="宋体" w:eastAsia="宋体" w:cs="宋体"/>
          <w:b/>
          <w:bCs/>
          <w:color w:val="auto"/>
          <w:kern w:val="0"/>
          <w:sz w:val="32"/>
          <w:szCs w:val="32"/>
          <w:highlight w:val="none"/>
          <w:lang w:val="en-US" w:eastAsia="zh-CN" w:bidi="zh-CN"/>
        </w:rPr>
      </w:pPr>
      <w:bookmarkStart w:id="203" w:name="_Toc18401_WPSOffice_Level1"/>
      <w:r>
        <w:rPr>
          <w:rFonts w:hint="eastAsia" w:ascii="宋体" w:hAnsi="宋体" w:eastAsia="宋体" w:cs="宋体"/>
          <w:b/>
          <w:bCs/>
          <w:color w:val="auto"/>
          <w:kern w:val="0"/>
          <w:sz w:val="32"/>
          <w:szCs w:val="32"/>
          <w:highlight w:val="none"/>
          <w:lang w:val="en-US" w:eastAsia="zh-CN" w:bidi="zh-CN"/>
        </w:rPr>
        <w:t>Contents</w:t>
      </w:r>
      <w:bookmarkEnd w:id="203"/>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fldChar w:fldCharType="begin"/>
      </w:r>
      <w:r>
        <w:rPr>
          <w:rFonts w:hint="default" w:ascii="Times New Roman" w:hAnsi="Times New Roman" w:eastAsia="宋体" w:cs="Times New Roman"/>
          <w:color w:val="auto"/>
          <w:sz w:val="24"/>
          <w:szCs w:val="24"/>
          <w:highlight w:val="none"/>
          <w:lang w:val="en-US" w:eastAsia="zh-CN"/>
        </w:rPr>
        <w:instrText xml:space="preserve">TOC \o "1-2" \h \u </w:instrText>
      </w:r>
      <w:r>
        <w:rPr>
          <w:rFonts w:hint="default" w:ascii="Times New Roman" w:hAnsi="Times New Roman" w:eastAsia="宋体" w:cs="Times New Roman"/>
          <w:color w:val="auto"/>
          <w:sz w:val="24"/>
          <w:szCs w:val="24"/>
          <w:highlight w:val="none"/>
          <w:lang w:val="en-US" w:eastAsia="zh-CN"/>
        </w:rPr>
        <w:fldChar w:fldCharType="separate"/>
      </w: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_Toc4061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 General Provision</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5</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5</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_Toc7159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2 Terms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5</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6</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_Toc26922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3 Basic Regulations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5</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7</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_Toc21625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4 Tendering Agency Contract</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5</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8</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_Toc25478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4.1 Contract Conclusion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8</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_Toc9820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4.2 Contract Content</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8</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_Toc9495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4.3 Tendering Agency Service Fees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8</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_Toc19874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5 Tendering Agency</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5</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9</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_Toc13949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5.1 Organizational Forms and Composition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9</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_Toc8811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5.2 Requirements for Tendering Agency Project Teams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9</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_Toc16721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5.3 Quality Control</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9</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_Toc31230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6 Tendering Preparation and Planning</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6</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0</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_Toc6027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6.1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0</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_Toc29466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6.3 Tendering Plan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0</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_Toc20884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7 Tender Announcements and Bidding Invitations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6</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1</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_Toc5938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7.1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1</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_Toc2336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7.3 Publication of Tender Announcements and Issuance of Bidding Invitations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1</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_Toc28976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8 Prequalification</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6</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2</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_Toc1182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8.1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2</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_Toc30425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9 Compilation of Tender Documents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6</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3</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_Toc25100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9.1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3</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_Toc25935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9.2 Compilation of Tender Documents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3</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_Toc13923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10 Compilation of Bill of Quantities and Maximum Bid Limit (Tender Control Price)</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6</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6</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_Toc30270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10.1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6</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_Toc4692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10.2 Compilation of Bill of Quantities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6</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_Toc3150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10.3 Compilation of Maximum Bid Limit (Tender Control Price)</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6</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_Toc20508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11 Tender Document Clarifications, Amendments, and Objections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6</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7</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_Toc23088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11.1 Clarifications and Amendments of Tender Documents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7</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_Toc15207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11.2 Objections to Tender Documents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7</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_Toc22939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12 Receipt of Bid Documents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6</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9</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_Toc14564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13 Organization of Bid Opening</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7</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0</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_Toc12044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14 Organization of Bid Evaluation</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7</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1</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_Toc2200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14.2 Formation of Bid Evaluation Committee</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71</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_Toc11366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14.3 Bid Evaluation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1</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_Toc14427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15 Assistance in Awarding Contracts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7</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3</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_Toc5194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15.1 Publicity of Bid-winning Candidates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3</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_Toc3909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15.2 Assistance in Awarding Contracts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3</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_Toc1903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16 Assistance in Contract Signing and Other Services</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7</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5</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_Toc25421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17 Tendering Agency Project Record Management</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7</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6</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_Toc17298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17.1 General Provisions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6</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_Toc17497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17.2 Archival Materials</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6</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_Toc9646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17.3 Filing and Archiving</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6</w:t>
      </w:r>
    </w:p>
    <w:p>
      <w:pPr>
        <w:pStyle w:val="9"/>
        <w:spacing w:line="360" w:lineRule="auto"/>
        <w:rPr>
          <w:rFonts w:hint="default"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 HYPERLINK \l _Toc15715 </w:instrText>
      </w:r>
      <w:r>
        <w:rPr>
          <w:rFonts w:hint="eastAsia" w:asciiTheme="majorEastAsia" w:hAnsiTheme="majorEastAsia" w:eastAsiaTheme="majorEastAsia" w:cstheme="majorEastAsia"/>
          <w:kern w:val="2"/>
          <w:sz w:val="24"/>
          <w:szCs w:val="24"/>
          <w:lang w:val="en-US" w:eastAsia="zh-CN" w:bidi="ar-SA"/>
        </w:rPr>
        <w:fldChar w:fldCharType="separate"/>
      </w:r>
      <w:r>
        <w:rPr>
          <w:rFonts w:hint="eastAsia" w:asciiTheme="majorEastAsia" w:hAnsiTheme="majorEastAsia" w:eastAsiaTheme="majorEastAsia" w:cstheme="majorEastAsia"/>
          <w:kern w:val="2"/>
          <w:sz w:val="24"/>
          <w:szCs w:val="24"/>
          <w:lang w:val="en-US" w:eastAsia="zh-CN" w:bidi="ar-SA"/>
        </w:rPr>
        <w:t>18 Service Evaluation and Improvement</w:t>
      </w:r>
      <w:r>
        <w:rPr>
          <w:rFonts w:hint="eastAsia" w:asciiTheme="majorEastAsia" w:hAnsiTheme="majorEastAsia" w:eastAsiaTheme="majorEastAsia" w:cstheme="majorEastAsia"/>
          <w:kern w:val="2"/>
          <w:sz w:val="24"/>
          <w:szCs w:val="24"/>
          <w:lang w:val="en-US" w:eastAsia="zh-CN" w:bidi="ar-SA"/>
        </w:rPr>
        <w:tab/>
      </w:r>
      <w:r>
        <w:rPr>
          <w:rFonts w:hint="eastAsia" w:asciiTheme="majorEastAsia" w:hAnsiTheme="majorEastAsia" w:eastAsiaTheme="majorEastAsia" w:cstheme="majorEastAsia"/>
          <w:kern w:val="2"/>
          <w:sz w:val="24"/>
          <w:szCs w:val="24"/>
          <w:lang w:val="en-US" w:eastAsia="zh-CN" w:bidi="ar-SA"/>
        </w:rPr>
        <w:t>7</w:t>
      </w:r>
      <w:r>
        <w:rPr>
          <w:rFonts w:hint="eastAsia" w:asciiTheme="majorEastAsia" w:hAnsiTheme="majorEastAsia" w:eastAsiaTheme="majorEastAsia" w:cstheme="majorEastAsia"/>
          <w:kern w:val="2"/>
          <w:sz w:val="24"/>
          <w:szCs w:val="24"/>
          <w:lang w:val="en-US" w:eastAsia="zh-CN" w:bidi="ar-SA"/>
        </w:rPr>
        <w:fldChar w:fldCharType="end"/>
      </w:r>
      <w:r>
        <w:rPr>
          <w:rFonts w:hint="eastAsia" w:asciiTheme="majorEastAsia" w:hAnsiTheme="majorEastAsia" w:eastAsiaTheme="majorEastAsia" w:cstheme="majorEastAsia"/>
          <w:kern w:val="2"/>
          <w:sz w:val="24"/>
          <w:szCs w:val="24"/>
          <w:lang w:val="en-US" w:eastAsia="zh-CN" w:bidi="ar-SA"/>
        </w:rPr>
        <w:t>7</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_Toc20253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18.1 Service Evaluation</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7</w:t>
      </w:r>
    </w:p>
    <w:p>
      <w:pPr>
        <w:pStyle w:val="10"/>
        <w:tabs>
          <w:tab w:val="right" w:leader="dot" w:pos="8296"/>
        </w:tabs>
        <w:spacing w:line="360" w:lineRule="auto"/>
        <w:ind w:left="0" w:leftChars="0" w:firstLine="480" w:firstLineChars="200"/>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\l _Toc11154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18.2 Service Improvement</w:t>
      </w:r>
      <w:r>
        <w:rPr>
          <w:rFonts w:hint="eastAsia" w:asciiTheme="majorEastAsia" w:hAnsiTheme="majorEastAsia" w:eastAsiaTheme="majorEastAsia" w:cstheme="majorEastAsia"/>
          <w:sz w:val="24"/>
          <w:szCs w:val="24"/>
          <w:lang w:val="en-US" w:eastAsia="zh-CN"/>
        </w:rPr>
        <w:tab/>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7</w:t>
      </w:r>
    </w:p>
    <w:p>
      <w:pPr>
        <w:rPr>
          <w:rFonts w:hint="eastAsia" w:asciiTheme="majorEastAsia" w:hAnsiTheme="majorEastAsia" w:eastAsiaTheme="majorEastAsia" w:cstheme="majorEastAsia"/>
          <w:kern w:val="2"/>
          <w:sz w:val="24"/>
          <w:szCs w:val="24"/>
          <w:lang w:val="en-US" w:eastAsia="zh-CN" w:bidi="ar-SA"/>
        </w:rPr>
      </w:pPr>
    </w:p>
    <w:p>
      <w:pPr>
        <w:pStyle w:val="12"/>
        <w:rPr>
          <w:rFonts w:hint="eastAsia"/>
          <w:lang w:val="en-US" w:eastAsia="zh-CN"/>
        </w:rPr>
        <w:sectPr>
          <w:footerReference r:id="rId16" w:type="first"/>
          <w:footnotePr>
            <w:numFmt w:val="decimal"/>
          </w:footnotePr>
          <w:pgSz w:w="11906" w:h="16838"/>
          <w:pgMar w:top="1440" w:right="1800" w:bottom="1440" w:left="1800" w:header="850" w:footer="850" w:gutter="0"/>
          <w:pgNumType w:fmt="decimal"/>
          <w:cols w:space="0" w:num="1"/>
          <w:rtlGutter w:val="0"/>
          <w:docGrid w:type="lines" w:linePitch="322" w:charSpace="0"/>
        </w:sectPr>
      </w:pPr>
    </w:p>
    <w:p>
      <w:pPr>
        <w:spacing w:line="360" w:lineRule="auto"/>
        <w:jc w:val="center"/>
        <w:rPr>
          <w:rFonts w:ascii="Times New Roman" w:hAnsi="Times New Roman"/>
          <w:b/>
          <w:color w:val="auto"/>
          <w:sz w:val="36"/>
          <w:szCs w:val="36"/>
        </w:rPr>
      </w:pPr>
      <w:r>
        <w:rPr>
          <w:rFonts w:hint="default" w:ascii="Times New Roman" w:hAnsi="Times New Roman" w:eastAsia="宋体" w:cs="Times New Roman"/>
          <w:color w:val="auto"/>
          <w:szCs w:val="24"/>
          <w:highlight w:val="none"/>
          <w:lang w:val="en-US" w:eastAsia="zh-CN"/>
        </w:rPr>
        <w:fldChar w:fldCharType="end"/>
      </w:r>
      <w:r>
        <w:rPr>
          <w:rFonts w:hint="eastAsia" w:ascii="Times New Roman" w:hAnsi="Times New Roman" w:eastAsia="宋体"/>
          <w:b/>
          <w:color w:val="auto"/>
          <w:sz w:val="36"/>
          <w:szCs w:val="36"/>
          <w:lang w:val="en-US" w:eastAsia="zh-CN"/>
        </w:rPr>
        <w:t>修订</w:t>
      </w:r>
      <w:r>
        <w:rPr>
          <w:rFonts w:hint="eastAsia" w:ascii="Times New Roman" w:hAnsi="Times New Roman"/>
          <w:b/>
          <w:color w:val="auto"/>
          <w:sz w:val="36"/>
          <w:szCs w:val="36"/>
        </w:rPr>
        <w:t>说明</w:t>
      </w:r>
    </w:p>
    <w:p>
      <w:pPr>
        <w:spacing w:line="360" w:lineRule="auto"/>
        <w:ind w:firstLine="480" w:firstLineChars="200"/>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规程修订与现有法律法规、技术规范相匹配并具有一定前瞻性，并遵循下列原则：</w:t>
      </w:r>
    </w:p>
    <w:p>
      <w:pPr>
        <w:numPr>
          <w:ilvl w:val="0"/>
          <w:numId w:val="4"/>
        </w:numPr>
        <w:spacing w:line="360" w:lineRule="auto"/>
        <w:ind w:firstLine="480" w:firstLineChars="200"/>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全面性原则。本规程整合整合相关国家标准与地方标准要求，引入一些招标代理行业新问题、新情况的解决方案，满足行业发展和市场需求，具有科学性、合理性和全面性。</w:t>
      </w:r>
    </w:p>
    <w:p>
      <w:pPr>
        <w:numPr>
          <w:ilvl w:val="0"/>
          <w:numId w:val="4"/>
        </w:numPr>
        <w:spacing w:line="360" w:lineRule="auto"/>
        <w:ind w:left="0" w:leftChars="0" w:firstLine="480" w:firstLineChars="200"/>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先进性原则。修订与时俱进，结合国家和地方招标投标法律法规制度修改，总结各地探索推进电子招标投标、评定分离、异常低价评审等改革成果，加强招标代理机构及其从业人员管理，适度带有前瞻性。</w:t>
      </w:r>
    </w:p>
    <w:p>
      <w:pPr>
        <w:numPr>
          <w:ilvl w:val="0"/>
          <w:numId w:val="4"/>
        </w:numPr>
        <w:spacing w:line="360" w:lineRule="auto"/>
        <w:ind w:left="0" w:leftChars="0" w:firstLine="480" w:firstLineChars="200"/>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适用性原则。广泛征求各类招标投标市场主体、招标代理机构、行业协会、招标投标行政监督部门、公共资源交易中心等意见，技术要求具有可操作性，促进招标代理服务质量和水平提升，规范招标代理行业发展。</w:t>
      </w:r>
    </w:p>
    <w:p>
      <w:pPr>
        <w:spacing w:line="360" w:lineRule="auto"/>
        <w:ind w:firstLine="480" w:firstLineChars="200"/>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本规程与招标代理行业发展关系紧密，社会关注度高，主参编单位涵盖行业监督部门、行业协会、公共资源交易中心以及代理机构等，同时各主参编单位均选派资深专家组成修订工作组，确保规程修订工作的全面性和专业性。自《规程》修订以来，</w:t>
      </w:r>
      <w:r>
        <w:rPr>
          <w:rFonts w:hint="eastAsia" w:ascii="Times New Roman" w:hAnsi="Times New Roman" w:eastAsia="宋体" w:cs="Times New Roman"/>
          <w:bCs/>
          <w:color w:val="auto"/>
          <w:sz w:val="24"/>
          <w:szCs w:val="24"/>
          <w:lang w:eastAsia="zh-CN"/>
        </w:rPr>
        <w:t>安徽省住房城乡建设</w:t>
      </w:r>
      <w:r>
        <w:rPr>
          <w:rFonts w:hint="eastAsia" w:ascii="Times New Roman" w:hAnsi="Times New Roman" w:eastAsia="宋体" w:cs="Times New Roman"/>
          <w:bCs/>
          <w:color w:val="auto"/>
          <w:sz w:val="24"/>
          <w:szCs w:val="24"/>
        </w:rPr>
        <w:t>厅</w:t>
      </w:r>
      <w:r>
        <w:rPr>
          <w:rFonts w:hint="eastAsia" w:ascii="Times New Roman" w:hAnsi="Times New Roman" w:eastAsia="宋体" w:cs="Times New Roman"/>
          <w:bCs/>
          <w:color w:val="auto"/>
          <w:sz w:val="24"/>
          <w:szCs w:val="24"/>
          <w:lang w:eastAsia="zh-CN"/>
        </w:rPr>
        <w:t>建筑市场监管</w:t>
      </w:r>
      <w:r>
        <w:rPr>
          <w:rFonts w:hint="eastAsia" w:ascii="Times New Roman" w:hAnsi="Times New Roman" w:eastAsia="宋体" w:cs="Times New Roman"/>
          <w:bCs/>
          <w:color w:val="auto"/>
          <w:sz w:val="24"/>
          <w:szCs w:val="24"/>
        </w:rPr>
        <w:t>处</w:t>
      </w:r>
      <w:r>
        <w:rPr>
          <w:rFonts w:hint="eastAsia" w:ascii="Times New Roman" w:hAnsi="Times New Roman" w:eastAsia="宋体" w:cs="Times New Roman"/>
          <w:bCs/>
          <w:color w:val="auto"/>
          <w:sz w:val="24"/>
          <w:szCs w:val="24"/>
          <w:lang w:eastAsia="zh-CN"/>
        </w:rPr>
        <w:t>（建设工程招标监督管理处）</w:t>
      </w:r>
      <w:r>
        <w:rPr>
          <w:rFonts w:hint="eastAsia" w:ascii="Times New Roman" w:hAnsi="Times New Roman" w:eastAsia="宋体" w:cs="Times New Roman"/>
          <w:bCs/>
          <w:color w:val="auto"/>
          <w:sz w:val="24"/>
          <w:szCs w:val="24"/>
        </w:rPr>
        <w:t>高度重视，会同主参编单位，对照修订计划要求，制定实施方案</w:t>
      </w:r>
      <w:r>
        <w:rPr>
          <w:rFonts w:hint="eastAsia" w:ascii="Times New Roman" w:hAnsi="Times New Roman" w:eastAsia="宋体" w:cs="Times New Roman"/>
          <w:bCs/>
          <w:color w:val="auto"/>
          <w:sz w:val="24"/>
          <w:szCs w:val="24"/>
          <w:lang w:eastAsia="zh-CN"/>
        </w:rPr>
        <w:t>，</w:t>
      </w:r>
      <w:r>
        <w:rPr>
          <w:rFonts w:hint="eastAsia" w:ascii="Times New Roman" w:hAnsi="Times New Roman" w:eastAsia="宋体" w:cs="Times New Roman"/>
          <w:bCs/>
          <w:color w:val="auto"/>
          <w:sz w:val="24"/>
          <w:szCs w:val="24"/>
        </w:rPr>
        <w:t>细化分解任务，明确责任分工。</w:t>
      </w:r>
    </w:p>
    <w:p>
      <w:pPr>
        <w:spacing w:line="360" w:lineRule="auto"/>
        <w:ind w:firstLine="480" w:firstLineChars="200"/>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在修订草案起草过程中，编制组先后调研北京、江苏等地的经验和做法，研究借鉴山东、吉林相关标准内容，收集整理相关参考材料73份，涵盖标准编制指导性文件、相关法律法规及政策性文件、参考标准等内容，汇集省内各市招标代理管理服务制度规定36份。</w:t>
      </w:r>
      <w:r>
        <w:rPr>
          <w:rFonts w:hint="eastAsia" w:ascii="Times New Roman" w:eastAsia="宋体" w:cs="Times New Roman"/>
          <w:bCs/>
          <w:color w:val="auto"/>
          <w:sz w:val="24"/>
          <w:szCs w:val="24"/>
          <w:lang w:val="en-US" w:eastAsia="zh-CN"/>
        </w:rPr>
        <w:t>编制组严格按照工程建设标准编写规定，</w:t>
      </w:r>
      <w:r>
        <w:rPr>
          <w:rFonts w:hint="eastAsia" w:ascii="Times New Roman" w:hAnsi="Times New Roman" w:eastAsia="宋体" w:cs="Times New Roman"/>
          <w:bCs/>
          <w:color w:val="auto"/>
          <w:sz w:val="24"/>
          <w:szCs w:val="24"/>
          <w:lang w:val="en-US" w:eastAsia="zh-CN"/>
        </w:rPr>
        <w:t>编制</w:t>
      </w:r>
      <w:r>
        <w:rPr>
          <w:rFonts w:hint="eastAsia" w:ascii="Times New Roman" w:cs="Times New Roman"/>
          <w:bCs/>
          <w:color w:val="auto"/>
          <w:sz w:val="24"/>
          <w:szCs w:val="24"/>
          <w:lang w:val="en-US" w:eastAsia="zh-CN"/>
        </w:rPr>
        <w:t>修订</w:t>
      </w:r>
      <w:r>
        <w:rPr>
          <w:rFonts w:hint="eastAsia" w:ascii="Times New Roman" w:hAnsi="Times New Roman" w:eastAsia="宋体" w:cs="Times New Roman"/>
          <w:bCs/>
          <w:color w:val="auto"/>
          <w:sz w:val="24"/>
          <w:szCs w:val="24"/>
          <w:lang w:val="en-US" w:eastAsia="zh-CN"/>
        </w:rPr>
        <w:t>大纲</w:t>
      </w:r>
      <w:r>
        <w:rPr>
          <w:rFonts w:hint="eastAsia" w:ascii="Times New Roman" w:cs="Times New Roman"/>
          <w:bCs/>
          <w:color w:val="auto"/>
          <w:sz w:val="24"/>
          <w:szCs w:val="24"/>
          <w:lang w:val="en-US" w:eastAsia="zh-CN"/>
        </w:rPr>
        <w:t>，制定修订计划，</w:t>
      </w:r>
      <w:r>
        <w:rPr>
          <w:rFonts w:hint="eastAsia" w:ascii="Times New Roman" w:eastAsia="宋体" w:cs="Times New Roman"/>
          <w:bCs/>
          <w:color w:val="auto"/>
          <w:sz w:val="24"/>
          <w:szCs w:val="24"/>
          <w:lang w:val="en-US" w:eastAsia="zh-CN"/>
        </w:rPr>
        <w:t>明确任务分工</w:t>
      </w:r>
      <w:r>
        <w:rPr>
          <w:rFonts w:hint="eastAsia" w:ascii="Times New Roman" w:cs="Times New Roman"/>
          <w:bCs/>
          <w:color w:val="auto"/>
          <w:sz w:val="24"/>
          <w:szCs w:val="24"/>
          <w:lang w:val="en-US" w:eastAsia="zh-CN"/>
        </w:rPr>
        <w:t>。</w:t>
      </w:r>
      <w:r>
        <w:rPr>
          <w:rFonts w:hint="eastAsia" w:ascii="Times New Roman" w:hAnsi="Times New Roman" w:eastAsia="宋体" w:cs="Times New Roman"/>
          <w:bCs/>
          <w:color w:val="auto"/>
          <w:sz w:val="24"/>
          <w:szCs w:val="24"/>
          <w:lang w:val="en-US" w:eastAsia="zh-CN"/>
        </w:rPr>
        <w:t>多次召开规程修订工作</w:t>
      </w:r>
      <w:r>
        <w:rPr>
          <w:rFonts w:hint="eastAsia" w:ascii="Times New Roman" w:cs="Times New Roman"/>
          <w:bCs/>
          <w:color w:val="auto"/>
          <w:sz w:val="24"/>
          <w:szCs w:val="24"/>
          <w:lang w:val="en-US" w:eastAsia="zh-CN"/>
        </w:rPr>
        <w:t>会议</w:t>
      </w:r>
      <w:r>
        <w:rPr>
          <w:rFonts w:hint="eastAsia" w:ascii="Times New Roman" w:hAnsi="Times New Roman" w:eastAsia="宋体" w:cs="Times New Roman"/>
          <w:bCs/>
          <w:color w:val="auto"/>
          <w:sz w:val="24"/>
          <w:szCs w:val="24"/>
          <w:lang w:val="en-US" w:eastAsia="zh-CN"/>
        </w:rPr>
        <w:t>，征求</w:t>
      </w:r>
      <w:r>
        <w:rPr>
          <w:rFonts w:hint="eastAsia" w:ascii="Times New Roman" w:cs="Times New Roman"/>
          <w:bCs/>
          <w:color w:val="auto"/>
          <w:sz w:val="24"/>
          <w:szCs w:val="24"/>
          <w:lang w:val="en-US" w:eastAsia="zh-CN"/>
        </w:rPr>
        <w:t>各方</w:t>
      </w:r>
      <w:r>
        <w:rPr>
          <w:rFonts w:hint="eastAsia" w:ascii="Times New Roman" w:hAnsi="Times New Roman" w:eastAsia="宋体" w:cs="Times New Roman"/>
          <w:bCs/>
          <w:color w:val="auto"/>
          <w:sz w:val="24"/>
          <w:szCs w:val="24"/>
          <w:lang w:val="en-US" w:eastAsia="zh-CN"/>
        </w:rPr>
        <w:t>意见，</w:t>
      </w:r>
      <w:r>
        <w:rPr>
          <w:rFonts w:hint="eastAsia" w:ascii="Times New Roman" w:cs="Times New Roman"/>
          <w:bCs/>
          <w:color w:val="auto"/>
          <w:sz w:val="24"/>
          <w:szCs w:val="24"/>
          <w:lang w:val="en-US" w:eastAsia="zh-CN"/>
        </w:rPr>
        <w:t>组织</w:t>
      </w:r>
      <w:r>
        <w:rPr>
          <w:rFonts w:hint="eastAsia" w:ascii="Times New Roman" w:hAnsi="Times New Roman" w:eastAsia="宋体" w:cs="Times New Roman"/>
          <w:bCs/>
          <w:color w:val="auto"/>
          <w:sz w:val="24"/>
          <w:szCs w:val="24"/>
          <w:lang w:val="en-US" w:eastAsia="zh-CN"/>
        </w:rPr>
        <w:t>专家论证，不断修改完善。</w:t>
      </w:r>
    </w:p>
    <w:p>
      <w:pPr>
        <w:spacing w:line="360" w:lineRule="auto"/>
        <w:ind w:firstLine="480" w:firstLineChars="200"/>
        <w:rPr>
          <w:rFonts w:hint="eastAsia" w:ascii="Times New Roman" w:hAnsi="Times New Roman" w:eastAsia="宋体" w:cs="Times New Roman"/>
          <w:bCs/>
          <w:color w:val="auto"/>
          <w:sz w:val="24"/>
          <w:szCs w:val="24"/>
          <w:lang w:eastAsia="zh-CN"/>
        </w:rPr>
      </w:pPr>
      <w:r>
        <w:rPr>
          <w:rFonts w:hint="eastAsia" w:ascii="Times New Roman" w:hAnsi="Times New Roman" w:eastAsia="宋体" w:cs="Times New Roman"/>
          <w:bCs/>
          <w:color w:val="auto"/>
          <w:sz w:val="24"/>
          <w:szCs w:val="24"/>
          <w:lang w:eastAsia="zh-CN"/>
        </w:rPr>
        <w:t>《规程》修订后共18章和1个附录，正文条款229条，主要技术内容包括：总则，术语，基本规定，招标代理合同，招标代理机构，招标准备及计划，招标公告、投标邀请书，资格预审，招标文件编制，工程量清单与最高投标限价（招标控制价）编制，招标文件澄清、修改和异议，接收投标文件，组织开标，组织评标，协助定标，协助签订合同及其他服务，招标代理项目档案管理，服务评价与改进等。</w:t>
      </w:r>
    </w:p>
    <w:p>
      <w:pPr>
        <w:spacing w:line="360" w:lineRule="auto"/>
        <w:ind w:firstLine="480" w:firstLineChars="200"/>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eastAsia="zh-CN"/>
        </w:rPr>
        <w:t>在原规程的基础上，新增了第18章和附录A，共修改条款133条，增加条款54条，删除条款28条。修订主要内容如下：</w:t>
      </w:r>
    </w:p>
    <w:p>
      <w:pPr>
        <w:spacing w:line="360" w:lineRule="auto"/>
        <w:ind w:firstLine="480" w:firstLineChars="200"/>
        <w:rPr>
          <w:rFonts w:hint="eastAsia" w:ascii="Times New Roman" w:hAnsi="Times New Roman" w:eastAsia="宋体" w:cs="Times New Roman"/>
          <w:bCs/>
          <w:color w:val="auto"/>
          <w:sz w:val="24"/>
          <w:szCs w:val="24"/>
          <w:lang w:val="zh-TW" w:eastAsia="zh-TW"/>
        </w:rPr>
      </w:pPr>
      <w:r>
        <w:rPr>
          <w:rFonts w:hint="eastAsia" w:ascii="Times New Roman" w:hAnsi="Times New Roman" w:eastAsia="宋体" w:cs="Times New Roman"/>
          <w:bCs/>
          <w:color w:val="auto"/>
          <w:sz w:val="24"/>
          <w:szCs w:val="24"/>
        </w:rPr>
        <w:t>一是扩大标准适用范围。</w:t>
      </w:r>
      <w:r>
        <w:rPr>
          <w:rFonts w:hint="eastAsia" w:ascii="Times New Roman" w:hAnsi="Times New Roman" w:eastAsia="宋体" w:cs="Times New Roman"/>
          <w:bCs/>
          <w:color w:val="auto"/>
          <w:sz w:val="24"/>
          <w:szCs w:val="24"/>
          <w:lang w:val="zh-TW" w:eastAsia="zh-TW"/>
        </w:rPr>
        <w:t>适用于</w:t>
      </w:r>
      <w:r>
        <w:rPr>
          <w:rFonts w:hint="eastAsia" w:ascii="Times New Roman" w:hAnsi="Times New Roman" w:eastAsia="宋体" w:cs="Times New Roman"/>
          <w:bCs/>
          <w:color w:val="auto"/>
          <w:sz w:val="24"/>
          <w:szCs w:val="24"/>
          <w:lang w:val="zh-TW"/>
        </w:rPr>
        <w:t>招标代理机构在</w:t>
      </w:r>
      <w:r>
        <w:rPr>
          <w:rFonts w:hint="eastAsia" w:ascii="Times New Roman" w:hAnsi="Times New Roman" w:eastAsia="宋体" w:cs="Times New Roman"/>
          <w:bCs/>
          <w:color w:val="auto"/>
          <w:sz w:val="24"/>
          <w:szCs w:val="24"/>
          <w:lang w:val="zh-TW" w:eastAsia="zh-TW"/>
        </w:rPr>
        <w:t>本省</w:t>
      </w:r>
      <w:r>
        <w:rPr>
          <w:rFonts w:hint="eastAsia" w:ascii="Times New Roman" w:hAnsi="Times New Roman" w:eastAsia="宋体" w:cs="Times New Roman"/>
          <w:bCs/>
          <w:color w:val="auto"/>
          <w:sz w:val="24"/>
          <w:szCs w:val="24"/>
          <w:lang w:val="zh-TW"/>
        </w:rPr>
        <w:t>行政区域内</w:t>
      </w:r>
      <w:r>
        <w:rPr>
          <w:rFonts w:hint="eastAsia" w:ascii="Times New Roman" w:hAnsi="Times New Roman" w:eastAsia="宋体" w:cs="Times New Roman"/>
          <w:bCs/>
          <w:color w:val="auto"/>
          <w:sz w:val="24"/>
          <w:szCs w:val="24"/>
          <w:lang w:val="zh-TW" w:eastAsia="zh-TW"/>
        </w:rPr>
        <w:t>依法</w:t>
      </w:r>
      <w:r>
        <w:rPr>
          <w:rFonts w:hint="eastAsia" w:ascii="Times New Roman" w:hAnsi="Times New Roman" w:eastAsia="宋体" w:cs="Times New Roman"/>
          <w:bCs/>
          <w:color w:val="auto"/>
          <w:sz w:val="24"/>
          <w:szCs w:val="24"/>
          <w:lang w:val="zh-TW"/>
        </w:rPr>
        <w:t>开展的</w:t>
      </w:r>
      <w:r>
        <w:rPr>
          <w:rFonts w:hint="eastAsia" w:ascii="Times New Roman" w:hAnsi="Times New Roman" w:eastAsia="宋体" w:cs="Times New Roman"/>
          <w:bCs/>
          <w:color w:val="auto"/>
          <w:sz w:val="24"/>
          <w:szCs w:val="24"/>
        </w:rPr>
        <w:t>工程建设项目</w:t>
      </w:r>
      <w:r>
        <w:rPr>
          <w:rFonts w:hint="eastAsia" w:ascii="Times New Roman" w:hAnsi="Times New Roman" w:eastAsia="宋体" w:cs="Times New Roman"/>
          <w:bCs/>
          <w:color w:val="auto"/>
          <w:sz w:val="24"/>
          <w:szCs w:val="24"/>
          <w:lang w:val="zh-TW" w:eastAsia="zh-TW"/>
        </w:rPr>
        <w:t>招标代理活动。</w:t>
      </w:r>
    </w:p>
    <w:p>
      <w:pPr>
        <w:spacing w:line="360" w:lineRule="auto"/>
        <w:ind w:firstLine="480" w:firstLineChars="200"/>
        <w:rPr>
          <w:rFonts w:hint="eastAsia" w:ascii="Times New Roman" w:hAnsi="Times New Roman" w:eastAsia="宋体" w:cs="Times New Roman"/>
          <w:bCs/>
          <w:color w:val="auto"/>
          <w:sz w:val="24"/>
          <w:szCs w:val="24"/>
          <w:lang w:eastAsia="zh-CN"/>
        </w:rPr>
      </w:pPr>
      <w:r>
        <w:rPr>
          <w:rFonts w:hint="eastAsia" w:ascii="Times New Roman" w:hAnsi="Times New Roman" w:eastAsia="宋体" w:cs="Times New Roman"/>
          <w:bCs/>
          <w:color w:val="auto"/>
          <w:sz w:val="24"/>
          <w:szCs w:val="24"/>
          <w:lang w:eastAsia="zh-CN"/>
        </w:rPr>
        <w:t>二</w:t>
      </w:r>
      <w:r>
        <w:rPr>
          <w:rFonts w:hint="eastAsia" w:ascii="Times New Roman" w:hAnsi="Times New Roman" w:eastAsia="宋体" w:cs="Times New Roman"/>
          <w:bCs/>
          <w:color w:val="auto"/>
          <w:sz w:val="24"/>
          <w:szCs w:val="24"/>
        </w:rPr>
        <w:t>是落实招标人的主体责任。</w:t>
      </w:r>
      <w:r>
        <w:rPr>
          <w:rFonts w:hint="eastAsia" w:ascii="Times New Roman" w:hAnsi="Times New Roman" w:eastAsia="宋体" w:cs="Times New Roman"/>
          <w:bCs/>
          <w:color w:val="auto"/>
          <w:sz w:val="24"/>
          <w:szCs w:val="24"/>
          <w:lang w:eastAsia="zh-CN"/>
        </w:rPr>
        <w:t>在</w:t>
      </w:r>
      <w:r>
        <w:rPr>
          <w:rFonts w:hint="eastAsia" w:ascii="Times New Roman" w:hAnsi="Times New Roman" w:eastAsia="宋体" w:cs="Times New Roman"/>
          <w:bCs/>
          <w:color w:val="auto"/>
          <w:sz w:val="24"/>
          <w:szCs w:val="24"/>
        </w:rPr>
        <w:t>第2章资格预审、联合体投标、异常低价、评定分离、电子招标投标活动等术语定义</w:t>
      </w:r>
      <w:r>
        <w:rPr>
          <w:rFonts w:hint="eastAsia" w:ascii="Times New Roman" w:hAnsi="Times New Roman" w:eastAsia="宋体" w:cs="Times New Roman"/>
          <w:bCs/>
          <w:color w:val="auto"/>
          <w:sz w:val="24"/>
          <w:szCs w:val="24"/>
          <w:lang w:eastAsia="zh-CN"/>
        </w:rPr>
        <w:t>。</w:t>
      </w:r>
      <w:r>
        <w:rPr>
          <w:rFonts w:hint="eastAsia" w:ascii="Times New Roman" w:hAnsi="Times New Roman" w:eastAsia="宋体" w:cs="Times New Roman"/>
          <w:bCs/>
          <w:color w:val="auto"/>
          <w:sz w:val="24"/>
          <w:szCs w:val="24"/>
        </w:rPr>
        <w:t>在第14章、第15章对评定分离、定标等</w:t>
      </w:r>
      <w:r>
        <w:rPr>
          <w:rFonts w:hint="eastAsia" w:ascii="Times New Roman" w:hAnsi="Times New Roman" w:eastAsia="宋体" w:cs="Times New Roman"/>
          <w:bCs/>
          <w:color w:val="auto"/>
          <w:sz w:val="24"/>
          <w:szCs w:val="24"/>
          <w:lang w:eastAsia="zh-CN"/>
        </w:rPr>
        <w:t>相关条款</w:t>
      </w:r>
      <w:r>
        <w:rPr>
          <w:rFonts w:hint="eastAsia" w:ascii="Times New Roman" w:hAnsi="Times New Roman" w:eastAsia="宋体" w:cs="Times New Roman"/>
          <w:bCs/>
          <w:color w:val="auto"/>
          <w:sz w:val="24"/>
          <w:szCs w:val="24"/>
        </w:rPr>
        <w:t>内容</w:t>
      </w:r>
      <w:r>
        <w:rPr>
          <w:rFonts w:hint="eastAsia" w:ascii="Times New Roman" w:hAnsi="Times New Roman" w:eastAsia="宋体" w:cs="Times New Roman"/>
          <w:bCs/>
          <w:color w:val="auto"/>
          <w:sz w:val="24"/>
          <w:szCs w:val="24"/>
          <w:lang w:eastAsia="zh-CN"/>
        </w:rPr>
        <w:t>的修订。</w:t>
      </w:r>
    </w:p>
    <w:p>
      <w:pPr>
        <w:spacing w:line="360" w:lineRule="auto"/>
        <w:ind w:firstLine="480" w:firstLineChars="200"/>
        <w:rPr>
          <w:rFonts w:hint="eastAsia" w:ascii="Times New Roman" w:hAnsi="Times New Roman" w:eastAsia="宋体" w:cs="Times New Roman"/>
          <w:bCs/>
          <w:color w:val="auto"/>
          <w:sz w:val="24"/>
          <w:szCs w:val="24"/>
          <w:lang w:eastAsia="zh-CN"/>
        </w:rPr>
      </w:pPr>
      <w:r>
        <w:rPr>
          <w:rFonts w:hint="eastAsia" w:ascii="Times New Roman" w:hAnsi="Times New Roman" w:eastAsia="宋体" w:cs="Times New Roman"/>
          <w:bCs/>
          <w:color w:val="auto"/>
          <w:sz w:val="24"/>
          <w:szCs w:val="24"/>
          <w:lang w:eastAsia="zh-CN"/>
        </w:rPr>
        <w:t>三是增加电子招标投标相关要求。对电子招标投标交易平台、电子档案管理等相关条款进行修订，在第7章～第13章相应条款中增加电子招投标相关规定的内容。</w:t>
      </w:r>
    </w:p>
    <w:p>
      <w:pPr>
        <w:spacing w:line="360" w:lineRule="auto"/>
        <w:ind w:firstLine="480" w:firstLineChars="200"/>
        <w:rPr>
          <w:rFonts w:hint="eastAsia" w:ascii="Times New Roman" w:hAnsi="Times New Roman" w:eastAsia="宋体" w:cs="Times New Roman"/>
          <w:bCs/>
          <w:color w:val="auto"/>
          <w:sz w:val="24"/>
          <w:szCs w:val="24"/>
          <w:lang w:eastAsia="zh-CN"/>
        </w:rPr>
      </w:pPr>
      <w:r>
        <w:rPr>
          <w:rFonts w:hint="eastAsia" w:ascii="Times New Roman" w:hAnsi="Times New Roman" w:eastAsia="宋体" w:cs="Times New Roman"/>
          <w:bCs/>
          <w:color w:val="auto"/>
          <w:sz w:val="24"/>
          <w:szCs w:val="24"/>
          <w:lang w:eastAsia="zh-CN"/>
        </w:rPr>
        <w:t>四是优化精简招标程序。删除原《规程》中没有法律依据的招标程序等相关条款，如原7.1.5条、8.1.11条、9.1.4条等。增加协助招标人落实主体责任相应工作内容。增加招标代理基本服务收费指导标准，倡导优质优价，扼制恶意竞争。</w:t>
      </w:r>
    </w:p>
    <w:p>
      <w:pPr>
        <w:spacing w:line="360" w:lineRule="auto"/>
        <w:ind w:firstLine="480" w:firstLineChars="200"/>
        <w:rPr>
          <w:rFonts w:hint="eastAsia" w:ascii="Times New Roman" w:hAnsi="Times New Roman" w:eastAsia="宋体" w:cs="Times New Roman"/>
          <w:bCs/>
          <w:color w:val="auto"/>
          <w:sz w:val="24"/>
          <w:szCs w:val="24"/>
          <w:lang w:eastAsia="zh-CN"/>
        </w:rPr>
      </w:pPr>
      <w:r>
        <w:rPr>
          <w:rFonts w:hint="eastAsia" w:ascii="Times New Roman" w:hAnsi="Times New Roman" w:eastAsia="宋体" w:cs="Times New Roman"/>
          <w:bCs/>
          <w:color w:val="auto"/>
          <w:sz w:val="24"/>
          <w:szCs w:val="24"/>
          <w:lang w:eastAsia="zh-CN"/>
        </w:rPr>
        <w:t>五是</w:t>
      </w:r>
      <w:r>
        <w:rPr>
          <w:rFonts w:hint="eastAsia" w:ascii="Times New Roman" w:hAnsi="Times New Roman" w:eastAsia="宋体" w:cs="Times New Roman"/>
          <w:bCs/>
          <w:color w:val="auto"/>
          <w:sz w:val="24"/>
          <w:szCs w:val="24"/>
          <w:lang w:val="en-US" w:eastAsia="zh-CN"/>
        </w:rPr>
        <w:t>明确招标代理工作的技术路线</w:t>
      </w:r>
      <w:r>
        <w:rPr>
          <w:rFonts w:hint="eastAsia" w:ascii="Times New Roman" w:hAnsi="Times New Roman" w:eastAsia="宋体" w:cs="Times New Roman"/>
          <w:bCs/>
          <w:color w:val="auto"/>
          <w:sz w:val="24"/>
          <w:szCs w:val="24"/>
          <w:lang w:eastAsia="zh-CN"/>
        </w:rPr>
        <w:t>。对招标方案、技术规格书等相关条款的修订，细化质量控制要求，明确招标代理工作的技术路线，鼓励招标代理机构加强人才培养，探索开展全过程咨询服务。</w:t>
      </w:r>
    </w:p>
    <w:p>
      <w:pPr>
        <w:spacing w:line="360" w:lineRule="auto"/>
        <w:ind w:firstLine="480" w:firstLineChars="200"/>
        <w:rPr>
          <w:rFonts w:hint="eastAsia" w:ascii="Times New Roman" w:hAnsi="Times New Roman" w:eastAsia="宋体" w:cs="Times New Roman"/>
          <w:bCs/>
          <w:color w:val="auto"/>
          <w:sz w:val="24"/>
          <w:szCs w:val="24"/>
          <w:lang w:val="en-US" w:eastAsia="zh-CN"/>
        </w:rPr>
        <w:sectPr>
          <w:pgSz w:w="11906" w:h="16838"/>
          <w:pgMar w:top="1440" w:right="1800" w:bottom="1440" w:left="1800" w:header="850" w:footer="992" w:gutter="0"/>
          <w:pgNumType w:fmt="decimal"/>
          <w:cols w:space="0" w:num="1"/>
          <w:docGrid w:type="lines" w:linePitch="315" w:charSpace="0"/>
        </w:sectPr>
      </w:pPr>
      <w:r>
        <w:rPr>
          <w:rFonts w:hint="eastAsia" w:ascii="Times New Roman" w:hAnsi="Times New Roman" w:eastAsia="宋体" w:cs="Times New Roman"/>
          <w:bCs/>
          <w:color w:val="auto"/>
          <w:sz w:val="24"/>
          <w:szCs w:val="24"/>
          <w:lang w:eastAsia="zh-CN"/>
        </w:rPr>
        <w:t>六是强化招标代理机构内部管理制度。修改归档资料的保存期限，完善归档资料内容。新增招标代理服务评价及改进章节，通过招标人服务评价、监督部门动态监管及服务自评等，整理分析评价结果并持续改进，从而提升招标代理服务质量和水平，增强客户满意度，提高市场竞争力，规范招标代理行业发展。</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204" w:name="_Toc11305_WPSOffice_Level1"/>
      <w:r>
        <w:rPr>
          <w:rFonts w:hint="eastAsia" w:ascii="Times New Roman" w:hAnsi="Times New Roman" w:eastAsia="宋体" w:cs="Times New Roman"/>
          <w:b/>
          <w:sz w:val="36"/>
          <w:szCs w:val="36"/>
          <w:lang w:val="en-US" w:eastAsia="zh-CN"/>
        </w:rPr>
        <w:t>1总 则</w:t>
      </w:r>
      <w:bookmarkEnd w:id="140"/>
      <w:bookmarkEnd w:id="141"/>
      <w:bookmarkEnd w:id="142"/>
      <w:bookmarkEnd w:id="143"/>
      <w:bookmarkEnd w:id="204"/>
    </w:p>
    <w:p>
      <w:pPr>
        <w:pStyle w:val="27"/>
        <w:spacing w:line="360" w:lineRule="auto"/>
        <w:ind w:firstLine="0" w:firstLineChars="0"/>
        <w:rPr>
          <w:rFonts w:hint="eastAsia" w:ascii="Times New Roman" w:hAnsi="Times New Roman" w:eastAsia="宋体" w:cs="Times New Roman"/>
          <w:b w:val="0"/>
          <w:bCs w:val="0"/>
          <w:sz w:val="24"/>
          <w:szCs w:val="24"/>
        </w:rPr>
      </w:pPr>
      <w:r>
        <w:rPr>
          <w:rFonts w:hint="eastAsia" w:ascii="Times New Roman" w:hAnsi="Times New Roman" w:eastAsia="宋体" w:cs="Times New Roman"/>
          <w:b/>
          <w:bCs/>
          <w:sz w:val="24"/>
          <w:szCs w:val="24"/>
          <w:lang w:val="en-US" w:eastAsia="zh-CN"/>
        </w:rPr>
        <w:t>1.0.1</w:t>
      </w:r>
      <w:r>
        <w:rPr>
          <w:rFonts w:hint="eastAsia" w:ascii="Times New Roman" w:hAnsi="Times New Roman" w:eastAsia="宋体" w:cs="Times New Roman"/>
          <w:b w:val="0"/>
          <w:bCs w:val="0"/>
          <w:sz w:val="24"/>
          <w:szCs w:val="24"/>
        </w:rPr>
        <w:t>招标代理业务政策性、程序性和</w:t>
      </w:r>
      <w:r>
        <w:rPr>
          <w:rFonts w:hint="eastAsia" w:ascii="Times New Roman" w:hAnsi="Times New Roman" w:eastAsia="宋体" w:cs="Times New Roman"/>
          <w:b w:val="0"/>
          <w:bCs w:val="0"/>
          <w:sz w:val="24"/>
          <w:szCs w:val="24"/>
          <w:lang w:val="en-US" w:eastAsia="zh-CN"/>
        </w:rPr>
        <w:t>专业操作</w:t>
      </w:r>
      <w:r>
        <w:rPr>
          <w:rFonts w:hint="eastAsia" w:ascii="Times New Roman" w:hAnsi="Times New Roman" w:eastAsia="宋体" w:cs="Times New Roman"/>
          <w:b w:val="0"/>
          <w:bCs w:val="0"/>
          <w:sz w:val="24"/>
          <w:szCs w:val="24"/>
        </w:rPr>
        <w:t>性较强，招标代理机构作为招标投标活动的重要实施主体，</w:t>
      </w:r>
      <w:r>
        <w:rPr>
          <w:rFonts w:hint="eastAsia" w:ascii="Times New Roman" w:hAnsi="Times New Roman" w:eastAsia="宋体" w:cs="Times New Roman"/>
          <w:b w:val="0"/>
          <w:bCs w:val="0"/>
          <w:sz w:val="24"/>
          <w:szCs w:val="24"/>
          <w:lang w:val="en-US" w:eastAsia="zh-CN"/>
        </w:rPr>
        <w:t>在工程建设项目</w:t>
      </w:r>
      <w:r>
        <w:rPr>
          <w:rFonts w:hint="eastAsia" w:ascii="Times New Roman" w:hAnsi="Times New Roman" w:eastAsia="宋体" w:cs="Times New Roman"/>
          <w:b w:val="0"/>
          <w:bCs w:val="0"/>
          <w:sz w:val="24"/>
          <w:szCs w:val="24"/>
        </w:rPr>
        <w:t>招标投标</w:t>
      </w:r>
      <w:r>
        <w:rPr>
          <w:rFonts w:hint="eastAsia" w:ascii="Times New Roman" w:hAnsi="Times New Roman" w:eastAsia="宋体" w:cs="Times New Roman"/>
          <w:b w:val="0"/>
          <w:bCs w:val="0"/>
          <w:sz w:val="24"/>
          <w:szCs w:val="24"/>
          <w:lang w:eastAsia="zh-CN"/>
        </w:rPr>
        <w:t>活动</w:t>
      </w:r>
      <w:r>
        <w:rPr>
          <w:rFonts w:hint="eastAsia" w:ascii="Times New Roman" w:hAnsi="Times New Roman" w:eastAsia="宋体" w:cs="Times New Roman"/>
          <w:b w:val="0"/>
          <w:bCs w:val="0"/>
          <w:sz w:val="24"/>
          <w:szCs w:val="24"/>
        </w:rPr>
        <w:t>中</w:t>
      </w:r>
      <w:r>
        <w:rPr>
          <w:rFonts w:hint="eastAsia" w:ascii="Times New Roman" w:hAnsi="Times New Roman" w:eastAsia="宋体" w:cs="Times New Roman"/>
          <w:b w:val="0"/>
          <w:bCs w:val="0"/>
          <w:sz w:val="24"/>
          <w:szCs w:val="24"/>
          <w:lang w:eastAsia="zh-CN"/>
        </w:rPr>
        <w:t>具有</w:t>
      </w:r>
      <w:r>
        <w:rPr>
          <w:rFonts w:hint="eastAsia" w:ascii="Times New Roman" w:hAnsi="Times New Roman" w:eastAsia="宋体" w:cs="Times New Roman"/>
          <w:b w:val="0"/>
          <w:bCs w:val="0"/>
          <w:sz w:val="24"/>
          <w:szCs w:val="24"/>
          <w:lang w:val="en-US" w:eastAsia="zh-CN"/>
        </w:rPr>
        <w:t>重要</w:t>
      </w:r>
      <w:r>
        <w:rPr>
          <w:rFonts w:hint="eastAsia" w:ascii="Times New Roman" w:hAnsi="Times New Roman" w:eastAsia="宋体" w:cs="Times New Roman"/>
          <w:b w:val="0"/>
          <w:bCs w:val="0"/>
          <w:sz w:val="24"/>
          <w:szCs w:val="24"/>
        </w:rPr>
        <w:t>作用，其工作质量直接决定招标</w:t>
      </w:r>
      <w:r>
        <w:rPr>
          <w:rFonts w:hint="eastAsia" w:ascii="Times New Roman" w:hAnsi="Times New Roman" w:eastAsia="宋体" w:cs="Times New Roman"/>
          <w:b w:val="0"/>
          <w:bCs w:val="0"/>
          <w:sz w:val="24"/>
          <w:szCs w:val="24"/>
          <w:lang w:val="en-US" w:eastAsia="zh-CN"/>
        </w:rPr>
        <w:t>项目</w:t>
      </w:r>
      <w:r>
        <w:rPr>
          <w:rFonts w:hint="eastAsia" w:ascii="Times New Roman" w:hAnsi="Times New Roman" w:eastAsia="宋体" w:cs="Times New Roman"/>
          <w:b w:val="0"/>
          <w:bCs w:val="0"/>
          <w:sz w:val="24"/>
          <w:szCs w:val="24"/>
        </w:rPr>
        <w:t>的成功与否。</w:t>
      </w:r>
    </w:p>
    <w:p>
      <w:pPr>
        <w:pStyle w:val="27"/>
        <w:spacing w:line="360" w:lineRule="auto"/>
        <w:ind w:firstLine="480" w:firstLineChars="200"/>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本规程编制旨在进一步优化和提升招标代理机构的管理水平，提高服务质量，规范工程建设项目招标代理活动，健全招标代理机构服务机制。</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本规程编制依据是现行</w:t>
      </w:r>
      <w:r>
        <w:rPr>
          <w:rFonts w:hint="eastAsia" w:ascii="Times New Roman" w:hAnsi="Times New Roman" w:eastAsia="宋体" w:cs="Times New Roman"/>
          <w:b w:val="0"/>
          <w:bCs w:val="0"/>
          <w:sz w:val="24"/>
          <w:szCs w:val="24"/>
          <w:lang w:eastAsia="zh-CN"/>
        </w:rPr>
        <w:t>法律法规</w:t>
      </w:r>
      <w:r>
        <w:rPr>
          <w:rFonts w:hint="eastAsia" w:ascii="Times New Roman" w:hAnsi="Times New Roman" w:eastAsia="宋体" w:cs="Times New Roman"/>
          <w:b w:val="0"/>
          <w:bCs w:val="0"/>
          <w:sz w:val="24"/>
          <w:szCs w:val="24"/>
        </w:rPr>
        <w:t>，包括《中华人民共和国招标投标法》《中华人民共和国招标投标法实施条例》等。</w:t>
      </w:r>
    </w:p>
    <w:p>
      <w:pPr>
        <w:pStyle w:val="27"/>
        <w:spacing w:line="360" w:lineRule="auto"/>
        <w:ind w:firstLine="0" w:firstLineChars="0"/>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1.0.2</w:t>
      </w:r>
      <w:r>
        <w:rPr>
          <w:rFonts w:hint="eastAsia" w:ascii="Times New Roman" w:hAnsi="Times New Roman" w:eastAsia="宋体" w:cs="Times New Roman"/>
          <w:b w:val="0"/>
          <w:bCs w:val="0"/>
          <w:sz w:val="24"/>
          <w:szCs w:val="24"/>
          <w:lang w:val="en-US" w:eastAsia="zh-CN"/>
        </w:rPr>
        <w:t>招标代理机构及从业人员在承担工程建设项目招标代理业务时应执行本规程，各有关招标投标行政监督部门可根据本规程对工程建设项目招标代理活动开展情况进行检查</w:t>
      </w:r>
      <w:r>
        <w:rPr>
          <w:rFonts w:hint="eastAsia" w:ascii="Times New Roman" w:hAnsi="Times New Roman" w:eastAsia="宋体" w:cs="Times New Roman"/>
          <w:b w:val="0"/>
          <w:bCs w:val="0"/>
          <w:sz w:val="24"/>
          <w:szCs w:val="24"/>
        </w:rPr>
        <w:t>。</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pgSz w:w="11906" w:h="16838"/>
          <w:pgMar w:top="1440" w:right="1800" w:bottom="1440" w:left="1800" w:header="850" w:footer="992" w:gutter="0"/>
          <w:pgNumType w:fmt="decimal"/>
          <w:cols w:space="0" w:num="1"/>
          <w:docGrid w:type="lines" w:linePitch="315" w:charSpace="0"/>
        </w:sectPr>
      </w:pPr>
      <w:bookmarkStart w:id="205" w:name="_Toc14802"/>
      <w:bookmarkStart w:id="206" w:name="_Toc18462"/>
      <w:bookmarkStart w:id="207" w:name="_Toc20600"/>
      <w:bookmarkStart w:id="208" w:name="_Toc23099"/>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209" w:name="_Toc14743_WPSOffice_Level1"/>
      <w:r>
        <w:rPr>
          <w:rFonts w:hint="eastAsia" w:ascii="Times New Roman" w:hAnsi="Times New Roman" w:eastAsia="宋体" w:cs="Times New Roman"/>
          <w:b/>
          <w:sz w:val="36"/>
          <w:szCs w:val="36"/>
          <w:lang w:val="en-US" w:eastAsia="zh-CN"/>
        </w:rPr>
        <w:t>2术 语</w:t>
      </w:r>
      <w:bookmarkEnd w:id="205"/>
      <w:bookmarkEnd w:id="206"/>
      <w:bookmarkEnd w:id="207"/>
      <w:bookmarkEnd w:id="208"/>
      <w:bookmarkEnd w:id="209"/>
    </w:p>
    <w:p>
      <w:pPr>
        <w:pStyle w:val="27"/>
        <w:spacing w:line="360" w:lineRule="auto"/>
        <w:ind w:firstLine="0" w:firstLineChars="0"/>
        <w:rPr>
          <w:rFonts w:hint="eastAsia" w:ascii="Times New Roman" w:hAnsi="Times New Roman" w:eastAsia="宋体" w:cs="Times New Roman"/>
          <w:b/>
          <w:bCs/>
          <w:sz w:val="24"/>
          <w:szCs w:val="24"/>
          <w:lang w:val="en-US" w:eastAsia="zh-CN"/>
        </w:rPr>
      </w:pPr>
      <w:bookmarkStart w:id="210" w:name="_Toc12968"/>
      <w:r>
        <w:rPr>
          <w:rFonts w:hint="eastAsia" w:ascii="Times New Roman" w:hAnsi="Times New Roman" w:eastAsia="宋体" w:cs="Times New Roman"/>
          <w:b/>
          <w:bCs/>
          <w:sz w:val="24"/>
          <w:szCs w:val="24"/>
          <w:lang w:val="en-US" w:eastAsia="zh-CN"/>
        </w:rPr>
        <w:t>2.0.1</w:t>
      </w:r>
      <w:r>
        <w:rPr>
          <w:rFonts w:hint="default" w:ascii="Times New Roman" w:hAnsi="Times New Roman" w:eastAsia="宋体" w:cs="Times New Roman"/>
          <w:b/>
          <w:bCs/>
          <w:sz w:val="24"/>
          <w:szCs w:val="24"/>
          <w:lang w:val="en-US" w:eastAsia="zh-CN"/>
        </w:rPr>
        <w:t>~</w:t>
      </w:r>
      <w:r>
        <w:rPr>
          <w:rFonts w:hint="eastAsia" w:ascii="Times New Roman" w:hAnsi="Times New Roman" w:eastAsia="宋体" w:cs="Times New Roman"/>
          <w:b/>
          <w:bCs/>
          <w:sz w:val="24"/>
          <w:szCs w:val="24"/>
          <w:lang w:val="en-US" w:eastAsia="zh-CN"/>
        </w:rPr>
        <w:t>2.0.2</w:t>
      </w:r>
      <w:r>
        <w:rPr>
          <w:rFonts w:hint="eastAsia" w:ascii="Times New Roman" w:hAnsi="Times New Roman" w:eastAsia="宋体" w:cs="Times New Roman"/>
          <w:b w:val="0"/>
          <w:bCs w:val="0"/>
          <w:sz w:val="24"/>
          <w:szCs w:val="24"/>
          <w:lang w:val="en-US" w:eastAsia="zh-CN"/>
        </w:rPr>
        <w:t>依据《中华人民共和国招标投标法实施条例》第二条的规定。</w:t>
      </w:r>
      <w:bookmarkEnd w:id="210"/>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2.0.3</w:t>
      </w:r>
      <w:r>
        <w:rPr>
          <w:rFonts w:hint="default" w:ascii="Times New Roman" w:hAnsi="Times New Roman" w:eastAsia="宋体" w:cs="Times New Roman"/>
          <w:b/>
          <w:bCs/>
          <w:sz w:val="24"/>
          <w:szCs w:val="24"/>
          <w:lang w:val="en-US" w:eastAsia="zh-CN"/>
        </w:rPr>
        <w:t>~</w:t>
      </w:r>
      <w:r>
        <w:rPr>
          <w:rFonts w:hint="eastAsia" w:ascii="Times New Roman" w:hAnsi="Times New Roman" w:eastAsia="宋体" w:cs="Times New Roman"/>
          <w:b/>
          <w:bCs/>
          <w:sz w:val="24"/>
          <w:szCs w:val="24"/>
          <w:lang w:val="en-US" w:eastAsia="zh-CN"/>
        </w:rPr>
        <w:t>2.0.4</w:t>
      </w:r>
      <w:r>
        <w:rPr>
          <w:rFonts w:hint="eastAsia" w:ascii="Times New Roman" w:hAnsi="Times New Roman" w:eastAsia="宋体" w:cs="Times New Roman"/>
          <w:b w:val="0"/>
          <w:bCs w:val="0"/>
          <w:sz w:val="24"/>
          <w:szCs w:val="24"/>
          <w:lang w:val="en-US" w:eastAsia="zh-CN"/>
        </w:rPr>
        <w:t>依据《中华人民共和国招标投标法》第三条、第十三条、第十五条的规定。</w:t>
      </w:r>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2.0.7</w:t>
      </w:r>
      <w:r>
        <w:rPr>
          <w:rFonts w:hint="eastAsia" w:ascii="Times New Roman" w:hAnsi="Times New Roman" w:eastAsia="宋体" w:cs="Times New Roman"/>
          <w:b w:val="0"/>
          <w:bCs w:val="0"/>
          <w:sz w:val="24"/>
          <w:szCs w:val="24"/>
          <w:lang w:val="en-US" w:eastAsia="zh-CN"/>
        </w:rPr>
        <w:t>按照安徽省建筑工程招标投标协会《安徽省工程建设项目招标代理机构及从业人员行为规范（试行）》（皖建招协〔2024〕5号）第十二条规定：招标代理项目实行项目负责人制。项目负责人对招标代理活动全过程负责，并承担相应责任。项目负责人应当具有工程建设类执业资格或工程建设类、工程管理类、经济类中级及以上职称，并具有两年以上同类项目招标代理工作经历。</w:t>
      </w:r>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2.0.15</w:t>
      </w:r>
      <w:r>
        <w:rPr>
          <w:rFonts w:hint="eastAsia" w:ascii="Times New Roman" w:hAnsi="Times New Roman" w:eastAsia="宋体" w:cs="Times New Roman"/>
          <w:b w:val="0"/>
          <w:bCs w:val="0"/>
          <w:sz w:val="24"/>
          <w:szCs w:val="24"/>
          <w:lang w:val="en-US" w:eastAsia="zh-CN"/>
        </w:rPr>
        <w:t>依据《中华人民共和国招标投标法》规定，定标方法有两种，一种是招标人根据评标委员会提出的书面评标报告和推荐的中标候选人确定中标人，即本规程定义的评定分离。另一种是招标人授权评标委员会直接确定中标人。</w:t>
      </w:r>
    </w:p>
    <w:p>
      <w:pPr>
        <w:pStyle w:val="3"/>
        <w:bidi w:val="0"/>
        <w:jc w:val="left"/>
        <w:rPr>
          <w:rFonts w:hint="eastAsia" w:ascii="黑体" w:hAnsi="黑体" w:eastAsia="黑体" w:cs="黑体"/>
          <w:b w:val="0"/>
          <w:bCs w:val="0"/>
          <w:color w:val="auto"/>
          <w:sz w:val="21"/>
          <w:szCs w:val="21"/>
          <w:lang w:val="en-US" w:eastAsia="zh-CN"/>
        </w:rPr>
        <w:sectPr>
          <w:pgSz w:w="11906" w:h="16838"/>
          <w:pgMar w:top="1440" w:right="1800" w:bottom="1440" w:left="1800" w:header="850" w:footer="992" w:gutter="0"/>
          <w:pgNumType w:fmt="decimal"/>
          <w:cols w:space="0" w:num="1"/>
          <w:docGrid w:type="lines" w:linePitch="315" w:charSpace="0"/>
        </w:sectPr>
      </w:pPr>
      <w:bookmarkStart w:id="211" w:name="_Toc22894"/>
      <w:bookmarkStart w:id="212" w:name="_Toc13897"/>
      <w:bookmarkStart w:id="213" w:name="_Toc24836"/>
      <w:bookmarkStart w:id="214" w:name="_Toc5628"/>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215" w:name="_Toc25324_WPSOffice_Level1"/>
      <w:r>
        <w:rPr>
          <w:rFonts w:hint="eastAsia" w:ascii="Times New Roman" w:hAnsi="Times New Roman" w:eastAsia="宋体" w:cs="Times New Roman"/>
          <w:b/>
          <w:sz w:val="36"/>
          <w:szCs w:val="36"/>
          <w:lang w:val="en-US" w:eastAsia="zh-CN"/>
        </w:rPr>
        <w:t>3基本规定</w:t>
      </w:r>
      <w:bookmarkEnd w:id="211"/>
      <w:bookmarkEnd w:id="212"/>
      <w:bookmarkEnd w:id="213"/>
      <w:bookmarkEnd w:id="214"/>
      <w:bookmarkEnd w:id="215"/>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3.0.1</w:t>
      </w:r>
      <w:r>
        <w:rPr>
          <w:rFonts w:hint="eastAsia" w:ascii="Times New Roman" w:hAnsi="Times New Roman" w:eastAsia="宋体" w:cs="Times New Roman"/>
          <w:b w:val="0"/>
          <w:bCs w:val="0"/>
          <w:sz w:val="24"/>
          <w:szCs w:val="24"/>
          <w:lang w:val="en-US" w:eastAsia="zh-CN"/>
        </w:rPr>
        <w:t>《中华人民共和国招标投标法》第五条规定“招标投标活动应当遵循公开、公平、公正和诚实信用原则”。</w:t>
      </w:r>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3.0.3</w:t>
      </w:r>
      <w:r>
        <w:rPr>
          <w:rFonts w:hint="eastAsia" w:ascii="Times New Roman" w:hAnsi="Times New Roman" w:eastAsia="宋体" w:cs="Times New Roman"/>
          <w:b w:val="0"/>
          <w:bCs w:val="0"/>
          <w:sz w:val="24"/>
          <w:szCs w:val="24"/>
          <w:lang w:val="en-US" w:eastAsia="zh-CN"/>
        </w:rPr>
        <w:t>依据《中华人民共和国招标投标法实施条例》第十三条规定，招标代理机构在招标人委托的范围内开展招标代理业务，任何单位和个人不得非法干涉。招标代理机构代理招标业务，应当遵守《中华人民共和国招标投标法》《中华人民共和国招标投标法实施条例》等法律法规，还应遵守国家及地方有关标准、规范，以及有关职业操守和职业道德。</w:t>
      </w:r>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3.0.4</w:t>
      </w:r>
      <w:r>
        <w:rPr>
          <w:rFonts w:hint="eastAsia" w:ascii="Times New Roman" w:hAnsi="Times New Roman" w:eastAsia="宋体" w:cs="Times New Roman"/>
          <w:b w:val="0"/>
          <w:bCs w:val="0"/>
          <w:sz w:val="24"/>
          <w:szCs w:val="24"/>
          <w:lang w:val="en-US" w:eastAsia="zh-CN"/>
        </w:rPr>
        <w:t>招标代理机构工作内容应按照委托合同的要求，条文中突出了编制并发布资格预审公告、招标公告（投标邀请书）、资格预审文件、招标文件，组织开标、组织评标、协助定标和签订合同等关键点，其余工作还包括根据要求发布招标计划、编制招标方案、组织现场踏勘、澄清修改发布等内容。</w:t>
      </w:r>
    </w:p>
    <w:p>
      <w:pPr>
        <w:pStyle w:val="3"/>
        <w:bidi w:val="0"/>
        <w:jc w:val="left"/>
        <w:rPr>
          <w:rFonts w:hint="eastAsia" w:ascii="黑体" w:hAnsi="黑体" w:eastAsia="黑体" w:cs="黑体"/>
          <w:b w:val="0"/>
          <w:bCs w:val="0"/>
          <w:color w:val="auto"/>
          <w:sz w:val="21"/>
          <w:szCs w:val="21"/>
          <w:lang w:val="en-US" w:eastAsia="zh-CN"/>
        </w:rPr>
        <w:sectPr>
          <w:pgSz w:w="11906" w:h="16838"/>
          <w:pgMar w:top="1440" w:right="1800" w:bottom="1440" w:left="1800" w:header="850" w:footer="992" w:gutter="0"/>
          <w:pgNumType w:fmt="decimal"/>
          <w:cols w:space="0" w:num="1"/>
          <w:docGrid w:type="lines" w:linePitch="315" w:charSpace="0"/>
        </w:sectPr>
      </w:pPr>
      <w:bookmarkStart w:id="216" w:name="_Toc24835"/>
      <w:bookmarkStart w:id="217" w:name="_Toc15241"/>
      <w:bookmarkStart w:id="218" w:name="_Toc7139"/>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219" w:name="_Toc12477_WPSOffice_Level1"/>
      <w:r>
        <w:rPr>
          <w:rFonts w:hint="eastAsia" w:ascii="Times New Roman" w:hAnsi="Times New Roman" w:eastAsia="宋体" w:cs="Times New Roman"/>
          <w:b/>
          <w:sz w:val="36"/>
          <w:szCs w:val="36"/>
          <w:lang w:val="en-US" w:eastAsia="zh-CN"/>
        </w:rPr>
        <w:t>4招标代理合同</w:t>
      </w:r>
      <w:bookmarkEnd w:id="216"/>
      <w:bookmarkEnd w:id="217"/>
      <w:bookmarkEnd w:id="218"/>
      <w:bookmarkEnd w:id="219"/>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20" w:name="_Toc28108_WPSOffice_Level1"/>
      <w:bookmarkStart w:id="221" w:name="_Toc9010"/>
      <w:bookmarkStart w:id="222" w:name="_Toc9352"/>
      <w:bookmarkStart w:id="223" w:name="_Toc5748"/>
      <w:r>
        <w:rPr>
          <w:rFonts w:hint="eastAsia" w:ascii="Times New Roman" w:hAnsi="Times New Roman" w:eastAsia="宋体" w:cs="Times New Roman"/>
          <w:b/>
          <w:kern w:val="0"/>
          <w:sz w:val="28"/>
          <w:szCs w:val="28"/>
          <w:lang w:val="en-US" w:eastAsia="zh-CN"/>
        </w:rPr>
        <w:t>4.1 合同签订</w:t>
      </w:r>
      <w:bookmarkEnd w:id="220"/>
      <w:bookmarkEnd w:id="221"/>
      <w:bookmarkEnd w:id="222"/>
      <w:bookmarkEnd w:id="223"/>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4.1.1</w:t>
      </w:r>
      <w:r>
        <w:rPr>
          <w:rFonts w:hint="eastAsia" w:ascii="Times New Roman" w:hAnsi="Times New Roman" w:eastAsia="宋体" w:cs="Times New Roman"/>
          <w:b w:val="0"/>
          <w:bCs w:val="0"/>
          <w:sz w:val="24"/>
          <w:szCs w:val="24"/>
          <w:lang w:val="en-US" w:eastAsia="zh-CN"/>
        </w:rPr>
        <w:t>招标代理业务应由市场调节，以企业信誉和服务质量占领市场。招标代理机构应具备相应的招标代理能力和条件。招标人有权自主选择招标代理机构，任何单位和个人不得以任何方式为招标人指定招标代理机构。</w:t>
      </w:r>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4.1.2</w:t>
      </w:r>
      <w:r>
        <w:rPr>
          <w:rFonts w:hint="eastAsia" w:ascii="Times New Roman" w:hAnsi="Times New Roman" w:eastAsia="宋体" w:cs="Times New Roman"/>
          <w:b w:val="0"/>
          <w:bCs w:val="0"/>
          <w:sz w:val="24"/>
          <w:szCs w:val="24"/>
          <w:lang w:val="en-US" w:eastAsia="zh-CN"/>
        </w:rPr>
        <w:t>委托招标代理机构组织招标，符合专业化发展要求，有利于提高招标工作质量、效率和规范化程度。不具备自行招标能力的招标人应当委托招标代理机构办理招标事宜，具备自行招标能力的招标人也可以将全部或者部分招标事宜委托招标代理机构办理。委托招标代理应签订书面合同。书面合同的订立形式包括合同书、信件、电报、电传、传真等可以有形地表现所载内容的形式。</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24" w:name="_Toc29560"/>
      <w:bookmarkStart w:id="225" w:name="_Toc15387_WPSOffice_Level1"/>
      <w:bookmarkStart w:id="226" w:name="_Toc5633"/>
      <w:bookmarkStart w:id="227" w:name="_Toc12694"/>
      <w:r>
        <w:rPr>
          <w:rFonts w:hint="eastAsia" w:ascii="Times New Roman" w:hAnsi="Times New Roman" w:eastAsia="宋体" w:cs="Times New Roman"/>
          <w:b/>
          <w:kern w:val="0"/>
          <w:sz w:val="28"/>
          <w:szCs w:val="28"/>
          <w:lang w:val="en-US" w:eastAsia="zh-CN"/>
        </w:rPr>
        <w:t>4.2 合同内容</w:t>
      </w:r>
      <w:bookmarkEnd w:id="224"/>
      <w:bookmarkEnd w:id="225"/>
      <w:bookmarkEnd w:id="226"/>
      <w:bookmarkEnd w:id="227"/>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4.2.1</w:t>
      </w:r>
      <w:r>
        <w:rPr>
          <w:rFonts w:hint="eastAsia" w:ascii="Times New Roman" w:hAnsi="Times New Roman" w:eastAsia="宋体" w:cs="Times New Roman"/>
          <w:b w:val="0"/>
          <w:bCs w:val="0"/>
          <w:sz w:val="24"/>
          <w:szCs w:val="24"/>
          <w:lang w:val="en-US" w:eastAsia="zh-CN"/>
        </w:rPr>
        <w:t>招标代理合同中约定招标人提供招标代理业务所需的资料及时间要求，除招标项目必需的基础资料外，还应提供招标人依法组建、项目投资性质、资金落实情况等资料。</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28" w:name="_Toc22753"/>
      <w:bookmarkStart w:id="229" w:name="_Toc6485"/>
      <w:bookmarkStart w:id="230" w:name="_Toc14791"/>
      <w:bookmarkStart w:id="231" w:name="_Toc8032_WPSOffice_Level1"/>
      <w:r>
        <w:rPr>
          <w:rFonts w:hint="eastAsia" w:ascii="Times New Roman" w:hAnsi="Times New Roman" w:eastAsia="宋体" w:cs="Times New Roman"/>
          <w:b/>
          <w:kern w:val="0"/>
          <w:sz w:val="28"/>
          <w:szCs w:val="28"/>
          <w:lang w:val="en-US" w:eastAsia="zh-CN"/>
        </w:rPr>
        <w:t>4.3 招标代理服务费</w:t>
      </w:r>
      <w:bookmarkEnd w:id="228"/>
      <w:bookmarkEnd w:id="229"/>
      <w:bookmarkEnd w:id="230"/>
      <w:bookmarkEnd w:id="231"/>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4.3.1</w:t>
      </w:r>
      <w:r>
        <w:rPr>
          <w:rFonts w:hint="eastAsia" w:ascii="Times New Roman" w:hAnsi="Times New Roman" w:eastAsia="宋体" w:cs="Times New Roman"/>
          <w:b w:val="0"/>
          <w:bCs w:val="0"/>
          <w:sz w:val="24"/>
          <w:szCs w:val="24"/>
          <w:lang w:val="en-US" w:eastAsia="zh-CN"/>
        </w:rPr>
        <w:t>过低的招标代理服务费会影响招标代理工作质量，招标代理服务应倡导优质优价。</w:t>
      </w:r>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4.3.3</w:t>
      </w:r>
      <w:r>
        <w:rPr>
          <w:rFonts w:hint="eastAsia" w:ascii="Times New Roman" w:hAnsi="Times New Roman" w:eastAsia="宋体" w:cs="Times New Roman"/>
          <w:b w:val="0"/>
          <w:bCs w:val="0"/>
          <w:sz w:val="24"/>
          <w:szCs w:val="24"/>
          <w:lang w:val="en-US" w:eastAsia="zh-CN"/>
        </w:rPr>
        <w:t>项目招标失败后招标代理服务费也应收取。</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pgSz w:w="11906" w:h="16838"/>
          <w:pgMar w:top="1440" w:right="1800" w:bottom="1440" w:left="1800" w:header="850" w:footer="992" w:gutter="0"/>
          <w:pgNumType w:fmt="decimal"/>
          <w:cols w:space="0" w:num="1"/>
          <w:docGrid w:type="lines" w:linePitch="315" w:charSpace="0"/>
        </w:sectPr>
      </w:pPr>
      <w:bookmarkStart w:id="232" w:name="_Toc29136"/>
      <w:bookmarkStart w:id="233" w:name="_Toc7778"/>
      <w:bookmarkStart w:id="234" w:name="_Toc27993"/>
      <w:bookmarkStart w:id="235" w:name="_Toc23875"/>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236" w:name="_Toc8086_WPSOffice_Level1"/>
      <w:r>
        <w:rPr>
          <w:rFonts w:hint="eastAsia" w:ascii="Times New Roman" w:hAnsi="Times New Roman" w:eastAsia="宋体" w:cs="Times New Roman"/>
          <w:b/>
          <w:sz w:val="36"/>
          <w:szCs w:val="36"/>
          <w:lang w:val="en-US" w:eastAsia="zh-CN"/>
        </w:rPr>
        <w:t>5招标代理机构</w:t>
      </w:r>
      <w:bookmarkEnd w:id="232"/>
      <w:bookmarkEnd w:id="233"/>
      <w:bookmarkEnd w:id="234"/>
      <w:bookmarkEnd w:id="235"/>
      <w:bookmarkEnd w:id="236"/>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37" w:name="_Toc9232_WPSOffice_Level1"/>
      <w:bookmarkStart w:id="238" w:name="_Toc29591"/>
      <w:bookmarkStart w:id="239" w:name="_Toc31706"/>
      <w:bookmarkStart w:id="240" w:name="_Toc15167"/>
      <w:r>
        <w:rPr>
          <w:rFonts w:hint="eastAsia" w:ascii="Times New Roman" w:hAnsi="Times New Roman" w:eastAsia="宋体" w:cs="Times New Roman"/>
          <w:b/>
          <w:kern w:val="0"/>
          <w:sz w:val="28"/>
          <w:szCs w:val="28"/>
          <w:lang w:val="en-US" w:eastAsia="zh-CN"/>
        </w:rPr>
        <w:t>5.1 组织形式与构成</w:t>
      </w:r>
      <w:bookmarkEnd w:id="237"/>
      <w:bookmarkEnd w:id="238"/>
      <w:bookmarkEnd w:id="239"/>
      <w:bookmarkEnd w:id="240"/>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5.1.2</w:t>
      </w:r>
      <w:r>
        <w:rPr>
          <w:rFonts w:hint="eastAsia" w:ascii="Times New Roman" w:hAnsi="Times New Roman" w:eastAsia="宋体" w:cs="Times New Roman"/>
          <w:b w:val="0"/>
          <w:bCs w:val="0"/>
          <w:sz w:val="24"/>
          <w:szCs w:val="24"/>
          <w:lang w:val="en-US" w:eastAsia="zh-CN"/>
        </w:rPr>
        <w:t>招标代理项目组人数由招标代理项目负责人决定，但项目组成员数量不少于2名。</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41" w:name="_Toc12991"/>
      <w:bookmarkStart w:id="242" w:name="_Toc11742"/>
      <w:bookmarkStart w:id="243" w:name="_Toc15808_WPSOffice_Level1"/>
      <w:bookmarkStart w:id="244" w:name="_Toc28870"/>
      <w:r>
        <w:rPr>
          <w:rFonts w:hint="eastAsia" w:ascii="Times New Roman" w:hAnsi="Times New Roman" w:eastAsia="宋体" w:cs="Times New Roman"/>
          <w:b/>
          <w:kern w:val="0"/>
          <w:sz w:val="28"/>
          <w:szCs w:val="28"/>
          <w:lang w:val="en-US" w:eastAsia="zh-CN"/>
        </w:rPr>
        <w:t>5.2 招标代理项目组要求</w:t>
      </w:r>
      <w:bookmarkEnd w:id="241"/>
      <w:bookmarkEnd w:id="242"/>
      <w:bookmarkEnd w:id="243"/>
      <w:bookmarkEnd w:id="244"/>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5.2.1</w:t>
      </w:r>
      <w:r>
        <w:rPr>
          <w:rFonts w:hint="eastAsia" w:ascii="Times New Roman" w:hAnsi="Times New Roman" w:eastAsia="宋体" w:cs="Times New Roman"/>
          <w:b w:val="0"/>
          <w:bCs w:val="0"/>
          <w:sz w:val="24"/>
          <w:szCs w:val="24"/>
          <w:lang w:val="en-US" w:eastAsia="zh-CN"/>
        </w:rPr>
        <w:t>招标代理项目组应向招标投标各方宣传招标投标有关法律法规和政策，解释合理的招标程序，以便得到支持和配合，尽可能减少投诉和误会。</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45" w:name="_Toc4152"/>
      <w:bookmarkStart w:id="246" w:name="_Toc6146_WPSOffice_Level1"/>
      <w:bookmarkStart w:id="247" w:name="_Toc15178"/>
      <w:bookmarkStart w:id="248" w:name="_Toc3253"/>
      <w:r>
        <w:rPr>
          <w:rFonts w:hint="eastAsia" w:ascii="Times New Roman" w:hAnsi="Times New Roman" w:eastAsia="宋体" w:cs="Times New Roman"/>
          <w:b/>
          <w:kern w:val="0"/>
          <w:sz w:val="28"/>
          <w:szCs w:val="28"/>
          <w:lang w:val="en-US" w:eastAsia="zh-CN"/>
        </w:rPr>
        <w:t>5.3 质量控制</w:t>
      </w:r>
      <w:bookmarkEnd w:id="245"/>
      <w:bookmarkEnd w:id="246"/>
      <w:bookmarkEnd w:id="247"/>
      <w:bookmarkEnd w:id="248"/>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5.3.2</w:t>
      </w:r>
      <w:r>
        <w:rPr>
          <w:rFonts w:hint="eastAsia" w:ascii="Times New Roman" w:hAnsi="Times New Roman" w:eastAsia="宋体" w:cs="Times New Roman"/>
          <w:b w:val="0"/>
          <w:bCs w:val="0"/>
          <w:sz w:val="24"/>
          <w:szCs w:val="24"/>
          <w:lang w:val="en-US" w:eastAsia="zh-CN"/>
        </w:rPr>
        <w:t>本条款强调通过三级复核制，加强对招标代理重要成果文件的质量控制。</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pgSz w:w="11906" w:h="16838"/>
          <w:pgMar w:top="1440" w:right="1800" w:bottom="1440" w:left="1800" w:header="850" w:footer="992" w:gutter="0"/>
          <w:pgNumType w:fmt="decimal"/>
          <w:cols w:space="0" w:num="1"/>
          <w:docGrid w:type="lines" w:linePitch="315" w:charSpace="0"/>
        </w:sectPr>
      </w:pPr>
      <w:bookmarkStart w:id="249" w:name="_Toc11299"/>
      <w:bookmarkStart w:id="250" w:name="_Toc21837"/>
      <w:bookmarkStart w:id="251" w:name="_Toc18900"/>
      <w:bookmarkStart w:id="252" w:name="_Toc3340"/>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253" w:name="_Toc32054_WPSOffice_Level1"/>
      <w:r>
        <w:rPr>
          <w:rFonts w:hint="eastAsia" w:ascii="Times New Roman" w:hAnsi="Times New Roman" w:eastAsia="宋体" w:cs="Times New Roman"/>
          <w:b/>
          <w:sz w:val="36"/>
          <w:szCs w:val="36"/>
          <w:lang w:val="en-US" w:eastAsia="zh-CN"/>
        </w:rPr>
        <w:t>6招标准备及计划</w:t>
      </w:r>
      <w:bookmarkEnd w:id="249"/>
      <w:bookmarkEnd w:id="250"/>
      <w:bookmarkEnd w:id="251"/>
      <w:bookmarkEnd w:id="252"/>
      <w:bookmarkEnd w:id="253"/>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54" w:name="_Toc29528"/>
      <w:bookmarkStart w:id="255" w:name="_Toc7331"/>
      <w:bookmarkStart w:id="256" w:name="_Toc25753"/>
      <w:bookmarkStart w:id="257" w:name="_Toc29658_WPSOffice_Level1"/>
      <w:r>
        <w:rPr>
          <w:rFonts w:hint="eastAsia" w:ascii="Times New Roman" w:hAnsi="Times New Roman" w:eastAsia="宋体" w:cs="Times New Roman"/>
          <w:b/>
          <w:kern w:val="0"/>
          <w:sz w:val="28"/>
          <w:szCs w:val="28"/>
          <w:lang w:val="en-US" w:eastAsia="zh-CN"/>
        </w:rPr>
        <w:t>6.1 一般规定</w:t>
      </w:r>
      <w:bookmarkEnd w:id="254"/>
      <w:bookmarkEnd w:id="255"/>
      <w:bookmarkEnd w:id="256"/>
      <w:bookmarkEnd w:id="257"/>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6.1.2</w:t>
      </w:r>
      <w:r>
        <w:rPr>
          <w:rFonts w:hint="eastAsia" w:ascii="Times New Roman" w:hAnsi="Times New Roman" w:eastAsia="宋体" w:cs="Times New Roman"/>
          <w:b w:val="0"/>
          <w:bCs w:val="0"/>
          <w:sz w:val="24"/>
          <w:szCs w:val="24"/>
          <w:lang w:val="en-US" w:eastAsia="zh-CN"/>
        </w:rPr>
        <w:t>招标准备及计划阶段对工作质量影响很大，但招标代理机构往往忽视这一阶段的工作，有时在招标过程中发现资料准备不足，考虑不细致，造成工作效率低下。所以，本条对招标准备及计划提出了具体要求。</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58" w:name="_Toc1057"/>
      <w:bookmarkStart w:id="259" w:name="_Toc28591"/>
      <w:bookmarkStart w:id="260" w:name="_Toc1737"/>
      <w:bookmarkStart w:id="261" w:name="_Toc22176_WPSOffice_Level1"/>
      <w:r>
        <w:rPr>
          <w:rFonts w:hint="eastAsia" w:ascii="Times New Roman" w:hAnsi="Times New Roman" w:eastAsia="宋体" w:cs="Times New Roman"/>
          <w:b/>
          <w:kern w:val="0"/>
          <w:sz w:val="28"/>
          <w:szCs w:val="28"/>
          <w:lang w:val="en-US" w:eastAsia="zh-CN"/>
        </w:rPr>
        <w:t>6.3 招标</w:t>
      </w:r>
      <w:bookmarkEnd w:id="258"/>
      <w:bookmarkEnd w:id="259"/>
      <w:r>
        <w:rPr>
          <w:rFonts w:hint="eastAsia" w:ascii="Times New Roman" w:hAnsi="Times New Roman" w:eastAsia="宋体" w:cs="Times New Roman"/>
          <w:b/>
          <w:kern w:val="0"/>
          <w:sz w:val="28"/>
          <w:szCs w:val="28"/>
          <w:lang w:val="en-US" w:eastAsia="zh-CN"/>
        </w:rPr>
        <w:t>方案</w:t>
      </w:r>
      <w:bookmarkEnd w:id="260"/>
      <w:bookmarkEnd w:id="261"/>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6.3.6</w:t>
      </w:r>
      <w:r>
        <w:rPr>
          <w:rFonts w:hint="eastAsia" w:ascii="Times New Roman" w:hAnsi="Times New Roman" w:eastAsia="宋体" w:cs="Times New Roman"/>
          <w:b w:val="0"/>
          <w:bCs w:val="0"/>
          <w:sz w:val="24"/>
          <w:szCs w:val="24"/>
          <w:lang w:val="en-US" w:eastAsia="zh-CN"/>
        </w:rPr>
        <w:t>招标批次划分顺序是根据工程项目管理的需要和实际做法确定，可结合实际招标项目的专业特点、工程进度和规模做相应调整。</w:t>
      </w:r>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6.3.7</w:t>
      </w:r>
      <w:r>
        <w:rPr>
          <w:rFonts w:hint="eastAsia" w:ascii="Times New Roman" w:hAnsi="Times New Roman" w:eastAsia="宋体" w:cs="Times New Roman"/>
          <w:b w:val="0"/>
          <w:bCs w:val="0"/>
          <w:sz w:val="24"/>
          <w:szCs w:val="24"/>
          <w:lang w:val="en-US" w:eastAsia="zh-CN"/>
        </w:rPr>
        <w:t>招标项目划分标段（包），通常基于以下两个方面的客观需要。一是适应不同资格能力的投标人。招标项目包含不同类型、不同专业技术、不同品种和规格的标的，分成不同标段（包）才能使有相应资格能力的单位分别投标。二是满足分阶段实施要求。同一招标项目由于受资金、设计等条件的限制必须划分标段（包），以满足分阶段实施要求。但不得利用标段（包）划分实现非法目的，突出的是不得利用划分标段（包）限制排斥潜在投标人或者规避招标。</w:t>
      </w:r>
    </w:p>
    <w:p>
      <w:pPr>
        <w:pStyle w:val="3"/>
        <w:bidi w:val="0"/>
        <w:jc w:val="left"/>
        <w:rPr>
          <w:rFonts w:hint="eastAsia" w:ascii="黑体" w:hAnsi="黑体" w:eastAsia="黑体" w:cs="黑体"/>
          <w:b w:val="0"/>
          <w:bCs w:val="0"/>
          <w:color w:val="auto"/>
          <w:sz w:val="21"/>
          <w:szCs w:val="21"/>
          <w:lang w:val="en-US" w:eastAsia="zh-CN"/>
        </w:rPr>
        <w:sectPr>
          <w:pgSz w:w="11906" w:h="16838"/>
          <w:pgMar w:top="1440" w:right="1800" w:bottom="1440" w:left="1800" w:header="850" w:footer="992" w:gutter="0"/>
          <w:pgNumType w:fmt="decimal"/>
          <w:cols w:space="0" w:num="1"/>
          <w:docGrid w:type="lines" w:linePitch="315" w:charSpace="0"/>
        </w:sectPr>
      </w:pPr>
      <w:bookmarkStart w:id="262" w:name="_Toc5443"/>
      <w:bookmarkStart w:id="263" w:name="_Toc26424"/>
      <w:bookmarkStart w:id="264" w:name="_Toc11489"/>
      <w:bookmarkStart w:id="265" w:name="_Toc29337"/>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266" w:name="_Toc28139_WPSOffice_Level1"/>
      <w:r>
        <w:rPr>
          <w:rFonts w:hint="eastAsia" w:ascii="Times New Roman" w:hAnsi="Times New Roman" w:eastAsia="宋体" w:cs="Times New Roman"/>
          <w:b/>
          <w:sz w:val="36"/>
          <w:szCs w:val="36"/>
          <w:lang w:val="en-US" w:eastAsia="zh-CN"/>
        </w:rPr>
        <w:t>7招标公告、投标邀请书</w:t>
      </w:r>
      <w:bookmarkEnd w:id="262"/>
      <w:bookmarkEnd w:id="263"/>
      <w:bookmarkEnd w:id="264"/>
      <w:bookmarkEnd w:id="265"/>
      <w:bookmarkEnd w:id="266"/>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67" w:name="_Toc16145"/>
      <w:bookmarkStart w:id="268" w:name="_Toc10824"/>
      <w:bookmarkStart w:id="269" w:name="_Toc21409"/>
      <w:r>
        <w:rPr>
          <w:rFonts w:hint="eastAsia" w:ascii="Times New Roman" w:hAnsi="Times New Roman" w:eastAsia="宋体" w:cs="Times New Roman"/>
          <w:b/>
          <w:kern w:val="0"/>
          <w:sz w:val="28"/>
          <w:szCs w:val="28"/>
          <w:lang w:val="en-US" w:eastAsia="zh-CN"/>
        </w:rPr>
        <w:t>7.1 一般规定</w:t>
      </w:r>
      <w:bookmarkEnd w:id="267"/>
      <w:bookmarkEnd w:id="268"/>
      <w:bookmarkEnd w:id="269"/>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7.1.2</w:t>
      </w:r>
      <w:r>
        <w:rPr>
          <w:rFonts w:hint="eastAsia" w:ascii="Times New Roman" w:hAnsi="Times New Roman" w:eastAsia="宋体" w:cs="Times New Roman"/>
          <w:b w:val="0"/>
          <w:bCs w:val="0"/>
          <w:sz w:val="24"/>
          <w:szCs w:val="24"/>
          <w:lang w:val="en-US" w:eastAsia="zh-CN"/>
        </w:rPr>
        <w:t>依据《中华人民共和国招标投标法》第八条、第九条规定和中华人民共和国住房和城乡建设部《房屋建筑和市政基础设施工程施工招标投标管理办法》（中华人民共和国住房和城乡建设部令第47号）第七条规定。</w:t>
      </w:r>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7.1.3</w:t>
      </w:r>
      <w:r>
        <w:rPr>
          <w:rFonts w:hint="eastAsia" w:ascii="Times New Roman" w:hAnsi="Times New Roman" w:eastAsia="宋体" w:cs="Times New Roman"/>
          <w:b w:val="0"/>
          <w:bCs w:val="0"/>
          <w:sz w:val="24"/>
          <w:szCs w:val="24"/>
          <w:lang w:val="en-US" w:eastAsia="zh-CN"/>
        </w:rPr>
        <w:t>依据《中华人民共和国招标投标法》第十六条、第十七条规定。</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70" w:name="_Toc2887"/>
      <w:bookmarkStart w:id="271" w:name="_Toc28197_WPSOffice_Level1"/>
      <w:bookmarkStart w:id="272" w:name="_Toc25644"/>
      <w:bookmarkStart w:id="273" w:name="_Toc15303"/>
      <w:r>
        <w:rPr>
          <w:rFonts w:hint="eastAsia" w:ascii="Times New Roman" w:hAnsi="Times New Roman" w:eastAsia="宋体" w:cs="Times New Roman"/>
          <w:b/>
          <w:kern w:val="0"/>
          <w:sz w:val="28"/>
          <w:szCs w:val="28"/>
          <w:lang w:val="en-US" w:eastAsia="zh-CN"/>
        </w:rPr>
        <w:t>7.3 招标公告的发布、投标邀请书的发出</w:t>
      </w:r>
      <w:bookmarkEnd w:id="270"/>
      <w:bookmarkEnd w:id="271"/>
      <w:bookmarkEnd w:id="272"/>
      <w:bookmarkEnd w:id="273"/>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7.3.2</w:t>
      </w:r>
      <w:r>
        <w:rPr>
          <w:rFonts w:hint="eastAsia" w:ascii="Times New Roman" w:hAnsi="Times New Roman" w:eastAsia="宋体" w:cs="Times New Roman"/>
          <w:b w:val="0"/>
          <w:bCs w:val="0"/>
          <w:sz w:val="24"/>
          <w:szCs w:val="24"/>
          <w:lang w:val="en-US" w:eastAsia="zh-CN"/>
        </w:rPr>
        <w:t>依据中华人民共和国国家发展和改革委员会《招标公告和公示信息发布管理办法》（国家发展改革委员会令第10号）规定。</w:t>
      </w:r>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7.3.3</w:t>
      </w:r>
      <w:r>
        <w:rPr>
          <w:rFonts w:hint="eastAsia" w:ascii="Times New Roman" w:hAnsi="Times New Roman" w:eastAsia="宋体" w:cs="Times New Roman"/>
          <w:b w:val="0"/>
          <w:bCs w:val="0"/>
          <w:sz w:val="24"/>
          <w:szCs w:val="24"/>
          <w:lang w:val="en-US" w:eastAsia="zh-CN"/>
        </w:rPr>
        <w:t>依据《中华人民共和国招标投标法实施条例》第十五条规定。</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pgSz w:w="11906" w:h="16838"/>
          <w:pgMar w:top="1440" w:right="1800" w:bottom="1440" w:left="1800" w:header="850" w:footer="992" w:gutter="0"/>
          <w:pgNumType w:fmt="decimal"/>
          <w:cols w:space="0" w:num="1"/>
          <w:docGrid w:type="lines" w:linePitch="315" w:charSpace="0"/>
        </w:sectPr>
      </w:pPr>
      <w:bookmarkStart w:id="274" w:name="_Toc19424"/>
      <w:bookmarkStart w:id="275" w:name="_Toc5401"/>
      <w:bookmarkStart w:id="276" w:name="_Toc20944"/>
      <w:bookmarkStart w:id="277" w:name="_Toc10689"/>
    </w:p>
    <w:p>
      <w:pPr>
        <w:pStyle w:val="6"/>
        <w:spacing w:before="312" w:beforeLines="100" w:after="312" w:afterLines="100" w:line="360" w:lineRule="auto"/>
        <w:jc w:val="center"/>
        <w:outlineLvl w:val="0"/>
        <w:rPr>
          <w:rFonts w:hint="eastAsia" w:ascii="Times New Roman" w:hAnsi="Times New Roman" w:eastAsia="宋体" w:cs="Times New Roman"/>
          <w:b w:val="0"/>
          <w:bCs w:val="0"/>
          <w:kern w:val="2"/>
          <w:sz w:val="24"/>
          <w:szCs w:val="24"/>
          <w:lang w:val="en-US" w:eastAsia="zh-CN" w:bidi="ar-SA"/>
        </w:rPr>
      </w:pPr>
      <w:bookmarkStart w:id="278" w:name="_Toc19543_WPSOffice_Level1"/>
      <w:r>
        <w:rPr>
          <w:rFonts w:hint="eastAsia" w:ascii="Times New Roman" w:hAnsi="Times New Roman" w:eastAsia="宋体" w:cs="Times New Roman"/>
          <w:b/>
          <w:sz w:val="36"/>
          <w:szCs w:val="36"/>
          <w:lang w:val="en-US" w:eastAsia="zh-CN"/>
        </w:rPr>
        <w:t>8资格预审</w:t>
      </w:r>
      <w:bookmarkEnd w:id="274"/>
      <w:bookmarkEnd w:id="275"/>
      <w:bookmarkEnd w:id="276"/>
      <w:bookmarkEnd w:id="277"/>
      <w:bookmarkEnd w:id="278"/>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79" w:name="_Toc31151"/>
      <w:bookmarkStart w:id="280" w:name="_Toc30949"/>
      <w:bookmarkStart w:id="281" w:name="_Toc16784_WPSOffice_Level1"/>
      <w:bookmarkStart w:id="282" w:name="_Toc8753"/>
      <w:r>
        <w:rPr>
          <w:rFonts w:hint="eastAsia" w:ascii="Times New Roman" w:hAnsi="Times New Roman" w:eastAsia="宋体" w:cs="Times New Roman"/>
          <w:b/>
          <w:kern w:val="0"/>
          <w:sz w:val="28"/>
          <w:szCs w:val="28"/>
          <w:lang w:val="en-US" w:eastAsia="zh-CN"/>
        </w:rPr>
        <w:t>8.1 一般规定</w:t>
      </w:r>
      <w:bookmarkEnd w:id="279"/>
      <w:bookmarkEnd w:id="280"/>
      <w:bookmarkEnd w:id="281"/>
      <w:bookmarkEnd w:id="282"/>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8.1.1</w:t>
      </w:r>
      <w:r>
        <w:rPr>
          <w:rFonts w:hint="eastAsia" w:ascii="Times New Roman" w:hAnsi="Times New Roman" w:eastAsia="宋体" w:cs="Times New Roman"/>
          <w:b w:val="0"/>
          <w:bCs w:val="0"/>
          <w:sz w:val="24"/>
          <w:szCs w:val="24"/>
          <w:lang w:val="en-US" w:eastAsia="zh-CN"/>
        </w:rPr>
        <w:t>资格审查是招标投标活动的关键环节之一。资格审查方式分为资格预审和资格后审。所谓资格预审是指招标人在发出投标邀请书或者发售招标文件前，按照资格预审文件确定的资格条件、标准和方法对潜在投标人订立合同的资格和履行合同的能力等进行审查。资格预审的目的是为了筛选出满足招标项目所需资格、能力和有参与招标项目投标意愿的潜在投标人，最大限度地调动投标人挖掘潜能，提高竞争效果。对潜在投标人数量过多或者大型复杂等单一特征明显的招标项目，以及投标文件编制成本高的招标项目，资格预审还可以有效降低投标的社会成本，提高评标效率。所谓资格后审，依据《中华人民共和国招标投标法实施条例》第二十条规定，是指开标后由评标委员会按照招标文件规定的标准和方法进行的资格审查。</w:t>
      </w:r>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8.1.2</w:t>
      </w:r>
      <w:r>
        <w:rPr>
          <w:rFonts w:hint="eastAsia" w:ascii="Times New Roman" w:hAnsi="Times New Roman" w:eastAsia="宋体" w:cs="Times New Roman"/>
          <w:b w:val="0"/>
          <w:bCs w:val="0"/>
          <w:sz w:val="24"/>
          <w:szCs w:val="24"/>
          <w:lang w:val="en-US" w:eastAsia="zh-CN"/>
        </w:rPr>
        <w:t>合格制是指资格预审申请人凡符合资格预审文件审查标准的均通过资格预审。</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有限数量制是指依据资格预审文件规定的审查标准和程序，对通过初步审查和详细审查的资格预审申请文件进行量化打分，按得分由高到低顺序确定通过资格预审的申请人。通过资格预审的申请人不超过资格预审文件中规定的数量，但最低不得少于3个。</w:t>
      </w:r>
    </w:p>
    <w:p>
      <w:pPr>
        <w:pStyle w:val="27"/>
        <w:spacing w:line="360" w:lineRule="auto"/>
        <w:ind w:firstLine="0" w:firstLineChars="0"/>
        <w:rPr>
          <w:rFonts w:hint="eastAsia" w:ascii="Times New Roman" w:hAnsi="Times New Roman" w:eastAsia="宋体" w:cs="Times New Roman"/>
          <w:b/>
          <w:bCs/>
          <w:sz w:val="24"/>
          <w:szCs w:val="24"/>
          <w:lang w:val="en-US" w:eastAsia="zh-TW"/>
        </w:rPr>
      </w:pPr>
      <w:r>
        <w:rPr>
          <w:rFonts w:hint="eastAsia" w:ascii="Times New Roman" w:hAnsi="Times New Roman" w:eastAsia="宋体" w:cs="Times New Roman"/>
          <w:b/>
          <w:bCs/>
          <w:sz w:val="24"/>
          <w:szCs w:val="24"/>
          <w:lang w:val="en-US" w:eastAsia="zh-CN"/>
        </w:rPr>
        <w:t>8.1.4</w:t>
      </w:r>
      <w:r>
        <w:rPr>
          <w:rFonts w:hint="eastAsia" w:ascii="Times New Roman" w:hAnsi="Times New Roman" w:eastAsia="宋体" w:cs="Times New Roman"/>
          <w:b w:val="0"/>
          <w:bCs w:val="0"/>
          <w:sz w:val="24"/>
          <w:szCs w:val="24"/>
          <w:lang w:val="en-US" w:eastAsia="zh-CN"/>
        </w:rPr>
        <w:t>资格预审文件是告知潜在投标人招标项目的内容、范围和数量，投标资格条件的载体，是指导资格审查活动全过程的纲领性文件，是潜在投标人编制资格预审申请文件，资格审查委员会对资格预审申请文件进行评审并推荐或者确定通过资格预审的申请人的依据。</w:t>
      </w:r>
    </w:p>
    <w:p>
      <w:pPr>
        <w:pStyle w:val="3"/>
        <w:bidi w:val="0"/>
        <w:jc w:val="left"/>
        <w:rPr>
          <w:rFonts w:hint="eastAsia" w:ascii="黑体" w:hAnsi="黑体" w:eastAsia="黑体" w:cs="黑体"/>
          <w:b w:val="0"/>
          <w:bCs w:val="0"/>
          <w:color w:val="auto"/>
          <w:sz w:val="21"/>
          <w:szCs w:val="21"/>
          <w:lang w:val="en-US" w:eastAsia="zh-CN"/>
        </w:rPr>
        <w:sectPr>
          <w:pgSz w:w="11906" w:h="16838"/>
          <w:pgMar w:top="1440" w:right="1800" w:bottom="1440" w:left="1800" w:header="850" w:footer="992" w:gutter="0"/>
          <w:pgNumType w:fmt="decimal"/>
          <w:cols w:space="0" w:num="1"/>
          <w:docGrid w:type="lines" w:linePitch="315" w:charSpace="0"/>
        </w:sectPr>
      </w:pPr>
      <w:bookmarkStart w:id="283" w:name="_Toc10688"/>
      <w:bookmarkStart w:id="284" w:name="_Toc29975"/>
      <w:bookmarkStart w:id="285" w:name="_Toc2252"/>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286" w:name="_Toc27944_WPSOffice_Level1"/>
      <w:r>
        <w:rPr>
          <w:rFonts w:hint="eastAsia" w:ascii="Times New Roman" w:hAnsi="Times New Roman" w:eastAsia="宋体" w:cs="Times New Roman"/>
          <w:b/>
          <w:sz w:val="36"/>
          <w:szCs w:val="36"/>
          <w:lang w:val="en-US" w:eastAsia="zh-CN"/>
        </w:rPr>
        <w:t>9招标文件编制</w:t>
      </w:r>
      <w:bookmarkEnd w:id="283"/>
      <w:bookmarkEnd w:id="284"/>
      <w:bookmarkEnd w:id="285"/>
      <w:bookmarkEnd w:id="286"/>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87" w:name="_Toc18354"/>
      <w:bookmarkStart w:id="288" w:name="_Toc12720"/>
      <w:bookmarkStart w:id="289" w:name="_Toc22663_WPSOffice_Level1"/>
      <w:bookmarkStart w:id="290" w:name="_Toc10054"/>
      <w:r>
        <w:rPr>
          <w:rFonts w:hint="eastAsia" w:ascii="Times New Roman" w:hAnsi="Times New Roman" w:eastAsia="宋体" w:cs="Times New Roman"/>
          <w:b/>
          <w:kern w:val="0"/>
          <w:sz w:val="28"/>
          <w:szCs w:val="28"/>
          <w:lang w:val="en-US" w:eastAsia="zh-CN"/>
        </w:rPr>
        <w:t>9.1 一般规定</w:t>
      </w:r>
      <w:bookmarkEnd w:id="287"/>
      <w:bookmarkEnd w:id="288"/>
      <w:bookmarkEnd w:id="289"/>
      <w:bookmarkEnd w:id="290"/>
    </w:p>
    <w:p>
      <w:pPr>
        <w:pStyle w:val="27"/>
        <w:spacing w:line="360" w:lineRule="auto"/>
        <w:ind w:firstLine="0" w:firstLineChars="0"/>
        <w:rPr>
          <w:rFonts w:hint="eastAsia" w:ascii="Times New Roman" w:hAnsi="Times New Roman" w:eastAsia="宋体" w:cs="Times New Roman"/>
          <w:b/>
          <w:bCs/>
          <w:sz w:val="24"/>
          <w:szCs w:val="24"/>
          <w:lang w:val="en-US" w:eastAsia="zh-CN"/>
        </w:rPr>
      </w:pPr>
      <w:bookmarkStart w:id="291" w:name="_Toc27403"/>
      <w:r>
        <w:rPr>
          <w:rFonts w:hint="eastAsia" w:ascii="Times New Roman" w:hAnsi="Times New Roman" w:eastAsia="宋体" w:cs="Times New Roman"/>
          <w:b/>
          <w:bCs/>
          <w:sz w:val="24"/>
          <w:szCs w:val="24"/>
          <w:lang w:val="en-US" w:eastAsia="zh-CN"/>
        </w:rPr>
        <w:t>9.1.3</w:t>
      </w:r>
      <w:r>
        <w:rPr>
          <w:rFonts w:hint="eastAsia" w:ascii="Times New Roman" w:hAnsi="Times New Roman" w:eastAsia="宋体" w:cs="Times New Roman"/>
          <w:b w:val="0"/>
          <w:bCs w:val="0"/>
          <w:sz w:val="24"/>
          <w:szCs w:val="24"/>
          <w:lang w:val="en-US" w:eastAsia="zh-CN"/>
        </w:rPr>
        <w:t>依据《中华人民共和国招标投标法实施条例》第三条对依法必须招标的工程服务内容进行界定。</w:t>
      </w:r>
      <w:bookmarkEnd w:id="291"/>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9.1.4</w:t>
      </w:r>
      <w:r>
        <w:rPr>
          <w:rFonts w:hint="eastAsia" w:ascii="Times New Roman" w:hAnsi="Times New Roman" w:eastAsia="宋体" w:cs="Times New Roman"/>
          <w:b w:val="0"/>
          <w:bCs w:val="0"/>
          <w:sz w:val="24"/>
          <w:szCs w:val="24"/>
          <w:lang w:val="en-US" w:eastAsia="zh-CN"/>
        </w:rPr>
        <w:t>依据《中华人民共和国招标投标法》第二十四条的规定，招标人应当确定投标人编制投标文件所需要的合理时间；但是，依法必须进行招标的项目，自招标文件开始发出之日起至投标人提交投标文件截止之日止，最短不得少于二十日。根据《中华人民共和国民法典》第两百零一条“按照年、月、日计算期间的，开始的当日不计入，自下一日开始计算”和第两百零三条“期间的最后一日是法定休假日的，以法定休假日结束的次日为期间的最后一日”的规定。招标人不得故意利用节假日拖延时间，尤其是类似于“黄金周”的长假，否则将在事实上构成限制或者排斥潜在投标人，并且也有违招投标活动应当遵循的诚实信用原则。</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292" w:name="_Toc10858"/>
      <w:bookmarkStart w:id="293" w:name="_Toc18300"/>
      <w:bookmarkStart w:id="294" w:name="_Toc16353"/>
      <w:bookmarkStart w:id="295" w:name="_Toc23592_WPSOffice_Level1"/>
      <w:r>
        <w:rPr>
          <w:rFonts w:hint="eastAsia" w:ascii="Times New Roman" w:hAnsi="Times New Roman" w:eastAsia="宋体" w:cs="Times New Roman"/>
          <w:b/>
          <w:kern w:val="0"/>
          <w:sz w:val="28"/>
          <w:szCs w:val="28"/>
          <w:lang w:val="en-US" w:eastAsia="zh-CN"/>
        </w:rPr>
        <w:t>9.2 招标文件的编制</w:t>
      </w:r>
      <w:bookmarkEnd w:id="292"/>
      <w:bookmarkEnd w:id="293"/>
      <w:bookmarkEnd w:id="294"/>
      <w:bookmarkEnd w:id="295"/>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9.2.4</w:t>
      </w:r>
      <w:r>
        <w:rPr>
          <w:rFonts w:hint="eastAsia" w:ascii="Times New Roman" w:hAnsi="Times New Roman" w:eastAsia="宋体" w:cs="Times New Roman"/>
          <w:b w:val="0"/>
          <w:bCs w:val="0"/>
          <w:sz w:val="24"/>
          <w:szCs w:val="24"/>
          <w:lang w:val="en-US" w:eastAsia="zh-CN"/>
        </w:rPr>
        <w:t>依据《中华人民共和国招标投标法实施条例》第十五条的规定，依法必须招标项目的招标文件应当使用标准文本。制定和使用标准招标文件是世界银行、亚洲开发银行等国际组织和欧美发达国家的成熟做法。我国国务院发展改革部门会同国务院8个行政监督部门于2007年11月印发了《标准施工招标资格预审文件》和《标准施工招标文件》，又于2011年12月印发了《简明标准施工招标文件》和《标准设计施工总承包招标文件》；中华人民共和国住房和城乡建设部于2010年6月印发了《房屋建筑和市政工程标准施工招标资格预审文件》和《房屋建筑和市政工程标准施工招标文件》；中华人民共和国国家发展和改革委员会等9部委于2011年12月印发了《简明标准施工招标文件》《标准设计施工总承包招标文件》，又于2017年9月印发了《标准设备采购招标文件》《标准材料采购招标文件》《标准勘察招标文件》《标准设计招标文件》《标准监理招标文件》五个标准招标文件。我省于2021年9月颁布实施了《安徽省房屋建筑和市政基础设施工程施工招标文件示范文本（2021年版）》，均取得了良好效果。</w:t>
      </w:r>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9.2.5</w:t>
      </w:r>
      <w:r>
        <w:rPr>
          <w:rFonts w:hint="eastAsia" w:ascii="Times New Roman" w:hAnsi="Times New Roman" w:eastAsia="宋体" w:cs="Times New Roman"/>
          <w:b w:val="0"/>
          <w:bCs w:val="0"/>
          <w:sz w:val="24"/>
          <w:szCs w:val="24"/>
          <w:lang w:val="en-US" w:eastAsia="zh-CN"/>
        </w:rPr>
        <w:t>招标文件的编制应符合《中华人民共和国招标投标法》《中华人民共和国招标投标法实施条例》的规定，否则可能会导致招标、投标和中标均无效。根据《中华人民共和国招标投标法实施条例》第二十三条和第八十一条规定，招标文件的内容，违反法律、行政法规的强制性规定，违反公开、公平、公正和诚实信用原则，影响潜在投标人投标的，依法必须进行招标的项目招标人应当在修改招标文件后重新招标，对中标结果造成实质性影响，且不能采取补救措施予以纠正的，招标、投标、中标无效，应当依法重新招标或者评标。</w:t>
      </w:r>
    </w:p>
    <w:p>
      <w:pPr>
        <w:pStyle w:val="27"/>
        <w:spacing w:line="360" w:lineRule="auto"/>
        <w:ind w:firstLine="0" w:firstLineChars="0"/>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9.2.6</w:t>
      </w:r>
      <w:r>
        <w:rPr>
          <w:rFonts w:hint="eastAsia" w:ascii="Times New Roman" w:hAnsi="Times New Roman" w:eastAsia="宋体" w:cs="Times New Roman"/>
          <w:b w:val="0"/>
          <w:bCs w:val="0"/>
          <w:sz w:val="24"/>
          <w:szCs w:val="24"/>
          <w:lang w:val="en-US" w:eastAsia="zh-CN"/>
        </w:rPr>
        <w:t>国家发展改革委等八部委《电子招标投标办法》（国家发展改革委2013年令第20号）第二十八条的规定，采用电子招标投标的，应明确对电子投标文件的编制、加密、传输、接收确认等要求。第二十九条规定，电子开标应当按照招标文件确定的时间，在电子招标投标交易平台上公开进行，所有投标人均应当准时在线参加开标。第三十条规定，开标时，电子招标投标交易平台自动提取所有投标文件，提示招标人和投标人按招标文件规定方式按时在线解密。解密全部完成后，应当向所有投标人公布投标人名称、投标价格和招标文件规定的其他内容。第三十一条规定，因投标人原因造成投标文件未解密的，视为撤销其投标文件；因投标人之外的原因造成投标文件未解密的，视为撤回其投标文件，投标人有权要求责任方赔偿因此遭受的直接损失。部分投标文件未解密的，其他投标文件的开标可以继续进行。招标人可以在招标文件中明确投标文件解密失败的补救方案，投标文件应按照招标文件的要求作出响应。第三十二条规定，电子招标投标交易平台应当生成开标记录并向社会公众公布，但依法应当保密的除外。根据上述规定，在电子招标投标活动中，应明确其开标流程及要求。</w:t>
      </w:r>
    </w:p>
    <w:p>
      <w:pPr>
        <w:pStyle w:val="27"/>
        <w:spacing w:line="360" w:lineRule="auto"/>
        <w:ind w:firstLine="0" w:firstLineChars="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bCs/>
          <w:sz w:val="24"/>
          <w:szCs w:val="24"/>
          <w:lang w:val="en-US" w:eastAsia="zh-CN"/>
        </w:rPr>
        <w:t>9.2.8</w:t>
      </w:r>
      <w:r>
        <w:rPr>
          <w:rFonts w:hint="eastAsia" w:ascii="Times New Roman" w:hAnsi="Times New Roman" w:eastAsia="宋体" w:cs="Times New Roman"/>
          <w:b w:val="0"/>
          <w:bCs w:val="0"/>
          <w:sz w:val="24"/>
          <w:szCs w:val="24"/>
          <w:lang w:val="en-US" w:eastAsia="zh-CN"/>
        </w:rPr>
        <w:t>招标文件中的评标办法一般有经评审的最低投标价法和综合评估法，实际选用应根据招标项目实际情况而定。</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经评审的最低投标价法一般适用于具有通用技术、性能标准或者招标人对其技术、性能没有特殊要求的招标项目。根据经评审的最低投标价法，能够满足招标文件的实质性要求，并且经评审的最低投标价的投标，应推荐为中标候选人。</w:t>
      </w:r>
    </w:p>
    <w:p>
      <w:pPr>
        <w:pStyle w:val="2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综合评估法是指在最大限度地满足招标文件实质性要求前提下，按照招标文件中规定的各项因素进行综合评审后，以评标总得分最高的投标人作为中标候选人或者中标人的评标方法。综合评分的主要因素有价格、技术或者服务水平、财务状况、信誉、业绩、履约能力、售后服务、对招标文件的响应程度，以及相应的比重或者权值等。上述因素应在招标文件中事先规定。</w:t>
      </w:r>
    </w:p>
    <w:p>
      <w:pPr>
        <w:pStyle w:val="3"/>
        <w:bidi w:val="0"/>
        <w:jc w:val="left"/>
        <w:rPr>
          <w:rFonts w:hint="eastAsia" w:ascii="黑体" w:hAnsi="黑体" w:eastAsia="黑体" w:cs="黑体"/>
          <w:b w:val="0"/>
          <w:bCs w:val="0"/>
          <w:color w:val="auto"/>
          <w:sz w:val="21"/>
          <w:szCs w:val="21"/>
          <w:lang w:val="en-US" w:eastAsia="zh-CN"/>
        </w:rPr>
        <w:sectPr>
          <w:pgSz w:w="11906" w:h="16838"/>
          <w:pgMar w:top="1440" w:right="1800" w:bottom="1440" w:left="1800" w:header="850" w:footer="992" w:gutter="0"/>
          <w:pgNumType w:fmt="decimal"/>
          <w:cols w:space="0" w:num="1"/>
          <w:docGrid w:type="lines" w:linePitch="315" w:charSpace="0"/>
        </w:sectPr>
      </w:pPr>
      <w:bookmarkStart w:id="296" w:name="_Toc14373"/>
      <w:bookmarkStart w:id="297" w:name="_Toc14780"/>
      <w:bookmarkStart w:id="298" w:name="_Toc17355"/>
      <w:bookmarkStart w:id="299" w:name="_Toc8086"/>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300" w:name="_Toc3965_WPSOffice_Level1"/>
      <w:r>
        <w:rPr>
          <w:rFonts w:hint="eastAsia" w:ascii="Times New Roman" w:hAnsi="Times New Roman" w:eastAsia="宋体" w:cs="Times New Roman"/>
          <w:b/>
          <w:sz w:val="36"/>
          <w:szCs w:val="36"/>
          <w:lang w:val="en-US" w:eastAsia="zh-CN"/>
        </w:rPr>
        <w:t>10工程量清单与最高投标限价编制</w:t>
      </w:r>
      <w:bookmarkEnd w:id="296"/>
      <w:bookmarkEnd w:id="297"/>
      <w:bookmarkEnd w:id="298"/>
      <w:bookmarkEnd w:id="299"/>
      <w:bookmarkEnd w:id="300"/>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01" w:name="_Toc3537"/>
      <w:bookmarkStart w:id="302" w:name="_Toc19586_WPSOffice_Level1"/>
      <w:bookmarkStart w:id="303" w:name="_Toc3439"/>
      <w:bookmarkStart w:id="304" w:name="_Toc17619"/>
      <w:r>
        <w:rPr>
          <w:rFonts w:hint="eastAsia" w:ascii="Times New Roman" w:hAnsi="Times New Roman" w:eastAsia="宋体" w:cs="Times New Roman"/>
          <w:b/>
          <w:kern w:val="0"/>
          <w:sz w:val="28"/>
          <w:szCs w:val="28"/>
          <w:lang w:val="en-US" w:eastAsia="zh-CN"/>
        </w:rPr>
        <w:t>10.1 一般规定</w:t>
      </w:r>
      <w:bookmarkEnd w:id="301"/>
      <w:bookmarkEnd w:id="302"/>
      <w:bookmarkEnd w:id="303"/>
      <w:bookmarkEnd w:id="304"/>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10.1.1</w:t>
      </w:r>
      <w:r>
        <w:rPr>
          <w:rFonts w:hint="eastAsia" w:ascii="Times New Roman" w:hAnsi="Times New Roman" w:eastAsia="宋体" w:cs="Times New Roman"/>
          <w:b w:val="0"/>
          <w:bCs w:val="0"/>
          <w:kern w:val="2"/>
          <w:sz w:val="24"/>
          <w:szCs w:val="24"/>
          <w:lang w:val="en-US" w:eastAsia="zh-CN" w:bidi="ar-SA"/>
        </w:rPr>
        <w:t>按现行《建设工程工程量清单计价规范》3.1.1、3.1.2条表述。</w:t>
      </w:r>
    </w:p>
    <w:p>
      <w:pPr>
        <w:pageBreakBefore w:val="0"/>
        <w:kinsoku/>
        <w:overflowPunct/>
        <w:topLinePunct w:val="0"/>
        <w:autoSpaceDE/>
        <w:autoSpaceDN/>
        <w:bidi w:val="0"/>
        <w:spacing w:line="360" w:lineRule="auto"/>
        <w:textAlignment w:val="auto"/>
        <w:outlineLvl w:val="9"/>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10.1.4</w:t>
      </w:r>
      <w:r>
        <w:rPr>
          <w:rFonts w:hint="eastAsia" w:ascii="Times New Roman" w:hAnsi="Times New Roman" w:eastAsia="宋体" w:cs="Times New Roman"/>
          <w:b w:val="0"/>
          <w:bCs w:val="0"/>
          <w:kern w:val="2"/>
          <w:sz w:val="24"/>
          <w:szCs w:val="24"/>
          <w:lang w:val="en-US" w:eastAsia="zh-CN" w:bidi="ar-SA"/>
        </w:rPr>
        <w:t>根据现行《建设工程工程量清单计价规范》的要求。</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05" w:name="_Toc21929"/>
      <w:bookmarkStart w:id="306" w:name="_Toc19930"/>
      <w:bookmarkStart w:id="307" w:name="_Toc6651"/>
      <w:bookmarkStart w:id="308" w:name="_Toc6994_WPSOffice_Level1"/>
      <w:r>
        <w:rPr>
          <w:rFonts w:hint="eastAsia" w:ascii="Times New Roman" w:hAnsi="Times New Roman" w:eastAsia="宋体" w:cs="Times New Roman"/>
          <w:b/>
          <w:kern w:val="0"/>
          <w:sz w:val="28"/>
          <w:szCs w:val="28"/>
          <w:lang w:val="en-US" w:eastAsia="zh-CN"/>
        </w:rPr>
        <w:t>10.2 工程量清单编制</w:t>
      </w:r>
      <w:bookmarkEnd w:id="305"/>
      <w:bookmarkEnd w:id="306"/>
      <w:bookmarkEnd w:id="307"/>
      <w:bookmarkEnd w:id="308"/>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10.2.2</w:t>
      </w:r>
      <w:r>
        <w:rPr>
          <w:rFonts w:hint="eastAsia" w:ascii="Times New Roman" w:hAnsi="Times New Roman" w:eastAsia="宋体" w:cs="Times New Roman"/>
          <w:b w:val="0"/>
          <w:bCs w:val="0"/>
          <w:kern w:val="2"/>
          <w:sz w:val="24"/>
          <w:szCs w:val="24"/>
          <w:lang w:val="en-US" w:eastAsia="zh-CN" w:bidi="ar-SA"/>
        </w:rPr>
        <w:t>按现行《建设工程工程量清单计价规范》4.1.2条表述，作为国家强制性标准，强调工程量清单的重要性、统一性。</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10.2.3</w:t>
      </w:r>
      <w:r>
        <w:rPr>
          <w:rFonts w:hint="eastAsia" w:ascii="Times New Roman" w:hAnsi="Times New Roman" w:eastAsia="宋体" w:cs="Times New Roman"/>
          <w:b w:val="0"/>
          <w:bCs w:val="0"/>
          <w:kern w:val="2"/>
          <w:sz w:val="24"/>
          <w:szCs w:val="24"/>
          <w:lang w:val="en-US" w:eastAsia="zh-CN" w:bidi="ar-SA"/>
        </w:rPr>
        <w:t>按现行《建设工程工程量清单计价规范》4.1.4条的要求。</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09" w:name="_Toc22905"/>
      <w:bookmarkStart w:id="310" w:name="_Toc9068"/>
      <w:bookmarkStart w:id="311" w:name="_Toc15481_WPSOffice_Level1"/>
      <w:bookmarkStart w:id="312" w:name="_Toc22658"/>
      <w:r>
        <w:rPr>
          <w:rFonts w:hint="eastAsia" w:ascii="Times New Roman" w:hAnsi="Times New Roman" w:eastAsia="宋体" w:cs="Times New Roman"/>
          <w:b/>
          <w:kern w:val="0"/>
          <w:sz w:val="28"/>
          <w:szCs w:val="28"/>
          <w:lang w:val="en-US" w:eastAsia="zh-CN"/>
        </w:rPr>
        <w:t xml:space="preserve">10.3 </w:t>
      </w:r>
      <w:bookmarkEnd w:id="309"/>
      <w:bookmarkEnd w:id="310"/>
      <w:r>
        <w:rPr>
          <w:rFonts w:hint="eastAsia" w:ascii="Times New Roman" w:hAnsi="Times New Roman" w:eastAsia="宋体" w:cs="Times New Roman"/>
          <w:b/>
          <w:kern w:val="0"/>
          <w:sz w:val="28"/>
          <w:szCs w:val="28"/>
          <w:lang w:val="en-US" w:eastAsia="zh-CN"/>
        </w:rPr>
        <w:t>最高投标限价（招标控制价）编制</w:t>
      </w:r>
      <w:bookmarkEnd w:id="311"/>
      <w:bookmarkEnd w:id="312"/>
    </w:p>
    <w:p>
      <w:pPr>
        <w:keepNext w:val="0"/>
        <w:keepLines w:val="0"/>
        <w:widowControl/>
        <w:suppressLineNumbers w:val="0"/>
        <w:jc w:val="left"/>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10.3.3</w:t>
      </w:r>
      <w:r>
        <w:rPr>
          <w:rFonts w:hint="eastAsia" w:ascii="Times New Roman" w:hAnsi="Times New Roman" w:eastAsia="宋体" w:cs="Times New Roman"/>
          <w:b w:val="0"/>
          <w:bCs w:val="0"/>
          <w:kern w:val="2"/>
          <w:sz w:val="24"/>
          <w:szCs w:val="24"/>
          <w:lang w:val="en-US" w:eastAsia="zh-CN" w:bidi="ar-SA"/>
        </w:rPr>
        <w:t>按现行《建设工程工程量清单计价规范》及《安徽省建设工程费用定额》《安徽省建设工程计价依据动态调整》的要求。</w:t>
      </w:r>
    </w:p>
    <w:p>
      <w:pPr>
        <w:pStyle w:val="6"/>
        <w:spacing w:before="312" w:beforeLines="100" w:after="312" w:afterLines="100" w:line="360" w:lineRule="auto"/>
        <w:jc w:val="center"/>
        <w:outlineLvl w:val="0"/>
        <w:rPr>
          <w:rFonts w:hint="eastAsia" w:ascii="Times New Roman" w:hAnsi="Times New Roman" w:eastAsia="宋体" w:cs="Times New Roman"/>
          <w:b/>
          <w:bCs/>
          <w:kern w:val="2"/>
          <w:sz w:val="24"/>
          <w:szCs w:val="24"/>
          <w:lang w:val="en-US" w:eastAsia="zh-CN" w:bidi="ar-SA"/>
        </w:rPr>
        <w:sectPr>
          <w:pgSz w:w="11906" w:h="16838"/>
          <w:pgMar w:top="1440" w:right="1800" w:bottom="1440" w:left="1800" w:header="850" w:footer="992" w:gutter="0"/>
          <w:pgNumType w:fmt="decimal"/>
          <w:cols w:space="0" w:num="1"/>
          <w:docGrid w:type="lines" w:linePitch="315" w:charSpace="0"/>
        </w:sectPr>
      </w:pPr>
      <w:bookmarkStart w:id="313" w:name="_Toc26575"/>
      <w:bookmarkStart w:id="314" w:name="_Toc7840"/>
      <w:bookmarkStart w:id="315" w:name="_Toc10499"/>
      <w:bookmarkStart w:id="316" w:name="_Toc17201"/>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317" w:name="_Toc4784_WPSOffice_Level1"/>
      <w:r>
        <w:rPr>
          <w:rFonts w:hint="eastAsia" w:ascii="Times New Roman" w:hAnsi="Times New Roman" w:eastAsia="宋体" w:cs="Times New Roman"/>
          <w:b/>
          <w:sz w:val="36"/>
          <w:szCs w:val="36"/>
          <w:lang w:val="en-US" w:eastAsia="zh-CN"/>
        </w:rPr>
        <w:t>11招标文件澄清、修改和异议</w:t>
      </w:r>
      <w:bookmarkEnd w:id="313"/>
      <w:bookmarkEnd w:id="314"/>
      <w:bookmarkEnd w:id="315"/>
      <w:bookmarkEnd w:id="316"/>
      <w:bookmarkEnd w:id="317"/>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18" w:name="_Toc10625"/>
      <w:bookmarkStart w:id="319" w:name="_Toc20738"/>
      <w:bookmarkStart w:id="320" w:name="_Toc31665_WPSOffice_Level1"/>
      <w:bookmarkStart w:id="321" w:name="_Toc17967"/>
      <w:r>
        <w:rPr>
          <w:rFonts w:hint="eastAsia" w:ascii="Times New Roman" w:hAnsi="Times New Roman" w:eastAsia="宋体" w:cs="Times New Roman"/>
          <w:b/>
          <w:kern w:val="0"/>
          <w:sz w:val="28"/>
          <w:szCs w:val="28"/>
          <w:lang w:val="en-US" w:eastAsia="zh-CN"/>
        </w:rPr>
        <w:t>11.1 招标文件澄清、修改</w:t>
      </w:r>
      <w:bookmarkEnd w:id="318"/>
      <w:bookmarkEnd w:id="319"/>
      <w:bookmarkEnd w:id="320"/>
      <w:bookmarkEnd w:id="321"/>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11.1.1</w:t>
      </w:r>
      <w:r>
        <w:rPr>
          <w:rFonts w:hint="eastAsia" w:ascii="Times New Roman" w:hAnsi="Times New Roman" w:eastAsia="宋体" w:cs="Times New Roman"/>
          <w:b w:val="0"/>
          <w:bCs w:val="0"/>
          <w:kern w:val="2"/>
          <w:sz w:val="24"/>
          <w:szCs w:val="24"/>
          <w:lang w:val="en-US" w:eastAsia="zh-CN" w:bidi="ar-SA"/>
        </w:rPr>
        <w:t>依据《中华人民共和国招标投标法实施条例》第二十一条，招标人对已发出的招标文件进行必要的澄清或修改，既可能是主动的，也可能是被动的。所谓的“主动”，就是招标人自己发现招标文件，存在遗漏、错误，相互矛盾、含义不清，需要调整一些要求或者存在违法的规定时，可通过修改和澄清方式进行补救。所谓的“被动”，是相对于招标人主动修改和澄清而言的，尽管修改和澄清的实际自主权仍在招标人，但需要修改和澄清的问题来自潜在投标人。招标文件的澄清、修改的内容作为招标文件的组成部分。</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11.1.6</w:t>
      </w:r>
      <w:r>
        <w:rPr>
          <w:rFonts w:hint="eastAsia" w:ascii="Times New Roman" w:hAnsi="Times New Roman" w:eastAsia="宋体" w:cs="Times New Roman"/>
          <w:b w:val="0"/>
          <w:bCs w:val="0"/>
          <w:kern w:val="2"/>
          <w:sz w:val="24"/>
          <w:szCs w:val="24"/>
          <w:lang w:val="en-US" w:eastAsia="zh-CN" w:bidi="ar-SA"/>
        </w:rPr>
        <w:t>依据国家发展改革委等八部委《电子招标投标办法》（国家发展改革委2013年令第20号）第二十二条，招标人对资格预审文件、招标文件进行澄清或者修改的，应当通过电子招标投标交易平台以醒目的方式公告澄清或者修改的内容，并以有效方式通知所有已下载资格预审文件或者招标文件的潜在投标人。</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22" w:name="_Toc18355"/>
      <w:bookmarkStart w:id="323" w:name="_Toc32612"/>
      <w:bookmarkStart w:id="324" w:name="_Toc1877"/>
      <w:bookmarkStart w:id="325" w:name="_Toc29617_WPSOffice_Level1"/>
      <w:r>
        <w:rPr>
          <w:rFonts w:hint="eastAsia" w:ascii="Times New Roman" w:hAnsi="Times New Roman" w:eastAsia="宋体" w:cs="Times New Roman"/>
          <w:b/>
          <w:kern w:val="0"/>
          <w:sz w:val="28"/>
          <w:szCs w:val="28"/>
          <w:lang w:val="en-US" w:eastAsia="zh-CN"/>
        </w:rPr>
        <w:t>11.2 招标文件的异议</w:t>
      </w:r>
      <w:bookmarkEnd w:id="322"/>
      <w:bookmarkEnd w:id="323"/>
      <w:bookmarkEnd w:id="324"/>
      <w:bookmarkEnd w:id="325"/>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11.2.1</w:t>
      </w:r>
      <w:r>
        <w:rPr>
          <w:rFonts w:hint="eastAsia" w:ascii="Times New Roman" w:hAnsi="Times New Roman" w:eastAsia="宋体" w:cs="Times New Roman"/>
          <w:b w:val="0"/>
          <w:bCs w:val="0"/>
          <w:kern w:val="2"/>
          <w:sz w:val="24"/>
          <w:szCs w:val="24"/>
          <w:lang w:val="en-US" w:eastAsia="zh-CN" w:bidi="ar-SA"/>
        </w:rPr>
        <w:t>依据《中华人民共和国招标投标法实施条例》第二十二条规定，明确了招标投标活动的异议制度，设立这个制度的本意在于加强当事人之间的相互监督，鼓励当事人之间加强沟通，及早友好地解决争议，避免矛盾激化，从而提高招标投标活动的效率，正因如此，异议必须实名提出，有利于招标人与异议人及时进行充分沟通。需要说明的是，潜在投标人对招标文件的疑问和异议均可能导致澄清和修改。疑问和异议的区别在于：一是疑问主要是关于招标文件中可能存在的遗漏、错误，含义不清甚至相互矛盾等问题，而异议则主要是针对招标文件中可能存在的限制或者排斥潜在投标人，对潜在投标人实行歧视待遇、可能损害潜在投标人合法权益等违反法律法规规定和“三公”原则的问题。二是疑问应当在招标文件规定的时间之前提出，异议则应当在投标截止时间10日前提出，以便招标人及时纠正，防止损失扩大。三是疑问及其回复应当以书面形式通知所有购买招标文件的潜在投标人，以保证潜在投标人同等获得投标所需的信息。而《中华人民共和国招标投标法实施条例》第二十二条并未规定异议及其回复应当以书面形式通知所有购买招标文件的潜在投标人，但对招标文件作出修改或者澄清的异议及其回复应当以书面形式通知所有购买招标文件的潜在投标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为保障异议人的合法权益和招标项目的实施进度，招标人应当自收到异议之日起3日内作出答复。为了避免激化矛盾，招标人应当在规定时限内作出答复，但对答复质量未作要求。异议人不满意的可依据《中华人民共和国招标投标法实施条例》第六十条规定向招标投标行政监督部门提出投诉，以维护自己的合法权益。</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11.2.2</w:t>
      </w:r>
      <w:r>
        <w:rPr>
          <w:rFonts w:hint="eastAsia" w:ascii="Times New Roman" w:hAnsi="Times New Roman" w:eastAsia="宋体" w:cs="Times New Roman"/>
          <w:b w:val="0"/>
          <w:bCs w:val="0"/>
          <w:kern w:val="2"/>
          <w:sz w:val="24"/>
          <w:szCs w:val="24"/>
          <w:lang w:val="en-US" w:eastAsia="zh-CN" w:bidi="ar-SA"/>
        </w:rPr>
        <w:t>按照国家发展改革委等八部委《电子招标投标办法》（国家发展改革委2013年令第20号）第三十九条，投标人或者其他利害关系人依法对资格预审文件、招标文件、开标和评标结果提出异议，以及招标人答复，均应当通过电子招标投标交易平台进行。</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pgSz w:w="11906" w:h="16838"/>
          <w:pgMar w:top="1440" w:right="1800" w:bottom="1440" w:left="1800" w:header="850" w:footer="992" w:gutter="0"/>
          <w:pgNumType w:fmt="decimal"/>
          <w:cols w:space="0" w:num="1"/>
          <w:docGrid w:type="lines" w:linePitch="315" w:charSpace="0"/>
        </w:sectPr>
      </w:pPr>
      <w:bookmarkStart w:id="326" w:name="_Toc27916"/>
      <w:bookmarkStart w:id="327" w:name="_Toc31049"/>
      <w:bookmarkStart w:id="328" w:name="_Toc4599"/>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329" w:name="_Toc20698_WPSOffice_Level1"/>
      <w:r>
        <w:rPr>
          <w:rFonts w:hint="eastAsia" w:ascii="Times New Roman" w:hAnsi="Times New Roman" w:eastAsia="宋体" w:cs="Times New Roman"/>
          <w:b/>
          <w:sz w:val="36"/>
          <w:szCs w:val="36"/>
          <w:lang w:val="en-US" w:eastAsia="zh-CN"/>
        </w:rPr>
        <w:t>12接收投标文件</w:t>
      </w:r>
      <w:bookmarkEnd w:id="326"/>
      <w:bookmarkEnd w:id="327"/>
      <w:bookmarkEnd w:id="328"/>
      <w:bookmarkEnd w:id="329"/>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12.0.1</w:t>
      </w:r>
      <w:r>
        <w:rPr>
          <w:rFonts w:hint="eastAsia" w:ascii="Times New Roman" w:hAnsi="Times New Roman" w:eastAsia="宋体" w:cs="Times New Roman"/>
          <w:b w:val="0"/>
          <w:bCs w:val="0"/>
          <w:kern w:val="2"/>
          <w:sz w:val="24"/>
          <w:szCs w:val="24"/>
          <w:lang w:val="en-US" w:eastAsia="zh-CN" w:bidi="ar-SA"/>
        </w:rPr>
        <w:t>采用电子招标投标的，通过交易系统接收投标文件。招标代理机构应在招标文件中明确投标文件的递交时间和递交方式。递交方式分线下递交和线上递交。</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12.0.3</w:t>
      </w:r>
      <w:r>
        <w:rPr>
          <w:rFonts w:hint="eastAsia" w:ascii="Times New Roman" w:hAnsi="Times New Roman" w:eastAsia="宋体" w:cs="Times New Roman"/>
          <w:b w:val="0"/>
          <w:bCs w:val="0"/>
          <w:kern w:val="2"/>
          <w:sz w:val="24"/>
          <w:szCs w:val="24"/>
          <w:lang w:val="en-US" w:eastAsia="zh-CN" w:bidi="ar-SA"/>
        </w:rPr>
        <w:t>依据《中华人民共和国招标投标法实施条例》第三十六条规定，列出了三种拒收投标文件的情形，都具有客观外在表现形式，比较容易判断，不易引起争议。在此情况下拒收投标文件，一方面可以提高工作效率，避免不合格的投标进入评标环节。另一方面可以确保进入评标的投标文件符合一定要求，保证竞争性。尽管如此，为避免引起争议，防止滥用拒收权，招标人不得扩大拒收投标文件的范围。结合电子招标投标实际，将未按要求加密的投标文件，在此统一表述。</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pgSz w:w="11906" w:h="16838"/>
          <w:pgMar w:top="1440" w:right="1800" w:bottom="1440" w:left="1800" w:header="850" w:footer="992" w:gutter="0"/>
          <w:pgNumType w:fmt="decimal"/>
          <w:cols w:space="0" w:num="1"/>
          <w:docGrid w:type="lines" w:linePitch="315" w:charSpace="0"/>
        </w:sectPr>
      </w:pPr>
      <w:bookmarkStart w:id="330" w:name="_Toc14953"/>
      <w:bookmarkStart w:id="331" w:name="_Toc8293"/>
      <w:bookmarkStart w:id="332" w:name="_Toc11804"/>
      <w:bookmarkStart w:id="333" w:name="_Toc15344"/>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334" w:name="_Toc3920_WPSOffice_Level1"/>
      <w:r>
        <w:rPr>
          <w:rFonts w:hint="eastAsia" w:ascii="Times New Roman" w:hAnsi="Times New Roman" w:eastAsia="宋体" w:cs="Times New Roman"/>
          <w:b/>
          <w:sz w:val="36"/>
          <w:szCs w:val="36"/>
          <w:lang w:val="en-US" w:eastAsia="zh-CN"/>
        </w:rPr>
        <w:t>13组织开标</w:t>
      </w:r>
      <w:bookmarkEnd w:id="330"/>
      <w:bookmarkEnd w:id="331"/>
      <w:bookmarkEnd w:id="332"/>
      <w:bookmarkEnd w:id="333"/>
      <w:bookmarkEnd w:id="334"/>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13.0.1</w:t>
      </w:r>
      <w:r>
        <w:rPr>
          <w:rFonts w:hint="eastAsia" w:ascii="Times New Roman" w:hAnsi="Times New Roman" w:eastAsia="宋体" w:cs="Times New Roman"/>
          <w:b w:val="0"/>
          <w:bCs w:val="0"/>
          <w:kern w:val="2"/>
          <w:sz w:val="24"/>
          <w:szCs w:val="24"/>
          <w:lang w:val="en-US" w:eastAsia="zh-CN" w:bidi="ar-SA"/>
        </w:rPr>
        <w:t>开标是招标投标活动应遵循的公开原则的体现，以确保投标人提交的投标文件与提交评标委员会评审的投标文件是同一份文件。要如实公布和记录开标过程以及招标文件规定的其他内容，以加强招标人和投标人之间，以及投标人与投标人相互之间的监督。</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13.0.2</w:t>
      </w:r>
      <w:r>
        <w:rPr>
          <w:rFonts w:hint="eastAsia" w:ascii="Times New Roman" w:hAnsi="Times New Roman" w:eastAsia="宋体" w:cs="Times New Roman"/>
          <w:b w:val="0"/>
          <w:bCs w:val="0"/>
          <w:kern w:val="2"/>
          <w:sz w:val="24"/>
          <w:szCs w:val="24"/>
          <w:lang w:val="en-US" w:eastAsia="zh-CN" w:bidi="ar-SA"/>
        </w:rPr>
        <w:t>招标代理机构组织开标工作除应遵守法律法规相关规定，还应遵守招标项目所在地招标投标行政监督部门对开标现场有相关规定。包括但不限于穿着正装、佩戴工牌、穿着马甲等。</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pgSz w:w="11906" w:h="16838"/>
          <w:pgMar w:top="1440" w:right="1800" w:bottom="1440" w:left="1800" w:header="850" w:footer="992" w:gutter="0"/>
          <w:pgNumType w:fmt="decimal"/>
          <w:cols w:space="0" w:num="1"/>
          <w:docGrid w:type="lines" w:linePitch="315" w:charSpace="0"/>
        </w:sectPr>
      </w:pPr>
      <w:bookmarkStart w:id="335" w:name="_Toc17012"/>
      <w:bookmarkStart w:id="336" w:name="_Toc29344"/>
      <w:bookmarkStart w:id="337" w:name="_Toc29379"/>
      <w:bookmarkStart w:id="338" w:name="_Toc17735"/>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339" w:name="_Toc8652_WPSOffice_Level1"/>
      <w:r>
        <w:rPr>
          <w:rFonts w:hint="eastAsia" w:ascii="Times New Roman" w:hAnsi="Times New Roman" w:eastAsia="宋体" w:cs="Times New Roman"/>
          <w:b/>
          <w:sz w:val="36"/>
          <w:szCs w:val="36"/>
          <w:lang w:val="en-US" w:eastAsia="zh-CN"/>
        </w:rPr>
        <w:t>14组织评标</w:t>
      </w:r>
      <w:bookmarkEnd w:id="335"/>
      <w:bookmarkEnd w:id="336"/>
      <w:bookmarkEnd w:id="337"/>
      <w:bookmarkEnd w:id="338"/>
      <w:bookmarkEnd w:id="339"/>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40" w:name="_Toc29642"/>
      <w:bookmarkStart w:id="341" w:name="_Toc20907_WPSOffice_Level1"/>
      <w:bookmarkStart w:id="342" w:name="_Toc22259"/>
      <w:bookmarkStart w:id="343" w:name="_Toc23415"/>
      <w:r>
        <w:rPr>
          <w:rFonts w:hint="eastAsia" w:ascii="Times New Roman" w:hAnsi="Times New Roman" w:eastAsia="宋体" w:cs="Times New Roman"/>
          <w:b/>
          <w:kern w:val="0"/>
          <w:sz w:val="28"/>
          <w:szCs w:val="28"/>
          <w:lang w:val="en-US" w:eastAsia="zh-CN"/>
        </w:rPr>
        <w:t>14.2 评标委员会的组建</w:t>
      </w:r>
      <w:bookmarkEnd w:id="340"/>
      <w:bookmarkEnd w:id="341"/>
      <w:bookmarkEnd w:id="342"/>
      <w:bookmarkEnd w:id="343"/>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14.2.1</w:t>
      </w:r>
      <w:r>
        <w:rPr>
          <w:rFonts w:hint="eastAsia" w:ascii="Times New Roman" w:hAnsi="Times New Roman" w:eastAsia="宋体" w:cs="Times New Roman"/>
          <w:b w:val="0"/>
          <w:bCs w:val="0"/>
          <w:kern w:val="2"/>
          <w:sz w:val="24"/>
          <w:szCs w:val="24"/>
          <w:lang w:val="en-US" w:eastAsia="zh-CN" w:bidi="ar-SA"/>
        </w:rPr>
        <w:t>招标代理机构应配合招标人依法组建评标委员会，评标委员会成员构成和数量应满足招标项目实际评审需要。</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14.2.4</w:t>
      </w:r>
      <w:r>
        <w:rPr>
          <w:rFonts w:hint="eastAsia" w:ascii="Times New Roman" w:hAnsi="Times New Roman" w:eastAsia="宋体" w:cs="Times New Roman"/>
          <w:b w:val="0"/>
          <w:bCs w:val="0"/>
          <w:kern w:val="2"/>
          <w:sz w:val="24"/>
          <w:szCs w:val="24"/>
          <w:lang w:val="en-US" w:eastAsia="zh-CN" w:bidi="ar-SA"/>
        </w:rPr>
        <w:t>工程建设项目评标专家应当从国务院有关部门组建的评标专家库或者省级综合评标专家库中抽取。任何单位和个人不得以明示、暗示等任何方式指定或者变相指定参加评标委员会的专家成员。非因法定事由不得随意更换评标委员会成员。特殊招标项目的评标专家可以从其评标评审资深专家库中确定或招标人直接确定，前者确定方式未加限定，既可以随机抽取，也可以由招标人直接确定，后者由招标人直接确定。特殊招标项目应具备两个条件：一是特殊项目的自身特点，主要是技术复杂、专业要求高或者国家有特殊要求。二是随机抽取的方式确定的不能满足项目评标的需要。此情形主要有：专家库中没有相应专业的专家；专家库中有相应专业的专家，但不能满足招标项目的实际需要；专家库中有相应专业的专家，但满足招标项目的要求专家数量不足；专家库的专业分类不能满足招标项目的专业要求。</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14.2.7</w:t>
      </w:r>
      <w:r>
        <w:rPr>
          <w:rFonts w:hint="eastAsia" w:ascii="Times New Roman" w:hAnsi="Times New Roman" w:eastAsia="宋体" w:cs="Times New Roman"/>
          <w:b w:val="0"/>
          <w:bCs w:val="0"/>
          <w:kern w:val="2"/>
          <w:sz w:val="24"/>
          <w:szCs w:val="24"/>
          <w:lang w:val="en-US" w:eastAsia="zh-CN" w:bidi="ar-SA"/>
        </w:rPr>
        <w:t>符合远程异地评标评审的招标项目可选用，招标代理机构应协助远程异地评标评审工作。</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44" w:name="_Toc22858_WPSOffice_Level1"/>
      <w:bookmarkStart w:id="345" w:name="_Toc4781"/>
      <w:bookmarkStart w:id="346" w:name="_Toc27777"/>
      <w:bookmarkStart w:id="347" w:name="_Toc14226"/>
      <w:r>
        <w:rPr>
          <w:rFonts w:hint="eastAsia" w:ascii="Times New Roman" w:hAnsi="Times New Roman" w:eastAsia="宋体" w:cs="Times New Roman"/>
          <w:b/>
          <w:kern w:val="0"/>
          <w:sz w:val="28"/>
          <w:szCs w:val="28"/>
          <w:lang w:val="en-US" w:eastAsia="zh-CN"/>
        </w:rPr>
        <w:t>14.3 评标</w:t>
      </w:r>
      <w:bookmarkEnd w:id="344"/>
      <w:bookmarkEnd w:id="345"/>
      <w:bookmarkEnd w:id="346"/>
      <w:bookmarkEnd w:id="347"/>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14.3.3</w:t>
      </w:r>
      <w:r>
        <w:rPr>
          <w:rFonts w:hint="eastAsia" w:ascii="Times New Roman" w:hAnsi="Times New Roman" w:eastAsia="宋体" w:cs="Times New Roman"/>
          <w:b w:val="0"/>
          <w:bCs w:val="0"/>
          <w:kern w:val="2"/>
          <w:sz w:val="24"/>
          <w:szCs w:val="24"/>
          <w:lang w:val="en-US" w:eastAsia="zh-CN" w:bidi="ar-SA"/>
        </w:rPr>
        <w:t>国家发展改革委等八部委《电子招标投标办法》（国家发展改革委2013年令第20号）规定，评标中需要投标人对投标文件澄清或者说明的，招标人和投标人应通过电子招标投标交易平台交换数据电文。</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14.3.4</w:t>
      </w:r>
      <w:r>
        <w:rPr>
          <w:rFonts w:hint="eastAsia" w:ascii="Times New Roman" w:hAnsi="Times New Roman" w:eastAsia="宋体" w:cs="Times New Roman"/>
          <w:b w:val="0"/>
          <w:bCs w:val="0"/>
          <w:kern w:val="2"/>
          <w:sz w:val="24"/>
          <w:szCs w:val="24"/>
          <w:lang w:val="en-US" w:eastAsia="zh-CN" w:bidi="ar-SA"/>
        </w:rPr>
        <w:t>招标代理机构发现评标委员会未按照招标文件确定的评标标准和方法进行评审的，应及时提醒，仍拒不改正的应及时向招标投标行政监督部门报告。招标文件没有规定的评标标准和方法不得作为评标的依据。招标代理机构不得参与评审或影响评标委员会独立评审。</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14.3.7</w:t>
      </w:r>
      <w:r>
        <w:rPr>
          <w:rFonts w:hint="eastAsia" w:ascii="Times New Roman" w:hAnsi="Times New Roman" w:eastAsia="宋体" w:cs="Times New Roman"/>
          <w:b w:val="0"/>
          <w:bCs w:val="0"/>
          <w:kern w:val="2"/>
          <w:sz w:val="24"/>
          <w:szCs w:val="24"/>
          <w:lang w:val="en-US" w:eastAsia="zh-CN" w:bidi="ar-SA"/>
        </w:rPr>
        <w:t>在评标过程中，如有效投标不足3个，评标委员会应对有效投标是否仍具有竞争性进行评审。评标委员会一致认为有效投标仍具有竞争性的，应继续推荐中标候选人，并在评标报告中予以说明。评标委员会对有效投标是否仍具有竞争性无法达成一致意见的，应否决全部投标。</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14.3.8</w:t>
      </w:r>
      <w:r>
        <w:rPr>
          <w:rFonts w:hint="eastAsia" w:ascii="Times New Roman" w:hAnsi="Times New Roman" w:eastAsia="宋体" w:cs="Times New Roman"/>
          <w:b w:val="0"/>
          <w:bCs w:val="0"/>
          <w:kern w:val="2"/>
          <w:sz w:val="24"/>
          <w:szCs w:val="24"/>
          <w:lang w:val="en-US" w:eastAsia="zh-CN" w:bidi="ar-SA"/>
        </w:rPr>
        <w:t>依据国家发展改革委等八部委《电子招标投标办法》（国家发展改革委2013年令第20号）规定，评标委员会完成评标后，应通过电子招标投标交易平台向招标人提交数据电文形式的评标报告。</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14.3.10</w:t>
      </w:r>
      <w:r>
        <w:rPr>
          <w:rFonts w:hint="eastAsia" w:ascii="Times New Roman" w:hAnsi="Times New Roman" w:eastAsia="宋体" w:cs="Times New Roman"/>
          <w:b w:val="0"/>
          <w:bCs w:val="0"/>
          <w:kern w:val="2"/>
          <w:sz w:val="24"/>
          <w:szCs w:val="24"/>
          <w:lang w:val="en-US" w:eastAsia="zh-CN" w:bidi="ar-SA"/>
        </w:rPr>
        <w:t>依据国家发展改革委等十三部委《关于严格执行招标投标法规制度进一步规范招标投标主体行为的若干意见》（发改法规规〔2022〕1117号）的规定，招标人应在中标候选人公示前认真审查评标委员会提交的书面评标报告。招标代理机构协助招标人审查评标报告是其提供专业服务的重要体现。对于采用评定分离方式定标的项目，是否按招标文件规定推荐中标候选人，亦是招标人审查的重要内容。</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sectPr>
          <w:pgSz w:w="11906" w:h="16838"/>
          <w:pgMar w:top="1440" w:right="1800" w:bottom="1440" w:left="1800" w:header="850" w:footer="992" w:gutter="0"/>
          <w:pgNumType w:fmt="decimal"/>
          <w:cols w:space="0" w:num="1"/>
          <w:docGrid w:type="lines" w:linePitch="315" w:charSpace="0"/>
        </w:sectPr>
      </w:pPr>
      <w:bookmarkStart w:id="348" w:name="_Toc6600"/>
      <w:bookmarkStart w:id="349" w:name="_Toc26598"/>
      <w:bookmarkStart w:id="350" w:name="_Toc28941"/>
      <w:bookmarkStart w:id="351" w:name="_Toc29199"/>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352" w:name="_Toc21801_WPSOffice_Level1"/>
      <w:r>
        <w:rPr>
          <w:rFonts w:hint="eastAsia" w:ascii="Times New Roman" w:hAnsi="Times New Roman" w:eastAsia="宋体" w:cs="Times New Roman"/>
          <w:b/>
          <w:sz w:val="36"/>
          <w:szCs w:val="36"/>
          <w:lang w:val="en-US" w:eastAsia="zh-CN"/>
        </w:rPr>
        <w:t>15</w:t>
      </w:r>
      <w:bookmarkEnd w:id="348"/>
      <w:bookmarkEnd w:id="349"/>
      <w:bookmarkEnd w:id="350"/>
      <w:bookmarkEnd w:id="351"/>
      <w:r>
        <w:rPr>
          <w:rFonts w:hint="eastAsia" w:ascii="Times New Roman" w:hAnsi="Times New Roman" w:eastAsia="宋体" w:cs="Times New Roman"/>
          <w:b/>
          <w:sz w:val="36"/>
          <w:szCs w:val="36"/>
          <w:lang w:val="en-US" w:eastAsia="zh-CN"/>
        </w:rPr>
        <w:t>协助定标</w:t>
      </w:r>
      <w:bookmarkEnd w:id="352"/>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53" w:name="_Toc32326"/>
      <w:bookmarkStart w:id="354" w:name="_Toc24580_WPSOffice_Level1"/>
      <w:r>
        <w:rPr>
          <w:rFonts w:hint="eastAsia" w:ascii="Times New Roman" w:hAnsi="Times New Roman" w:eastAsia="宋体" w:cs="Times New Roman"/>
          <w:b/>
          <w:kern w:val="0"/>
          <w:sz w:val="28"/>
          <w:szCs w:val="28"/>
          <w:lang w:val="en-US" w:eastAsia="zh-CN"/>
        </w:rPr>
        <w:t>15.1 中标候选人公示</w:t>
      </w:r>
      <w:bookmarkEnd w:id="353"/>
      <w:bookmarkEnd w:id="354"/>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15.1.1</w:t>
      </w:r>
      <w:r>
        <w:rPr>
          <w:rFonts w:hint="eastAsia" w:ascii="Times New Roman" w:hAnsi="Times New Roman" w:eastAsia="宋体" w:cs="Times New Roman"/>
          <w:b w:val="0"/>
          <w:bCs w:val="0"/>
          <w:kern w:val="2"/>
          <w:sz w:val="24"/>
          <w:szCs w:val="24"/>
          <w:lang w:val="en-US" w:eastAsia="zh-CN" w:bidi="ar-SA"/>
        </w:rPr>
        <w:t>依法必须招标的项目，应公示中标候选人。全部中标候选人均应进行公示。除非因异议、投诉等改变了中标候选人名单或者排名次序，全部中标候选人同时公示而不是仅公示排名第一的中标候选人，对于国有资金投资项目尤其重要，可避免出现《中华人民共和国招标投标法实施条例》第五十五条规定的情形时重复公示，以兼顾效率。公示的起始时间为收到评标报告之日起3日内。公示与公告均是为了更好地发挥社会监督作用的制度。</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15.1.2</w:t>
      </w:r>
      <w:r>
        <w:rPr>
          <w:rFonts w:hint="eastAsia" w:ascii="Times New Roman" w:hAnsi="Times New Roman" w:eastAsia="宋体" w:cs="Times New Roman"/>
          <w:b w:val="0"/>
          <w:bCs w:val="0"/>
          <w:kern w:val="2"/>
          <w:sz w:val="24"/>
          <w:szCs w:val="24"/>
          <w:lang w:val="en-US" w:eastAsia="zh-CN" w:bidi="ar-SA"/>
        </w:rPr>
        <w:t>为体现公开、公平、公正的原则，公示的内容应与招标要求相一致。</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15.1.3</w:t>
      </w:r>
      <w:r>
        <w:rPr>
          <w:rFonts w:hint="eastAsia" w:ascii="Times New Roman" w:hAnsi="Times New Roman" w:eastAsia="宋体" w:cs="Times New Roman"/>
          <w:b w:val="0"/>
          <w:bCs w:val="0"/>
          <w:kern w:val="2"/>
          <w:sz w:val="24"/>
          <w:szCs w:val="24"/>
          <w:lang w:val="en-US" w:eastAsia="zh-CN" w:bidi="ar-SA"/>
        </w:rPr>
        <w:t>依据《中华人民共和国招标投标法实施条例》第五十四条规定，对评标结果的异议应在规定时间内提出并作出答复。异议应在中标候选人公示期间提出，以便招标人及时采取措施予以纠正。招标人应自收到异议之日起3日内作出答复。招标人对异议作出答复前应暂停招标投标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依据国家发展改革委等十三部委《关于严格执行招标投标法规制度进一步规范招标投标主体行为的若干意见》（发改法规规〔2022〕1117号）规定，实行电子招标投标的，电子招标投标交易平台应支持在线提出异议、跟踪处理进程、接收异议答复。</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15.1.4</w:t>
      </w:r>
      <w:r>
        <w:rPr>
          <w:rFonts w:hint="eastAsia" w:ascii="Times New Roman" w:hAnsi="Times New Roman" w:eastAsia="宋体" w:cs="Times New Roman"/>
          <w:b w:val="0"/>
          <w:bCs w:val="0"/>
          <w:kern w:val="2"/>
          <w:sz w:val="24"/>
          <w:szCs w:val="24"/>
          <w:lang w:val="en-US" w:eastAsia="zh-CN" w:bidi="ar-SA"/>
        </w:rPr>
        <w:t>依据国家发展改革委《评标专家和评标专家库管理办法》（国家发展改革委2024年第26号令）规定，协助、配合招标人处理异议，按规定程序复核、纠正评标报告中的错误属于评标专家的义务。招标代理机构在协助招标人处理异议过程中，如异议涉及评标过程及结果，需要评标专家协助、配合招标人处理异议的，评标专家应配合。</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55" w:name="_Toc4415"/>
      <w:bookmarkStart w:id="356" w:name="_Toc24576_WPSOffice_Level1"/>
      <w:r>
        <w:rPr>
          <w:rFonts w:hint="eastAsia" w:ascii="Times New Roman" w:hAnsi="Times New Roman" w:eastAsia="宋体" w:cs="Times New Roman"/>
          <w:b/>
          <w:kern w:val="0"/>
          <w:sz w:val="28"/>
          <w:szCs w:val="28"/>
          <w:lang w:val="en-US" w:eastAsia="zh-CN"/>
        </w:rPr>
        <w:t>15.2 协助定标</w:t>
      </w:r>
      <w:bookmarkEnd w:id="355"/>
      <w:bookmarkEnd w:id="356"/>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15.2.1</w:t>
      </w:r>
      <w:r>
        <w:rPr>
          <w:rFonts w:hint="eastAsia" w:ascii="Times New Roman" w:hAnsi="Times New Roman" w:eastAsia="宋体" w:cs="Times New Roman"/>
          <w:b w:val="0"/>
          <w:bCs w:val="0"/>
          <w:kern w:val="2"/>
          <w:sz w:val="24"/>
          <w:szCs w:val="24"/>
          <w:lang w:val="en-US" w:eastAsia="zh-CN" w:bidi="ar-SA"/>
        </w:rPr>
        <w:t>依据国务院办公厅《国务院办公厅关于创新完善体制机制推动招标投标市场规范健康发展的意见》（国办发〔2023〕21号）、国家发展改革委、工业和信息化部、住房城乡建设部、交通运输部、水利部、农业农村部、商务部、市场监管总局《招标投标领域公平竞争审查规则》（国家发展改革委、工业和信息化部、住房城乡建设部、交通运输部、水利部、农业农村部、商务部、市场监管总局第16号令）、住房和城乡建设部《住房和城乡建设部关于进一步加强房屋建筑和市政基础设施工程招标投标监管的指导意见》（建市规〔2019〕11号），尊重和保障招标人定标权，落实招标人定标主体责任，招标人可采用评定分离方式确定中标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依据《中华人民共和国招标投标法实施条例》第五十四条的规定，说明中标人如何确定。招标人原则上应当选择排名第一的中标候选人为中标人，其理由是贯彻“三公”原则：落实择优选择中标人，有利于提高公信力。招标人可根据特定情况需要依次选择其他候选人为中标人或重新招标。</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15.2.2</w:t>
      </w:r>
      <w:r>
        <w:rPr>
          <w:rFonts w:hint="eastAsia" w:ascii="Times New Roman" w:hAnsi="Times New Roman" w:eastAsia="宋体" w:cs="Times New Roman"/>
          <w:b w:val="0"/>
          <w:bCs w:val="0"/>
          <w:kern w:val="2"/>
          <w:sz w:val="24"/>
          <w:szCs w:val="24"/>
          <w:lang w:val="en-US" w:eastAsia="zh-CN" w:bidi="ar-SA"/>
        </w:rPr>
        <w:t>依据中华人民共和国国家发展和改革委员会《招标公告和公示信息发布管理办法》（国家发展改革委第10号令）规定，增强招标投标透明度，保障公平竞争市场秩序，明确中标结果公示内容。</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15.2.3</w:t>
      </w:r>
      <w:r>
        <w:rPr>
          <w:rFonts w:hint="eastAsia" w:ascii="Times New Roman" w:hAnsi="Times New Roman" w:eastAsia="宋体" w:cs="Times New Roman"/>
          <w:b w:val="0"/>
          <w:bCs w:val="0"/>
          <w:kern w:val="2"/>
          <w:sz w:val="24"/>
          <w:szCs w:val="24"/>
          <w:lang w:val="en-US" w:eastAsia="zh-CN" w:bidi="ar-SA"/>
        </w:rPr>
        <w:t>依据安徽省政府《安徽省建筑工程招标投标管理办法》（省政府第301号令）第三十二条规定，招标人应在确定中标人后7日内发出中标通知书，并同时将中标结果通知所有未中标的投标人。</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zh-CN" w:eastAsia="zh-CN"/>
        </w:rPr>
        <w:sectPr>
          <w:pgSz w:w="11906" w:h="16838"/>
          <w:pgMar w:top="1440" w:right="1800" w:bottom="1440" w:left="1800" w:header="850" w:footer="992" w:gutter="0"/>
          <w:pgNumType w:fmt="decimal"/>
          <w:cols w:space="0" w:num="1"/>
          <w:docGrid w:type="lines" w:linePitch="315" w:charSpace="0"/>
        </w:sectPr>
      </w:pPr>
      <w:bookmarkStart w:id="357" w:name="_Toc25087"/>
      <w:bookmarkStart w:id="358" w:name="_Toc23910"/>
      <w:bookmarkStart w:id="359" w:name="_Toc25049"/>
      <w:bookmarkStart w:id="360" w:name="_Toc19798"/>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zh-CN" w:eastAsia="zh-CN"/>
        </w:rPr>
      </w:pPr>
      <w:bookmarkStart w:id="361" w:name="_Toc27285_WPSOffice_Level1"/>
      <w:r>
        <w:rPr>
          <w:rFonts w:hint="eastAsia" w:ascii="Times New Roman" w:hAnsi="Times New Roman" w:eastAsia="宋体" w:cs="Times New Roman"/>
          <w:b/>
          <w:sz w:val="36"/>
          <w:szCs w:val="36"/>
          <w:lang w:val="zh-CN" w:eastAsia="zh-CN"/>
        </w:rPr>
        <w:t>1</w:t>
      </w:r>
      <w:r>
        <w:rPr>
          <w:rFonts w:hint="eastAsia" w:ascii="Times New Roman" w:hAnsi="Times New Roman" w:eastAsia="宋体" w:cs="Times New Roman"/>
          <w:b/>
          <w:sz w:val="36"/>
          <w:szCs w:val="36"/>
          <w:lang w:val="en-US" w:eastAsia="zh-CN"/>
        </w:rPr>
        <w:t>6</w:t>
      </w:r>
      <w:bookmarkEnd w:id="357"/>
      <w:bookmarkEnd w:id="358"/>
      <w:bookmarkEnd w:id="359"/>
      <w:r>
        <w:rPr>
          <w:rFonts w:hint="eastAsia" w:ascii="Times New Roman" w:hAnsi="Times New Roman" w:eastAsia="宋体" w:cs="Times New Roman"/>
          <w:b/>
          <w:sz w:val="36"/>
          <w:szCs w:val="36"/>
          <w:lang w:val="zh-CN" w:eastAsia="zh-CN"/>
        </w:rPr>
        <w:t>协助签订合同及其他服务</w:t>
      </w:r>
      <w:bookmarkEnd w:id="360"/>
      <w:bookmarkEnd w:id="361"/>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16.0.2</w:t>
      </w:r>
      <w:r>
        <w:rPr>
          <w:rFonts w:hint="eastAsia" w:ascii="Times New Roman" w:hAnsi="Times New Roman" w:eastAsia="宋体" w:cs="Times New Roman"/>
          <w:b w:val="0"/>
          <w:bCs w:val="0"/>
          <w:kern w:val="2"/>
          <w:sz w:val="24"/>
          <w:szCs w:val="24"/>
          <w:lang w:val="en-US" w:eastAsia="zh-CN" w:bidi="ar-SA"/>
        </w:rPr>
        <w:t>应注意合同签订时间，自中标通知书发出之日起30日内，并且在投标有效期内，根据招标文件和中标人的投标文件订立书面合同。</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16.0.6</w:t>
      </w:r>
      <w:r>
        <w:rPr>
          <w:rFonts w:hint="default" w:ascii="Times New Roman" w:hAnsi="Times New Roman" w:eastAsia="宋体" w:cs="Times New Roman"/>
          <w:b/>
          <w:bCs/>
          <w:kern w:val="2"/>
          <w:sz w:val="24"/>
          <w:szCs w:val="24"/>
          <w:lang w:val="en-US" w:eastAsia="zh-CN" w:bidi="ar-SA"/>
        </w:rPr>
        <w:t>~</w:t>
      </w:r>
      <w:r>
        <w:rPr>
          <w:rFonts w:hint="eastAsia" w:ascii="Times New Roman" w:hAnsi="Times New Roman" w:eastAsia="宋体" w:cs="Times New Roman"/>
          <w:b/>
          <w:bCs/>
          <w:kern w:val="2"/>
          <w:sz w:val="24"/>
          <w:szCs w:val="24"/>
          <w:lang w:val="en-US" w:eastAsia="zh-CN" w:bidi="ar-SA"/>
        </w:rPr>
        <w:t>16.0.7</w:t>
      </w:r>
      <w:r>
        <w:rPr>
          <w:rFonts w:hint="eastAsia" w:ascii="Times New Roman" w:hAnsi="Times New Roman" w:eastAsia="宋体" w:cs="Times New Roman"/>
          <w:b w:val="0"/>
          <w:bCs w:val="0"/>
          <w:kern w:val="2"/>
          <w:sz w:val="24"/>
          <w:szCs w:val="24"/>
          <w:lang w:val="en-US" w:eastAsia="zh-CN" w:bidi="ar-SA"/>
        </w:rPr>
        <w:t>依据国务院办公厅《国务院办公厅关于推进公共资源配置领域政府信息公开的意见》（国办发〔2017〕97号），扩大公众监督，增强公开实效，实现公共资源配置全流程透明化，依法全面推进项目履约信息公开。</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zh-CN" w:eastAsia="zh-CN"/>
        </w:rPr>
        <w:sectPr>
          <w:pgSz w:w="11906" w:h="16838"/>
          <w:pgMar w:top="1440" w:right="1800" w:bottom="1440" w:left="1800" w:header="850" w:footer="992" w:gutter="0"/>
          <w:pgNumType w:fmt="decimal"/>
          <w:cols w:space="0" w:num="1"/>
          <w:docGrid w:type="lines" w:linePitch="315" w:charSpace="0"/>
        </w:sectPr>
      </w:pPr>
      <w:bookmarkStart w:id="362" w:name="_Toc3466"/>
      <w:bookmarkStart w:id="363" w:name="_Toc22296"/>
      <w:bookmarkStart w:id="364" w:name="_Toc20901"/>
      <w:bookmarkStart w:id="365" w:name="_Toc2875"/>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366" w:name="_Toc9899_WPSOffice_Level1"/>
      <w:r>
        <w:rPr>
          <w:rFonts w:hint="eastAsia" w:ascii="Times New Roman" w:hAnsi="Times New Roman" w:eastAsia="宋体" w:cs="Times New Roman"/>
          <w:b/>
          <w:sz w:val="36"/>
          <w:szCs w:val="36"/>
          <w:lang w:val="zh-CN" w:eastAsia="zh-CN"/>
        </w:rPr>
        <w:t>1</w:t>
      </w:r>
      <w:r>
        <w:rPr>
          <w:rFonts w:hint="eastAsia" w:ascii="Times New Roman" w:hAnsi="Times New Roman" w:eastAsia="宋体" w:cs="Times New Roman"/>
          <w:b/>
          <w:sz w:val="36"/>
          <w:szCs w:val="36"/>
          <w:lang w:val="en-US" w:eastAsia="zh-CN"/>
        </w:rPr>
        <w:t>7</w:t>
      </w:r>
      <w:bookmarkEnd w:id="362"/>
      <w:bookmarkEnd w:id="363"/>
      <w:bookmarkEnd w:id="364"/>
      <w:r>
        <w:rPr>
          <w:rFonts w:hint="eastAsia" w:ascii="Times New Roman" w:hAnsi="Times New Roman" w:eastAsia="宋体" w:cs="Times New Roman"/>
          <w:b/>
          <w:sz w:val="36"/>
          <w:szCs w:val="36"/>
          <w:lang w:val="en-US" w:eastAsia="zh-CN"/>
        </w:rPr>
        <w:t>招标代理项目档案管理</w:t>
      </w:r>
      <w:bookmarkEnd w:id="365"/>
      <w:bookmarkEnd w:id="366"/>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67" w:name="_Toc18306"/>
      <w:bookmarkStart w:id="368" w:name="_Toc11410_WPSOffice_Level1"/>
      <w:r>
        <w:rPr>
          <w:rFonts w:hint="eastAsia" w:ascii="Times New Roman" w:hAnsi="Times New Roman" w:eastAsia="宋体" w:cs="Times New Roman"/>
          <w:b/>
          <w:kern w:val="0"/>
          <w:sz w:val="28"/>
          <w:szCs w:val="28"/>
          <w:lang w:val="en-US" w:eastAsia="zh-CN"/>
        </w:rPr>
        <w:t>17.1 一般规定</w:t>
      </w:r>
      <w:bookmarkEnd w:id="367"/>
      <w:bookmarkEnd w:id="368"/>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17.1.2</w:t>
      </w:r>
      <w:r>
        <w:rPr>
          <w:rFonts w:hint="eastAsia" w:ascii="Times New Roman" w:hAnsi="Times New Roman" w:eastAsia="宋体" w:cs="Times New Roman"/>
          <w:b w:val="0"/>
          <w:bCs w:val="0"/>
          <w:kern w:val="2"/>
          <w:sz w:val="24"/>
          <w:szCs w:val="24"/>
          <w:lang w:val="en-US" w:eastAsia="zh-CN" w:bidi="ar-SA"/>
        </w:rPr>
        <w:t>依据国家发展改革委等十三部委《国家发展改革委等部门关于严格执行招标投标法规制度进一步规范招标投标主体行为的若干意见》（发改法规规〔2022〕1117号），招标代理机构应将招标档案资料整理成册并及时移交招标人，不得篡改、损毁、伪造或擅自销毁。电子招投标项目鼓励采用电子介质方式归档。</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17.1.3</w:t>
      </w:r>
      <w:r>
        <w:rPr>
          <w:rFonts w:hint="eastAsia" w:ascii="Times New Roman" w:hAnsi="Times New Roman" w:eastAsia="宋体" w:cs="Times New Roman"/>
          <w:b w:val="0"/>
          <w:bCs w:val="0"/>
          <w:kern w:val="2"/>
          <w:sz w:val="24"/>
          <w:szCs w:val="24"/>
          <w:lang w:val="en-US" w:eastAsia="zh-CN" w:bidi="ar-SA"/>
        </w:rPr>
        <w:t>招标代理项目归档资料的保管期限，应符合国家现行有关标准规定。国家档案局《招标投标电子文件归档规范》（DA/T 103-2024）规定，电子档案的保管期限应不低于关于工程、货物、服务的行政管理、诉讼、审计等活动所需的追溯年限。</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69" w:name="_Toc17235_WPSOffice_Level1"/>
      <w:bookmarkStart w:id="370" w:name="_Toc2937"/>
      <w:r>
        <w:rPr>
          <w:rFonts w:hint="eastAsia" w:ascii="Times New Roman" w:hAnsi="Times New Roman" w:eastAsia="宋体" w:cs="Times New Roman"/>
          <w:b/>
          <w:kern w:val="0"/>
          <w:sz w:val="28"/>
          <w:szCs w:val="28"/>
          <w:lang w:val="en-US" w:eastAsia="zh-CN"/>
        </w:rPr>
        <w:t>17.2 归档资料</w:t>
      </w:r>
      <w:bookmarkEnd w:id="369"/>
      <w:bookmarkEnd w:id="370"/>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17.2.1</w:t>
      </w:r>
      <w:r>
        <w:rPr>
          <w:rFonts w:hint="eastAsia" w:ascii="Times New Roman" w:hAnsi="Times New Roman" w:eastAsia="宋体" w:cs="Times New Roman"/>
          <w:b w:val="0"/>
          <w:bCs w:val="0"/>
          <w:kern w:val="2"/>
          <w:sz w:val="24"/>
          <w:szCs w:val="24"/>
          <w:lang w:val="en-US" w:eastAsia="zh-CN" w:bidi="ar-SA"/>
        </w:rPr>
        <w:t>前期资料包括工程建设项目审批或者备案文件以及满足招标条件的其他材料（立项批复文件、规划意见文件、施工图设计文件审查合格书及用于本项目的资金证明等）。</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71" w:name="_Toc1315"/>
      <w:bookmarkStart w:id="372" w:name="_Toc16609_WPSOffice_Level1"/>
      <w:r>
        <w:rPr>
          <w:rFonts w:hint="eastAsia" w:ascii="Times New Roman" w:hAnsi="Times New Roman" w:eastAsia="宋体" w:cs="Times New Roman"/>
          <w:b/>
          <w:kern w:val="0"/>
          <w:sz w:val="28"/>
          <w:szCs w:val="28"/>
          <w:lang w:val="en-US" w:eastAsia="zh-CN"/>
        </w:rPr>
        <w:t>17.3 立卷材料</w:t>
      </w:r>
      <w:bookmarkEnd w:id="371"/>
      <w:bookmarkEnd w:id="372"/>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17.3.3</w:t>
      </w:r>
      <w:r>
        <w:rPr>
          <w:rFonts w:hint="default" w:ascii="Times New Roman" w:hAnsi="Times New Roman" w:eastAsia="宋体" w:cs="Times New Roman"/>
          <w:b/>
          <w:bCs/>
          <w:kern w:val="2"/>
          <w:sz w:val="24"/>
          <w:szCs w:val="24"/>
          <w:lang w:val="en-US" w:eastAsia="zh-CN" w:bidi="ar-SA"/>
        </w:rPr>
        <w:t>~</w:t>
      </w:r>
      <w:r>
        <w:rPr>
          <w:rFonts w:hint="eastAsia" w:ascii="Times New Roman" w:hAnsi="Times New Roman" w:eastAsia="宋体" w:cs="Times New Roman"/>
          <w:b/>
          <w:bCs/>
          <w:kern w:val="2"/>
          <w:sz w:val="24"/>
          <w:szCs w:val="24"/>
          <w:lang w:val="en-US" w:eastAsia="zh-CN" w:bidi="ar-SA"/>
        </w:rPr>
        <w:t>17.3.4</w:t>
      </w:r>
      <w:r>
        <w:rPr>
          <w:rFonts w:hint="eastAsia" w:ascii="Times New Roman" w:hAnsi="Times New Roman" w:eastAsia="宋体" w:cs="Times New Roman"/>
          <w:b w:val="0"/>
          <w:bCs w:val="0"/>
          <w:kern w:val="2"/>
          <w:sz w:val="24"/>
          <w:szCs w:val="24"/>
          <w:lang w:val="en-US" w:eastAsia="zh-CN" w:bidi="ar-SA"/>
        </w:rPr>
        <w:t>依据《中华人民共和国档案法》、国家发展改革委等八部委《电子招标投标办法》（国家发展改革委2013年令第20号）、《电子文件归档与电子档案管理规范》（GB/T18894-2016）等有关规定，规范工程建设项目招标代理项目电子介质档案管理，确保档案的真实、完整、安全与有效利用。</w:t>
      </w:r>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zh-CN" w:eastAsia="zh-CN"/>
        </w:rPr>
        <w:sectPr>
          <w:pgSz w:w="11906" w:h="16838"/>
          <w:pgMar w:top="1440" w:right="1800" w:bottom="1440" w:left="1800" w:header="850" w:footer="992" w:gutter="0"/>
          <w:pgNumType w:fmt="decimal"/>
          <w:cols w:space="0" w:num="1"/>
          <w:docGrid w:type="lines" w:linePitch="315" w:charSpace="0"/>
        </w:sectPr>
      </w:pPr>
      <w:bookmarkStart w:id="373" w:name="_Toc24913"/>
      <w:bookmarkStart w:id="374" w:name="_Toc11769"/>
      <w:bookmarkStart w:id="375" w:name="_Toc17550"/>
      <w:bookmarkStart w:id="376" w:name="_Toc30633"/>
    </w:p>
    <w:p>
      <w:pPr>
        <w:pStyle w:val="6"/>
        <w:spacing w:before="312" w:beforeLines="100" w:after="312" w:afterLines="100" w:line="360" w:lineRule="auto"/>
        <w:jc w:val="center"/>
        <w:outlineLvl w:val="0"/>
        <w:rPr>
          <w:rFonts w:hint="eastAsia" w:ascii="Times New Roman" w:hAnsi="Times New Roman" w:eastAsia="宋体" w:cs="Times New Roman"/>
          <w:b/>
          <w:sz w:val="36"/>
          <w:szCs w:val="36"/>
          <w:lang w:val="zh-CN" w:eastAsia="zh-CN"/>
        </w:rPr>
      </w:pPr>
      <w:bookmarkStart w:id="377" w:name="_Toc4406_WPSOffice_Level1"/>
      <w:r>
        <w:rPr>
          <w:rFonts w:hint="eastAsia" w:ascii="Times New Roman" w:hAnsi="Times New Roman" w:eastAsia="宋体" w:cs="Times New Roman"/>
          <w:b/>
          <w:sz w:val="36"/>
          <w:szCs w:val="36"/>
          <w:lang w:val="zh-CN" w:eastAsia="zh-CN"/>
        </w:rPr>
        <w:t>1</w:t>
      </w:r>
      <w:r>
        <w:rPr>
          <w:rFonts w:hint="eastAsia" w:ascii="Times New Roman" w:hAnsi="Times New Roman" w:eastAsia="宋体" w:cs="Times New Roman"/>
          <w:b/>
          <w:sz w:val="36"/>
          <w:szCs w:val="36"/>
          <w:lang w:val="en-US" w:eastAsia="zh-CN"/>
        </w:rPr>
        <w:t>8</w:t>
      </w:r>
      <w:bookmarkEnd w:id="373"/>
      <w:bookmarkEnd w:id="374"/>
      <w:bookmarkEnd w:id="375"/>
      <w:r>
        <w:rPr>
          <w:rFonts w:hint="eastAsia" w:ascii="Times New Roman" w:hAnsi="Times New Roman" w:eastAsia="宋体" w:cs="Times New Roman"/>
          <w:b/>
          <w:sz w:val="36"/>
          <w:szCs w:val="36"/>
          <w:lang w:val="zh-CN" w:eastAsia="zh-CN"/>
        </w:rPr>
        <w:t>服务评价与改进</w:t>
      </w:r>
      <w:bookmarkEnd w:id="376"/>
      <w:bookmarkEnd w:id="377"/>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78" w:name="_Toc14072"/>
      <w:bookmarkStart w:id="379" w:name="_Toc6729"/>
      <w:bookmarkStart w:id="380" w:name="_Toc23022_WPSOffice_Level1"/>
      <w:bookmarkStart w:id="381" w:name="_Toc12537"/>
      <w:r>
        <w:rPr>
          <w:rFonts w:hint="eastAsia" w:ascii="Times New Roman" w:hAnsi="Times New Roman" w:eastAsia="宋体" w:cs="Times New Roman"/>
          <w:b/>
          <w:kern w:val="0"/>
          <w:sz w:val="28"/>
          <w:szCs w:val="28"/>
          <w:lang w:val="en-US" w:eastAsia="zh-CN"/>
        </w:rPr>
        <w:t xml:space="preserve">18.1 </w:t>
      </w:r>
      <w:bookmarkEnd w:id="378"/>
      <w:bookmarkEnd w:id="379"/>
      <w:r>
        <w:rPr>
          <w:rFonts w:hint="eastAsia" w:ascii="Times New Roman" w:hAnsi="Times New Roman" w:eastAsia="宋体" w:cs="Times New Roman"/>
          <w:b/>
          <w:kern w:val="0"/>
          <w:sz w:val="28"/>
          <w:szCs w:val="28"/>
          <w:lang w:val="en-US" w:eastAsia="zh-CN"/>
        </w:rPr>
        <w:t>服务评价</w:t>
      </w:r>
      <w:bookmarkEnd w:id="380"/>
      <w:bookmarkEnd w:id="381"/>
    </w:p>
    <w:p>
      <w:pPr>
        <w:pageBreakBefore w:val="0"/>
        <w:kinsoku/>
        <w:overflowPunct/>
        <w:topLinePunct w:val="0"/>
        <w:autoSpaceDE/>
        <w:autoSpaceDN/>
        <w:bidi w:val="0"/>
        <w:spacing w:line="360" w:lineRule="auto"/>
        <w:textAlignment w:val="auto"/>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18.1.1</w:t>
      </w:r>
      <w:r>
        <w:rPr>
          <w:rFonts w:hint="eastAsia" w:ascii="Times New Roman" w:hAnsi="Times New Roman" w:eastAsia="宋体" w:cs="Times New Roman"/>
          <w:b w:val="0"/>
          <w:bCs w:val="0"/>
          <w:kern w:val="2"/>
          <w:sz w:val="24"/>
          <w:szCs w:val="24"/>
          <w:lang w:val="en-US" w:eastAsia="zh-CN" w:bidi="ar-SA"/>
        </w:rPr>
        <w:t>招标人对其委托招标项目的服务评价是落实招标人管理责任，强化招标人主体地位的重要体现。依据《国务院办公厅关于创新完善体制机制推动招标投标市场规范健康发展的意见》（国办发〔2024〕21号），落实招标人组织招标、处理异议、督促履约等方面责任，根据委托合同管理约束招标代理活动。依据我省《中介机构服务质量评价体系报告》，对中介机构服务质量评价分为结构质量、过程质量、结果质量3个一级指标。本条中招标人评价侧重于对招标代理机构的过程质量评价。</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18.1.2</w:t>
      </w:r>
      <w:r>
        <w:rPr>
          <w:rFonts w:hint="eastAsia" w:ascii="Times New Roman" w:hAnsi="Times New Roman" w:eastAsia="宋体" w:cs="Times New Roman"/>
          <w:b w:val="0"/>
          <w:bCs w:val="0"/>
          <w:kern w:val="2"/>
          <w:sz w:val="24"/>
          <w:szCs w:val="24"/>
          <w:lang w:val="en-US" w:eastAsia="zh-CN" w:bidi="ar-SA"/>
        </w:rPr>
        <w:t>依据国家发展改革委等十三部委《国家发展改革委等部门关于严格执行招标投标法规制度进一步规范招标投标主体行为的若干意见》（发改法规规〔2022〕1117号）、住房城乡建设部《住房城乡建设部关于进一步加强房屋建筑和市政基础设施工程招标投标监管的指导意见》（建市规〔2019〕11号），行政监督部门强化对招标代理机构及从业人员的动态监管，加强考核与评价，严格依法查处从业人员违法违规行为，信用评价信息向社会公开。</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18.1.3</w:t>
      </w:r>
      <w:r>
        <w:rPr>
          <w:rFonts w:hint="eastAsia" w:ascii="Times New Roman" w:hAnsi="Times New Roman" w:eastAsia="宋体" w:cs="Times New Roman"/>
          <w:b w:val="0"/>
          <w:bCs w:val="0"/>
          <w:kern w:val="2"/>
          <w:sz w:val="24"/>
          <w:szCs w:val="24"/>
          <w:lang w:val="en-US" w:eastAsia="zh-CN" w:bidi="ar-SA"/>
        </w:rPr>
        <w:t>依据住房城乡建设部办公厅《住房城乡建设部办公厅关于取消工程建设项目招标代理机构资格认定加强事中事后监管的通知》（建办市〔2017〕77号）、国家发展改革委等十三部委《国家发展改革委等部门关于严格执行招标投标法规制度进一步规范招标投标主体行为的若干意见》（发改法规规〔2022〕1117号），行业协会开展招标代理行业自律、招标代理机构信用评价和从业人员专业技术能力评价，完善招标代理服务标准规范等，对建设工程招标代理行业规范发展起到重要促进作用。</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18.1.4</w:t>
      </w:r>
      <w:r>
        <w:rPr>
          <w:rFonts w:hint="eastAsia" w:ascii="Times New Roman" w:hAnsi="Times New Roman" w:eastAsia="宋体" w:cs="Times New Roman"/>
          <w:b w:val="0"/>
          <w:bCs w:val="0"/>
          <w:kern w:val="2"/>
          <w:sz w:val="24"/>
          <w:szCs w:val="24"/>
          <w:lang w:val="en-US" w:eastAsia="zh-CN" w:bidi="ar-SA"/>
        </w:rPr>
        <w:t>招标代理机构应加强服务自评，规避和减少项目风险，改进招标代理工作，提高服务质量。评价内容宜包括招标代理合同委托范围内的工作内容、招标代理行为、项目客户及相关方对招标代理服务的反馈等相关内容。</w:t>
      </w:r>
    </w:p>
    <w:p>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382" w:name="_Toc25133"/>
      <w:bookmarkStart w:id="383" w:name="_Toc1668"/>
      <w:bookmarkStart w:id="384" w:name="_Toc21646_WPSOffice_Level1"/>
      <w:bookmarkStart w:id="385" w:name="_Toc1046"/>
      <w:r>
        <w:rPr>
          <w:rFonts w:hint="eastAsia" w:ascii="Times New Roman" w:hAnsi="Times New Roman" w:eastAsia="宋体" w:cs="Times New Roman"/>
          <w:b/>
          <w:kern w:val="0"/>
          <w:sz w:val="28"/>
          <w:szCs w:val="28"/>
          <w:lang w:val="en-US" w:eastAsia="zh-CN"/>
        </w:rPr>
        <w:t xml:space="preserve">18.2 </w:t>
      </w:r>
      <w:bookmarkEnd w:id="382"/>
      <w:bookmarkEnd w:id="383"/>
      <w:r>
        <w:rPr>
          <w:rFonts w:hint="eastAsia" w:ascii="Times New Roman" w:hAnsi="Times New Roman" w:eastAsia="宋体" w:cs="Times New Roman"/>
          <w:b/>
          <w:kern w:val="0"/>
          <w:sz w:val="28"/>
          <w:szCs w:val="28"/>
          <w:lang w:val="en-US" w:eastAsia="zh-CN"/>
        </w:rPr>
        <w:t>服务改进</w:t>
      </w:r>
      <w:bookmarkEnd w:id="384"/>
      <w:bookmarkEnd w:id="385"/>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18.2.1</w:t>
      </w:r>
      <w:r>
        <w:rPr>
          <w:rFonts w:hint="default" w:ascii="Times New Roman" w:hAnsi="Times New Roman" w:eastAsia="宋体" w:cs="Times New Roman"/>
          <w:b/>
          <w:bCs/>
          <w:kern w:val="2"/>
          <w:sz w:val="24"/>
          <w:szCs w:val="24"/>
          <w:lang w:val="en-US" w:eastAsia="zh-CN" w:bidi="ar-SA"/>
        </w:rPr>
        <w:t>~</w:t>
      </w:r>
      <w:r>
        <w:rPr>
          <w:rFonts w:hint="eastAsia" w:ascii="Times New Roman" w:hAnsi="Times New Roman" w:eastAsia="宋体" w:cs="Times New Roman"/>
          <w:b/>
          <w:bCs/>
          <w:kern w:val="2"/>
          <w:sz w:val="24"/>
          <w:szCs w:val="24"/>
          <w:lang w:val="en-US" w:eastAsia="zh-CN" w:bidi="ar-SA"/>
        </w:rPr>
        <w:t>18.2.2</w:t>
      </w:r>
      <w:r>
        <w:rPr>
          <w:rFonts w:hint="eastAsia" w:ascii="Times New Roman" w:hAnsi="Times New Roman" w:eastAsia="宋体" w:cs="Times New Roman"/>
          <w:b w:val="0"/>
          <w:bCs w:val="0"/>
          <w:kern w:val="2"/>
          <w:sz w:val="24"/>
          <w:szCs w:val="24"/>
          <w:lang w:val="en-US" w:eastAsia="zh-CN" w:bidi="ar-SA"/>
        </w:rPr>
        <w:t>通过对评价结果的分析，招标代理机构找出招标代理服务中存在的问题和不足之处，并对问题进行分类、确定严重程度和影响范围。针对这些问题制定相应的措施进行改进，以确保服务的合法性和合规性。</w:t>
      </w:r>
    </w:p>
    <w:p>
      <w:pPr>
        <w:pageBreakBefore w:val="0"/>
        <w:kinsoku/>
        <w:overflowPunct/>
        <w:topLinePunct w:val="0"/>
        <w:autoSpaceDE/>
        <w:autoSpaceDN/>
        <w:bidi w:val="0"/>
        <w:spacing w:line="360" w:lineRule="auto"/>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18.2.3</w:t>
      </w:r>
      <w:r>
        <w:rPr>
          <w:rFonts w:hint="eastAsia" w:ascii="Times New Roman" w:hAnsi="Times New Roman" w:eastAsia="宋体" w:cs="Times New Roman"/>
          <w:b w:val="0"/>
          <w:bCs w:val="0"/>
          <w:kern w:val="2"/>
          <w:sz w:val="24"/>
          <w:szCs w:val="24"/>
          <w:lang w:val="en-US" w:eastAsia="zh-CN" w:bidi="ar-SA"/>
        </w:rPr>
        <w:t>招标代理机构通过对服务改进效果进行定期评估，是持续提升招标代理服务质量和服务水平、增强客户满意度、提高市场竞争力、规范行业发展的有效途径。</w:t>
      </w:r>
    </w:p>
    <w:p>
      <w:pPr>
        <w:rPr>
          <w:rFonts w:hint="eastAsia" w:eastAsiaTheme="minorEastAsia"/>
          <w:color w:val="auto"/>
          <w:lang w:val="en-US" w:eastAsia="zh-CN"/>
        </w:rPr>
      </w:pPr>
    </w:p>
    <w:sectPr>
      <w:pgSz w:w="11906" w:h="16838"/>
      <w:pgMar w:top="1440" w:right="1800" w:bottom="1440" w:left="1800" w:header="850" w:footer="850" w:gutter="0"/>
      <w:pgNumType w:fmt="decimal"/>
      <w:cols w:space="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8957CE-16C8-49B4-A31B-0637EC193C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78035F0C-8DED-4385-BC5C-0208520E2771}"/>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3" w:fontKey="{CBBB5F65-B959-444E-BB84-92E4B716EE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imes New Roman" w:hAnsi="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asciiTheme="minorEastAsia" w:hAnsiTheme="minorEastAsia" w:eastAsiaTheme="minorEastAsia" w:cstheme="minorEastAsia"/>
                              <w:lang w:eastAsia="zh-CN"/>
                            </w:rPr>
                            <w:fldChar w:fldCharType="begin"/>
                          </w:r>
                          <w:r>
                            <w:rPr>
                              <w:rFonts w:hint="eastAsia" w:asciiTheme="minorEastAsia" w:hAnsiTheme="minorEastAsia" w:eastAsiaTheme="minorEastAsia" w:cstheme="minorEastAsia"/>
                              <w:lang w:eastAsia="zh-CN"/>
                            </w:rPr>
                            <w:instrText xml:space="preserve"> PAGE  \* MERGEFORMAT </w:instrText>
                          </w:r>
                          <w:r>
                            <w:rPr>
                              <w:rFonts w:hint="eastAsia" w:asciiTheme="minorEastAsia" w:hAnsiTheme="minorEastAsia" w:eastAsiaTheme="minorEastAsia" w:cstheme="minorEastAsia"/>
                              <w:lang w:eastAsia="zh-CN"/>
                            </w:rPr>
                            <w:fldChar w:fldCharType="separate"/>
                          </w:r>
                          <w:r>
                            <w:rPr>
                              <w:rFonts w:hint="eastAsia" w:asciiTheme="minorEastAsia" w:hAnsiTheme="minorEastAsia" w:eastAsiaTheme="minorEastAsia" w:cstheme="minorEastAsia"/>
                              <w:lang w:eastAsia="zh-CN"/>
                            </w:rPr>
                            <w:t>4</w:t>
                          </w:r>
                          <w:r>
                            <w:rPr>
                              <w:rFonts w:hint="eastAsia" w:asciiTheme="minorEastAsia" w:hAnsiTheme="minorEastAsia" w:eastAsiaTheme="minorEastAsia" w:cstheme="minor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asciiTheme="minorEastAsia" w:hAnsiTheme="minorEastAsia" w:eastAsiaTheme="minorEastAsia" w:cstheme="minorEastAsia"/>
                        <w:lang w:eastAsia="zh-CN"/>
                      </w:rPr>
                      <w:fldChar w:fldCharType="begin"/>
                    </w:r>
                    <w:r>
                      <w:rPr>
                        <w:rFonts w:hint="eastAsia" w:asciiTheme="minorEastAsia" w:hAnsiTheme="minorEastAsia" w:eastAsiaTheme="minorEastAsia" w:cstheme="minorEastAsia"/>
                        <w:lang w:eastAsia="zh-CN"/>
                      </w:rPr>
                      <w:instrText xml:space="preserve"> PAGE  \* MERGEFORMAT </w:instrText>
                    </w:r>
                    <w:r>
                      <w:rPr>
                        <w:rFonts w:hint="eastAsia" w:asciiTheme="minorEastAsia" w:hAnsiTheme="minorEastAsia" w:eastAsiaTheme="minorEastAsia" w:cstheme="minorEastAsia"/>
                        <w:lang w:eastAsia="zh-CN"/>
                      </w:rPr>
                      <w:fldChar w:fldCharType="separate"/>
                    </w:r>
                    <w:r>
                      <w:rPr>
                        <w:rFonts w:hint="eastAsia" w:asciiTheme="minorEastAsia" w:hAnsiTheme="minorEastAsia" w:eastAsiaTheme="minorEastAsia" w:cstheme="minorEastAsia"/>
                        <w:lang w:eastAsia="zh-CN"/>
                      </w:rPr>
                      <w:t>4</w:t>
                    </w:r>
                    <w:r>
                      <w:rPr>
                        <w:rFonts w:hint="eastAsia" w:asciiTheme="minorEastAsia" w:hAnsiTheme="minorEastAsia" w:eastAsiaTheme="minorEastAsia" w:cstheme="minor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asciiTheme="minorEastAsia" w:hAnsiTheme="minorEastAsia" w:eastAsiaTheme="minorEastAsia" w:cstheme="minorEastAsia"/>
                              <w:lang w:eastAsia="zh-CN"/>
                            </w:rPr>
                            <w:fldChar w:fldCharType="begin"/>
                          </w:r>
                          <w:r>
                            <w:rPr>
                              <w:rFonts w:hint="eastAsia" w:asciiTheme="minorEastAsia" w:hAnsiTheme="minorEastAsia" w:eastAsiaTheme="minorEastAsia" w:cstheme="minorEastAsia"/>
                              <w:lang w:eastAsia="zh-CN"/>
                            </w:rPr>
                            <w:instrText xml:space="preserve"> PAGE  \* MERGEFORMAT </w:instrText>
                          </w:r>
                          <w:r>
                            <w:rPr>
                              <w:rFonts w:hint="eastAsia" w:asciiTheme="minorEastAsia" w:hAnsiTheme="minorEastAsia" w:eastAsiaTheme="minorEastAsia" w:cstheme="minorEastAsia"/>
                              <w:lang w:eastAsia="zh-CN"/>
                            </w:rPr>
                            <w:fldChar w:fldCharType="separate"/>
                          </w:r>
                          <w:r>
                            <w:rPr>
                              <w:rFonts w:hint="eastAsia" w:asciiTheme="minorEastAsia" w:hAnsiTheme="minorEastAsia" w:eastAsiaTheme="minorEastAsia" w:cstheme="minorEastAsia"/>
                              <w:lang w:eastAsia="zh-CN"/>
                            </w:rPr>
                            <w:t>4</w:t>
                          </w:r>
                          <w:r>
                            <w:rPr>
                              <w:rFonts w:hint="eastAsia" w:asciiTheme="minorEastAsia" w:hAnsiTheme="minorEastAsia" w:eastAsiaTheme="minorEastAsia" w:cstheme="minor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asciiTheme="minorEastAsia" w:hAnsiTheme="minorEastAsia" w:eastAsiaTheme="minorEastAsia" w:cstheme="minorEastAsia"/>
                        <w:lang w:eastAsia="zh-CN"/>
                      </w:rPr>
                      <w:fldChar w:fldCharType="begin"/>
                    </w:r>
                    <w:r>
                      <w:rPr>
                        <w:rFonts w:hint="eastAsia" w:asciiTheme="minorEastAsia" w:hAnsiTheme="minorEastAsia" w:eastAsiaTheme="minorEastAsia" w:cstheme="minorEastAsia"/>
                        <w:lang w:eastAsia="zh-CN"/>
                      </w:rPr>
                      <w:instrText xml:space="preserve"> PAGE  \* MERGEFORMAT </w:instrText>
                    </w:r>
                    <w:r>
                      <w:rPr>
                        <w:rFonts w:hint="eastAsia" w:asciiTheme="minorEastAsia" w:hAnsiTheme="minorEastAsia" w:eastAsiaTheme="minorEastAsia" w:cstheme="minorEastAsia"/>
                        <w:lang w:eastAsia="zh-CN"/>
                      </w:rPr>
                      <w:fldChar w:fldCharType="separate"/>
                    </w:r>
                    <w:r>
                      <w:rPr>
                        <w:rFonts w:hint="eastAsia" w:asciiTheme="minorEastAsia" w:hAnsiTheme="minorEastAsia" w:eastAsiaTheme="minorEastAsia" w:cstheme="minorEastAsia"/>
                        <w:lang w:eastAsia="zh-CN"/>
                      </w:rPr>
                      <w:t>4</w:t>
                    </w:r>
                    <w:r>
                      <w:rPr>
                        <w:rFonts w:hint="eastAsia" w:asciiTheme="minorEastAsia" w:hAnsiTheme="minorEastAsia" w:eastAsiaTheme="minorEastAsia" w:cstheme="minorEastAsia"/>
                        <w:lang w:eastAsia="zh-C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hint="eastAsia" w:ascii="黑体" w:hAnsi="黑体" w:eastAsia="黑体" w:cs="黑体"/>
        <w:sz w:val="21"/>
        <w:szCs w:val="21"/>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left"/>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DB34/T 5013—2024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hint="eastAsia" w:ascii="黑体" w:hAnsi="黑体" w:eastAsia="黑体" w:cs="黑体"/>
        <w:sz w:val="21"/>
        <w:szCs w:val="21"/>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left"/>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DB34/T 5013—2024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124BB8"/>
    <w:multiLevelType w:val="singleLevel"/>
    <w:tmpl w:val="89124BB8"/>
    <w:lvl w:ilvl="0" w:tentative="0">
      <w:start w:val="1"/>
      <w:numFmt w:val="decimal"/>
      <w:suff w:val="space"/>
      <w:lvlText w:val="%1."/>
      <w:lvlJc w:val="left"/>
      <w:rPr>
        <w:rFonts w:hint="default"/>
        <w:b/>
        <w:bCs/>
        <w:sz w:val="24"/>
        <w:szCs w:val="24"/>
      </w:rPr>
    </w:lvl>
  </w:abstractNum>
  <w:abstractNum w:abstractNumId="1">
    <w:nsid w:val="C4A72A31"/>
    <w:multiLevelType w:val="multilevel"/>
    <w:tmpl w:val="C4A72A31"/>
    <w:lvl w:ilvl="0" w:tentative="0">
      <w:start w:val="8"/>
      <w:numFmt w:val="decimal"/>
      <w:lvlText w:val="%1."/>
      <w:lvlJc w:val="left"/>
      <w:pPr>
        <w:ind w:left="425" w:hanging="425"/>
      </w:pPr>
      <w:rPr>
        <w:rFonts w:hint="default" w:ascii="宋体" w:hAnsi="宋体" w:eastAsia="宋体" w:cs="宋体"/>
      </w:rPr>
    </w:lvl>
    <w:lvl w:ilvl="1" w:tentative="0">
      <w:start w:val="1"/>
      <w:numFmt w:val="decimal"/>
      <w:pStyle w:val="17"/>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003C5D15"/>
    <w:multiLevelType w:val="singleLevel"/>
    <w:tmpl w:val="003C5D15"/>
    <w:lvl w:ilvl="0" w:tentative="0">
      <w:start w:val="2"/>
      <w:numFmt w:val="decimal"/>
      <w:suff w:val="space"/>
      <w:lvlText w:val="%1."/>
      <w:lvlJc w:val="left"/>
      <w:rPr>
        <w:rFonts w:hint="default" w:ascii="黑体" w:hAnsi="黑体" w:eastAsia="黑体" w:cs="黑体"/>
        <w:sz w:val="18"/>
        <w:szCs w:val="18"/>
      </w:rPr>
    </w:lvl>
  </w:abstractNum>
  <w:abstractNum w:abstractNumId="3">
    <w:nsid w:val="682CEA08"/>
    <w:multiLevelType w:val="singleLevel"/>
    <w:tmpl w:val="682CEA08"/>
    <w:lvl w:ilvl="0" w:tentative="0">
      <w:start w:val="1"/>
      <w:numFmt w:val="decimal"/>
      <w:suff w:val="space"/>
      <w:lvlText w:val="%1)"/>
      <w:lvlJc w:val="left"/>
      <w:pPr>
        <w:ind w:left="838"/>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TrueTypeFonts/>
  <w:saveSubsetFonts/>
  <w:bordersDoNotSurroundHeader w:val="0"/>
  <w:bordersDoNotSurroundFooter w:val="0"/>
  <w:documentProtection w:enforcement="0"/>
  <w:defaultTabStop w:val="420"/>
  <w:drawingGridHorizontalSpacing w:val="21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2OGFlZjdiMDkyMmU3Y2M3NGEzMmY5ODE2OTJlMzAifQ=="/>
  </w:docVars>
  <w:rsids>
    <w:rsidRoot w:val="78052231"/>
    <w:rsid w:val="007C13FD"/>
    <w:rsid w:val="027745E8"/>
    <w:rsid w:val="02874EDD"/>
    <w:rsid w:val="03345810"/>
    <w:rsid w:val="042E5A18"/>
    <w:rsid w:val="05FC1BFE"/>
    <w:rsid w:val="069466D0"/>
    <w:rsid w:val="07BB629E"/>
    <w:rsid w:val="07E64C1A"/>
    <w:rsid w:val="091461B7"/>
    <w:rsid w:val="09767162"/>
    <w:rsid w:val="09E12D1C"/>
    <w:rsid w:val="0A087F88"/>
    <w:rsid w:val="0A136A4D"/>
    <w:rsid w:val="0BFE5C75"/>
    <w:rsid w:val="0DC75F2C"/>
    <w:rsid w:val="0DF423DD"/>
    <w:rsid w:val="0E6243BE"/>
    <w:rsid w:val="0F751141"/>
    <w:rsid w:val="0F916533"/>
    <w:rsid w:val="0FEE61F4"/>
    <w:rsid w:val="0FFB6F5C"/>
    <w:rsid w:val="101F2996"/>
    <w:rsid w:val="110647BF"/>
    <w:rsid w:val="11765663"/>
    <w:rsid w:val="121C3523"/>
    <w:rsid w:val="13CA243A"/>
    <w:rsid w:val="14A8344F"/>
    <w:rsid w:val="152657A2"/>
    <w:rsid w:val="167030BE"/>
    <w:rsid w:val="1C8F3447"/>
    <w:rsid w:val="1C942C85"/>
    <w:rsid w:val="1CB27DB4"/>
    <w:rsid w:val="1D8340E1"/>
    <w:rsid w:val="1E031FD0"/>
    <w:rsid w:val="1E2F4C7C"/>
    <w:rsid w:val="1F685A1C"/>
    <w:rsid w:val="201C0D14"/>
    <w:rsid w:val="2215687B"/>
    <w:rsid w:val="22B41BB8"/>
    <w:rsid w:val="23336EE1"/>
    <w:rsid w:val="239250E0"/>
    <w:rsid w:val="24997EDA"/>
    <w:rsid w:val="24C55BCB"/>
    <w:rsid w:val="25A251B6"/>
    <w:rsid w:val="25B50FEB"/>
    <w:rsid w:val="26D50EEC"/>
    <w:rsid w:val="27142448"/>
    <w:rsid w:val="27B4085B"/>
    <w:rsid w:val="28066FEA"/>
    <w:rsid w:val="2B2419CA"/>
    <w:rsid w:val="2B494A7F"/>
    <w:rsid w:val="2B6E269A"/>
    <w:rsid w:val="2C071BC7"/>
    <w:rsid w:val="2C0D0C30"/>
    <w:rsid w:val="2C0E3AFA"/>
    <w:rsid w:val="2C8D0DD5"/>
    <w:rsid w:val="2D316F98"/>
    <w:rsid w:val="2E481E96"/>
    <w:rsid w:val="2F5608DF"/>
    <w:rsid w:val="30004AB6"/>
    <w:rsid w:val="30387DCD"/>
    <w:rsid w:val="317D336E"/>
    <w:rsid w:val="31884A7B"/>
    <w:rsid w:val="32B633F8"/>
    <w:rsid w:val="333B2BC9"/>
    <w:rsid w:val="337740AD"/>
    <w:rsid w:val="33FC43FD"/>
    <w:rsid w:val="34AF6E08"/>
    <w:rsid w:val="36F576A5"/>
    <w:rsid w:val="38457079"/>
    <w:rsid w:val="3A2805CF"/>
    <w:rsid w:val="3A466E59"/>
    <w:rsid w:val="3B542F11"/>
    <w:rsid w:val="404A1CE1"/>
    <w:rsid w:val="40DE0D99"/>
    <w:rsid w:val="418C10DF"/>
    <w:rsid w:val="43703075"/>
    <w:rsid w:val="43EB75D1"/>
    <w:rsid w:val="44B85A36"/>
    <w:rsid w:val="455024BA"/>
    <w:rsid w:val="45F53E03"/>
    <w:rsid w:val="45F91256"/>
    <w:rsid w:val="483B7E12"/>
    <w:rsid w:val="48BD1BF8"/>
    <w:rsid w:val="48CE063F"/>
    <w:rsid w:val="49CC42BC"/>
    <w:rsid w:val="49EC60FB"/>
    <w:rsid w:val="4B4B1550"/>
    <w:rsid w:val="4BFF8B99"/>
    <w:rsid w:val="4C43422B"/>
    <w:rsid w:val="4FCC28F6"/>
    <w:rsid w:val="4FDE12A0"/>
    <w:rsid w:val="4FDF498B"/>
    <w:rsid w:val="50034572"/>
    <w:rsid w:val="50212524"/>
    <w:rsid w:val="50F931A1"/>
    <w:rsid w:val="51FE72CE"/>
    <w:rsid w:val="53A50D80"/>
    <w:rsid w:val="542B73BE"/>
    <w:rsid w:val="54E64E10"/>
    <w:rsid w:val="558E0836"/>
    <w:rsid w:val="55956F5D"/>
    <w:rsid w:val="563920C4"/>
    <w:rsid w:val="564254E6"/>
    <w:rsid w:val="572801CB"/>
    <w:rsid w:val="588378CE"/>
    <w:rsid w:val="5A766C7B"/>
    <w:rsid w:val="5D491244"/>
    <w:rsid w:val="5DA401C9"/>
    <w:rsid w:val="5EA14BAE"/>
    <w:rsid w:val="5EB82997"/>
    <w:rsid w:val="5F5B7E65"/>
    <w:rsid w:val="5F90137A"/>
    <w:rsid w:val="614D0544"/>
    <w:rsid w:val="618065DA"/>
    <w:rsid w:val="61940AFE"/>
    <w:rsid w:val="61E136C9"/>
    <w:rsid w:val="62DE0E39"/>
    <w:rsid w:val="64C461A2"/>
    <w:rsid w:val="663F4863"/>
    <w:rsid w:val="677D5355"/>
    <w:rsid w:val="67D01E34"/>
    <w:rsid w:val="680A4F19"/>
    <w:rsid w:val="68755F4C"/>
    <w:rsid w:val="698015A0"/>
    <w:rsid w:val="6A87061B"/>
    <w:rsid w:val="6AAF5CB6"/>
    <w:rsid w:val="6BA15AA4"/>
    <w:rsid w:val="6C0B0ECA"/>
    <w:rsid w:val="6C7C1960"/>
    <w:rsid w:val="6CDF4BAF"/>
    <w:rsid w:val="6CF951C2"/>
    <w:rsid w:val="6DB71E59"/>
    <w:rsid w:val="6DD6A431"/>
    <w:rsid w:val="6FA50C07"/>
    <w:rsid w:val="70567762"/>
    <w:rsid w:val="70A9349E"/>
    <w:rsid w:val="73417BBF"/>
    <w:rsid w:val="73DF7117"/>
    <w:rsid w:val="73E41412"/>
    <w:rsid w:val="741E2CE8"/>
    <w:rsid w:val="742902FC"/>
    <w:rsid w:val="75125328"/>
    <w:rsid w:val="753B71E0"/>
    <w:rsid w:val="75630EEB"/>
    <w:rsid w:val="7568752C"/>
    <w:rsid w:val="7581391F"/>
    <w:rsid w:val="75D352B0"/>
    <w:rsid w:val="77BA0AAD"/>
    <w:rsid w:val="77E90C16"/>
    <w:rsid w:val="78052231"/>
    <w:rsid w:val="7943134E"/>
    <w:rsid w:val="7A3808BF"/>
    <w:rsid w:val="7C341EC5"/>
    <w:rsid w:val="7C420926"/>
    <w:rsid w:val="7C4D7604"/>
    <w:rsid w:val="7E3F328C"/>
    <w:rsid w:val="DED78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8"/>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widowControl/>
      <w:spacing w:before="100" w:beforeAutospacing="1" w:after="100" w:afterAutospacing="1"/>
      <w:jc w:val="center"/>
      <w:outlineLvl w:val="0"/>
    </w:pPr>
    <w:rPr>
      <w:rFonts w:ascii="宋体" w:hAnsi="宋体" w:eastAsia="宋体" w:cs="宋体"/>
      <w:b/>
      <w:bCs/>
      <w:kern w:val="36"/>
      <w:sz w:val="28"/>
    </w:rPr>
  </w:style>
  <w:style w:type="paragraph" w:styleId="4">
    <w:name w:val="heading 2"/>
    <w:basedOn w:val="1"/>
    <w:next w:val="1"/>
    <w:unhideWhenUsed/>
    <w:qFormat/>
    <w:uiPriority w:val="9"/>
    <w:pPr>
      <w:keepNext/>
      <w:keepLines/>
      <w:spacing w:before="260" w:after="260" w:line="416" w:lineRule="auto"/>
      <w:jc w:val="center"/>
      <w:outlineLvl w:val="1"/>
    </w:pPr>
    <w:rPr>
      <w:rFonts w:ascii="Cambria" w:hAnsi="Cambria" w:eastAsia="宋体" w:cs="Times New Roman"/>
      <w:b/>
      <w:bCs/>
      <w:sz w:val="30"/>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semiHidden/>
    <w:unhideWhenUsed/>
    <w:qFormat/>
    <w:uiPriority w:val="99"/>
    <w:pPr>
      <w:autoSpaceDE w:val="0"/>
      <w:autoSpaceDN w:val="0"/>
      <w:jc w:val="left"/>
    </w:pPr>
    <w:rPr>
      <w:rFonts w:ascii="宋体" w:hAnsi="宋体" w:eastAsia="宋体" w:cs="宋体"/>
      <w:szCs w:val="21"/>
      <w:lang w:val="zh-CN"/>
    </w:rPr>
  </w:style>
  <w:style w:type="paragraph" w:styleId="5">
    <w:name w:val="Body Text Indent"/>
    <w:basedOn w:val="1"/>
    <w:qFormat/>
    <w:uiPriority w:val="99"/>
    <w:pPr>
      <w:ind w:firstLine="600" w:firstLineChars="250"/>
    </w:pPr>
    <w:rPr>
      <w:sz w:val="24"/>
    </w:rPr>
  </w:style>
  <w:style w:type="paragraph" w:styleId="6">
    <w:name w:val="Plain Text"/>
    <w:basedOn w:val="1"/>
    <w:qFormat/>
    <w:uiPriority w:val="99"/>
    <w:pPr>
      <w:adjustRightInd w:val="0"/>
      <w:spacing w:line="312" w:lineRule="atLeast"/>
      <w:textAlignment w:val="baseline"/>
    </w:pPr>
    <w:rPr>
      <w:rFonts w:ascii="宋体" w:hAnsi="Courier New"/>
      <w:kern w:val="0"/>
      <w:szCs w:val="20"/>
    </w:rPr>
  </w:style>
  <w:style w:type="paragraph" w:styleId="7">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296"/>
      </w:tabs>
    </w:pPr>
    <w:rPr>
      <w:rFonts w:ascii="仿宋" w:hAnsi="仿宋" w:eastAsia="宋体" w:cs="Times New Roman"/>
      <w:kern w:val="0"/>
      <w:sz w:val="24"/>
      <w:szCs w:val="24"/>
      <w:lang w:val="zh-CN" w:bidi="zh-CN"/>
    </w:rPr>
  </w:style>
  <w:style w:type="paragraph" w:styleId="10">
    <w:name w:val="toc 2"/>
    <w:basedOn w:val="1"/>
    <w:next w:val="1"/>
    <w:unhideWhenUsed/>
    <w:qFormat/>
    <w:uiPriority w:val="39"/>
    <w:pPr>
      <w:ind w:left="420" w:leftChars="200"/>
    </w:pPr>
    <w:rPr>
      <w:szCs w:val="22"/>
    </w:rPr>
  </w:style>
  <w:style w:type="paragraph" w:styleId="11">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12">
    <w:name w:val="Body Text First Indent 2"/>
    <w:basedOn w:val="5"/>
    <w:qFormat/>
    <w:uiPriority w:val="99"/>
    <w:pPr>
      <w:ind w:firstLine="420"/>
    </w:pPr>
    <w:rPr>
      <w:rFonts w:ascii="仿宋_GB2312" w:eastAsia="仿宋_GB2312" w:cs="仿宋_GB2312"/>
      <w:sz w:val="32"/>
      <w:szCs w:val="32"/>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paragraph" w:customStyle="1" w:styleId="17">
    <w:name w:val="1.1"/>
    <w:basedOn w:val="1"/>
    <w:next w:val="1"/>
    <w:qFormat/>
    <w:uiPriority w:val="0"/>
    <w:pPr>
      <w:keepNext/>
      <w:keepLines/>
      <w:numPr>
        <w:ilvl w:val="1"/>
        <w:numId w:val="1"/>
      </w:numPr>
      <w:spacing w:before="260" w:beforeLines="0" w:after="260" w:afterLines="0" w:line="413" w:lineRule="auto"/>
      <w:ind w:left="567" w:hanging="567"/>
      <w:outlineLvl w:val="1"/>
    </w:pPr>
    <w:rPr>
      <w:rFonts w:hint="eastAsia" w:ascii="Arial" w:hAnsi="Arial" w:eastAsia="黑体" w:cs="Times New Roman"/>
      <w:b/>
      <w:sz w:val="32"/>
      <w:szCs w:val="22"/>
    </w:rPr>
  </w:style>
  <w:style w:type="character" w:customStyle="1" w:styleId="18">
    <w:name w:val="NormalCharacter"/>
    <w:link w:val="1"/>
    <w:semiHidden/>
    <w:qFormat/>
    <w:uiPriority w:val="0"/>
    <w:rPr>
      <w:rFonts w:asciiTheme="minorHAnsi" w:hAnsiTheme="minorHAnsi" w:eastAsiaTheme="minorEastAsia" w:cstheme="minorBidi"/>
      <w:kern w:val="2"/>
      <w:sz w:val="21"/>
      <w:szCs w:val="24"/>
      <w:lang w:val="en-US" w:eastAsia="zh-CN" w:bidi="ar-SA"/>
    </w:rPr>
  </w:style>
  <w:style w:type="paragraph" w:customStyle="1" w:styleId="19">
    <w:name w:val="BodyText1I2"/>
    <w:basedOn w:val="20"/>
    <w:qFormat/>
    <w:uiPriority w:val="0"/>
    <w:pPr>
      <w:spacing w:line="240" w:lineRule="auto"/>
      <w:ind w:left="420" w:leftChars="200" w:firstLine="420" w:firstLineChars="200"/>
      <w:jc w:val="both"/>
      <w:textAlignment w:val="baseline"/>
    </w:pPr>
  </w:style>
  <w:style w:type="paragraph" w:customStyle="1" w:styleId="20">
    <w:name w:val="BodyTextIndent"/>
    <w:basedOn w:val="1"/>
    <w:next w:val="21"/>
    <w:qFormat/>
    <w:uiPriority w:val="0"/>
    <w:pPr>
      <w:spacing w:line="360" w:lineRule="auto"/>
      <w:ind w:firstLine="480" w:firstLineChars="200"/>
      <w:jc w:val="both"/>
      <w:textAlignment w:val="baseline"/>
    </w:pPr>
    <w:rPr>
      <w:rFonts w:ascii="Arial"/>
      <w:kern w:val="2"/>
      <w:sz w:val="24"/>
      <w:szCs w:val="24"/>
      <w:lang w:val="en-US" w:eastAsia="zh-CN" w:bidi="ar-SA"/>
    </w:rPr>
  </w:style>
  <w:style w:type="paragraph" w:customStyle="1" w:styleId="21">
    <w:name w:val="EnvelopeReturn"/>
    <w:basedOn w:val="1"/>
    <w:next w:val="22"/>
    <w:qFormat/>
    <w:uiPriority w:val="0"/>
    <w:pPr>
      <w:snapToGrid w:val="0"/>
      <w:jc w:val="both"/>
      <w:textAlignment w:val="baseline"/>
    </w:pPr>
    <w:rPr>
      <w:rFonts w:ascii="Arial" w:hAnsi="Arial"/>
      <w:kern w:val="2"/>
      <w:sz w:val="21"/>
      <w:szCs w:val="24"/>
      <w:lang w:val="en-US" w:eastAsia="zh-CN" w:bidi="ar-SA"/>
    </w:rPr>
  </w:style>
  <w:style w:type="paragraph" w:customStyle="1" w:styleId="22">
    <w:name w:val="BodyText"/>
    <w:basedOn w:val="1"/>
    <w:qFormat/>
    <w:uiPriority w:val="0"/>
    <w:pPr>
      <w:spacing w:after="120"/>
      <w:jc w:val="both"/>
      <w:textAlignment w:val="baseline"/>
    </w:pPr>
  </w:style>
  <w:style w:type="paragraph" w:customStyle="1" w:styleId="23">
    <w:name w:val="Body text|1"/>
    <w:basedOn w:val="1"/>
    <w:qFormat/>
    <w:uiPriority w:val="0"/>
    <w:pPr>
      <w:spacing w:line="334" w:lineRule="auto"/>
      <w:ind w:firstLine="400"/>
      <w:jc w:val="left"/>
    </w:pPr>
    <w:rPr>
      <w:rFonts w:ascii="宋体" w:hAnsi="宋体" w:eastAsia="宋体" w:cs="宋体"/>
      <w:color w:val="393939"/>
      <w:kern w:val="0"/>
      <w:sz w:val="20"/>
      <w:szCs w:val="20"/>
      <w:lang w:val="zh-TW" w:eastAsia="zh-TW" w:bidi="zh-TW"/>
    </w:rPr>
  </w:style>
  <w:style w:type="paragraph" w:customStyle="1" w:styleId="24">
    <w:name w:val="Other|1"/>
    <w:basedOn w:val="1"/>
    <w:qFormat/>
    <w:uiPriority w:val="0"/>
    <w:pPr>
      <w:shd w:val="clear" w:color="auto" w:fill="FFFFFF"/>
      <w:spacing w:line="420" w:lineRule="auto"/>
      <w:ind w:firstLine="400"/>
      <w:jc w:val="left"/>
    </w:pPr>
    <w:rPr>
      <w:rFonts w:ascii="宋体" w:hAnsi="宋体" w:eastAsia="宋体" w:cs="宋体"/>
      <w:kern w:val="0"/>
      <w:sz w:val="20"/>
      <w:szCs w:val="20"/>
      <w:lang w:val="zh-CN" w:bidi="zh-CN"/>
    </w:rPr>
  </w:style>
  <w:style w:type="paragraph" w:customStyle="1" w:styleId="25">
    <w:name w:val="Table caption|1"/>
    <w:basedOn w:val="1"/>
    <w:qFormat/>
    <w:uiPriority w:val="0"/>
    <w:pPr>
      <w:shd w:val="clear" w:color="auto" w:fill="FFFFFF"/>
      <w:spacing w:line="484" w:lineRule="exact"/>
      <w:ind w:firstLine="560"/>
      <w:jc w:val="left"/>
    </w:pPr>
    <w:rPr>
      <w:rFonts w:ascii="宋体" w:hAnsi="宋体" w:eastAsia="宋体" w:cs="宋体"/>
      <w:kern w:val="0"/>
      <w:sz w:val="20"/>
      <w:szCs w:val="20"/>
      <w:lang w:val="zh-CN" w:bidi="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List Paragraph"/>
    <w:basedOn w:val="1"/>
    <w:qFormat/>
    <w:uiPriority w:val="99"/>
    <w:pPr>
      <w:ind w:firstLine="420" w:firstLineChars="200"/>
    </w:pPr>
  </w:style>
  <w:style w:type="paragraph" w:customStyle="1" w:styleId="2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9302ae3-c4c0-4c35-86fe-d496c5985520}"/>
        <w:style w:val=""/>
        <w:category>
          <w:name w:val="常规"/>
          <w:gallery w:val="placeholder"/>
        </w:category>
        <w:types>
          <w:type w:val="bbPlcHdr"/>
        </w:types>
        <w:behaviors>
          <w:behavior w:val="content"/>
        </w:behaviors>
        <w:description w:val=""/>
        <w:guid w:val="{d9302ae3-c4c0-4c35-86fe-d496c5985520}"/>
      </w:docPartPr>
      <w:docPartBody>
        <w:p>
          <w:r>
            <w:rPr>
              <w:color w:val="808080"/>
            </w:rPr>
            <w:t>单击此处输入文字。</w:t>
          </w:r>
        </w:p>
      </w:docPartBody>
    </w:docPart>
    <w:docPart>
      <w:docPartPr>
        <w:name w:val="{7a209852-10b3-4398-b6ed-a08d75bab041}"/>
        <w:style w:val=""/>
        <w:category>
          <w:name w:val="常规"/>
          <w:gallery w:val="placeholder"/>
        </w:category>
        <w:types>
          <w:type w:val="bbPlcHdr"/>
        </w:types>
        <w:behaviors>
          <w:behavior w:val="content"/>
        </w:behaviors>
        <w:description w:val=""/>
        <w:guid w:val="{7a209852-10b3-4398-b6ed-a08d75bab041}"/>
      </w:docPartPr>
      <w:docPartBody>
        <w:p>
          <w:r>
            <w:rPr>
              <w:color w:val="808080"/>
            </w:rPr>
            <w:t>单击此处输入文字。</w:t>
          </w:r>
        </w:p>
      </w:docPartBody>
    </w:docPart>
    <w:docPart>
      <w:docPartPr>
        <w:name w:val="{d6dccb6b-2f93-45f3-87ec-3c872259c6b1}"/>
        <w:style w:val=""/>
        <w:category>
          <w:name w:val="常规"/>
          <w:gallery w:val="placeholder"/>
        </w:category>
        <w:types>
          <w:type w:val="bbPlcHdr"/>
        </w:types>
        <w:behaviors>
          <w:behavior w:val="content"/>
        </w:behaviors>
        <w:description w:val=""/>
        <w:guid w:val="{d6dccb6b-2f93-45f3-87ec-3c872259c6b1}"/>
      </w:docPartPr>
      <w:docPartBody>
        <w:p>
          <w:r>
            <w:rPr>
              <w:color w:val="808080"/>
            </w:rPr>
            <w:t>单击此处输入文字。</w:t>
          </w:r>
        </w:p>
      </w:docPartBody>
    </w:docPart>
    <w:docPart>
      <w:docPartPr>
        <w:name w:val="{1c1eec02-0222-4975-8313-9e33793fe1c6}"/>
        <w:style w:val=""/>
        <w:category>
          <w:name w:val="常规"/>
          <w:gallery w:val="placeholder"/>
        </w:category>
        <w:types>
          <w:type w:val="bbPlcHdr"/>
        </w:types>
        <w:behaviors>
          <w:behavior w:val="content"/>
        </w:behaviors>
        <w:description w:val=""/>
        <w:guid w:val="{1c1eec02-0222-4975-8313-9e33793fe1c6}"/>
      </w:docPartPr>
      <w:docPartBody>
        <w:p>
          <w:r>
            <w:rPr>
              <w:color w:val="808080"/>
            </w:rPr>
            <w:t>单击此处输入文字。</w:t>
          </w:r>
        </w:p>
      </w:docPartBody>
    </w:docPart>
    <w:docPart>
      <w:docPartPr>
        <w:name w:val="{90dfa27d-3b17-4564-9124-6098d79b8014}"/>
        <w:style w:val=""/>
        <w:category>
          <w:name w:val="常规"/>
          <w:gallery w:val="placeholder"/>
        </w:category>
        <w:types>
          <w:type w:val="bbPlcHdr"/>
        </w:types>
        <w:behaviors>
          <w:behavior w:val="content"/>
        </w:behaviors>
        <w:description w:val=""/>
        <w:guid w:val="{90dfa27d-3b17-4564-9124-6098d79b8014}"/>
      </w:docPartPr>
      <w:docPartBody>
        <w:p>
          <w:r>
            <w:rPr>
              <w:color w:val="808080"/>
            </w:rPr>
            <w:t>单击此处输入文字。</w:t>
          </w:r>
        </w:p>
      </w:docPartBody>
    </w:docPart>
    <w:docPart>
      <w:docPartPr>
        <w:name w:val="{1254ff5b-904f-4954-83d3-5285fb188d27}"/>
        <w:style w:val=""/>
        <w:category>
          <w:name w:val="常规"/>
          <w:gallery w:val="placeholder"/>
        </w:category>
        <w:types>
          <w:type w:val="bbPlcHdr"/>
        </w:types>
        <w:behaviors>
          <w:behavior w:val="content"/>
        </w:behaviors>
        <w:description w:val=""/>
        <w:guid w:val="{1254ff5b-904f-4954-83d3-5285fb188d27}"/>
      </w:docPartPr>
      <w:docPartBody>
        <w:p>
          <w:r>
            <w:rPr>
              <w:color w:val="808080"/>
            </w:rPr>
            <w:t>单击此处输入文字。</w:t>
          </w:r>
        </w:p>
      </w:docPartBody>
    </w:docPart>
    <w:docPart>
      <w:docPartPr>
        <w:name w:val="{4da748e5-e82c-4450-8716-61562bd51802}"/>
        <w:style w:val=""/>
        <w:category>
          <w:name w:val="常规"/>
          <w:gallery w:val="placeholder"/>
        </w:category>
        <w:types>
          <w:type w:val="bbPlcHdr"/>
        </w:types>
        <w:behaviors>
          <w:behavior w:val="content"/>
        </w:behaviors>
        <w:description w:val=""/>
        <w:guid w:val="{4da748e5-e82c-4450-8716-61562bd51802}"/>
      </w:docPartPr>
      <w:docPartBody>
        <w:p>
          <w:r>
            <w:rPr>
              <w:color w:val="808080"/>
            </w:rPr>
            <w:t>单击此处输入文字。</w:t>
          </w:r>
        </w:p>
      </w:docPartBody>
    </w:docPart>
    <w:docPart>
      <w:docPartPr>
        <w:name w:val="{48c4395c-67dd-440d-a9f5-b872152ee16a}"/>
        <w:style w:val=""/>
        <w:category>
          <w:name w:val="常规"/>
          <w:gallery w:val="placeholder"/>
        </w:category>
        <w:types>
          <w:type w:val="bbPlcHdr"/>
        </w:types>
        <w:behaviors>
          <w:behavior w:val="content"/>
        </w:behaviors>
        <w:description w:val=""/>
        <w:guid w:val="{48c4395c-67dd-440d-a9f5-b872152ee16a}"/>
      </w:docPartPr>
      <w:docPartBody>
        <w:p>
          <w:r>
            <w:rPr>
              <w:color w:val="808080"/>
            </w:rPr>
            <w:t>单击此处输入文字。</w:t>
          </w:r>
        </w:p>
      </w:docPartBody>
    </w:docPart>
    <w:docPart>
      <w:docPartPr>
        <w:name w:val="{e4e43cbb-1b51-4db5-bc82-5baf1f723838}"/>
        <w:style w:val=""/>
        <w:category>
          <w:name w:val="常规"/>
          <w:gallery w:val="placeholder"/>
        </w:category>
        <w:types>
          <w:type w:val="bbPlcHdr"/>
        </w:types>
        <w:behaviors>
          <w:behavior w:val="content"/>
        </w:behaviors>
        <w:description w:val=""/>
        <w:guid w:val="{e4e43cbb-1b51-4db5-bc82-5baf1f723838}"/>
      </w:docPartPr>
      <w:docPartBody>
        <w:p>
          <w:r>
            <w:rPr>
              <w:color w:val="808080"/>
            </w:rPr>
            <w:t>单击此处输入文字。</w:t>
          </w:r>
        </w:p>
      </w:docPartBody>
    </w:docPart>
    <w:docPart>
      <w:docPartPr>
        <w:name w:val="{0ff73b00-96dc-4ed6-96d4-0ce8b62bd0bf}"/>
        <w:style w:val=""/>
        <w:category>
          <w:name w:val="常规"/>
          <w:gallery w:val="placeholder"/>
        </w:category>
        <w:types>
          <w:type w:val="bbPlcHdr"/>
        </w:types>
        <w:behaviors>
          <w:behavior w:val="content"/>
        </w:behaviors>
        <w:description w:val=""/>
        <w:guid w:val="{0ff73b00-96dc-4ed6-96d4-0ce8b62bd0bf}"/>
      </w:docPartPr>
      <w:docPartBody>
        <w:p>
          <w:r>
            <w:rPr>
              <w:color w:val="808080"/>
            </w:rPr>
            <w:t>单击此处输入文字。</w:t>
          </w:r>
        </w:p>
      </w:docPartBody>
    </w:docPart>
    <w:docPart>
      <w:docPartPr>
        <w:name w:val="{83bf41c6-d49c-4105-9f99-f413da413f20}"/>
        <w:style w:val=""/>
        <w:category>
          <w:name w:val="常规"/>
          <w:gallery w:val="placeholder"/>
        </w:category>
        <w:types>
          <w:type w:val="bbPlcHdr"/>
        </w:types>
        <w:behaviors>
          <w:behavior w:val="content"/>
        </w:behaviors>
        <w:description w:val=""/>
        <w:guid w:val="{83bf41c6-d49c-4105-9f99-f413da413f20}"/>
      </w:docPartPr>
      <w:docPartBody>
        <w:p>
          <w:r>
            <w:rPr>
              <w:color w:val="808080"/>
            </w:rPr>
            <w:t>单击此处输入文字。</w:t>
          </w:r>
        </w:p>
      </w:docPartBody>
    </w:docPart>
    <w:docPart>
      <w:docPartPr>
        <w:name w:val="{baf52e2d-a839-42d8-aeb4-2428516f2182}"/>
        <w:style w:val=""/>
        <w:category>
          <w:name w:val="常规"/>
          <w:gallery w:val="placeholder"/>
        </w:category>
        <w:types>
          <w:type w:val="bbPlcHdr"/>
        </w:types>
        <w:behaviors>
          <w:behavior w:val="content"/>
        </w:behaviors>
        <w:description w:val=""/>
        <w:guid w:val="{baf52e2d-a839-42d8-aeb4-2428516f2182}"/>
      </w:docPartPr>
      <w:docPartBody>
        <w:p>
          <w:r>
            <w:rPr>
              <w:color w:val="808080"/>
            </w:rPr>
            <w:t>单击此处输入文字。</w:t>
          </w:r>
        </w:p>
      </w:docPartBody>
    </w:docPart>
    <w:docPart>
      <w:docPartPr>
        <w:name w:val="{d9c4dcf7-0415-49ee-8c2f-6244298cf9cc}"/>
        <w:style w:val=""/>
        <w:category>
          <w:name w:val="常规"/>
          <w:gallery w:val="placeholder"/>
        </w:category>
        <w:types>
          <w:type w:val="bbPlcHdr"/>
        </w:types>
        <w:behaviors>
          <w:behavior w:val="content"/>
        </w:behaviors>
        <w:description w:val=""/>
        <w:guid w:val="{d9c4dcf7-0415-49ee-8c2f-6244298cf9cc}"/>
      </w:docPartPr>
      <w:docPartBody>
        <w:p>
          <w:r>
            <w:rPr>
              <w:color w:val="808080"/>
            </w:rPr>
            <w:t>单击此处输入文字。</w:t>
          </w:r>
        </w:p>
      </w:docPartBody>
    </w:docPart>
    <w:docPart>
      <w:docPartPr>
        <w:name w:val="{e3a82618-56f4-450d-9ee7-53db687fdb0c}"/>
        <w:style w:val=""/>
        <w:category>
          <w:name w:val="常规"/>
          <w:gallery w:val="placeholder"/>
        </w:category>
        <w:types>
          <w:type w:val="bbPlcHdr"/>
        </w:types>
        <w:behaviors>
          <w:behavior w:val="content"/>
        </w:behaviors>
        <w:description w:val=""/>
        <w:guid w:val="{e3a82618-56f4-450d-9ee7-53db687fdb0c}"/>
      </w:docPartPr>
      <w:docPartBody>
        <w:p>
          <w:r>
            <w:rPr>
              <w:color w:val="808080"/>
            </w:rPr>
            <w:t>单击此处输入文字。</w:t>
          </w:r>
        </w:p>
      </w:docPartBody>
    </w:docPart>
    <w:docPart>
      <w:docPartPr>
        <w:name w:val="{89dfca75-2d1f-41ac-be49-63aa5e7777d0}"/>
        <w:style w:val=""/>
        <w:category>
          <w:name w:val="常规"/>
          <w:gallery w:val="placeholder"/>
        </w:category>
        <w:types>
          <w:type w:val="bbPlcHdr"/>
        </w:types>
        <w:behaviors>
          <w:behavior w:val="content"/>
        </w:behaviors>
        <w:description w:val=""/>
        <w:guid w:val="{89dfca75-2d1f-41ac-be49-63aa5e7777d0}"/>
      </w:docPartPr>
      <w:docPartBody>
        <w:p>
          <w:r>
            <w:rPr>
              <w:color w:val="808080"/>
            </w:rPr>
            <w:t>单击此处输入文字。</w:t>
          </w:r>
        </w:p>
      </w:docPartBody>
    </w:docPart>
    <w:docPart>
      <w:docPartPr>
        <w:name w:val="{46d83c94-2620-4c86-aab5-ab945450f0f5}"/>
        <w:style w:val=""/>
        <w:category>
          <w:name w:val="常规"/>
          <w:gallery w:val="placeholder"/>
        </w:category>
        <w:types>
          <w:type w:val="bbPlcHdr"/>
        </w:types>
        <w:behaviors>
          <w:behavior w:val="content"/>
        </w:behaviors>
        <w:description w:val=""/>
        <w:guid w:val="{46d83c94-2620-4c86-aab5-ab945450f0f5}"/>
      </w:docPartPr>
      <w:docPartBody>
        <w:p>
          <w:r>
            <w:rPr>
              <w:color w:val="808080"/>
            </w:rPr>
            <w:t>单击此处输入文字。</w:t>
          </w:r>
        </w:p>
      </w:docPartBody>
    </w:docPart>
    <w:docPart>
      <w:docPartPr>
        <w:name w:val="{75e89695-4553-440c-9ec6-e4e32764c883}"/>
        <w:style w:val=""/>
        <w:category>
          <w:name w:val="常规"/>
          <w:gallery w:val="placeholder"/>
        </w:category>
        <w:types>
          <w:type w:val="bbPlcHdr"/>
        </w:types>
        <w:behaviors>
          <w:behavior w:val="content"/>
        </w:behaviors>
        <w:description w:val=""/>
        <w:guid w:val="{75e89695-4553-440c-9ec6-e4e32764c883}"/>
      </w:docPartPr>
      <w:docPartBody>
        <w:p>
          <w:r>
            <w:rPr>
              <w:color w:val="808080"/>
            </w:rPr>
            <w:t>单击此处输入文字。</w:t>
          </w:r>
        </w:p>
      </w:docPartBody>
    </w:docPart>
    <w:docPart>
      <w:docPartPr>
        <w:name w:val="{6ddf43a6-c23a-47f4-9ae9-4cbe5aeaa625}"/>
        <w:style w:val=""/>
        <w:category>
          <w:name w:val="常规"/>
          <w:gallery w:val="placeholder"/>
        </w:category>
        <w:types>
          <w:type w:val="bbPlcHdr"/>
        </w:types>
        <w:behaviors>
          <w:behavior w:val="content"/>
        </w:behaviors>
        <w:description w:val=""/>
        <w:guid w:val="{6ddf43a6-c23a-47f4-9ae9-4cbe5aeaa625}"/>
      </w:docPartPr>
      <w:docPartBody>
        <w:p>
          <w:r>
            <w:rPr>
              <w:color w:val="808080"/>
            </w:rPr>
            <w:t>单击此处输入文字。</w:t>
          </w:r>
        </w:p>
      </w:docPartBody>
    </w:docPart>
    <w:docPart>
      <w:docPartPr>
        <w:name w:val="{c0ee08ae-afdc-4611-a1f9-e8f4a8eeaafe}"/>
        <w:style w:val=""/>
        <w:category>
          <w:name w:val="常规"/>
          <w:gallery w:val="placeholder"/>
        </w:category>
        <w:types>
          <w:type w:val="bbPlcHdr"/>
        </w:types>
        <w:behaviors>
          <w:behavior w:val="content"/>
        </w:behaviors>
        <w:description w:val=""/>
        <w:guid w:val="{c0ee08ae-afdc-4611-a1f9-e8f4a8eeaafe}"/>
      </w:docPartPr>
      <w:docPartBody>
        <w:p>
          <w:r>
            <w:rPr>
              <w:color w:val="808080"/>
            </w:rPr>
            <w:t>单击此处输入文字。</w:t>
          </w:r>
        </w:p>
      </w:docPartBody>
    </w:docPart>
    <w:docPart>
      <w:docPartPr>
        <w:name w:val="{820b386e-ed34-48e4-9ff5-d1921527b0c9}"/>
        <w:style w:val=""/>
        <w:category>
          <w:name w:val="常规"/>
          <w:gallery w:val="placeholder"/>
        </w:category>
        <w:types>
          <w:type w:val="bbPlcHdr"/>
        </w:types>
        <w:behaviors>
          <w:behavior w:val="content"/>
        </w:behaviors>
        <w:description w:val=""/>
        <w:guid w:val="{820b386e-ed34-48e4-9ff5-d1921527b0c9}"/>
      </w:docPartPr>
      <w:docPartBody>
        <w:p>
          <w:r>
            <w:rPr>
              <w:color w:val="808080"/>
            </w:rPr>
            <w:t>单击此处输入文字。</w:t>
          </w:r>
        </w:p>
      </w:docPartBody>
    </w:docPart>
    <w:docPart>
      <w:docPartPr>
        <w:name w:val="{b20e7c38-d55f-4527-9227-64a034488ed3}"/>
        <w:style w:val=""/>
        <w:category>
          <w:name w:val="常规"/>
          <w:gallery w:val="placeholder"/>
        </w:category>
        <w:types>
          <w:type w:val="bbPlcHdr"/>
        </w:types>
        <w:behaviors>
          <w:behavior w:val="content"/>
        </w:behaviors>
        <w:description w:val=""/>
        <w:guid w:val="{b20e7c38-d55f-4527-9227-64a034488ed3}"/>
      </w:docPartPr>
      <w:docPartBody>
        <w:p>
          <w:r>
            <w:rPr>
              <w:color w:val="808080"/>
            </w:rPr>
            <w:t>单击此处输入文字。</w:t>
          </w:r>
        </w:p>
      </w:docPartBody>
    </w:docPart>
    <w:docPart>
      <w:docPartPr>
        <w:name w:val="{32e6f3d3-d4a7-4f13-b1e9-501b54d57b6a}"/>
        <w:style w:val=""/>
        <w:category>
          <w:name w:val="常规"/>
          <w:gallery w:val="placeholder"/>
        </w:category>
        <w:types>
          <w:type w:val="bbPlcHdr"/>
        </w:types>
        <w:behaviors>
          <w:behavior w:val="content"/>
        </w:behaviors>
        <w:description w:val=""/>
        <w:guid w:val="{32e6f3d3-d4a7-4f13-b1e9-501b54d57b6a}"/>
      </w:docPartPr>
      <w:docPartBody>
        <w:p>
          <w:r>
            <w:rPr>
              <w:color w:val="808080"/>
            </w:rPr>
            <w:t>单击此处输入文字。</w:t>
          </w:r>
        </w:p>
      </w:docPartBody>
    </w:docPart>
    <w:docPart>
      <w:docPartPr>
        <w:name w:val="{07d1323f-9667-4477-b8f8-fad0d1a5e79a}"/>
        <w:style w:val=""/>
        <w:category>
          <w:name w:val="常规"/>
          <w:gallery w:val="placeholder"/>
        </w:category>
        <w:types>
          <w:type w:val="bbPlcHdr"/>
        </w:types>
        <w:behaviors>
          <w:behavior w:val="content"/>
        </w:behaviors>
        <w:description w:val=""/>
        <w:guid w:val="{07d1323f-9667-4477-b8f8-fad0d1a5e79a}"/>
      </w:docPartPr>
      <w:docPartBody>
        <w:p>
          <w:r>
            <w:rPr>
              <w:color w:val="808080"/>
            </w:rPr>
            <w:t>单击此处输入文字。</w:t>
          </w:r>
        </w:p>
      </w:docPartBody>
    </w:docPart>
    <w:docPart>
      <w:docPartPr>
        <w:name w:val="{a02319a1-cd0e-4e5d-880b-359a435e3ee8}"/>
        <w:style w:val=""/>
        <w:category>
          <w:name w:val="常规"/>
          <w:gallery w:val="placeholder"/>
        </w:category>
        <w:types>
          <w:type w:val="bbPlcHdr"/>
        </w:types>
        <w:behaviors>
          <w:behavior w:val="content"/>
        </w:behaviors>
        <w:description w:val=""/>
        <w:guid w:val="{a02319a1-cd0e-4e5d-880b-359a435e3ee8}"/>
      </w:docPartPr>
      <w:docPartBody>
        <w:p>
          <w:r>
            <w:rPr>
              <w:color w:val="808080"/>
            </w:rPr>
            <w:t>单击此处输入文字。</w:t>
          </w:r>
        </w:p>
      </w:docPartBody>
    </w:docPart>
    <w:docPart>
      <w:docPartPr>
        <w:name w:val="{d1030782-2dd9-432b-81a0-228a6ab63ec3}"/>
        <w:style w:val=""/>
        <w:category>
          <w:name w:val="常规"/>
          <w:gallery w:val="placeholder"/>
        </w:category>
        <w:types>
          <w:type w:val="bbPlcHdr"/>
        </w:types>
        <w:behaviors>
          <w:behavior w:val="content"/>
        </w:behaviors>
        <w:description w:val=""/>
        <w:guid w:val="{d1030782-2dd9-432b-81a0-228a6ab63ec3}"/>
      </w:docPartPr>
      <w:docPartBody>
        <w:p>
          <w:r>
            <w:rPr>
              <w:color w:val="808080"/>
            </w:rPr>
            <w:t>单击此处输入文字。</w:t>
          </w:r>
        </w:p>
      </w:docPartBody>
    </w:docPart>
    <w:docPart>
      <w:docPartPr>
        <w:name w:val="{6ee65653-f6b6-4325-842d-d37e8844ac91}"/>
        <w:style w:val=""/>
        <w:category>
          <w:name w:val="常规"/>
          <w:gallery w:val="placeholder"/>
        </w:category>
        <w:types>
          <w:type w:val="bbPlcHdr"/>
        </w:types>
        <w:behaviors>
          <w:behavior w:val="content"/>
        </w:behaviors>
        <w:description w:val=""/>
        <w:guid w:val="{6ee65653-f6b6-4325-842d-d37e8844ac91}"/>
      </w:docPartPr>
      <w:docPartBody>
        <w:p>
          <w:r>
            <w:rPr>
              <w:color w:val="808080"/>
            </w:rPr>
            <w:t>单击此处输入文字。</w:t>
          </w:r>
        </w:p>
      </w:docPartBody>
    </w:docPart>
    <w:docPart>
      <w:docPartPr>
        <w:name w:val="{3ea6581f-3e95-4c3e-b42d-798a0c37d181}"/>
        <w:style w:val=""/>
        <w:category>
          <w:name w:val="常规"/>
          <w:gallery w:val="placeholder"/>
        </w:category>
        <w:types>
          <w:type w:val="bbPlcHdr"/>
        </w:types>
        <w:behaviors>
          <w:behavior w:val="content"/>
        </w:behaviors>
        <w:description w:val=""/>
        <w:guid w:val="{3ea6581f-3e95-4c3e-b42d-798a0c37d181}"/>
      </w:docPartPr>
      <w:docPartBody>
        <w:p>
          <w:r>
            <w:rPr>
              <w:color w:val="808080"/>
            </w:rPr>
            <w:t>单击此处输入文字。</w:t>
          </w:r>
        </w:p>
      </w:docPartBody>
    </w:docPart>
    <w:docPart>
      <w:docPartPr>
        <w:name w:val="{90411c05-1613-46ae-a016-c1154d53305e}"/>
        <w:style w:val=""/>
        <w:category>
          <w:name w:val="常规"/>
          <w:gallery w:val="placeholder"/>
        </w:category>
        <w:types>
          <w:type w:val="bbPlcHdr"/>
        </w:types>
        <w:behaviors>
          <w:behavior w:val="content"/>
        </w:behaviors>
        <w:description w:val=""/>
        <w:guid w:val="{90411c05-1613-46ae-a016-c1154d53305e}"/>
      </w:docPartPr>
      <w:docPartBody>
        <w:p>
          <w:r>
            <w:rPr>
              <w:color w:val="808080"/>
            </w:rPr>
            <w:t>单击此处输入文字。</w:t>
          </w:r>
        </w:p>
      </w:docPartBody>
    </w:docPart>
    <w:docPart>
      <w:docPartPr>
        <w:name w:val="{ac4b70b8-eb3b-4c7c-847e-4267257fac9a}"/>
        <w:style w:val=""/>
        <w:category>
          <w:name w:val="常规"/>
          <w:gallery w:val="placeholder"/>
        </w:category>
        <w:types>
          <w:type w:val="bbPlcHdr"/>
        </w:types>
        <w:behaviors>
          <w:behavior w:val="content"/>
        </w:behaviors>
        <w:description w:val=""/>
        <w:guid w:val="{ac4b70b8-eb3b-4c7c-847e-4267257fac9a}"/>
      </w:docPartPr>
      <w:docPartBody>
        <w:p>
          <w:r>
            <w:rPr>
              <w:color w:val="808080"/>
            </w:rPr>
            <w:t>单击此处输入文字。</w:t>
          </w:r>
        </w:p>
      </w:docPartBody>
    </w:docPart>
    <w:docPart>
      <w:docPartPr>
        <w:name w:val="{dec14e06-ef36-46cd-ab3b-9f8df2495f4f}"/>
        <w:style w:val=""/>
        <w:category>
          <w:name w:val="常规"/>
          <w:gallery w:val="placeholder"/>
        </w:category>
        <w:types>
          <w:type w:val="bbPlcHdr"/>
        </w:types>
        <w:behaviors>
          <w:behavior w:val="content"/>
        </w:behaviors>
        <w:description w:val=""/>
        <w:guid w:val="{dec14e06-ef36-46cd-ab3b-9f8df2495f4f}"/>
      </w:docPartPr>
      <w:docPartBody>
        <w:p>
          <w:r>
            <w:rPr>
              <w:color w:val="808080"/>
            </w:rPr>
            <w:t>单击此处输入文字。</w:t>
          </w:r>
        </w:p>
      </w:docPartBody>
    </w:docPart>
    <w:docPart>
      <w:docPartPr>
        <w:name w:val="{93d6fad7-b062-42f6-9e60-4d30023aa28b}"/>
        <w:style w:val=""/>
        <w:category>
          <w:name w:val="常规"/>
          <w:gallery w:val="placeholder"/>
        </w:category>
        <w:types>
          <w:type w:val="bbPlcHdr"/>
        </w:types>
        <w:behaviors>
          <w:behavior w:val="content"/>
        </w:behaviors>
        <w:description w:val=""/>
        <w:guid w:val="{93d6fad7-b062-42f6-9e60-4d30023aa28b}"/>
      </w:docPartPr>
      <w:docPartBody>
        <w:p>
          <w:r>
            <w:rPr>
              <w:color w:val="808080"/>
            </w:rPr>
            <w:t>单击此处输入文字。</w:t>
          </w:r>
        </w:p>
      </w:docPartBody>
    </w:docPart>
    <w:docPart>
      <w:docPartPr>
        <w:name w:val="{09269d14-30b6-4fb4-bbec-46c3886f43f0}"/>
        <w:style w:val=""/>
        <w:category>
          <w:name w:val="常规"/>
          <w:gallery w:val="placeholder"/>
        </w:category>
        <w:types>
          <w:type w:val="bbPlcHdr"/>
        </w:types>
        <w:behaviors>
          <w:behavior w:val="content"/>
        </w:behaviors>
        <w:description w:val=""/>
        <w:guid w:val="{09269d14-30b6-4fb4-bbec-46c3886f43f0}"/>
      </w:docPartPr>
      <w:docPartBody>
        <w:p>
          <w:r>
            <w:rPr>
              <w:color w:val="808080"/>
            </w:rPr>
            <w:t>单击此处输入文字。</w:t>
          </w:r>
        </w:p>
      </w:docPartBody>
    </w:docPart>
    <w:docPart>
      <w:docPartPr>
        <w:name w:val="{ec93df50-f4bc-4735-9106-7eb75f87b80e}"/>
        <w:style w:val=""/>
        <w:category>
          <w:name w:val="常规"/>
          <w:gallery w:val="placeholder"/>
        </w:category>
        <w:types>
          <w:type w:val="bbPlcHdr"/>
        </w:types>
        <w:behaviors>
          <w:behavior w:val="content"/>
        </w:behaviors>
        <w:description w:val=""/>
        <w:guid w:val="{ec93df50-f4bc-4735-9106-7eb75f87b80e}"/>
      </w:docPartPr>
      <w:docPartBody>
        <w:p>
          <w:r>
            <w:rPr>
              <w:color w:val="808080"/>
            </w:rPr>
            <w:t>单击此处输入文字。</w:t>
          </w:r>
        </w:p>
      </w:docPartBody>
    </w:docPart>
    <w:docPart>
      <w:docPartPr>
        <w:name w:val="{5b5ba229-a2a3-4e2c-940c-26cb495241e2}"/>
        <w:style w:val=""/>
        <w:category>
          <w:name w:val="常规"/>
          <w:gallery w:val="placeholder"/>
        </w:category>
        <w:types>
          <w:type w:val="bbPlcHdr"/>
        </w:types>
        <w:behaviors>
          <w:behavior w:val="content"/>
        </w:behaviors>
        <w:description w:val=""/>
        <w:guid w:val="{5b5ba229-a2a3-4e2c-940c-26cb495241e2}"/>
      </w:docPartPr>
      <w:docPartBody>
        <w:p>
          <w:r>
            <w:rPr>
              <w:color w:val="808080"/>
            </w:rPr>
            <w:t>单击此处输入文字。</w:t>
          </w:r>
        </w:p>
      </w:docPartBody>
    </w:docPart>
    <w:docPart>
      <w:docPartPr>
        <w:name w:val="{d84d18a5-d031-4f93-8d19-36c84c7d99ce}"/>
        <w:style w:val=""/>
        <w:category>
          <w:name w:val="常规"/>
          <w:gallery w:val="placeholder"/>
        </w:category>
        <w:types>
          <w:type w:val="bbPlcHdr"/>
        </w:types>
        <w:behaviors>
          <w:behavior w:val="content"/>
        </w:behaviors>
        <w:description w:val=""/>
        <w:guid w:val="{d84d18a5-d031-4f93-8d19-36c84c7d99ce}"/>
      </w:docPartPr>
      <w:docPartBody>
        <w:p>
          <w:r>
            <w:rPr>
              <w:color w:val="808080"/>
            </w:rPr>
            <w:t>单击此处输入文字。</w:t>
          </w:r>
        </w:p>
      </w:docPartBody>
    </w:docPart>
    <w:docPart>
      <w:docPartPr>
        <w:name w:val="{7f973704-dc31-4100-8a49-894fd89decd5}"/>
        <w:style w:val=""/>
        <w:category>
          <w:name w:val="常规"/>
          <w:gallery w:val="placeholder"/>
        </w:category>
        <w:types>
          <w:type w:val="bbPlcHdr"/>
        </w:types>
        <w:behaviors>
          <w:behavior w:val="content"/>
        </w:behaviors>
        <w:description w:val=""/>
        <w:guid w:val="{7f973704-dc31-4100-8a49-894fd89decd5}"/>
      </w:docPartPr>
      <w:docPartBody>
        <w:p>
          <w:r>
            <w:rPr>
              <w:color w:val="808080"/>
            </w:rPr>
            <w:t>单击此处输入文字。</w:t>
          </w:r>
        </w:p>
      </w:docPartBody>
    </w:docPart>
    <w:docPart>
      <w:docPartPr>
        <w:name w:val="{5ec12620-916b-40d6-adeb-80e02927da78}"/>
        <w:style w:val=""/>
        <w:category>
          <w:name w:val="常规"/>
          <w:gallery w:val="placeholder"/>
        </w:category>
        <w:types>
          <w:type w:val="bbPlcHdr"/>
        </w:types>
        <w:behaviors>
          <w:behavior w:val="content"/>
        </w:behaviors>
        <w:description w:val=""/>
        <w:guid w:val="{5ec12620-916b-40d6-adeb-80e02927da78}"/>
      </w:docPartPr>
      <w:docPartBody>
        <w:p>
          <w:r>
            <w:rPr>
              <w:color w:val="808080"/>
            </w:rPr>
            <w:t>单击此处输入文字。</w:t>
          </w:r>
        </w:p>
      </w:docPartBody>
    </w:docPart>
    <w:docPart>
      <w:docPartPr>
        <w:name w:val="{da2bc976-05ef-4d6e-9865-a5e231a870c4}"/>
        <w:style w:val=""/>
        <w:category>
          <w:name w:val="常规"/>
          <w:gallery w:val="placeholder"/>
        </w:category>
        <w:types>
          <w:type w:val="bbPlcHdr"/>
        </w:types>
        <w:behaviors>
          <w:behavior w:val="content"/>
        </w:behaviors>
        <w:description w:val=""/>
        <w:guid w:val="{da2bc976-05ef-4d6e-9865-a5e231a870c4}"/>
      </w:docPartPr>
      <w:docPartBody>
        <w:p>
          <w:r>
            <w:rPr>
              <w:color w:val="808080"/>
            </w:rPr>
            <w:t>单击此处输入文字。</w:t>
          </w:r>
        </w:p>
      </w:docPartBody>
    </w:docPart>
    <w:docPart>
      <w:docPartPr>
        <w:name w:val="{0b9abb95-1694-4868-bbfa-6aa393f3a7af}"/>
        <w:style w:val=""/>
        <w:category>
          <w:name w:val="常规"/>
          <w:gallery w:val="placeholder"/>
        </w:category>
        <w:types>
          <w:type w:val="bbPlcHdr"/>
        </w:types>
        <w:behaviors>
          <w:behavior w:val="content"/>
        </w:behaviors>
        <w:description w:val=""/>
        <w:guid w:val="{0b9abb95-1694-4868-bbfa-6aa393f3a7af}"/>
      </w:docPartPr>
      <w:docPartBody>
        <w:p>
          <w:r>
            <w:rPr>
              <w:color w:val="808080"/>
            </w:rPr>
            <w:t>单击此处输入文字。</w:t>
          </w:r>
        </w:p>
      </w:docPartBody>
    </w:docPart>
    <w:docPart>
      <w:docPartPr>
        <w:name w:val="{e943a833-7e66-4879-8185-5b5600063d51}"/>
        <w:style w:val=""/>
        <w:category>
          <w:name w:val="常规"/>
          <w:gallery w:val="placeholder"/>
        </w:category>
        <w:types>
          <w:type w:val="bbPlcHdr"/>
        </w:types>
        <w:behaviors>
          <w:behavior w:val="content"/>
        </w:behaviors>
        <w:description w:val=""/>
        <w:guid w:val="{e943a833-7e66-4879-8185-5b5600063d51}"/>
      </w:docPartPr>
      <w:docPartBody>
        <w:p>
          <w:r>
            <w:rPr>
              <w:color w:val="808080"/>
            </w:rPr>
            <w:t>单击此处输入文字。</w:t>
          </w:r>
        </w:p>
      </w:docPartBody>
    </w:docPart>
    <w:docPart>
      <w:docPartPr>
        <w:name w:val="{ce0f0770-b165-4c8c-85c0-5305336e0d40}"/>
        <w:style w:val=""/>
        <w:category>
          <w:name w:val="常规"/>
          <w:gallery w:val="placeholder"/>
        </w:category>
        <w:types>
          <w:type w:val="bbPlcHdr"/>
        </w:types>
        <w:behaviors>
          <w:behavior w:val="content"/>
        </w:behaviors>
        <w:description w:val=""/>
        <w:guid w:val="{ce0f0770-b165-4c8c-85c0-5305336e0d40}"/>
      </w:docPartPr>
      <w:docPartBody>
        <w:p>
          <w:r>
            <w:rPr>
              <w:color w:val="808080"/>
            </w:rPr>
            <w:t>单击此处输入文字。</w:t>
          </w:r>
        </w:p>
      </w:docPartBody>
    </w:docPart>
    <w:docPart>
      <w:docPartPr>
        <w:name w:val="{c2e9667b-c741-4594-9e09-f42f8d7d0e89}"/>
        <w:style w:val=""/>
        <w:category>
          <w:name w:val="常规"/>
          <w:gallery w:val="placeholder"/>
        </w:category>
        <w:types>
          <w:type w:val="bbPlcHdr"/>
        </w:types>
        <w:behaviors>
          <w:behavior w:val="content"/>
        </w:behaviors>
        <w:description w:val=""/>
        <w:guid w:val="{c2e9667b-c741-4594-9e09-f42f8d7d0e89}"/>
      </w:docPartPr>
      <w:docPartBody>
        <w:p>
          <w:r>
            <w:rPr>
              <w:color w:val="808080"/>
            </w:rPr>
            <w:t>单击此处输入文字。</w:t>
          </w:r>
        </w:p>
      </w:docPartBody>
    </w:docPart>
    <w:docPart>
      <w:docPartPr>
        <w:name w:val="{0d31b15a-9b31-44ae-a740-793ac7caef07}"/>
        <w:style w:val=""/>
        <w:category>
          <w:name w:val="常规"/>
          <w:gallery w:val="placeholder"/>
        </w:category>
        <w:types>
          <w:type w:val="bbPlcHdr"/>
        </w:types>
        <w:behaviors>
          <w:behavior w:val="content"/>
        </w:behaviors>
        <w:description w:val=""/>
        <w:guid w:val="{0d31b15a-9b31-44ae-a740-793ac7caef07}"/>
      </w:docPartPr>
      <w:docPartBody>
        <w:p>
          <w:r>
            <w:rPr>
              <w:color w:val="808080"/>
            </w:rPr>
            <w:t>单击此处输入文字。</w:t>
          </w:r>
        </w:p>
      </w:docPartBody>
    </w:docPart>
    <w:docPart>
      <w:docPartPr>
        <w:name w:val="{fbee6c12-5b53-4a7b-8054-c46b85b206ea}"/>
        <w:style w:val=""/>
        <w:category>
          <w:name w:val="常规"/>
          <w:gallery w:val="placeholder"/>
        </w:category>
        <w:types>
          <w:type w:val="bbPlcHdr"/>
        </w:types>
        <w:behaviors>
          <w:behavior w:val="content"/>
        </w:behaviors>
        <w:description w:val=""/>
        <w:guid w:val="{fbee6c12-5b53-4a7b-8054-c46b85b206ea}"/>
      </w:docPartPr>
      <w:docPartBody>
        <w:p>
          <w:r>
            <w:rPr>
              <w:color w:val="808080"/>
            </w:rPr>
            <w:t>单击此处输入文字。</w:t>
          </w:r>
        </w:p>
      </w:docPartBody>
    </w:docPart>
    <w:docPart>
      <w:docPartPr>
        <w:name w:val="{3b6f9cc1-29a6-4395-9113-22e4a15b807b}"/>
        <w:style w:val=""/>
        <w:category>
          <w:name w:val="常规"/>
          <w:gallery w:val="placeholder"/>
        </w:category>
        <w:types>
          <w:type w:val="bbPlcHdr"/>
        </w:types>
        <w:behaviors>
          <w:behavior w:val="content"/>
        </w:behaviors>
        <w:description w:val=""/>
        <w:guid w:val="{3b6f9cc1-29a6-4395-9113-22e4a15b807b}"/>
      </w:docPartPr>
      <w:docPartBody>
        <w:p>
          <w:r>
            <w:rPr>
              <w:color w:val="808080"/>
            </w:rPr>
            <w:t>单击此处输入文字。</w:t>
          </w:r>
        </w:p>
      </w:docPartBody>
    </w:docPart>
    <w:docPart>
      <w:docPartPr>
        <w:name w:val="{e6f3a2c5-4b0a-4215-bd5a-6d86ec5eec67}"/>
        <w:style w:val=""/>
        <w:category>
          <w:name w:val="常规"/>
          <w:gallery w:val="placeholder"/>
        </w:category>
        <w:types>
          <w:type w:val="bbPlcHdr"/>
        </w:types>
        <w:behaviors>
          <w:behavior w:val="content"/>
        </w:behaviors>
        <w:description w:val=""/>
        <w:guid w:val="{e6f3a2c5-4b0a-4215-bd5a-6d86ec5eec67}"/>
      </w:docPartPr>
      <w:docPartBody>
        <w:p>
          <w:r>
            <w:rPr>
              <w:color w:val="808080"/>
            </w:rPr>
            <w:t>单击此处输入文字。</w:t>
          </w:r>
        </w:p>
      </w:docPartBody>
    </w:docPart>
    <w:docPart>
      <w:docPartPr>
        <w:name w:val="{e9527547-e526-4b0c-9ff9-d16a55c94a9c}"/>
        <w:style w:val=""/>
        <w:category>
          <w:name w:val="常规"/>
          <w:gallery w:val="placeholder"/>
        </w:category>
        <w:types>
          <w:type w:val="bbPlcHdr"/>
        </w:types>
        <w:behaviors>
          <w:behavior w:val="content"/>
        </w:behaviors>
        <w:description w:val=""/>
        <w:guid w:val="{e9527547-e526-4b0c-9ff9-d16a55c94a9c}"/>
      </w:docPartPr>
      <w:docPartBody>
        <w:p>
          <w:r>
            <w:rPr>
              <w:color w:val="808080"/>
            </w:rPr>
            <w:t>单击此处输入文字。</w:t>
          </w:r>
        </w:p>
      </w:docPartBody>
    </w:docPart>
    <w:docPart>
      <w:docPartPr>
        <w:name w:val="{87145ece-c3bd-4f35-9bec-52fc0b4d6967}"/>
        <w:style w:val=""/>
        <w:category>
          <w:name w:val="常规"/>
          <w:gallery w:val="placeholder"/>
        </w:category>
        <w:types>
          <w:type w:val="bbPlcHdr"/>
        </w:types>
        <w:behaviors>
          <w:behavior w:val="content"/>
        </w:behaviors>
        <w:description w:val=""/>
        <w:guid w:val="{87145ece-c3bd-4f35-9bec-52fc0b4d6967}"/>
      </w:docPartPr>
      <w:docPartBody>
        <w:p>
          <w:r>
            <w:rPr>
              <w:color w:val="808080"/>
            </w:rPr>
            <w:t>单击此处输入文字。</w:t>
          </w:r>
        </w:p>
      </w:docPartBody>
    </w:docPart>
    <w:docPart>
      <w:docPartPr>
        <w:name w:val="{8f89504b-607b-49eb-9efe-2e52f9dc8b69}"/>
        <w:style w:val=""/>
        <w:category>
          <w:name w:val="常规"/>
          <w:gallery w:val="placeholder"/>
        </w:category>
        <w:types>
          <w:type w:val="bbPlcHdr"/>
        </w:types>
        <w:behaviors>
          <w:behavior w:val="content"/>
        </w:behaviors>
        <w:description w:val=""/>
        <w:guid w:val="{8f89504b-607b-49eb-9efe-2e52f9dc8b69}"/>
      </w:docPartPr>
      <w:docPartBody>
        <w:p>
          <w:r>
            <w:rPr>
              <w:color w:val="808080"/>
            </w:rPr>
            <w:t>单击此处输入文字。</w:t>
          </w:r>
        </w:p>
      </w:docPartBody>
    </w:docPart>
    <w:docPart>
      <w:docPartPr>
        <w:name w:val="{c6e9cfb9-56d7-497b-a8f4-67de381a9484}"/>
        <w:style w:val=""/>
        <w:category>
          <w:name w:val="常规"/>
          <w:gallery w:val="placeholder"/>
        </w:category>
        <w:types>
          <w:type w:val="bbPlcHdr"/>
        </w:types>
        <w:behaviors>
          <w:behavior w:val="content"/>
        </w:behaviors>
        <w:description w:val=""/>
        <w:guid w:val="{c6e9cfb9-56d7-497b-a8f4-67de381a9484}"/>
      </w:docPartPr>
      <w:docPartBody>
        <w:p>
          <w:r>
            <w:rPr>
              <w:color w:val="808080"/>
            </w:rPr>
            <w:t>单击此处输入文字。</w:t>
          </w:r>
        </w:p>
      </w:docPartBody>
    </w:docPart>
    <w:docPart>
      <w:docPartPr>
        <w:name w:val="{64a73339-42af-436a-a846-50ca2fbaa1d6}"/>
        <w:style w:val=""/>
        <w:category>
          <w:name w:val="常规"/>
          <w:gallery w:val="placeholder"/>
        </w:category>
        <w:types>
          <w:type w:val="bbPlcHdr"/>
        </w:types>
        <w:behaviors>
          <w:behavior w:val="content"/>
        </w:behaviors>
        <w:description w:val=""/>
        <w:guid w:val="{64a73339-42af-436a-a846-50ca2fbaa1d6}"/>
      </w:docPartPr>
      <w:docPartBody>
        <w:p>
          <w:r>
            <w:rPr>
              <w:color w:val="808080"/>
            </w:rPr>
            <w:t>单击此处输入文字。</w:t>
          </w:r>
        </w:p>
      </w:docPartBody>
    </w:docPart>
    <w:docPart>
      <w:docPartPr>
        <w:name w:val="{a0f83520-0cb2-4163-879c-4bccc20905c4}"/>
        <w:style w:val=""/>
        <w:category>
          <w:name w:val="常规"/>
          <w:gallery w:val="placeholder"/>
        </w:category>
        <w:types>
          <w:type w:val="bbPlcHdr"/>
        </w:types>
        <w:behaviors>
          <w:behavior w:val="content"/>
        </w:behaviors>
        <w:description w:val=""/>
        <w:guid w:val="{a0f83520-0cb2-4163-879c-4bccc20905c4}"/>
      </w:docPartPr>
      <w:docPartBody>
        <w:p>
          <w:r>
            <w:rPr>
              <w:color w:val="808080"/>
            </w:rPr>
            <w:t>单击此处输入文字。</w:t>
          </w:r>
        </w:p>
      </w:docPartBody>
    </w:docPart>
    <w:docPart>
      <w:docPartPr>
        <w:name w:val="{161a1802-cc54-42e1-aedc-8942302af531}"/>
        <w:style w:val=""/>
        <w:category>
          <w:name w:val="常规"/>
          <w:gallery w:val="placeholder"/>
        </w:category>
        <w:types>
          <w:type w:val="bbPlcHdr"/>
        </w:types>
        <w:behaviors>
          <w:behavior w:val="content"/>
        </w:behaviors>
        <w:description w:val=""/>
        <w:guid w:val="{161a1802-cc54-42e1-aedc-8942302af531}"/>
      </w:docPartPr>
      <w:docPartBody>
        <w:p>
          <w:r>
            <w:rPr>
              <w:color w:val="808080"/>
            </w:rPr>
            <w:t>单击此处输入文字。</w:t>
          </w:r>
        </w:p>
      </w:docPartBody>
    </w:docPart>
    <w:docPart>
      <w:docPartPr>
        <w:name w:val="{e153f178-1700-461e-bf8b-87e94062107f}"/>
        <w:style w:val=""/>
        <w:category>
          <w:name w:val="常规"/>
          <w:gallery w:val="placeholder"/>
        </w:category>
        <w:types>
          <w:type w:val="bbPlcHdr"/>
        </w:types>
        <w:behaviors>
          <w:behavior w:val="content"/>
        </w:behaviors>
        <w:description w:val=""/>
        <w:guid w:val="{e153f178-1700-461e-bf8b-87e94062107f}"/>
      </w:docPartPr>
      <w:docPartBody>
        <w:p>
          <w:r>
            <w:rPr>
              <w:color w:val="808080"/>
            </w:rPr>
            <w:t>单击此处输入文字。</w:t>
          </w:r>
        </w:p>
      </w:docPartBody>
    </w:docPart>
    <w:docPart>
      <w:docPartPr>
        <w:name w:val="{b6b5529a-54d9-4d9e-b633-f5847411806b}"/>
        <w:style w:val=""/>
        <w:category>
          <w:name w:val="常规"/>
          <w:gallery w:val="placeholder"/>
        </w:category>
        <w:types>
          <w:type w:val="bbPlcHdr"/>
        </w:types>
        <w:behaviors>
          <w:behavior w:val="content"/>
        </w:behaviors>
        <w:description w:val=""/>
        <w:guid w:val="{b6b5529a-54d9-4d9e-b633-f5847411806b}"/>
      </w:docPartPr>
      <w:docPartBody>
        <w:p>
          <w:r>
            <w:rPr>
              <w:color w:val="808080"/>
            </w:rPr>
            <w:t>单击此处输入文字。</w:t>
          </w:r>
        </w:p>
      </w:docPartBody>
    </w:docPart>
    <w:docPart>
      <w:docPartPr>
        <w:name w:val="{6f666503-36f2-4661-987f-440eb22b5fd6}"/>
        <w:style w:val=""/>
        <w:category>
          <w:name w:val="常规"/>
          <w:gallery w:val="placeholder"/>
        </w:category>
        <w:types>
          <w:type w:val="bbPlcHdr"/>
        </w:types>
        <w:behaviors>
          <w:behavior w:val="content"/>
        </w:behaviors>
        <w:description w:val=""/>
        <w:guid w:val="{6f666503-36f2-4661-987f-440eb22b5fd6}"/>
      </w:docPartPr>
      <w:docPartBody>
        <w:p>
          <w:r>
            <w:rPr>
              <w:color w:val="808080"/>
            </w:rPr>
            <w:t>单击此处输入文字。</w:t>
          </w:r>
        </w:p>
      </w:docPartBody>
    </w:docPart>
    <w:docPart>
      <w:docPartPr>
        <w:name w:val="{fc019e19-8e07-4ae2-80e5-dbff65b47ea2}"/>
        <w:style w:val=""/>
        <w:category>
          <w:name w:val="常规"/>
          <w:gallery w:val="placeholder"/>
        </w:category>
        <w:types>
          <w:type w:val="bbPlcHdr"/>
        </w:types>
        <w:behaviors>
          <w:behavior w:val="content"/>
        </w:behaviors>
        <w:description w:val=""/>
        <w:guid w:val="{fc019e19-8e07-4ae2-80e5-dbff65b47ea2}"/>
      </w:docPartPr>
      <w:docPartBody>
        <w:p>
          <w:r>
            <w:rPr>
              <w:color w:val="808080"/>
            </w:rPr>
            <w:t>单击此处输入文字。</w:t>
          </w:r>
        </w:p>
      </w:docPartBody>
    </w:docPart>
    <w:docPart>
      <w:docPartPr>
        <w:name w:val="{acab1abc-c71a-4aad-88e7-992afb05471f}"/>
        <w:style w:val=""/>
        <w:category>
          <w:name w:val="常规"/>
          <w:gallery w:val="placeholder"/>
        </w:category>
        <w:types>
          <w:type w:val="bbPlcHdr"/>
        </w:types>
        <w:behaviors>
          <w:behavior w:val="content"/>
        </w:behaviors>
        <w:description w:val=""/>
        <w:guid w:val="{acab1abc-c71a-4aad-88e7-992afb05471f}"/>
      </w:docPartPr>
      <w:docPartBody>
        <w:p>
          <w:r>
            <w:rPr>
              <w:color w:val="808080"/>
            </w:rPr>
            <w:t>单击此处输入文字。</w:t>
          </w:r>
        </w:p>
      </w:docPartBody>
    </w:docPart>
    <w:docPart>
      <w:docPartPr>
        <w:name w:val="{0b93cd29-d28d-4102-a740-af7dd53ac6a0}"/>
        <w:style w:val=""/>
        <w:category>
          <w:name w:val="常规"/>
          <w:gallery w:val="placeholder"/>
        </w:category>
        <w:types>
          <w:type w:val="bbPlcHdr"/>
        </w:types>
        <w:behaviors>
          <w:behavior w:val="content"/>
        </w:behaviors>
        <w:description w:val=""/>
        <w:guid w:val="{0b93cd29-d28d-4102-a740-af7dd53ac6a0}"/>
      </w:docPartPr>
      <w:docPartBody>
        <w:p>
          <w:r>
            <w:rPr>
              <w:color w:val="808080"/>
            </w:rPr>
            <w:t>单击此处输入文字。</w:t>
          </w:r>
        </w:p>
      </w:docPartBody>
    </w:docPart>
    <w:docPart>
      <w:docPartPr>
        <w:name w:val="{8b0b1245-7f1a-4a68-a0c6-4f71a07466c5}"/>
        <w:style w:val=""/>
        <w:category>
          <w:name w:val="常规"/>
          <w:gallery w:val="placeholder"/>
        </w:category>
        <w:types>
          <w:type w:val="bbPlcHdr"/>
        </w:types>
        <w:behaviors>
          <w:behavior w:val="content"/>
        </w:behaviors>
        <w:description w:val=""/>
        <w:guid w:val="{8b0b1245-7f1a-4a68-a0c6-4f71a07466c5}"/>
      </w:docPartPr>
      <w:docPartBody>
        <w:p>
          <w:r>
            <w:rPr>
              <w:color w:val="808080"/>
            </w:rPr>
            <w:t>单击此处输入文字。</w:t>
          </w:r>
        </w:p>
      </w:docPartBody>
    </w:docPart>
    <w:docPart>
      <w:docPartPr>
        <w:name w:val="{f2896ae3-c624-4616-8cc7-af23317835f9}"/>
        <w:style w:val=""/>
        <w:category>
          <w:name w:val="常规"/>
          <w:gallery w:val="placeholder"/>
        </w:category>
        <w:types>
          <w:type w:val="bbPlcHdr"/>
        </w:types>
        <w:behaviors>
          <w:behavior w:val="content"/>
        </w:behaviors>
        <w:description w:val=""/>
        <w:guid w:val="{f2896ae3-c624-4616-8cc7-af23317835f9}"/>
      </w:docPartPr>
      <w:docPartBody>
        <w:p>
          <w:r>
            <w:rPr>
              <w:color w:val="808080"/>
            </w:rPr>
            <w:t>单击此处输入文字。</w:t>
          </w:r>
        </w:p>
      </w:docPartBody>
    </w:docPart>
    <w:docPart>
      <w:docPartPr>
        <w:name w:val="{0c903f65-fd9e-4274-b029-762ddba4a85e}"/>
        <w:style w:val=""/>
        <w:category>
          <w:name w:val="常规"/>
          <w:gallery w:val="placeholder"/>
        </w:category>
        <w:types>
          <w:type w:val="bbPlcHdr"/>
        </w:types>
        <w:behaviors>
          <w:behavior w:val="content"/>
        </w:behaviors>
        <w:description w:val=""/>
        <w:guid w:val="{0c903f65-fd9e-4274-b029-762ddba4a85e}"/>
      </w:docPartPr>
      <w:docPartBody>
        <w:p>
          <w:r>
            <w:rPr>
              <w:color w:val="808080"/>
            </w:rPr>
            <w:t>单击此处输入文字。</w:t>
          </w:r>
        </w:p>
      </w:docPartBody>
    </w:docPart>
    <w:docPart>
      <w:docPartPr>
        <w:name w:val="{9bcc9576-b841-40f2-a1c3-615953ac9637}"/>
        <w:style w:val=""/>
        <w:category>
          <w:name w:val="常规"/>
          <w:gallery w:val="placeholder"/>
        </w:category>
        <w:types>
          <w:type w:val="bbPlcHdr"/>
        </w:types>
        <w:behaviors>
          <w:behavior w:val="content"/>
        </w:behaviors>
        <w:description w:val=""/>
        <w:guid w:val="{9bcc9576-b841-40f2-a1c3-615953ac9637}"/>
      </w:docPartPr>
      <w:docPartBody>
        <w:p>
          <w:r>
            <w:rPr>
              <w:color w:val="808080"/>
            </w:rPr>
            <w:t>单击此处输入文字。</w:t>
          </w:r>
        </w:p>
      </w:docPartBody>
    </w:docPart>
    <w:docPart>
      <w:docPartPr>
        <w:name w:val="{f7e44afa-9223-459a-b8f1-b26b421d650e}"/>
        <w:style w:val=""/>
        <w:category>
          <w:name w:val="常规"/>
          <w:gallery w:val="placeholder"/>
        </w:category>
        <w:types>
          <w:type w:val="bbPlcHdr"/>
        </w:types>
        <w:behaviors>
          <w:behavior w:val="content"/>
        </w:behaviors>
        <w:description w:val=""/>
        <w:guid w:val="{f7e44afa-9223-459a-b8f1-b26b421d650e}"/>
      </w:docPartPr>
      <w:docPartBody>
        <w:p>
          <w:r>
            <w:rPr>
              <w:color w:val="808080"/>
            </w:rPr>
            <w:t>单击此处输入文字。</w:t>
          </w:r>
        </w:p>
      </w:docPartBody>
    </w:docPart>
    <w:docPart>
      <w:docPartPr>
        <w:name w:val="{cbf89e02-6720-4006-9236-04cad8eafd1f}"/>
        <w:style w:val=""/>
        <w:category>
          <w:name w:val="常规"/>
          <w:gallery w:val="placeholder"/>
        </w:category>
        <w:types>
          <w:type w:val="bbPlcHdr"/>
        </w:types>
        <w:behaviors>
          <w:behavior w:val="content"/>
        </w:behaviors>
        <w:description w:val=""/>
        <w:guid w:val="{cbf89e02-6720-4006-9236-04cad8eafd1f}"/>
      </w:docPartPr>
      <w:docPartBody>
        <w:p>
          <w:r>
            <w:rPr>
              <w:color w:val="808080"/>
            </w:rPr>
            <w:t>单击此处输入文字。</w:t>
          </w:r>
        </w:p>
      </w:docPartBody>
    </w:docPart>
    <w:docPart>
      <w:docPartPr>
        <w:name w:val="{a9150db1-5e7a-4db6-8b13-740743f392e7}"/>
        <w:style w:val=""/>
        <w:category>
          <w:name w:val="常规"/>
          <w:gallery w:val="placeholder"/>
        </w:category>
        <w:types>
          <w:type w:val="bbPlcHdr"/>
        </w:types>
        <w:behaviors>
          <w:behavior w:val="content"/>
        </w:behaviors>
        <w:description w:val=""/>
        <w:guid w:val="{a9150db1-5e7a-4db6-8b13-740743f392e7}"/>
      </w:docPartPr>
      <w:docPartBody>
        <w:p>
          <w:r>
            <w:rPr>
              <w:color w:val="808080"/>
            </w:rPr>
            <w:t>单击此处输入文字。</w:t>
          </w:r>
        </w:p>
      </w:docPartBody>
    </w:docPart>
    <w:docPart>
      <w:docPartPr>
        <w:name w:val="{3cd8fa4b-2e16-49b2-9fb5-69cd0b5bd015}"/>
        <w:style w:val=""/>
        <w:category>
          <w:name w:val="常规"/>
          <w:gallery w:val="placeholder"/>
        </w:category>
        <w:types>
          <w:type w:val="bbPlcHdr"/>
        </w:types>
        <w:behaviors>
          <w:behavior w:val="content"/>
        </w:behaviors>
        <w:description w:val=""/>
        <w:guid w:val="{3cd8fa4b-2e16-49b2-9fb5-69cd0b5bd015}"/>
      </w:docPartPr>
      <w:docPartBody>
        <w:p>
          <w:r>
            <w:rPr>
              <w:color w:val="808080"/>
            </w:rPr>
            <w:t>单击此处输入文字。</w:t>
          </w:r>
        </w:p>
      </w:docPartBody>
    </w:docPart>
    <w:docPart>
      <w:docPartPr>
        <w:name w:val="{1ad7cfbb-4072-438a-a8a2-973d47657a1f}"/>
        <w:style w:val=""/>
        <w:category>
          <w:name w:val="常规"/>
          <w:gallery w:val="placeholder"/>
        </w:category>
        <w:types>
          <w:type w:val="bbPlcHdr"/>
        </w:types>
        <w:behaviors>
          <w:behavior w:val="content"/>
        </w:behaviors>
        <w:description w:val=""/>
        <w:guid w:val="{1ad7cfbb-4072-438a-a8a2-973d47657a1f}"/>
      </w:docPartPr>
      <w:docPartBody>
        <w:p>
          <w:r>
            <w:rPr>
              <w:color w:val="808080"/>
            </w:rPr>
            <w:t>单击此处输入文字。</w:t>
          </w:r>
        </w:p>
      </w:docPartBody>
    </w:docPart>
    <w:docPart>
      <w:docPartPr>
        <w:name w:val="{a2c12f7b-1524-4591-9bd0-37dcb8591926}"/>
        <w:style w:val=""/>
        <w:category>
          <w:name w:val="常规"/>
          <w:gallery w:val="placeholder"/>
        </w:category>
        <w:types>
          <w:type w:val="bbPlcHdr"/>
        </w:types>
        <w:behaviors>
          <w:behavior w:val="content"/>
        </w:behaviors>
        <w:description w:val=""/>
        <w:guid w:val="{a2c12f7b-1524-4591-9bd0-37dcb8591926}"/>
      </w:docPartPr>
      <w:docPartBody>
        <w:p>
          <w:r>
            <w:rPr>
              <w:color w:val="808080"/>
            </w:rPr>
            <w:t>单击此处输入文字。</w:t>
          </w:r>
        </w:p>
      </w:docPartBody>
    </w:docPart>
    <w:docPart>
      <w:docPartPr>
        <w:name w:val="{364d0c25-fefb-452a-a597-de1f9c784d22}"/>
        <w:style w:val=""/>
        <w:category>
          <w:name w:val="常规"/>
          <w:gallery w:val="placeholder"/>
        </w:category>
        <w:types>
          <w:type w:val="bbPlcHdr"/>
        </w:types>
        <w:behaviors>
          <w:behavior w:val="content"/>
        </w:behaviors>
        <w:description w:val=""/>
        <w:guid w:val="{364d0c25-fefb-452a-a597-de1f9c784d22}"/>
      </w:docPartPr>
      <w:docPartBody>
        <w:p>
          <w:r>
            <w:rPr>
              <w:color w:val="808080"/>
            </w:rPr>
            <w:t>单击此处输入文字。</w:t>
          </w:r>
        </w:p>
      </w:docPartBody>
    </w:docPart>
    <w:docPart>
      <w:docPartPr>
        <w:name w:val="{423b3bd0-996d-4033-b096-31168f7096cf}"/>
        <w:style w:val=""/>
        <w:category>
          <w:name w:val="常规"/>
          <w:gallery w:val="placeholder"/>
        </w:category>
        <w:types>
          <w:type w:val="bbPlcHdr"/>
        </w:types>
        <w:behaviors>
          <w:behavior w:val="content"/>
        </w:behaviors>
        <w:description w:val=""/>
        <w:guid w:val="{423b3bd0-996d-4033-b096-31168f7096cf}"/>
      </w:docPartPr>
      <w:docPartBody>
        <w:p>
          <w:r>
            <w:rPr>
              <w:color w:val="808080"/>
            </w:rPr>
            <w:t>单击此处输入文字。</w:t>
          </w:r>
        </w:p>
      </w:docPartBody>
    </w:docPart>
    <w:docPart>
      <w:docPartPr>
        <w:name w:val="{ff422837-d837-4ab9-ae5f-e71d41b51c2c}"/>
        <w:style w:val=""/>
        <w:category>
          <w:name w:val="常规"/>
          <w:gallery w:val="placeholder"/>
        </w:category>
        <w:types>
          <w:type w:val="bbPlcHdr"/>
        </w:types>
        <w:behaviors>
          <w:behavior w:val="content"/>
        </w:behaviors>
        <w:description w:val=""/>
        <w:guid w:val="{ff422837-d837-4ab9-ae5f-e71d41b51c2c}"/>
      </w:docPartPr>
      <w:docPartBody>
        <w:p>
          <w:r>
            <w:rPr>
              <w:color w:val="808080"/>
            </w:rPr>
            <w:t>单击此处输入文字。</w:t>
          </w:r>
        </w:p>
      </w:docPartBody>
    </w:docPart>
    <w:docPart>
      <w:docPartPr>
        <w:name w:val="{8fa0bb16-d26f-4afc-9a7d-b9e4bc3e2e5c}"/>
        <w:style w:val=""/>
        <w:category>
          <w:name w:val="常规"/>
          <w:gallery w:val="placeholder"/>
        </w:category>
        <w:types>
          <w:type w:val="bbPlcHdr"/>
        </w:types>
        <w:behaviors>
          <w:behavior w:val="content"/>
        </w:behaviors>
        <w:description w:val=""/>
        <w:guid w:val="{8fa0bb16-d26f-4afc-9a7d-b9e4bc3e2e5c}"/>
      </w:docPartPr>
      <w:docPartBody>
        <w:p>
          <w:r>
            <w:rPr>
              <w:color w:val="808080"/>
            </w:rPr>
            <w:t>单击此处输入文字。</w:t>
          </w:r>
        </w:p>
      </w:docPartBody>
    </w:docPart>
    <w:docPart>
      <w:docPartPr>
        <w:name w:val="{b0d13667-a833-43f9-a55d-e0c178738a42}"/>
        <w:style w:val=""/>
        <w:category>
          <w:name w:val="常规"/>
          <w:gallery w:val="placeholder"/>
        </w:category>
        <w:types>
          <w:type w:val="bbPlcHdr"/>
        </w:types>
        <w:behaviors>
          <w:behavior w:val="content"/>
        </w:behaviors>
        <w:description w:val=""/>
        <w:guid w:val="{b0d13667-a833-43f9-a55d-e0c178738a42}"/>
      </w:docPartPr>
      <w:docPartBody>
        <w:p>
          <w:r>
            <w:rPr>
              <w:color w:val="808080"/>
            </w:rPr>
            <w:t>单击此处输入文字。</w:t>
          </w:r>
        </w:p>
      </w:docPartBody>
    </w:docPart>
    <w:docPart>
      <w:docPartPr>
        <w:name w:val="{c1b8cf4c-0942-442a-81a3-4553b76be6bf}"/>
        <w:style w:val=""/>
        <w:category>
          <w:name w:val="常规"/>
          <w:gallery w:val="placeholder"/>
        </w:category>
        <w:types>
          <w:type w:val="bbPlcHdr"/>
        </w:types>
        <w:behaviors>
          <w:behavior w:val="content"/>
        </w:behaviors>
        <w:description w:val=""/>
        <w:guid w:val="{c1b8cf4c-0942-442a-81a3-4553b76be6bf}"/>
      </w:docPartPr>
      <w:docPartBody>
        <w:p>
          <w:r>
            <w:rPr>
              <w:color w:val="808080"/>
            </w:rPr>
            <w:t>单击此处输入文字。</w:t>
          </w:r>
        </w:p>
      </w:docPartBody>
    </w:docPart>
    <w:docPart>
      <w:docPartPr>
        <w:name w:val="{7161edfc-a836-4603-bcd9-2898ebd08310}"/>
        <w:style w:val=""/>
        <w:category>
          <w:name w:val="常规"/>
          <w:gallery w:val="placeholder"/>
        </w:category>
        <w:types>
          <w:type w:val="bbPlcHdr"/>
        </w:types>
        <w:behaviors>
          <w:behavior w:val="content"/>
        </w:behaviors>
        <w:description w:val=""/>
        <w:guid w:val="{7161edfc-a836-4603-bcd9-2898ebd08310}"/>
      </w:docPartPr>
      <w:docPartBody>
        <w:p>
          <w:r>
            <w:rPr>
              <w:color w:val="808080"/>
            </w:rPr>
            <w:t>单击此处输入文字。</w:t>
          </w:r>
        </w:p>
      </w:docPartBody>
    </w:docPart>
    <w:docPart>
      <w:docPartPr>
        <w:name w:val="{d85f137c-a400-4de9-af9f-f558d1f5aa58}"/>
        <w:style w:val=""/>
        <w:category>
          <w:name w:val="常规"/>
          <w:gallery w:val="placeholder"/>
        </w:category>
        <w:types>
          <w:type w:val="bbPlcHdr"/>
        </w:types>
        <w:behaviors>
          <w:behavior w:val="content"/>
        </w:behaviors>
        <w:description w:val=""/>
        <w:guid w:val="{d85f137c-a400-4de9-af9f-f558d1f5aa58}"/>
      </w:docPartPr>
      <w:docPartBody>
        <w:p>
          <w:r>
            <w:rPr>
              <w:color w:val="808080"/>
            </w:rPr>
            <w:t>单击此处输入文字。</w:t>
          </w:r>
        </w:p>
      </w:docPartBody>
    </w:docPart>
    <w:docPart>
      <w:docPartPr>
        <w:name w:val="{1c551288-78ac-4691-a1e7-de4955f325cb}"/>
        <w:style w:val=""/>
        <w:category>
          <w:name w:val="常规"/>
          <w:gallery w:val="placeholder"/>
        </w:category>
        <w:types>
          <w:type w:val="bbPlcHdr"/>
        </w:types>
        <w:behaviors>
          <w:behavior w:val="content"/>
        </w:behaviors>
        <w:description w:val=""/>
        <w:guid w:val="{1c551288-78ac-4691-a1e7-de4955f325cb}"/>
      </w:docPartPr>
      <w:docPartBody>
        <w:p>
          <w:r>
            <w:rPr>
              <w:color w:val="808080"/>
            </w:rPr>
            <w:t>单击此处输入文字。</w:t>
          </w:r>
        </w:p>
      </w:docPartBody>
    </w:docPart>
    <w:docPart>
      <w:docPartPr>
        <w:name w:val="{9a94bbd4-9b29-4e33-8bd1-22aa1a220d75}"/>
        <w:style w:val=""/>
        <w:category>
          <w:name w:val="常规"/>
          <w:gallery w:val="placeholder"/>
        </w:category>
        <w:types>
          <w:type w:val="bbPlcHdr"/>
        </w:types>
        <w:behaviors>
          <w:behavior w:val="content"/>
        </w:behaviors>
        <w:description w:val=""/>
        <w:guid w:val="{9a94bbd4-9b29-4e33-8bd1-22aa1a220d75}"/>
      </w:docPartPr>
      <w:docPartBody>
        <w:p>
          <w:r>
            <w:rPr>
              <w:color w:val="808080"/>
            </w:rPr>
            <w:t>单击此处输入文字。</w:t>
          </w:r>
        </w:p>
      </w:docPartBody>
    </w:docPart>
    <w:docPart>
      <w:docPartPr>
        <w:name w:val="{98d7943b-ef2e-4eab-8993-22437efb6926}"/>
        <w:style w:val=""/>
        <w:category>
          <w:name w:val="常规"/>
          <w:gallery w:val="placeholder"/>
        </w:category>
        <w:types>
          <w:type w:val="bbPlcHdr"/>
        </w:types>
        <w:behaviors>
          <w:behavior w:val="content"/>
        </w:behaviors>
        <w:description w:val=""/>
        <w:guid w:val="{98d7943b-ef2e-4eab-8993-22437efb6926}"/>
      </w:docPartPr>
      <w:docPartBody>
        <w:p>
          <w:r>
            <w:rPr>
              <w:color w:val="808080"/>
            </w:rPr>
            <w:t>单击此处输入文字。</w:t>
          </w:r>
        </w:p>
      </w:docPartBody>
    </w:docPart>
    <w:docPart>
      <w:docPartPr>
        <w:name w:val="{a47468b8-4fe6-4346-a75a-b0a786e9ddf7}"/>
        <w:style w:val=""/>
        <w:category>
          <w:name w:val="常规"/>
          <w:gallery w:val="placeholder"/>
        </w:category>
        <w:types>
          <w:type w:val="bbPlcHdr"/>
        </w:types>
        <w:behaviors>
          <w:behavior w:val="content"/>
        </w:behaviors>
        <w:description w:val=""/>
        <w:guid w:val="{a47468b8-4fe6-4346-a75a-b0a786e9ddf7}"/>
      </w:docPartPr>
      <w:docPartBody>
        <w:p>
          <w:r>
            <w:rPr>
              <w:color w:val="808080"/>
            </w:rPr>
            <w:t>单击此处输入文字。</w:t>
          </w:r>
        </w:p>
      </w:docPartBody>
    </w:docPart>
    <w:docPart>
      <w:docPartPr>
        <w:name w:val="{c83cba11-b9d8-492f-8fce-ab9215371ef1}"/>
        <w:style w:val=""/>
        <w:category>
          <w:name w:val="常规"/>
          <w:gallery w:val="placeholder"/>
        </w:category>
        <w:types>
          <w:type w:val="bbPlcHdr"/>
        </w:types>
        <w:behaviors>
          <w:behavior w:val="content"/>
        </w:behaviors>
        <w:description w:val=""/>
        <w:guid w:val="{c83cba11-b9d8-492f-8fce-ab9215371ef1}"/>
      </w:docPartPr>
      <w:docPartBody>
        <w:p>
          <w:r>
            <w:rPr>
              <w:color w:val="808080"/>
            </w:rPr>
            <w:t>单击此处输入文字。</w:t>
          </w:r>
        </w:p>
      </w:docPartBody>
    </w:docPart>
    <w:docPart>
      <w:docPartPr>
        <w:name w:val="{bbbc21da-96f5-44c8-a720-4bb855fe00bf}"/>
        <w:style w:val=""/>
        <w:category>
          <w:name w:val="常规"/>
          <w:gallery w:val="placeholder"/>
        </w:category>
        <w:types>
          <w:type w:val="bbPlcHdr"/>
        </w:types>
        <w:behaviors>
          <w:behavior w:val="content"/>
        </w:behaviors>
        <w:description w:val=""/>
        <w:guid w:val="{bbbc21da-96f5-44c8-a720-4bb855fe00bf}"/>
      </w:docPartPr>
      <w:docPartBody>
        <w:p>
          <w:r>
            <w:rPr>
              <w:color w:val="808080"/>
            </w:rPr>
            <w:t>单击此处输入文字。</w:t>
          </w:r>
        </w:p>
      </w:docPartBody>
    </w:docPart>
    <w:docPart>
      <w:docPartPr>
        <w:name w:val="{eb56dff3-3c4f-4f96-9599-2c9d04bbd22f}"/>
        <w:style w:val=""/>
        <w:category>
          <w:name w:val="常规"/>
          <w:gallery w:val="placeholder"/>
        </w:category>
        <w:types>
          <w:type w:val="bbPlcHdr"/>
        </w:types>
        <w:behaviors>
          <w:behavior w:val="content"/>
        </w:behaviors>
        <w:description w:val=""/>
        <w:guid w:val="{eb56dff3-3c4f-4f96-9599-2c9d04bbd22f}"/>
      </w:docPartPr>
      <w:docPartBody>
        <w:p>
          <w:r>
            <w:rPr>
              <w:color w:val="808080"/>
            </w:rPr>
            <w:t>单击此处输入文字。</w:t>
          </w:r>
        </w:p>
      </w:docPartBody>
    </w:docPart>
    <w:docPart>
      <w:docPartPr>
        <w:name w:val="{c9120700-f986-4abc-b158-3660f4800463}"/>
        <w:style w:val=""/>
        <w:category>
          <w:name w:val="常规"/>
          <w:gallery w:val="placeholder"/>
        </w:category>
        <w:types>
          <w:type w:val="bbPlcHdr"/>
        </w:types>
        <w:behaviors>
          <w:behavior w:val="content"/>
        </w:behaviors>
        <w:description w:val=""/>
        <w:guid w:val="{c9120700-f986-4abc-b158-3660f4800463}"/>
      </w:docPartPr>
      <w:docPartBody>
        <w:p>
          <w:r>
            <w:rPr>
              <w:color w:val="808080"/>
            </w:rPr>
            <w:t>单击此处输入文字。</w:t>
          </w:r>
        </w:p>
      </w:docPartBody>
    </w:docPart>
    <w:docPart>
      <w:docPartPr>
        <w:name w:val="{98ffcee5-6292-45f4-8150-0428623aaa4e}"/>
        <w:style w:val=""/>
        <w:category>
          <w:name w:val="常规"/>
          <w:gallery w:val="placeholder"/>
        </w:category>
        <w:types>
          <w:type w:val="bbPlcHdr"/>
        </w:types>
        <w:behaviors>
          <w:behavior w:val="content"/>
        </w:behaviors>
        <w:description w:val=""/>
        <w:guid w:val="{98ffcee5-6292-45f4-8150-0428623aaa4e}"/>
      </w:docPartPr>
      <w:docPartBody>
        <w:p>
          <w:r>
            <w:rPr>
              <w:color w:val="808080"/>
            </w:rPr>
            <w:t>单击此处输入文字。</w:t>
          </w:r>
        </w:p>
      </w:docPartBody>
    </w:docPart>
    <w:docPart>
      <w:docPartPr>
        <w:name w:val="{12737261-81f7-4ba1-a025-174a99ea19bf}"/>
        <w:style w:val=""/>
        <w:category>
          <w:name w:val="常规"/>
          <w:gallery w:val="placeholder"/>
        </w:category>
        <w:types>
          <w:type w:val="bbPlcHdr"/>
        </w:types>
        <w:behaviors>
          <w:behavior w:val="content"/>
        </w:behaviors>
        <w:description w:val=""/>
        <w:guid w:val="{12737261-81f7-4ba1-a025-174a99ea19bf}"/>
      </w:docPartPr>
      <w:docPartBody>
        <w:p>
          <w:r>
            <w:rPr>
              <w:color w:val="808080"/>
            </w:rPr>
            <w:t>单击此处输入文字。</w:t>
          </w:r>
        </w:p>
      </w:docPartBody>
    </w:docPart>
    <w:docPart>
      <w:docPartPr>
        <w:name w:val="{40772a29-c85f-4be9-8cca-dcb8d4677222}"/>
        <w:style w:val=""/>
        <w:category>
          <w:name w:val="常规"/>
          <w:gallery w:val="placeholder"/>
        </w:category>
        <w:types>
          <w:type w:val="bbPlcHdr"/>
        </w:types>
        <w:behaviors>
          <w:behavior w:val="content"/>
        </w:behaviors>
        <w:description w:val=""/>
        <w:guid w:val="{40772a29-c85f-4be9-8cca-dcb8d4677222}"/>
      </w:docPartPr>
      <w:docPartBody>
        <w:p>
          <w:r>
            <w:rPr>
              <w:color w:val="808080"/>
            </w:rPr>
            <w:t>单击此处输入文字。</w:t>
          </w:r>
        </w:p>
      </w:docPartBody>
    </w:docPart>
    <w:docPart>
      <w:docPartPr>
        <w:name w:val="{bdb7ef4c-5958-4754-abb8-ff56e7ee9b27}"/>
        <w:style w:val=""/>
        <w:category>
          <w:name w:val="常规"/>
          <w:gallery w:val="placeholder"/>
        </w:category>
        <w:types>
          <w:type w:val="bbPlcHdr"/>
        </w:types>
        <w:behaviors>
          <w:behavior w:val="content"/>
        </w:behaviors>
        <w:description w:val=""/>
        <w:guid w:val="{bdb7ef4c-5958-4754-abb8-ff56e7ee9b27}"/>
      </w:docPartPr>
      <w:docPartBody>
        <w:p>
          <w:r>
            <w:rPr>
              <w:color w:val="808080"/>
            </w:rPr>
            <w:t>单击此处输入文字。</w:t>
          </w:r>
        </w:p>
      </w:docPartBody>
    </w:docPart>
    <w:docPart>
      <w:docPartPr>
        <w:name w:val="{eed91ef6-6e0f-46bb-afca-216ec79d29be}"/>
        <w:style w:val=""/>
        <w:category>
          <w:name w:val="常规"/>
          <w:gallery w:val="placeholder"/>
        </w:category>
        <w:types>
          <w:type w:val="bbPlcHdr"/>
        </w:types>
        <w:behaviors>
          <w:behavior w:val="content"/>
        </w:behaviors>
        <w:description w:val=""/>
        <w:guid w:val="{eed91ef6-6e0f-46bb-afca-216ec79d29be}"/>
      </w:docPartPr>
      <w:docPartBody>
        <w:p>
          <w:r>
            <w:rPr>
              <w:color w:val="808080"/>
            </w:rPr>
            <w:t>单击此处输入文字。</w:t>
          </w:r>
        </w:p>
      </w:docPartBody>
    </w:docPart>
    <w:docPart>
      <w:docPartPr>
        <w:name w:val="{82f6c507-6902-411f-9924-5557de4d4501}"/>
        <w:style w:val=""/>
        <w:category>
          <w:name w:val="常规"/>
          <w:gallery w:val="placeholder"/>
        </w:category>
        <w:types>
          <w:type w:val="bbPlcHdr"/>
        </w:types>
        <w:behaviors>
          <w:behavior w:val="content"/>
        </w:behaviors>
        <w:description w:val=""/>
        <w:guid w:val="{82f6c507-6902-411f-9924-5557de4d4501}"/>
      </w:docPartPr>
      <w:docPartBody>
        <w:p>
          <w:r>
            <w:rPr>
              <w:color w:val="808080"/>
            </w:rPr>
            <w:t>单击此处输入文字。</w:t>
          </w:r>
        </w:p>
      </w:docPartBody>
    </w:docPart>
    <w:docPart>
      <w:docPartPr>
        <w:name w:val="{9543c30d-5a39-4115-8940-8c261f6c6c11}"/>
        <w:style w:val=""/>
        <w:category>
          <w:name w:val="常规"/>
          <w:gallery w:val="placeholder"/>
        </w:category>
        <w:types>
          <w:type w:val="bbPlcHdr"/>
        </w:types>
        <w:behaviors>
          <w:behavior w:val="content"/>
        </w:behaviors>
        <w:description w:val=""/>
        <w:guid w:val="{9543c30d-5a39-4115-8940-8c261f6c6c11}"/>
      </w:docPartPr>
      <w:docPartBody>
        <w:p>
          <w:r>
            <w:rPr>
              <w:color w:val="808080"/>
            </w:rPr>
            <w:t>单击此处输入文字。</w:t>
          </w:r>
        </w:p>
      </w:docPartBody>
    </w:docPart>
    <w:docPart>
      <w:docPartPr>
        <w:name w:val="{aca1ee15-dbc4-4fbd-af2f-a6f27167ae07}"/>
        <w:style w:val=""/>
        <w:category>
          <w:name w:val="常规"/>
          <w:gallery w:val="placeholder"/>
        </w:category>
        <w:types>
          <w:type w:val="bbPlcHdr"/>
        </w:types>
        <w:behaviors>
          <w:behavior w:val="content"/>
        </w:behaviors>
        <w:description w:val=""/>
        <w:guid w:val="{aca1ee15-dbc4-4fbd-af2f-a6f27167ae07}"/>
      </w:docPartPr>
      <w:docPartBody>
        <w:p>
          <w:r>
            <w:rPr>
              <w:color w:val="808080"/>
            </w:rPr>
            <w:t>单击此处输入文字。</w:t>
          </w:r>
        </w:p>
      </w:docPartBody>
    </w:docPart>
    <w:docPart>
      <w:docPartPr>
        <w:name w:val="{618d7e64-a8f1-4b7d-8ded-244292cb055f}"/>
        <w:style w:val=""/>
        <w:category>
          <w:name w:val="常规"/>
          <w:gallery w:val="placeholder"/>
        </w:category>
        <w:types>
          <w:type w:val="bbPlcHdr"/>
        </w:types>
        <w:behaviors>
          <w:behavior w:val="content"/>
        </w:behaviors>
        <w:description w:val=""/>
        <w:guid w:val="{618d7e64-a8f1-4b7d-8ded-244292cb055f}"/>
      </w:docPartPr>
      <w:docPartBody>
        <w:p>
          <w:r>
            <w:rPr>
              <w:color w:val="808080"/>
            </w:rPr>
            <w:t>单击此处输入文字。</w:t>
          </w:r>
        </w:p>
      </w:docPartBody>
    </w:docPart>
    <w:docPart>
      <w:docPartPr>
        <w:name w:val="{fe2c5f28-7f34-4b3a-950b-b12546f9aec4}"/>
        <w:style w:val=""/>
        <w:category>
          <w:name w:val="常规"/>
          <w:gallery w:val="placeholder"/>
        </w:category>
        <w:types>
          <w:type w:val="bbPlcHdr"/>
        </w:types>
        <w:behaviors>
          <w:behavior w:val="content"/>
        </w:behaviors>
        <w:description w:val=""/>
        <w:guid w:val="{fe2c5f28-7f34-4b3a-950b-b12546f9aec4}"/>
      </w:docPartPr>
      <w:docPartBody>
        <w:p>
          <w:r>
            <w:rPr>
              <w:color w:val="808080"/>
            </w:rPr>
            <w:t>单击此处输入文字。</w:t>
          </w:r>
        </w:p>
      </w:docPartBody>
    </w:docPart>
    <w:docPart>
      <w:docPartPr>
        <w:name w:val="{faabbbc4-0b21-405f-b37f-b0c9bfff2e76}"/>
        <w:style w:val=""/>
        <w:category>
          <w:name w:val="常规"/>
          <w:gallery w:val="placeholder"/>
        </w:category>
        <w:types>
          <w:type w:val="bbPlcHdr"/>
        </w:types>
        <w:behaviors>
          <w:behavior w:val="content"/>
        </w:behaviors>
        <w:description w:val=""/>
        <w:guid w:val="{faabbbc4-0b21-405f-b37f-b0c9bfff2e76}"/>
      </w:docPartPr>
      <w:docPartBody>
        <w:p>
          <w:r>
            <w:rPr>
              <w:color w:val="808080"/>
            </w:rPr>
            <w:t>单击此处输入文字。</w:t>
          </w:r>
        </w:p>
      </w:docPartBody>
    </w:docPart>
    <w:docPart>
      <w:docPartPr>
        <w:name w:val="{4fc18585-57f8-4870-9293-b1929802b317}"/>
        <w:style w:val=""/>
        <w:category>
          <w:name w:val="常规"/>
          <w:gallery w:val="placeholder"/>
        </w:category>
        <w:types>
          <w:type w:val="bbPlcHdr"/>
        </w:types>
        <w:behaviors>
          <w:behavior w:val="content"/>
        </w:behaviors>
        <w:description w:val=""/>
        <w:guid w:val="{4fc18585-57f8-4870-9293-b1929802b317}"/>
      </w:docPartPr>
      <w:docPartBody>
        <w:p>
          <w:r>
            <w:rPr>
              <w:color w:val="808080"/>
            </w:rPr>
            <w:t>单击此处输入文字。</w:t>
          </w:r>
        </w:p>
      </w:docPartBody>
    </w:docPart>
    <w:docPart>
      <w:docPartPr>
        <w:name w:val="{f20cc6ba-de1d-45bc-81ea-5b848a35ed1d}"/>
        <w:style w:val=""/>
        <w:category>
          <w:name w:val="常规"/>
          <w:gallery w:val="placeholder"/>
        </w:category>
        <w:types>
          <w:type w:val="bbPlcHdr"/>
        </w:types>
        <w:behaviors>
          <w:behavior w:val="content"/>
        </w:behaviors>
        <w:description w:val=""/>
        <w:guid w:val="{f20cc6ba-de1d-45bc-81ea-5b848a35ed1d}"/>
      </w:docPartPr>
      <w:docPartBody>
        <w:p>
          <w:r>
            <w:rPr>
              <w:color w:val="808080"/>
            </w:rPr>
            <w:t>单击此处输入文字。</w:t>
          </w:r>
        </w:p>
      </w:docPartBody>
    </w:docPart>
    <w:docPart>
      <w:docPartPr>
        <w:name w:val="{37fe37ad-5f46-4f84-893d-ef502086e594}"/>
        <w:style w:val=""/>
        <w:category>
          <w:name w:val="常规"/>
          <w:gallery w:val="placeholder"/>
        </w:category>
        <w:types>
          <w:type w:val="bbPlcHdr"/>
        </w:types>
        <w:behaviors>
          <w:behavior w:val="content"/>
        </w:behaviors>
        <w:description w:val=""/>
        <w:guid w:val="{37fe37ad-5f46-4f84-893d-ef502086e594}"/>
      </w:docPartPr>
      <w:docPartBody>
        <w:p>
          <w:r>
            <w:rPr>
              <w:color w:val="808080"/>
            </w:rPr>
            <w:t>单击此处输入文字。</w:t>
          </w:r>
        </w:p>
      </w:docPartBody>
    </w:docPart>
    <w:docPart>
      <w:docPartPr>
        <w:name w:val="{47e38504-1299-4317-b954-29ec364bb692}"/>
        <w:style w:val=""/>
        <w:category>
          <w:name w:val="常规"/>
          <w:gallery w:val="placeholder"/>
        </w:category>
        <w:types>
          <w:type w:val="bbPlcHdr"/>
        </w:types>
        <w:behaviors>
          <w:behavior w:val="content"/>
        </w:behaviors>
        <w:description w:val=""/>
        <w:guid w:val="{47e38504-1299-4317-b954-29ec364bb692}"/>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87</Pages>
  <Words>7371</Words>
  <Characters>9725</Characters>
  <Lines>0</Lines>
  <Paragraphs>0</Paragraphs>
  <TotalTime>0</TotalTime>
  <ScaleCrop>false</ScaleCrop>
  <LinksUpToDate>false</LinksUpToDate>
  <CharactersWithSpaces>10410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2024-11-05T15:05:00Z</dcterms:created>
  <dc:creator>zk</dc:creator>
  <cp:lastModifiedBy>ying123lin163com</cp:lastModifiedBy>
  <dcterms:modified xsi:type="dcterms:W3CDTF">2024-12-16T02:31:51Z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64464F5AC77B4FE3A9851F1C255BA346_12</vt:lpwstr>
  </property>
</Properties>
</file>