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cs="Times New Roman" w:asciiTheme="majorEastAsia" w:hAnsiTheme="majorEastAsia" w:eastAsiaTheme="majorEastAsia"/>
          <w:b/>
          <w:color w:val="auto"/>
          <w:sz w:val="44"/>
          <w:szCs w:val="44"/>
          <w:highlight w:val="none"/>
        </w:rPr>
      </w:pPr>
      <w:bookmarkStart w:id="0" w:name="_Toc16720"/>
      <w:bookmarkStart w:id="1" w:name="OLE_LINK1"/>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cs="Times New Roman" w:asciiTheme="majorEastAsia" w:hAnsiTheme="majorEastAsia" w:eastAsiaTheme="majorEastAsia"/>
          <w:b/>
          <w:color w:val="auto"/>
          <w:sz w:val="44"/>
          <w:szCs w:val="44"/>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cs="Times New Roman" w:asciiTheme="majorEastAsia" w:hAnsiTheme="majorEastAsia" w:eastAsiaTheme="majorEastAsia"/>
          <w:b/>
          <w:color w:val="auto"/>
          <w:sz w:val="44"/>
          <w:szCs w:val="44"/>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cs="Times New Roman" w:asciiTheme="majorEastAsia" w:hAnsiTheme="majorEastAsia" w:eastAsiaTheme="majorEastAsia"/>
          <w:b/>
          <w:color w:val="auto"/>
          <w:sz w:val="44"/>
          <w:szCs w:val="44"/>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cs="Times New Roman" w:asciiTheme="majorEastAsia" w:hAnsiTheme="majorEastAsia" w:eastAsiaTheme="majorEastAsia"/>
          <w:b/>
          <w:color w:val="auto"/>
          <w:sz w:val="44"/>
          <w:szCs w:val="44"/>
          <w:highlight w:val="none"/>
        </w:r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Cs/>
          <w:color w:val="auto"/>
          <w:sz w:val="36"/>
          <w:szCs w:val="36"/>
          <w:highlight w:val="none"/>
        </w:rPr>
      </w:pPr>
      <w:r>
        <w:rPr>
          <w:rFonts w:hint="eastAsia" w:cs="Times New Roman" w:asciiTheme="majorEastAsia" w:hAnsiTheme="majorEastAsia" w:eastAsiaTheme="majorEastAsia"/>
          <w:b/>
          <w:color w:val="auto"/>
          <w:sz w:val="44"/>
          <w:szCs w:val="44"/>
          <w:highlight w:val="none"/>
        </w:rPr>
        <w:t>装配式建筑评价技术规范</w:t>
      </w:r>
      <w:bookmarkEnd w:id="0"/>
    </w:p>
    <w:p>
      <w:pPr>
        <w:widowControl/>
        <w:spacing w:line="360" w:lineRule="auto"/>
        <w:jc w:val="center"/>
        <w:rPr>
          <w:rFonts w:hint="eastAsia" w:ascii="Times New Roman" w:hAnsi="Times New Roman"/>
          <w:b/>
          <w:bCs/>
          <w:sz w:val="32"/>
          <w:szCs w:val="32"/>
        </w:rPr>
      </w:pPr>
      <w:bookmarkStart w:id="35" w:name="_GoBack"/>
      <w:bookmarkEnd w:id="35"/>
    </w:p>
    <w:p>
      <w:pPr>
        <w:widowControl/>
        <w:spacing w:line="360" w:lineRule="auto"/>
        <w:jc w:val="center"/>
        <w:rPr>
          <w:rFonts w:ascii="Times New Roman" w:hAnsi="Times New Roman"/>
          <w:b/>
          <w:bCs/>
          <w:sz w:val="32"/>
          <w:szCs w:val="32"/>
        </w:rPr>
      </w:pPr>
      <w:r>
        <w:rPr>
          <w:rFonts w:hint="eastAsia" w:ascii="Times New Roman" w:hAnsi="Times New Roman"/>
          <w:b/>
          <w:bCs/>
          <w:sz w:val="32"/>
          <w:szCs w:val="32"/>
        </w:rPr>
        <w:t>（征求意见稿）</w:t>
      </w:r>
    </w:p>
    <w:p>
      <w:pPr>
        <w:autoSpaceDE w:val="0"/>
        <w:autoSpaceDN w:val="0"/>
        <w:spacing w:line="380" w:lineRule="atLeast"/>
        <w:jc w:val="center"/>
        <w:rPr>
          <w:rFonts w:ascii="宋体" w:hAnsi="Times New Roman" w:eastAsia="宋体" w:cs="宋体"/>
          <w:b/>
          <w:bCs/>
          <w:color w:val="auto"/>
          <w:kern w:val="0"/>
          <w:highlight w:val="none"/>
          <w:lang w:val="zh-CN"/>
        </w:rPr>
      </w:pPr>
    </w:p>
    <w:p>
      <w:pPr>
        <w:widowControl/>
        <w:jc w:val="left"/>
        <w:rPr>
          <w:rFonts w:ascii="宋体" w:hAnsi="Times New Roman" w:eastAsia="宋体" w:cs="宋体"/>
          <w:b/>
          <w:bCs/>
          <w:color w:val="auto"/>
          <w:kern w:val="0"/>
          <w:highlight w:val="none"/>
          <w:lang w:val="zh-CN"/>
        </w:rPr>
      </w:pPr>
      <w:r>
        <w:rPr>
          <w:rFonts w:ascii="宋体" w:hAnsi="Times New Roman" w:eastAsia="宋体" w:cs="宋体"/>
          <w:b/>
          <w:bCs/>
          <w:color w:val="auto"/>
          <w:kern w:val="0"/>
          <w:highlight w:val="none"/>
          <w:lang w:val="zh-CN"/>
        </w:rPr>
        <w:br w:type="page"/>
      </w:r>
    </w:p>
    <w:p>
      <w:pPr>
        <w:jc w:val="center"/>
        <w:rPr>
          <w:rFonts w:hint="eastAsia" w:ascii="宋体" w:hAnsi="宋体" w:eastAsia="宋体"/>
          <w:b/>
          <w:color w:val="auto"/>
          <w:sz w:val="32"/>
          <w:szCs w:val="32"/>
          <w:highlight w:val="none"/>
        </w:rPr>
      </w:pPr>
      <w:bookmarkStart w:id="2" w:name="_Toc32304"/>
    </w:p>
    <w:p>
      <w:pPr>
        <w:jc w:val="center"/>
        <w:rPr>
          <w:rFonts w:hint="eastAsia" w:ascii="宋体" w:hAnsi="宋体" w:eastAsia="宋体"/>
          <w:b/>
          <w:color w:val="auto"/>
          <w:sz w:val="32"/>
          <w:szCs w:val="32"/>
          <w:highlight w:val="none"/>
        </w:rPr>
      </w:pPr>
      <w:r>
        <w:rPr>
          <w:rFonts w:hint="eastAsia" w:ascii="宋体" w:hAnsi="宋体" w:eastAsia="宋体"/>
          <w:b/>
          <w:color w:val="auto"/>
          <w:sz w:val="32"/>
          <w:szCs w:val="32"/>
          <w:highlight w:val="none"/>
        </w:rPr>
        <w:t>目  次</w:t>
      </w:r>
    </w:p>
    <w:p>
      <w:pPr>
        <w:pStyle w:val="13"/>
        <w:tabs>
          <w:tab w:val="right" w:leader="dot" w:pos="9298"/>
        </w:tabs>
        <w:rPr>
          <w:rFonts w:ascii="Times New Roman" w:hAnsi="Times New Roman" w:cs="Times New Roman"/>
          <w:color w:val="auto"/>
          <w:highlight w:val="none"/>
        </w:rPr>
      </w:pPr>
      <w:r>
        <w:rPr>
          <w:rFonts w:ascii="Times New Roman" w:hAnsi="Times New Roman" w:eastAsia="宋体" w:cs="Times New Roman"/>
          <w:b/>
          <w:color w:val="auto"/>
          <w:highlight w:val="none"/>
        </w:rPr>
        <w:fldChar w:fldCharType="begin"/>
      </w:r>
      <w:r>
        <w:rPr>
          <w:rFonts w:ascii="Times New Roman" w:hAnsi="Times New Roman" w:eastAsia="宋体" w:cs="Times New Roman"/>
          <w:b/>
          <w:color w:val="auto"/>
          <w:highlight w:val="none"/>
        </w:rPr>
        <w:instrText xml:space="preserve">TOC \o "1-1" \f \h \u </w:instrText>
      </w:r>
      <w:r>
        <w:rPr>
          <w:rFonts w:ascii="Times New Roman" w:hAnsi="Times New Roman" w:eastAsia="宋体" w:cs="Times New Roman"/>
          <w:b/>
          <w:color w:val="auto"/>
          <w:highlight w:val="none"/>
        </w:rPr>
        <w:fldChar w:fldCharType="separate"/>
      </w:r>
      <w:r>
        <w:rPr>
          <w:color w:val="auto"/>
          <w:highlight w:val="none"/>
        </w:rPr>
        <w:fldChar w:fldCharType="begin"/>
      </w:r>
      <w:r>
        <w:rPr>
          <w:color w:val="auto"/>
          <w:highlight w:val="none"/>
        </w:rPr>
        <w:instrText xml:space="preserve"> HYPERLINK \l "_Toc8529" </w:instrText>
      </w:r>
      <w:r>
        <w:rPr>
          <w:color w:val="auto"/>
          <w:highlight w:val="none"/>
        </w:rPr>
        <w:fldChar w:fldCharType="separate"/>
      </w:r>
      <w:r>
        <w:rPr>
          <w:rFonts w:ascii="Times New Roman" w:hAnsi="Times New Roman" w:cs="Times New Roman"/>
          <w:color w:val="auto"/>
          <w:highlight w:val="none"/>
        </w:rPr>
        <w:t>1  总  则</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_Toc8529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w:t>
      </w:r>
      <w:r>
        <w:rPr>
          <w:rFonts w:ascii="Times New Roman" w:hAnsi="Times New Roman" w:cs="Times New Roman"/>
          <w:color w:val="auto"/>
          <w:highlight w:val="none"/>
        </w:rPr>
        <w:fldChar w:fldCharType="end"/>
      </w:r>
      <w:r>
        <w:rPr>
          <w:rFonts w:ascii="Times New Roman" w:hAnsi="Times New Roman" w:cs="Times New Roman"/>
          <w:color w:val="auto"/>
          <w:highlight w:val="none"/>
        </w:rPr>
        <w:fldChar w:fldCharType="end"/>
      </w:r>
    </w:p>
    <w:p>
      <w:pPr>
        <w:pStyle w:val="13"/>
        <w:tabs>
          <w:tab w:val="right" w:leader="dot" w:pos="9298"/>
        </w:tabs>
        <w:rPr>
          <w:rFonts w:ascii="Times New Roman" w:hAnsi="Times New Roman" w:cs="Times New Roman"/>
          <w:color w:val="auto"/>
          <w:highlight w:val="none"/>
        </w:rPr>
      </w:pPr>
      <w:r>
        <w:rPr>
          <w:color w:val="auto"/>
          <w:highlight w:val="none"/>
        </w:rPr>
        <w:fldChar w:fldCharType="begin"/>
      </w:r>
      <w:r>
        <w:rPr>
          <w:color w:val="auto"/>
          <w:highlight w:val="none"/>
        </w:rPr>
        <w:instrText xml:space="preserve"> HYPERLINK \l "_Toc28620" </w:instrText>
      </w:r>
      <w:r>
        <w:rPr>
          <w:color w:val="auto"/>
          <w:highlight w:val="none"/>
        </w:rPr>
        <w:fldChar w:fldCharType="separate"/>
      </w:r>
      <w:r>
        <w:rPr>
          <w:rFonts w:ascii="Times New Roman" w:hAnsi="Times New Roman" w:cs="Times New Roman"/>
          <w:color w:val="auto"/>
          <w:highlight w:val="none"/>
        </w:rPr>
        <w:t>2  术  语</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_Toc28620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2</w:t>
      </w:r>
      <w:r>
        <w:rPr>
          <w:rFonts w:ascii="Times New Roman" w:hAnsi="Times New Roman" w:cs="Times New Roman"/>
          <w:color w:val="auto"/>
          <w:highlight w:val="none"/>
        </w:rPr>
        <w:fldChar w:fldCharType="end"/>
      </w:r>
      <w:r>
        <w:rPr>
          <w:rFonts w:ascii="Times New Roman" w:hAnsi="Times New Roman" w:cs="Times New Roman"/>
          <w:color w:val="auto"/>
          <w:highlight w:val="none"/>
        </w:rPr>
        <w:fldChar w:fldCharType="end"/>
      </w:r>
    </w:p>
    <w:p>
      <w:pPr>
        <w:pStyle w:val="13"/>
        <w:tabs>
          <w:tab w:val="right" w:leader="dot" w:pos="9298"/>
        </w:tabs>
        <w:rPr>
          <w:rFonts w:ascii="Times New Roman" w:hAnsi="Times New Roman" w:cs="Times New Roman"/>
          <w:color w:val="auto"/>
          <w:highlight w:val="none"/>
        </w:rPr>
      </w:pPr>
      <w:r>
        <w:rPr>
          <w:color w:val="auto"/>
          <w:highlight w:val="none"/>
        </w:rPr>
        <w:fldChar w:fldCharType="begin"/>
      </w:r>
      <w:r>
        <w:rPr>
          <w:color w:val="auto"/>
          <w:highlight w:val="none"/>
        </w:rPr>
        <w:instrText xml:space="preserve"> HYPERLINK \l "_Toc6760" </w:instrText>
      </w:r>
      <w:r>
        <w:rPr>
          <w:color w:val="auto"/>
          <w:highlight w:val="none"/>
        </w:rPr>
        <w:fldChar w:fldCharType="separate"/>
      </w:r>
      <w:r>
        <w:rPr>
          <w:rFonts w:ascii="Times New Roman" w:hAnsi="Times New Roman" w:cs="Times New Roman"/>
          <w:color w:val="auto"/>
          <w:highlight w:val="none"/>
        </w:rPr>
        <w:t>3  基 本 规 定</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_Toc6760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4</w:t>
      </w:r>
      <w:r>
        <w:rPr>
          <w:rFonts w:ascii="Times New Roman" w:hAnsi="Times New Roman" w:cs="Times New Roman"/>
          <w:color w:val="auto"/>
          <w:highlight w:val="none"/>
        </w:rPr>
        <w:fldChar w:fldCharType="end"/>
      </w:r>
      <w:r>
        <w:rPr>
          <w:rFonts w:ascii="Times New Roman" w:hAnsi="Times New Roman" w:cs="Times New Roman"/>
          <w:color w:val="auto"/>
          <w:highlight w:val="none"/>
        </w:rPr>
        <w:fldChar w:fldCharType="end"/>
      </w:r>
    </w:p>
    <w:p>
      <w:pPr>
        <w:pStyle w:val="13"/>
        <w:tabs>
          <w:tab w:val="right" w:leader="dot" w:pos="9298"/>
        </w:tabs>
        <w:rPr>
          <w:rFonts w:ascii="Times New Roman" w:hAnsi="Times New Roman" w:cs="Times New Roman"/>
          <w:color w:val="auto"/>
          <w:highlight w:val="none"/>
        </w:rPr>
      </w:pPr>
      <w:r>
        <w:rPr>
          <w:color w:val="auto"/>
          <w:highlight w:val="none"/>
        </w:rPr>
        <w:fldChar w:fldCharType="begin"/>
      </w:r>
      <w:r>
        <w:rPr>
          <w:color w:val="auto"/>
          <w:highlight w:val="none"/>
        </w:rPr>
        <w:instrText xml:space="preserve"> HYPERLINK \l "_Toc10905" </w:instrText>
      </w:r>
      <w:r>
        <w:rPr>
          <w:color w:val="auto"/>
          <w:highlight w:val="none"/>
        </w:rPr>
        <w:fldChar w:fldCharType="separate"/>
      </w:r>
      <w:r>
        <w:rPr>
          <w:rFonts w:ascii="Times New Roman" w:hAnsi="Times New Roman" w:cs="Times New Roman"/>
          <w:color w:val="auto"/>
          <w:highlight w:val="none"/>
        </w:rPr>
        <w:t>4  装配率计算</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_Toc10905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6</w:t>
      </w:r>
      <w:r>
        <w:rPr>
          <w:rFonts w:ascii="Times New Roman" w:hAnsi="Times New Roman" w:cs="Times New Roman"/>
          <w:color w:val="auto"/>
          <w:highlight w:val="none"/>
        </w:rPr>
        <w:fldChar w:fldCharType="end"/>
      </w:r>
      <w:r>
        <w:rPr>
          <w:rFonts w:ascii="Times New Roman" w:hAnsi="Times New Roman" w:cs="Times New Roman"/>
          <w:color w:val="auto"/>
          <w:highlight w:val="none"/>
        </w:rPr>
        <w:fldChar w:fldCharType="end"/>
      </w:r>
    </w:p>
    <w:p>
      <w:pPr>
        <w:pStyle w:val="13"/>
        <w:tabs>
          <w:tab w:val="right" w:leader="dot" w:pos="9298"/>
        </w:tabs>
        <w:rPr>
          <w:rFonts w:ascii="Times New Roman" w:hAnsi="Times New Roman" w:cs="Times New Roman"/>
          <w:color w:val="auto"/>
          <w:highlight w:val="none"/>
        </w:rPr>
      </w:pPr>
      <w:r>
        <w:rPr>
          <w:color w:val="auto"/>
          <w:highlight w:val="none"/>
        </w:rPr>
        <w:fldChar w:fldCharType="begin"/>
      </w:r>
      <w:r>
        <w:rPr>
          <w:color w:val="auto"/>
          <w:highlight w:val="none"/>
        </w:rPr>
        <w:instrText xml:space="preserve"> HYPERLINK \l "_Toc28788" </w:instrText>
      </w:r>
      <w:r>
        <w:rPr>
          <w:color w:val="auto"/>
          <w:highlight w:val="none"/>
        </w:rPr>
        <w:fldChar w:fldCharType="separate"/>
      </w:r>
      <w:r>
        <w:rPr>
          <w:rFonts w:ascii="Times New Roman" w:hAnsi="Times New Roman" w:cs="Times New Roman"/>
          <w:color w:val="auto"/>
          <w:highlight w:val="none"/>
        </w:rPr>
        <w:t>附表1：单体建筑装配率最终计算结果统计表</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_Toc28788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16</w:t>
      </w:r>
      <w:r>
        <w:rPr>
          <w:rFonts w:ascii="Times New Roman" w:hAnsi="Times New Roman" w:cs="Times New Roman"/>
          <w:color w:val="auto"/>
          <w:highlight w:val="none"/>
        </w:rPr>
        <w:fldChar w:fldCharType="end"/>
      </w:r>
      <w:r>
        <w:rPr>
          <w:rFonts w:ascii="Times New Roman" w:hAnsi="Times New Roman" w:cs="Times New Roman"/>
          <w:color w:val="auto"/>
          <w:highlight w:val="none"/>
        </w:rPr>
        <w:fldChar w:fldCharType="end"/>
      </w:r>
    </w:p>
    <w:p>
      <w:pPr>
        <w:pStyle w:val="13"/>
        <w:tabs>
          <w:tab w:val="right" w:leader="dot" w:pos="9298"/>
        </w:tabs>
        <w:rPr>
          <w:rFonts w:ascii="Times New Roman" w:hAnsi="Times New Roman" w:cs="Times New Roman"/>
          <w:color w:val="auto"/>
          <w:highlight w:val="none"/>
        </w:rPr>
      </w:pPr>
      <w:r>
        <w:rPr>
          <w:color w:val="auto"/>
          <w:highlight w:val="none"/>
        </w:rPr>
        <w:fldChar w:fldCharType="begin"/>
      </w:r>
      <w:r>
        <w:rPr>
          <w:color w:val="auto"/>
          <w:highlight w:val="none"/>
        </w:rPr>
        <w:instrText xml:space="preserve"> HYPERLINK \l "_Toc6064" </w:instrText>
      </w:r>
      <w:r>
        <w:rPr>
          <w:color w:val="auto"/>
          <w:highlight w:val="none"/>
        </w:rPr>
        <w:fldChar w:fldCharType="separate"/>
      </w:r>
      <w:r>
        <w:rPr>
          <w:rFonts w:ascii="Times New Roman" w:hAnsi="Times New Roman" w:cs="Times New Roman"/>
          <w:color w:val="auto"/>
          <w:highlight w:val="none"/>
        </w:rPr>
        <w:t>本规范用词说明</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_Toc6064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18</w:t>
      </w:r>
      <w:r>
        <w:rPr>
          <w:rFonts w:ascii="Times New Roman" w:hAnsi="Times New Roman" w:cs="Times New Roman"/>
          <w:color w:val="auto"/>
          <w:highlight w:val="none"/>
        </w:rPr>
        <w:fldChar w:fldCharType="end"/>
      </w:r>
      <w:r>
        <w:rPr>
          <w:rFonts w:ascii="Times New Roman" w:hAnsi="Times New Roman" w:cs="Times New Roman"/>
          <w:color w:val="auto"/>
          <w:highlight w:val="none"/>
        </w:rPr>
        <w:fldChar w:fldCharType="end"/>
      </w:r>
    </w:p>
    <w:p>
      <w:pPr>
        <w:pStyle w:val="13"/>
        <w:tabs>
          <w:tab w:val="right" w:leader="dot" w:pos="9298"/>
        </w:tabs>
        <w:rPr>
          <w:rFonts w:ascii="Times New Roman" w:hAnsi="Times New Roman" w:cs="Times New Roman"/>
          <w:color w:val="auto"/>
          <w:highlight w:val="none"/>
        </w:rPr>
      </w:pPr>
      <w:r>
        <w:rPr>
          <w:color w:val="auto"/>
          <w:highlight w:val="none"/>
        </w:rPr>
        <w:fldChar w:fldCharType="begin"/>
      </w:r>
      <w:r>
        <w:rPr>
          <w:color w:val="auto"/>
          <w:highlight w:val="none"/>
        </w:rPr>
        <w:instrText xml:space="preserve"> HYPERLINK \l "_Toc17083" </w:instrText>
      </w:r>
      <w:r>
        <w:rPr>
          <w:color w:val="auto"/>
          <w:highlight w:val="none"/>
        </w:rPr>
        <w:fldChar w:fldCharType="separate"/>
      </w:r>
      <w:r>
        <w:rPr>
          <w:rFonts w:ascii="Times New Roman" w:hAnsi="Times New Roman" w:cs="Times New Roman"/>
          <w:color w:val="auto"/>
          <w:highlight w:val="none"/>
        </w:rPr>
        <w:t>引用标准名录</w:t>
      </w:r>
      <w:r>
        <w:rPr>
          <w:rFonts w:ascii="Times New Roman" w:hAnsi="Times New Roman" w:cs="Times New Roman"/>
          <w:color w:val="auto"/>
          <w:highlight w:val="none"/>
        </w:rPr>
        <w:tab/>
      </w:r>
      <w:r>
        <w:rPr>
          <w:rFonts w:ascii="Times New Roman" w:hAnsi="Times New Roman" w:cs="Times New Roman"/>
          <w:color w:val="auto"/>
          <w:highlight w:val="none"/>
        </w:rPr>
        <w:fldChar w:fldCharType="begin"/>
      </w:r>
      <w:r>
        <w:rPr>
          <w:rFonts w:ascii="Times New Roman" w:hAnsi="Times New Roman" w:cs="Times New Roman"/>
          <w:color w:val="auto"/>
          <w:highlight w:val="none"/>
        </w:rPr>
        <w:instrText xml:space="preserve"> PAGEREF _Toc17083 \h </w:instrText>
      </w:r>
      <w:r>
        <w:rPr>
          <w:rFonts w:ascii="Times New Roman" w:hAnsi="Times New Roman" w:cs="Times New Roman"/>
          <w:color w:val="auto"/>
          <w:highlight w:val="none"/>
        </w:rPr>
        <w:fldChar w:fldCharType="separate"/>
      </w:r>
      <w:r>
        <w:rPr>
          <w:rFonts w:ascii="Times New Roman" w:hAnsi="Times New Roman" w:cs="Times New Roman"/>
          <w:color w:val="auto"/>
          <w:highlight w:val="none"/>
        </w:rPr>
        <w:t>19</w:t>
      </w:r>
      <w:r>
        <w:rPr>
          <w:rFonts w:ascii="Times New Roman" w:hAnsi="Times New Roman" w:cs="Times New Roman"/>
          <w:color w:val="auto"/>
          <w:highlight w:val="none"/>
        </w:rPr>
        <w:fldChar w:fldCharType="end"/>
      </w:r>
      <w:r>
        <w:rPr>
          <w:rFonts w:ascii="Times New Roman" w:hAnsi="Times New Roman" w:cs="Times New Roman"/>
          <w:color w:val="auto"/>
          <w:highlight w:val="none"/>
        </w:rPr>
        <w:fldChar w:fldCharType="end"/>
      </w:r>
    </w:p>
    <w:p>
      <w:pPr>
        <w:jc w:val="center"/>
        <w:rPr>
          <w:rFonts w:ascii="Times New Roman" w:hAnsi="Times New Roman" w:eastAsia="宋体" w:cs="Times New Roman"/>
          <w:color w:val="auto"/>
          <w:highlight w:val="none"/>
        </w:rPr>
      </w:pPr>
      <w:r>
        <w:rPr>
          <w:rFonts w:ascii="Times New Roman" w:hAnsi="Times New Roman" w:eastAsia="宋体" w:cs="Times New Roman"/>
          <w:color w:val="auto"/>
          <w:highlight w:val="none"/>
        </w:rPr>
        <w:fldChar w:fldCharType="end"/>
      </w:r>
      <w:bookmarkEnd w:id="2"/>
      <w:bookmarkStart w:id="3" w:name="_Toc947"/>
    </w:p>
    <w:p>
      <w:pPr>
        <w:rPr>
          <w:rFonts w:ascii="Times New Roman" w:hAnsi="Times New Roman" w:eastAsia="宋体" w:cs="Times New Roman"/>
          <w:color w:val="auto"/>
          <w:highlight w:val="none"/>
        </w:rPr>
      </w:pPr>
      <w:r>
        <w:rPr>
          <w:rFonts w:ascii="Times New Roman" w:hAnsi="Times New Roman" w:eastAsia="宋体" w:cs="Times New Roman"/>
          <w:color w:val="auto"/>
          <w:highlight w:val="none"/>
        </w:rPr>
        <w:br w:type="page"/>
      </w:r>
    </w:p>
    <w:p>
      <w:pPr>
        <w:jc w:val="center"/>
        <w:rPr>
          <w:rFonts w:ascii="宋体" w:hAnsi="Times New Roman" w:eastAsia="宋体" w:cs="宋体"/>
          <w:b/>
          <w:bCs/>
          <w:color w:val="auto"/>
          <w:kern w:val="0"/>
          <w:sz w:val="32"/>
          <w:szCs w:val="32"/>
          <w:highlight w:val="none"/>
        </w:rPr>
      </w:pPr>
      <w:r>
        <w:rPr>
          <w:rFonts w:ascii="宋体" w:hAnsi="Times New Roman" w:eastAsia="宋体" w:cs="宋体"/>
          <w:b/>
          <w:bCs/>
          <w:color w:val="auto"/>
          <w:kern w:val="0"/>
          <w:sz w:val="32"/>
          <w:szCs w:val="32"/>
          <w:highlight w:val="none"/>
        </w:rPr>
        <w:t>Contents</w:t>
      </w:r>
      <w:bookmarkEnd w:id="3"/>
    </w:p>
    <w:p>
      <w:pPr>
        <w:autoSpaceDE w:val="0"/>
        <w:autoSpaceDN w:val="0"/>
        <w:rPr>
          <w:rFonts w:ascii="宋体" w:hAnsi="Times New Roman" w:eastAsia="宋体" w:cs="宋体"/>
          <w:color w:val="auto"/>
          <w:kern w:val="0"/>
          <w:highlight w:val="none"/>
        </w:rPr>
      </w:pPr>
    </w:p>
    <w:p>
      <w:pPr>
        <w:autoSpaceDE w:val="0"/>
        <w:autoSpaceDN w:val="0"/>
        <w:rPr>
          <w:rFonts w:ascii="Times New Roman" w:hAnsi="Times New Roman" w:eastAsia="宋体" w:cs="Times New Roman"/>
          <w:color w:val="auto"/>
          <w:kern w:val="0"/>
          <w:highlight w:val="none"/>
        </w:rPr>
      </w:pPr>
      <w:r>
        <w:rPr>
          <w:rFonts w:ascii="宋体" w:hAnsi="Times New Roman" w:eastAsia="宋体" w:cs="宋体"/>
          <w:color w:val="auto"/>
          <w:kern w:val="0"/>
          <w:highlight w:val="none"/>
        </w:rPr>
        <w:t xml:space="preserve">1 </w:t>
      </w:r>
      <w:r>
        <w:rPr>
          <w:rFonts w:ascii="Times New Roman" w:hAnsi="Times New Roman" w:eastAsia="宋体" w:cs="Times New Roman"/>
          <w:color w:val="auto"/>
          <w:kern w:val="0"/>
          <w:highlight w:val="none"/>
        </w:rPr>
        <w:t>General Provisions</w:t>
      </w:r>
      <w:r>
        <w:rPr>
          <w:rFonts w:ascii="Times New Roman" w:hAnsi="Times New Roman" w:cs="Times New Roman"/>
          <w:color w:val="auto"/>
          <w:highlight w:val="none"/>
        </w:rPr>
        <w:t>.................................................................................................</w:t>
      </w:r>
    </w:p>
    <w:p>
      <w:pPr>
        <w:autoSpaceDE w:val="0"/>
        <w:autoSpaceDN w:val="0"/>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2 Terms</w:t>
      </w:r>
      <w:r>
        <w:rPr>
          <w:rFonts w:ascii="Times New Roman" w:hAnsi="Times New Roman" w:cs="Times New Roman"/>
          <w:color w:val="auto"/>
          <w:highlight w:val="none"/>
        </w:rPr>
        <w:t>......................................................................................................................</w:t>
      </w:r>
    </w:p>
    <w:p>
      <w:pPr>
        <w:autoSpaceDE w:val="0"/>
        <w:autoSpaceDN w:val="0"/>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3 Basic Requirements</w:t>
      </w:r>
      <w:r>
        <w:rPr>
          <w:rFonts w:ascii="Times New Roman" w:hAnsi="Times New Roman" w:cs="Times New Roman"/>
          <w:color w:val="auto"/>
          <w:highlight w:val="none"/>
        </w:rPr>
        <w:t>.................................................................................................</w:t>
      </w:r>
    </w:p>
    <w:p>
      <w:pPr>
        <w:autoSpaceDE w:val="0"/>
        <w:autoSpaceDN w:val="0"/>
        <w:rPr>
          <w:rFonts w:ascii="Times New Roman" w:hAnsi="Times New Roman" w:eastAsia="宋体" w:cs="Times New Roman"/>
          <w:color w:val="auto"/>
          <w:kern w:val="0"/>
          <w:highlight w:val="none"/>
        </w:rPr>
      </w:pPr>
      <w:r>
        <w:rPr>
          <w:rFonts w:ascii="Times New Roman" w:hAnsi="Times New Roman" w:eastAsia="宋体" w:cs="Times New Roman"/>
          <w:color w:val="auto"/>
          <w:kern w:val="0"/>
          <w:highlight w:val="none"/>
        </w:rPr>
        <w:t>4 Prefabrication Ratio Calculation</w:t>
      </w:r>
      <w:r>
        <w:rPr>
          <w:rFonts w:ascii="Times New Roman" w:hAnsi="Times New Roman" w:cs="Times New Roman"/>
          <w:color w:val="auto"/>
          <w:highlight w:val="none"/>
        </w:rPr>
        <w:t>.............................................................................</w:t>
      </w:r>
    </w:p>
    <w:p>
      <w:pPr>
        <w:autoSpaceDE w:val="0"/>
        <w:autoSpaceDN w:val="0"/>
        <w:ind w:left="319" w:leftChars="114"/>
        <w:jc w:val="left"/>
        <w:rPr>
          <w:rFonts w:ascii="Times New Roman" w:hAnsi="Times New Roman" w:eastAsia="宋体" w:cs="Times New Roman"/>
          <w:color w:val="auto"/>
          <w:kern w:val="0"/>
          <w:sz w:val="24"/>
          <w:highlight w:val="none"/>
        </w:rPr>
      </w:pPr>
      <w:r>
        <w:rPr>
          <w:rFonts w:ascii="Times New Roman" w:hAnsi="Times New Roman" w:eastAsia="宋体" w:cs="Times New Roman"/>
          <w:color w:val="auto"/>
          <w:kern w:val="0"/>
          <w:sz w:val="24"/>
          <w:highlight w:val="none"/>
        </w:rPr>
        <w:t>Attached List 1 Statistical Table for Final Prefabrication Ratio of Single Building</w:t>
      </w:r>
      <w:r>
        <w:rPr>
          <w:rFonts w:ascii="Times New Roman" w:hAnsi="Times New Roman" w:cs="Times New Roman"/>
          <w:color w:val="auto"/>
          <w:sz w:val="24"/>
          <w:highlight w:val="none"/>
        </w:rPr>
        <w:t>.......</w:t>
      </w:r>
      <w:r>
        <w:rPr>
          <w:rFonts w:ascii="Times New Roman" w:hAnsi="Times New Roman" w:cs="Times New Roman"/>
          <w:color w:val="auto"/>
          <w:highlight w:val="none"/>
        </w:rPr>
        <w:t>....</w:t>
      </w:r>
      <w:r>
        <w:rPr>
          <w:rFonts w:ascii="Times New Roman" w:hAnsi="Times New Roman" w:cs="Times New Roman"/>
          <w:color w:val="auto"/>
          <w:sz w:val="24"/>
          <w:highlight w:val="none"/>
        </w:rPr>
        <w:t>......</w:t>
      </w:r>
    </w:p>
    <w:p>
      <w:pPr>
        <w:autoSpaceDE w:val="0"/>
        <w:autoSpaceDN w:val="0"/>
        <w:rPr>
          <w:rFonts w:ascii="Times New Roman" w:hAnsi="Times New Roman" w:cs="Times New Roman"/>
          <w:color w:val="auto"/>
          <w:highlight w:val="none"/>
        </w:rPr>
      </w:pPr>
      <w:r>
        <w:rPr>
          <w:rFonts w:ascii="Times New Roman" w:hAnsi="Times New Roman" w:eastAsia="宋体" w:cs="Times New Roman"/>
          <w:color w:val="auto"/>
          <w:kern w:val="0"/>
          <w:highlight w:val="none"/>
        </w:rPr>
        <w:t xml:space="preserve">Explanation of Wording in This </w:t>
      </w:r>
      <w:r>
        <w:rPr>
          <w:rFonts w:hint="eastAsia" w:ascii="Times New Roman" w:hAnsi="Times New Roman" w:eastAsia="宋体" w:cs="Times New Roman"/>
          <w:color w:val="auto"/>
          <w:kern w:val="0"/>
          <w:highlight w:val="none"/>
        </w:rPr>
        <w:t>Standard</w:t>
      </w:r>
      <w:r>
        <w:rPr>
          <w:rFonts w:ascii="Times New Roman" w:hAnsi="Times New Roman" w:cs="Times New Roman"/>
          <w:color w:val="auto"/>
          <w:highlight w:val="none"/>
        </w:rPr>
        <w:t>.................................................................</w:t>
      </w:r>
    </w:p>
    <w:p>
      <w:pPr>
        <w:autoSpaceDE w:val="0"/>
        <w:autoSpaceDN w:val="0"/>
        <w:rPr>
          <w:rFonts w:ascii="Times New Roman" w:hAnsi="Times New Roman" w:cs="Times New Roman"/>
          <w:color w:val="auto"/>
          <w:highlight w:val="none"/>
        </w:rPr>
      </w:pPr>
      <w:r>
        <w:rPr>
          <w:rFonts w:ascii="Times New Roman" w:hAnsi="Times New Roman" w:cs="Times New Roman"/>
          <w:color w:val="auto"/>
          <w:highlight w:val="none"/>
        </w:rPr>
        <w:t>List of Quoted Standards...........................................................................................</w:t>
      </w:r>
    </w:p>
    <w:p>
      <w:pPr>
        <w:rPr>
          <w:rFonts w:hint="eastAsia" w:asciiTheme="majorEastAsia" w:hAnsiTheme="majorEastAsia" w:eastAsiaTheme="majorEastAsia" w:cstheme="majorEastAsia"/>
          <w:bCs/>
          <w:color w:val="auto"/>
          <w:sz w:val="32"/>
          <w:szCs w:val="32"/>
          <w:highlight w:val="none"/>
        </w:rPr>
      </w:pPr>
      <w:r>
        <w:rPr>
          <w:rFonts w:ascii="Times New Roman" w:hAnsi="Times New Roman" w:eastAsia="宋体" w:cs="Times New Roman"/>
          <w:color w:val="auto"/>
          <w:kern w:val="0"/>
          <w:highlight w:val="none"/>
        </w:rPr>
        <w:t>Explanation of Provisions</w:t>
      </w:r>
      <w:r>
        <w:rPr>
          <w:rFonts w:ascii="Times New Roman" w:hAnsi="Times New Roman" w:cs="Times New Roman"/>
          <w:color w:val="auto"/>
          <w:highlight w:val="none"/>
        </w:rPr>
        <w:t>..........................................................................................</w:t>
      </w:r>
    </w:p>
    <w:p>
      <w:pPr>
        <w:rPr>
          <w:rFonts w:hint="eastAsia" w:asciiTheme="majorEastAsia" w:hAnsiTheme="majorEastAsia" w:eastAsiaTheme="majorEastAsia" w:cstheme="majorEastAsia"/>
          <w:bCs/>
          <w:color w:val="auto"/>
          <w:sz w:val="32"/>
          <w:szCs w:val="32"/>
          <w:highlight w:val="none"/>
        </w:rPr>
      </w:pPr>
    </w:p>
    <w:p>
      <w:pPr>
        <w:rPr>
          <w:rFonts w:hint="eastAsia" w:asciiTheme="majorEastAsia" w:hAnsiTheme="majorEastAsia" w:eastAsiaTheme="majorEastAsia" w:cstheme="majorEastAsia"/>
          <w:bCs/>
          <w:color w:val="auto"/>
          <w:sz w:val="32"/>
          <w:szCs w:val="32"/>
          <w:highlight w:val="none"/>
        </w:rPr>
      </w:pPr>
    </w:p>
    <w:p>
      <w:pPr>
        <w:rPr>
          <w:rFonts w:hint="eastAsia" w:asciiTheme="majorEastAsia" w:hAnsiTheme="majorEastAsia" w:eastAsiaTheme="majorEastAsia" w:cstheme="majorEastAsia"/>
          <w:bCs/>
          <w:color w:val="auto"/>
          <w:sz w:val="32"/>
          <w:szCs w:val="32"/>
          <w:highlight w:val="none"/>
        </w:rPr>
      </w:pPr>
    </w:p>
    <w:p>
      <w:pPr>
        <w:rPr>
          <w:rFonts w:hint="eastAsia" w:asciiTheme="majorEastAsia" w:hAnsiTheme="majorEastAsia" w:eastAsiaTheme="majorEastAsia" w:cstheme="majorEastAsia"/>
          <w:bCs/>
          <w:color w:val="auto"/>
          <w:sz w:val="32"/>
          <w:szCs w:val="32"/>
          <w:highlight w:val="none"/>
        </w:rPr>
      </w:pPr>
    </w:p>
    <w:p>
      <w:pPr>
        <w:rPr>
          <w:rFonts w:hint="eastAsia" w:asciiTheme="majorEastAsia" w:hAnsiTheme="majorEastAsia" w:eastAsiaTheme="majorEastAsia" w:cstheme="majorEastAsia"/>
          <w:bCs/>
          <w:color w:val="auto"/>
          <w:sz w:val="32"/>
          <w:szCs w:val="32"/>
          <w:highlight w:val="none"/>
        </w:rPr>
      </w:pPr>
    </w:p>
    <w:p>
      <w:pPr>
        <w:rPr>
          <w:rFonts w:hint="eastAsia" w:asciiTheme="majorEastAsia" w:hAnsiTheme="majorEastAsia" w:eastAsiaTheme="majorEastAsia" w:cstheme="majorEastAsia"/>
          <w:bCs/>
          <w:color w:val="auto"/>
          <w:sz w:val="32"/>
          <w:szCs w:val="32"/>
          <w:highlight w:val="none"/>
        </w:rPr>
      </w:pPr>
    </w:p>
    <w:p>
      <w:pPr>
        <w:rPr>
          <w:rFonts w:hint="eastAsia" w:asciiTheme="majorEastAsia" w:hAnsiTheme="majorEastAsia" w:eastAsiaTheme="majorEastAsia" w:cstheme="majorEastAsia"/>
          <w:bCs/>
          <w:color w:val="auto"/>
          <w:sz w:val="32"/>
          <w:szCs w:val="32"/>
          <w:highlight w:val="none"/>
        </w:rPr>
      </w:pPr>
    </w:p>
    <w:p>
      <w:pPr>
        <w:rPr>
          <w:rFonts w:hint="eastAsia" w:asciiTheme="majorEastAsia" w:hAnsiTheme="majorEastAsia" w:eastAsiaTheme="majorEastAsia" w:cstheme="majorEastAsia"/>
          <w:bCs/>
          <w:color w:val="auto"/>
          <w:sz w:val="32"/>
          <w:szCs w:val="32"/>
          <w:highlight w:val="none"/>
        </w:rPr>
        <w:sectPr>
          <w:footerReference r:id="rId5" w:type="default"/>
          <w:pgSz w:w="11906" w:h="16838"/>
          <w:pgMar w:top="1418" w:right="1304" w:bottom="1418" w:left="1304" w:header="851" w:footer="992" w:gutter="0"/>
          <w:cols w:space="425" w:num="1"/>
          <w:docGrid w:linePitch="312" w:charSpace="0"/>
        </w:sectPr>
      </w:pPr>
    </w:p>
    <w:p>
      <w:pPr>
        <w:pStyle w:val="3"/>
        <w:rPr>
          <w:rFonts w:hint="eastAsia"/>
          <w:color w:val="auto"/>
          <w:highlight w:val="none"/>
        </w:rPr>
      </w:pPr>
      <w:bookmarkStart w:id="4" w:name="_Toc5062"/>
      <w:bookmarkStart w:id="5" w:name="_Toc8529"/>
      <w:r>
        <w:rPr>
          <w:rFonts w:hint="eastAsia"/>
          <w:color w:val="auto"/>
          <w:highlight w:val="none"/>
        </w:rPr>
        <w:t>1  总  则</w:t>
      </w:r>
      <w:bookmarkEnd w:id="4"/>
      <w:bookmarkEnd w:id="5"/>
    </w:p>
    <w:p>
      <w:pPr>
        <w:rPr>
          <w:rFonts w:hint="eastAsia" w:asciiTheme="majorEastAsia" w:hAnsiTheme="majorEastAsia" w:eastAsiaTheme="majorEastAsia" w:cstheme="majorEastAsia"/>
          <w:bCs/>
          <w:color w:val="auto"/>
          <w:highlight w:val="none"/>
        </w:rPr>
      </w:pPr>
    </w:p>
    <w:p>
      <w:pPr>
        <w:pStyle w:val="7"/>
        <w:rPr>
          <w:rFonts w:hint="eastAsia"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
          <w:bCs/>
          <w:color w:val="auto"/>
          <w:highlight w:val="none"/>
        </w:rPr>
        <w:t>1.0.1</w:t>
      </w:r>
      <w:r>
        <w:rPr>
          <w:rFonts w:hint="eastAsia" w:asciiTheme="majorEastAsia" w:hAnsiTheme="majorEastAsia" w:eastAsiaTheme="majorEastAsia" w:cstheme="majorEastAsia"/>
          <w:bCs/>
          <w:color w:val="auto"/>
          <w:highlight w:val="none"/>
        </w:rPr>
        <w:t xml:space="preserve">  为促进安徽省装配式建筑发展，规范装配式建筑</w:t>
      </w:r>
      <w:r>
        <w:rPr>
          <w:rFonts w:hint="eastAsia" w:asciiTheme="majorEastAsia" w:hAnsiTheme="majorEastAsia" w:eastAsiaTheme="majorEastAsia" w:cstheme="majorEastAsia"/>
          <w:bCs/>
          <w:color w:val="auto"/>
          <w:highlight w:val="none"/>
          <w:lang w:val="en-US" w:eastAsia="zh-CN"/>
        </w:rPr>
        <w:t>装配率计算</w:t>
      </w:r>
      <w:r>
        <w:rPr>
          <w:rFonts w:hint="eastAsia" w:asciiTheme="majorEastAsia" w:hAnsiTheme="majorEastAsia" w:eastAsiaTheme="majorEastAsia" w:cstheme="majorEastAsia"/>
          <w:bCs/>
          <w:color w:val="auto"/>
          <w:highlight w:val="none"/>
        </w:rPr>
        <w:t>，制定本规范。</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 xml:space="preserve">条文说明：1.0.1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为加快推进安徽省装配式建筑健康发展，完善安徽省装配式建筑</w:t>
      </w:r>
      <w:r>
        <w:rPr>
          <w:rFonts w:hint="eastAsia" w:ascii="楷体" w:hAnsi="楷体" w:eastAsia="楷体" w:cs="楷体"/>
          <w:bCs w:val="0"/>
          <w:i w:val="0"/>
          <w:iCs w:val="0"/>
          <w:color w:val="auto"/>
          <w:highlight w:val="none"/>
          <w:lang w:val="en-US" w:eastAsia="zh-CN"/>
        </w:rPr>
        <w:t>装配率计算</w:t>
      </w:r>
      <w:r>
        <w:rPr>
          <w:rFonts w:hint="eastAsia" w:ascii="楷体" w:hAnsi="楷体" w:eastAsia="楷体" w:cs="楷体"/>
          <w:b w:val="0"/>
          <w:bCs w:val="0"/>
          <w:i w:val="0"/>
          <w:iCs w:val="0"/>
          <w:color w:val="auto"/>
          <w:highlight w:val="none"/>
          <w:lang w:val="en-US" w:eastAsia="zh-CN"/>
        </w:rPr>
        <w:t>规则</w:t>
      </w:r>
      <w:r>
        <w:rPr>
          <w:rFonts w:hint="eastAsia" w:ascii="楷体" w:hAnsi="楷体" w:eastAsia="楷体" w:cs="楷体"/>
          <w:b w:val="0"/>
          <w:bCs w:val="0"/>
          <w:i w:val="0"/>
          <w:iCs w:val="0"/>
          <w:color w:val="auto"/>
          <w:highlight w:val="none"/>
        </w:rPr>
        <w:t>，对其实施科学、统一、规范的</w:t>
      </w:r>
      <w:r>
        <w:rPr>
          <w:rFonts w:hint="eastAsia" w:ascii="楷体" w:hAnsi="楷体" w:eastAsia="楷体" w:cs="楷体"/>
          <w:bCs w:val="0"/>
          <w:i w:val="0"/>
          <w:iCs w:val="0"/>
          <w:color w:val="auto"/>
          <w:highlight w:val="none"/>
          <w:lang w:val="en-US" w:eastAsia="zh-CN"/>
        </w:rPr>
        <w:t>装配率计算</w:t>
      </w:r>
      <w:r>
        <w:rPr>
          <w:rFonts w:hint="eastAsia" w:ascii="楷体" w:hAnsi="楷体" w:eastAsia="楷体" w:cs="楷体"/>
          <w:b w:val="0"/>
          <w:bCs w:val="0"/>
          <w:i w:val="0"/>
          <w:iCs w:val="0"/>
          <w:color w:val="auto"/>
          <w:highlight w:val="none"/>
        </w:rPr>
        <w:t>。</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 xml:space="preserve">    本规范总体遵守了国家现行标准《装配式建筑评价标准》GB/T51129-2017的编制原则和</w:t>
      </w:r>
      <w:r>
        <w:rPr>
          <w:rFonts w:hint="eastAsia" w:ascii="楷体" w:hAnsi="楷体" w:eastAsia="楷体" w:cs="楷体"/>
          <w:b w:val="0"/>
          <w:bCs w:val="0"/>
          <w:i w:val="0"/>
          <w:iCs w:val="0"/>
          <w:color w:val="auto"/>
          <w:highlight w:val="none"/>
          <w:lang w:val="en-US" w:eastAsia="zh-CN"/>
        </w:rPr>
        <w:t>计算</w:t>
      </w:r>
      <w:r>
        <w:rPr>
          <w:rFonts w:hint="eastAsia" w:ascii="楷体" w:hAnsi="楷体" w:eastAsia="楷体" w:cs="楷体"/>
          <w:b w:val="0"/>
          <w:bCs w:val="0"/>
          <w:i w:val="0"/>
          <w:iCs w:val="0"/>
          <w:color w:val="auto"/>
          <w:highlight w:val="none"/>
        </w:rPr>
        <w:t>方法，总结了《装配式建筑评价技术规范》DB34/T 3830-2021应用经验，突出了安徽省的发展特点和建筑业</w:t>
      </w:r>
      <w:r>
        <w:rPr>
          <w:rFonts w:hint="eastAsia" w:ascii="楷体" w:hAnsi="楷体" w:eastAsia="楷体" w:cs="楷体"/>
          <w:b w:val="0"/>
          <w:bCs w:val="0"/>
          <w:i w:val="0"/>
          <w:iCs w:val="0"/>
          <w:color w:val="auto"/>
          <w:highlight w:val="none"/>
          <w:lang w:val="en-US" w:eastAsia="zh-CN"/>
        </w:rPr>
        <w:t>绿色化、智能化、工业化</w:t>
      </w:r>
      <w:r>
        <w:rPr>
          <w:rFonts w:hint="eastAsia" w:ascii="楷体" w:hAnsi="楷体" w:eastAsia="楷体" w:cs="楷体"/>
          <w:b w:val="0"/>
          <w:bCs w:val="0"/>
          <w:i w:val="0"/>
          <w:iCs w:val="0"/>
          <w:color w:val="auto"/>
          <w:highlight w:val="none"/>
        </w:rPr>
        <w:t>转型发展需求。调整了安徽省《装配式建筑评价技术规范》（DB34T3830-2021）主体结构、围护墙和内隔墙、装修和设备管线系统中各项分值，为鼓励发展新技术、绿色材料的应用和新型管理模式增加了鼓励项。本规范的制定充分考虑安徽省装配式建筑整体发展水平，</w:t>
      </w:r>
      <w:r>
        <w:rPr>
          <w:rFonts w:hint="eastAsia" w:ascii="楷体" w:hAnsi="楷体" w:eastAsia="楷体" w:cs="楷体"/>
          <w:b w:val="0"/>
          <w:bCs w:val="0"/>
          <w:i w:val="0"/>
          <w:iCs w:val="0"/>
          <w:color w:val="auto"/>
          <w:highlight w:val="none"/>
          <w:lang w:eastAsia="zh-CN"/>
        </w:rPr>
        <w:t>并</w:t>
      </w:r>
      <w:r>
        <w:rPr>
          <w:rFonts w:hint="eastAsia" w:ascii="楷体" w:hAnsi="楷体" w:eastAsia="楷体" w:cs="楷体"/>
          <w:b w:val="0"/>
          <w:bCs w:val="0"/>
          <w:i w:val="0"/>
          <w:iCs w:val="0"/>
          <w:color w:val="auto"/>
          <w:highlight w:val="none"/>
        </w:rPr>
        <w:t>兼顾远期发展目标。</w:t>
      </w:r>
    </w:p>
    <w:p>
      <w:pPr>
        <w:pStyle w:val="7"/>
        <w:rPr>
          <w:rFonts w:hint="eastAsia"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
          <w:bCs/>
          <w:color w:val="auto"/>
          <w:highlight w:val="none"/>
        </w:rPr>
        <w:t>1.0.2</w:t>
      </w:r>
      <w:r>
        <w:rPr>
          <w:rFonts w:hint="eastAsia" w:asciiTheme="majorEastAsia" w:hAnsiTheme="majorEastAsia" w:eastAsiaTheme="majorEastAsia" w:cstheme="majorEastAsia"/>
          <w:bCs/>
          <w:color w:val="auto"/>
          <w:highlight w:val="none"/>
        </w:rPr>
        <w:t xml:space="preserve">  本规范适合于安徽省民用建筑的装配率计算，其他类型的装配式建筑</w:t>
      </w:r>
      <w:r>
        <w:rPr>
          <w:rFonts w:asciiTheme="majorEastAsia" w:hAnsiTheme="majorEastAsia" w:eastAsiaTheme="majorEastAsia" w:cstheme="majorEastAsia"/>
          <w:bCs/>
          <w:color w:val="auto"/>
          <w:highlight w:val="none"/>
        </w:rPr>
        <w:t>可参照执行</w:t>
      </w:r>
      <w:r>
        <w:rPr>
          <w:rFonts w:hint="eastAsia" w:asciiTheme="majorEastAsia" w:hAnsiTheme="majorEastAsia" w:eastAsiaTheme="majorEastAsia" w:cstheme="majorEastAsia"/>
          <w:bCs/>
          <w:color w:val="auto"/>
          <w:highlight w:val="none"/>
        </w:rPr>
        <w:t>。</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 xml:space="preserve">条文说明：1.0.2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本规范适用于采用装配方式建造的民用建筑</w:t>
      </w:r>
      <w:r>
        <w:rPr>
          <w:rFonts w:hint="eastAsia" w:ascii="楷体" w:hAnsi="楷体" w:eastAsia="楷体" w:cs="楷体"/>
          <w:b w:val="0"/>
          <w:bCs w:val="0"/>
          <w:i w:val="0"/>
          <w:iCs w:val="0"/>
          <w:color w:val="auto"/>
          <w:highlight w:val="none"/>
          <w:lang w:val="en-US" w:eastAsia="zh-CN"/>
        </w:rPr>
        <w:t>的</w:t>
      </w:r>
      <w:r>
        <w:rPr>
          <w:rFonts w:hint="eastAsia" w:ascii="楷体" w:hAnsi="楷体" w:eastAsia="楷体" w:cs="楷体"/>
          <w:bCs w:val="0"/>
          <w:i w:val="0"/>
          <w:iCs w:val="0"/>
          <w:color w:val="auto"/>
          <w:highlight w:val="none"/>
          <w:lang w:val="en-US" w:eastAsia="zh-CN"/>
        </w:rPr>
        <w:t>装配率计算</w:t>
      </w:r>
      <w:r>
        <w:rPr>
          <w:rFonts w:hint="eastAsia" w:ascii="楷体" w:hAnsi="楷体" w:eastAsia="楷体" w:cs="楷体"/>
          <w:b w:val="0"/>
          <w:bCs w:val="0"/>
          <w:i w:val="0"/>
          <w:iCs w:val="0"/>
          <w:color w:val="auto"/>
          <w:highlight w:val="none"/>
        </w:rPr>
        <w:t>，对于一些与民用建筑相似的单层和多层厂房等工业建筑，可参照执行。</w:t>
      </w:r>
    </w:p>
    <w:p>
      <w:pPr>
        <w:pStyle w:val="7"/>
        <w:rPr>
          <w:rFonts w:hint="eastAsia"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
          <w:bCs/>
          <w:color w:val="auto"/>
          <w:highlight w:val="none"/>
        </w:rPr>
        <w:t>1.0.3</w:t>
      </w:r>
      <w:r>
        <w:rPr>
          <w:rFonts w:hint="eastAsia" w:asciiTheme="majorEastAsia" w:hAnsiTheme="majorEastAsia" w:eastAsiaTheme="majorEastAsia" w:cstheme="majorEastAsia"/>
          <w:bCs/>
          <w:color w:val="auto"/>
          <w:highlight w:val="none"/>
        </w:rPr>
        <w:t xml:space="preserve">  本规范采用装配率</w:t>
      </w:r>
      <w:r>
        <w:rPr>
          <w:rFonts w:hint="eastAsia" w:asciiTheme="majorEastAsia" w:hAnsiTheme="majorEastAsia" w:eastAsiaTheme="majorEastAsia" w:cstheme="majorEastAsia"/>
          <w:bCs/>
          <w:color w:val="auto"/>
          <w:highlight w:val="none"/>
          <w:lang w:val="en-US" w:eastAsia="zh-CN"/>
        </w:rPr>
        <w:t>确定</w:t>
      </w:r>
      <w:r>
        <w:rPr>
          <w:rFonts w:hint="eastAsia" w:asciiTheme="majorEastAsia" w:hAnsiTheme="majorEastAsia" w:eastAsiaTheme="majorEastAsia" w:cstheme="majorEastAsia"/>
          <w:bCs/>
          <w:color w:val="auto"/>
          <w:highlight w:val="none"/>
        </w:rPr>
        <w:t>建筑的装配化程度。</w:t>
      </w:r>
    </w:p>
    <w:p>
      <w:pPr>
        <w:pStyle w:val="7"/>
        <w:rPr>
          <w:rFonts w:hint="eastAsia" w:asciiTheme="majorEastAsia" w:hAnsiTheme="majorEastAsia" w:eastAsiaTheme="majorEastAsia" w:cstheme="majorEastAsia"/>
          <w:bCs/>
          <w:color w:val="auto"/>
          <w:highlight w:val="none"/>
        </w:rPr>
      </w:pPr>
      <w:r>
        <w:rPr>
          <w:rFonts w:hint="eastAsia" w:asciiTheme="majorEastAsia" w:hAnsiTheme="majorEastAsia" w:eastAsiaTheme="majorEastAsia" w:cstheme="majorEastAsia"/>
          <w:b/>
          <w:bCs/>
          <w:color w:val="auto"/>
          <w:highlight w:val="none"/>
        </w:rPr>
        <w:t>1.0.</w:t>
      </w:r>
      <w:r>
        <w:rPr>
          <w:rFonts w:hint="eastAsia" w:asciiTheme="majorEastAsia" w:hAnsiTheme="majorEastAsia" w:eastAsiaTheme="majorEastAsia" w:cstheme="majorEastAsia"/>
          <w:b/>
          <w:bCs/>
          <w:color w:val="auto"/>
          <w:highlight w:val="none"/>
          <w:lang w:val="en-US" w:eastAsia="zh-CN"/>
        </w:rPr>
        <w:t>4</w:t>
      </w:r>
      <w:r>
        <w:rPr>
          <w:rFonts w:hint="eastAsia" w:asciiTheme="majorEastAsia" w:hAnsiTheme="majorEastAsia" w:eastAsiaTheme="majorEastAsia" w:cstheme="majorEastAsia"/>
          <w:bCs/>
          <w:color w:val="auto"/>
          <w:highlight w:val="none"/>
        </w:rPr>
        <w:t xml:space="preserve">  装配式建筑</w:t>
      </w:r>
      <w:r>
        <w:rPr>
          <w:rFonts w:hint="eastAsia" w:asciiTheme="majorEastAsia" w:hAnsiTheme="majorEastAsia" w:eastAsiaTheme="majorEastAsia" w:cstheme="majorEastAsia"/>
          <w:bCs/>
          <w:color w:val="auto"/>
          <w:highlight w:val="none"/>
          <w:lang w:val="en-US" w:eastAsia="zh-CN"/>
        </w:rPr>
        <w:t>装配率计算</w:t>
      </w:r>
      <w:r>
        <w:rPr>
          <w:rFonts w:hint="eastAsia" w:asciiTheme="majorEastAsia" w:hAnsiTheme="majorEastAsia" w:eastAsiaTheme="majorEastAsia" w:cstheme="majorEastAsia"/>
          <w:bCs/>
          <w:color w:val="auto"/>
          <w:highlight w:val="none"/>
        </w:rPr>
        <w:t>除应符合本规范外，尚应符合国家和安徽省现行有关标准的规定。</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条文说明：1.0.</w:t>
      </w:r>
      <w:r>
        <w:rPr>
          <w:rFonts w:hint="eastAsia" w:ascii="楷体" w:hAnsi="楷体" w:eastAsia="楷体" w:cs="楷体"/>
          <w:b w:val="0"/>
          <w:bCs w:val="0"/>
          <w:i w:val="0"/>
          <w:iCs w:val="0"/>
          <w:color w:val="auto"/>
          <w:highlight w:val="none"/>
          <w:lang w:eastAsia="zh-CN"/>
        </w:rPr>
        <w:t>3</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符合国家法律法规和有关标准是装配式建筑</w:t>
      </w:r>
      <w:r>
        <w:rPr>
          <w:rFonts w:hint="eastAsia" w:ascii="楷体" w:hAnsi="楷体" w:eastAsia="楷体" w:cs="楷体"/>
          <w:bCs/>
          <w:i w:val="0"/>
          <w:iCs w:val="0"/>
          <w:color w:val="auto"/>
          <w:highlight w:val="none"/>
          <w:lang w:val="en-US" w:eastAsia="zh-CN"/>
        </w:rPr>
        <w:t>装配率计算</w:t>
      </w:r>
      <w:r>
        <w:rPr>
          <w:rFonts w:hint="eastAsia" w:ascii="楷体" w:hAnsi="楷体" w:eastAsia="楷体" w:cs="楷体"/>
          <w:b w:val="0"/>
          <w:bCs w:val="0"/>
          <w:i w:val="0"/>
          <w:iCs w:val="0"/>
          <w:color w:val="auto"/>
          <w:highlight w:val="none"/>
        </w:rPr>
        <w:t>的前提条件。本规范主要针对装配式建筑的</w:t>
      </w:r>
      <w:r>
        <w:rPr>
          <w:rFonts w:hint="eastAsia" w:ascii="楷体" w:hAnsi="楷体" w:eastAsia="楷体" w:cs="楷体"/>
          <w:bCs/>
          <w:i w:val="0"/>
          <w:iCs w:val="0"/>
          <w:color w:val="auto"/>
          <w:highlight w:val="none"/>
          <w:lang w:val="en-US" w:eastAsia="zh-CN"/>
        </w:rPr>
        <w:t>装配率进行计算</w:t>
      </w:r>
      <w:r>
        <w:rPr>
          <w:rFonts w:hint="eastAsia" w:ascii="楷体" w:hAnsi="楷体" w:eastAsia="楷体" w:cs="楷体"/>
          <w:b w:val="0"/>
          <w:bCs w:val="0"/>
          <w:i w:val="0"/>
          <w:iCs w:val="0"/>
          <w:color w:val="auto"/>
          <w:highlight w:val="none"/>
        </w:rPr>
        <w:t>，涉及规划、设计、质量、安全等方面的内容还应符合国家和安徽省现行有关工程建设标准的规定。</w:t>
      </w:r>
      <w:bookmarkStart w:id="6" w:name="_Toc362"/>
      <w:bookmarkStart w:id="7" w:name="_Toc28620"/>
    </w:p>
    <w:p>
      <w:pPr>
        <w:rPr>
          <w:rFonts w:hint="eastAsia"/>
          <w:color w:val="auto"/>
          <w:highlight w:val="none"/>
        </w:rPr>
      </w:pPr>
      <w:r>
        <w:rPr>
          <w:rFonts w:hint="eastAsia"/>
          <w:color w:val="auto"/>
          <w:highlight w:val="none"/>
        </w:rPr>
        <w:br w:type="page"/>
      </w:r>
    </w:p>
    <w:p>
      <w:pPr>
        <w:pStyle w:val="3"/>
        <w:rPr>
          <w:rFonts w:hint="eastAsia"/>
          <w:color w:val="auto"/>
          <w:sz w:val="28"/>
          <w:szCs w:val="28"/>
          <w:highlight w:val="none"/>
        </w:rPr>
      </w:pPr>
      <w:r>
        <w:rPr>
          <w:rFonts w:hint="eastAsia"/>
          <w:color w:val="auto"/>
          <w:highlight w:val="none"/>
        </w:rPr>
        <w:t>2  术  语</w:t>
      </w:r>
      <w:bookmarkEnd w:id="6"/>
      <w:bookmarkEnd w:id="7"/>
    </w:p>
    <w:p>
      <w:pPr>
        <w:rPr>
          <w:rFonts w:hint="eastAsia" w:asciiTheme="majorEastAsia" w:hAnsiTheme="majorEastAsia" w:eastAsiaTheme="majorEastAsia" w:cstheme="majorEastAsia"/>
          <w:bCs/>
          <w:color w:val="auto"/>
          <w:highlight w:val="none"/>
        </w:rPr>
      </w:pPr>
    </w:p>
    <w:p>
      <w:pPr>
        <w:rPr>
          <w:rFonts w:ascii="Times New Roman" w:hAnsi="Times New Roman" w:eastAsiaTheme="majorEastAsia" w:cstheme="majorEastAsia"/>
          <w:color w:val="auto"/>
          <w:highlight w:val="none"/>
        </w:rPr>
      </w:pPr>
      <w:r>
        <w:rPr>
          <w:rFonts w:ascii="Times New Roman" w:hAnsi="Times New Roman" w:eastAsiaTheme="majorEastAsia" w:cstheme="majorEastAsia"/>
          <w:b/>
          <w:bCs/>
          <w:color w:val="auto"/>
          <w:highlight w:val="none"/>
        </w:rPr>
        <w:t xml:space="preserve">2.0.1  </w:t>
      </w:r>
      <w:r>
        <w:rPr>
          <w:rFonts w:ascii="Times New Roman" w:hAnsi="Times New Roman" w:eastAsiaTheme="majorEastAsia" w:cstheme="majorEastAsia"/>
          <w:color w:val="auto"/>
          <w:highlight w:val="none"/>
        </w:rPr>
        <w:t>保温装饰板  insulated decorative panel</w:t>
      </w:r>
    </w:p>
    <w:p>
      <w:pPr>
        <w:ind w:firstLine="560" w:firstLineChars="200"/>
        <w:rPr>
          <w:rFonts w:ascii="Times New Roman" w:hAnsi="Times New Roman" w:eastAsiaTheme="majorEastAsia" w:cstheme="majorEastAsia"/>
          <w:bCs/>
          <w:color w:val="auto"/>
          <w:highlight w:val="none"/>
        </w:rPr>
      </w:pPr>
      <w:r>
        <w:rPr>
          <w:rFonts w:hint="eastAsia" w:ascii="Times New Roman" w:hAnsi="Times New Roman" w:eastAsiaTheme="majorEastAsia" w:cstheme="majorEastAsia"/>
          <w:bCs/>
          <w:color w:val="auto"/>
          <w:highlight w:val="none"/>
        </w:rPr>
        <w:t>在工厂预制成型，集保温与装饰功能于一体的板状材料，由保温芯材板、面板、饰面层构成。</w:t>
      </w:r>
    </w:p>
    <w:p>
      <w:pPr>
        <w:rPr>
          <w:rFonts w:ascii="Times New Roman" w:hAnsi="Times New Roman" w:eastAsiaTheme="majorEastAsia" w:cstheme="majorEastAsia"/>
          <w:bCs/>
          <w:color w:val="auto"/>
          <w:highlight w:val="none"/>
        </w:rPr>
      </w:pPr>
      <w:r>
        <w:rPr>
          <w:rFonts w:hint="eastAsia" w:ascii="Times New Roman" w:hAnsi="Times New Roman" w:eastAsiaTheme="majorEastAsia" w:cstheme="majorEastAsia"/>
          <w:b/>
          <w:bCs/>
          <w:color w:val="auto"/>
          <w:highlight w:val="none"/>
        </w:rPr>
        <w:t>2.0.</w:t>
      </w:r>
      <w:r>
        <w:rPr>
          <w:rFonts w:hint="eastAsia" w:ascii="Times New Roman" w:hAnsi="Times New Roman" w:eastAsiaTheme="majorEastAsia" w:cstheme="majorEastAsia"/>
          <w:b/>
          <w:bCs/>
          <w:color w:val="auto"/>
          <w:highlight w:val="none"/>
          <w:lang w:val="en-US" w:eastAsia="zh-CN"/>
        </w:rPr>
        <w:t>2</w:t>
      </w:r>
      <w:r>
        <w:rPr>
          <w:rFonts w:hint="eastAsia" w:ascii="Times New Roman" w:hAnsi="Times New Roman" w:eastAsiaTheme="majorEastAsia" w:cstheme="majorEastAsia"/>
          <w:bCs/>
          <w:color w:val="auto"/>
          <w:highlight w:val="none"/>
        </w:rPr>
        <w:t xml:space="preserve">  全装修  </w:t>
      </w:r>
      <w:r>
        <w:rPr>
          <w:rFonts w:ascii="Times New Roman" w:hAnsi="Times New Roman" w:eastAsiaTheme="majorEastAsia" w:cstheme="majorEastAsia"/>
          <w:bCs/>
          <w:color w:val="auto"/>
          <w:highlight w:val="none"/>
        </w:rPr>
        <w:t>decorated</w:t>
      </w:r>
    </w:p>
    <w:p>
      <w:pPr>
        <w:ind w:firstLine="560" w:firstLineChars="200"/>
        <w:rPr>
          <w:rFonts w:ascii="Times New Roman" w:hAnsi="Times New Roman" w:eastAsiaTheme="majorEastAsia" w:cstheme="majorEastAsia"/>
          <w:bCs/>
          <w:color w:val="auto"/>
          <w:highlight w:val="none"/>
        </w:rPr>
      </w:pPr>
      <w:r>
        <w:rPr>
          <w:rFonts w:hint="eastAsia" w:ascii="Times New Roman" w:hAnsi="Times New Roman" w:eastAsiaTheme="majorEastAsia" w:cstheme="majorEastAsia"/>
          <w:bCs/>
          <w:color w:val="auto"/>
          <w:highlight w:val="none"/>
        </w:rPr>
        <w:t>建筑功能空间的固定面装修和设备设施安装全部完成，达到建筑使用功能和性能的基本要求。</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条文说明：2.0.</w:t>
      </w:r>
      <w:r>
        <w:rPr>
          <w:rFonts w:hint="eastAsia" w:ascii="楷体" w:hAnsi="楷体" w:eastAsia="楷体" w:cs="楷体"/>
          <w:b w:val="0"/>
          <w:bCs w:val="0"/>
          <w:i w:val="0"/>
          <w:iCs w:val="0"/>
          <w:color w:val="auto"/>
          <w:highlight w:val="none"/>
          <w:lang w:val="en-US" w:eastAsia="zh-CN"/>
        </w:rPr>
        <w:t>2</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全装修设计应与土建进行一体化设计，建筑设计文件宜对室内装修改造、正常维护、部品检修和更换等内容进行规定。实行装修与主体结构、机电设备协同施工，鼓励采用装配式装修。全装修一般包含以下范围:</w:t>
      </w:r>
    </w:p>
    <w:p>
      <w:pPr>
        <w:pStyle w:val="46"/>
        <w:ind w:firstLine="560" w:firstLineChars="200"/>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1 全装修包括所有建筑功能区墙面、顶面和地面的装饰面、设备管线和其他与防火、防水(潮)、防腐、隔声(振)等建筑性能相关的功能性材料及连接材料的安装，以及保证建筑使用功能及标准要求的所有设备、设施安装。</w:t>
      </w:r>
    </w:p>
    <w:p>
      <w:pPr>
        <w:pStyle w:val="46"/>
        <w:ind w:firstLine="560" w:firstLineChars="200"/>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2 居住建筑全装修公共区域的固定面全部铺贴、粉刷完成，水、暖、电等基本设备管线全部安装到位。室内区域的墙面、顶面、地面全部铺贴、粉刷完成，门窗、固定家具、设备管线、开关插座及厨房、卫生间固定设施安装到位。</w:t>
      </w:r>
    </w:p>
    <w:p>
      <w:pPr>
        <w:pStyle w:val="46"/>
        <w:ind w:firstLine="560" w:firstLineChars="200"/>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3 公共建筑全装修包括建筑的公共区域和在建造阶段已确定使用功能及标准的全部室内区域,全装修内容应符合本条第1款的规定。公共区域的固定面全部铺贴、粉刷完成，水、暖、电等基本设备管线全部安装到位。对于在建造阶段尚未确定使用功能及标准的室内区域，应根据装配式建筑基本特征和要求，在设计文件中对后期装修方式、安装及构造要求、材料性能及环境保护标准等内容进行规定。</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工业建筑的生产车间不作全装修要求（可按照缺项处理）。</w:t>
      </w:r>
    </w:p>
    <w:p>
      <w:pPr>
        <w:rPr>
          <w:rFonts w:ascii="Times New Roman" w:hAnsi="Times New Roman" w:eastAsia="宋体" w:cs="宋体"/>
          <w:color w:val="auto"/>
          <w:kern w:val="0"/>
          <w:highlight w:val="none"/>
        </w:rPr>
      </w:pPr>
      <w:r>
        <w:rPr>
          <w:rFonts w:hint="eastAsia" w:ascii="Times New Roman" w:hAnsi="Times New Roman" w:eastAsiaTheme="majorEastAsia" w:cstheme="majorEastAsia"/>
          <w:b/>
          <w:bCs/>
          <w:color w:val="auto"/>
          <w:highlight w:val="none"/>
        </w:rPr>
        <w:t>2.0.</w:t>
      </w:r>
      <w:r>
        <w:rPr>
          <w:rFonts w:hint="eastAsia" w:ascii="Times New Roman" w:hAnsi="Times New Roman" w:eastAsiaTheme="majorEastAsia" w:cstheme="majorEastAsia"/>
          <w:b/>
          <w:bCs/>
          <w:color w:val="auto"/>
          <w:highlight w:val="none"/>
          <w:lang w:val="en-US" w:eastAsia="zh-CN"/>
        </w:rPr>
        <w:t>3</w:t>
      </w:r>
      <w:r>
        <w:rPr>
          <w:rFonts w:hint="eastAsia" w:ascii="Times New Roman" w:hAnsi="Times New Roman" w:eastAsiaTheme="majorEastAsia" w:cstheme="majorEastAsia"/>
          <w:bCs/>
          <w:color w:val="auto"/>
          <w:highlight w:val="none"/>
        </w:rPr>
        <w:t xml:space="preserve">  装配化</w:t>
      </w:r>
      <w:r>
        <w:rPr>
          <w:rFonts w:hint="eastAsia" w:ascii="Times New Roman" w:hAnsi="Times New Roman" w:eastAsia="宋体" w:cs="宋体"/>
          <w:color w:val="auto"/>
          <w:kern w:val="0"/>
          <w:highlight w:val="none"/>
        </w:rPr>
        <w:t xml:space="preserve">装修  </w:t>
      </w:r>
      <w:r>
        <w:rPr>
          <w:rFonts w:ascii="Times New Roman" w:hAnsi="Times New Roman" w:eastAsia="宋体" w:cs="宋体"/>
          <w:color w:val="auto"/>
          <w:kern w:val="0"/>
          <w:highlight w:val="none"/>
        </w:rPr>
        <w:t>assembled</w:t>
      </w:r>
      <w:r>
        <w:rPr>
          <w:rFonts w:hint="eastAsia" w:ascii="Times New Roman" w:hAnsi="Times New Roman" w:eastAsia="宋体" w:cs="宋体"/>
          <w:color w:val="auto"/>
          <w:kern w:val="0"/>
          <w:highlight w:val="none"/>
        </w:rPr>
        <w:t xml:space="preserve"> decoration</w:t>
      </w:r>
    </w:p>
    <w:p>
      <w:pPr>
        <w:ind w:firstLine="560" w:firstLineChars="200"/>
        <w:rPr>
          <w:rFonts w:ascii="Times New Roman" w:hAnsi="Times New Roman" w:eastAsiaTheme="majorEastAsia" w:cstheme="majorEastAsia"/>
          <w:bCs/>
          <w:color w:val="auto"/>
          <w:highlight w:val="none"/>
        </w:rPr>
      </w:pPr>
      <w:r>
        <w:rPr>
          <w:rFonts w:hint="eastAsia" w:ascii="Times New Roman" w:hAnsi="Times New Roman" w:eastAsiaTheme="majorEastAsia" w:cstheme="majorEastAsia"/>
          <w:bCs/>
          <w:color w:val="auto"/>
          <w:highlight w:val="none"/>
        </w:rPr>
        <w:t>采用干式工法，将工厂生产的标准化内装部品在现场进行组合安装的装修方式。</w:t>
      </w:r>
    </w:p>
    <w:p>
      <w:pPr>
        <w:rPr>
          <w:rFonts w:ascii="Times New Roman" w:hAnsi="Times New Roman" w:eastAsiaTheme="majorEastAsia" w:cstheme="majorEastAsia"/>
          <w:bCs/>
          <w:color w:val="auto"/>
          <w:highlight w:val="none"/>
        </w:rPr>
      </w:pPr>
      <w:r>
        <w:rPr>
          <w:rFonts w:ascii="Times New Roman" w:hAnsi="Times New Roman" w:eastAsiaTheme="majorEastAsia" w:cstheme="majorEastAsia"/>
          <w:b/>
          <w:bCs/>
          <w:color w:val="auto"/>
          <w:highlight w:val="none"/>
        </w:rPr>
        <w:t>2.0.</w:t>
      </w:r>
      <w:r>
        <w:rPr>
          <w:rFonts w:hint="eastAsia" w:ascii="Times New Roman" w:hAnsi="Times New Roman" w:eastAsiaTheme="majorEastAsia" w:cstheme="majorEastAsia"/>
          <w:b/>
          <w:bCs/>
          <w:color w:val="auto"/>
          <w:highlight w:val="none"/>
          <w:lang w:val="en-US" w:eastAsia="zh-CN"/>
        </w:rPr>
        <w:t>4</w:t>
      </w:r>
      <w:r>
        <w:rPr>
          <w:rFonts w:ascii="Times New Roman" w:hAnsi="Times New Roman" w:eastAsiaTheme="majorEastAsia" w:cstheme="majorEastAsia"/>
          <w:bCs/>
          <w:color w:val="auto"/>
          <w:highlight w:val="none"/>
        </w:rPr>
        <w:t xml:space="preserve">  </w:t>
      </w:r>
      <w:r>
        <w:rPr>
          <w:rFonts w:hint="eastAsia" w:ascii="Times New Roman" w:hAnsi="Times New Roman"/>
          <w:color w:val="auto"/>
          <w:highlight w:val="none"/>
        </w:rPr>
        <w:t>干式工</w:t>
      </w:r>
      <w:r>
        <w:rPr>
          <w:rFonts w:hint="eastAsia" w:ascii="Times New Roman" w:hAnsi="Times New Roman" w:eastAsiaTheme="majorEastAsia" w:cstheme="majorEastAsia"/>
          <w:bCs/>
          <w:color w:val="auto"/>
          <w:highlight w:val="none"/>
        </w:rPr>
        <w:t>法</w:t>
      </w:r>
      <w:r>
        <w:rPr>
          <w:rFonts w:ascii="Times New Roman" w:hAnsi="Times New Roman" w:eastAsiaTheme="majorEastAsia" w:cstheme="majorEastAsia"/>
          <w:bCs/>
          <w:color w:val="auto"/>
          <w:highlight w:val="none"/>
        </w:rPr>
        <w:t xml:space="preserve">  non-wet construction</w:t>
      </w:r>
    </w:p>
    <w:p>
      <w:pPr>
        <w:ind w:firstLine="560" w:firstLineChars="200"/>
        <w:rPr>
          <w:rFonts w:ascii="Times New Roman" w:hAnsi="Times New Roman" w:eastAsiaTheme="majorEastAsia" w:cstheme="majorEastAsia"/>
          <w:b/>
          <w:bCs/>
          <w:color w:val="auto"/>
          <w:highlight w:val="none"/>
        </w:rPr>
      </w:pPr>
      <w:r>
        <w:rPr>
          <w:rFonts w:hint="eastAsia" w:ascii="Times New Roman" w:hAnsi="Times New Roman"/>
          <w:color w:val="auto"/>
          <w:highlight w:val="none"/>
        </w:rPr>
        <w:t>现场采用干作业施工工艺的建造方法。</w:t>
      </w:r>
    </w:p>
    <w:p>
      <w:pPr>
        <w:rPr>
          <w:rFonts w:ascii="Times New Roman" w:hAnsi="Times New Roman" w:eastAsia="宋体" w:cs="宋体"/>
          <w:color w:val="auto"/>
          <w:kern w:val="0"/>
          <w:highlight w:val="none"/>
        </w:rPr>
      </w:pPr>
      <w:r>
        <w:rPr>
          <w:rFonts w:hint="eastAsia" w:ascii="Times New Roman" w:hAnsi="Times New Roman" w:eastAsiaTheme="majorEastAsia" w:cstheme="majorEastAsia"/>
          <w:b/>
          <w:bCs/>
          <w:color w:val="auto"/>
          <w:highlight w:val="none"/>
        </w:rPr>
        <w:t>2.0.</w:t>
      </w:r>
      <w:r>
        <w:rPr>
          <w:rFonts w:hint="eastAsia" w:ascii="Times New Roman" w:hAnsi="Times New Roman" w:eastAsiaTheme="majorEastAsia" w:cstheme="majorEastAsia"/>
          <w:b/>
          <w:bCs/>
          <w:color w:val="auto"/>
          <w:highlight w:val="none"/>
          <w:lang w:val="en-US" w:eastAsia="zh-CN"/>
        </w:rPr>
        <w:t>5</w:t>
      </w:r>
      <w:r>
        <w:rPr>
          <w:rFonts w:hint="eastAsia" w:ascii="Times New Roman" w:hAnsi="Times New Roman" w:eastAsiaTheme="majorEastAsia" w:cstheme="majorEastAsia"/>
          <w:bCs/>
          <w:color w:val="auto"/>
          <w:highlight w:val="none"/>
        </w:rPr>
        <w:t xml:space="preserve">  </w:t>
      </w:r>
      <w:r>
        <w:rPr>
          <w:rFonts w:hint="eastAsia" w:ascii="Times New Roman" w:hAnsi="Times New Roman"/>
          <w:color w:val="auto"/>
          <w:highlight w:val="none"/>
        </w:rPr>
        <w:t>管线分</w:t>
      </w:r>
      <w:r>
        <w:rPr>
          <w:rFonts w:hint="eastAsia" w:ascii="Times New Roman" w:hAnsi="Times New Roman" w:eastAsia="宋体" w:cs="宋体"/>
          <w:color w:val="auto"/>
          <w:kern w:val="0"/>
          <w:highlight w:val="none"/>
        </w:rPr>
        <w:t>离  pipe &amp; wire detached from structure system</w:t>
      </w:r>
    </w:p>
    <w:p>
      <w:pPr>
        <w:ind w:firstLine="570"/>
        <w:rPr>
          <w:rFonts w:ascii="Times New Roman" w:hAnsi="Times New Roman"/>
          <w:color w:val="auto"/>
          <w:highlight w:val="none"/>
        </w:rPr>
      </w:pPr>
      <w:r>
        <w:rPr>
          <w:rFonts w:hint="eastAsia" w:ascii="Times New Roman" w:hAnsi="Times New Roman"/>
          <w:color w:val="auto"/>
          <w:highlight w:val="none"/>
        </w:rPr>
        <w:t>将设备与管线设置在结构系统之外的方式。</w:t>
      </w:r>
    </w:p>
    <w:p>
      <w:pPr>
        <w:rPr>
          <w:rFonts w:ascii="Times New Roman" w:hAnsi="Times New Roman" w:eastAsiaTheme="majorEastAsia" w:cstheme="majorEastAsia"/>
          <w:bCs/>
          <w:color w:val="auto"/>
          <w:highlight w:val="none"/>
        </w:rPr>
      </w:pPr>
      <w:r>
        <w:rPr>
          <w:rFonts w:hint="eastAsia" w:ascii="Times New Roman" w:hAnsi="Times New Roman" w:eastAsiaTheme="majorEastAsia" w:cstheme="majorEastAsia"/>
          <w:b/>
          <w:bCs/>
          <w:color w:val="auto"/>
          <w:highlight w:val="none"/>
        </w:rPr>
        <w:t>2.0.</w:t>
      </w:r>
      <w:r>
        <w:rPr>
          <w:rFonts w:hint="eastAsia" w:ascii="Times New Roman" w:hAnsi="Times New Roman" w:eastAsiaTheme="majorEastAsia" w:cstheme="majorEastAsia"/>
          <w:b/>
          <w:bCs/>
          <w:color w:val="auto"/>
          <w:highlight w:val="none"/>
          <w:lang w:val="en-US" w:eastAsia="zh-CN"/>
        </w:rPr>
        <w:t>6</w:t>
      </w:r>
      <w:r>
        <w:rPr>
          <w:rFonts w:hint="eastAsia" w:ascii="Times New Roman" w:hAnsi="Times New Roman" w:eastAsiaTheme="majorEastAsia" w:cstheme="majorEastAsia"/>
          <w:bCs/>
          <w:color w:val="auto"/>
          <w:highlight w:val="none"/>
        </w:rPr>
        <w:t xml:space="preserve">  高精度模板</w:t>
      </w:r>
      <w:r>
        <w:rPr>
          <w:rFonts w:hint="eastAsia" w:ascii="Times New Roman" w:hAnsi="Times New Roman" w:eastAsia="宋体" w:cs="宋体"/>
          <w:color w:val="auto"/>
          <w:kern w:val="0"/>
          <w:highlight w:val="none"/>
        </w:rPr>
        <w:t>High-precision formwork</w:t>
      </w:r>
    </w:p>
    <w:p>
      <w:pPr>
        <w:ind w:firstLine="560" w:firstLineChars="200"/>
        <w:rPr>
          <w:rFonts w:ascii="Times New Roman" w:hAnsi="Times New Roman" w:eastAsiaTheme="majorEastAsia" w:cstheme="majorEastAsia"/>
          <w:bCs/>
          <w:color w:val="auto"/>
          <w:highlight w:val="none"/>
        </w:rPr>
      </w:pPr>
      <w:r>
        <w:rPr>
          <w:rFonts w:ascii="Times New Roman" w:hAnsi="Times New Roman" w:eastAsiaTheme="majorEastAsia" w:cstheme="majorEastAsia"/>
          <w:bCs/>
          <w:color w:val="auto"/>
          <w:highlight w:val="none"/>
        </w:rPr>
        <w:t>由工厂生产，具有高平整度、免抹灰、组装便捷等特点的浇筑混凝土</w:t>
      </w:r>
      <w:r>
        <w:rPr>
          <w:rFonts w:hint="eastAsia" w:ascii="Times New Roman" w:hAnsi="Times New Roman" w:eastAsiaTheme="majorEastAsia" w:cstheme="majorEastAsia"/>
          <w:bCs/>
          <w:color w:val="auto"/>
          <w:highlight w:val="none"/>
        </w:rPr>
        <w:t>用</w:t>
      </w:r>
      <w:r>
        <w:rPr>
          <w:rFonts w:ascii="Times New Roman" w:hAnsi="Times New Roman" w:eastAsiaTheme="majorEastAsia" w:cstheme="majorEastAsia"/>
          <w:bCs/>
          <w:color w:val="auto"/>
          <w:highlight w:val="none"/>
        </w:rPr>
        <w:t>模板，可多次周转使用且回收利用率高的绿色无污染模板。</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条文说明：2.0.</w:t>
      </w:r>
      <w:r>
        <w:rPr>
          <w:rFonts w:hint="eastAsia" w:ascii="楷体" w:hAnsi="楷体" w:eastAsia="楷体" w:cs="楷体"/>
          <w:b w:val="0"/>
          <w:bCs w:val="0"/>
          <w:i w:val="0"/>
          <w:iCs w:val="0"/>
          <w:color w:val="auto"/>
          <w:highlight w:val="none"/>
          <w:lang w:val="en-US" w:eastAsia="zh-CN"/>
        </w:rPr>
        <w:t>6</w:t>
      </w:r>
      <w:r>
        <w:rPr>
          <w:rFonts w:hint="eastAsia" w:ascii="楷体" w:hAnsi="楷体" w:eastAsia="楷体" w:cs="楷体"/>
          <w:b w:val="0"/>
          <w:bCs w:val="0"/>
          <w:i w:val="0"/>
          <w:iCs w:val="0"/>
          <w:color w:val="auto"/>
          <w:highlight w:val="none"/>
        </w:rPr>
        <w:t xml:space="preserve"> 高精度模板常见的类型包括铝合金模板、钢模板以及其他可再生材料制造</w:t>
      </w:r>
      <w:r>
        <w:rPr>
          <w:rFonts w:hint="eastAsia" w:ascii="楷体" w:hAnsi="楷体" w:eastAsia="楷体" w:cs="楷体"/>
          <w:b w:val="0"/>
          <w:bCs w:val="0"/>
          <w:i w:val="0"/>
          <w:iCs w:val="0"/>
          <w:color w:val="auto"/>
          <w:highlight w:val="none"/>
          <w:lang w:val="en-US" w:eastAsia="zh-CN"/>
        </w:rPr>
        <w:t>可多次周转利用的模板</w:t>
      </w:r>
      <w:r>
        <w:rPr>
          <w:rFonts w:hint="eastAsia" w:ascii="楷体" w:hAnsi="楷体" w:eastAsia="楷体" w:cs="楷体"/>
          <w:b w:val="0"/>
          <w:bCs w:val="0"/>
          <w:i w:val="0"/>
          <w:iCs w:val="0"/>
          <w:color w:val="auto"/>
          <w:highlight w:val="none"/>
        </w:rPr>
        <w:t>。</w:t>
      </w:r>
    </w:p>
    <w:p>
      <w:pPr>
        <w:widowControl/>
        <w:jc w:val="left"/>
        <w:rPr>
          <w:rFonts w:ascii="Times New Roman" w:hAnsi="Times New Roman" w:eastAsiaTheme="majorEastAsia" w:cstheme="majorEastAsia"/>
          <w:b/>
          <w:bCs/>
          <w:color w:val="auto"/>
          <w:highlight w:val="none"/>
        </w:rPr>
      </w:pPr>
      <w:r>
        <w:rPr>
          <w:rFonts w:hint="eastAsia" w:ascii="Times New Roman" w:hAnsi="Times New Roman" w:eastAsiaTheme="majorEastAsia" w:cstheme="majorEastAsia"/>
          <w:b/>
          <w:bCs/>
          <w:color w:val="auto"/>
          <w:highlight w:val="none"/>
          <w:lang w:bidi="ar"/>
        </w:rPr>
        <w:t>2.0.</w:t>
      </w:r>
      <w:r>
        <w:rPr>
          <w:rFonts w:hint="eastAsia" w:ascii="Times New Roman" w:hAnsi="Times New Roman" w:eastAsiaTheme="majorEastAsia" w:cstheme="majorEastAsia"/>
          <w:b/>
          <w:bCs/>
          <w:color w:val="auto"/>
          <w:highlight w:val="none"/>
          <w:lang w:val="en-US" w:eastAsia="zh-CN" w:bidi="ar"/>
        </w:rPr>
        <w:t xml:space="preserve">7 </w:t>
      </w:r>
      <w:r>
        <w:rPr>
          <w:rFonts w:hint="eastAsia" w:ascii="Times New Roman" w:hAnsi="Times New Roman" w:eastAsiaTheme="majorEastAsia" w:cstheme="majorEastAsia"/>
          <w:bCs/>
          <w:color w:val="auto"/>
          <w:highlight w:val="none"/>
          <w:lang w:bidi="ar"/>
        </w:rPr>
        <w:t>成型钢筋</w:t>
      </w:r>
      <w:r>
        <w:rPr>
          <w:rFonts w:hint="eastAsia" w:ascii="Times New Roman" w:hAnsi="Times New Roman" w:eastAsiaTheme="majorEastAsia" w:cstheme="majorEastAsia"/>
          <w:bCs/>
          <w:color w:val="auto"/>
          <w:highlight w:val="none"/>
          <w:lang w:val="en-US" w:eastAsia="zh-CN" w:bidi="ar"/>
        </w:rPr>
        <w:t>pre</w:t>
      </w:r>
      <w:r>
        <w:rPr>
          <w:rFonts w:hint="eastAsia" w:ascii="Times New Roman" w:hAnsi="Times New Roman" w:eastAsiaTheme="majorEastAsia" w:cstheme="majorEastAsia"/>
          <w:bCs/>
          <w:color w:val="auto"/>
          <w:highlight w:val="none"/>
          <w:lang w:bidi="ar"/>
        </w:rPr>
        <w:t>fabricated steel bar</w:t>
      </w:r>
      <w:r>
        <w:rPr>
          <w:rFonts w:hint="eastAsia" w:ascii="Times New Roman" w:hAnsi="Times New Roman" w:eastAsiaTheme="majorEastAsia" w:cstheme="majorEastAsia"/>
          <w:bCs/>
          <w:color w:val="auto"/>
          <w:highlight w:val="none"/>
          <w:lang w:val="en-US" w:eastAsia="zh-CN" w:bidi="ar"/>
        </w:rPr>
        <w:t xml:space="preserve"> cage</w:t>
      </w:r>
      <w:r>
        <w:rPr>
          <w:rFonts w:hint="eastAsia" w:ascii="Times New Roman" w:hAnsi="Times New Roman" w:eastAsiaTheme="majorEastAsia" w:cstheme="majorEastAsia"/>
          <w:bCs/>
          <w:color w:val="auto"/>
          <w:highlight w:val="none"/>
          <w:lang w:bidi="ar"/>
        </w:rPr>
        <w:t xml:space="preserve"> </w:t>
      </w:r>
    </w:p>
    <w:p>
      <w:pPr>
        <w:widowControl/>
        <w:ind w:firstLine="560" w:firstLineChars="200"/>
        <w:jc w:val="left"/>
        <w:rPr>
          <w:rFonts w:hint="eastAsia" w:ascii="Times New Roman" w:hAnsi="Times New Roman" w:eastAsiaTheme="majorEastAsia" w:cstheme="majorEastAsia"/>
          <w:bCs/>
          <w:color w:val="auto"/>
          <w:highlight w:val="none"/>
          <w:lang w:bidi="ar"/>
        </w:rPr>
      </w:pPr>
      <w:r>
        <w:rPr>
          <w:rFonts w:hint="eastAsia" w:ascii="Times New Roman" w:hAnsi="Times New Roman" w:eastAsiaTheme="majorEastAsia" w:cstheme="majorEastAsia"/>
          <w:bCs/>
          <w:color w:val="auto"/>
          <w:highlight w:val="none"/>
          <w:lang w:bidi="ar"/>
        </w:rPr>
        <w:t xml:space="preserve">按设计施工图纸规定的形状、尺寸和要求，在工厂机械加工成型的钢筋制品。 </w:t>
      </w:r>
    </w:p>
    <w:p>
      <w:pPr>
        <w:widowControl/>
        <w:spacing w:line="360" w:lineRule="auto"/>
        <w:ind w:firstLine="0" w:firstLineChars="0"/>
        <w:jc w:val="left"/>
        <w:rPr>
          <w:rFonts w:hint="eastAsia" w:ascii="Times New Roman" w:hAnsi="Times New Roman" w:eastAsiaTheme="majorEastAsia" w:cstheme="majorEastAsia"/>
          <w:b w:val="0"/>
          <w:bCs w:val="0"/>
          <w:color w:val="auto"/>
          <w:sz w:val="28"/>
          <w:szCs w:val="28"/>
          <w:highlight w:val="none"/>
          <w:lang w:bidi="ar"/>
        </w:rPr>
      </w:pPr>
      <w:bookmarkStart w:id="8" w:name="_Toc9906"/>
      <w:bookmarkStart w:id="9" w:name="_Toc5166"/>
      <w:bookmarkStart w:id="10" w:name="_Toc10674"/>
      <w:bookmarkStart w:id="11" w:name="_Toc22490"/>
      <w:r>
        <w:rPr>
          <w:rFonts w:hint="eastAsia" w:ascii="Times New Roman" w:hAnsi="Times New Roman" w:eastAsiaTheme="majorEastAsia" w:cstheme="majorEastAsia"/>
          <w:b/>
          <w:bCs/>
          <w:color w:val="auto"/>
          <w:sz w:val="28"/>
          <w:szCs w:val="28"/>
          <w:highlight w:val="none"/>
          <w:lang w:bidi="ar"/>
        </w:rPr>
        <w:t>2.0.</w:t>
      </w:r>
      <w:r>
        <w:rPr>
          <w:rFonts w:hint="eastAsia" w:ascii="Times New Roman" w:hAnsi="Times New Roman" w:eastAsiaTheme="majorEastAsia" w:cstheme="majorEastAsia"/>
          <w:b/>
          <w:bCs/>
          <w:color w:val="auto"/>
          <w:sz w:val="28"/>
          <w:szCs w:val="28"/>
          <w:highlight w:val="none"/>
          <w:lang w:eastAsia="zh-CN" w:bidi="ar"/>
        </w:rPr>
        <w:t>8</w:t>
      </w:r>
      <w:r>
        <w:rPr>
          <w:rFonts w:hint="eastAsia" w:ascii="Times New Roman" w:hAnsi="Times New Roman" w:eastAsiaTheme="majorEastAsia" w:cstheme="majorEastAsia"/>
          <w:b/>
          <w:bCs/>
          <w:color w:val="auto"/>
          <w:sz w:val="28"/>
          <w:szCs w:val="28"/>
          <w:highlight w:val="none"/>
          <w:lang w:bidi="ar"/>
        </w:rPr>
        <w:t xml:space="preserve"> </w:t>
      </w:r>
      <w:r>
        <w:rPr>
          <w:rFonts w:hint="eastAsia" w:ascii="Times New Roman" w:hAnsi="Times New Roman" w:eastAsiaTheme="majorEastAsia" w:cstheme="majorEastAsia"/>
          <w:b w:val="0"/>
          <w:bCs w:val="0"/>
          <w:color w:val="auto"/>
          <w:sz w:val="28"/>
          <w:szCs w:val="28"/>
          <w:highlight w:val="none"/>
          <w:lang w:bidi="ar"/>
        </w:rPr>
        <w:t xml:space="preserve">驻厂监造 </w:t>
      </w:r>
      <w:bookmarkEnd w:id="8"/>
      <w:bookmarkEnd w:id="9"/>
      <w:bookmarkEnd w:id="10"/>
      <w:bookmarkEnd w:id="11"/>
      <w:r>
        <w:rPr>
          <w:rFonts w:hint="eastAsia" w:ascii="Times New Roman" w:hAnsi="Times New Roman" w:eastAsiaTheme="majorEastAsia" w:cstheme="majorEastAsia"/>
          <w:b w:val="0"/>
          <w:bCs w:val="0"/>
          <w:color w:val="auto"/>
          <w:highlight w:val="none"/>
          <w:lang w:val="en-US" w:eastAsia="zh-CN" w:bidi="ar"/>
        </w:rPr>
        <w:t>r</w:t>
      </w:r>
      <w:r>
        <w:rPr>
          <w:rFonts w:hint="eastAsia" w:ascii="Times New Roman" w:hAnsi="Times New Roman" w:eastAsiaTheme="majorEastAsia" w:cstheme="majorEastAsia"/>
          <w:b w:val="0"/>
          <w:bCs w:val="0"/>
          <w:color w:val="auto"/>
          <w:highlight w:val="none"/>
          <w:lang w:bidi="ar"/>
        </w:rPr>
        <w:t>esident Supervision</w:t>
      </w:r>
      <w:r>
        <w:rPr>
          <w:rFonts w:hint="eastAsia" w:ascii="Times New Roman" w:hAnsi="Times New Roman" w:eastAsiaTheme="majorEastAsia" w:cstheme="majorEastAsia"/>
          <w:b w:val="0"/>
          <w:bCs w:val="0"/>
          <w:color w:val="auto"/>
          <w:highlight w:val="none"/>
          <w:lang w:val="en-US" w:eastAsia="zh-CN" w:bidi="ar"/>
        </w:rPr>
        <w:t xml:space="preserve"> </w:t>
      </w:r>
      <w:r>
        <w:rPr>
          <w:rFonts w:hint="eastAsia" w:ascii="Times New Roman" w:hAnsi="Times New Roman" w:eastAsiaTheme="majorEastAsia" w:cstheme="majorEastAsia"/>
          <w:b w:val="0"/>
          <w:bCs w:val="0"/>
          <w:color w:val="auto"/>
          <w:highlight w:val="none"/>
          <w:lang w:bidi="ar"/>
        </w:rPr>
        <w:t>at the factory</w:t>
      </w:r>
    </w:p>
    <w:p>
      <w:pPr>
        <w:widowControl/>
        <w:spacing w:line="360" w:lineRule="auto"/>
        <w:ind w:firstLine="560" w:firstLineChars="200"/>
        <w:jc w:val="left"/>
        <w:rPr>
          <w:rFonts w:hint="eastAsia" w:ascii="Times New Roman" w:hAnsi="Times New Roman" w:eastAsiaTheme="majorEastAsia" w:cstheme="majorEastAsia"/>
          <w:bCs/>
          <w:color w:val="auto"/>
          <w:highlight w:val="none"/>
          <w:lang w:val="en-US" w:eastAsia="zh-CN" w:bidi="ar"/>
        </w:rPr>
      </w:pPr>
      <w:r>
        <w:rPr>
          <w:rFonts w:hint="eastAsia" w:ascii="Times New Roman" w:hAnsi="Times New Roman" w:eastAsiaTheme="majorEastAsia" w:cstheme="majorEastAsia"/>
          <w:bCs/>
          <w:color w:val="auto"/>
          <w:sz w:val="28"/>
          <w:szCs w:val="28"/>
          <w:highlight w:val="none"/>
          <w:lang w:bidi="ar"/>
        </w:rPr>
        <w:t>建设单位或其委托的第三方</w:t>
      </w:r>
      <w:r>
        <w:rPr>
          <w:rFonts w:hint="eastAsia" w:ascii="Times New Roman" w:hAnsi="Times New Roman" w:eastAsiaTheme="majorEastAsia" w:cstheme="majorEastAsia"/>
          <w:bCs/>
          <w:color w:val="auto"/>
          <w:sz w:val="28"/>
          <w:szCs w:val="28"/>
          <w:highlight w:val="none"/>
          <w:lang w:eastAsia="zh-CN" w:bidi="ar"/>
        </w:rPr>
        <w:t>驻厂</w:t>
      </w:r>
      <w:r>
        <w:rPr>
          <w:rFonts w:hint="eastAsia" w:ascii="Times New Roman" w:hAnsi="Times New Roman" w:eastAsiaTheme="majorEastAsia" w:cstheme="majorEastAsia"/>
          <w:bCs/>
          <w:color w:val="auto"/>
          <w:sz w:val="28"/>
          <w:szCs w:val="28"/>
          <w:highlight w:val="none"/>
          <w:lang w:bidi="ar"/>
        </w:rPr>
        <w:t>对</w:t>
      </w:r>
      <w:r>
        <w:rPr>
          <w:rFonts w:hint="eastAsia" w:ascii="Times New Roman" w:hAnsi="Times New Roman" w:eastAsiaTheme="majorEastAsia" w:cstheme="majorEastAsia"/>
          <w:bCs/>
          <w:color w:val="auto"/>
          <w:highlight w:val="none"/>
          <w:lang w:bidi="ar"/>
        </w:rPr>
        <w:t>预制部品（部件）工厂生产阶段进行</w:t>
      </w:r>
      <w:r>
        <w:rPr>
          <w:rFonts w:hint="eastAsia" w:ascii="Times New Roman" w:hAnsi="Times New Roman" w:eastAsiaTheme="majorEastAsia" w:cstheme="majorEastAsia"/>
          <w:bCs/>
          <w:color w:val="auto"/>
          <w:highlight w:val="none"/>
          <w:lang w:eastAsia="zh-CN" w:bidi="ar"/>
        </w:rPr>
        <w:t>质量</w:t>
      </w:r>
      <w:r>
        <w:rPr>
          <w:rFonts w:hint="eastAsia" w:ascii="Times New Roman" w:hAnsi="Times New Roman" w:eastAsiaTheme="majorEastAsia" w:cstheme="majorEastAsia"/>
          <w:bCs/>
          <w:color w:val="auto"/>
          <w:highlight w:val="none"/>
          <w:lang w:bidi="ar"/>
        </w:rPr>
        <w:t>监督</w:t>
      </w:r>
      <w:r>
        <w:rPr>
          <w:rFonts w:hint="eastAsia" w:ascii="Times New Roman" w:hAnsi="Times New Roman" w:eastAsiaTheme="majorEastAsia" w:cstheme="majorEastAsia"/>
          <w:bCs/>
          <w:color w:val="auto"/>
          <w:highlight w:val="none"/>
          <w:lang w:eastAsia="zh-CN" w:bidi="ar"/>
        </w:rPr>
        <w:t>管理</w:t>
      </w:r>
      <w:r>
        <w:rPr>
          <w:rFonts w:hint="eastAsia" w:ascii="Times New Roman" w:hAnsi="Times New Roman" w:eastAsiaTheme="majorEastAsia" w:cstheme="majorEastAsia"/>
          <w:bCs/>
          <w:color w:val="auto"/>
          <w:highlight w:val="none"/>
          <w:lang w:val="en-US" w:eastAsia="zh-CN" w:bidi="ar"/>
        </w:rPr>
        <w:t>。</w:t>
      </w:r>
    </w:p>
    <w:p>
      <w:pPr>
        <w:widowControl/>
        <w:spacing w:line="360" w:lineRule="auto"/>
        <w:ind w:firstLine="0" w:firstLineChars="0"/>
        <w:jc w:val="left"/>
        <w:rPr>
          <w:rFonts w:hint="eastAsia" w:ascii="Times New Roman" w:hAnsi="Times New Roman" w:eastAsiaTheme="majorEastAsia" w:cstheme="majorEastAsia"/>
          <w:b/>
          <w:bCs/>
          <w:color w:val="auto"/>
          <w:highlight w:val="none"/>
          <w:lang w:bidi="ar"/>
        </w:rPr>
      </w:pPr>
      <w:r>
        <w:rPr>
          <w:rFonts w:hint="eastAsia" w:ascii="Times New Roman" w:hAnsi="Times New Roman" w:eastAsiaTheme="majorEastAsia" w:cstheme="majorEastAsia"/>
          <w:b/>
          <w:bCs/>
          <w:color w:val="auto"/>
          <w:highlight w:val="none"/>
          <w:lang w:bidi="ar"/>
        </w:rPr>
        <w:t>2.</w:t>
      </w:r>
      <w:r>
        <w:rPr>
          <w:rFonts w:hint="eastAsia" w:ascii="Times New Roman" w:hAnsi="Times New Roman" w:eastAsiaTheme="majorEastAsia" w:cstheme="majorEastAsia"/>
          <w:b/>
          <w:bCs/>
          <w:color w:val="auto"/>
          <w:highlight w:val="none"/>
          <w:lang w:eastAsia="zh-CN" w:bidi="ar"/>
        </w:rPr>
        <w:t>0</w:t>
      </w:r>
      <w:r>
        <w:rPr>
          <w:rFonts w:hint="eastAsia" w:ascii="Times New Roman" w:hAnsi="Times New Roman" w:eastAsiaTheme="majorEastAsia" w:cstheme="majorEastAsia"/>
          <w:b/>
          <w:bCs/>
          <w:color w:val="auto"/>
          <w:highlight w:val="none"/>
          <w:lang w:bidi="ar"/>
        </w:rPr>
        <w:t>.</w:t>
      </w:r>
      <w:r>
        <w:rPr>
          <w:rFonts w:hint="eastAsia" w:ascii="Times New Roman" w:hAnsi="Times New Roman" w:eastAsiaTheme="majorEastAsia" w:cstheme="majorEastAsia"/>
          <w:b/>
          <w:bCs/>
          <w:color w:val="auto"/>
          <w:highlight w:val="none"/>
          <w:lang w:val="en-US" w:eastAsia="zh-CN" w:bidi="ar"/>
        </w:rPr>
        <w:t>9</w:t>
      </w:r>
      <w:r>
        <w:rPr>
          <w:rFonts w:hint="eastAsia" w:ascii="Times New Roman" w:hAnsi="Times New Roman" w:eastAsiaTheme="majorEastAsia" w:cstheme="majorEastAsia"/>
          <w:b/>
          <w:bCs/>
          <w:color w:val="auto"/>
          <w:highlight w:val="none"/>
          <w:lang w:bidi="ar"/>
        </w:rPr>
        <w:t xml:space="preserve"> </w:t>
      </w:r>
      <w:r>
        <w:rPr>
          <w:rFonts w:hint="eastAsia" w:ascii="Times New Roman" w:hAnsi="Times New Roman" w:eastAsiaTheme="majorEastAsia" w:cstheme="majorEastAsia"/>
          <w:b w:val="0"/>
          <w:bCs w:val="0"/>
          <w:color w:val="auto"/>
          <w:highlight w:val="none"/>
          <w:lang w:bidi="ar"/>
        </w:rPr>
        <w:t xml:space="preserve">模块化集成组合建筑 </w:t>
      </w:r>
      <w:r>
        <w:rPr>
          <w:rFonts w:hint="eastAsia" w:ascii="Times New Roman" w:hAnsi="Times New Roman" w:eastAsiaTheme="majorEastAsia" w:cstheme="majorEastAsia"/>
          <w:b w:val="0"/>
          <w:bCs w:val="0"/>
          <w:color w:val="auto"/>
          <w:highlight w:val="none"/>
          <w:lang w:val="en-US" w:eastAsia="zh-CN" w:bidi="ar"/>
        </w:rPr>
        <w:t>m</w:t>
      </w:r>
      <w:r>
        <w:rPr>
          <w:rFonts w:hint="eastAsia" w:ascii="Times New Roman" w:hAnsi="Times New Roman" w:eastAsiaTheme="majorEastAsia" w:cstheme="majorEastAsia"/>
          <w:b w:val="0"/>
          <w:bCs w:val="0"/>
          <w:color w:val="auto"/>
          <w:highlight w:val="none"/>
          <w:lang w:bidi="ar"/>
        </w:rPr>
        <w:t>odular integrated building</w:t>
      </w:r>
    </w:p>
    <w:p>
      <w:pPr>
        <w:widowControl/>
        <w:spacing w:line="360" w:lineRule="auto"/>
        <w:ind w:firstLine="560" w:firstLineChars="200"/>
        <w:jc w:val="left"/>
        <w:rPr>
          <w:rFonts w:hint="eastAsia" w:ascii="Times New Roman" w:hAnsi="Times New Roman" w:eastAsiaTheme="majorEastAsia" w:cstheme="majorEastAsia"/>
          <w:bCs/>
          <w:color w:val="auto"/>
          <w:highlight w:val="none"/>
          <w:lang w:bidi="ar"/>
        </w:rPr>
      </w:pPr>
      <w:r>
        <w:rPr>
          <w:rFonts w:hint="eastAsia" w:ascii="Times New Roman" w:hAnsi="Times New Roman" w:eastAsiaTheme="majorEastAsia" w:cstheme="majorEastAsia"/>
          <w:bCs/>
          <w:color w:val="auto"/>
          <w:highlight w:val="none"/>
          <w:lang w:bidi="ar"/>
        </w:rPr>
        <w:t>由在工厂制作完成的预制模块单元，在现场装配连接而成的建筑。</w:t>
      </w:r>
    </w:p>
    <w:p>
      <w:pPr>
        <w:widowControl/>
        <w:jc w:val="left"/>
        <w:rPr>
          <w:rFonts w:hint="eastAsia" w:ascii="Times New Roman" w:hAnsi="Times New Roman" w:eastAsiaTheme="majorEastAsia" w:cstheme="majorEastAsia"/>
          <w:b/>
          <w:bCs/>
          <w:color w:val="auto"/>
          <w:highlight w:val="none"/>
          <w:lang w:bidi="ar"/>
        </w:rPr>
      </w:pPr>
      <w:r>
        <w:rPr>
          <w:rFonts w:hint="eastAsia" w:ascii="Times New Roman" w:hAnsi="Times New Roman" w:eastAsiaTheme="majorEastAsia" w:cstheme="majorEastAsia"/>
          <w:b/>
          <w:bCs/>
          <w:color w:val="auto"/>
          <w:highlight w:val="none"/>
          <w:lang w:bidi="ar"/>
        </w:rPr>
        <w:t>2.0.</w:t>
      </w:r>
      <w:r>
        <w:rPr>
          <w:rFonts w:hint="eastAsia" w:ascii="Times New Roman" w:hAnsi="Times New Roman" w:eastAsiaTheme="majorEastAsia" w:cstheme="majorEastAsia"/>
          <w:b/>
          <w:bCs/>
          <w:color w:val="auto"/>
          <w:highlight w:val="none"/>
          <w:lang w:val="en-US" w:eastAsia="zh-CN" w:bidi="ar"/>
        </w:rPr>
        <w:t>10</w:t>
      </w:r>
      <w:r>
        <w:rPr>
          <w:rFonts w:hint="eastAsia" w:ascii="Times New Roman" w:hAnsi="Times New Roman" w:eastAsiaTheme="majorEastAsia" w:cstheme="majorEastAsia"/>
          <w:b w:val="0"/>
          <w:bCs w:val="0"/>
          <w:color w:val="auto"/>
          <w:highlight w:val="none"/>
          <w:lang w:val="en-US" w:eastAsia="zh-CN" w:bidi="ar"/>
        </w:rPr>
        <w:t>建筑光伏一体化building integrated photovoltaic（BIPV）</w:t>
      </w:r>
    </w:p>
    <w:p>
      <w:pPr>
        <w:ind w:firstLine="560" w:firstLineChars="200"/>
        <w:jc w:val="left"/>
        <w:rPr>
          <w:rFonts w:hint="eastAsia" w:asciiTheme="majorEastAsia" w:hAnsiTheme="majorEastAsia" w:eastAsiaTheme="majorEastAsia" w:cstheme="majorEastAsia"/>
          <w:b/>
          <w:bCs/>
          <w:color w:val="auto"/>
          <w:sz w:val="32"/>
          <w:szCs w:val="32"/>
          <w:highlight w:val="none"/>
        </w:rPr>
      </w:pPr>
      <w:r>
        <w:rPr>
          <w:rFonts w:hint="eastAsia" w:ascii="Times New Roman" w:hAnsi="Times New Roman" w:eastAsiaTheme="majorEastAsia" w:cstheme="majorEastAsia"/>
          <w:bCs/>
          <w:color w:val="auto"/>
          <w:szCs w:val="28"/>
          <w:highlight w:val="none"/>
          <w:lang w:bidi="ar"/>
        </w:rPr>
        <w:t>光伏组件及其</w:t>
      </w:r>
      <w:r>
        <w:rPr>
          <w:rFonts w:hint="eastAsia" w:ascii="Times New Roman" w:hAnsi="Times New Roman" w:eastAsiaTheme="majorEastAsia" w:cstheme="majorEastAsia"/>
          <w:bCs/>
          <w:color w:val="auto"/>
          <w:szCs w:val="28"/>
          <w:highlight w:val="none"/>
          <w:lang w:eastAsia="zh-CN" w:bidi="ar"/>
        </w:rPr>
        <w:t>它</w:t>
      </w:r>
      <w:r>
        <w:rPr>
          <w:rFonts w:hint="eastAsia" w:ascii="Times New Roman" w:hAnsi="Times New Roman" w:eastAsiaTheme="majorEastAsia" w:cstheme="majorEastAsia"/>
          <w:bCs/>
          <w:color w:val="auto"/>
          <w:szCs w:val="28"/>
          <w:highlight w:val="none"/>
          <w:lang w:bidi="ar"/>
        </w:rPr>
        <w:t>光伏发电设备和材料以适合并满足光伏发电及建筑要求的方式进行构造和（或）组装，同时与建筑工程一体化设计、同步施工和验收。</w:t>
      </w:r>
    </w:p>
    <w:p>
      <w:pPr>
        <w:rPr>
          <w:rFonts w:hint="eastAsia"/>
          <w:color w:val="auto"/>
          <w:highlight w:val="none"/>
        </w:rPr>
      </w:pPr>
      <w:bookmarkStart w:id="12" w:name="_Toc6760"/>
      <w:bookmarkStart w:id="13" w:name="_Toc8155"/>
      <w:r>
        <w:rPr>
          <w:rFonts w:hint="eastAsia"/>
          <w:color w:val="auto"/>
          <w:highlight w:val="none"/>
        </w:rPr>
        <w:br w:type="page"/>
      </w:r>
    </w:p>
    <w:p>
      <w:pPr>
        <w:pStyle w:val="3"/>
        <w:rPr>
          <w:rFonts w:hint="eastAsia"/>
          <w:color w:val="auto"/>
          <w:highlight w:val="none"/>
        </w:rPr>
      </w:pPr>
      <w:r>
        <w:rPr>
          <w:rFonts w:hint="eastAsia"/>
          <w:color w:val="auto"/>
          <w:highlight w:val="none"/>
        </w:rPr>
        <w:t>3  基 本 规 定</w:t>
      </w:r>
      <w:bookmarkEnd w:id="12"/>
      <w:bookmarkEnd w:id="13"/>
    </w:p>
    <w:p>
      <w:pPr>
        <w:rPr>
          <w:rFonts w:hint="eastAsia" w:asciiTheme="majorEastAsia" w:hAnsiTheme="majorEastAsia" w:eastAsiaTheme="majorEastAsia" w:cstheme="majorEastAsia"/>
          <w:bCs/>
          <w:color w:val="auto"/>
          <w:highlight w:val="none"/>
        </w:rPr>
      </w:pPr>
    </w:p>
    <w:p>
      <w:pPr>
        <w:rPr>
          <w:rFonts w:hint="eastAsia"/>
          <w:color w:val="auto"/>
          <w:highlight w:val="none"/>
        </w:rPr>
      </w:pPr>
      <w:r>
        <w:rPr>
          <w:rFonts w:hint="eastAsia" w:asciiTheme="majorEastAsia" w:hAnsiTheme="majorEastAsia" w:eastAsiaTheme="majorEastAsia" w:cstheme="majorEastAsia"/>
          <w:b/>
          <w:bCs/>
          <w:color w:val="auto"/>
          <w:highlight w:val="none"/>
        </w:rPr>
        <w:t>3.0.1</w:t>
      </w:r>
      <w:bookmarkEnd w:id="1"/>
      <w:r>
        <w:rPr>
          <w:rFonts w:hint="eastAsia" w:asciiTheme="majorEastAsia" w:hAnsiTheme="majorEastAsia" w:eastAsiaTheme="majorEastAsia" w:cstheme="majorEastAsia"/>
          <w:bCs/>
          <w:color w:val="auto"/>
          <w:highlight w:val="none"/>
        </w:rPr>
        <w:t xml:space="preserve">  装配式建筑</w:t>
      </w:r>
      <w:r>
        <w:rPr>
          <w:rFonts w:hint="eastAsia"/>
          <w:color w:val="auto"/>
          <w:highlight w:val="none"/>
        </w:rPr>
        <w:t>装配率计算应以单体建筑作为单元，并应符合下列规定：</w:t>
      </w:r>
    </w:p>
    <w:p>
      <w:pPr>
        <w:ind w:firstLine="420" w:firstLineChars="150"/>
        <w:rPr>
          <w:rFonts w:hint="eastAsia"/>
          <w:color w:val="auto"/>
          <w:highlight w:val="none"/>
        </w:rPr>
      </w:pPr>
      <w:bookmarkStart w:id="14" w:name="_Toc2976"/>
      <w:r>
        <w:rPr>
          <w:rFonts w:hint="eastAsia"/>
          <w:color w:val="auto"/>
          <w:highlight w:val="none"/>
        </w:rPr>
        <w:t>1 单体建筑应按项目规划批准文件的建筑编号确认；</w:t>
      </w:r>
      <w:bookmarkEnd w:id="14"/>
    </w:p>
    <w:p>
      <w:pPr>
        <w:ind w:firstLine="420" w:firstLineChars="150"/>
        <w:rPr>
          <w:rFonts w:hint="eastAsia"/>
          <w:color w:val="auto"/>
          <w:highlight w:val="none"/>
        </w:rPr>
      </w:pPr>
      <w:r>
        <w:rPr>
          <w:rFonts w:hint="eastAsia"/>
          <w:color w:val="auto"/>
          <w:highlight w:val="none"/>
        </w:rPr>
        <w:t>2 建筑由主楼和裙房组成时，在建筑主楼投影平面外的裙房部分可不列入计算范围；</w:t>
      </w:r>
      <w:r>
        <w:rPr>
          <w:color w:val="auto"/>
          <w:highlight w:val="none"/>
        </w:rPr>
        <w:t xml:space="preserve"> </w:t>
      </w:r>
    </w:p>
    <w:p>
      <w:pPr>
        <w:ind w:firstLine="420" w:firstLineChars="150"/>
        <w:rPr>
          <w:rFonts w:hint="eastAsia"/>
          <w:color w:val="auto"/>
          <w:highlight w:val="none"/>
        </w:rPr>
      </w:pPr>
      <w:r>
        <w:rPr>
          <w:rFonts w:hint="eastAsia"/>
          <w:color w:val="auto"/>
          <w:highlight w:val="none"/>
        </w:rPr>
        <w:t>3 单体建筑的层数不大于3层，且地上建筑面积不超过500</w:t>
      </w:r>
      <w:r>
        <w:rPr>
          <w:rFonts w:hint="eastAsia"/>
          <w:color w:val="auto"/>
          <w:position w:val="-4"/>
          <w:highlight w:val="none"/>
        </w:rPr>
        <w:object>
          <v:shape id="_x0000_i1025" o:spt="75" type="#_x0000_t75" style="height:14.35pt;width:18.1pt;" o:ole="t" filled="f" o:preferrelative="t" stroked="f" coordsize="21600,21600">
            <v:path/>
            <v:fill on="f" focussize="0,0"/>
            <v:stroke on="f" joinstyle="miter"/>
            <v:imagedata r:id="rId8" o:title=""/>
            <o:lock v:ext="edit" aspectratio="t"/>
            <w10:wrap type="none"/>
            <w10:anchorlock/>
          </v:shape>
          <o:OLEObject Type="Embed" ProgID="Equations" ShapeID="_x0000_i1025" DrawAspect="Content" ObjectID="_1468075725" r:id="rId7">
            <o:LockedField>false</o:LockedField>
          </o:OLEObject>
        </w:object>
      </w:r>
      <w:r>
        <w:rPr>
          <w:rFonts w:hint="eastAsia"/>
          <w:color w:val="auto"/>
          <w:highlight w:val="none"/>
        </w:rPr>
        <w:t>时，可由多个单体建筑组成建筑组团作为计算单元。</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 xml:space="preserve">条文说明：3.0.1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以单体建筑作为装配率计算单元，主要基于单体建筑可构成整个建筑活动的工作单元和产品，并能全面、系统地反映装配式建筑的特点，具有较好的可操作性。</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屋面层以上部分的电梯间、楼梯间、水箱房等建筑物不列入计算范围。</w:t>
      </w:r>
    </w:p>
    <w:p>
      <w:pPr>
        <w:jc w:val="left"/>
        <w:rPr>
          <w:rFonts w:hint="eastAsia"/>
          <w:color w:val="auto"/>
          <w:highlight w:val="none"/>
        </w:rPr>
      </w:pPr>
      <w:r>
        <w:rPr>
          <w:rFonts w:hint="eastAsia"/>
          <w:b/>
          <w:color w:val="auto"/>
          <w:highlight w:val="none"/>
          <w:lang w:val="en-US" w:eastAsia="zh-CN"/>
        </w:rPr>
        <w:t>3.0.2</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装配式建筑</w:t>
      </w:r>
      <w:r>
        <w:rPr>
          <w:rFonts w:hint="eastAsia"/>
          <w:color w:val="auto"/>
          <w:highlight w:val="none"/>
          <w:lang w:val="en-US" w:eastAsia="zh-CN"/>
        </w:rPr>
        <w:t>装配率计算评分</w:t>
      </w:r>
      <w:r>
        <w:rPr>
          <w:rFonts w:hint="eastAsia"/>
          <w:color w:val="auto"/>
          <w:highlight w:val="none"/>
        </w:rPr>
        <w:t>应分为两阶段：</w:t>
      </w:r>
    </w:p>
    <w:p>
      <w:pPr>
        <w:ind w:firstLine="560" w:firstLineChars="200"/>
        <w:jc w:val="left"/>
        <w:rPr>
          <w:rFonts w:hint="eastAsia"/>
          <w:color w:val="auto"/>
          <w:highlight w:val="none"/>
        </w:rPr>
      </w:pPr>
      <w:r>
        <w:rPr>
          <w:rFonts w:hint="eastAsia"/>
          <w:color w:val="auto"/>
          <w:highlight w:val="none"/>
        </w:rPr>
        <w:t>第一阶段，在设计阶段，由建设单位组织专家进行预评</w:t>
      </w:r>
      <w:r>
        <w:rPr>
          <w:rFonts w:hint="eastAsia"/>
          <w:color w:val="auto"/>
          <w:highlight w:val="none"/>
          <w:lang w:val="en-US" w:eastAsia="zh-CN"/>
        </w:rPr>
        <w:t>分</w:t>
      </w:r>
      <w:r>
        <w:rPr>
          <w:rFonts w:hint="eastAsia"/>
          <w:color w:val="auto"/>
          <w:highlight w:val="none"/>
        </w:rPr>
        <w:t>；</w:t>
      </w:r>
    </w:p>
    <w:p>
      <w:pPr>
        <w:ind w:firstLine="560"/>
        <w:jc w:val="left"/>
        <w:rPr>
          <w:rFonts w:hint="eastAsia"/>
          <w:color w:val="auto"/>
          <w:highlight w:val="none"/>
        </w:rPr>
      </w:pPr>
      <w:r>
        <w:rPr>
          <w:rFonts w:hint="eastAsia"/>
          <w:color w:val="auto"/>
          <w:highlight w:val="none"/>
        </w:rPr>
        <w:t>第二阶段，项目竣工验收前，由建设单位组织专家审核确定</w:t>
      </w:r>
      <w:r>
        <w:rPr>
          <w:rFonts w:hint="eastAsia"/>
          <w:color w:val="auto"/>
          <w:highlight w:val="none"/>
          <w:lang w:val="en-US" w:eastAsia="zh-CN"/>
        </w:rPr>
        <w:t>装配率指标和装配化程度</w:t>
      </w:r>
      <w:r>
        <w:rPr>
          <w:rFonts w:hint="eastAsia"/>
          <w:color w:val="auto"/>
          <w:highlight w:val="none"/>
        </w:rPr>
        <w:t>等级。</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w:t>
      </w:r>
      <w:r>
        <w:rPr>
          <w:rFonts w:hint="eastAsia" w:ascii="楷体" w:hAnsi="楷体" w:eastAsia="楷体" w:cs="楷体"/>
          <w:b w:val="0"/>
          <w:bCs w:val="0"/>
          <w:i w:val="0"/>
          <w:iCs w:val="0"/>
          <w:color w:val="auto"/>
          <w:highlight w:val="none"/>
          <w:lang w:eastAsia="zh-CN"/>
        </w:rPr>
        <w:t>3</w:t>
      </w:r>
      <w:r>
        <w:rPr>
          <w:rFonts w:hint="eastAsia" w:ascii="楷体" w:hAnsi="楷体" w:eastAsia="楷体" w:cs="楷体"/>
          <w:b w:val="0"/>
          <w:bCs w:val="0"/>
          <w:i w:val="0"/>
          <w:iCs w:val="0"/>
          <w:color w:val="auto"/>
          <w:highlight w:val="none"/>
          <w:lang w:val="en-US" w:eastAsia="zh-CN"/>
        </w:rPr>
        <w:t>.0.4</w:t>
      </w:r>
      <w:r>
        <w:rPr>
          <w:rFonts w:hint="eastAsia" w:ascii="楷体" w:hAnsi="楷体" w:eastAsia="楷体" w:cs="楷体"/>
          <w:b w:val="0"/>
          <w:bCs w:val="0"/>
          <w:i w:val="0"/>
          <w:iCs w:val="0"/>
          <w:color w:val="auto"/>
          <w:highlight w:val="none"/>
        </w:rPr>
        <w:t xml:space="preserve">  为保证装配式建筑</w:t>
      </w:r>
      <w:r>
        <w:rPr>
          <w:rFonts w:hint="eastAsia" w:ascii="楷体" w:hAnsi="楷体" w:eastAsia="楷体" w:cs="楷体"/>
          <w:b w:val="0"/>
          <w:bCs w:val="0"/>
          <w:i w:val="0"/>
          <w:iCs w:val="0"/>
          <w:color w:val="auto"/>
          <w:highlight w:val="none"/>
          <w:lang w:val="en-US" w:eastAsia="zh-CN"/>
        </w:rPr>
        <w:t>装配率计算</w:t>
      </w:r>
      <w:r>
        <w:rPr>
          <w:rFonts w:hint="eastAsia" w:ascii="楷体" w:hAnsi="楷体" w:eastAsia="楷体" w:cs="楷体"/>
          <w:b w:val="0"/>
          <w:bCs w:val="0"/>
          <w:i w:val="0"/>
          <w:iCs w:val="0"/>
          <w:color w:val="auto"/>
          <w:highlight w:val="none"/>
        </w:rPr>
        <w:t>质量和效果，装配式建筑</w:t>
      </w:r>
      <w:r>
        <w:rPr>
          <w:rFonts w:hint="eastAsia" w:ascii="楷体" w:hAnsi="楷体" w:eastAsia="楷体" w:cs="楷体"/>
          <w:b w:val="0"/>
          <w:bCs w:val="0"/>
          <w:i w:val="0"/>
          <w:iCs w:val="0"/>
          <w:color w:val="auto"/>
          <w:highlight w:val="none"/>
          <w:lang w:val="en-US" w:eastAsia="zh-CN"/>
        </w:rPr>
        <w:t>装配率计算</w:t>
      </w:r>
      <w:r>
        <w:rPr>
          <w:rFonts w:hint="eastAsia" w:ascii="楷体" w:hAnsi="楷体" w:eastAsia="楷体" w:cs="楷体"/>
          <w:b w:val="0"/>
          <w:bCs w:val="0"/>
          <w:i w:val="0"/>
          <w:iCs w:val="0"/>
          <w:color w:val="auto"/>
          <w:highlight w:val="none"/>
        </w:rPr>
        <w:t>分</w:t>
      </w:r>
      <w:r>
        <w:rPr>
          <w:rFonts w:hint="eastAsia" w:ascii="楷体" w:hAnsi="楷体" w:eastAsia="楷体" w:cs="楷体"/>
          <w:b w:val="0"/>
          <w:bCs w:val="0"/>
          <w:i w:val="0"/>
          <w:iCs w:val="0"/>
          <w:color w:val="auto"/>
          <w:highlight w:val="none"/>
          <w:lang w:val="en-US" w:eastAsia="zh-CN"/>
        </w:rPr>
        <w:t>设计阶段</w:t>
      </w:r>
      <w:r>
        <w:rPr>
          <w:rFonts w:hint="eastAsia" w:ascii="楷体" w:hAnsi="楷体" w:eastAsia="楷体" w:cs="楷体"/>
          <w:b w:val="0"/>
          <w:bCs w:val="0"/>
          <w:i w:val="0"/>
          <w:iCs w:val="0"/>
          <w:color w:val="auto"/>
          <w:highlight w:val="none"/>
        </w:rPr>
        <w:t>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和竣工阶段审核评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装配式建筑设计方案的合理性对整个装配式建筑的实施有着至关重要的作用，因此在设计阶段，应根据设计方案由建设单位组织专家进行装配式建筑装配率的预评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。如果预评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结果不满足装配式建筑的相关要求，项目可结合预评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过程中发现的不足，通过调整或优化设计方案使其满足要求。</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当项目中使用了国家现行有关标准规定以外的技术体系时，也可采用预评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的方式，研究并确定具体评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方法和评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指标。</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竣工阶段审核评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在项目竣工验收前，由工程建设单位组织专家组进行。</w:t>
      </w:r>
      <w:r>
        <w:rPr>
          <w:rFonts w:hint="eastAsia" w:ascii="楷体" w:hAnsi="楷体" w:eastAsia="楷体" w:cs="楷体"/>
          <w:b w:val="0"/>
          <w:bCs w:val="0"/>
          <w:i w:val="0"/>
          <w:iCs w:val="0"/>
          <w:color w:val="auto"/>
          <w:szCs w:val="28"/>
          <w:highlight w:val="none"/>
        </w:rPr>
        <w:t>审核是否按照预评</w:t>
      </w:r>
      <w:r>
        <w:rPr>
          <w:rFonts w:hint="eastAsia" w:ascii="楷体" w:hAnsi="楷体" w:eastAsia="楷体" w:cs="楷体"/>
          <w:b w:val="0"/>
          <w:bCs w:val="0"/>
          <w:i w:val="0"/>
          <w:iCs w:val="0"/>
          <w:color w:val="auto"/>
          <w:szCs w:val="28"/>
          <w:highlight w:val="none"/>
          <w:lang w:val="en-US" w:eastAsia="zh-CN"/>
        </w:rPr>
        <w:t>分</w:t>
      </w:r>
      <w:r>
        <w:rPr>
          <w:rFonts w:hint="eastAsia" w:ascii="楷体" w:hAnsi="楷体" w:eastAsia="楷体" w:cs="楷体"/>
          <w:b w:val="0"/>
          <w:bCs w:val="0"/>
          <w:i w:val="0"/>
          <w:iCs w:val="0"/>
          <w:color w:val="auto"/>
          <w:szCs w:val="28"/>
          <w:highlight w:val="none"/>
        </w:rPr>
        <w:t>内容进行实施，是否存在变更对装配率的影响，审核评</w:t>
      </w:r>
      <w:r>
        <w:rPr>
          <w:rFonts w:hint="eastAsia" w:ascii="楷体" w:hAnsi="楷体" w:eastAsia="楷体" w:cs="楷体"/>
          <w:b w:val="0"/>
          <w:bCs w:val="0"/>
          <w:i w:val="0"/>
          <w:iCs w:val="0"/>
          <w:color w:val="auto"/>
          <w:szCs w:val="28"/>
          <w:highlight w:val="none"/>
          <w:lang w:val="en-US" w:eastAsia="zh-CN"/>
        </w:rPr>
        <w:t>分</w:t>
      </w:r>
      <w:r>
        <w:rPr>
          <w:rFonts w:hint="eastAsia" w:ascii="楷体" w:hAnsi="楷体" w:eastAsia="楷体" w:cs="楷体"/>
          <w:b w:val="0"/>
          <w:bCs w:val="0"/>
          <w:i w:val="0"/>
          <w:iCs w:val="0"/>
          <w:color w:val="auto"/>
          <w:szCs w:val="28"/>
          <w:highlight w:val="none"/>
        </w:rPr>
        <w:t>是装配式建筑评</w:t>
      </w:r>
      <w:r>
        <w:rPr>
          <w:rFonts w:hint="eastAsia" w:ascii="楷体" w:hAnsi="楷体" w:eastAsia="楷体" w:cs="楷体"/>
          <w:b w:val="0"/>
          <w:bCs w:val="0"/>
          <w:i w:val="0"/>
          <w:iCs w:val="0"/>
          <w:color w:val="auto"/>
          <w:szCs w:val="28"/>
          <w:highlight w:val="none"/>
          <w:lang w:val="en-US" w:eastAsia="zh-CN"/>
        </w:rPr>
        <w:t>分</w:t>
      </w:r>
      <w:r>
        <w:rPr>
          <w:rFonts w:hint="eastAsia" w:ascii="楷体" w:hAnsi="楷体" w:eastAsia="楷体" w:cs="楷体"/>
          <w:b w:val="0"/>
          <w:bCs w:val="0"/>
          <w:i w:val="0"/>
          <w:iCs w:val="0"/>
          <w:color w:val="auto"/>
          <w:szCs w:val="28"/>
          <w:highlight w:val="none"/>
        </w:rPr>
        <w:t>的最终结果。</w:t>
      </w:r>
    </w:p>
    <w:p>
      <w:pPr>
        <w:jc w:val="left"/>
        <w:rPr>
          <w:rFonts w:hint="eastAsia"/>
          <w:color w:val="auto"/>
          <w:highlight w:val="none"/>
        </w:rPr>
      </w:pPr>
      <w:r>
        <w:rPr>
          <w:rFonts w:hint="eastAsia"/>
          <w:b/>
          <w:color w:val="auto"/>
          <w:highlight w:val="none"/>
          <w:lang w:val="en-US" w:eastAsia="zh-CN"/>
        </w:rPr>
        <w:t>3.0.3</w:t>
      </w:r>
      <w:r>
        <w:rPr>
          <w:rFonts w:hint="eastAsia"/>
          <w:color w:val="auto"/>
          <w:highlight w:val="none"/>
        </w:rPr>
        <w:t xml:space="preserve"> </w:t>
      </w:r>
      <w:r>
        <w:rPr>
          <w:rFonts w:hint="eastAsia"/>
          <w:color w:val="auto"/>
          <w:highlight w:val="none"/>
          <w:lang w:val="en-US" w:eastAsia="zh-CN"/>
        </w:rPr>
        <w:t xml:space="preserve"> </w:t>
      </w:r>
      <w:r>
        <w:rPr>
          <w:rFonts w:hint="eastAsia"/>
          <w:bCs/>
          <w:color w:val="auto"/>
          <w:highlight w:val="none"/>
        </w:rPr>
        <w:t>当</w:t>
      </w:r>
      <w:r>
        <w:rPr>
          <w:rFonts w:hint="eastAsia"/>
          <w:bCs/>
          <w:color w:val="auto"/>
          <w:highlight w:val="none"/>
          <w:lang w:val="en-US" w:eastAsia="zh-CN"/>
        </w:rPr>
        <w:t>评分</w:t>
      </w:r>
      <w:r>
        <w:rPr>
          <w:rFonts w:hint="eastAsia"/>
          <w:bCs/>
          <w:color w:val="auto"/>
          <w:highlight w:val="none"/>
        </w:rPr>
        <w:t>项目采用全装修，且主体结构竖向构件评</w:t>
      </w:r>
      <w:r>
        <w:rPr>
          <w:rFonts w:hint="eastAsia"/>
          <w:bCs/>
          <w:color w:val="auto"/>
          <w:highlight w:val="none"/>
          <w:lang w:val="en-US" w:eastAsia="zh-CN"/>
        </w:rPr>
        <w:t>分</w:t>
      </w:r>
      <w:r>
        <w:rPr>
          <w:rFonts w:hint="eastAsia"/>
          <w:bCs/>
          <w:color w:val="auto"/>
          <w:highlight w:val="none"/>
        </w:rPr>
        <w:t>项</w:t>
      </w: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1a</w:t>
      </w:r>
      <w:r>
        <w:rPr>
          <w:rFonts w:hint="eastAsia"/>
          <w:bCs/>
          <w:color w:val="auto"/>
          <w:highlight w:val="none"/>
        </w:rPr>
        <w:t>得分值不低于2</w:t>
      </w:r>
      <w:r>
        <w:rPr>
          <w:rFonts w:hint="default"/>
          <w:bCs/>
          <w:color w:val="auto"/>
          <w:highlight w:val="none"/>
          <w:lang w:val="en-US"/>
        </w:rPr>
        <w:t>0</w:t>
      </w:r>
      <w:r>
        <w:rPr>
          <w:rFonts w:hint="eastAsia"/>
          <w:bCs/>
          <w:color w:val="auto"/>
          <w:highlight w:val="none"/>
        </w:rPr>
        <w:t>分时，可进行装配式建筑</w:t>
      </w:r>
      <w:r>
        <w:rPr>
          <w:rFonts w:hint="eastAsia"/>
          <w:bCs/>
          <w:color w:val="auto"/>
          <w:highlight w:val="none"/>
          <w:lang w:val="en-US" w:eastAsia="zh-CN"/>
        </w:rPr>
        <w:t>装配化程度等级评价。</w:t>
      </w:r>
    </w:p>
    <w:p>
      <w:pPr>
        <w:jc w:val="left"/>
        <w:rPr>
          <w:rFonts w:hint="eastAsia"/>
          <w:bCs/>
          <w:color w:val="auto"/>
          <w:highlight w:val="none"/>
        </w:rPr>
      </w:pPr>
      <w:r>
        <w:rPr>
          <w:rFonts w:hint="eastAsia"/>
          <w:b/>
          <w:color w:val="auto"/>
          <w:highlight w:val="none"/>
          <w:lang w:val="en-US" w:eastAsia="zh-CN"/>
        </w:rPr>
        <w:t xml:space="preserve">3.0.4 </w:t>
      </w:r>
      <w:r>
        <w:rPr>
          <w:rFonts w:hint="eastAsia"/>
          <w:color w:val="auto"/>
          <w:highlight w:val="none"/>
        </w:rPr>
        <w:t xml:space="preserve"> 装配式建筑</w:t>
      </w:r>
      <w:r>
        <w:rPr>
          <w:rFonts w:hint="eastAsia"/>
          <w:color w:val="auto"/>
          <w:highlight w:val="none"/>
          <w:lang w:val="en-US" w:eastAsia="zh-CN"/>
        </w:rPr>
        <w:t>装配化程度</w:t>
      </w:r>
      <w:r>
        <w:rPr>
          <w:rFonts w:hint="eastAsia"/>
          <w:color w:val="auto"/>
          <w:highlight w:val="none"/>
        </w:rPr>
        <w:t>等级分</w:t>
      </w:r>
      <w:r>
        <w:rPr>
          <w:rFonts w:hint="eastAsia"/>
          <w:color w:val="auto"/>
          <w:highlight w:val="none"/>
          <w:lang w:val="en-US" w:eastAsia="zh-CN"/>
        </w:rPr>
        <w:t>A</w:t>
      </w:r>
      <w:r>
        <w:rPr>
          <w:rFonts w:hint="eastAsia"/>
          <w:color w:val="auto"/>
          <w:highlight w:val="none"/>
        </w:rPr>
        <w:t>级、</w:t>
      </w:r>
      <w:r>
        <w:rPr>
          <w:rFonts w:hint="eastAsia"/>
          <w:color w:val="auto"/>
          <w:highlight w:val="none"/>
          <w:lang w:val="en-US" w:eastAsia="zh-CN"/>
        </w:rPr>
        <w:t>AA</w:t>
      </w:r>
      <w:r>
        <w:rPr>
          <w:rFonts w:hint="eastAsia"/>
          <w:color w:val="auto"/>
          <w:highlight w:val="none"/>
        </w:rPr>
        <w:t>级、</w:t>
      </w:r>
      <w:r>
        <w:rPr>
          <w:rFonts w:hint="eastAsia"/>
          <w:color w:val="auto"/>
          <w:highlight w:val="none"/>
          <w:lang w:val="en-US" w:eastAsia="zh-CN"/>
        </w:rPr>
        <w:t>AAA</w:t>
      </w:r>
      <w:r>
        <w:rPr>
          <w:rFonts w:hint="eastAsia"/>
          <w:color w:val="auto"/>
          <w:highlight w:val="none"/>
        </w:rPr>
        <w:t>级</w:t>
      </w:r>
      <w:r>
        <w:rPr>
          <w:rFonts w:hint="eastAsia"/>
          <w:color w:val="auto"/>
          <w:highlight w:val="none"/>
          <w:lang w:eastAsia="zh-CN"/>
        </w:rPr>
        <w:t>，</w:t>
      </w:r>
      <w:r>
        <w:rPr>
          <w:rFonts w:hint="eastAsia"/>
          <w:bCs/>
          <w:color w:val="auto"/>
          <w:highlight w:val="none"/>
          <w:lang w:val="en-US" w:eastAsia="zh-CN"/>
        </w:rPr>
        <w:t>并应符合下列规定</w:t>
      </w:r>
      <w:r>
        <w:rPr>
          <w:rFonts w:hint="eastAsia"/>
          <w:bCs/>
          <w:color w:val="auto"/>
          <w:highlight w:val="none"/>
        </w:rPr>
        <w:t>：</w:t>
      </w:r>
    </w:p>
    <w:p>
      <w:pPr>
        <w:ind w:firstLine="560"/>
        <w:jc w:val="left"/>
        <w:rPr>
          <w:rFonts w:hint="eastAsia"/>
          <w:color w:val="auto"/>
          <w:highlight w:val="none"/>
        </w:rPr>
      </w:pPr>
      <w:r>
        <w:rPr>
          <w:rFonts w:hint="eastAsia"/>
          <w:color w:val="auto"/>
          <w:highlight w:val="none"/>
        </w:rPr>
        <w:t xml:space="preserve">1 </w:t>
      </w:r>
      <w:r>
        <w:rPr>
          <w:color w:val="auto"/>
          <w:highlight w:val="none"/>
        </w:rPr>
        <w:t>装配率</w:t>
      </w:r>
      <w:r>
        <w:rPr>
          <w:rFonts w:hint="eastAsia"/>
          <w:color w:val="auto"/>
          <w:highlight w:val="none"/>
        </w:rPr>
        <w:t>为60</w:t>
      </w:r>
      <w:r>
        <w:rPr>
          <w:color w:val="auto"/>
          <w:highlight w:val="none"/>
        </w:rPr>
        <w:t>%-</w:t>
      </w:r>
      <w:r>
        <w:rPr>
          <w:rFonts w:hint="eastAsia"/>
          <w:color w:val="auto"/>
          <w:highlight w:val="none"/>
          <w:lang w:val="en-US" w:eastAsia="zh-CN"/>
        </w:rPr>
        <w:t>75</w:t>
      </w:r>
      <w:r>
        <w:rPr>
          <w:color w:val="auto"/>
          <w:highlight w:val="none"/>
        </w:rPr>
        <w:t>%时，评价为</w:t>
      </w:r>
      <w:r>
        <w:rPr>
          <w:rFonts w:hint="eastAsia"/>
          <w:color w:val="auto"/>
          <w:highlight w:val="none"/>
          <w:lang w:val="en-US" w:eastAsia="zh-CN"/>
        </w:rPr>
        <w:t>A</w:t>
      </w:r>
      <w:r>
        <w:rPr>
          <w:rFonts w:hint="eastAsia"/>
          <w:color w:val="auto"/>
          <w:highlight w:val="none"/>
        </w:rPr>
        <w:t>级</w:t>
      </w:r>
      <w:r>
        <w:rPr>
          <w:rFonts w:hint="eastAsia" w:ascii="Times New Roman" w:hAnsi="Times New Roman" w:cs="Times New Roman"/>
          <w:color w:val="auto"/>
          <w:highlight w:val="none"/>
        </w:rPr>
        <w:t>装配式建筑</w:t>
      </w:r>
      <w:r>
        <w:rPr>
          <w:rFonts w:hint="eastAsia"/>
          <w:color w:val="auto"/>
          <w:highlight w:val="none"/>
        </w:rPr>
        <w:t>；</w:t>
      </w:r>
    </w:p>
    <w:p>
      <w:pPr>
        <w:jc w:val="left"/>
        <w:rPr>
          <w:rFonts w:hint="eastAsia"/>
          <w:color w:val="auto"/>
          <w:highlight w:val="none"/>
        </w:rPr>
      </w:pPr>
      <w:r>
        <w:rPr>
          <w:rFonts w:hint="eastAsia"/>
          <w:color w:val="auto"/>
          <w:highlight w:val="none"/>
        </w:rPr>
        <w:t xml:space="preserve">    3</w:t>
      </w:r>
      <w:r>
        <w:rPr>
          <w:rFonts w:hint="eastAsia"/>
          <w:color w:val="auto"/>
          <w:highlight w:val="none"/>
          <w:lang w:val="en-US" w:eastAsia="zh-CN"/>
        </w:rPr>
        <w:t xml:space="preserve"> </w:t>
      </w:r>
      <w:r>
        <w:rPr>
          <w:color w:val="auto"/>
          <w:highlight w:val="none"/>
        </w:rPr>
        <w:t>装配率</w:t>
      </w:r>
      <w:r>
        <w:rPr>
          <w:rFonts w:hint="eastAsia"/>
          <w:color w:val="auto"/>
          <w:highlight w:val="none"/>
        </w:rPr>
        <w:t>为7</w:t>
      </w:r>
      <w:r>
        <w:rPr>
          <w:rFonts w:hint="eastAsia"/>
          <w:color w:val="auto"/>
          <w:highlight w:val="none"/>
          <w:lang w:val="en-US" w:eastAsia="zh-CN"/>
        </w:rPr>
        <w:t>6</w:t>
      </w:r>
      <w:r>
        <w:rPr>
          <w:color w:val="auto"/>
          <w:highlight w:val="none"/>
        </w:rPr>
        <w:t>%-</w:t>
      </w:r>
      <w:r>
        <w:rPr>
          <w:rFonts w:hint="eastAsia"/>
          <w:color w:val="auto"/>
          <w:highlight w:val="none"/>
          <w:lang w:val="en-US" w:eastAsia="zh-CN"/>
        </w:rPr>
        <w:t>90</w:t>
      </w:r>
      <w:r>
        <w:rPr>
          <w:color w:val="auto"/>
          <w:highlight w:val="none"/>
        </w:rPr>
        <w:t>%时，评价为</w:t>
      </w:r>
      <w:r>
        <w:rPr>
          <w:rFonts w:hint="eastAsia"/>
          <w:color w:val="auto"/>
          <w:highlight w:val="none"/>
          <w:lang w:val="en-US" w:eastAsia="zh-CN"/>
        </w:rPr>
        <w:t>AA</w:t>
      </w:r>
      <w:r>
        <w:rPr>
          <w:rFonts w:hint="eastAsia"/>
          <w:color w:val="auto"/>
          <w:highlight w:val="none"/>
        </w:rPr>
        <w:t>级</w:t>
      </w:r>
      <w:r>
        <w:rPr>
          <w:rFonts w:hint="eastAsia" w:ascii="Times New Roman" w:hAnsi="Times New Roman" w:cs="Times New Roman"/>
          <w:color w:val="auto"/>
          <w:highlight w:val="none"/>
        </w:rPr>
        <w:t>装配式建筑</w:t>
      </w:r>
      <w:r>
        <w:rPr>
          <w:rFonts w:hint="eastAsia"/>
          <w:color w:val="auto"/>
          <w:highlight w:val="none"/>
        </w:rPr>
        <w:t>；</w:t>
      </w:r>
    </w:p>
    <w:p>
      <w:pPr>
        <w:ind w:firstLine="560" w:firstLineChars="200"/>
        <w:jc w:val="left"/>
        <w:rPr>
          <w:rFonts w:hint="eastAsia" w:ascii="Times New Roman" w:hAnsi="Times New Roman" w:cs="Times New Roman"/>
          <w:color w:val="auto"/>
          <w:highlight w:val="none"/>
        </w:rPr>
      </w:pPr>
      <w:r>
        <w:rPr>
          <w:rFonts w:hint="eastAsia"/>
          <w:color w:val="auto"/>
          <w:highlight w:val="none"/>
        </w:rPr>
        <w:t>4</w:t>
      </w:r>
      <w:r>
        <w:rPr>
          <w:rFonts w:hint="eastAsia"/>
          <w:color w:val="auto"/>
          <w:highlight w:val="none"/>
          <w:lang w:val="en-US" w:eastAsia="zh-CN"/>
        </w:rPr>
        <w:t xml:space="preserve"> </w:t>
      </w:r>
      <w:r>
        <w:rPr>
          <w:color w:val="auto"/>
          <w:highlight w:val="none"/>
        </w:rPr>
        <w:t>装配率</w:t>
      </w:r>
      <w:r>
        <w:rPr>
          <w:rFonts w:hint="eastAsia"/>
          <w:color w:val="auto"/>
          <w:highlight w:val="none"/>
        </w:rPr>
        <w:t>为</w:t>
      </w:r>
      <w:r>
        <w:rPr>
          <w:rFonts w:hint="eastAsia"/>
          <w:color w:val="auto"/>
          <w:highlight w:val="none"/>
          <w:lang w:val="en-US" w:eastAsia="zh-CN"/>
        </w:rPr>
        <w:t>91</w:t>
      </w:r>
      <w:r>
        <w:rPr>
          <w:color w:val="auto"/>
          <w:highlight w:val="none"/>
        </w:rPr>
        <w:t>%及以上时，评价为</w:t>
      </w:r>
      <w:r>
        <w:rPr>
          <w:rFonts w:hint="eastAsia"/>
          <w:color w:val="auto"/>
          <w:highlight w:val="none"/>
          <w:lang w:val="en-US" w:eastAsia="zh-CN"/>
        </w:rPr>
        <w:t>AAA</w:t>
      </w:r>
      <w:r>
        <w:rPr>
          <w:rFonts w:hint="eastAsia"/>
          <w:color w:val="auto"/>
          <w:highlight w:val="none"/>
        </w:rPr>
        <w:t>级</w:t>
      </w:r>
      <w:r>
        <w:rPr>
          <w:rFonts w:hint="eastAsia" w:ascii="Times New Roman" w:hAnsi="Times New Roman" w:cs="Times New Roman"/>
          <w:color w:val="auto"/>
          <w:highlight w:val="none"/>
        </w:rPr>
        <w:t>装配式建筑。</w:t>
      </w:r>
    </w:p>
    <w:p>
      <w:pPr>
        <w:pStyle w:val="2"/>
        <w:ind w:firstLine="560" w:firstLineChars="20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上述装配率以四舍五入取整数。</w:t>
      </w:r>
    </w:p>
    <w:p>
      <w:pPr>
        <w:ind w:firstLine="0" w:firstLineChars="0"/>
        <w:rPr>
          <w:rFonts w:hint="eastAsia"/>
          <w:color w:val="auto"/>
          <w:highlight w:val="none"/>
        </w:rPr>
      </w:pPr>
      <w:r>
        <w:rPr>
          <w:rFonts w:hint="eastAsia"/>
          <w:b/>
          <w:bCs/>
          <w:color w:val="auto"/>
          <w:highlight w:val="none"/>
        </w:rPr>
        <w:t>3.0.</w:t>
      </w:r>
      <w:r>
        <w:rPr>
          <w:rFonts w:hint="eastAsia"/>
          <w:b/>
          <w:bCs/>
          <w:color w:val="auto"/>
          <w:highlight w:val="none"/>
          <w:lang w:eastAsia="zh-CN"/>
        </w:rPr>
        <w:t>5</w:t>
      </w:r>
      <w:r>
        <w:rPr>
          <w:rFonts w:hint="eastAsia"/>
          <w:color w:val="auto"/>
          <w:highlight w:val="none"/>
        </w:rPr>
        <w:t xml:space="preserve">  装配式建筑关键工种应经专业培训合格后</w:t>
      </w:r>
      <w:r>
        <w:rPr>
          <w:rFonts w:hint="eastAsia"/>
          <w:color w:val="auto"/>
          <w:highlight w:val="none"/>
          <w:lang w:eastAsia="zh-CN"/>
        </w:rPr>
        <w:t>持证</w:t>
      </w:r>
      <w:r>
        <w:rPr>
          <w:rFonts w:hint="eastAsia"/>
          <w:color w:val="auto"/>
          <w:highlight w:val="none"/>
        </w:rPr>
        <w:t>上岗；</w:t>
      </w:r>
      <w:r>
        <w:rPr>
          <w:color w:val="auto"/>
          <w:highlight w:val="none"/>
        </w:rPr>
        <w:t xml:space="preserve"> </w:t>
      </w:r>
    </w:p>
    <w:p>
      <w:pPr>
        <w:rPr>
          <w:rFonts w:hint="eastAsia"/>
          <w:color w:val="auto"/>
          <w:highlight w:val="none"/>
        </w:rPr>
      </w:pPr>
      <w:r>
        <w:rPr>
          <w:rFonts w:hint="eastAsia"/>
          <w:b/>
          <w:color w:val="auto"/>
          <w:highlight w:val="none"/>
        </w:rPr>
        <w:t>3.0.</w:t>
      </w:r>
      <w:r>
        <w:rPr>
          <w:rFonts w:hint="eastAsia"/>
          <w:b/>
          <w:color w:val="auto"/>
          <w:highlight w:val="none"/>
          <w:lang w:val="en-US" w:eastAsia="zh-CN"/>
        </w:rPr>
        <w:t>6</w:t>
      </w:r>
      <w:r>
        <w:rPr>
          <w:rFonts w:hint="eastAsia"/>
          <w:color w:val="auto"/>
          <w:highlight w:val="none"/>
        </w:rPr>
        <w:t xml:space="preserve">  装配式建筑宜采用装配化装修。</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条文说明：3.0.</w:t>
      </w:r>
      <w:r>
        <w:rPr>
          <w:rFonts w:hint="eastAsia" w:ascii="楷体" w:hAnsi="楷体" w:eastAsia="楷体" w:cs="楷体"/>
          <w:b w:val="0"/>
          <w:bCs w:val="0"/>
          <w:i w:val="0"/>
          <w:iCs w:val="0"/>
          <w:color w:val="auto"/>
          <w:highlight w:val="none"/>
          <w:lang w:val="en-US" w:eastAsia="zh-CN"/>
        </w:rPr>
        <w:t>6</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装配化装修是装配式建筑的倡导方向。装配化装修是将工厂生产的部品部件在现场进行组合安装的装修方式，主要包括干式工法楼（地）面、干式工法吊顶</w:t>
      </w:r>
      <w:r>
        <w:rPr>
          <w:rFonts w:hint="eastAsia" w:ascii="楷体" w:hAnsi="楷体" w:eastAsia="楷体" w:cs="楷体"/>
          <w:b w:val="0"/>
          <w:bCs w:val="0"/>
          <w:i w:val="0"/>
          <w:iCs w:val="0"/>
          <w:color w:val="auto"/>
          <w:highlight w:val="none"/>
          <w:lang w:eastAsia="zh-CN"/>
        </w:rPr>
        <w:t>、</w:t>
      </w:r>
      <w:r>
        <w:rPr>
          <w:rFonts w:hint="eastAsia" w:ascii="楷体" w:hAnsi="楷体" w:eastAsia="楷体" w:cs="楷体"/>
          <w:b w:val="0"/>
          <w:bCs w:val="0"/>
          <w:i w:val="0"/>
          <w:iCs w:val="0"/>
          <w:color w:val="auto"/>
          <w:highlight w:val="none"/>
        </w:rPr>
        <w:t>集成厨房、集成卫生间、管线分离等方面的内容。</w:t>
      </w:r>
    </w:p>
    <w:p>
      <w:pPr>
        <w:rPr>
          <w:rFonts w:hint="eastAsia" w:asciiTheme="majorEastAsia" w:hAnsiTheme="majorEastAsia" w:eastAsiaTheme="majorEastAsia" w:cstheme="majorEastAsia"/>
          <w:b/>
          <w:bCs/>
          <w:color w:val="auto"/>
          <w:sz w:val="32"/>
          <w:szCs w:val="32"/>
          <w:highlight w:val="none"/>
        </w:rPr>
      </w:pPr>
      <w:r>
        <w:rPr>
          <w:rFonts w:asciiTheme="majorEastAsia" w:hAnsiTheme="majorEastAsia" w:eastAsiaTheme="majorEastAsia" w:cstheme="majorEastAsia"/>
          <w:b/>
          <w:bCs/>
          <w:color w:val="auto"/>
          <w:sz w:val="32"/>
          <w:szCs w:val="32"/>
          <w:highlight w:val="none"/>
        </w:rPr>
        <w:br w:type="page"/>
      </w:r>
    </w:p>
    <w:p>
      <w:pPr>
        <w:pStyle w:val="3"/>
        <w:rPr>
          <w:rFonts w:hint="eastAsia" w:asciiTheme="minorEastAsia" w:hAnsiTheme="minorEastAsia" w:cstheme="minorEastAsia"/>
          <w:color w:val="auto"/>
          <w:highlight w:val="none"/>
        </w:rPr>
      </w:pPr>
      <w:bookmarkStart w:id="15" w:name="_Toc15226"/>
      <w:bookmarkStart w:id="16" w:name="_Toc10905"/>
      <w:r>
        <w:rPr>
          <w:rFonts w:hint="eastAsia"/>
          <w:color w:val="auto"/>
          <w:highlight w:val="none"/>
        </w:rPr>
        <w:t>4  装配率计算</w:t>
      </w:r>
      <w:bookmarkEnd w:id="15"/>
      <w:bookmarkEnd w:id="16"/>
    </w:p>
    <w:p>
      <w:pPr>
        <w:rPr>
          <w:rFonts w:hint="eastAsia"/>
          <w:color w:val="auto"/>
          <w:highlight w:val="none"/>
        </w:rPr>
      </w:pPr>
    </w:p>
    <w:p>
      <w:pPr>
        <w:rPr>
          <w:rFonts w:hint="eastAsia"/>
          <w:color w:val="auto"/>
          <w:highlight w:val="none"/>
        </w:rPr>
      </w:pPr>
      <w:r>
        <w:rPr>
          <w:rFonts w:hint="eastAsia"/>
          <w:b/>
          <w:color w:val="auto"/>
          <w:highlight w:val="none"/>
        </w:rPr>
        <w:t>4.0.1</w:t>
      </w:r>
      <w:r>
        <w:rPr>
          <w:rFonts w:hint="eastAsia"/>
          <w:color w:val="auto"/>
          <w:highlight w:val="none"/>
        </w:rPr>
        <w:t>装配率应根据表4.0.1中</w:t>
      </w:r>
      <w:r>
        <w:rPr>
          <w:rFonts w:hint="eastAsia"/>
          <w:color w:val="auto"/>
          <w:highlight w:val="none"/>
          <w:lang w:val="en-US" w:eastAsia="zh-CN"/>
        </w:rPr>
        <w:t>评分</w:t>
      </w:r>
      <w:r>
        <w:rPr>
          <w:rFonts w:hint="eastAsia"/>
          <w:color w:val="auto"/>
          <w:highlight w:val="none"/>
        </w:rPr>
        <w:t>项分值按下式计算：</w:t>
      </w:r>
    </w:p>
    <w:p>
      <w:pPr>
        <w:jc w:val="center"/>
        <w:rPr>
          <w:rFonts w:hint="eastAsia"/>
          <w:color w:val="auto"/>
          <w:sz w:val="36"/>
          <w:szCs w:val="36"/>
          <w:highlight w:val="none"/>
        </w:rPr>
      </w:pPr>
      <w:r>
        <w:rPr>
          <w:rFonts w:ascii="华文中宋" w:hAnsi="华文中宋" w:eastAsia="华文中宋" w:cs="华文中宋"/>
          <w:b/>
          <w:bCs/>
          <w:color w:val="auto"/>
          <w:position w:val="-32"/>
          <w:sz w:val="36"/>
          <w:szCs w:val="36"/>
          <w:highlight w:val="none"/>
        </w:rPr>
        <w:t xml:space="preserve">      </w:t>
      </w:r>
      <w:r>
        <w:rPr>
          <w:rFonts w:hint="eastAsia" w:ascii="黑体" w:hAnsi="黑体" w:eastAsia="黑体" w:cs="黑体"/>
          <w:bCs/>
          <w:color w:val="auto"/>
          <w:position w:val="-32"/>
          <w:sz w:val="24"/>
          <w:highlight w:val="none"/>
        </w:rPr>
        <w:object>
          <v:shape id="_x0000_i1026" o:spt="75" type="#_x0000_t75" style="height:38.2pt;width:161.4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bCs/>
          <w:color w:val="auto"/>
          <w:highlight w:val="none"/>
        </w:rPr>
        <w:t xml:space="preserve">               </w:t>
      </w:r>
      <w:r>
        <w:rPr>
          <w:rFonts w:hint="eastAsia"/>
          <w:color w:val="auto"/>
          <w:highlight w:val="none"/>
        </w:rPr>
        <w:t>(4.0.1)</w:t>
      </w:r>
    </w:p>
    <w:p>
      <w:pPr>
        <w:rPr>
          <w:rFonts w:hint="eastAsia"/>
          <w:color w:val="auto"/>
          <w:highlight w:val="none"/>
        </w:rPr>
      </w:pPr>
      <w:r>
        <w:rPr>
          <w:rFonts w:hint="eastAsia"/>
          <w:color w:val="auto"/>
          <w:highlight w:val="none"/>
        </w:rPr>
        <w:t>式中：P--装配率；</w:t>
      </w:r>
    </w:p>
    <w:p>
      <w:pPr>
        <w:rPr>
          <w:rFonts w:hint="eastAsia"/>
          <w:color w:val="auto"/>
          <w:highlight w:val="none"/>
        </w:rPr>
      </w:pPr>
      <w:r>
        <w:rPr>
          <w:rFonts w:hint="eastAsia"/>
          <w:color w:val="auto"/>
          <w:highlight w:val="none"/>
        </w:rPr>
        <w:t xml:space="preserve">      Q</w:t>
      </w:r>
      <w:r>
        <w:rPr>
          <w:rFonts w:hint="eastAsia"/>
          <w:color w:val="auto"/>
          <w:highlight w:val="none"/>
          <w:vertAlign w:val="subscript"/>
        </w:rPr>
        <w:t>1</w:t>
      </w:r>
      <w:r>
        <w:rPr>
          <w:rFonts w:hint="eastAsia"/>
          <w:color w:val="auto"/>
          <w:highlight w:val="none"/>
        </w:rPr>
        <w:t>--主体结构指标实际得分值；</w:t>
      </w:r>
    </w:p>
    <w:p>
      <w:pPr>
        <w:rPr>
          <w:rFonts w:hint="eastAsia"/>
          <w:color w:val="auto"/>
          <w:highlight w:val="none"/>
        </w:rPr>
      </w:pPr>
      <w:r>
        <w:rPr>
          <w:rFonts w:hint="eastAsia"/>
          <w:color w:val="auto"/>
          <w:highlight w:val="none"/>
        </w:rPr>
        <w:t xml:space="preserve">      Q</w:t>
      </w:r>
      <w:r>
        <w:rPr>
          <w:rFonts w:hint="eastAsia"/>
          <w:color w:val="auto"/>
          <w:highlight w:val="none"/>
          <w:vertAlign w:val="subscript"/>
        </w:rPr>
        <w:t>2</w:t>
      </w:r>
      <w:r>
        <w:rPr>
          <w:rFonts w:hint="eastAsia"/>
          <w:color w:val="auto"/>
          <w:highlight w:val="none"/>
        </w:rPr>
        <w:t>--围护墙和内隔墙指标实际得分值；</w:t>
      </w:r>
    </w:p>
    <w:p>
      <w:pPr>
        <w:rPr>
          <w:rFonts w:hint="eastAsia"/>
          <w:color w:val="auto"/>
          <w:highlight w:val="none"/>
        </w:rPr>
      </w:pPr>
      <w:r>
        <w:rPr>
          <w:rFonts w:hint="eastAsia"/>
          <w:color w:val="auto"/>
          <w:highlight w:val="none"/>
        </w:rPr>
        <w:t xml:space="preserve">      Q</w:t>
      </w:r>
      <w:r>
        <w:rPr>
          <w:rFonts w:hint="eastAsia"/>
          <w:color w:val="auto"/>
          <w:highlight w:val="none"/>
          <w:vertAlign w:val="subscript"/>
        </w:rPr>
        <w:t>3</w:t>
      </w:r>
      <w:r>
        <w:rPr>
          <w:rFonts w:hint="eastAsia"/>
          <w:color w:val="auto"/>
          <w:highlight w:val="none"/>
        </w:rPr>
        <w:t>--装修和设备管线指标实际得分值；</w:t>
      </w:r>
    </w:p>
    <w:p>
      <w:pPr>
        <w:rPr>
          <w:rFonts w:hint="eastAsia"/>
          <w:color w:val="auto"/>
          <w:highlight w:val="none"/>
        </w:rPr>
      </w:pPr>
      <w:r>
        <w:rPr>
          <w:rFonts w:hint="eastAsia"/>
          <w:color w:val="auto"/>
          <w:highlight w:val="none"/>
        </w:rPr>
        <w:t xml:space="preserve">      Q</w:t>
      </w:r>
      <w:r>
        <w:rPr>
          <w:rFonts w:hint="eastAsia"/>
          <w:color w:val="auto"/>
          <w:highlight w:val="none"/>
          <w:vertAlign w:val="subscript"/>
        </w:rPr>
        <w:t>4</w:t>
      </w:r>
      <w:r>
        <w:rPr>
          <w:rFonts w:hint="eastAsia"/>
          <w:color w:val="auto"/>
          <w:highlight w:val="none"/>
        </w:rPr>
        <w:t>--Q</w:t>
      </w:r>
      <w:r>
        <w:rPr>
          <w:rFonts w:hint="eastAsia"/>
          <w:color w:val="auto"/>
          <w:highlight w:val="none"/>
          <w:vertAlign w:val="subscript"/>
        </w:rPr>
        <w:t>1</w:t>
      </w:r>
      <w:r>
        <w:rPr>
          <w:rFonts w:hint="eastAsia"/>
          <w:color w:val="auto"/>
          <w:highlight w:val="none"/>
        </w:rPr>
        <w:t>、Q</w:t>
      </w:r>
      <w:r>
        <w:rPr>
          <w:rFonts w:hint="eastAsia"/>
          <w:color w:val="auto"/>
          <w:highlight w:val="none"/>
          <w:vertAlign w:val="subscript"/>
        </w:rPr>
        <w:t>2</w:t>
      </w:r>
      <w:r>
        <w:rPr>
          <w:rFonts w:hint="eastAsia"/>
          <w:color w:val="auto"/>
          <w:highlight w:val="none"/>
        </w:rPr>
        <w:t>、Q</w:t>
      </w:r>
      <w:r>
        <w:rPr>
          <w:rFonts w:hint="eastAsia"/>
          <w:color w:val="auto"/>
          <w:highlight w:val="none"/>
          <w:vertAlign w:val="subscript"/>
        </w:rPr>
        <w:t>3</w:t>
      </w:r>
      <w:r>
        <w:rPr>
          <w:rFonts w:hint="eastAsia"/>
          <w:color w:val="auto"/>
          <w:highlight w:val="none"/>
        </w:rPr>
        <w:t>中缺少的评</w:t>
      </w:r>
      <w:r>
        <w:rPr>
          <w:rFonts w:hint="eastAsia"/>
          <w:color w:val="auto"/>
          <w:highlight w:val="none"/>
          <w:lang w:val="en-US" w:eastAsia="zh-CN"/>
        </w:rPr>
        <w:t>分</w:t>
      </w:r>
      <w:r>
        <w:rPr>
          <w:rFonts w:hint="eastAsia"/>
          <w:color w:val="auto"/>
          <w:highlight w:val="none"/>
        </w:rPr>
        <w:t>项分值总和；</w:t>
      </w:r>
    </w:p>
    <w:p>
      <w:pPr>
        <w:rPr>
          <w:rFonts w:hint="eastAsia"/>
          <w:color w:val="auto"/>
          <w:highlight w:val="none"/>
        </w:rPr>
      </w:pPr>
      <w:r>
        <w:rPr>
          <w:rFonts w:hint="eastAsia"/>
          <w:color w:val="auto"/>
          <w:highlight w:val="none"/>
        </w:rPr>
        <w:t xml:space="preserve">      Q</w:t>
      </w:r>
      <w:r>
        <w:rPr>
          <w:rFonts w:hint="eastAsia"/>
          <w:color w:val="auto"/>
          <w:highlight w:val="none"/>
          <w:vertAlign w:val="subscript"/>
        </w:rPr>
        <w:t>5</w:t>
      </w:r>
      <w:r>
        <w:rPr>
          <w:rFonts w:hint="eastAsia"/>
          <w:color w:val="auto"/>
          <w:highlight w:val="none"/>
        </w:rPr>
        <w:t>--应用项及鼓励项实际得分值。</w:t>
      </w:r>
    </w:p>
    <w:p>
      <w:pPr>
        <w:jc w:val="center"/>
        <w:rPr>
          <w:rFonts w:hint="eastAsia" w:ascii="黑体" w:hAnsi="黑体" w:eastAsia="黑体" w:cs="黑体"/>
          <w:bCs/>
          <w:color w:val="auto"/>
          <w:sz w:val="24"/>
          <w:highlight w:val="none"/>
        </w:rPr>
      </w:pPr>
    </w:p>
    <w:p>
      <w:pPr>
        <w:jc w:val="center"/>
        <w:rPr>
          <w:rFonts w:hint="eastAsia" w:ascii="黑体" w:hAnsi="黑体" w:eastAsia="黑体" w:cs="黑体"/>
          <w:bCs/>
          <w:color w:val="auto"/>
          <w:sz w:val="24"/>
          <w:highlight w:val="none"/>
        </w:rPr>
        <w:sectPr>
          <w:pgSz w:w="11906" w:h="16838"/>
          <w:pgMar w:top="1418" w:right="1304" w:bottom="1418" w:left="1304" w:header="851" w:footer="992" w:gutter="0"/>
          <w:pgNumType w:start="1"/>
          <w:cols w:space="425" w:num="1"/>
          <w:docGrid w:linePitch="312" w:charSpace="0"/>
        </w:sectPr>
      </w:pPr>
    </w:p>
    <w:p>
      <w:pPr>
        <w:jc w:val="center"/>
        <w:rPr>
          <w:rFonts w:hint="eastAsia" w:ascii="黑体" w:hAnsi="黑体" w:eastAsia="黑体" w:cs="黑体"/>
          <w:bCs/>
          <w:color w:val="auto"/>
          <w:sz w:val="24"/>
          <w:highlight w:val="none"/>
        </w:rPr>
      </w:pPr>
      <w:r>
        <w:rPr>
          <w:rFonts w:hint="eastAsia" w:ascii="黑体" w:hAnsi="黑体" w:eastAsia="黑体" w:cs="黑体"/>
          <w:bCs/>
          <w:color w:val="auto"/>
          <w:sz w:val="24"/>
          <w:highlight w:val="none"/>
        </w:rPr>
        <w:t>表4.0.1  装配式建筑评分表</w:t>
      </w:r>
    </w:p>
    <w:tbl>
      <w:tblPr>
        <w:tblStyle w:val="16"/>
        <w:tblW w:w="9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6"/>
        <w:gridCol w:w="526"/>
        <w:gridCol w:w="542"/>
        <w:gridCol w:w="167"/>
        <w:gridCol w:w="876"/>
        <w:gridCol w:w="1418"/>
        <w:gridCol w:w="255"/>
        <w:gridCol w:w="1739"/>
        <w:gridCol w:w="22"/>
        <w:gridCol w:w="1378"/>
        <w:gridCol w:w="1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4900" w:type="dxa"/>
            <w:gridSpan w:val="7"/>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评</w:t>
            </w:r>
            <w:r>
              <w:rPr>
                <w:rFonts w:hint="eastAsia" w:ascii="仿宋" w:hAnsi="仿宋" w:eastAsia="仿宋" w:cs="宋体"/>
                <w:b/>
                <w:bCs/>
                <w:color w:val="auto"/>
                <w:kern w:val="0"/>
                <w:sz w:val="24"/>
                <w:highlight w:val="none"/>
                <w:lang w:val="en-US" w:eastAsia="zh-CN"/>
              </w:rPr>
              <w:t>分</w:t>
            </w:r>
            <w:r>
              <w:rPr>
                <w:rFonts w:hint="eastAsia" w:ascii="仿宋" w:hAnsi="仿宋" w:eastAsia="仿宋" w:cs="宋体"/>
                <w:b/>
                <w:bCs/>
                <w:color w:val="auto"/>
                <w:kern w:val="0"/>
                <w:sz w:val="24"/>
                <w:highlight w:val="none"/>
              </w:rPr>
              <w:t>项</w:t>
            </w:r>
          </w:p>
        </w:tc>
        <w:tc>
          <w:tcPr>
            <w:tcW w:w="1761" w:type="dxa"/>
            <w:gridSpan w:val="2"/>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评</w:t>
            </w:r>
            <w:r>
              <w:rPr>
                <w:rFonts w:hint="eastAsia" w:ascii="仿宋" w:hAnsi="仿宋" w:eastAsia="仿宋" w:cs="宋体"/>
                <w:b/>
                <w:bCs/>
                <w:color w:val="auto"/>
                <w:kern w:val="0"/>
                <w:sz w:val="24"/>
                <w:highlight w:val="none"/>
                <w:lang w:val="en-US" w:eastAsia="zh-CN"/>
              </w:rPr>
              <w:t>分</w:t>
            </w:r>
            <w:r>
              <w:rPr>
                <w:rFonts w:hint="eastAsia" w:ascii="仿宋" w:hAnsi="仿宋" w:eastAsia="仿宋" w:cs="宋体"/>
                <w:b/>
                <w:bCs/>
                <w:color w:val="auto"/>
                <w:kern w:val="0"/>
                <w:sz w:val="24"/>
                <w:highlight w:val="none"/>
              </w:rPr>
              <w:t>要求</w:t>
            </w:r>
          </w:p>
        </w:tc>
        <w:tc>
          <w:tcPr>
            <w:tcW w:w="1378"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评</w:t>
            </w:r>
            <w:r>
              <w:rPr>
                <w:rFonts w:hint="eastAsia" w:ascii="仿宋" w:hAnsi="仿宋" w:eastAsia="仿宋" w:cs="宋体"/>
                <w:b/>
                <w:bCs/>
                <w:color w:val="auto"/>
                <w:kern w:val="0"/>
                <w:sz w:val="24"/>
                <w:highlight w:val="none"/>
                <w:lang w:val="en-US" w:eastAsia="zh-CN"/>
              </w:rPr>
              <w:t>分</w:t>
            </w:r>
            <w:r>
              <w:rPr>
                <w:rFonts w:hint="eastAsia" w:ascii="仿宋" w:hAnsi="仿宋" w:eastAsia="仿宋" w:cs="宋体"/>
                <w:b/>
                <w:bCs/>
                <w:color w:val="auto"/>
                <w:kern w:val="0"/>
                <w:sz w:val="24"/>
                <w:highlight w:val="none"/>
              </w:rPr>
              <w:t>分值</w:t>
            </w:r>
          </w:p>
        </w:tc>
        <w:tc>
          <w:tcPr>
            <w:tcW w:w="1239"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最低分值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111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vertAlign w:val="subscript"/>
              </w:rPr>
            </w:pPr>
            <w:r>
              <w:rPr>
                <w:rFonts w:hint="eastAsia" w:ascii="仿宋" w:hAnsi="仿宋" w:eastAsia="仿宋" w:cs="宋体"/>
                <w:color w:val="auto"/>
                <w:kern w:val="0"/>
                <w:sz w:val="24"/>
                <w:highlight w:val="none"/>
              </w:rPr>
              <w:t>主体结构Q</w:t>
            </w:r>
            <w:r>
              <w:rPr>
                <w:rFonts w:hint="eastAsia" w:ascii="仿宋" w:hAnsi="仿宋" w:eastAsia="仿宋" w:cs="宋体"/>
                <w:color w:val="auto"/>
                <w:kern w:val="0"/>
                <w:sz w:val="24"/>
                <w:highlight w:val="none"/>
                <w:vertAlign w:val="subscript"/>
              </w:rPr>
              <w:t>1</w:t>
            </w:r>
          </w:p>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（50分）</w:t>
            </w:r>
          </w:p>
        </w:tc>
        <w:tc>
          <w:tcPr>
            <w:tcW w:w="52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1a</w:t>
            </w:r>
          </w:p>
        </w:tc>
        <w:tc>
          <w:tcPr>
            <w:tcW w:w="3258" w:type="dxa"/>
            <w:gridSpan w:val="5"/>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柱、支撑、承重墙、延性墙板等竖向构件</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35%≤比例≤80%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20-30*</w:t>
            </w:r>
          </w:p>
        </w:tc>
        <w:tc>
          <w:tcPr>
            <w:tcW w:w="1239"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15（</w:t>
            </w:r>
            <w:r>
              <w:rPr>
                <w:rFonts w:hint="eastAsia" w:ascii="仿宋" w:hAnsi="仿宋" w:eastAsia="仿宋" w:cs="宋体"/>
                <w:color w:val="auto"/>
                <w:kern w:val="0"/>
                <w:sz w:val="24"/>
                <w:highlight w:val="none"/>
                <w:lang w:val="en-US" w:eastAsia="zh-CN"/>
              </w:rPr>
              <w:t>居建</w:t>
            </w:r>
            <w:r>
              <w:rPr>
                <w:rFonts w:hint="eastAsia" w:ascii="仿宋" w:hAnsi="仿宋" w:eastAsia="仿宋" w:cs="宋体"/>
                <w:color w:val="auto"/>
                <w:kern w:val="0"/>
                <w:sz w:val="24"/>
                <w:highlight w:val="none"/>
                <w:lang w:eastAsia="zh-CN"/>
              </w:rPr>
              <w:t>2</w:t>
            </w:r>
            <w:r>
              <w:rPr>
                <w:rFonts w:hint="eastAsia" w:ascii="仿宋" w:hAnsi="仿宋" w:eastAsia="仿宋" w:cs="宋体"/>
                <w:color w:val="auto"/>
                <w:kern w:val="0"/>
                <w:sz w:val="24"/>
                <w:highlight w:val="none"/>
                <w:lang w:val="en-US" w:eastAsia="zh-CN"/>
              </w:rPr>
              <w:t>5；公建20</w:t>
            </w:r>
            <w:r>
              <w:rPr>
                <w:rFonts w:hint="eastAsia" w:ascii="仿宋" w:hAnsi="仿宋" w:eastAsia="仿宋" w:cs="宋体"/>
                <w:color w:val="auto"/>
                <w:kern w:val="0"/>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3258" w:type="dxa"/>
            <w:gridSpan w:val="5"/>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15%≤比例＜35%</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5-20*</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1b</w:t>
            </w:r>
          </w:p>
        </w:tc>
        <w:tc>
          <w:tcPr>
            <w:tcW w:w="3258"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梁、板、楼梯、阳台、空调板等水平构件</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50%≤比例≤80%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5-20*</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vertAlign w:val="subscript"/>
              </w:rPr>
            </w:pPr>
            <w:r>
              <w:rPr>
                <w:rFonts w:hint="eastAsia" w:ascii="仿宋" w:hAnsi="仿宋" w:eastAsia="仿宋" w:cs="宋体"/>
                <w:color w:val="auto"/>
                <w:kern w:val="0"/>
                <w:sz w:val="24"/>
                <w:highlight w:val="none"/>
              </w:rPr>
              <w:t>围护墙和内隔墙Q</w:t>
            </w:r>
            <w:r>
              <w:rPr>
                <w:rFonts w:hint="eastAsia" w:ascii="仿宋" w:hAnsi="仿宋" w:eastAsia="仿宋" w:cs="宋体"/>
                <w:color w:val="auto"/>
                <w:kern w:val="0"/>
                <w:sz w:val="24"/>
                <w:highlight w:val="none"/>
                <w:vertAlign w:val="subscript"/>
              </w:rPr>
              <w:t>2</w:t>
            </w:r>
          </w:p>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ascii="仿宋" w:hAnsi="仿宋" w:eastAsia="仿宋" w:cs="宋体"/>
                <w:color w:val="auto"/>
                <w:kern w:val="0"/>
                <w:sz w:val="24"/>
                <w:highlight w:val="none"/>
              </w:rPr>
              <w:t>0</w:t>
            </w:r>
            <w:r>
              <w:rPr>
                <w:rFonts w:hint="eastAsia" w:ascii="仿宋" w:hAnsi="仿宋" w:eastAsia="仿宋" w:cs="宋体"/>
                <w:color w:val="auto"/>
                <w:kern w:val="0"/>
                <w:sz w:val="24"/>
                <w:highlight w:val="none"/>
              </w:rPr>
              <w:t>分）</w:t>
            </w:r>
          </w:p>
        </w:tc>
        <w:tc>
          <w:tcPr>
            <w:tcW w:w="52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2a</w:t>
            </w:r>
          </w:p>
        </w:tc>
        <w:tc>
          <w:tcPr>
            <w:tcW w:w="3258" w:type="dxa"/>
            <w:gridSpan w:val="5"/>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olor w:val="auto"/>
                <w:sz w:val="24"/>
                <w:highlight w:val="none"/>
              </w:rPr>
              <w:t>非承重围护墙非砌筑</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比例≥80%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w:t>
            </w:r>
          </w:p>
        </w:tc>
        <w:tc>
          <w:tcPr>
            <w:tcW w:w="1239" w:type="dxa"/>
            <w:vMerge w:val="restart"/>
            <w:shd w:val="clear" w:color="auto" w:fill="auto"/>
            <w:vAlign w:val="center"/>
          </w:tcPr>
          <w:p>
            <w:pPr>
              <w:widowControl/>
              <w:spacing w:line="240" w:lineRule="auto"/>
              <w:jc w:val="center"/>
              <w:rPr>
                <w:rFonts w:hint="eastAsia"/>
                <w:color w:val="auto"/>
              </w:rPr>
            </w:pPr>
            <w:r>
              <w:rPr>
                <w:rFonts w:hint="eastAsia" w:ascii="仿宋" w:hAnsi="仿宋" w:eastAsia="仿宋" w:cs="宋体"/>
                <w:color w:val="auto"/>
                <w:kern w:val="0"/>
                <w:sz w:val="24"/>
                <w:highlight w:val="none"/>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3258" w:type="dxa"/>
            <w:gridSpan w:val="5"/>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50%≤比例＜80%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2-5*</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2b</w:t>
            </w:r>
          </w:p>
        </w:tc>
        <w:tc>
          <w:tcPr>
            <w:tcW w:w="709"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2b1</w:t>
            </w:r>
          </w:p>
        </w:tc>
        <w:tc>
          <w:tcPr>
            <w:tcW w:w="2549" w:type="dxa"/>
            <w:gridSpan w:val="3"/>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围护墙与保温、隔热、装饰一体化</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35</w:t>
            </w:r>
            <w:r>
              <w:rPr>
                <w:rFonts w:hint="eastAsia" w:ascii="仿宋" w:hAnsi="仿宋" w:eastAsia="仿宋" w:cs="宋体"/>
                <w:color w:val="auto"/>
                <w:kern w:val="0"/>
                <w:sz w:val="24"/>
                <w:highlight w:val="none"/>
              </w:rPr>
              <w:t>%≤比例≤80%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-5*</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709"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2b2</w:t>
            </w:r>
          </w:p>
        </w:tc>
        <w:tc>
          <w:tcPr>
            <w:tcW w:w="2549" w:type="dxa"/>
            <w:gridSpan w:val="3"/>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保温装饰板</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50%≤比例≤80%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1-3*</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1"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2c</w:t>
            </w:r>
          </w:p>
        </w:tc>
        <w:tc>
          <w:tcPr>
            <w:tcW w:w="3258" w:type="dxa"/>
            <w:gridSpan w:val="5"/>
            <w:vMerge w:val="restart"/>
            <w:shd w:val="clear" w:color="auto" w:fill="auto"/>
            <w:vAlign w:val="center"/>
          </w:tcPr>
          <w:p>
            <w:pPr>
              <w:widowControl/>
              <w:spacing w:after="120" w:line="240" w:lineRule="auto"/>
              <w:jc w:val="center"/>
              <w:rPr>
                <w:rFonts w:hint="eastAsia" w:ascii="仿宋" w:hAnsi="仿宋" w:eastAsia="仿宋" w:cs="宋体"/>
                <w:color w:val="auto"/>
                <w:kern w:val="0"/>
                <w:sz w:val="24"/>
                <w:highlight w:val="none"/>
              </w:rPr>
            </w:pPr>
            <w:r>
              <w:rPr>
                <w:rFonts w:hint="eastAsia" w:ascii="仿宋" w:hAnsi="仿宋" w:eastAsia="仿宋"/>
                <w:color w:val="auto"/>
                <w:sz w:val="24"/>
                <w:highlight w:val="none"/>
              </w:rPr>
              <w:t>内隔墙非砌筑</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比例≥50%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3258" w:type="dxa"/>
            <w:gridSpan w:val="5"/>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30%≤比例＜50%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2-5*</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1"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shd w:val="clear" w:color="auto" w:fill="auto"/>
            <w:vAlign w:val="center"/>
          </w:tcPr>
          <w:p>
            <w:pPr>
              <w:widowControl/>
              <w:spacing w:line="240" w:lineRule="auto"/>
              <w:jc w:val="center"/>
              <w:rPr>
                <w:rFonts w:hint="eastAsia" w:ascii="仿宋" w:hAnsi="仿宋" w:eastAsia="仿宋" w:cs="宋体"/>
                <w:color w:val="auto"/>
                <w:kern w:val="0"/>
                <w:sz w:val="24"/>
                <w:szCs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2d</w:t>
            </w:r>
          </w:p>
        </w:tc>
        <w:tc>
          <w:tcPr>
            <w:tcW w:w="3258" w:type="dxa"/>
            <w:gridSpan w:val="5"/>
            <w:shd w:val="clear" w:color="auto" w:fill="auto"/>
            <w:vAlign w:val="center"/>
          </w:tcPr>
          <w:p>
            <w:pPr>
              <w:widowControl/>
              <w:spacing w:line="240" w:lineRule="auto"/>
              <w:jc w:val="center"/>
              <w:rPr>
                <w:rFonts w:hint="eastAsia" w:ascii="仿宋" w:hAnsi="仿宋" w:eastAsia="仿宋" w:cs="宋体"/>
                <w:color w:val="auto"/>
                <w:kern w:val="0"/>
                <w:sz w:val="24"/>
                <w:szCs w:val="24"/>
                <w:highlight w:val="none"/>
              </w:rPr>
            </w:pPr>
            <w:r>
              <w:rPr>
                <w:rFonts w:hint="eastAsia" w:ascii="仿宋" w:hAnsi="仿宋" w:eastAsia="仿宋" w:cs="宋体"/>
                <w:color w:val="auto"/>
                <w:kern w:val="0"/>
                <w:sz w:val="24"/>
                <w:highlight w:val="none"/>
              </w:rPr>
              <w:t>内隔墙与管线、装修一体化</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szCs w:val="24"/>
                <w:highlight w:val="none"/>
              </w:rPr>
            </w:pPr>
            <w:r>
              <w:rPr>
                <w:rFonts w:ascii="仿宋" w:hAnsi="仿宋" w:eastAsia="仿宋" w:cs="宋体"/>
                <w:color w:val="auto"/>
                <w:kern w:val="0"/>
                <w:sz w:val="24"/>
                <w:highlight w:val="none"/>
              </w:rPr>
              <w:t>35</w:t>
            </w:r>
            <w:r>
              <w:rPr>
                <w:rFonts w:hint="eastAsia" w:ascii="仿宋" w:hAnsi="仿宋" w:eastAsia="仿宋" w:cs="宋体"/>
                <w:color w:val="auto"/>
                <w:kern w:val="0"/>
                <w:sz w:val="24"/>
                <w:highlight w:val="none"/>
              </w:rPr>
              <w:t>%≤比例≤80%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szCs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5</w:t>
            </w:r>
            <w:r>
              <w:rPr>
                <w:rFonts w:hint="eastAsia" w:ascii="仿宋" w:hAnsi="仿宋" w:eastAsia="仿宋" w:cs="宋体"/>
                <w:color w:val="auto"/>
                <w:kern w:val="0"/>
                <w:sz w:val="24"/>
                <w:highlight w:val="none"/>
              </w:rPr>
              <w:t>*</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6" w:hRule="atLeast"/>
        </w:trPr>
        <w:tc>
          <w:tcPr>
            <w:tcW w:w="111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vertAlign w:val="subscript"/>
              </w:rPr>
            </w:pPr>
            <w:r>
              <w:rPr>
                <w:rFonts w:hint="eastAsia" w:ascii="仿宋" w:hAnsi="仿宋" w:eastAsia="仿宋" w:cs="宋体"/>
                <w:color w:val="auto"/>
                <w:kern w:val="0"/>
                <w:sz w:val="24"/>
                <w:highlight w:val="none"/>
              </w:rPr>
              <w:t>装修和设备管线Q</w:t>
            </w:r>
            <w:r>
              <w:rPr>
                <w:rFonts w:hint="eastAsia" w:ascii="仿宋" w:hAnsi="仿宋" w:eastAsia="仿宋" w:cs="宋体"/>
                <w:color w:val="auto"/>
                <w:kern w:val="0"/>
                <w:sz w:val="24"/>
                <w:highlight w:val="none"/>
                <w:vertAlign w:val="subscript"/>
              </w:rPr>
              <w:t>3</w:t>
            </w:r>
          </w:p>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30</w:t>
            </w:r>
            <w:r>
              <w:rPr>
                <w:rFonts w:hint="eastAsia" w:ascii="仿宋" w:hAnsi="仿宋" w:eastAsia="仿宋" w:cs="宋体"/>
                <w:color w:val="auto"/>
                <w:kern w:val="0"/>
                <w:sz w:val="24"/>
                <w:highlight w:val="none"/>
              </w:rPr>
              <w:t>分）</w:t>
            </w:r>
          </w:p>
        </w:tc>
        <w:tc>
          <w:tcPr>
            <w:tcW w:w="1068" w:type="dxa"/>
            <w:gridSpan w:val="2"/>
            <w:vMerge w:val="restart"/>
            <w:shd w:val="clear" w:color="auto" w:fill="auto"/>
            <w:vAlign w:val="center"/>
          </w:tcPr>
          <w:p>
            <w:pPr>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eastAsia="zh-CN"/>
              </w:rPr>
              <w:t>全</w:t>
            </w:r>
            <w:r>
              <w:rPr>
                <w:rFonts w:hint="eastAsia" w:ascii="仿宋" w:hAnsi="仿宋" w:eastAsia="仿宋" w:cs="宋体"/>
                <w:color w:val="auto"/>
                <w:kern w:val="0"/>
                <w:sz w:val="24"/>
                <w:highlight w:val="none"/>
              </w:rPr>
              <w:t>装修</w:t>
            </w:r>
          </w:p>
        </w:tc>
        <w:tc>
          <w:tcPr>
            <w:tcW w:w="4477" w:type="dxa"/>
            <w:gridSpan w:val="6"/>
            <w:shd w:val="clear" w:color="auto" w:fill="auto"/>
            <w:vAlign w:val="center"/>
          </w:tcPr>
          <w:p>
            <w:pPr>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eastAsia="zh-CN"/>
              </w:rPr>
              <w:t>公区全部装修</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val="en-US" w:eastAsia="zh-CN"/>
              </w:rPr>
              <w:t>2</w:t>
            </w:r>
          </w:p>
        </w:tc>
        <w:tc>
          <w:tcPr>
            <w:tcW w:w="1239"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c>
          <w:tcPr>
            <w:tcW w:w="1068" w:type="dxa"/>
            <w:gridSpan w:val="2"/>
            <w:vMerge w:val="continue"/>
            <w:shd w:val="clear" w:color="auto" w:fill="auto"/>
            <w:vAlign w:val="center"/>
          </w:tcPr>
          <w:p>
            <w:pPr>
              <w:spacing w:line="240" w:lineRule="auto"/>
              <w:jc w:val="center"/>
              <w:rPr>
                <w:rFonts w:hint="eastAsia" w:ascii="仿宋" w:hAnsi="仿宋" w:eastAsia="仿宋" w:cs="宋体"/>
                <w:color w:val="auto"/>
                <w:kern w:val="0"/>
                <w:sz w:val="24"/>
                <w:highlight w:val="none"/>
              </w:rPr>
            </w:pPr>
          </w:p>
        </w:tc>
        <w:tc>
          <w:tcPr>
            <w:tcW w:w="4477" w:type="dxa"/>
            <w:gridSpan w:val="6"/>
            <w:shd w:val="clear" w:color="auto" w:fill="auto"/>
            <w:vAlign w:val="center"/>
          </w:tcPr>
          <w:p>
            <w:pPr>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eastAsia="zh-CN"/>
              </w:rPr>
              <w:t>建筑功能空间全部装修</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6</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3a</w:t>
            </w:r>
          </w:p>
        </w:tc>
        <w:tc>
          <w:tcPr>
            <w:tcW w:w="3258" w:type="dxa"/>
            <w:gridSpan w:val="5"/>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干式工法楼面、地面</w:t>
            </w:r>
          </w:p>
        </w:tc>
        <w:tc>
          <w:tcPr>
            <w:tcW w:w="1761" w:type="dxa"/>
            <w:gridSpan w:val="2"/>
            <w:shd w:val="clear" w:color="auto" w:fill="auto"/>
            <w:vAlign w:val="center"/>
          </w:tcPr>
          <w:p>
            <w:pPr>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比例≥70%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6</w:t>
            </w:r>
          </w:p>
        </w:tc>
        <w:tc>
          <w:tcPr>
            <w:tcW w:w="1239"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3258" w:type="dxa"/>
            <w:gridSpan w:val="5"/>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50%≤比例＜70%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3-6*</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3b</w:t>
            </w:r>
          </w:p>
        </w:tc>
        <w:tc>
          <w:tcPr>
            <w:tcW w:w="3258"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集成厨房</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70%≤比例≤90%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3c</w:t>
            </w:r>
          </w:p>
        </w:tc>
        <w:tc>
          <w:tcPr>
            <w:tcW w:w="3258"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集成卫生间</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70%≤比例≤90%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7"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3d</w:t>
            </w:r>
          </w:p>
        </w:tc>
        <w:tc>
          <w:tcPr>
            <w:tcW w:w="3258"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水、暖管线分离</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50%≤比例≤70%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1-3*</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526"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Times New Roman" w:hAnsi="Times New Roman" w:eastAsia="仿宋" w:cs="Times New Roman"/>
                <w:i/>
                <w:iCs/>
                <w:color w:val="auto"/>
                <w:kern w:val="0"/>
                <w:sz w:val="24"/>
                <w:highlight w:val="none"/>
              </w:rPr>
              <w:t>q</w:t>
            </w:r>
            <w:r>
              <w:rPr>
                <w:rFonts w:hint="eastAsia" w:ascii="仿宋" w:hAnsi="仿宋" w:eastAsia="仿宋" w:cs="宋体"/>
                <w:color w:val="auto"/>
                <w:kern w:val="0"/>
                <w:sz w:val="24"/>
                <w:highlight w:val="none"/>
                <w:vertAlign w:val="subscript"/>
              </w:rPr>
              <w:t>3e</w:t>
            </w:r>
          </w:p>
        </w:tc>
        <w:tc>
          <w:tcPr>
            <w:tcW w:w="3258"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电气管线分离</w:t>
            </w:r>
          </w:p>
        </w:tc>
        <w:tc>
          <w:tcPr>
            <w:tcW w:w="1761"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50%≤比例≤70%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1-3*</w:t>
            </w:r>
          </w:p>
        </w:tc>
        <w:tc>
          <w:tcPr>
            <w:tcW w:w="1239"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restart"/>
            <w:vAlign w:val="center"/>
          </w:tcPr>
          <w:p>
            <w:pPr>
              <w:spacing w:line="240" w:lineRule="auto"/>
              <w:jc w:val="center"/>
              <w:rPr>
                <w:rFonts w:hint="default" w:ascii="仿宋" w:hAnsi="仿宋" w:eastAsia="仿宋" w:cs="宋体"/>
                <w:color w:val="auto"/>
                <w:kern w:val="0"/>
                <w:sz w:val="24"/>
                <w:highlight w:val="none"/>
                <w:vertAlign w:val="baseline"/>
                <w:lang w:val="en-US" w:eastAsia="zh-CN"/>
              </w:rPr>
            </w:pPr>
            <w:bookmarkStart w:id="17" w:name="OLE_LINK2"/>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5</w:t>
            </w:r>
          </w:p>
          <w:p>
            <w:pPr>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（20分）</w:t>
            </w:r>
          </w:p>
        </w:tc>
        <w:tc>
          <w:tcPr>
            <w:tcW w:w="1068" w:type="dxa"/>
            <w:gridSpan w:val="2"/>
            <w:vMerge w:val="restart"/>
            <w:shd w:val="clear" w:color="auto" w:fill="auto"/>
            <w:vAlign w:val="center"/>
          </w:tcPr>
          <w:p>
            <w:pPr>
              <w:spacing w:line="240" w:lineRule="auto"/>
              <w:jc w:val="center"/>
              <w:rPr>
                <w:rFonts w:hint="default"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加分项</w:t>
            </w:r>
          </w:p>
        </w:tc>
        <w:tc>
          <w:tcPr>
            <w:tcW w:w="4455"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绿色建筑（二星以上）与绿色建材应用</w:t>
            </w:r>
          </w:p>
        </w:tc>
        <w:tc>
          <w:tcPr>
            <w:tcW w:w="1400"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1-3</w:t>
            </w:r>
          </w:p>
        </w:tc>
        <w:tc>
          <w:tcPr>
            <w:tcW w:w="1239" w:type="dxa"/>
            <w:shd w:val="clear" w:color="auto" w:fill="auto"/>
            <w:vAlign w:val="center"/>
          </w:tcPr>
          <w:p>
            <w:pPr>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continue"/>
            <w:vAlign w:val="center"/>
          </w:tcPr>
          <w:p>
            <w:pPr>
              <w:spacing w:line="240" w:lineRule="auto"/>
              <w:jc w:val="center"/>
              <w:rPr>
                <w:rFonts w:hint="eastAsia" w:ascii="仿宋" w:hAnsi="仿宋" w:eastAsia="仿宋" w:cs="宋体"/>
                <w:color w:val="auto"/>
                <w:kern w:val="0"/>
                <w:sz w:val="24"/>
                <w:highlight w:val="none"/>
              </w:rPr>
            </w:pPr>
          </w:p>
        </w:tc>
        <w:tc>
          <w:tcPr>
            <w:tcW w:w="1068" w:type="dxa"/>
            <w:gridSpan w:val="2"/>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c>
          <w:tcPr>
            <w:tcW w:w="4455" w:type="dxa"/>
            <w:gridSpan w:val="5"/>
            <w:shd w:val="clear" w:color="auto" w:fill="auto"/>
            <w:vAlign w:val="center"/>
          </w:tcPr>
          <w:p>
            <w:pPr>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标准化设计</w:t>
            </w:r>
          </w:p>
        </w:tc>
        <w:tc>
          <w:tcPr>
            <w:tcW w:w="1400"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1-5</w:t>
            </w:r>
          </w:p>
        </w:tc>
        <w:tc>
          <w:tcPr>
            <w:tcW w:w="1239" w:type="dxa"/>
            <w:shd w:val="clear" w:color="auto" w:fill="auto"/>
            <w:vAlign w:val="center"/>
          </w:tcPr>
          <w:p>
            <w:pPr>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continue"/>
            <w:vAlign w:val="center"/>
          </w:tcPr>
          <w:p>
            <w:pPr>
              <w:spacing w:line="240" w:lineRule="auto"/>
              <w:jc w:val="center"/>
              <w:rPr>
                <w:rFonts w:hint="eastAsia" w:ascii="仿宋" w:hAnsi="仿宋" w:eastAsia="仿宋" w:cs="宋体"/>
                <w:color w:val="auto"/>
                <w:kern w:val="0"/>
                <w:sz w:val="24"/>
                <w:highlight w:val="none"/>
              </w:rPr>
            </w:pPr>
          </w:p>
        </w:tc>
        <w:tc>
          <w:tcPr>
            <w:tcW w:w="1068" w:type="dxa"/>
            <w:gridSpan w:val="2"/>
            <w:vMerge w:val="continue"/>
            <w:shd w:val="clear" w:color="auto" w:fill="auto"/>
            <w:vAlign w:val="center"/>
          </w:tcPr>
          <w:p>
            <w:pPr>
              <w:spacing w:line="240" w:lineRule="auto"/>
              <w:jc w:val="center"/>
              <w:rPr>
                <w:rFonts w:hint="eastAsia" w:ascii="仿宋" w:hAnsi="仿宋" w:eastAsia="仿宋" w:cs="宋体"/>
                <w:color w:val="auto"/>
                <w:kern w:val="0"/>
                <w:sz w:val="24"/>
                <w:highlight w:val="none"/>
              </w:rPr>
            </w:pPr>
          </w:p>
        </w:tc>
        <w:tc>
          <w:tcPr>
            <w:tcW w:w="4477" w:type="dxa"/>
            <w:gridSpan w:val="6"/>
            <w:shd w:val="clear" w:color="auto" w:fill="auto"/>
            <w:vAlign w:val="center"/>
          </w:tcPr>
          <w:p>
            <w:pPr>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rPr>
              <w:t>智能建造技术应用</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3</w:t>
            </w:r>
          </w:p>
        </w:tc>
        <w:tc>
          <w:tcPr>
            <w:tcW w:w="1239" w:type="dxa"/>
            <w:vMerge w:val="restart"/>
            <w:shd w:val="clear" w:color="auto" w:fill="auto"/>
            <w:vAlign w:val="center"/>
          </w:tcPr>
          <w:p>
            <w:pPr>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rPr>
              <w:t>2</w:t>
            </w:r>
            <w:r>
              <w:rPr>
                <w:rFonts w:hint="eastAsia" w:ascii="仿宋" w:hAnsi="仿宋" w:eastAsia="仿宋" w:cs="宋体"/>
                <w:color w:val="auto"/>
                <w:kern w:val="0"/>
                <w:sz w:val="24"/>
                <w:highlight w:val="none"/>
                <w:lang w:eastAsia="zh-CN"/>
              </w:rPr>
              <w:t>（</w:t>
            </w:r>
            <w:r>
              <w:rPr>
                <w:rFonts w:hint="eastAsia" w:ascii="仿宋" w:hAnsi="仿宋" w:eastAsia="仿宋" w:cs="宋体"/>
                <w:color w:val="auto"/>
                <w:kern w:val="0"/>
                <w:sz w:val="24"/>
                <w:highlight w:val="none"/>
                <w:lang w:val="en-US" w:eastAsia="zh-CN"/>
              </w:rPr>
              <w:t>4</w:t>
            </w:r>
            <w:r>
              <w:rPr>
                <w:rFonts w:hint="eastAsia" w:ascii="仿宋" w:hAnsi="仿宋" w:eastAsia="仿宋" w:cs="宋体"/>
                <w:color w:val="auto"/>
                <w:kern w:val="0"/>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116" w:type="dxa"/>
            <w:vMerge w:val="continue"/>
            <w:vAlign w:val="center"/>
          </w:tcPr>
          <w:p>
            <w:pPr>
              <w:spacing w:line="240" w:lineRule="auto"/>
              <w:jc w:val="center"/>
              <w:rPr>
                <w:rFonts w:hint="eastAsia" w:ascii="仿宋" w:hAnsi="仿宋" w:eastAsia="仿宋" w:cs="宋体"/>
                <w:color w:val="auto"/>
                <w:kern w:val="0"/>
                <w:sz w:val="24"/>
                <w:highlight w:val="none"/>
              </w:rPr>
            </w:pPr>
          </w:p>
        </w:tc>
        <w:tc>
          <w:tcPr>
            <w:tcW w:w="1068" w:type="dxa"/>
            <w:gridSpan w:val="2"/>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c>
          <w:tcPr>
            <w:tcW w:w="1043"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宋体" w:hAnsi="宋体" w:eastAsia="宋体" w:cs="宋体"/>
                <w:color w:val="auto"/>
                <w:kern w:val="0"/>
                <w:sz w:val="22"/>
                <w:szCs w:val="22"/>
                <w:highlight w:val="none"/>
              </w:rPr>
              <w:t>Q</w:t>
            </w:r>
            <w:r>
              <w:rPr>
                <w:rFonts w:ascii="宋体" w:hAnsi="宋体" w:eastAsia="宋体" w:cs="宋体"/>
                <w:color w:val="auto"/>
                <w:kern w:val="0"/>
                <w:sz w:val="22"/>
                <w:szCs w:val="22"/>
                <w:highlight w:val="none"/>
                <w:vertAlign w:val="subscript"/>
              </w:rPr>
              <w:t>5a</w:t>
            </w:r>
          </w:p>
        </w:tc>
        <w:tc>
          <w:tcPr>
            <w:tcW w:w="1418" w:type="dxa"/>
            <w:shd w:val="clear" w:color="auto" w:fill="auto"/>
            <w:vAlign w:val="center"/>
          </w:tcPr>
          <w:p>
            <w:pPr>
              <w:widowControl/>
              <w:spacing w:line="240" w:lineRule="auto"/>
              <w:jc w:val="center"/>
              <w:rPr>
                <w:rFonts w:hint="default"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高精度</w:t>
            </w:r>
            <w:r>
              <w:rPr>
                <w:rFonts w:hint="eastAsia" w:ascii="仿宋" w:hAnsi="仿宋" w:eastAsia="仿宋" w:cs="宋体"/>
                <w:color w:val="auto"/>
                <w:kern w:val="0"/>
                <w:sz w:val="24"/>
                <w:highlight w:val="none"/>
              </w:rPr>
              <w:t>模板</w:t>
            </w:r>
          </w:p>
        </w:tc>
        <w:tc>
          <w:tcPr>
            <w:tcW w:w="2016" w:type="dxa"/>
            <w:gridSpan w:val="3"/>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50%≤比例≤70%</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lang w:val="en-US" w:eastAsia="zh-CN"/>
              </w:rPr>
              <w:t>2</w:t>
            </w:r>
            <w:r>
              <w:rPr>
                <w:rFonts w:hint="eastAsia" w:ascii="仿宋" w:hAnsi="仿宋" w:eastAsia="仿宋" w:cs="宋体"/>
                <w:color w:val="auto"/>
                <w:kern w:val="0"/>
                <w:sz w:val="24"/>
                <w:highlight w:val="none"/>
              </w:rPr>
              <w:t>*</w:t>
            </w:r>
          </w:p>
        </w:tc>
        <w:tc>
          <w:tcPr>
            <w:tcW w:w="1239" w:type="dxa"/>
            <w:vMerge w:val="continue"/>
            <w:shd w:val="clear" w:color="auto" w:fill="auto"/>
            <w:vAlign w:val="center"/>
          </w:tcPr>
          <w:p>
            <w:pPr>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068" w:type="dxa"/>
            <w:gridSpan w:val="2"/>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4477" w:type="dxa"/>
            <w:gridSpan w:val="6"/>
            <w:vAlign w:val="center"/>
          </w:tcPr>
          <w:p>
            <w:pPr>
              <w:spacing w:line="240" w:lineRule="auto"/>
              <w:jc w:val="center"/>
              <w:rPr>
                <w:rFonts w:hint="default" w:eastAsia="仿宋"/>
                <w:color w:val="auto"/>
                <w:lang w:val="en-US" w:eastAsia="zh-CN"/>
              </w:rPr>
            </w:pPr>
            <w:r>
              <w:rPr>
                <w:rFonts w:hint="eastAsia" w:ascii="仿宋" w:hAnsi="仿宋" w:eastAsia="仿宋" w:cs="宋体"/>
                <w:color w:val="auto"/>
                <w:kern w:val="0"/>
                <w:sz w:val="24"/>
                <w:highlight w:val="none"/>
              </w:rPr>
              <w:t>工程总承包(EPC)管理模式</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1239" w:type="dxa"/>
            <w:vMerge w:val="continue"/>
            <w:shd w:val="clear" w:color="auto" w:fill="auto"/>
            <w:vAlign w:val="center"/>
          </w:tcPr>
          <w:p>
            <w:pPr>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4"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068" w:type="dxa"/>
            <w:gridSpan w:val="2"/>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4477" w:type="dxa"/>
            <w:gridSpan w:val="6"/>
            <w:vAlign w:val="center"/>
          </w:tcPr>
          <w:p>
            <w:pPr>
              <w:spacing w:line="240" w:lineRule="auto"/>
              <w:jc w:val="center"/>
              <w:rPr>
                <w:rFonts w:hint="eastAsia"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驻厂监造</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1</w:t>
            </w:r>
          </w:p>
        </w:tc>
        <w:tc>
          <w:tcPr>
            <w:tcW w:w="1239" w:type="dxa"/>
            <w:vMerge w:val="continue"/>
            <w:shd w:val="clear" w:color="auto" w:fill="auto"/>
            <w:vAlign w:val="center"/>
          </w:tcPr>
          <w:p>
            <w:pPr>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068" w:type="dxa"/>
            <w:gridSpan w:val="2"/>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4477" w:type="dxa"/>
            <w:gridSpan w:val="6"/>
            <w:vAlign w:val="center"/>
          </w:tcPr>
          <w:p>
            <w:pPr>
              <w:pStyle w:val="2"/>
              <w:spacing w:line="240" w:lineRule="auto"/>
              <w:ind w:firstLine="0" w:firstLineChars="0"/>
              <w:jc w:val="center"/>
              <w:rPr>
                <w:rFonts w:hint="default"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eastAsia="zh-CN"/>
              </w:rPr>
              <w:t>光伏建筑一体化</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2</w:t>
            </w:r>
          </w:p>
        </w:tc>
        <w:tc>
          <w:tcPr>
            <w:tcW w:w="1239" w:type="dxa"/>
            <w:vMerge w:val="continue"/>
            <w:shd w:val="clear" w:color="auto" w:fill="auto"/>
            <w:vAlign w:val="center"/>
          </w:tcPr>
          <w:p>
            <w:pPr>
              <w:spacing w:line="240" w:lineRule="auto"/>
              <w:jc w:val="center"/>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1" w:hRule="atLeast"/>
        </w:trPr>
        <w:tc>
          <w:tcPr>
            <w:tcW w:w="1116" w:type="dxa"/>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1068" w:type="dxa"/>
            <w:gridSpan w:val="2"/>
            <w:vMerge w:val="continue"/>
            <w:vAlign w:val="center"/>
          </w:tcPr>
          <w:p>
            <w:pPr>
              <w:widowControl/>
              <w:spacing w:line="240" w:lineRule="auto"/>
              <w:jc w:val="center"/>
              <w:rPr>
                <w:rFonts w:hint="eastAsia" w:ascii="仿宋" w:hAnsi="仿宋" w:eastAsia="仿宋" w:cs="宋体"/>
                <w:color w:val="auto"/>
                <w:kern w:val="0"/>
                <w:sz w:val="24"/>
                <w:highlight w:val="none"/>
              </w:rPr>
            </w:pPr>
          </w:p>
        </w:tc>
        <w:tc>
          <w:tcPr>
            <w:tcW w:w="4477" w:type="dxa"/>
            <w:gridSpan w:val="6"/>
            <w:vAlign w:val="center"/>
          </w:tcPr>
          <w:p>
            <w:pPr>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rPr>
              <w:t>其它新技术应用</w:t>
            </w:r>
          </w:p>
        </w:tc>
        <w:tc>
          <w:tcPr>
            <w:tcW w:w="1378"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3</w:t>
            </w:r>
          </w:p>
        </w:tc>
        <w:tc>
          <w:tcPr>
            <w:tcW w:w="1239" w:type="dxa"/>
            <w:vMerge w:val="continue"/>
            <w:shd w:val="clear" w:color="auto" w:fill="auto"/>
            <w:vAlign w:val="center"/>
          </w:tcPr>
          <w:p>
            <w:pPr>
              <w:spacing w:line="240" w:lineRule="auto"/>
              <w:jc w:val="center"/>
              <w:rPr>
                <w:rFonts w:hint="eastAsia" w:ascii="仿宋" w:hAnsi="仿宋" w:eastAsia="仿宋" w:cs="宋体"/>
                <w:color w:val="auto"/>
                <w:kern w:val="0"/>
                <w:sz w:val="24"/>
                <w:highlight w:val="none"/>
              </w:rPr>
            </w:pPr>
          </w:p>
        </w:tc>
      </w:tr>
      <w:bookmarkEnd w:id="17"/>
    </w:tbl>
    <w:p>
      <w:pPr>
        <w:jc w:val="center"/>
        <w:rPr>
          <w:rFonts w:hint="eastAsia" w:ascii="黑体" w:hAnsi="黑体" w:eastAsia="黑体" w:cs="黑体"/>
          <w:b/>
          <w:color w:val="auto"/>
          <w:sz w:val="24"/>
          <w:highlight w:val="none"/>
        </w:rPr>
      </w:pPr>
    </w:p>
    <w:p>
      <w:pPr>
        <w:ind w:firstLine="180" w:firstLineChars="100"/>
        <w:rPr>
          <w:rFonts w:hint="eastAsia"/>
          <w:color w:val="auto"/>
          <w:sz w:val="18"/>
          <w:szCs w:val="18"/>
          <w:highlight w:val="none"/>
        </w:rPr>
      </w:pPr>
      <w:r>
        <w:rPr>
          <w:rFonts w:hint="eastAsia"/>
          <w:color w:val="auto"/>
          <w:sz w:val="18"/>
          <w:szCs w:val="18"/>
          <w:highlight w:val="none"/>
        </w:rPr>
        <w:t>注：1、表中带“*”项的分值采用“线性内插法”计算，计算结果取小数点后1位。括号内为装配率不小于50%时的最低得分。</w:t>
      </w:r>
    </w:p>
    <w:p>
      <w:pPr>
        <w:numPr>
          <w:ilvl w:val="0"/>
          <w:numId w:val="1"/>
        </w:numPr>
        <w:ind w:firstLine="540" w:firstLineChars="300"/>
        <w:rPr>
          <w:rFonts w:hint="eastAsia" w:ascii="宋体" w:hAnsi="宋体" w:eastAsia="宋体" w:cs="仿宋"/>
          <w:color w:val="auto"/>
          <w:sz w:val="18"/>
          <w:szCs w:val="18"/>
          <w:highlight w:val="none"/>
        </w:rPr>
      </w:pPr>
      <w:r>
        <w:rPr>
          <w:rFonts w:ascii="宋体" w:hAnsi="宋体" w:eastAsia="宋体" w:cs="仿宋"/>
          <w:color w:val="auto"/>
          <w:sz w:val="18"/>
          <w:szCs w:val="18"/>
          <w:highlight w:val="none"/>
        </w:rPr>
        <w:t>Q</w:t>
      </w:r>
      <w:r>
        <w:rPr>
          <w:rFonts w:ascii="宋体" w:hAnsi="宋体" w:eastAsia="宋体" w:cs="仿宋"/>
          <w:color w:val="auto"/>
          <w:sz w:val="18"/>
          <w:szCs w:val="18"/>
          <w:highlight w:val="none"/>
          <w:vertAlign w:val="subscript"/>
        </w:rPr>
        <w:t>2b1</w:t>
      </w:r>
      <w:r>
        <w:rPr>
          <w:rFonts w:hint="eastAsia" w:ascii="宋体" w:hAnsi="宋体" w:eastAsia="宋体" w:cs="仿宋"/>
          <w:color w:val="auto"/>
          <w:sz w:val="18"/>
          <w:szCs w:val="18"/>
          <w:highlight w:val="none"/>
        </w:rPr>
        <w:t>与</w:t>
      </w:r>
      <w:r>
        <w:rPr>
          <w:rFonts w:ascii="宋体" w:hAnsi="宋体" w:eastAsia="宋体" w:cs="仿宋"/>
          <w:color w:val="auto"/>
          <w:sz w:val="18"/>
          <w:szCs w:val="18"/>
          <w:highlight w:val="none"/>
        </w:rPr>
        <w:t>Q</w:t>
      </w:r>
      <w:r>
        <w:rPr>
          <w:rFonts w:ascii="宋体" w:hAnsi="宋体" w:eastAsia="宋体" w:cs="仿宋"/>
          <w:color w:val="auto"/>
          <w:sz w:val="18"/>
          <w:szCs w:val="18"/>
          <w:highlight w:val="none"/>
          <w:vertAlign w:val="subscript"/>
        </w:rPr>
        <w:t>2b2</w:t>
      </w:r>
      <w:r>
        <w:rPr>
          <w:rFonts w:hint="eastAsia" w:ascii="宋体" w:hAnsi="宋体" w:eastAsia="宋体" w:cs="仿宋"/>
          <w:color w:val="auto"/>
          <w:sz w:val="18"/>
          <w:szCs w:val="18"/>
          <w:highlight w:val="none"/>
        </w:rPr>
        <w:t>二者仅能取其一</w:t>
      </w:r>
      <w:r>
        <w:rPr>
          <w:rFonts w:hint="eastAsia" w:ascii="宋体" w:hAnsi="宋体" w:eastAsia="宋体" w:cs="仿宋"/>
          <w:color w:val="auto"/>
          <w:sz w:val="18"/>
          <w:szCs w:val="18"/>
          <w:highlight w:val="none"/>
          <w:lang w:eastAsia="zh-CN"/>
        </w:rPr>
        <w:t>，“</w:t>
      </w:r>
      <w:r>
        <w:rPr>
          <w:rFonts w:hint="eastAsia" w:ascii="宋体" w:hAnsi="宋体" w:eastAsia="宋体" w:cs="仿宋"/>
          <w:color w:val="auto"/>
          <w:sz w:val="18"/>
          <w:szCs w:val="18"/>
          <w:highlight w:val="none"/>
          <w:lang w:val="en-US" w:eastAsia="zh-CN"/>
        </w:rPr>
        <w:t>公区全部装修”与“建筑功能空间全部装修”二者仅能取其一</w:t>
      </w:r>
      <w:r>
        <w:rPr>
          <w:rFonts w:hint="eastAsia" w:ascii="宋体" w:hAnsi="宋体" w:eastAsia="宋体" w:cs="仿宋"/>
          <w:color w:val="auto"/>
          <w:sz w:val="18"/>
          <w:szCs w:val="18"/>
          <w:highlight w:val="none"/>
        </w:rPr>
        <w:t>。</w:t>
      </w:r>
    </w:p>
    <w:p>
      <w:pPr>
        <w:numPr>
          <w:ilvl w:val="0"/>
          <w:numId w:val="1"/>
        </w:numPr>
        <w:ind w:firstLine="540" w:firstLineChars="300"/>
        <w:rPr>
          <w:rFonts w:hint="eastAsia" w:ascii="宋体" w:hAnsi="宋体" w:eastAsia="宋体" w:cs="仿宋"/>
          <w:color w:val="auto"/>
          <w:sz w:val="18"/>
          <w:szCs w:val="18"/>
          <w:highlight w:val="none"/>
        </w:rPr>
      </w:pPr>
      <w:r>
        <w:rPr>
          <w:rFonts w:hint="eastAsia" w:ascii="宋体" w:hAnsi="宋体" w:eastAsia="宋体" w:cs="仿宋"/>
          <w:color w:val="auto"/>
          <w:sz w:val="18"/>
          <w:szCs w:val="18"/>
          <w:highlight w:val="none"/>
        </w:rPr>
        <w:t>装配率计算值以四舍五入取整数。</w:t>
      </w:r>
    </w:p>
    <w:p>
      <w:pPr>
        <w:pStyle w:val="2"/>
        <w:numPr>
          <w:ilvl w:val="0"/>
          <w:numId w:val="1"/>
        </w:numPr>
        <w:ind w:firstLine="540" w:firstLineChars="300"/>
        <w:rPr>
          <w:rFonts w:hint="default" w:ascii="宋体" w:hAnsi="宋体" w:eastAsia="宋体" w:cs="仿宋"/>
          <w:color w:val="auto"/>
          <w:sz w:val="18"/>
          <w:szCs w:val="18"/>
          <w:highlight w:val="none"/>
          <w:lang w:val="en-US"/>
        </w:rPr>
      </w:pPr>
      <w:r>
        <w:rPr>
          <w:rFonts w:hint="eastAsia" w:ascii="宋体" w:hAnsi="宋体" w:eastAsia="宋体" w:cs="仿宋"/>
          <w:color w:val="auto"/>
          <w:sz w:val="18"/>
          <w:szCs w:val="18"/>
          <w:highlight w:val="none"/>
        </w:rPr>
        <w:t>模块化建筑计算装配率时模块单元包含的主体结构、围护墙和内隔</w:t>
      </w:r>
      <w:r>
        <w:rPr>
          <w:rFonts w:hint="eastAsia" w:ascii="宋体" w:hAnsi="宋体" w:eastAsia="宋体" w:cs="仿宋"/>
          <w:color w:val="auto"/>
          <w:sz w:val="18"/>
          <w:szCs w:val="18"/>
          <w:highlight w:val="none"/>
          <w:lang w:eastAsia="zh-CN"/>
        </w:rPr>
        <w:t>工厂</w:t>
      </w:r>
      <w:r>
        <w:rPr>
          <w:rFonts w:hint="eastAsia" w:ascii="宋体" w:hAnsi="宋体" w:eastAsia="宋体" w:cs="仿宋"/>
          <w:color w:val="auto"/>
          <w:sz w:val="18"/>
          <w:szCs w:val="18"/>
          <w:highlight w:val="none"/>
        </w:rPr>
        <w:t>部分按照预制部品部件计算。</w:t>
      </w:r>
    </w:p>
    <w:p>
      <w:pPr>
        <w:pStyle w:val="2"/>
        <w:rPr>
          <w:rFonts w:hint="eastAsia" w:ascii="宋体" w:hAnsi="宋体" w:eastAsia="宋体" w:cs="仿宋"/>
          <w:color w:val="auto"/>
          <w:sz w:val="18"/>
          <w:szCs w:val="18"/>
          <w:highlight w:val="none"/>
        </w:rPr>
      </w:pP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条文说明：4.0.1  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项目的装配率应按照本规范第4.0.1条的规定进行计算，计算结果应按照四舍五入法取整数。若计算过程中，评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项目缺少表4.0.1中对应的某建筑功能评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项（例如，公共建筑中没有设置厨房），则该评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 xml:space="preserve">项分值记入装配率计算公式的 Q4中。 </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表4.0.1中部分评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项目在评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要求部分只列出了比例范围的区间。在工程评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过程中，如果实际计算的评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比例小于比例范围中的最小值，则实际评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分值项取0分；如果实际计算的评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比例大于比例范围中的最大值，则评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分值取比例范围中最大值对应的评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分值。例如：当内隔墙与管线、装修一体化的应用比例小于35%时，该项评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分值为0分；当应用比例大于80%时，该项评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分值为3分。</w:t>
      </w:r>
    </w:p>
    <w:p>
      <w:pPr>
        <w:pStyle w:val="46"/>
        <w:rPr>
          <w:rFonts w:hint="eastAsia" w:ascii="楷体" w:hAnsi="楷体" w:eastAsia="楷体" w:cs="楷体"/>
          <w:b w:val="0"/>
          <w:bCs w:val="0"/>
          <w:i w:val="0"/>
          <w:iCs w:val="0"/>
          <w:color w:val="auto"/>
          <w:sz w:val="21"/>
          <w:szCs w:val="28"/>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表4.0.1中部分评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项目评价要求有2个比例区间，在工程评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过程中，以最大值评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，设置区间主要考虑安徽省装配式建筑发展不平衡，为有利于推动装配式建筑的发展与应用而设置。随着装配式建筑发展不断壮大和普及，区间范围可实时进行修订。</w:t>
      </w:r>
    </w:p>
    <w:p>
      <w:pPr>
        <w:rPr>
          <w:rFonts w:hint="eastAsia"/>
          <w:color w:val="auto"/>
          <w:highlight w:val="none"/>
        </w:rPr>
      </w:pPr>
      <w:r>
        <w:rPr>
          <w:rFonts w:hint="eastAsia"/>
          <w:b/>
          <w:color w:val="auto"/>
          <w:highlight w:val="none"/>
        </w:rPr>
        <w:t>4.0.2</w:t>
      </w:r>
      <w:r>
        <w:rPr>
          <w:rFonts w:hint="eastAsia"/>
          <w:color w:val="auto"/>
          <w:highlight w:val="none"/>
        </w:rPr>
        <w:t xml:space="preserve">  柱、支撑、承重墙、延性墙板等主体结构竖向构件主要</w:t>
      </w:r>
      <w:r>
        <w:rPr>
          <w:color w:val="auto"/>
          <w:highlight w:val="none"/>
        </w:rPr>
        <w:t>采用混凝土材料时，</w:t>
      </w:r>
      <w:r>
        <w:rPr>
          <w:rFonts w:hint="eastAsia"/>
          <w:color w:val="auto"/>
          <w:highlight w:val="none"/>
        </w:rPr>
        <w:t>预制部品部件的应用比例应按下式计算：</w:t>
      </w:r>
    </w:p>
    <w:p>
      <w:pPr>
        <w:jc w:val="center"/>
        <w:rPr>
          <w:rFonts w:hint="eastAsia"/>
          <w:color w:val="auto"/>
          <w:highlight w:val="none"/>
        </w:rPr>
      </w:pPr>
      <w:r>
        <w:rPr>
          <w:i/>
          <w:color w:val="auto"/>
          <w:highlight w:val="none"/>
        </w:rPr>
        <w:t xml:space="preserve">                    </w:t>
      </w:r>
      <w:r>
        <w:rPr>
          <w:rFonts w:ascii="Times New Roman" w:hAnsi="Times New Roman" w:eastAsia="仿宋" w:cs="Times New Roman"/>
          <w:i/>
          <w:iCs/>
          <w:color w:val="auto"/>
          <w:kern w:val="0"/>
          <w:sz w:val="24"/>
          <w:highlight w:val="none"/>
        </w:rPr>
        <w:t>q</w:t>
      </w:r>
      <w:r>
        <w:rPr>
          <w:rFonts w:hint="eastAsia"/>
          <w:i/>
          <w:color w:val="auto"/>
          <w:highlight w:val="none"/>
          <w:vertAlign w:val="subscript"/>
        </w:rPr>
        <w:t>1a</w:t>
      </w:r>
      <w:r>
        <w:rPr>
          <w:rFonts w:hint="eastAsia"/>
          <w:color w:val="auto"/>
          <w:highlight w:val="none"/>
        </w:rPr>
        <w:t>=</w:t>
      </w:r>
      <w:r>
        <w:rPr>
          <w:rFonts w:hint="eastAsia"/>
          <w:i/>
          <w:color w:val="auto"/>
          <w:highlight w:val="none"/>
        </w:rPr>
        <w:t>V</w:t>
      </w:r>
      <w:r>
        <w:rPr>
          <w:rFonts w:hint="eastAsia"/>
          <w:i/>
          <w:color w:val="auto"/>
          <w:highlight w:val="none"/>
          <w:vertAlign w:val="subscript"/>
        </w:rPr>
        <w:t>1a</w:t>
      </w:r>
      <w:r>
        <w:rPr>
          <w:rFonts w:hint="eastAsia"/>
          <w:color w:val="auto"/>
          <w:highlight w:val="none"/>
        </w:rPr>
        <w:t>/</w:t>
      </w:r>
      <w:r>
        <w:rPr>
          <w:rFonts w:hint="eastAsia"/>
          <w:i/>
          <w:color w:val="auto"/>
          <w:highlight w:val="none"/>
        </w:rPr>
        <w:t>V</w:t>
      </w:r>
      <w:r>
        <w:rPr>
          <w:rFonts w:hint="eastAsia"/>
          <w:color w:val="auto"/>
          <w:highlight w:val="none"/>
        </w:rPr>
        <w:t>×100%</w:t>
      </w:r>
      <w:r>
        <w:rPr>
          <w:color w:val="auto"/>
          <w:highlight w:val="none"/>
        </w:rPr>
        <w:t xml:space="preserve">              (4.0.2)</w:t>
      </w:r>
    </w:p>
    <w:p>
      <w:pPr>
        <w:rPr>
          <w:rFonts w:hint="eastAsia"/>
          <w:i/>
          <w:color w:val="auto"/>
          <w:highlight w:val="none"/>
        </w:rPr>
      </w:pPr>
      <w:r>
        <w:rPr>
          <w:rFonts w:hint="eastAsia"/>
          <w:color w:val="auto"/>
          <w:highlight w:val="none"/>
        </w:rPr>
        <w:t>式中：</w:t>
      </w:r>
      <w:r>
        <w:rPr>
          <w:rFonts w:ascii="Times New Roman" w:hAnsi="Times New Roman" w:eastAsia="仿宋" w:cs="Times New Roman"/>
          <w:i/>
          <w:iCs/>
          <w:color w:val="auto"/>
          <w:kern w:val="0"/>
          <w:sz w:val="24"/>
          <w:highlight w:val="none"/>
        </w:rPr>
        <w:t>q</w:t>
      </w:r>
      <w:r>
        <w:rPr>
          <w:rFonts w:hint="eastAsia"/>
          <w:i/>
          <w:color w:val="auto"/>
          <w:highlight w:val="none"/>
          <w:vertAlign w:val="subscript"/>
        </w:rPr>
        <w:t>1a</w:t>
      </w:r>
      <w:r>
        <w:rPr>
          <w:rFonts w:hint="eastAsia"/>
          <w:color w:val="auto"/>
          <w:highlight w:val="none"/>
        </w:rPr>
        <w:t>──柱、支撑、承重墙、延性墙板等主体结构竖向构件中</w:t>
      </w:r>
      <w:r>
        <w:rPr>
          <w:color w:val="auto"/>
          <w:highlight w:val="none"/>
        </w:rPr>
        <w:t>预制部品部件</w:t>
      </w:r>
      <w:r>
        <w:rPr>
          <w:rFonts w:hint="eastAsia"/>
          <w:color w:val="auto"/>
          <w:highlight w:val="none"/>
        </w:rPr>
        <w:t>的应用比例；</w:t>
      </w:r>
    </w:p>
    <w:p>
      <w:pPr>
        <w:ind w:firstLine="840" w:firstLineChars="300"/>
        <w:rPr>
          <w:rFonts w:hint="eastAsia"/>
          <w:color w:val="auto"/>
          <w:highlight w:val="none"/>
        </w:rPr>
      </w:pPr>
      <w:r>
        <w:rPr>
          <w:rFonts w:hint="eastAsia"/>
          <w:i/>
          <w:color w:val="auto"/>
          <w:highlight w:val="none"/>
        </w:rPr>
        <w:t>V</w:t>
      </w:r>
      <w:r>
        <w:rPr>
          <w:rFonts w:hint="eastAsia"/>
          <w:i/>
          <w:color w:val="auto"/>
          <w:highlight w:val="none"/>
          <w:vertAlign w:val="subscript"/>
        </w:rPr>
        <w:t>1a</w:t>
      </w:r>
      <w:r>
        <w:rPr>
          <w:rFonts w:hint="eastAsia"/>
          <w:color w:val="auto"/>
          <w:highlight w:val="none"/>
        </w:rPr>
        <w:t>──柱、支撑、承重墙、延性墙板等主体结构竖向构件中预制</w:t>
      </w:r>
      <w:r>
        <w:rPr>
          <w:color w:val="auto"/>
          <w:highlight w:val="none"/>
        </w:rPr>
        <w:t>混凝土体积之和，</w:t>
      </w:r>
      <w:r>
        <w:rPr>
          <w:rFonts w:hint="eastAsia"/>
          <w:color w:val="auto"/>
          <w:highlight w:val="none"/>
        </w:rPr>
        <w:t>符合本规范第</w:t>
      </w:r>
      <w:r>
        <w:rPr>
          <w:color w:val="auto"/>
          <w:highlight w:val="none"/>
        </w:rPr>
        <w:t xml:space="preserve">4.0.3 </w:t>
      </w:r>
      <w:r>
        <w:rPr>
          <w:rFonts w:hint="eastAsia"/>
          <w:color w:val="auto"/>
          <w:highlight w:val="none"/>
        </w:rPr>
        <w:t>条规定的预制构件间连接部分的后浇混凝土也可计入计算；</w:t>
      </w:r>
    </w:p>
    <w:p>
      <w:pPr>
        <w:ind w:firstLine="840" w:firstLineChars="300"/>
        <w:rPr>
          <w:rFonts w:hint="eastAsia"/>
          <w:color w:val="auto"/>
          <w:highlight w:val="none"/>
        </w:rPr>
      </w:pPr>
      <w:r>
        <w:rPr>
          <w:rFonts w:hint="eastAsia"/>
          <w:i/>
          <w:color w:val="auto"/>
          <w:highlight w:val="none"/>
        </w:rPr>
        <w:t>V</w:t>
      </w:r>
      <w:r>
        <w:rPr>
          <w:rFonts w:hint="eastAsia"/>
          <w:color w:val="auto"/>
          <w:highlight w:val="none"/>
        </w:rPr>
        <w:t>──柱、支撑、承重墙、延性墙板等主体结构竖向构件混凝土总体积。</w:t>
      </w:r>
    </w:p>
    <w:p>
      <w:pPr>
        <w:rPr>
          <w:rFonts w:hint="eastAsia"/>
          <w:color w:val="auto"/>
          <w:highlight w:val="none"/>
        </w:rPr>
      </w:pPr>
      <w:r>
        <w:rPr>
          <w:rFonts w:hint="eastAsia"/>
          <w:color w:val="auto"/>
          <w:highlight w:val="none"/>
        </w:rPr>
        <w:t>注：1 墙、柱按截面积乘层高计算；</w:t>
      </w:r>
    </w:p>
    <w:p>
      <w:pPr>
        <w:numPr>
          <w:ilvl w:val="255"/>
          <w:numId w:val="0"/>
        </w:numPr>
        <w:ind w:firstLine="560" w:firstLineChars="200"/>
        <w:rPr>
          <w:rFonts w:hint="eastAsia"/>
          <w:color w:val="auto"/>
          <w:highlight w:val="none"/>
        </w:rPr>
      </w:pPr>
      <w:r>
        <w:rPr>
          <w:rFonts w:hint="eastAsia"/>
          <w:color w:val="auto"/>
          <w:highlight w:val="none"/>
        </w:rPr>
        <w:t>2 预制夹心保温外墙板中</w:t>
      </w:r>
      <w:r>
        <w:rPr>
          <w:color w:val="auto"/>
          <w:highlight w:val="none"/>
        </w:rPr>
        <w:t>外</w:t>
      </w:r>
      <w:r>
        <w:rPr>
          <w:rFonts w:hint="eastAsia"/>
          <w:color w:val="auto"/>
          <w:highlight w:val="none"/>
        </w:rPr>
        <w:t>叶</w:t>
      </w:r>
      <w:r>
        <w:rPr>
          <w:color w:val="auto"/>
          <w:highlight w:val="none"/>
        </w:rPr>
        <w:t>板</w:t>
      </w:r>
      <w:r>
        <w:rPr>
          <w:rFonts w:hint="eastAsia"/>
          <w:color w:val="auto"/>
          <w:highlight w:val="none"/>
        </w:rPr>
        <w:t>和夹心保温层可计入预制混凝土体积和竖向构件混凝土总体积。</w:t>
      </w:r>
    </w:p>
    <w:p>
      <w:pPr>
        <w:numPr>
          <w:ilvl w:val="255"/>
          <w:numId w:val="0"/>
        </w:numPr>
        <w:ind w:firstLine="560" w:firstLineChars="200"/>
        <w:rPr>
          <w:rFonts w:hint="eastAsia" w:eastAsiaTheme="minorEastAsia"/>
          <w:color w:val="auto"/>
          <w:highlight w:val="none"/>
          <w:lang w:eastAsia="zh-CN"/>
        </w:rPr>
      </w:pPr>
      <w:r>
        <w:rPr>
          <w:rFonts w:hint="eastAsia"/>
          <w:color w:val="auto"/>
          <w:highlight w:val="none"/>
        </w:rPr>
        <w:t>3 采用成型钢筋时可按本条评分，</w:t>
      </w:r>
      <w:r>
        <w:rPr>
          <w:rFonts w:hint="eastAsia"/>
          <w:color w:val="auto"/>
          <w:highlight w:val="none"/>
          <w:lang w:val="en-US" w:eastAsia="zh-CN"/>
        </w:rPr>
        <w:t>等效</w:t>
      </w:r>
      <w:r>
        <w:rPr>
          <w:rFonts w:hint="eastAsia"/>
          <w:color w:val="auto"/>
          <w:highlight w:val="none"/>
        </w:rPr>
        <w:t>体积为采用成型钢筋的主体结构竖向构件体积，将应用比例折减0.25。</w:t>
      </w:r>
    </w:p>
    <w:p>
      <w:pPr>
        <w:numPr>
          <w:ilvl w:val="255"/>
          <w:numId w:val="0"/>
        </w:numPr>
        <w:ind w:firstLine="560" w:firstLineChars="200"/>
        <w:rPr>
          <w:rFonts w:hint="eastAsia"/>
          <w:color w:val="auto"/>
          <w:highlight w:val="none"/>
        </w:rPr>
      </w:pPr>
      <w:r>
        <w:rPr>
          <w:rFonts w:hint="eastAsia"/>
          <w:color w:val="auto"/>
          <w:highlight w:val="none"/>
        </w:rPr>
        <w:t>4 采用成型钢筋和单面保温一体化免拆模板时，</w:t>
      </w:r>
      <w:r>
        <w:rPr>
          <w:rFonts w:hint="eastAsia"/>
          <w:color w:val="auto"/>
          <w:highlight w:val="none"/>
          <w:lang w:eastAsia="zh-CN"/>
        </w:rPr>
        <w:t>可按本条评分</w:t>
      </w:r>
      <w:r>
        <w:rPr>
          <w:rFonts w:hint="eastAsia"/>
          <w:color w:val="auto"/>
          <w:highlight w:val="none"/>
        </w:rPr>
        <w:t>，</w:t>
      </w:r>
      <w:r>
        <w:rPr>
          <w:rFonts w:hint="eastAsia"/>
          <w:color w:val="auto"/>
          <w:highlight w:val="none"/>
          <w:lang w:val="en-US" w:eastAsia="zh-CN"/>
        </w:rPr>
        <w:t>等效</w:t>
      </w:r>
      <w:r>
        <w:rPr>
          <w:rFonts w:hint="eastAsia"/>
          <w:color w:val="auto"/>
          <w:highlight w:val="none"/>
        </w:rPr>
        <w:t>体积为采用成型钢筋的主体结构竖向构件体积，将应用比例折减0.35。</w:t>
      </w:r>
    </w:p>
    <w:p>
      <w:pPr>
        <w:numPr>
          <w:ilvl w:val="255"/>
          <w:numId w:val="0"/>
        </w:numPr>
        <w:ind w:firstLine="560" w:firstLineChars="200"/>
        <w:rPr>
          <w:rFonts w:hint="eastAsia"/>
          <w:color w:val="auto"/>
          <w:highlight w:val="none"/>
        </w:rPr>
      </w:pPr>
      <w:r>
        <w:rPr>
          <w:rFonts w:hint="eastAsia"/>
          <w:color w:val="auto"/>
          <w:highlight w:val="none"/>
        </w:rPr>
        <w:t>5 装配式钢结构建筑、装配式木结构建筑主体结构竖向构件应用比例可</w:t>
      </w:r>
      <w:r>
        <w:rPr>
          <w:rFonts w:hint="eastAsia"/>
          <w:color w:val="auto"/>
          <w:highlight w:val="none"/>
          <w:lang w:val="en-US" w:eastAsia="zh-CN"/>
        </w:rPr>
        <w:t>按</w:t>
      </w:r>
      <w:r>
        <w:rPr>
          <w:rFonts w:hint="eastAsia"/>
          <w:color w:val="auto"/>
          <w:highlight w:val="none"/>
        </w:rPr>
        <w:t>80%以上</w:t>
      </w:r>
      <w:r>
        <w:rPr>
          <w:rFonts w:hint="eastAsia"/>
          <w:color w:val="auto"/>
          <w:highlight w:val="none"/>
          <w:lang w:val="en-US" w:eastAsia="zh-CN"/>
        </w:rPr>
        <w:t>计算</w:t>
      </w:r>
      <w:r>
        <w:rPr>
          <w:rFonts w:hint="eastAsia"/>
          <w:color w:val="auto"/>
          <w:highlight w:val="none"/>
        </w:rPr>
        <w:t>。</w:t>
      </w:r>
    </w:p>
    <w:p>
      <w:pPr>
        <w:numPr>
          <w:ilvl w:val="255"/>
          <w:numId w:val="0"/>
        </w:numPr>
        <w:ind w:firstLine="560" w:firstLineChars="200"/>
        <w:rPr>
          <w:rFonts w:hint="eastAsia"/>
          <w:color w:val="auto"/>
          <w:highlight w:val="none"/>
        </w:rPr>
      </w:pPr>
      <w:r>
        <w:rPr>
          <w:rFonts w:hint="eastAsia"/>
          <w:color w:val="auto"/>
          <w:highlight w:val="none"/>
          <w:lang w:val="en-US" w:eastAsia="zh-CN"/>
        </w:rPr>
        <w:t>6</w:t>
      </w:r>
      <w:r>
        <w:rPr>
          <w:rFonts w:hint="eastAsia"/>
          <w:color w:val="auto"/>
          <w:highlight w:val="none"/>
        </w:rPr>
        <w:t xml:space="preserve"> 叠合剪力墙（单面或双面）内后浇混凝土计入预制混凝土体积计算。</w:t>
      </w:r>
    </w:p>
    <w:p>
      <w:pPr>
        <w:numPr>
          <w:ilvl w:val="255"/>
          <w:numId w:val="0"/>
        </w:numPr>
        <w:ind w:firstLine="560" w:firstLineChars="200"/>
        <w:rPr>
          <w:rFonts w:hint="eastAsia"/>
          <w:color w:val="auto"/>
        </w:rPr>
      </w:pPr>
      <w:r>
        <w:rPr>
          <w:rFonts w:hint="eastAsia" w:cstheme="minorEastAsia"/>
          <w:b w:val="0"/>
          <w:bCs w:val="0"/>
          <w:color w:val="auto"/>
          <w:sz w:val="28"/>
          <w:szCs w:val="28"/>
          <w:highlight w:val="none"/>
          <w:lang w:val="en-US" w:eastAsia="zh-CN"/>
        </w:rPr>
        <w:t xml:space="preserve">7 </w:t>
      </w:r>
      <w:r>
        <w:rPr>
          <w:rFonts w:hint="eastAsia" w:asciiTheme="minorEastAsia" w:hAnsiTheme="minorEastAsia" w:eastAsiaTheme="minorEastAsia" w:cstheme="minorEastAsia"/>
          <w:b w:val="0"/>
          <w:bCs w:val="0"/>
          <w:color w:val="auto"/>
          <w:sz w:val="28"/>
          <w:szCs w:val="28"/>
          <w:highlight w:val="none"/>
          <w:lang w:val="en-US" w:eastAsia="zh-CN"/>
        </w:rPr>
        <w:t>模块化建筑中利用模块单元作为免拆模板使用的后浇竖向构件可计入预制混凝土体积</w:t>
      </w:r>
      <w:r>
        <w:rPr>
          <w:rFonts w:hint="eastAsia" w:cstheme="minorEastAsia"/>
          <w:b w:val="0"/>
          <w:bCs w:val="0"/>
          <w:color w:val="auto"/>
          <w:sz w:val="28"/>
          <w:szCs w:val="28"/>
          <w:highlight w:val="none"/>
          <w:lang w:val="en-US" w:eastAsia="zh-CN"/>
        </w:rPr>
        <w:t>计算</w:t>
      </w:r>
      <w:r>
        <w:rPr>
          <w:rFonts w:hint="eastAsia" w:asciiTheme="minorEastAsia" w:hAnsiTheme="minorEastAsia" w:eastAsiaTheme="minorEastAsia" w:cstheme="minorEastAsia"/>
          <w:b w:val="0"/>
          <w:bCs w:val="0"/>
          <w:color w:val="auto"/>
          <w:sz w:val="28"/>
          <w:szCs w:val="28"/>
          <w:highlight w:val="none"/>
          <w:lang w:val="en-US" w:eastAsia="zh-CN"/>
        </w:rPr>
        <w:t>；</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 xml:space="preserve">条文说明：4.0.2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装配整体式框架-现浇剪力墙结构或装配整体式框架-现浇核心筒结构，可采用本规范进行评</w:t>
      </w:r>
      <w:r>
        <w:rPr>
          <w:rFonts w:hint="eastAsia" w:ascii="楷体" w:hAnsi="楷体" w:eastAsia="楷体" w:cs="楷体"/>
          <w:b w:val="0"/>
          <w:bCs w:val="0"/>
          <w:i w:val="0"/>
          <w:iCs w:val="0"/>
          <w:color w:val="auto"/>
          <w:highlight w:val="none"/>
          <w:lang w:val="en-US" w:eastAsia="zh-CN"/>
        </w:rPr>
        <w:t>分</w:t>
      </w:r>
      <w:r>
        <w:rPr>
          <w:rFonts w:hint="eastAsia" w:ascii="楷体" w:hAnsi="楷体" w:eastAsia="楷体" w:cs="楷体"/>
          <w:b w:val="0"/>
          <w:bCs w:val="0"/>
          <w:i w:val="0"/>
          <w:iCs w:val="0"/>
          <w:color w:val="auto"/>
          <w:highlight w:val="none"/>
        </w:rPr>
        <w:t>，V1a的取值应包括所有预制竖向构件体积和满足本规范第4.0.3条规定的可计入计算的后浇混凝土体积；V的取值包括现浇剪力墙或核心筒的混凝土体积，其中核心筒的混凝土体积仅为竖向构件的墙体，不含筒内楼板，筒内楼板按水平构件执行。</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当竖向构件采用现浇钢管混凝土时，采用部分的钢管混凝土V1a 应计入，当采用现浇型钢混凝土时V1a 不应计入。</w:t>
      </w:r>
      <w:r>
        <w:rPr>
          <w:rFonts w:hint="eastAsia" w:ascii="楷体" w:hAnsi="楷体" w:eastAsia="楷体" w:cs="楷体"/>
          <w:b w:val="0"/>
          <w:bCs w:val="0"/>
          <w:i w:val="0"/>
          <w:iCs w:val="0"/>
          <w:color w:val="auto"/>
          <w:highlight w:val="none"/>
          <w:lang w:val="en-US" w:eastAsia="zh-CN"/>
        </w:rPr>
        <w:t xml:space="preserve">   </w:t>
      </w:r>
    </w:p>
    <w:p>
      <w:pPr>
        <w:pStyle w:val="46"/>
        <w:ind w:firstLine="560" w:firstLineChars="200"/>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采用成型钢筋和免拆模板时，可部分实现建筑工业化，减少现场工作量，本条根据工业化贡献度进行评分。</w:t>
      </w:r>
    </w:p>
    <w:p>
      <w:pPr>
        <w:rPr>
          <w:rFonts w:hint="eastAsia"/>
          <w:color w:val="auto"/>
          <w:highlight w:val="none"/>
        </w:rPr>
      </w:pPr>
      <w:r>
        <w:rPr>
          <w:rFonts w:hint="eastAsia"/>
          <w:b/>
          <w:color w:val="auto"/>
          <w:highlight w:val="none"/>
        </w:rPr>
        <w:t>4.0.3</w:t>
      </w:r>
      <w:r>
        <w:rPr>
          <w:rFonts w:hint="eastAsia"/>
          <w:color w:val="auto"/>
          <w:highlight w:val="none"/>
        </w:rPr>
        <w:t xml:space="preserve">  当符合下列规定时，主体结构竖向构件间连接部分的后浇混凝土可计入预制混凝土体积:</w:t>
      </w:r>
    </w:p>
    <w:p>
      <w:pPr>
        <w:ind w:firstLine="560" w:firstLineChars="200"/>
        <w:rPr>
          <w:rFonts w:hint="eastAsia"/>
          <w:color w:val="auto"/>
          <w:highlight w:val="none"/>
        </w:rPr>
      </w:pPr>
      <w:r>
        <w:rPr>
          <w:color w:val="auto"/>
          <w:highlight w:val="none"/>
        </w:rPr>
        <w:t xml:space="preserve">1 </w:t>
      </w:r>
      <w:r>
        <w:rPr>
          <w:rFonts w:hint="eastAsia"/>
          <w:color w:val="auto"/>
          <w:highlight w:val="none"/>
        </w:rPr>
        <w:t>预制剪力墙板之间宽度不大于</w:t>
      </w:r>
      <w:r>
        <w:rPr>
          <w:color w:val="auto"/>
          <w:highlight w:val="none"/>
        </w:rPr>
        <w:t>600mm的竖向现浇段</w:t>
      </w:r>
      <w:r>
        <w:rPr>
          <w:rFonts w:hint="eastAsia"/>
          <w:color w:val="auto"/>
          <w:highlight w:val="none"/>
        </w:rPr>
        <w:t>（图</w:t>
      </w:r>
      <w:r>
        <w:rPr>
          <w:color w:val="auto"/>
          <w:highlight w:val="none"/>
        </w:rPr>
        <w:t>4.0.3</w:t>
      </w:r>
      <w:r>
        <w:rPr>
          <w:rFonts w:hint="eastAsia"/>
          <w:color w:val="auto"/>
          <w:highlight w:val="none"/>
        </w:rPr>
        <w:t>），高度不大于</w:t>
      </w:r>
      <w:r>
        <w:rPr>
          <w:color w:val="auto"/>
          <w:highlight w:val="none"/>
        </w:rPr>
        <w:t>300mm的水平后浇带、圈梁的后浇混凝土体积；</w:t>
      </w:r>
    </w:p>
    <w:p>
      <w:pPr>
        <w:ind w:firstLine="560" w:firstLineChars="200"/>
        <w:rPr>
          <w:rFonts w:hint="eastAsia"/>
          <w:color w:val="auto"/>
          <w:highlight w:val="none"/>
        </w:rPr>
      </w:pPr>
      <w:r>
        <w:rPr>
          <w:rFonts w:hint="eastAsia"/>
          <w:color w:val="auto"/>
          <w:highlight w:val="none"/>
        </w:rPr>
        <w:t>2 预制框架柱和框架梁之间柱梁节点区的后浇混凝土体积；</w:t>
      </w:r>
    </w:p>
    <w:p>
      <w:pPr>
        <w:ind w:firstLine="560" w:firstLineChars="200"/>
        <w:rPr>
          <w:rFonts w:hint="eastAsia"/>
          <w:color w:val="auto"/>
          <w:highlight w:val="none"/>
        </w:rPr>
      </w:pPr>
      <w:r>
        <w:rPr>
          <w:rFonts w:hint="eastAsia"/>
          <w:color w:val="auto"/>
          <w:highlight w:val="none"/>
        </w:rPr>
        <w:t>3 预制柱间高度不大于柱截面较小尺寸的连接区后浇混凝土体积。</w:t>
      </w:r>
    </w:p>
    <w:p>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drawing>
          <wp:inline distT="0" distB="0" distL="0" distR="0">
            <wp:extent cx="5260340" cy="2552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66456" cy="2555955"/>
                    </a:xfrm>
                    <a:prstGeom prst="rect">
                      <a:avLst/>
                    </a:prstGeom>
                    <a:noFill/>
                    <a:ln>
                      <a:noFill/>
                    </a:ln>
                  </pic:spPr>
                </pic:pic>
              </a:graphicData>
            </a:graphic>
          </wp:inline>
        </w:drawing>
      </w:r>
    </w:p>
    <w:p>
      <w:pPr>
        <w:jc w:val="center"/>
        <w:rPr>
          <w:rFonts w:ascii="Times New Roman" w:hAnsi="Times New Roman" w:cs="Times New Roman"/>
          <w:color w:val="auto"/>
          <w:szCs w:val="21"/>
          <w:highlight w:val="none"/>
        </w:rPr>
      </w:pPr>
      <w:r>
        <w:rPr>
          <w:rFonts w:hint="eastAsia" w:ascii="Times New Roman" w:hAnsi="Times New Roman" w:cs="Times New Roman"/>
          <w:color w:val="auto"/>
          <w:szCs w:val="21"/>
          <w:highlight w:val="none"/>
        </w:rPr>
        <w:t>图</w:t>
      </w:r>
      <w:r>
        <w:rPr>
          <w:rFonts w:ascii="Times New Roman" w:hAnsi="Times New Roman" w:cs="Times New Roman"/>
          <w:color w:val="auto"/>
          <w:szCs w:val="21"/>
          <w:highlight w:val="none"/>
        </w:rPr>
        <w:t xml:space="preserve">4.0.3 </w:t>
      </w:r>
      <w:r>
        <w:rPr>
          <w:rFonts w:hint="eastAsia" w:ascii="Times New Roman" w:hAnsi="Times New Roman" w:cs="Times New Roman"/>
          <w:color w:val="auto"/>
          <w:szCs w:val="21"/>
          <w:highlight w:val="none"/>
        </w:rPr>
        <w:t>预制剪力墙板间可计入预制混凝土体积的现浇段示意图</w:t>
      </w:r>
    </w:p>
    <w:p>
      <w:pPr>
        <w:jc w:val="center"/>
        <w:rPr>
          <w:rFonts w:ascii="Times New Roman" w:hAnsi="Times New Roman" w:cs="Times New Roman"/>
          <w:color w:val="auto"/>
          <w:szCs w:val="21"/>
          <w:highlight w:val="none"/>
        </w:rPr>
      </w:pPr>
      <w:r>
        <w:rPr>
          <w:rFonts w:ascii="Times New Roman" w:hAnsi="Times New Roman" w:cs="Times New Roman"/>
          <w:color w:val="auto"/>
          <w:szCs w:val="21"/>
          <w:highlight w:val="none"/>
        </w:rPr>
        <w:t>1</w:t>
      </w:r>
      <w:r>
        <w:rPr>
          <w:rFonts w:hint="eastAsia" w:ascii="Times New Roman" w:hAnsi="Times New Roman" w:cs="Times New Roman"/>
          <w:color w:val="auto"/>
          <w:szCs w:val="21"/>
          <w:highlight w:val="none"/>
        </w:rPr>
        <w:t xml:space="preserve">－预制剪力墙   </w:t>
      </w:r>
      <w:r>
        <w:rPr>
          <w:rFonts w:ascii="Times New Roman" w:hAnsi="Times New Roman" w:cs="Times New Roman"/>
          <w:color w:val="auto"/>
          <w:szCs w:val="21"/>
          <w:highlight w:val="none"/>
        </w:rPr>
        <w:t>2</w:t>
      </w:r>
      <w:r>
        <w:rPr>
          <w:rFonts w:hint="eastAsia" w:ascii="Times New Roman" w:hAnsi="Times New Roman" w:cs="Times New Roman"/>
          <w:color w:val="auto"/>
          <w:szCs w:val="21"/>
          <w:highlight w:val="none"/>
        </w:rPr>
        <w:t xml:space="preserve">－可计入预制混凝土体积的现浇段   </w:t>
      </w:r>
      <w:r>
        <w:rPr>
          <w:rFonts w:ascii="Times New Roman" w:hAnsi="Times New Roman" w:cs="Times New Roman"/>
          <w:color w:val="auto"/>
          <w:szCs w:val="21"/>
          <w:highlight w:val="none"/>
        </w:rPr>
        <w:t>3</w:t>
      </w:r>
      <w:r>
        <w:rPr>
          <w:rFonts w:hint="eastAsia" w:ascii="Times New Roman" w:hAnsi="Times New Roman" w:cs="Times New Roman"/>
          <w:color w:val="auto"/>
          <w:szCs w:val="21"/>
          <w:highlight w:val="none"/>
        </w:rPr>
        <w:t>－框架梁或连梁</w:t>
      </w:r>
    </w:p>
    <w:p>
      <w:pPr>
        <w:jc w:val="center"/>
        <w:rPr>
          <w:rFonts w:hint="eastAsia"/>
          <w:color w:val="auto"/>
          <w:highlight w:val="none"/>
        </w:rPr>
      </w:pPr>
      <w:r>
        <w:rPr>
          <w:rFonts w:ascii="Times New Roman" w:hAnsi="Times New Roman" w:cs="Times New Roman"/>
          <w:color w:val="auto"/>
          <w:szCs w:val="21"/>
          <w:highlight w:val="none"/>
        </w:rPr>
        <w:t>4</w:t>
      </w:r>
      <w:r>
        <w:rPr>
          <w:rFonts w:hint="eastAsia" w:ascii="Times New Roman" w:hAnsi="Times New Roman" w:cs="Times New Roman"/>
          <w:color w:val="auto"/>
          <w:szCs w:val="21"/>
          <w:highlight w:val="none"/>
        </w:rPr>
        <w:t>－不可计入预制混凝土体积的现浇段</w:t>
      </w:r>
    </w:p>
    <w:p>
      <w:pPr>
        <w:rPr>
          <w:rFonts w:hint="eastAsia"/>
          <w:bCs/>
          <w:color w:val="auto"/>
          <w:highlight w:val="none"/>
        </w:rPr>
      </w:pPr>
      <w:r>
        <w:rPr>
          <w:rFonts w:hint="eastAsia"/>
          <w:b/>
          <w:color w:val="auto"/>
          <w:highlight w:val="none"/>
        </w:rPr>
        <w:t>4.0.4</w:t>
      </w:r>
      <w:r>
        <w:rPr>
          <w:rFonts w:hint="eastAsia"/>
          <w:color w:val="auto"/>
          <w:highlight w:val="none"/>
        </w:rPr>
        <w:t xml:space="preserve">  梁、板、楼梯、阳台、空调板等水平构件</w:t>
      </w:r>
      <w:r>
        <w:rPr>
          <w:rFonts w:hint="eastAsia"/>
          <w:bCs/>
          <w:color w:val="auto"/>
          <w:highlight w:val="none"/>
        </w:rPr>
        <w:t>中预制部品部件的应用比例应按下列公式计算：</w:t>
      </w:r>
    </w:p>
    <w:p>
      <w:pPr>
        <w:pStyle w:val="35"/>
        <w:tabs>
          <w:tab w:val="left" w:pos="709"/>
        </w:tabs>
        <w:ind w:right="85" w:firstLine="0" w:firstLineChars="0"/>
        <w:jc w:val="center"/>
        <w:rPr>
          <w:rFonts w:hint="eastAsia" w:asciiTheme="minorEastAsia" w:hAnsiTheme="minorEastAsia"/>
          <w:bCs/>
          <w:color w:val="auto"/>
          <w:highlight w:val="none"/>
        </w:rPr>
      </w:pPr>
      <w:r>
        <w:rPr>
          <w:rFonts w:asciiTheme="minorEastAsia" w:hAnsiTheme="minorEastAsia"/>
          <w:bCs/>
          <w:i/>
          <w:color w:val="auto"/>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bCs/>
          <w:i/>
          <w:color w:val="auto"/>
          <w:highlight w:val="none"/>
          <w:vertAlign w:val="subscript"/>
        </w:rPr>
        <w:t>1b</w:t>
      </w:r>
      <w:r>
        <w:rPr>
          <w:rFonts w:hint="eastAsia" w:asciiTheme="minorEastAsia" w:hAnsiTheme="minorEastAsia"/>
          <w:bCs/>
          <w:color w:val="auto"/>
          <w:highlight w:val="none"/>
        </w:rPr>
        <w:t>=</w:t>
      </w:r>
      <w:r>
        <w:rPr>
          <w:rFonts w:hint="eastAsia" w:asciiTheme="minorEastAsia" w:hAnsiTheme="minorEastAsia"/>
          <w:bCs/>
          <w:i/>
          <w:color w:val="auto"/>
          <w:highlight w:val="none"/>
        </w:rPr>
        <w:t>A</w:t>
      </w:r>
      <w:r>
        <w:rPr>
          <w:rFonts w:hint="eastAsia" w:asciiTheme="minorEastAsia" w:hAnsiTheme="minorEastAsia"/>
          <w:bCs/>
          <w:i/>
          <w:color w:val="auto"/>
          <w:highlight w:val="none"/>
          <w:vertAlign w:val="subscript"/>
        </w:rPr>
        <w:t>1b</w:t>
      </w:r>
      <w:r>
        <w:rPr>
          <w:rFonts w:hint="eastAsia" w:asciiTheme="minorEastAsia" w:hAnsiTheme="minorEastAsia"/>
          <w:bCs/>
          <w:color w:val="auto"/>
          <w:highlight w:val="none"/>
        </w:rPr>
        <w:t>/</w:t>
      </w:r>
      <w:r>
        <w:rPr>
          <w:rFonts w:hint="eastAsia" w:asciiTheme="minorEastAsia" w:hAnsiTheme="minorEastAsia"/>
          <w:bCs/>
          <w:i/>
          <w:color w:val="auto"/>
          <w:highlight w:val="none"/>
        </w:rPr>
        <w:t>A</w:t>
      </w:r>
      <w:r>
        <w:rPr>
          <w:rFonts w:hint="eastAsia" w:asciiTheme="minorEastAsia" w:hAnsiTheme="minorEastAsia"/>
          <w:bCs/>
          <w:color w:val="auto"/>
          <w:highlight w:val="none"/>
        </w:rPr>
        <w:t>×100%</w:t>
      </w:r>
      <w:r>
        <w:rPr>
          <w:rFonts w:asciiTheme="minorEastAsia" w:hAnsiTheme="minorEastAsia"/>
          <w:bCs/>
          <w:color w:val="auto"/>
          <w:highlight w:val="none"/>
        </w:rPr>
        <w:t xml:space="preserve">                (4.0.4)</w:t>
      </w:r>
    </w:p>
    <w:p>
      <w:pPr>
        <w:tabs>
          <w:tab w:val="left" w:pos="709"/>
        </w:tabs>
        <w:rPr>
          <w:rFonts w:hint="eastAsia"/>
          <w:bCs/>
          <w:color w:val="auto"/>
          <w:highlight w:val="none"/>
        </w:rPr>
      </w:pPr>
      <w:r>
        <w:rPr>
          <w:rFonts w:hint="eastAsia"/>
          <w:bCs/>
          <w:color w:val="auto"/>
          <w:highlight w:val="none"/>
        </w:rPr>
        <w:t>式中：</w:t>
      </w:r>
      <w:r>
        <w:rPr>
          <w:rFonts w:ascii="Times New Roman" w:hAnsi="Times New Roman" w:eastAsia="仿宋" w:cs="Times New Roman"/>
          <w:i/>
          <w:iCs/>
          <w:color w:val="auto"/>
          <w:kern w:val="0"/>
          <w:sz w:val="24"/>
          <w:highlight w:val="none"/>
        </w:rPr>
        <w:t>q</w:t>
      </w:r>
      <w:r>
        <w:rPr>
          <w:rFonts w:hint="eastAsia"/>
          <w:bCs/>
          <w:i/>
          <w:color w:val="auto"/>
          <w:highlight w:val="none"/>
          <w:vertAlign w:val="subscript"/>
        </w:rPr>
        <w:t>1b</w:t>
      </w:r>
      <w:r>
        <w:rPr>
          <w:rFonts w:hint="eastAsia"/>
          <w:bCs/>
          <w:color w:val="auto"/>
          <w:highlight w:val="none"/>
        </w:rPr>
        <w:t>──</w:t>
      </w:r>
      <w:r>
        <w:rPr>
          <w:rFonts w:hint="eastAsia"/>
          <w:color w:val="auto"/>
          <w:highlight w:val="none"/>
        </w:rPr>
        <w:t>梁、板、楼梯、阳台、空调板等水平构件</w:t>
      </w:r>
      <w:r>
        <w:rPr>
          <w:rFonts w:hint="eastAsia"/>
          <w:bCs/>
          <w:color w:val="auto"/>
          <w:highlight w:val="none"/>
        </w:rPr>
        <w:t>中预制部品部件的应用比例</w:t>
      </w:r>
      <w:r>
        <w:rPr>
          <w:rFonts w:hint="eastAsia"/>
          <w:color w:val="auto"/>
          <w:highlight w:val="none"/>
        </w:rPr>
        <w:t>；</w:t>
      </w:r>
    </w:p>
    <w:p>
      <w:pPr>
        <w:tabs>
          <w:tab w:val="left" w:pos="709"/>
        </w:tabs>
        <w:rPr>
          <w:rFonts w:hint="eastAsia"/>
          <w:bCs/>
          <w:color w:val="auto"/>
          <w:highlight w:val="none"/>
        </w:rPr>
      </w:pPr>
      <w:r>
        <w:rPr>
          <w:rFonts w:hint="eastAsia"/>
          <w:bCs/>
          <w:i/>
          <w:color w:val="auto"/>
          <w:highlight w:val="none"/>
        </w:rPr>
        <w:t xml:space="preserve">      A</w:t>
      </w:r>
      <w:r>
        <w:rPr>
          <w:rFonts w:hint="eastAsia"/>
          <w:bCs/>
          <w:i/>
          <w:color w:val="auto"/>
          <w:highlight w:val="none"/>
          <w:vertAlign w:val="subscript"/>
        </w:rPr>
        <w:t>1b</w:t>
      </w:r>
      <w:r>
        <w:rPr>
          <w:rFonts w:hint="eastAsia"/>
          <w:bCs/>
          <w:color w:val="auto"/>
          <w:highlight w:val="none"/>
        </w:rPr>
        <w:t>──各楼层中预制装配</w:t>
      </w:r>
      <w:bookmarkStart w:id="18" w:name="_Hlk512430997"/>
      <w:r>
        <w:rPr>
          <w:rFonts w:hint="eastAsia"/>
          <w:bCs/>
          <w:color w:val="auto"/>
          <w:highlight w:val="none"/>
        </w:rPr>
        <w:t>梁、板、楼梯、阳台、空调板</w:t>
      </w:r>
      <w:bookmarkEnd w:id="18"/>
      <w:r>
        <w:rPr>
          <w:rFonts w:hint="eastAsia"/>
          <w:bCs/>
          <w:color w:val="auto"/>
          <w:highlight w:val="none"/>
        </w:rPr>
        <w:t>等水平构件的水平投影面积之和</w:t>
      </w:r>
      <w:r>
        <w:rPr>
          <w:rFonts w:hint="eastAsia"/>
          <w:color w:val="auto"/>
          <w:highlight w:val="none"/>
        </w:rPr>
        <w:t>；</w:t>
      </w:r>
    </w:p>
    <w:p>
      <w:pPr>
        <w:tabs>
          <w:tab w:val="left" w:pos="709"/>
        </w:tabs>
        <w:ind w:firstLine="854" w:firstLineChars="305"/>
        <w:rPr>
          <w:rFonts w:hint="eastAsia"/>
          <w:bCs/>
          <w:color w:val="auto"/>
          <w:highlight w:val="none"/>
        </w:rPr>
      </w:pPr>
      <w:r>
        <w:rPr>
          <w:rFonts w:hint="eastAsia"/>
          <w:bCs/>
          <w:i/>
          <w:color w:val="auto"/>
          <w:highlight w:val="none"/>
        </w:rPr>
        <w:t>A</w:t>
      </w:r>
      <w:r>
        <w:rPr>
          <w:rFonts w:hint="eastAsia"/>
          <w:bCs/>
          <w:color w:val="auto"/>
          <w:highlight w:val="none"/>
        </w:rPr>
        <w:t>──各楼层建筑平面总面积。</w:t>
      </w:r>
    </w:p>
    <w:p>
      <w:pPr>
        <w:tabs>
          <w:tab w:val="left" w:pos="709"/>
        </w:tabs>
        <w:rPr>
          <w:rFonts w:hint="eastAsia"/>
          <w:bCs/>
          <w:color w:val="auto"/>
          <w:highlight w:val="none"/>
        </w:rPr>
      </w:pPr>
      <w:r>
        <w:rPr>
          <w:rFonts w:hint="eastAsia"/>
          <w:color w:val="auto"/>
          <w:highlight w:val="none"/>
        </w:rPr>
        <w:t>注：</w:t>
      </w:r>
      <w:r>
        <w:rPr>
          <w:rFonts w:hint="eastAsia"/>
          <w:bCs/>
          <w:color w:val="auto"/>
          <w:highlight w:val="none"/>
        </w:rPr>
        <w:t xml:space="preserve">1 </w:t>
      </w:r>
      <w:r>
        <w:rPr>
          <w:rFonts w:hint="eastAsia"/>
          <w:bCs/>
          <w:i/>
          <w:color w:val="auto"/>
          <w:highlight w:val="none"/>
        </w:rPr>
        <w:t>A</w:t>
      </w:r>
      <w:r>
        <w:rPr>
          <w:rFonts w:hint="eastAsia"/>
          <w:bCs/>
          <w:i/>
          <w:color w:val="auto"/>
          <w:highlight w:val="none"/>
          <w:vertAlign w:val="subscript"/>
        </w:rPr>
        <w:t>1b</w:t>
      </w:r>
      <w:r>
        <w:rPr>
          <w:rFonts w:hint="eastAsia"/>
          <w:bCs/>
          <w:color w:val="auto"/>
          <w:highlight w:val="none"/>
        </w:rPr>
        <w:t>投影面积的计算长、宽取净尺寸。</w:t>
      </w:r>
    </w:p>
    <w:p>
      <w:pPr>
        <w:tabs>
          <w:tab w:val="left" w:pos="709"/>
        </w:tabs>
        <w:ind w:firstLine="560" w:firstLineChars="200"/>
        <w:rPr>
          <w:rFonts w:hint="eastAsia"/>
          <w:color w:val="auto"/>
          <w:highlight w:val="none"/>
        </w:rPr>
      </w:pPr>
      <w:r>
        <w:rPr>
          <w:rFonts w:hint="eastAsia"/>
          <w:bCs/>
          <w:color w:val="auto"/>
          <w:highlight w:val="none"/>
        </w:rPr>
        <w:t>2 预制楼板水平投影面积，不计入与梁、柱、承重墙</w:t>
      </w:r>
      <w:r>
        <w:rPr>
          <w:bCs/>
          <w:color w:val="auto"/>
          <w:highlight w:val="none"/>
        </w:rPr>
        <w:t>等</w:t>
      </w:r>
      <w:r>
        <w:rPr>
          <w:rFonts w:hint="eastAsia"/>
          <w:bCs/>
          <w:color w:val="auto"/>
          <w:highlight w:val="none"/>
        </w:rPr>
        <w:t>重叠部分。</w:t>
      </w:r>
    </w:p>
    <w:p>
      <w:pPr>
        <w:tabs>
          <w:tab w:val="left" w:pos="709"/>
        </w:tabs>
        <w:ind w:firstLine="560" w:firstLineChars="200"/>
        <w:rPr>
          <w:rFonts w:hint="eastAsia"/>
          <w:bCs/>
          <w:color w:val="auto"/>
          <w:highlight w:val="none"/>
        </w:rPr>
      </w:pPr>
      <w:r>
        <w:rPr>
          <w:bCs/>
          <w:color w:val="auto"/>
          <w:highlight w:val="none"/>
        </w:rPr>
        <w:t>3</w:t>
      </w:r>
      <w:r>
        <w:rPr>
          <w:rFonts w:hint="eastAsia"/>
          <w:bCs/>
          <w:color w:val="auto"/>
          <w:highlight w:val="none"/>
        </w:rPr>
        <w:t xml:space="preserve"> 柱、承重墙、延性墙板等竖向构件水平投影面积不计入</w:t>
      </w:r>
      <w:r>
        <w:rPr>
          <w:bCs/>
          <w:color w:val="auto"/>
          <w:highlight w:val="none"/>
        </w:rPr>
        <w:t>A中</w:t>
      </w:r>
      <w:r>
        <w:rPr>
          <w:rFonts w:hint="eastAsia"/>
          <w:bCs/>
          <w:color w:val="auto"/>
          <w:highlight w:val="none"/>
        </w:rPr>
        <w:t>。</w:t>
      </w:r>
    </w:p>
    <w:p>
      <w:pPr>
        <w:tabs>
          <w:tab w:val="left" w:pos="709"/>
        </w:tabs>
        <w:ind w:firstLine="560" w:firstLineChars="200"/>
        <w:rPr>
          <w:rFonts w:hint="eastAsia"/>
          <w:bCs/>
          <w:color w:val="auto"/>
          <w:highlight w:val="none"/>
        </w:rPr>
      </w:pPr>
      <w:r>
        <w:rPr>
          <w:rFonts w:hint="eastAsia"/>
          <w:bCs/>
          <w:color w:val="auto"/>
          <w:highlight w:val="none"/>
        </w:rPr>
        <w:t>4</w:t>
      </w:r>
      <w:r>
        <w:rPr>
          <w:rFonts w:hint="eastAsia"/>
          <w:bCs/>
          <w:color w:val="auto"/>
          <w:highlight w:val="none"/>
          <w:lang w:val="en-US" w:eastAsia="zh-CN"/>
        </w:rPr>
        <w:t xml:space="preserve"> </w:t>
      </w:r>
      <w:r>
        <w:rPr>
          <w:rFonts w:hint="eastAsia"/>
          <w:bCs/>
          <w:color w:val="auto"/>
          <w:highlight w:val="none"/>
        </w:rPr>
        <w:t>墙体与梁整体预制时，应分别计算到对应的主体结构、围护墙、内隔墙的体积或面积中。</w:t>
      </w:r>
    </w:p>
    <w:p>
      <w:pPr>
        <w:tabs>
          <w:tab w:val="left" w:pos="709"/>
        </w:tabs>
        <w:ind w:firstLine="560" w:firstLineChars="200"/>
        <w:rPr>
          <w:rFonts w:hint="eastAsia"/>
          <w:bCs/>
          <w:color w:val="auto"/>
          <w:highlight w:val="none"/>
        </w:rPr>
      </w:pPr>
      <w:bookmarkStart w:id="19" w:name="_Toc14620"/>
      <w:r>
        <w:rPr>
          <w:rFonts w:hint="eastAsia"/>
          <w:bCs/>
          <w:color w:val="auto"/>
          <w:highlight w:val="none"/>
        </w:rPr>
        <w:t>5 楼层中存在双层板按实际投影面积计算。</w:t>
      </w:r>
      <w:bookmarkEnd w:id="19"/>
    </w:p>
    <w:p>
      <w:pPr>
        <w:tabs>
          <w:tab w:val="left" w:pos="709"/>
        </w:tabs>
        <w:ind w:firstLine="560" w:firstLineChars="200"/>
        <w:rPr>
          <w:rFonts w:hint="eastAsia"/>
          <w:bCs/>
          <w:color w:val="auto"/>
          <w:highlight w:val="none"/>
        </w:rPr>
      </w:pPr>
      <w:r>
        <w:rPr>
          <w:rFonts w:hint="eastAsia"/>
          <w:bCs/>
          <w:color w:val="auto"/>
          <w:highlight w:val="none"/>
        </w:rPr>
        <w:t>6</w:t>
      </w:r>
      <w:r>
        <w:rPr>
          <w:bCs/>
          <w:color w:val="auto"/>
          <w:highlight w:val="none"/>
        </w:rPr>
        <w:t xml:space="preserve"> </w:t>
      </w:r>
      <w:r>
        <w:rPr>
          <w:rFonts w:hint="eastAsia"/>
          <w:bCs/>
          <w:color w:val="auto"/>
          <w:highlight w:val="none"/>
        </w:rPr>
        <w:t>屋面结构层为现浇时，屋面结构层不列入计算范围；屋面结构层部分采用装配式时，装配式部分列入</w:t>
      </w:r>
      <w:r>
        <w:rPr>
          <w:rFonts w:hint="eastAsia"/>
          <w:bCs/>
          <w:i/>
          <w:color w:val="auto"/>
          <w:highlight w:val="none"/>
        </w:rPr>
        <w:t>A</w:t>
      </w:r>
      <w:r>
        <w:rPr>
          <w:rFonts w:hint="eastAsia"/>
          <w:bCs/>
          <w:i/>
          <w:color w:val="auto"/>
          <w:highlight w:val="none"/>
          <w:vertAlign w:val="subscript"/>
        </w:rPr>
        <w:t>1b</w:t>
      </w:r>
      <w:r>
        <w:rPr>
          <w:rFonts w:hint="eastAsia"/>
          <w:bCs/>
          <w:color w:val="auto"/>
          <w:highlight w:val="none"/>
        </w:rPr>
        <w:t>、</w:t>
      </w:r>
      <w:r>
        <w:rPr>
          <w:rFonts w:hint="eastAsia"/>
          <w:bCs/>
          <w:i/>
          <w:color w:val="auto"/>
          <w:highlight w:val="none"/>
        </w:rPr>
        <w:t>A</w:t>
      </w:r>
      <w:r>
        <w:rPr>
          <w:rFonts w:hint="eastAsia"/>
          <w:bCs/>
          <w:color w:val="auto"/>
          <w:highlight w:val="none"/>
        </w:rPr>
        <w:t>计算范围。</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条文说明：4.0.4  建筑平面总面积应按实际水平构件投影面积计算，指各楼层中梁、板、楼梯、阳台、空调板等构件的水平投影面积之和，不包括电梯井、管道井、采光井、烟道等开洞区域面积及承重墙、柱、延性墙板等竖向构件的水平投影面积。对于管道井内若仅在楼板上留穿管洞口，则此</w:t>
      </w:r>
      <w:r>
        <w:rPr>
          <w:rFonts w:hint="eastAsia" w:ascii="楷体" w:hAnsi="楷体" w:eastAsia="楷体" w:cs="楷体"/>
          <w:b w:val="0"/>
          <w:bCs w:val="0"/>
          <w:i w:val="0"/>
          <w:iCs w:val="0"/>
          <w:color w:val="auto"/>
          <w:highlight w:val="none"/>
          <w:lang w:val="en-US" w:eastAsia="zh-CN"/>
        </w:rPr>
        <w:t>穿管洞口</w:t>
      </w:r>
      <w:r>
        <w:rPr>
          <w:rFonts w:hint="eastAsia" w:ascii="楷体" w:hAnsi="楷体" w:eastAsia="楷体" w:cs="楷体"/>
          <w:b w:val="0"/>
          <w:bCs w:val="0"/>
          <w:i w:val="0"/>
          <w:iCs w:val="0"/>
          <w:color w:val="auto"/>
          <w:highlight w:val="none"/>
        </w:rPr>
        <w:t>水平投影面积不扣除。</w:t>
      </w:r>
    </w:p>
    <w:p>
      <w:pPr>
        <w:pStyle w:val="46"/>
        <w:ind w:firstLine="560" w:firstLineChars="200"/>
        <w:rPr>
          <w:rFonts w:hint="eastAsia" w:ascii="楷体" w:hAnsi="楷体" w:eastAsia="楷体" w:cs="楷体"/>
          <w:b w:val="0"/>
          <w:bCs w:val="0"/>
          <w:i w:val="0"/>
          <w:iCs w:val="0"/>
          <w:color w:val="auto"/>
          <w:szCs w:val="24"/>
          <w:highlight w:val="none"/>
        </w:rPr>
      </w:pPr>
      <w:r>
        <w:rPr>
          <w:rFonts w:hint="eastAsia" w:ascii="楷体" w:hAnsi="楷体" w:eastAsia="楷体" w:cs="楷体"/>
          <w:b w:val="0"/>
          <w:bCs w:val="0"/>
          <w:i w:val="0"/>
          <w:iCs w:val="0"/>
          <w:color w:val="auto"/>
          <w:highlight w:val="none"/>
        </w:rPr>
        <w:t>双层空调板、飘窗上、下板按2块板的投影面积计算，飘窗两侧板不计入</w:t>
      </w:r>
      <w:r>
        <w:rPr>
          <w:rFonts w:hint="eastAsia" w:ascii="楷体" w:hAnsi="楷体" w:eastAsia="楷体" w:cs="楷体"/>
          <w:b w:val="0"/>
          <w:bCs w:val="0"/>
          <w:i w:val="0"/>
          <w:iCs w:val="0"/>
          <w:color w:val="auto"/>
          <w:highlight w:val="none"/>
          <w:lang w:val="en-US" w:eastAsia="zh-CN"/>
        </w:rPr>
        <w:t>水平投影面积</w:t>
      </w:r>
      <w:r>
        <w:rPr>
          <w:rFonts w:hint="eastAsia" w:ascii="楷体" w:hAnsi="楷体" w:eastAsia="楷体" w:cs="楷体"/>
          <w:b w:val="0"/>
          <w:bCs w:val="0"/>
          <w:i w:val="0"/>
          <w:iCs w:val="0"/>
          <w:color w:val="auto"/>
          <w:highlight w:val="none"/>
        </w:rPr>
        <w:t>计算</w:t>
      </w:r>
      <w:r>
        <w:rPr>
          <w:rFonts w:hint="eastAsia" w:ascii="楷体" w:hAnsi="楷体" w:eastAsia="楷体" w:cs="楷体"/>
          <w:b w:val="0"/>
          <w:bCs w:val="0"/>
          <w:i w:val="0"/>
          <w:iCs w:val="0"/>
          <w:color w:val="auto"/>
          <w:highlight w:val="none"/>
          <w:lang w:eastAsia="zh-CN"/>
        </w:rPr>
        <w:t>，</w:t>
      </w:r>
      <w:r>
        <w:rPr>
          <w:rFonts w:hint="eastAsia" w:ascii="楷体" w:hAnsi="楷体" w:eastAsia="楷体" w:cs="楷体"/>
          <w:b w:val="0"/>
          <w:bCs w:val="0"/>
          <w:i w:val="0"/>
          <w:iCs w:val="0"/>
          <w:color w:val="auto"/>
          <w:highlight w:val="none"/>
          <w:lang w:val="en-US" w:eastAsia="zh-CN"/>
        </w:rPr>
        <w:t>可计入</w:t>
      </w:r>
      <w:r>
        <w:rPr>
          <w:rFonts w:hint="eastAsia" w:ascii="楷体" w:hAnsi="楷体" w:eastAsia="楷体" w:cs="楷体"/>
          <w:b w:val="0"/>
          <w:bCs w:val="0"/>
          <w:i w:val="0"/>
          <w:iCs w:val="0"/>
          <w:color w:val="auto"/>
          <w:kern w:val="2"/>
          <w:sz w:val="28"/>
          <w:highlight w:val="none"/>
          <w:lang w:val="en-US" w:eastAsia="zh-CN"/>
        </w:rPr>
        <w:t>非承重围护墙非砌筑进行计算</w:t>
      </w:r>
      <w:r>
        <w:rPr>
          <w:rFonts w:hint="eastAsia" w:ascii="楷体" w:hAnsi="楷体" w:eastAsia="楷体" w:cs="楷体"/>
          <w:b w:val="0"/>
          <w:bCs w:val="0"/>
          <w:i w:val="0"/>
          <w:iCs w:val="0"/>
          <w:color w:val="auto"/>
          <w:highlight w:val="none"/>
        </w:rPr>
        <w:t>。</w:t>
      </w:r>
    </w:p>
    <w:p>
      <w:pPr>
        <w:tabs>
          <w:tab w:val="left" w:pos="709"/>
        </w:tabs>
        <w:rPr>
          <w:rFonts w:hint="eastAsia"/>
          <w:color w:val="auto"/>
          <w:highlight w:val="none"/>
        </w:rPr>
      </w:pPr>
      <w:r>
        <w:rPr>
          <w:rFonts w:hint="eastAsia"/>
          <w:b/>
          <w:color w:val="auto"/>
          <w:highlight w:val="none"/>
        </w:rPr>
        <w:t>4.0.5</w:t>
      </w:r>
      <w:r>
        <w:rPr>
          <w:rFonts w:hint="eastAsia"/>
          <w:color w:val="auto"/>
          <w:highlight w:val="none"/>
        </w:rPr>
        <w:t xml:space="preserve">  预制装配式楼板、预制装配式屋面板的水平投影面积可包括：</w:t>
      </w:r>
    </w:p>
    <w:p>
      <w:pPr>
        <w:tabs>
          <w:tab w:val="left" w:pos="709"/>
        </w:tabs>
        <w:ind w:firstLine="560" w:firstLineChars="200"/>
        <w:rPr>
          <w:rFonts w:hint="eastAsia"/>
          <w:color w:val="auto"/>
          <w:highlight w:val="none"/>
        </w:rPr>
      </w:pPr>
      <w:r>
        <w:rPr>
          <w:rFonts w:hint="eastAsia"/>
          <w:color w:val="auto"/>
          <w:highlight w:val="none"/>
        </w:rPr>
        <w:t>1 预制装配式叠合楼板、预制装配式叠合屋面板的水平投影面积；</w:t>
      </w:r>
    </w:p>
    <w:p>
      <w:pPr>
        <w:tabs>
          <w:tab w:val="left" w:pos="709"/>
        </w:tabs>
        <w:ind w:firstLine="560" w:firstLineChars="200"/>
        <w:rPr>
          <w:rFonts w:hint="eastAsia"/>
          <w:color w:val="auto"/>
          <w:highlight w:val="none"/>
        </w:rPr>
      </w:pPr>
      <w:r>
        <w:rPr>
          <w:rFonts w:hint="eastAsia"/>
          <w:color w:val="auto"/>
          <w:highlight w:val="none"/>
        </w:rPr>
        <w:t>2 预制构件间不大于300mm的后浇混凝土带水平投影面积；</w:t>
      </w:r>
    </w:p>
    <w:p>
      <w:pPr>
        <w:tabs>
          <w:tab w:val="left" w:pos="709"/>
        </w:tabs>
        <w:ind w:firstLine="560" w:firstLineChars="200"/>
        <w:jc w:val="left"/>
        <w:rPr>
          <w:rFonts w:hint="eastAsia"/>
          <w:bCs/>
          <w:color w:val="auto"/>
          <w:highlight w:val="none"/>
        </w:rPr>
      </w:pPr>
      <w:r>
        <w:rPr>
          <w:rFonts w:hint="eastAsia"/>
          <w:bCs/>
          <w:color w:val="auto"/>
          <w:highlight w:val="none"/>
        </w:rPr>
        <w:t>3 金属楼承板和屋面板、木楼盖和屋盖及其他在施工现场免支模的楼盖和屋盖的水平投影面积；</w:t>
      </w:r>
    </w:p>
    <w:p>
      <w:pPr>
        <w:tabs>
          <w:tab w:val="left" w:pos="709"/>
        </w:tabs>
        <w:ind w:firstLine="560" w:firstLineChars="200"/>
        <w:jc w:val="left"/>
        <w:rPr>
          <w:rFonts w:hint="eastAsia"/>
          <w:bCs/>
          <w:color w:val="auto"/>
          <w:highlight w:val="none"/>
        </w:rPr>
      </w:pPr>
      <w:bookmarkStart w:id="20" w:name="_Toc9360"/>
      <w:r>
        <w:rPr>
          <w:rFonts w:hint="eastAsia"/>
          <w:bCs/>
          <w:color w:val="auto"/>
          <w:highlight w:val="none"/>
        </w:rPr>
        <w:t>4 坡屋面采用装配式时按</w:t>
      </w:r>
      <w:r>
        <w:rPr>
          <w:rFonts w:hint="eastAsia"/>
          <w:bCs/>
          <w:color w:val="auto"/>
          <w:highlight w:val="none"/>
          <w:lang w:val="en-US" w:eastAsia="zh-CN"/>
        </w:rPr>
        <w:t>斜屋面</w:t>
      </w:r>
      <w:r>
        <w:rPr>
          <w:rFonts w:hint="eastAsia"/>
          <w:bCs/>
          <w:color w:val="auto"/>
          <w:highlight w:val="none"/>
        </w:rPr>
        <w:t>实际面积计算。</w:t>
      </w:r>
      <w:bookmarkEnd w:id="20"/>
    </w:p>
    <w:p>
      <w:pPr>
        <w:rPr>
          <w:rFonts w:hint="eastAsia"/>
          <w:bCs/>
          <w:color w:val="auto"/>
          <w:highlight w:val="none"/>
        </w:rPr>
      </w:pPr>
      <w:bookmarkStart w:id="21" w:name="_Hlk512431656"/>
      <w:r>
        <w:rPr>
          <w:rFonts w:hint="eastAsia"/>
          <w:b/>
          <w:color w:val="auto"/>
          <w:highlight w:val="none"/>
        </w:rPr>
        <w:t>4.0.6</w:t>
      </w:r>
      <w:r>
        <w:rPr>
          <w:rFonts w:hint="eastAsia"/>
          <w:color w:val="auto"/>
          <w:highlight w:val="none"/>
        </w:rPr>
        <w:t xml:space="preserve">  </w:t>
      </w:r>
      <w:r>
        <w:rPr>
          <w:rFonts w:hint="eastAsia"/>
          <w:bCs/>
          <w:color w:val="auto"/>
          <w:highlight w:val="none"/>
        </w:rPr>
        <w:t>非承重围护墙中非现场砌筑墙体</w:t>
      </w:r>
      <w:bookmarkEnd w:id="21"/>
      <w:r>
        <w:rPr>
          <w:rFonts w:hint="eastAsia"/>
          <w:bCs/>
          <w:color w:val="auto"/>
          <w:highlight w:val="none"/>
        </w:rPr>
        <w:t>的应用比例应按下列公式计算：</w:t>
      </w:r>
    </w:p>
    <w:p>
      <w:pPr>
        <w:pStyle w:val="36"/>
        <w:ind w:right="85" w:firstLine="0" w:firstLineChars="0"/>
        <w:jc w:val="center"/>
        <w:rPr>
          <w:rFonts w:hint="eastAsia" w:asciiTheme="minorEastAsia" w:hAnsiTheme="minorEastAsia" w:cstheme="minorEastAsia"/>
          <w:bCs/>
          <w:color w:val="auto"/>
          <w:szCs w:val="28"/>
          <w:highlight w:val="none"/>
        </w:rPr>
      </w:pPr>
      <w:r>
        <w:rPr>
          <w:rFonts w:asciiTheme="minorEastAsia" w:hAnsiTheme="minorEastAsia" w:cstheme="minorEastAsia"/>
          <w:bCs/>
          <w:i/>
          <w:color w:val="auto"/>
          <w:szCs w:val="28"/>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cstheme="minorEastAsia"/>
          <w:bCs/>
          <w:i/>
          <w:color w:val="auto"/>
          <w:szCs w:val="28"/>
          <w:highlight w:val="none"/>
          <w:vertAlign w:val="subscript"/>
        </w:rPr>
        <w:t>2a</w:t>
      </w:r>
      <w:r>
        <w:rPr>
          <w:rFonts w:hint="eastAsia" w:asciiTheme="minorEastAsia" w:hAnsiTheme="minorEastAsia" w:cstheme="minorEastAsia"/>
          <w:bCs/>
          <w:color w:val="auto"/>
          <w:szCs w:val="28"/>
          <w:highlight w:val="none"/>
        </w:rPr>
        <w:t>=</w:t>
      </w:r>
      <w:r>
        <w:rPr>
          <w:rFonts w:hint="eastAsia" w:asciiTheme="minorEastAsia" w:hAnsiTheme="minorEastAsia" w:cstheme="minorEastAsia"/>
          <w:bCs/>
          <w:i/>
          <w:color w:val="auto"/>
          <w:szCs w:val="28"/>
          <w:highlight w:val="none"/>
        </w:rPr>
        <w:t>A</w:t>
      </w:r>
      <w:r>
        <w:rPr>
          <w:rFonts w:hint="eastAsia" w:asciiTheme="minorEastAsia" w:hAnsiTheme="minorEastAsia" w:cstheme="minorEastAsia"/>
          <w:bCs/>
          <w:i/>
          <w:color w:val="auto"/>
          <w:szCs w:val="28"/>
          <w:highlight w:val="none"/>
          <w:vertAlign w:val="subscript"/>
        </w:rPr>
        <w:t>2a</w:t>
      </w:r>
      <w:r>
        <w:rPr>
          <w:rFonts w:hint="eastAsia" w:asciiTheme="minorEastAsia" w:hAnsiTheme="minorEastAsia" w:cstheme="minorEastAsia"/>
          <w:bCs/>
          <w:color w:val="auto"/>
          <w:szCs w:val="28"/>
          <w:highlight w:val="none"/>
        </w:rPr>
        <w:t>/</w:t>
      </w:r>
      <w:r>
        <w:rPr>
          <w:rFonts w:hint="eastAsia" w:asciiTheme="minorEastAsia" w:hAnsiTheme="minorEastAsia" w:cstheme="minorEastAsia"/>
          <w:bCs/>
          <w:i/>
          <w:color w:val="auto"/>
          <w:szCs w:val="28"/>
          <w:highlight w:val="none"/>
        </w:rPr>
        <w:t>A</w:t>
      </w:r>
      <w:r>
        <w:rPr>
          <w:rFonts w:hint="eastAsia" w:asciiTheme="minorEastAsia" w:hAnsiTheme="minorEastAsia" w:cstheme="minorEastAsia"/>
          <w:bCs/>
          <w:i/>
          <w:color w:val="auto"/>
          <w:szCs w:val="28"/>
          <w:highlight w:val="none"/>
          <w:vertAlign w:val="subscript"/>
        </w:rPr>
        <w:t>W1</w:t>
      </w:r>
      <w:r>
        <w:rPr>
          <w:rFonts w:hint="eastAsia" w:asciiTheme="minorEastAsia" w:hAnsiTheme="minorEastAsia" w:cstheme="minorEastAsia"/>
          <w:bCs/>
          <w:color w:val="auto"/>
          <w:szCs w:val="28"/>
          <w:highlight w:val="none"/>
        </w:rPr>
        <w:t>×100%</w:t>
      </w:r>
      <w:r>
        <w:rPr>
          <w:rFonts w:asciiTheme="minorEastAsia" w:hAnsiTheme="minorEastAsia" w:cstheme="minorEastAsia"/>
          <w:bCs/>
          <w:color w:val="auto"/>
          <w:szCs w:val="28"/>
          <w:highlight w:val="none"/>
        </w:rPr>
        <w:t xml:space="preserve">                (4.0.6)</w:t>
      </w:r>
    </w:p>
    <w:p>
      <w:pPr>
        <w:tabs>
          <w:tab w:val="left" w:pos="709"/>
        </w:tabs>
        <w:rPr>
          <w:rFonts w:hint="eastAsia"/>
          <w:bCs/>
          <w:color w:val="auto"/>
          <w:highlight w:val="none"/>
        </w:rPr>
      </w:pPr>
      <w:r>
        <w:rPr>
          <w:rFonts w:hint="eastAsia"/>
          <w:bCs/>
          <w:color w:val="auto"/>
          <w:highlight w:val="none"/>
        </w:rPr>
        <w:t>式中：</w:t>
      </w:r>
      <w:r>
        <w:rPr>
          <w:rFonts w:ascii="Times New Roman" w:hAnsi="Times New Roman" w:eastAsia="仿宋" w:cs="Times New Roman"/>
          <w:i/>
          <w:iCs/>
          <w:color w:val="auto"/>
          <w:kern w:val="0"/>
          <w:sz w:val="24"/>
          <w:highlight w:val="none"/>
        </w:rPr>
        <w:t>q</w:t>
      </w:r>
      <w:r>
        <w:rPr>
          <w:rFonts w:hint="eastAsia"/>
          <w:bCs/>
          <w:i/>
          <w:color w:val="auto"/>
          <w:highlight w:val="none"/>
          <w:vertAlign w:val="subscript"/>
        </w:rPr>
        <w:t>2a</w:t>
      </w:r>
      <w:r>
        <w:rPr>
          <w:rFonts w:hint="eastAsia"/>
          <w:bCs/>
          <w:color w:val="auto"/>
          <w:highlight w:val="none"/>
        </w:rPr>
        <w:t>──非承重围护墙中非现场砌筑墙体的应用比例；</w:t>
      </w:r>
    </w:p>
    <w:p>
      <w:pPr>
        <w:tabs>
          <w:tab w:val="left" w:pos="709"/>
        </w:tabs>
        <w:jc w:val="left"/>
        <w:rPr>
          <w:rFonts w:hint="eastAsia"/>
          <w:bCs/>
          <w:color w:val="auto"/>
          <w:highlight w:val="none"/>
        </w:rPr>
      </w:pPr>
      <w:r>
        <w:rPr>
          <w:rFonts w:hint="eastAsia"/>
          <w:bCs/>
          <w:i/>
          <w:color w:val="auto"/>
          <w:highlight w:val="none"/>
        </w:rPr>
        <w:t xml:space="preserve">      A</w:t>
      </w:r>
      <w:r>
        <w:rPr>
          <w:rFonts w:hint="eastAsia"/>
          <w:bCs/>
          <w:i/>
          <w:color w:val="auto"/>
          <w:highlight w:val="none"/>
          <w:vertAlign w:val="subscript"/>
        </w:rPr>
        <w:t>2a</w:t>
      </w:r>
      <w:r>
        <w:rPr>
          <w:rFonts w:hint="eastAsia"/>
          <w:bCs/>
          <w:color w:val="auto"/>
          <w:highlight w:val="none"/>
        </w:rPr>
        <w:t>──各楼层非承重围护墙中非现场砌筑墙体的外表面积之和，计算时可不扣除门、窗及预留洞口等的面积；</w:t>
      </w:r>
    </w:p>
    <w:p>
      <w:pPr>
        <w:tabs>
          <w:tab w:val="left" w:pos="709"/>
        </w:tabs>
        <w:rPr>
          <w:rFonts w:hint="eastAsia"/>
          <w:bCs/>
          <w:color w:val="auto"/>
          <w:highlight w:val="none"/>
        </w:rPr>
      </w:pPr>
      <w:r>
        <w:rPr>
          <w:rFonts w:hint="eastAsia"/>
          <w:bCs/>
          <w:i/>
          <w:color w:val="auto"/>
          <w:highlight w:val="none"/>
        </w:rPr>
        <w:t xml:space="preserve">      A</w:t>
      </w:r>
      <w:r>
        <w:rPr>
          <w:rFonts w:hint="eastAsia"/>
          <w:bCs/>
          <w:i/>
          <w:color w:val="auto"/>
          <w:highlight w:val="none"/>
          <w:vertAlign w:val="subscript"/>
        </w:rPr>
        <w:t>W1</w:t>
      </w:r>
      <w:r>
        <w:rPr>
          <w:rFonts w:hint="eastAsia"/>
          <w:bCs/>
          <w:color w:val="auto"/>
          <w:highlight w:val="none"/>
        </w:rPr>
        <w:t>──各楼层非承重围护墙外表面积总面积，计算时可不扣除门、窗及预留洞口等的面积。</w:t>
      </w:r>
    </w:p>
    <w:p>
      <w:pPr>
        <w:tabs>
          <w:tab w:val="left" w:pos="709"/>
        </w:tabs>
        <w:rPr>
          <w:rFonts w:hint="eastAsia"/>
          <w:bCs/>
          <w:color w:val="auto"/>
          <w:highlight w:val="none"/>
        </w:rPr>
      </w:pPr>
      <w:r>
        <w:rPr>
          <w:rFonts w:hint="eastAsia"/>
          <w:bCs/>
          <w:color w:val="auto"/>
          <w:highlight w:val="none"/>
        </w:rPr>
        <w:t>注：1 外表面积计算，宽度按实际宽度，高度按实际高度计算；</w:t>
      </w:r>
    </w:p>
    <w:p>
      <w:pPr>
        <w:tabs>
          <w:tab w:val="left" w:pos="709"/>
        </w:tabs>
        <w:ind w:firstLine="560"/>
        <w:rPr>
          <w:rFonts w:hint="eastAsia"/>
          <w:color w:val="auto"/>
          <w:highlight w:val="none"/>
        </w:rPr>
      </w:pPr>
      <w:r>
        <w:rPr>
          <w:rFonts w:hint="eastAsia"/>
          <w:bCs/>
          <w:color w:val="auto"/>
          <w:highlight w:val="none"/>
        </w:rPr>
        <w:t>2</w:t>
      </w:r>
      <w:r>
        <w:rPr>
          <w:rFonts w:hint="eastAsia"/>
          <w:bCs/>
          <w:color w:val="auto"/>
          <w:highlight w:val="none"/>
          <w:lang w:val="en-US" w:eastAsia="zh-CN"/>
        </w:rPr>
        <w:t xml:space="preserve"> </w:t>
      </w:r>
      <w:r>
        <w:rPr>
          <w:rFonts w:hint="eastAsia"/>
          <w:bCs/>
          <w:color w:val="auto"/>
          <w:highlight w:val="none"/>
        </w:rPr>
        <w:t>开敞式阳台的非承重分户墙、空调板上分隔墙及外围护墙以外的其它分隔墙，若采用非砌筑，分子分母可计入非承重围护墙计算。</w:t>
      </w:r>
    </w:p>
    <w:p>
      <w:pPr>
        <w:rPr>
          <w:rFonts w:hint="eastAsia"/>
          <w:bCs/>
          <w:color w:val="auto"/>
          <w:highlight w:val="none"/>
        </w:rPr>
      </w:pPr>
      <w:r>
        <w:rPr>
          <w:rFonts w:hint="eastAsia"/>
          <w:b/>
          <w:color w:val="auto"/>
          <w:highlight w:val="none"/>
        </w:rPr>
        <w:t>4.0.7</w:t>
      </w:r>
      <w:r>
        <w:rPr>
          <w:rFonts w:hint="eastAsia"/>
          <w:color w:val="auto"/>
          <w:highlight w:val="none"/>
        </w:rPr>
        <w:t xml:space="preserve">  </w:t>
      </w:r>
      <w:r>
        <w:rPr>
          <w:rFonts w:hint="eastAsia"/>
          <w:bCs/>
          <w:color w:val="auto"/>
          <w:highlight w:val="none"/>
        </w:rPr>
        <w:t>围护墙</w:t>
      </w:r>
      <w:bookmarkStart w:id="22" w:name="_Hlk511920603"/>
      <w:r>
        <w:rPr>
          <w:rFonts w:hint="eastAsia"/>
          <w:bCs/>
          <w:color w:val="auto"/>
          <w:highlight w:val="none"/>
        </w:rPr>
        <w:t>与保温、隔热、装饰一体化的</w:t>
      </w:r>
      <w:bookmarkEnd w:id="22"/>
      <w:r>
        <w:rPr>
          <w:rFonts w:hint="eastAsia"/>
          <w:bCs/>
          <w:color w:val="auto"/>
          <w:highlight w:val="none"/>
        </w:rPr>
        <w:t>应用比例应按下列公式计算：</w:t>
      </w:r>
    </w:p>
    <w:p>
      <w:pPr>
        <w:pStyle w:val="36"/>
        <w:ind w:right="85" w:firstLine="0" w:firstLineChars="0"/>
        <w:jc w:val="center"/>
        <w:rPr>
          <w:rFonts w:hint="eastAsia" w:asciiTheme="minorEastAsia" w:hAnsiTheme="minorEastAsia" w:cstheme="minorEastAsia"/>
          <w:bCs/>
          <w:color w:val="auto"/>
          <w:szCs w:val="28"/>
          <w:highlight w:val="none"/>
        </w:rPr>
      </w:pPr>
      <w:r>
        <w:rPr>
          <w:rFonts w:asciiTheme="minorEastAsia" w:hAnsiTheme="minorEastAsia" w:cstheme="minorEastAsia"/>
          <w:bCs/>
          <w:i/>
          <w:color w:val="auto"/>
          <w:szCs w:val="28"/>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cstheme="minorEastAsia"/>
          <w:bCs/>
          <w:i/>
          <w:color w:val="auto"/>
          <w:szCs w:val="28"/>
          <w:highlight w:val="none"/>
          <w:vertAlign w:val="subscript"/>
        </w:rPr>
        <w:t>2b1</w:t>
      </w:r>
      <w:r>
        <w:rPr>
          <w:rFonts w:hint="eastAsia" w:asciiTheme="minorEastAsia" w:hAnsiTheme="minorEastAsia" w:cstheme="minorEastAsia"/>
          <w:bCs/>
          <w:color w:val="auto"/>
          <w:szCs w:val="28"/>
          <w:highlight w:val="none"/>
        </w:rPr>
        <w:t>=</w:t>
      </w:r>
      <w:r>
        <w:rPr>
          <w:rFonts w:hint="eastAsia" w:asciiTheme="minorEastAsia" w:hAnsiTheme="minorEastAsia" w:cstheme="minorEastAsia"/>
          <w:bCs/>
          <w:i/>
          <w:color w:val="auto"/>
          <w:szCs w:val="28"/>
          <w:highlight w:val="none"/>
        </w:rPr>
        <w:t>A</w:t>
      </w:r>
      <w:r>
        <w:rPr>
          <w:rFonts w:hint="eastAsia" w:asciiTheme="minorEastAsia" w:hAnsiTheme="minorEastAsia" w:cstheme="minorEastAsia"/>
          <w:bCs/>
          <w:i/>
          <w:color w:val="auto"/>
          <w:szCs w:val="28"/>
          <w:highlight w:val="none"/>
          <w:vertAlign w:val="subscript"/>
        </w:rPr>
        <w:t>2b1</w:t>
      </w:r>
      <w:r>
        <w:rPr>
          <w:rFonts w:hint="eastAsia" w:asciiTheme="minorEastAsia" w:hAnsiTheme="minorEastAsia" w:cstheme="minorEastAsia"/>
          <w:bCs/>
          <w:color w:val="auto"/>
          <w:szCs w:val="28"/>
          <w:highlight w:val="none"/>
        </w:rPr>
        <w:t>/</w:t>
      </w:r>
      <w:r>
        <w:rPr>
          <w:rFonts w:hint="eastAsia" w:asciiTheme="minorEastAsia" w:hAnsiTheme="minorEastAsia" w:cstheme="minorEastAsia"/>
          <w:bCs/>
          <w:i/>
          <w:color w:val="auto"/>
          <w:szCs w:val="28"/>
          <w:highlight w:val="none"/>
        </w:rPr>
        <w:t>A</w:t>
      </w:r>
      <w:r>
        <w:rPr>
          <w:rFonts w:hint="eastAsia" w:asciiTheme="minorEastAsia" w:hAnsiTheme="minorEastAsia" w:cstheme="minorEastAsia"/>
          <w:bCs/>
          <w:i/>
          <w:color w:val="auto"/>
          <w:szCs w:val="28"/>
          <w:highlight w:val="none"/>
          <w:vertAlign w:val="subscript"/>
        </w:rPr>
        <w:t>W2</w:t>
      </w:r>
      <w:r>
        <w:rPr>
          <w:rFonts w:hint="eastAsia" w:asciiTheme="minorEastAsia" w:hAnsiTheme="minorEastAsia" w:cstheme="minorEastAsia"/>
          <w:bCs/>
          <w:color w:val="auto"/>
          <w:szCs w:val="28"/>
          <w:highlight w:val="none"/>
        </w:rPr>
        <w:t>×100%</w:t>
      </w:r>
      <w:r>
        <w:rPr>
          <w:rFonts w:asciiTheme="minorEastAsia" w:hAnsiTheme="minorEastAsia" w:cstheme="minorEastAsia"/>
          <w:bCs/>
          <w:color w:val="auto"/>
          <w:szCs w:val="28"/>
          <w:highlight w:val="none"/>
        </w:rPr>
        <w:t xml:space="preserve">               (4.0.7)</w:t>
      </w:r>
    </w:p>
    <w:p>
      <w:pPr>
        <w:tabs>
          <w:tab w:val="left" w:pos="709"/>
        </w:tabs>
        <w:rPr>
          <w:rFonts w:hint="eastAsia"/>
          <w:bCs/>
          <w:color w:val="auto"/>
          <w:highlight w:val="none"/>
        </w:rPr>
      </w:pPr>
      <w:r>
        <w:rPr>
          <w:rFonts w:hint="eastAsia"/>
          <w:bCs/>
          <w:color w:val="auto"/>
          <w:highlight w:val="none"/>
        </w:rPr>
        <w:t>式中：</w:t>
      </w:r>
      <w:r>
        <w:rPr>
          <w:rFonts w:ascii="Times New Roman" w:hAnsi="Times New Roman" w:eastAsia="仿宋" w:cs="Times New Roman"/>
          <w:i/>
          <w:iCs/>
          <w:color w:val="auto"/>
          <w:kern w:val="0"/>
          <w:sz w:val="24"/>
          <w:highlight w:val="none"/>
        </w:rPr>
        <w:t>q</w:t>
      </w:r>
      <w:r>
        <w:rPr>
          <w:rFonts w:hint="eastAsia"/>
          <w:bCs/>
          <w:i/>
          <w:color w:val="auto"/>
          <w:highlight w:val="none"/>
          <w:vertAlign w:val="subscript"/>
        </w:rPr>
        <w:t>2b1</w:t>
      </w:r>
      <w:r>
        <w:rPr>
          <w:rFonts w:hint="eastAsia"/>
          <w:bCs/>
          <w:color w:val="auto"/>
          <w:highlight w:val="none"/>
        </w:rPr>
        <w:t>──围护墙与保温、隔热、装饰一体化的应用比例；</w:t>
      </w:r>
    </w:p>
    <w:p>
      <w:pPr>
        <w:tabs>
          <w:tab w:val="left" w:pos="709"/>
        </w:tabs>
        <w:jc w:val="left"/>
        <w:rPr>
          <w:rFonts w:hint="eastAsia"/>
          <w:bCs/>
          <w:color w:val="auto"/>
          <w:highlight w:val="none"/>
        </w:rPr>
      </w:pPr>
      <w:r>
        <w:rPr>
          <w:rFonts w:hint="eastAsia"/>
          <w:bCs/>
          <w:i/>
          <w:color w:val="auto"/>
          <w:highlight w:val="none"/>
        </w:rPr>
        <w:t xml:space="preserve">      A</w:t>
      </w:r>
      <w:r>
        <w:rPr>
          <w:rFonts w:hint="eastAsia"/>
          <w:bCs/>
          <w:i/>
          <w:color w:val="auto"/>
          <w:highlight w:val="none"/>
          <w:vertAlign w:val="subscript"/>
        </w:rPr>
        <w:t>2b1</w:t>
      </w:r>
      <w:r>
        <w:rPr>
          <w:rFonts w:hint="eastAsia"/>
          <w:bCs/>
          <w:color w:val="auto"/>
          <w:highlight w:val="none"/>
        </w:rPr>
        <w:t>──各楼层围护墙与保温、隔热、装饰一体化的墙面外表面积之和，计算时可不扣除门、窗及预留洞口等的面积；</w:t>
      </w:r>
    </w:p>
    <w:p>
      <w:pPr>
        <w:tabs>
          <w:tab w:val="left" w:pos="709"/>
        </w:tabs>
        <w:rPr>
          <w:rFonts w:hint="eastAsia"/>
          <w:bCs/>
          <w:color w:val="auto"/>
          <w:highlight w:val="none"/>
        </w:rPr>
      </w:pPr>
      <w:r>
        <w:rPr>
          <w:rFonts w:hint="eastAsia"/>
          <w:bCs/>
          <w:i/>
          <w:color w:val="auto"/>
          <w:highlight w:val="none"/>
        </w:rPr>
        <w:t xml:space="preserve">      A</w:t>
      </w:r>
      <w:r>
        <w:rPr>
          <w:rFonts w:hint="eastAsia"/>
          <w:bCs/>
          <w:i/>
          <w:color w:val="auto"/>
          <w:highlight w:val="none"/>
          <w:vertAlign w:val="subscript"/>
        </w:rPr>
        <w:t>W2</w:t>
      </w:r>
      <w:r>
        <w:rPr>
          <w:rFonts w:hint="eastAsia"/>
          <w:bCs/>
          <w:color w:val="auto"/>
          <w:highlight w:val="none"/>
        </w:rPr>
        <w:t>──各楼层围护墙外表面积总面积，计算时可不扣除门、窗及预留洞口等的面积。</w:t>
      </w:r>
    </w:p>
    <w:p>
      <w:pPr>
        <w:rPr>
          <w:rFonts w:hint="eastAsia"/>
          <w:bCs/>
          <w:color w:val="auto"/>
          <w:highlight w:val="none"/>
        </w:rPr>
      </w:pPr>
      <w:r>
        <w:rPr>
          <w:rFonts w:hint="eastAsia"/>
          <w:color w:val="auto"/>
          <w:highlight w:val="none"/>
        </w:rPr>
        <w:t xml:space="preserve">注：1 </w:t>
      </w:r>
      <w:r>
        <w:rPr>
          <w:rFonts w:hint="eastAsia"/>
          <w:bCs/>
          <w:color w:val="auto"/>
          <w:highlight w:val="none"/>
        </w:rPr>
        <w:t>外表面积计算，宽度按实际宽度，高度按实际高度计算；</w:t>
      </w:r>
    </w:p>
    <w:p>
      <w:pPr>
        <w:ind w:firstLine="560" w:firstLineChars="200"/>
        <w:rPr>
          <w:rFonts w:hint="eastAsia"/>
          <w:color w:val="auto"/>
          <w:highlight w:val="none"/>
        </w:rPr>
      </w:pPr>
      <w:bookmarkStart w:id="23" w:name="_Toc20825"/>
      <w:r>
        <w:rPr>
          <w:rFonts w:hint="eastAsia"/>
          <w:bCs/>
          <w:color w:val="auto"/>
          <w:highlight w:val="none"/>
        </w:rPr>
        <w:t>2 计算范围</w:t>
      </w:r>
      <w:r>
        <w:rPr>
          <w:rFonts w:hint="eastAsia"/>
          <w:color w:val="auto"/>
          <w:highlight w:val="none"/>
        </w:rPr>
        <w:t>为保温线所包围的墙体与</w:t>
      </w:r>
      <w:r>
        <w:rPr>
          <w:rFonts w:hint="eastAsia"/>
          <w:bCs/>
          <w:color w:val="auto"/>
          <w:highlight w:val="none"/>
        </w:rPr>
        <w:t>保温、隔热、装饰一体化</w:t>
      </w:r>
      <w:r>
        <w:rPr>
          <w:rFonts w:hint="eastAsia"/>
          <w:color w:val="auto"/>
          <w:highlight w:val="none"/>
        </w:rPr>
        <w:t>；</w:t>
      </w:r>
      <w:bookmarkEnd w:id="23"/>
    </w:p>
    <w:p>
      <w:pPr>
        <w:ind w:firstLine="560" w:firstLineChars="200"/>
        <w:rPr>
          <w:rFonts w:hint="eastAsia"/>
          <w:bCs/>
          <w:color w:val="auto"/>
          <w:highlight w:val="none"/>
        </w:rPr>
      </w:pPr>
      <w:bookmarkStart w:id="24" w:name="_Toc26883"/>
      <w:r>
        <w:rPr>
          <w:rFonts w:hint="eastAsia"/>
          <w:bCs/>
          <w:color w:val="auto"/>
          <w:highlight w:val="none"/>
        </w:rPr>
        <w:t>3 围护墙包括承重围护墙、非承重围护墙、外围柱、外围梁等；</w:t>
      </w:r>
      <w:bookmarkEnd w:id="24"/>
    </w:p>
    <w:p>
      <w:pPr>
        <w:ind w:firstLine="560" w:firstLineChars="200"/>
        <w:rPr>
          <w:rFonts w:hint="eastAsia"/>
          <w:bCs/>
          <w:color w:val="auto"/>
          <w:highlight w:val="none"/>
        </w:rPr>
      </w:pPr>
      <w:r>
        <w:rPr>
          <w:rFonts w:hint="eastAsia"/>
          <w:bCs/>
          <w:color w:val="auto"/>
          <w:highlight w:val="none"/>
        </w:rPr>
        <w:t>4</w:t>
      </w:r>
      <w:r>
        <w:rPr>
          <w:rFonts w:hint="eastAsia"/>
          <w:bCs/>
          <w:color w:val="auto"/>
          <w:highlight w:val="none"/>
          <w:lang w:val="en-US" w:eastAsia="zh-CN"/>
        </w:rPr>
        <w:t xml:space="preserve"> 围护墙</w:t>
      </w:r>
      <w:r>
        <w:rPr>
          <w:rFonts w:hint="eastAsia"/>
          <w:bCs/>
          <w:color w:val="auto"/>
          <w:highlight w:val="none"/>
        </w:rPr>
        <w:t>采用单元式幕墙时，可按幕墙总面积计入A</w:t>
      </w:r>
      <w:r>
        <w:rPr>
          <w:rFonts w:hint="eastAsia"/>
          <w:bCs/>
          <w:color w:val="auto"/>
          <w:highlight w:val="none"/>
          <w:vertAlign w:val="subscript"/>
        </w:rPr>
        <w:t>2b1</w:t>
      </w:r>
      <w:r>
        <w:rPr>
          <w:rFonts w:hint="eastAsia"/>
          <w:bCs/>
          <w:color w:val="auto"/>
          <w:highlight w:val="none"/>
        </w:rPr>
        <w:t>；非单元式幕墙可按幕墙总面积的</w:t>
      </w:r>
      <w:r>
        <w:rPr>
          <w:rFonts w:hint="eastAsia"/>
          <w:bCs/>
          <w:color w:val="auto"/>
          <w:highlight w:val="none"/>
          <w:lang w:val="en-US" w:eastAsia="zh-CN"/>
        </w:rPr>
        <w:t>75</w:t>
      </w:r>
      <w:r>
        <w:rPr>
          <w:rFonts w:hint="eastAsia"/>
          <w:bCs/>
          <w:color w:val="auto"/>
          <w:highlight w:val="none"/>
        </w:rPr>
        <w:t>%计入A</w:t>
      </w:r>
      <w:r>
        <w:rPr>
          <w:rFonts w:hint="eastAsia"/>
          <w:bCs/>
          <w:color w:val="auto"/>
          <w:highlight w:val="none"/>
          <w:vertAlign w:val="subscript"/>
        </w:rPr>
        <w:t>2b1</w:t>
      </w:r>
      <w:r>
        <w:rPr>
          <w:rFonts w:hint="eastAsia"/>
          <w:bCs/>
          <w:color w:val="auto"/>
          <w:highlight w:val="none"/>
        </w:rPr>
        <w:t>；</w:t>
      </w:r>
    </w:p>
    <w:p>
      <w:pPr>
        <w:ind w:firstLine="560" w:firstLineChars="200"/>
        <w:rPr>
          <w:rFonts w:hint="eastAsia"/>
          <w:bCs/>
          <w:color w:val="auto"/>
          <w:highlight w:val="none"/>
        </w:rPr>
      </w:pPr>
      <w:r>
        <w:rPr>
          <w:rFonts w:hint="eastAsia"/>
          <w:bCs/>
          <w:color w:val="auto"/>
          <w:highlight w:val="none"/>
        </w:rPr>
        <w:t>5 窗顶至梁底(或楼板底)且窗台高度不大于300mm的建筑成品外窗可按总面积的40%计入A</w:t>
      </w:r>
      <w:r>
        <w:rPr>
          <w:rFonts w:hint="eastAsia"/>
          <w:bCs/>
          <w:color w:val="auto"/>
          <w:highlight w:val="none"/>
          <w:vertAlign w:val="subscript"/>
        </w:rPr>
        <w:t>2b1</w:t>
      </w:r>
      <w:r>
        <w:rPr>
          <w:rFonts w:hint="eastAsia"/>
          <w:bCs/>
          <w:color w:val="auto"/>
          <w:highlight w:val="none"/>
        </w:rPr>
        <w:t>；</w:t>
      </w:r>
    </w:p>
    <w:p>
      <w:pPr>
        <w:ind w:firstLine="560" w:firstLineChars="200"/>
        <w:rPr>
          <w:rFonts w:hint="eastAsia"/>
          <w:color w:val="auto"/>
          <w:highlight w:val="none"/>
        </w:rPr>
      </w:pPr>
      <w:r>
        <w:rPr>
          <w:rFonts w:hint="eastAsia"/>
          <w:bCs/>
          <w:color w:val="auto"/>
          <w:highlight w:val="none"/>
        </w:rPr>
        <w:t>6 采用墙体、保温、隔热一体化，</w:t>
      </w:r>
      <w:r>
        <w:rPr>
          <w:rFonts w:hint="eastAsia"/>
          <w:color w:val="auto"/>
          <w:highlight w:val="none"/>
        </w:rPr>
        <w:t>未采用</w:t>
      </w:r>
      <w:r>
        <w:rPr>
          <w:rFonts w:hint="eastAsia"/>
          <w:bCs/>
          <w:color w:val="auto"/>
          <w:highlight w:val="none"/>
        </w:rPr>
        <w:t>装饰</w:t>
      </w:r>
      <w:r>
        <w:rPr>
          <w:rFonts w:hint="eastAsia"/>
          <w:color w:val="auto"/>
          <w:highlight w:val="none"/>
        </w:rPr>
        <w:t>一体化时，将</w:t>
      </w:r>
      <w:r>
        <w:rPr>
          <w:rFonts w:hint="eastAsia"/>
          <w:bCs/>
          <w:color w:val="auto"/>
          <w:highlight w:val="none"/>
        </w:rPr>
        <w:t>应用比例</w:t>
      </w:r>
      <w:r>
        <w:rPr>
          <w:rFonts w:hint="eastAsia"/>
          <w:color w:val="auto"/>
          <w:highlight w:val="none"/>
        </w:rPr>
        <w:t>折减0.85。</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条文说明：4.0.6、4.0.7</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非现场砌筑围护墙包括非承重预制混凝土墙板、轻质墙板等各种大中型板材、木骨架或轻钢骨架复合墙体等，应满足工厂生产、现场安装的要求。外围护构件不包括煤矸石砖、空心砖、加气混凝土砌块等块材砌筑墙体以及二次填充混凝土或砂浆的墙体。</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所指围护墙包括了承重围护墙和非承重围护墙（如图1所示）。围护墙采用墙体与保温、隔热、装饰一体化强调的是“集成性”，通过集成，满足结构、保温隔热、装饰要求</w:t>
      </w:r>
      <w:r>
        <w:rPr>
          <w:rFonts w:hint="eastAsia" w:ascii="楷体" w:hAnsi="楷体" w:eastAsia="楷体" w:cs="楷体"/>
          <w:b w:val="0"/>
          <w:bCs w:val="0"/>
          <w:i w:val="0"/>
          <w:iCs w:val="0"/>
          <w:color w:val="auto"/>
          <w:highlight w:val="none"/>
          <w:lang w:eastAsia="zh-CN"/>
        </w:rPr>
        <w:t>，即</w:t>
      </w:r>
      <w:r>
        <w:rPr>
          <w:rFonts w:hint="eastAsia" w:ascii="楷体" w:hAnsi="楷体" w:eastAsia="楷体" w:cs="楷体"/>
          <w:b w:val="0"/>
          <w:bCs w:val="0"/>
          <w:i w:val="0"/>
          <w:iCs w:val="0"/>
          <w:color w:val="auto"/>
          <w:highlight w:val="none"/>
        </w:rPr>
        <w:t>一体化集成设计</w:t>
      </w:r>
      <w:r>
        <w:rPr>
          <w:rFonts w:hint="eastAsia" w:ascii="楷体" w:hAnsi="楷体" w:eastAsia="楷体" w:cs="楷体"/>
          <w:b w:val="0"/>
          <w:bCs w:val="0"/>
          <w:i w:val="0"/>
          <w:iCs w:val="0"/>
          <w:color w:val="auto"/>
          <w:highlight w:val="none"/>
          <w:lang w:eastAsia="zh-CN"/>
        </w:rPr>
        <w:t>、一体化生产施工，</w:t>
      </w:r>
      <w:r>
        <w:rPr>
          <w:rFonts w:hint="eastAsia" w:ascii="楷体" w:hAnsi="楷体" w:eastAsia="楷体" w:cs="楷体"/>
          <w:b w:val="0"/>
          <w:bCs w:val="0"/>
          <w:i w:val="0"/>
          <w:iCs w:val="0"/>
          <w:color w:val="auto"/>
          <w:highlight w:val="none"/>
        </w:rPr>
        <w:t>实现多功能一体的“围护墙系统”。</w:t>
      </w:r>
      <w:r>
        <w:rPr>
          <w:rFonts w:hint="eastAsia" w:ascii="楷体" w:hAnsi="楷体" w:eastAsia="楷体" w:cs="楷体"/>
          <w:b w:val="0"/>
          <w:bCs w:val="0"/>
          <w:i w:val="0"/>
          <w:iCs w:val="0"/>
          <w:color w:val="auto"/>
          <w:highlight w:val="none"/>
          <w:lang w:val="en-US" w:eastAsia="zh-CN"/>
        </w:rPr>
        <w:t>幕墙、建筑成品外窗具有集成功能，按4.0.7条进行计算，不再计入4.0.6条进行重复计算。</w:t>
      </w:r>
      <w:r>
        <w:rPr>
          <w:rFonts w:hint="eastAsia" w:ascii="楷体" w:hAnsi="楷体" w:eastAsia="楷体" w:cs="楷体"/>
          <w:b w:val="0"/>
          <w:bCs w:val="0"/>
          <w:i w:val="0"/>
          <w:iCs w:val="0"/>
          <w:color w:val="auto"/>
          <w:highlight w:val="none"/>
        </w:rPr>
        <w:t>结合当前工程实际，外围护墙采用墙体与保温、隔热一体化，而未集成装饰时，计算时按照本项在评分表中的应用比例折减0.85。</w:t>
      </w:r>
      <w:r>
        <w:rPr>
          <w:rFonts w:hint="eastAsia" w:ascii="楷体" w:hAnsi="楷体" w:eastAsia="楷体" w:cs="楷体"/>
          <w:b w:val="0"/>
          <w:bCs w:val="0"/>
          <w:i w:val="0"/>
          <w:iCs w:val="0"/>
          <w:color w:val="auto"/>
          <w:highlight w:val="none"/>
          <w:lang w:val="en-US" w:eastAsia="zh-CN"/>
        </w:rPr>
        <w:t>对</w:t>
      </w:r>
      <w:r>
        <w:rPr>
          <w:rFonts w:hint="eastAsia" w:ascii="楷体" w:hAnsi="楷体" w:eastAsia="楷体" w:cs="楷体"/>
          <w:b w:val="0"/>
          <w:bCs w:val="0"/>
          <w:i w:val="0"/>
          <w:iCs w:val="0"/>
          <w:color w:val="auto"/>
          <w:highlight w:val="none"/>
        </w:rPr>
        <w:t>柱、梁采取的保温、隔热、装饰一体化做法，应予以计算。</w:t>
      </w:r>
    </w:p>
    <w:p>
      <w:pPr>
        <w:pStyle w:val="46"/>
        <w:rPr>
          <w:rFonts w:hint="eastAsia" w:ascii="楷体" w:hAnsi="楷体" w:eastAsia="楷体" w:cs="楷体"/>
          <w:b w:val="0"/>
          <w:bCs w:val="0"/>
          <w:i w:val="0"/>
          <w:iCs w:val="0"/>
          <w:color w:val="auto"/>
          <w:highlight w:val="none"/>
        </w:rPr>
      </w:pPr>
    </w:p>
    <w:p>
      <w:pPr>
        <w:pStyle w:val="46"/>
        <w:jc w:val="center"/>
        <w:rPr>
          <w:rFonts w:hint="eastAsia" w:ascii="楷体" w:hAnsi="楷体" w:eastAsia="楷体" w:cs="楷体"/>
          <w:b/>
          <w:bCs/>
          <w:i w:val="0"/>
          <w:iCs w:val="0"/>
          <w:color w:val="auto"/>
          <w:highlight w:val="none"/>
        </w:rPr>
      </w:pPr>
      <w:r>
        <w:rPr>
          <w:rFonts w:hint="eastAsia" w:ascii="楷体" w:hAnsi="楷体" w:eastAsia="楷体" w:cs="楷体"/>
          <w:b/>
          <w:bCs/>
          <w:i w:val="0"/>
          <w:iCs w:val="0"/>
          <w:color w:val="auto"/>
          <w:highlight w:val="none"/>
        </w:rPr>
        <w:drawing>
          <wp:inline distT="0" distB="0" distL="114300" distR="114300">
            <wp:extent cx="5902325" cy="2501900"/>
            <wp:effectExtent l="0" t="0" r="3175" b="1270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stretch>
                      <a:fillRect/>
                    </a:stretch>
                  </pic:blipFill>
                  <pic:spPr>
                    <a:xfrm>
                      <a:off x="0" y="0"/>
                      <a:ext cx="5902325" cy="2501900"/>
                    </a:xfrm>
                    <a:prstGeom prst="rect">
                      <a:avLst/>
                    </a:prstGeom>
                    <a:noFill/>
                    <a:ln>
                      <a:noFill/>
                    </a:ln>
                  </pic:spPr>
                </pic:pic>
              </a:graphicData>
            </a:graphic>
          </wp:inline>
        </w:drawing>
      </w:r>
    </w:p>
    <w:p>
      <w:pPr>
        <w:pStyle w:val="46"/>
        <w:jc w:val="center"/>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图1 外围护计算示意图</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非承重围护墙、围护墙外表面积总面积计算时，只有当门窗洞口是预制部品部件的一部分，才可以不扣除门、窗及预留洞口等的面积，</w:t>
      </w:r>
      <w:bookmarkStart w:id="25" w:name="_Hlk175600800"/>
      <w:r>
        <w:rPr>
          <w:rFonts w:hint="eastAsia" w:ascii="楷体" w:hAnsi="楷体" w:eastAsia="楷体" w:cs="楷体"/>
          <w:b w:val="0"/>
          <w:bCs w:val="0"/>
          <w:i w:val="0"/>
          <w:iCs w:val="0"/>
          <w:color w:val="auto"/>
          <w:highlight w:val="none"/>
        </w:rPr>
        <w:t>否则门窗洞口面积应计入分母，不计入分子</w:t>
      </w:r>
      <w:bookmarkEnd w:id="25"/>
      <w:r>
        <w:rPr>
          <w:rFonts w:hint="eastAsia" w:ascii="楷体" w:hAnsi="楷体" w:eastAsia="楷体" w:cs="楷体"/>
          <w:b w:val="0"/>
          <w:bCs w:val="0"/>
          <w:i w:val="0"/>
          <w:iCs w:val="0"/>
          <w:color w:val="auto"/>
          <w:highlight w:val="none"/>
        </w:rPr>
        <w:t>。可不扣除门、窗及预留洞口等的面积情况如图2、图3所示：</w:t>
      </w:r>
    </w:p>
    <w:p>
      <w:pPr>
        <w:pStyle w:val="46"/>
        <w:jc w:val="center"/>
        <w:rPr>
          <w:rFonts w:hint="eastAsia" w:ascii="楷体" w:hAnsi="楷体" w:eastAsia="楷体" w:cs="楷体"/>
          <w:b/>
          <w:bCs/>
          <w:i w:val="0"/>
          <w:iCs w:val="0"/>
          <w:color w:val="auto"/>
          <w:highlight w:val="none"/>
        </w:rPr>
      </w:pPr>
      <w:r>
        <w:rPr>
          <w:rFonts w:hint="eastAsia" w:ascii="楷体" w:hAnsi="楷体" w:eastAsia="楷体" w:cs="楷体"/>
          <w:b/>
          <w:bCs/>
          <w:i w:val="0"/>
          <w:iCs w:val="0"/>
          <w:color w:val="auto"/>
          <w:highlight w:val="none"/>
        </w:rPr>
        <w:drawing>
          <wp:inline distT="0" distB="0" distL="0" distR="0">
            <wp:extent cx="4972685" cy="2105025"/>
            <wp:effectExtent l="0" t="0" r="18415" b="952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13" cstate="print"/>
                    <a:srcRect/>
                    <a:stretch>
                      <a:fillRect/>
                    </a:stretch>
                  </pic:blipFill>
                  <pic:spPr>
                    <a:xfrm>
                      <a:off x="0" y="0"/>
                      <a:ext cx="4972716" cy="2105247"/>
                    </a:xfrm>
                    <a:prstGeom prst="rect">
                      <a:avLst/>
                    </a:prstGeom>
                    <a:noFill/>
                    <a:ln w="9525">
                      <a:noFill/>
                      <a:miter lim="800000"/>
                      <a:headEnd/>
                      <a:tailEnd/>
                    </a:ln>
                  </pic:spPr>
                </pic:pic>
              </a:graphicData>
            </a:graphic>
          </wp:inline>
        </w:drawing>
      </w:r>
    </w:p>
    <w:p>
      <w:pPr>
        <w:pStyle w:val="46"/>
        <w:jc w:val="center"/>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图2  不扣除门、窗及预留洞口等的面积情形一</w:t>
      </w:r>
    </w:p>
    <w:p>
      <w:pPr>
        <w:pStyle w:val="46"/>
        <w:jc w:val="center"/>
        <w:rPr>
          <w:rFonts w:hint="eastAsia" w:ascii="楷体" w:hAnsi="楷体" w:eastAsia="楷体" w:cs="楷体"/>
          <w:b/>
          <w:bCs/>
          <w:i w:val="0"/>
          <w:iCs w:val="0"/>
          <w:color w:val="auto"/>
          <w:highlight w:val="none"/>
        </w:rPr>
      </w:pPr>
      <w:r>
        <w:rPr>
          <w:rFonts w:hint="eastAsia" w:ascii="楷体" w:hAnsi="楷体" w:eastAsia="楷体" w:cs="楷体"/>
          <w:b/>
          <w:bCs/>
          <w:i w:val="0"/>
          <w:iCs w:val="0"/>
          <w:color w:val="auto"/>
          <w:highlight w:val="none"/>
        </w:rPr>
        <w:drawing>
          <wp:inline distT="0" distB="0" distL="0" distR="0">
            <wp:extent cx="4979035" cy="2158365"/>
            <wp:effectExtent l="0" t="0" r="12065" b="1333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noChangeArrowheads="1"/>
                    </pic:cNvPicPr>
                  </pic:nvPicPr>
                  <pic:blipFill>
                    <a:blip r:embed="rId14" cstate="print"/>
                    <a:srcRect/>
                    <a:stretch>
                      <a:fillRect/>
                    </a:stretch>
                  </pic:blipFill>
                  <pic:spPr>
                    <a:xfrm>
                      <a:off x="0" y="0"/>
                      <a:ext cx="4993982" cy="2164761"/>
                    </a:xfrm>
                    <a:prstGeom prst="rect">
                      <a:avLst/>
                    </a:prstGeom>
                    <a:noFill/>
                    <a:ln w="9525">
                      <a:noFill/>
                      <a:miter lim="800000"/>
                      <a:headEnd/>
                      <a:tailEnd/>
                    </a:ln>
                  </pic:spPr>
                </pic:pic>
              </a:graphicData>
            </a:graphic>
          </wp:inline>
        </w:drawing>
      </w:r>
    </w:p>
    <w:p>
      <w:pPr>
        <w:pStyle w:val="46"/>
        <w:jc w:val="center"/>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图3  不扣除门、窗及预留洞口等的面积情形二</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p>
    <w:p>
      <w:pPr>
        <w:rPr>
          <w:rFonts w:hint="eastAsia"/>
          <w:bCs/>
          <w:color w:val="auto"/>
          <w:highlight w:val="none"/>
        </w:rPr>
      </w:pPr>
      <w:r>
        <w:rPr>
          <w:b/>
          <w:color w:val="auto"/>
          <w:highlight w:val="none"/>
        </w:rPr>
        <w:t>4.0.8</w:t>
      </w:r>
      <w:r>
        <w:rPr>
          <w:color w:val="auto"/>
          <w:highlight w:val="none"/>
        </w:rPr>
        <w:t xml:space="preserve">  </w:t>
      </w:r>
      <w:r>
        <w:rPr>
          <w:rFonts w:hint="eastAsia"/>
          <w:bCs/>
          <w:color w:val="auto"/>
          <w:highlight w:val="none"/>
        </w:rPr>
        <w:t>保温装饰板的应用比例应按下列公式计算：</w:t>
      </w:r>
    </w:p>
    <w:p>
      <w:pPr>
        <w:pStyle w:val="36"/>
        <w:ind w:right="85" w:firstLine="0" w:firstLineChars="0"/>
        <w:jc w:val="center"/>
        <w:rPr>
          <w:rFonts w:hint="eastAsia" w:asciiTheme="minorEastAsia" w:hAnsiTheme="minorEastAsia" w:cstheme="minorEastAsia"/>
          <w:bCs/>
          <w:color w:val="auto"/>
          <w:szCs w:val="28"/>
          <w:highlight w:val="none"/>
        </w:rPr>
      </w:pPr>
      <w:r>
        <w:rPr>
          <w:rFonts w:asciiTheme="minorEastAsia" w:hAnsiTheme="minorEastAsia" w:cstheme="minorEastAsia"/>
          <w:bCs/>
          <w:i/>
          <w:color w:val="auto"/>
          <w:szCs w:val="28"/>
          <w:highlight w:val="none"/>
        </w:rPr>
        <w:t xml:space="preserve">        </w:t>
      </w:r>
      <w:r>
        <w:rPr>
          <w:rFonts w:ascii="Times New Roman" w:hAnsi="Times New Roman" w:eastAsia="仿宋" w:cs="Times New Roman"/>
          <w:i/>
          <w:iCs/>
          <w:color w:val="auto"/>
          <w:kern w:val="0"/>
          <w:sz w:val="24"/>
          <w:highlight w:val="none"/>
        </w:rPr>
        <w:t>q</w:t>
      </w:r>
      <w:r>
        <w:rPr>
          <w:rFonts w:asciiTheme="minorEastAsia" w:hAnsiTheme="minorEastAsia" w:cstheme="minorEastAsia"/>
          <w:bCs/>
          <w:i/>
          <w:color w:val="auto"/>
          <w:szCs w:val="28"/>
          <w:highlight w:val="none"/>
          <w:vertAlign w:val="subscript"/>
        </w:rPr>
        <w:t>2b2</w:t>
      </w:r>
      <w:r>
        <w:rPr>
          <w:rFonts w:asciiTheme="minorEastAsia" w:hAnsiTheme="minorEastAsia" w:cstheme="minorEastAsia"/>
          <w:bCs/>
          <w:color w:val="auto"/>
          <w:szCs w:val="28"/>
          <w:highlight w:val="none"/>
        </w:rPr>
        <w:t>=</w:t>
      </w:r>
      <w:r>
        <w:rPr>
          <w:rFonts w:asciiTheme="minorEastAsia" w:hAnsiTheme="minorEastAsia" w:cstheme="minorEastAsia"/>
          <w:bCs/>
          <w:i/>
          <w:color w:val="auto"/>
          <w:szCs w:val="28"/>
          <w:highlight w:val="none"/>
        </w:rPr>
        <w:t>A</w:t>
      </w:r>
      <w:r>
        <w:rPr>
          <w:rFonts w:asciiTheme="minorEastAsia" w:hAnsiTheme="minorEastAsia" w:cstheme="minorEastAsia"/>
          <w:bCs/>
          <w:i/>
          <w:color w:val="auto"/>
          <w:szCs w:val="28"/>
          <w:highlight w:val="none"/>
          <w:vertAlign w:val="subscript"/>
        </w:rPr>
        <w:t>2b2</w:t>
      </w:r>
      <w:r>
        <w:rPr>
          <w:rFonts w:asciiTheme="minorEastAsia" w:hAnsiTheme="minorEastAsia" w:cstheme="minorEastAsia"/>
          <w:bCs/>
          <w:color w:val="auto"/>
          <w:szCs w:val="28"/>
          <w:highlight w:val="none"/>
        </w:rPr>
        <w:t>/</w:t>
      </w:r>
      <w:r>
        <w:rPr>
          <w:rFonts w:asciiTheme="minorEastAsia" w:hAnsiTheme="minorEastAsia" w:cstheme="minorEastAsia"/>
          <w:bCs/>
          <w:i/>
          <w:color w:val="auto"/>
          <w:szCs w:val="28"/>
          <w:highlight w:val="none"/>
        </w:rPr>
        <w:t>A</w:t>
      </w:r>
      <w:r>
        <w:rPr>
          <w:rFonts w:asciiTheme="minorEastAsia" w:hAnsiTheme="minorEastAsia" w:cstheme="minorEastAsia"/>
          <w:bCs/>
          <w:i/>
          <w:color w:val="auto"/>
          <w:szCs w:val="28"/>
          <w:highlight w:val="none"/>
          <w:vertAlign w:val="subscript"/>
        </w:rPr>
        <w:t>W2</w:t>
      </w:r>
      <w:r>
        <w:rPr>
          <w:rFonts w:hint="eastAsia" w:asciiTheme="minorEastAsia" w:hAnsiTheme="minorEastAsia" w:cstheme="minorEastAsia"/>
          <w:bCs/>
          <w:color w:val="auto"/>
          <w:szCs w:val="28"/>
          <w:highlight w:val="none"/>
        </w:rPr>
        <w:t>×</w:t>
      </w:r>
      <w:r>
        <w:rPr>
          <w:rFonts w:asciiTheme="minorEastAsia" w:hAnsiTheme="minorEastAsia" w:cstheme="minorEastAsia"/>
          <w:bCs/>
          <w:color w:val="auto"/>
          <w:szCs w:val="28"/>
          <w:highlight w:val="none"/>
        </w:rPr>
        <w:t>100%                (4.0.8)</w:t>
      </w:r>
    </w:p>
    <w:p>
      <w:pPr>
        <w:tabs>
          <w:tab w:val="left" w:pos="709"/>
        </w:tabs>
        <w:rPr>
          <w:rFonts w:hint="eastAsia"/>
          <w:bCs/>
          <w:color w:val="auto"/>
          <w:highlight w:val="none"/>
        </w:rPr>
      </w:pPr>
      <w:r>
        <w:rPr>
          <w:rFonts w:hint="eastAsia"/>
          <w:bCs/>
          <w:color w:val="auto"/>
          <w:highlight w:val="none"/>
        </w:rPr>
        <w:t>式中：</w:t>
      </w:r>
      <w:r>
        <w:rPr>
          <w:rFonts w:ascii="Times New Roman" w:hAnsi="Times New Roman" w:eastAsia="仿宋" w:cs="Times New Roman"/>
          <w:i/>
          <w:iCs/>
          <w:color w:val="auto"/>
          <w:kern w:val="0"/>
          <w:sz w:val="24"/>
          <w:highlight w:val="none"/>
        </w:rPr>
        <w:t>q</w:t>
      </w:r>
      <w:r>
        <w:rPr>
          <w:bCs/>
          <w:i/>
          <w:color w:val="auto"/>
          <w:highlight w:val="none"/>
          <w:vertAlign w:val="subscript"/>
        </w:rPr>
        <w:t>2b2</w:t>
      </w:r>
      <w:r>
        <w:rPr>
          <w:rFonts w:hint="eastAsia"/>
          <w:bCs/>
          <w:color w:val="auto"/>
          <w:highlight w:val="none"/>
        </w:rPr>
        <w:t>──保温装饰板的应用比例；</w:t>
      </w:r>
    </w:p>
    <w:p>
      <w:pPr>
        <w:tabs>
          <w:tab w:val="left" w:pos="709"/>
        </w:tabs>
        <w:jc w:val="left"/>
        <w:rPr>
          <w:rFonts w:hint="eastAsia"/>
          <w:bCs/>
          <w:color w:val="auto"/>
          <w:highlight w:val="none"/>
        </w:rPr>
      </w:pPr>
      <w:r>
        <w:rPr>
          <w:bCs/>
          <w:i/>
          <w:color w:val="auto"/>
          <w:highlight w:val="none"/>
        </w:rPr>
        <w:t xml:space="preserve">      A</w:t>
      </w:r>
      <w:r>
        <w:rPr>
          <w:bCs/>
          <w:i/>
          <w:color w:val="auto"/>
          <w:highlight w:val="none"/>
          <w:vertAlign w:val="subscript"/>
        </w:rPr>
        <w:t>2b2</w:t>
      </w:r>
      <w:r>
        <w:rPr>
          <w:rFonts w:hint="eastAsia"/>
          <w:bCs/>
          <w:color w:val="auto"/>
          <w:highlight w:val="none"/>
        </w:rPr>
        <w:t>──各楼层保温装饰板外表面积之和，计算时可不扣除门、窗及预留洞口等的面积。</w:t>
      </w:r>
    </w:p>
    <w:p>
      <w:pPr>
        <w:ind w:firstLine="560" w:firstLineChars="200"/>
        <w:rPr>
          <w:rFonts w:hint="eastAsia" w:ascii="宋体" w:hAnsi="宋体" w:eastAsia="宋体"/>
          <w:color w:val="auto"/>
          <w:highlight w:val="none"/>
        </w:rPr>
      </w:pPr>
      <w:r>
        <w:rPr>
          <w:rFonts w:hint="eastAsia"/>
          <w:color w:val="auto"/>
          <w:highlight w:val="none"/>
        </w:rPr>
        <w:t>注：</w:t>
      </w:r>
      <w:r>
        <w:rPr>
          <w:rFonts w:hint="eastAsia" w:ascii="宋体" w:hAnsi="宋体" w:eastAsia="宋体"/>
          <w:color w:val="auto"/>
          <w:highlight w:val="none"/>
        </w:rPr>
        <w:t>所有种类外围护墙的保温装饰板均可执行</w:t>
      </w:r>
      <w:r>
        <w:rPr>
          <w:rFonts w:ascii="宋体" w:hAnsi="宋体" w:eastAsia="宋体"/>
          <w:color w:val="auto"/>
          <w:highlight w:val="none"/>
        </w:rPr>
        <w:t>4.0.8条及对应评分，</w:t>
      </w:r>
      <w:r>
        <w:rPr>
          <w:rFonts w:hint="eastAsia" w:ascii="宋体" w:hAnsi="宋体" w:eastAsia="宋体"/>
          <w:color w:val="auto"/>
          <w:highlight w:val="none"/>
        </w:rPr>
        <w:t>但对于预制混凝土墙或非现场砌筑墙体，计算公式按4.0.8条，应用比例计算结果折减0.85后可按4.0.7条的对应比例及评分。</w:t>
      </w:r>
    </w:p>
    <w:p>
      <w:pPr>
        <w:rPr>
          <w:rFonts w:hint="eastAsia"/>
          <w:color w:val="auto"/>
          <w:highlight w:val="none"/>
        </w:rPr>
      </w:pPr>
      <w:r>
        <w:rPr>
          <w:rFonts w:hint="eastAsia"/>
          <w:b/>
          <w:color w:val="auto"/>
          <w:highlight w:val="none"/>
        </w:rPr>
        <w:t>4.0.9</w:t>
      </w:r>
      <w:r>
        <w:rPr>
          <w:rFonts w:hint="eastAsia"/>
          <w:color w:val="auto"/>
          <w:highlight w:val="none"/>
        </w:rPr>
        <w:t xml:space="preserve">  内隔墙中非现场砌筑墙体的应用比例应按下列公式计算：</w:t>
      </w:r>
    </w:p>
    <w:p>
      <w:pPr>
        <w:pStyle w:val="36"/>
        <w:ind w:right="85" w:firstLine="0" w:firstLineChars="0"/>
        <w:jc w:val="center"/>
        <w:rPr>
          <w:rFonts w:hint="eastAsia" w:asciiTheme="minorEastAsia" w:hAnsiTheme="minorEastAsia" w:cstheme="minorEastAsia"/>
          <w:color w:val="auto"/>
          <w:szCs w:val="28"/>
          <w:highlight w:val="none"/>
        </w:rPr>
      </w:pPr>
      <w:r>
        <w:rPr>
          <w:rFonts w:hint="eastAsia" w:asciiTheme="minorEastAsia" w:hAnsiTheme="minorEastAsia" w:cstheme="minorEastAsia"/>
          <w:i/>
          <w:color w:val="auto"/>
          <w:szCs w:val="28"/>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cstheme="minorEastAsia"/>
          <w:i/>
          <w:color w:val="auto"/>
          <w:szCs w:val="28"/>
          <w:highlight w:val="none"/>
          <w:vertAlign w:val="subscript"/>
        </w:rPr>
        <w:t>2c</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2c</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W3</w:t>
      </w:r>
      <w:r>
        <w:rPr>
          <w:rFonts w:hint="eastAsia" w:asciiTheme="minorEastAsia" w:hAnsiTheme="minorEastAsia" w:cstheme="minorEastAsia"/>
          <w:color w:val="auto"/>
          <w:szCs w:val="28"/>
          <w:highlight w:val="none"/>
        </w:rPr>
        <w:t>×100%</w:t>
      </w:r>
      <w:r>
        <w:rPr>
          <w:rFonts w:hint="eastAsia" w:asciiTheme="minorEastAsia" w:hAnsiTheme="minorEastAsia" w:cstheme="minorEastAsia"/>
          <w:bCs/>
          <w:color w:val="auto"/>
          <w:szCs w:val="28"/>
          <w:highlight w:val="none"/>
        </w:rPr>
        <w:t xml:space="preserve">               </w:t>
      </w:r>
      <w:r>
        <w:rPr>
          <w:rFonts w:hint="eastAsia" w:asciiTheme="minorEastAsia" w:hAnsiTheme="minorEastAsia" w:cstheme="minorEastAsia"/>
          <w:color w:val="auto"/>
          <w:szCs w:val="28"/>
          <w:highlight w:val="none"/>
        </w:rPr>
        <w:t>(4.0.9)</w:t>
      </w:r>
    </w:p>
    <w:p>
      <w:pPr>
        <w:tabs>
          <w:tab w:val="left" w:pos="709"/>
        </w:tabs>
        <w:rPr>
          <w:rFonts w:hint="eastAsia"/>
          <w:color w:val="auto"/>
          <w:highlight w:val="none"/>
        </w:rPr>
      </w:pPr>
      <w:r>
        <w:rPr>
          <w:rFonts w:hint="eastAsia"/>
          <w:color w:val="auto"/>
          <w:highlight w:val="none"/>
        </w:rPr>
        <w:t>式中：</w:t>
      </w:r>
      <w:r>
        <w:rPr>
          <w:rFonts w:ascii="Times New Roman" w:hAnsi="Times New Roman" w:eastAsia="仿宋" w:cs="Times New Roman"/>
          <w:i/>
          <w:iCs/>
          <w:color w:val="auto"/>
          <w:kern w:val="0"/>
          <w:sz w:val="24"/>
          <w:highlight w:val="none"/>
        </w:rPr>
        <w:t>q</w:t>
      </w:r>
      <w:r>
        <w:rPr>
          <w:rFonts w:hint="eastAsia"/>
          <w:i/>
          <w:color w:val="auto"/>
          <w:highlight w:val="none"/>
          <w:vertAlign w:val="subscript"/>
        </w:rPr>
        <w:t>2c</w:t>
      </w:r>
      <w:r>
        <w:rPr>
          <w:rFonts w:hint="eastAsia"/>
          <w:color w:val="auto"/>
          <w:highlight w:val="none"/>
        </w:rPr>
        <w:t>──内隔墙中非现场砌筑墙体的应用比例；</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2c</w:t>
      </w:r>
      <w:r>
        <w:rPr>
          <w:rFonts w:hint="eastAsia"/>
          <w:color w:val="auto"/>
          <w:highlight w:val="none"/>
        </w:rPr>
        <w:t>──各楼层内隔墙中非现场砌筑墙体的墙面面积之和，计算时可不扣除门、窗及预留洞口等的面积；</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W3</w:t>
      </w:r>
      <w:r>
        <w:rPr>
          <w:rFonts w:hint="eastAsia"/>
          <w:color w:val="auto"/>
          <w:highlight w:val="none"/>
        </w:rPr>
        <w:t>──</w:t>
      </w:r>
      <w:bookmarkStart w:id="26" w:name="_Hlk512432353"/>
      <w:r>
        <w:rPr>
          <w:rFonts w:hint="eastAsia"/>
          <w:color w:val="auto"/>
          <w:highlight w:val="none"/>
        </w:rPr>
        <w:t>各楼层内隔墙墙面总面积，计算时可不扣除门、窗及预留洞口等的面积。</w:t>
      </w:r>
      <w:bookmarkEnd w:id="26"/>
    </w:p>
    <w:p>
      <w:pPr>
        <w:tabs>
          <w:tab w:val="left" w:pos="709"/>
        </w:tabs>
        <w:ind w:firstLine="560" w:firstLineChars="200"/>
        <w:rPr>
          <w:rFonts w:hint="eastAsia"/>
          <w:bCs/>
          <w:color w:val="auto"/>
          <w:highlight w:val="none"/>
        </w:rPr>
      </w:pPr>
      <w:r>
        <w:rPr>
          <w:rFonts w:hint="eastAsia"/>
          <w:bCs/>
          <w:color w:val="auto"/>
          <w:highlight w:val="none"/>
        </w:rPr>
        <w:t>注：1、</w:t>
      </w:r>
      <w:r>
        <w:rPr>
          <w:bCs/>
          <w:color w:val="auto"/>
          <w:highlight w:val="none"/>
        </w:rPr>
        <w:t>面积计算宽度、高度按实际宽度与高度计算。</w:t>
      </w:r>
    </w:p>
    <w:p>
      <w:pPr>
        <w:ind w:firstLine="560" w:firstLineChars="200"/>
        <w:rPr>
          <w:rFonts w:hint="eastAsia" w:eastAsiaTheme="minorEastAsia"/>
          <w:color w:val="auto"/>
          <w:highlight w:val="none"/>
          <w:shd w:val="clear" w:color="auto" w:fill="auto"/>
          <w:lang w:eastAsia="zh-CN"/>
        </w:rPr>
      </w:pPr>
      <w:r>
        <w:rPr>
          <w:rFonts w:hint="eastAsia"/>
          <w:bCs/>
          <w:color w:val="auto"/>
          <w:highlight w:val="none"/>
        </w:rPr>
        <w:t xml:space="preserve">    </w:t>
      </w:r>
      <w:r>
        <w:rPr>
          <w:rFonts w:hint="eastAsia"/>
          <w:bCs/>
          <w:color w:val="auto"/>
          <w:highlight w:val="none"/>
          <w:shd w:val="clear" w:color="auto" w:fill="auto"/>
        </w:rPr>
        <w:t>2、当内隔墙采用工厂生产轻骨架、现场机器人喷筑复合墙时，可按本条进行计算，采用人工喷筑时，应用比例</w:t>
      </w:r>
      <w:r>
        <w:rPr>
          <w:rFonts w:hint="eastAsia"/>
          <w:color w:val="auto"/>
          <w:highlight w:val="none"/>
          <w:shd w:val="clear" w:color="auto" w:fill="auto"/>
        </w:rPr>
        <w:t>折减0.5。</w:t>
      </w:r>
    </w:p>
    <w:p>
      <w:pPr>
        <w:pStyle w:val="46"/>
        <w:rPr>
          <w:rFonts w:hint="eastAsia" w:ascii="楷体" w:hAnsi="楷体" w:eastAsia="楷体" w:cs="楷体"/>
          <w:b w:val="0"/>
          <w:bCs w:val="0"/>
          <w:i w:val="0"/>
          <w:iCs w:val="0"/>
          <w:color w:val="auto"/>
          <w:szCs w:val="28"/>
          <w:highlight w:val="none"/>
          <w:shd w:val="clear" w:color="auto" w:fill="auto"/>
        </w:rPr>
      </w:pPr>
      <w:r>
        <w:rPr>
          <w:rFonts w:hint="eastAsia" w:ascii="楷体" w:hAnsi="楷体" w:eastAsia="楷体" w:cs="楷体"/>
          <w:b w:val="0"/>
          <w:bCs w:val="0"/>
          <w:i w:val="0"/>
          <w:iCs w:val="0"/>
          <w:color w:val="auto"/>
          <w:highlight w:val="none"/>
          <w:shd w:val="clear" w:color="auto" w:fill="auto"/>
        </w:rPr>
        <w:t>条文说明：4.0.9  随着技术的发展，出现了不同种类的轻骨架现场喷筑的墙体，轻骨架一定程度上减少了现场作业的工作量，提高了施工效率，故本次修编规范时考虑纳入，同时要求现场施工过程中应有文明施工措施。</w:t>
      </w:r>
    </w:p>
    <w:p>
      <w:pPr>
        <w:rPr>
          <w:rFonts w:hint="eastAsia"/>
          <w:color w:val="auto"/>
          <w:highlight w:val="none"/>
        </w:rPr>
      </w:pPr>
      <w:r>
        <w:rPr>
          <w:rFonts w:hint="eastAsia"/>
          <w:b/>
          <w:color w:val="auto"/>
          <w:highlight w:val="none"/>
        </w:rPr>
        <w:t>4.0.</w:t>
      </w:r>
      <w:r>
        <w:rPr>
          <w:b/>
          <w:color w:val="auto"/>
          <w:highlight w:val="none"/>
        </w:rPr>
        <w:t>10</w:t>
      </w:r>
      <w:r>
        <w:rPr>
          <w:rFonts w:hint="eastAsia"/>
          <w:color w:val="auto"/>
          <w:highlight w:val="none"/>
        </w:rPr>
        <w:t xml:space="preserve">  内隔墙与管线、装修一体化应用比例应按下列公式计算：</w:t>
      </w:r>
    </w:p>
    <w:p>
      <w:pPr>
        <w:pStyle w:val="36"/>
        <w:ind w:right="85" w:firstLine="0" w:firstLineChars="0"/>
        <w:jc w:val="center"/>
        <w:rPr>
          <w:rFonts w:hint="eastAsia" w:asciiTheme="minorEastAsia" w:hAnsiTheme="minorEastAsia" w:cstheme="minorEastAsia"/>
          <w:color w:val="auto"/>
          <w:szCs w:val="28"/>
          <w:highlight w:val="none"/>
        </w:rPr>
      </w:pPr>
      <w:r>
        <w:rPr>
          <w:rFonts w:asciiTheme="minorEastAsia" w:hAnsiTheme="minorEastAsia" w:cstheme="minorEastAsia"/>
          <w:i/>
          <w:color w:val="auto"/>
          <w:szCs w:val="28"/>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cstheme="minorEastAsia"/>
          <w:i/>
          <w:color w:val="auto"/>
          <w:szCs w:val="28"/>
          <w:highlight w:val="none"/>
          <w:vertAlign w:val="subscript"/>
        </w:rPr>
        <w:t>2d</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2d</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W</w:t>
      </w:r>
      <w:r>
        <w:rPr>
          <w:rFonts w:hint="eastAsia" w:asciiTheme="minorEastAsia" w:hAnsiTheme="minorEastAsia" w:cstheme="minorEastAsia"/>
          <w:i/>
          <w:color w:val="auto"/>
          <w:szCs w:val="28"/>
          <w:highlight w:val="none"/>
          <w:vertAlign w:val="subscript"/>
          <w:lang w:val="en-US" w:eastAsia="zh-CN"/>
        </w:rPr>
        <w:t>4</w:t>
      </w:r>
      <w:r>
        <w:rPr>
          <w:rFonts w:hint="eastAsia" w:asciiTheme="minorEastAsia" w:hAnsiTheme="minorEastAsia" w:cstheme="minorEastAsia"/>
          <w:color w:val="auto"/>
          <w:szCs w:val="28"/>
          <w:highlight w:val="none"/>
        </w:rPr>
        <w:t>×100%</w:t>
      </w:r>
      <w:r>
        <w:rPr>
          <w:rFonts w:asciiTheme="minorEastAsia" w:hAnsiTheme="minorEastAsia" w:cstheme="minorEastAsia"/>
          <w:bCs/>
          <w:color w:val="auto"/>
          <w:szCs w:val="28"/>
          <w:highlight w:val="none"/>
        </w:rPr>
        <w:t xml:space="preserve">               </w:t>
      </w:r>
      <w:r>
        <w:rPr>
          <w:rFonts w:asciiTheme="minorEastAsia" w:hAnsiTheme="minorEastAsia" w:cstheme="minorEastAsia"/>
          <w:color w:val="auto"/>
          <w:szCs w:val="28"/>
          <w:highlight w:val="none"/>
        </w:rPr>
        <w:t>(4.0.10)</w:t>
      </w:r>
    </w:p>
    <w:p>
      <w:pPr>
        <w:tabs>
          <w:tab w:val="left" w:pos="709"/>
        </w:tabs>
        <w:rPr>
          <w:rFonts w:hint="eastAsia"/>
          <w:color w:val="auto"/>
          <w:highlight w:val="none"/>
        </w:rPr>
      </w:pPr>
      <w:r>
        <w:rPr>
          <w:rFonts w:hint="eastAsia"/>
          <w:color w:val="auto"/>
          <w:highlight w:val="none"/>
        </w:rPr>
        <w:t>式中：</w:t>
      </w:r>
      <w:r>
        <w:rPr>
          <w:rFonts w:ascii="Times New Roman" w:hAnsi="Times New Roman" w:eastAsia="仿宋" w:cs="Times New Roman"/>
          <w:i/>
          <w:iCs/>
          <w:color w:val="auto"/>
          <w:kern w:val="0"/>
          <w:sz w:val="24"/>
          <w:highlight w:val="none"/>
        </w:rPr>
        <w:t>q</w:t>
      </w:r>
      <w:r>
        <w:rPr>
          <w:rFonts w:hint="eastAsia"/>
          <w:i/>
          <w:color w:val="auto"/>
          <w:highlight w:val="none"/>
          <w:vertAlign w:val="subscript"/>
        </w:rPr>
        <w:t>2d</w:t>
      </w:r>
      <w:r>
        <w:rPr>
          <w:rFonts w:hint="eastAsia"/>
          <w:color w:val="auto"/>
          <w:highlight w:val="none"/>
        </w:rPr>
        <w:t>──内隔墙与管线、装修一体化的应用比例；</w:t>
      </w:r>
    </w:p>
    <w:p>
      <w:pPr>
        <w:tabs>
          <w:tab w:val="left" w:pos="709"/>
        </w:tabs>
        <w:jc w:val="left"/>
        <w:rPr>
          <w:rFonts w:hint="eastAsia"/>
          <w:color w:val="auto"/>
          <w:highlight w:val="none"/>
        </w:rPr>
      </w:pPr>
      <w:r>
        <w:rPr>
          <w:rFonts w:hint="eastAsia"/>
          <w:i/>
          <w:color w:val="auto"/>
          <w:highlight w:val="none"/>
        </w:rPr>
        <w:t xml:space="preserve">      A</w:t>
      </w:r>
      <w:r>
        <w:rPr>
          <w:rFonts w:hint="eastAsia"/>
          <w:i/>
          <w:color w:val="auto"/>
          <w:highlight w:val="none"/>
          <w:vertAlign w:val="subscript"/>
        </w:rPr>
        <w:t>2d</w:t>
      </w:r>
      <w:r>
        <w:rPr>
          <w:rFonts w:hint="eastAsia"/>
          <w:color w:val="auto"/>
          <w:highlight w:val="none"/>
        </w:rPr>
        <w:t>──各楼层内隔墙与管线、装修一体化墙面面积之和，计算时可不扣除门、窗及预留洞口等的面积。</w:t>
      </w:r>
    </w:p>
    <w:p>
      <w:pPr>
        <w:pStyle w:val="2"/>
        <w:ind w:firstLine="560" w:firstLineChars="200"/>
        <w:rPr>
          <w:rFonts w:hint="eastAsia"/>
          <w:color w:val="auto"/>
          <w:highlight w:val="none"/>
        </w:rPr>
      </w:pPr>
      <w:r>
        <w:rPr>
          <w:rFonts w:hint="eastAsia"/>
          <w:i/>
          <w:color w:val="auto"/>
          <w:highlight w:val="none"/>
        </w:rPr>
        <w:t xml:space="preserve"> A</w:t>
      </w:r>
      <w:r>
        <w:rPr>
          <w:rFonts w:hint="eastAsia"/>
          <w:i/>
          <w:color w:val="auto"/>
          <w:highlight w:val="none"/>
          <w:vertAlign w:val="subscript"/>
        </w:rPr>
        <w:t>W</w:t>
      </w:r>
      <w:r>
        <w:rPr>
          <w:rFonts w:hint="eastAsia"/>
          <w:i/>
          <w:color w:val="auto"/>
          <w:highlight w:val="none"/>
          <w:vertAlign w:val="subscript"/>
          <w:lang w:val="en-US" w:eastAsia="zh-CN"/>
        </w:rPr>
        <w:t>4</w:t>
      </w:r>
      <w:r>
        <w:rPr>
          <w:rFonts w:hint="eastAsia"/>
          <w:color w:val="auto"/>
          <w:highlight w:val="none"/>
        </w:rPr>
        <w:t>──各楼层内隔墙双面总面积，计算时可不扣除门、窗及预留洞口等的面积。</w:t>
      </w:r>
    </w:p>
    <w:p>
      <w:pPr>
        <w:rPr>
          <w:rFonts w:hint="eastAsia"/>
          <w:color w:val="auto"/>
          <w:highlight w:val="none"/>
        </w:rPr>
      </w:pPr>
      <w:r>
        <w:rPr>
          <w:rFonts w:hint="eastAsia"/>
          <w:color w:val="auto"/>
          <w:highlight w:val="none"/>
        </w:rPr>
        <w:t>注：1 内隔墙与管线一体化，未采用装修一体化时，将</w:t>
      </w:r>
      <w:r>
        <w:rPr>
          <w:rFonts w:hint="eastAsia"/>
          <w:bCs/>
          <w:color w:val="auto"/>
          <w:highlight w:val="none"/>
        </w:rPr>
        <w:t>应用比例</w:t>
      </w:r>
      <w:r>
        <w:rPr>
          <w:rFonts w:hint="eastAsia"/>
          <w:color w:val="auto"/>
          <w:highlight w:val="none"/>
        </w:rPr>
        <w:t>折减0.85；</w:t>
      </w:r>
    </w:p>
    <w:p>
      <w:pPr>
        <w:rPr>
          <w:rFonts w:hint="eastAsia"/>
          <w:color w:val="auto"/>
          <w:highlight w:val="none"/>
        </w:rPr>
      </w:pPr>
      <w:r>
        <w:rPr>
          <w:rFonts w:hint="eastAsia"/>
          <w:color w:val="auto"/>
          <w:highlight w:val="none"/>
        </w:rPr>
        <w:t xml:space="preserve">    2 内隔墙设计无管线，未采用装修一体化，</w:t>
      </w:r>
      <w:r>
        <w:rPr>
          <w:rFonts w:hint="eastAsia"/>
          <w:color w:val="auto"/>
          <w:highlight w:val="none"/>
          <w:lang w:eastAsia="zh-CN"/>
        </w:rPr>
        <w:t>面积计入</w:t>
      </w:r>
      <w:r>
        <w:rPr>
          <w:rFonts w:hint="eastAsia"/>
          <w:i/>
          <w:color w:val="auto"/>
          <w:highlight w:val="none"/>
        </w:rPr>
        <w:t>A</w:t>
      </w:r>
      <w:r>
        <w:rPr>
          <w:rFonts w:hint="eastAsia"/>
          <w:i/>
          <w:color w:val="auto"/>
          <w:highlight w:val="none"/>
          <w:vertAlign w:val="subscript"/>
        </w:rPr>
        <w:t>2</w:t>
      </w:r>
      <w:r>
        <w:rPr>
          <w:rFonts w:hint="eastAsia"/>
          <w:i/>
          <w:color w:val="auto"/>
          <w:highlight w:val="none"/>
          <w:vertAlign w:val="subscript"/>
          <w:lang w:val="en-US" w:eastAsia="zh-CN"/>
        </w:rPr>
        <w:t>d</w:t>
      </w:r>
      <w:r>
        <w:rPr>
          <w:rFonts w:hint="eastAsia"/>
          <w:color w:val="auto"/>
          <w:highlight w:val="none"/>
        </w:rPr>
        <w:t>；</w:t>
      </w:r>
    </w:p>
    <w:p>
      <w:pPr>
        <w:ind w:firstLine="570"/>
        <w:rPr>
          <w:rFonts w:hint="eastAsia"/>
          <w:color w:val="auto"/>
          <w:highlight w:val="none"/>
        </w:rPr>
      </w:pPr>
      <w:bookmarkStart w:id="27" w:name="_Toc17833"/>
      <w:r>
        <w:rPr>
          <w:rFonts w:hint="eastAsia"/>
          <w:color w:val="auto"/>
          <w:highlight w:val="none"/>
        </w:rPr>
        <w:t>3 内隔墙设计无管线，但与装修一体化，</w:t>
      </w:r>
      <w:r>
        <w:rPr>
          <w:rFonts w:hint="eastAsia"/>
          <w:color w:val="auto"/>
          <w:highlight w:val="none"/>
          <w:lang w:eastAsia="zh-CN"/>
        </w:rPr>
        <w:t>可同时计入</w:t>
      </w:r>
      <w:r>
        <w:rPr>
          <w:rFonts w:hint="eastAsia"/>
          <w:i/>
          <w:color w:val="auto"/>
          <w:highlight w:val="none"/>
        </w:rPr>
        <w:t>A</w:t>
      </w:r>
      <w:r>
        <w:rPr>
          <w:rFonts w:hint="eastAsia"/>
          <w:i/>
          <w:color w:val="auto"/>
          <w:highlight w:val="none"/>
          <w:vertAlign w:val="subscript"/>
        </w:rPr>
        <w:t>2</w:t>
      </w:r>
      <w:r>
        <w:rPr>
          <w:rFonts w:hint="eastAsia"/>
          <w:i/>
          <w:color w:val="auto"/>
          <w:highlight w:val="none"/>
          <w:vertAlign w:val="subscript"/>
          <w:lang w:val="en-US" w:eastAsia="zh-CN"/>
        </w:rPr>
        <w:t>d</w:t>
      </w:r>
      <w:r>
        <w:rPr>
          <w:rFonts w:hint="eastAsia"/>
          <w:i/>
          <w:color w:val="auto"/>
          <w:highlight w:val="none"/>
          <w:vertAlign w:val="baseline"/>
          <w:lang w:eastAsia="zh-CN"/>
        </w:rPr>
        <w:t>和</w:t>
      </w:r>
      <w:r>
        <w:rPr>
          <w:rFonts w:hint="eastAsia"/>
          <w:i/>
          <w:color w:val="auto"/>
          <w:highlight w:val="none"/>
        </w:rPr>
        <w:t>A</w:t>
      </w:r>
      <w:r>
        <w:rPr>
          <w:rFonts w:hint="eastAsia"/>
          <w:i/>
          <w:color w:val="auto"/>
          <w:highlight w:val="none"/>
          <w:vertAlign w:val="subscript"/>
        </w:rPr>
        <w:t>W</w:t>
      </w:r>
      <w:r>
        <w:rPr>
          <w:rFonts w:hint="eastAsia"/>
          <w:i/>
          <w:color w:val="auto"/>
          <w:highlight w:val="none"/>
          <w:vertAlign w:val="subscript"/>
          <w:lang w:val="en-US" w:eastAsia="zh-CN"/>
        </w:rPr>
        <w:t>4</w:t>
      </w:r>
      <w:r>
        <w:rPr>
          <w:rFonts w:hint="eastAsia"/>
          <w:color w:val="auto"/>
          <w:highlight w:val="none"/>
        </w:rPr>
        <w:t>；</w:t>
      </w:r>
      <w:bookmarkEnd w:id="27"/>
    </w:p>
    <w:p>
      <w:pPr>
        <w:rPr>
          <w:rFonts w:hint="eastAsia"/>
          <w:color w:val="auto"/>
          <w:highlight w:val="none"/>
        </w:rPr>
      </w:pPr>
      <w:r>
        <w:rPr>
          <w:rFonts w:hint="eastAsia"/>
          <w:b/>
          <w:color w:val="auto"/>
          <w:highlight w:val="none"/>
        </w:rPr>
        <w:t>4.0.1</w:t>
      </w:r>
      <w:r>
        <w:rPr>
          <w:rFonts w:hint="eastAsia"/>
          <w:b/>
          <w:color w:val="auto"/>
          <w:highlight w:val="none"/>
          <w:lang w:val="en-US" w:eastAsia="zh-CN"/>
        </w:rPr>
        <w:t>1</w:t>
      </w:r>
      <w:r>
        <w:rPr>
          <w:rFonts w:hint="eastAsia"/>
          <w:b/>
          <w:color w:val="auto"/>
          <w:highlight w:val="none"/>
        </w:rPr>
        <w:t xml:space="preserve"> </w:t>
      </w:r>
      <w:r>
        <w:rPr>
          <w:rFonts w:hint="eastAsia"/>
          <w:color w:val="auto"/>
          <w:highlight w:val="none"/>
        </w:rPr>
        <w:t xml:space="preserve"> 干式工法楼面、地面的应用比例应按下列公式计算：</w:t>
      </w:r>
    </w:p>
    <w:p>
      <w:pPr>
        <w:pStyle w:val="36"/>
        <w:ind w:right="85" w:firstLine="0" w:firstLineChars="0"/>
        <w:jc w:val="center"/>
        <w:rPr>
          <w:rFonts w:hint="eastAsia" w:asciiTheme="minorEastAsia" w:hAnsiTheme="minorEastAsia" w:cstheme="minorEastAsia"/>
          <w:color w:val="auto"/>
          <w:szCs w:val="28"/>
          <w:highlight w:val="none"/>
        </w:rPr>
      </w:pPr>
      <w:r>
        <w:rPr>
          <w:rFonts w:asciiTheme="minorEastAsia" w:hAnsiTheme="minorEastAsia" w:cstheme="minorEastAsia"/>
          <w:i/>
          <w:color w:val="auto"/>
          <w:szCs w:val="28"/>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cstheme="minorEastAsia"/>
          <w:i/>
          <w:color w:val="auto"/>
          <w:szCs w:val="28"/>
          <w:highlight w:val="none"/>
          <w:vertAlign w:val="subscript"/>
        </w:rPr>
        <w:t>3a</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3a</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W4</w:t>
      </w:r>
      <w:r>
        <w:rPr>
          <w:rFonts w:hint="eastAsia" w:asciiTheme="minorEastAsia" w:hAnsiTheme="minorEastAsia" w:cstheme="minorEastAsia"/>
          <w:color w:val="auto"/>
          <w:szCs w:val="28"/>
          <w:highlight w:val="none"/>
        </w:rPr>
        <w:t>×100%</w:t>
      </w:r>
      <w:r>
        <w:rPr>
          <w:rFonts w:asciiTheme="minorEastAsia" w:hAnsiTheme="minorEastAsia" w:cstheme="minorEastAsia"/>
          <w:color w:val="auto"/>
          <w:szCs w:val="28"/>
          <w:highlight w:val="none"/>
        </w:rPr>
        <w:t xml:space="preserve"> </w:t>
      </w:r>
      <w:r>
        <w:rPr>
          <w:rFonts w:asciiTheme="minorEastAsia" w:hAnsiTheme="minorEastAsia" w:cstheme="minorEastAsia"/>
          <w:bCs/>
          <w:color w:val="auto"/>
          <w:szCs w:val="28"/>
          <w:highlight w:val="none"/>
        </w:rPr>
        <w:t xml:space="preserve">               </w:t>
      </w:r>
      <w:r>
        <w:rPr>
          <w:rFonts w:asciiTheme="minorEastAsia" w:hAnsiTheme="minorEastAsia" w:cstheme="minorEastAsia"/>
          <w:color w:val="auto"/>
          <w:szCs w:val="28"/>
          <w:highlight w:val="none"/>
        </w:rPr>
        <w:t>(4.0.12)</w:t>
      </w:r>
    </w:p>
    <w:p>
      <w:pPr>
        <w:tabs>
          <w:tab w:val="left" w:pos="709"/>
        </w:tabs>
        <w:rPr>
          <w:rFonts w:hint="eastAsia"/>
          <w:color w:val="auto"/>
          <w:highlight w:val="none"/>
        </w:rPr>
      </w:pPr>
      <w:r>
        <w:rPr>
          <w:rFonts w:hint="eastAsia"/>
          <w:color w:val="auto"/>
          <w:highlight w:val="none"/>
        </w:rPr>
        <w:t>式中：</w:t>
      </w:r>
      <w:r>
        <w:rPr>
          <w:rFonts w:ascii="Times New Roman" w:hAnsi="Times New Roman" w:eastAsia="仿宋" w:cs="Times New Roman"/>
          <w:i/>
          <w:iCs/>
          <w:color w:val="auto"/>
          <w:kern w:val="0"/>
          <w:sz w:val="24"/>
          <w:highlight w:val="none"/>
        </w:rPr>
        <w:t>q</w:t>
      </w:r>
      <w:r>
        <w:rPr>
          <w:rFonts w:hint="eastAsia"/>
          <w:i/>
          <w:color w:val="auto"/>
          <w:highlight w:val="none"/>
          <w:vertAlign w:val="subscript"/>
        </w:rPr>
        <w:t>3a</w:t>
      </w:r>
      <w:r>
        <w:rPr>
          <w:rFonts w:hint="eastAsia"/>
          <w:color w:val="auto"/>
          <w:highlight w:val="none"/>
        </w:rPr>
        <w:t>──干式工法楼面、地面的应用比例；</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3a</w:t>
      </w:r>
      <w:r>
        <w:rPr>
          <w:rFonts w:hint="eastAsia"/>
          <w:color w:val="auto"/>
          <w:highlight w:val="none"/>
        </w:rPr>
        <w:t>──各楼层采用干式工法楼面、地面的水平投影面积之和，厨房、卫生间和阳台的楼地面面积不计入。</w:t>
      </w:r>
    </w:p>
    <w:p>
      <w:pPr>
        <w:tabs>
          <w:tab w:val="left" w:pos="709"/>
        </w:tabs>
        <w:rPr>
          <w:rFonts w:hint="eastAsia"/>
          <w:color w:val="auto"/>
          <w:highlight w:val="none"/>
        </w:rPr>
      </w:pPr>
      <w:r>
        <w:rPr>
          <w:rFonts w:hint="eastAsia"/>
          <w:color w:val="auto"/>
          <w:highlight w:val="none"/>
        </w:rPr>
        <w:t xml:space="preserve">      </w:t>
      </w:r>
      <w:r>
        <w:rPr>
          <w:rFonts w:hint="eastAsia"/>
          <w:i/>
          <w:color w:val="auto"/>
          <w:highlight w:val="none"/>
        </w:rPr>
        <w:t>A</w:t>
      </w:r>
      <w:r>
        <w:rPr>
          <w:rFonts w:hint="eastAsia"/>
          <w:i/>
          <w:color w:val="auto"/>
          <w:highlight w:val="none"/>
          <w:vertAlign w:val="subscript"/>
        </w:rPr>
        <w:t>W4</w:t>
      </w:r>
      <w:r>
        <w:rPr>
          <w:rFonts w:hint="eastAsia"/>
          <w:color w:val="auto"/>
          <w:highlight w:val="none"/>
        </w:rPr>
        <w:t>──各楼层室内楼地面和公共区域楼地面的水平投影总面积。厨房、卫生间和阳台的楼地面面积不计入。</w:t>
      </w:r>
    </w:p>
    <w:p>
      <w:pPr>
        <w:rPr>
          <w:rFonts w:hint="eastAsia" w:eastAsiaTheme="minorEastAsia"/>
          <w:color w:val="auto"/>
          <w:highlight w:val="none"/>
          <w:lang w:eastAsia="zh-CN"/>
        </w:rPr>
      </w:pPr>
      <w:r>
        <w:rPr>
          <w:rFonts w:hint="eastAsia"/>
          <w:color w:val="auto"/>
          <w:highlight w:val="none"/>
        </w:rPr>
        <w:t>注：内隔墙模块单元的地面在工厂实现基层和装修一体化集成时，地面部分</w:t>
      </w:r>
      <w:r>
        <w:rPr>
          <w:rFonts w:hint="eastAsia"/>
          <w:color w:val="auto"/>
          <w:highlight w:val="none"/>
          <w:lang w:eastAsia="zh-CN"/>
        </w:rPr>
        <w:t>可</w:t>
      </w:r>
      <w:r>
        <w:rPr>
          <w:rFonts w:hint="eastAsia"/>
          <w:color w:val="auto"/>
          <w:highlight w:val="none"/>
        </w:rPr>
        <w:t>计入干式工法楼面、地面面积</w:t>
      </w:r>
      <w:r>
        <w:rPr>
          <w:rFonts w:hint="eastAsia"/>
          <w:color w:val="auto"/>
          <w:highlight w:val="none"/>
          <w:lang w:eastAsia="zh-CN"/>
        </w:rPr>
        <w:t>。</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条文说明：4.0.1</w:t>
      </w:r>
      <w:r>
        <w:rPr>
          <w:rFonts w:hint="eastAsia" w:ascii="楷体" w:hAnsi="楷体" w:eastAsia="楷体" w:cs="楷体"/>
          <w:b w:val="0"/>
          <w:bCs w:val="0"/>
          <w:i w:val="0"/>
          <w:iCs w:val="0"/>
          <w:color w:val="auto"/>
          <w:highlight w:val="none"/>
          <w:lang w:val="en-US" w:eastAsia="zh-CN"/>
        </w:rPr>
        <w:t>1</w:t>
      </w:r>
      <w:r>
        <w:rPr>
          <w:rFonts w:hint="eastAsia" w:ascii="楷体" w:hAnsi="楷体" w:eastAsia="楷体" w:cs="楷体"/>
          <w:b w:val="0"/>
          <w:bCs w:val="0"/>
          <w:i w:val="0"/>
          <w:iCs w:val="0"/>
          <w:color w:val="auto"/>
          <w:highlight w:val="none"/>
        </w:rPr>
        <w:t xml:space="preserve">  干式工法，指无水作业的施工方式。干式工法楼、地面计算分子、分母面积不包括厨房、卫生间、阳台等有水房间面积。设置在保温层下部的现浇找平、结合层厚度15mm以内不计入干式工法楼、地面的要求。如项目未设置保温层，则干式工法不应采用湿作业找平结合层。若面层为瓷砖饰面，结合层厚度不应大于8mm，可视为干式工法楼地面。</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本次修订增加阳台可不计入楼地面面积，因此处不适宜做干式工法。</w:t>
      </w:r>
    </w:p>
    <w:p>
      <w:pPr>
        <w:tabs>
          <w:tab w:val="left" w:pos="709"/>
        </w:tabs>
        <w:rPr>
          <w:rFonts w:hint="eastAsia"/>
          <w:color w:val="auto"/>
          <w:highlight w:val="none"/>
        </w:rPr>
      </w:pPr>
      <w:r>
        <w:rPr>
          <w:rFonts w:hint="eastAsia"/>
          <w:b/>
          <w:color w:val="auto"/>
          <w:highlight w:val="none"/>
        </w:rPr>
        <w:t>4.0.1</w:t>
      </w:r>
      <w:r>
        <w:rPr>
          <w:rFonts w:hint="eastAsia"/>
          <w:b/>
          <w:color w:val="auto"/>
          <w:highlight w:val="none"/>
          <w:lang w:val="en-US" w:eastAsia="zh-CN"/>
        </w:rPr>
        <w:t>2</w:t>
      </w:r>
      <w:r>
        <w:rPr>
          <w:rFonts w:hint="eastAsia"/>
          <w:b/>
          <w:color w:val="auto"/>
          <w:highlight w:val="none"/>
        </w:rPr>
        <w:t xml:space="preserve"> </w:t>
      </w:r>
      <w:r>
        <w:rPr>
          <w:rFonts w:hint="eastAsia"/>
          <w:color w:val="auto"/>
          <w:highlight w:val="none"/>
        </w:rPr>
        <w:t xml:space="preserve"> 集成厨房干式工法的应用比例应按下列公式计算：</w:t>
      </w:r>
    </w:p>
    <w:p>
      <w:pPr>
        <w:pStyle w:val="36"/>
        <w:ind w:right="85" w:firstLine="0" w:firstLineChars="0"/>
        <w:jc w:val="center"/>
        <w:rPr>
          <w:rFonts w:hint="eastAsia" w:asciiTheme="minorEastAsia" w:hAnsiTheme="minorEastAsia" w:cstheme="minorEastAsia"/>
          <w:color w:val="auto"/>
          <w:szCs w:val="28"/>
          <w:highlight w:val="none"/>
        </w:rPr>
      </w:pPr>
      <w:r>
        <w:rPr>
          <w:rFonts w:asciiTheme="minorEastAsia" w:hAnsiTheme="minorEastAsia" w:cstheme="minorEastAsia"/>
          <w:i/>
          <w:color w:val="auto"/>
          <w:szCs w:val="28"/>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cstheme="minorEastAsia"/>
          <w:i/>
          <w:color w:val="auto"/>
          <w:szCs w:val="28"/>
          <w:highlight w:val="none"/>
          <w:vertAlign w:val="subscript"/>
        </w:rPr>
        <w:t>3b</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3b</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K</w:t>
      </w:r>
      <w:r>
        <w:rPr>
          <w:rFonts w:hint="eastAsia" w:asciiTheme="minorEastAsia" w:hAnsiTheme="minorEastAsia" w:cstheme="minorEastAsia"/>
          <w:color w:val="auto"/>
          <w:szCs w:val="28"/>
          <w:highlight w:val="none"/>
        </w:rPr>
        <w:t>×100%</w:t>
      </w:r>
      <w:r>
        <w:rPr>
          <w:rFonts w:asciiTheme="minorEastAsia" w:hAnsiTheme="minorEastAsia" w:cstheme="minorEastAsia"/>
          <w:bCs/>
          <w:color w:val="auto"/>
          <w:szCs w:val="28"/>
          <w:highlight w:val="none"/>
        </w:rPr>
        <w:t xml:space="preserve">               </w:t>
      </w:r>
      <w:r>
        <w:rPr>
          <w:rFonts w:asciiTheme="minorEastAsia" w:hAnsiTheme="minorEastAsia" w:cstheme="minorEastAsia"/>
          <w:color w:val="auto"/>
          <w:szCs w:val="28"/>
          <w:highlight w:val="none"/>
        </w:rPr>
        <w:t>(4.0.13)</w:t>
      </w:r>
    </w:p>
    <w:p>
      <w:pPr>
        <w:tabs>
          <w:tab w:val="left" w:pos="709"/>
        </w:tabs>
        <w:rPr>
          <w:rFonts w:hint="eastAsia"/>
          <w:color w:val="auto"/>
          <w:highlight w:val="none"/>
        </w:rPr>
      </w:pPr>
      <w:r>
        <w:rPr>
          <w:rFonts w:hint="eastAsia"/>
          <w:color w:val="auto"/>
          <w:highlight w:val="none"/>
        </w:rPr>
        <w:t>式中：</w:t>
      </w:r>
      <w:r>
        <w:rPr>
          <w:rFonts w:ascii="Times New Roman" w:hAnsi="Times New Roman" w:eastAsia="仿宋" w:cs="Times New Roman"/>
          <w:i/>
          <w:iCs/>
          <w:color w:val="auto"/>
          <w:kern w:val="0"/>
          <w:sz w:val="24"/>
          <w:highlight w:val="none"/>
        </w:rPr>
        <w:t>q</w:t>
      </w:r>
      <w:r>
        <w:rPr>
          <w:rFonts w:hint="eastAsia"/>
          <w:i/>
          <w:color w:val="auto"/>
          <w:highlight w:val="none"/>
          <w:vertAlign w:val="subscript"/>
        </w:rPr>
        <w:t>3b</w:t>
      </w:r>
      <w:r>
        <w:rPr>
          <w:rFonts w:hint="eastAsia"/>
          <w:color w:val="auto"/>
          <w:highlight w:val="none"/>
        </w:rPr>
        <w:t>──集成厨房干式工法的应用比例；</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3b</w:t>
      </w:r>
      <w:r>
        <w:rPr>
          <w:rFonts w:hint="eastAsia"/>
          <w:color w:val="auto"/>
          <w:highlight w:val="none"/>
        </w:rPr>
        <w:t>──各楼层厨房墙面、顶面和地面采用干式工法面积之和；</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K</w:t>
      </w:r>
      <w:r>
        <w:rPr>
          <w:rFonts w:hint="eastAsia"/>
          <w:color w:val="auto"/>
          <w:highlight w:val="none"/>
        </w:rPr>
        <w:t>──各楼层厨房的墙面、顶面和地面的总面积。</w:t>
      </w:r>
    </w:p>
    <w:p>
      <w:pPr>
        <w:tabs>
          <w:tab w:val="left" w:pos="709"/>
        </w:tabs>
        <w:ind w:firstLine="840" w:firstLineChars="300"/>
        <w:rPr>
          <w:rFonts w:hint="eastAsia"/>
          <w:color w:val="auto"/>
          <w:highlight w:val="none"/>
        </w:rPr>
      </w:pPr>
      <w:r>
        <w:rPr>
          <w:rFonts w:hint="eastAsia"/>
          <w:i/>
          <w:color w:val="auto"/>
          <w:highlight w:val="none"/>
        </w:rPr>
        <w:t>A</w:t>
      </w:r>
      <w:r>
        <w:rPr>
          <w:rFonts w:hint="eastAsia"/>
          <w:i/>
          <w:color w:val="auto"/>
          <w:highlight w:val="none"/>
          <w:vertAlign w:val="subscript"/>
        </w:rPr>
        <w:t>3b</w:t>
      </w:r>
      <w:r>
        <w:rPr>
          <w:rFonts w:hint="eastAsia"/>
          <w:color w:val="auto"/>
          <w:highlight w:val="none"/>
        </w:rPr>
        <w:t>、</w:t>
      </w:r>
      <w:r>
        <w:rPr>
          <w:rFonts w:hint="eastAsia"/>
          <w:i/>
          <w:color w:val="auto"/>
          <w:highlight w:val="none"/>
        </w:rPr>
        <w:t>A</w:t>
      </w:r>
      <w:r>
        <w:rPr>
          <w:rFonts w:hint="eastAsia"/>
          <w:i/>
          <w:color w:val="auto"/>
          <w:highlight w:val="none"/>
          <w:vertAlign w:val="subscript"/>
        </w:rPr>
        <w:t>K</w:t>
      </w:r>
      <w:r>
        <w:rPr>
          <w:rFonts w:hint="eastAsia"/>
          <w:color w:val="auto"/>
          <w:highlight w:val="none"/>
        </w:rPr>
        <w:t>计算时可不扣除门、窗及预留洞口等的面积。</w:t>
      </w:r>
    </w:p>
    <w:p>
      <w:pPr>
        <w:tabs>
          <w:tab w:val="left" w:pos="709"/>
        </w:tabs>
        <w:ind w:firstLine="0" w:firstLineChars="0"/>
        <w:rPr>
          <w:rFonts w:hint="eastAsia"/>
          <w:color w:val="auto"/>
          <w:highlight w:val="none"/>
        </w:rPr>
      </w:pPr>
      <w:r>
        <w:rPr>
          <w:rFonts w:hint="eastAsia"/>
          <w:color w:val="auto"/>
          <w:highlight w:val="none"/>
        </w:rPr>
        <w:t>注：当厨房采用模块单元制作且在工厂实现结构、机电、装修一体化集成时，其</w:t>
      </w:r>
      <w:r>
        <w:rPr>
          <w:rFonts w:hint="eastAsia"/>
          <w:color w:val="auto"/>
          <w:highlight w:val="none"/>
          <w:lang w:eastAsia="zh-CN"/>
        </w:rPr>
        <w:t>工厂制作部分</w:t>
      </w:r>
      <w:r>
        <w:rPr>
          <w:rFonts w:hint="eastAsia"/>
          <w:color w:val="auto"/>
          <w:highlight w:val="none"/>
        </w:rPr>
        <w:t>均</w:t>
      </w:r>
      <w:r>
        <w:rPr>
          <w:rFonts w:hint="eastAsia"/>
          <w:color w:val="auto"/>
          <w:highlight w:val="none"/>
          <w:lang w:eastAsia="zh-CN"/>
        </w:rPr>
        <w:t>可</w:t>
      </w:r>
      <w:r>
        <w:rPr>
          <w:rFonts w:hint="eastAsia"/>
          <w:color w:val="auto"/>
          <w:highlight w:val="none"/>
        </w:rPr>
        <w:t>计入干式工法面积；</w:t>
      </w:r>
    </w:p>
    <w:p>
      <w:pPr>
        <w:rPr>
          <w:rFonts w:hint="eastAsia"/>
          <w:color w:val="auto"/>
          <w:highlight w:val="none"/>
        </w:rPr>
      </w:pPr>
      <w:r>
        <w:rPr>
          <w:rFonts w:hint="eastAsia"/>
          <w:b/>
          <w:color w:val="auto"/>
          <w:highlight w:val="none"/>
        </w:rPr>
        <w:t>4.0.1</w:t>
      </w:r>
      <w:r>
        <w:rPr>
          <w:rFonts w:hint="eastAsia"/>
          <w:b/>
          <w:color w:val="auto"/>
          <w:highlight w:val="none"/>
          <w:lang w:val="en-US" w:eastAsia="zh-CN"/>
        </w:rPr>
        <w:t>3</w:t>
      </w:r>
      <w:r>
        <w:rPr>
          <w:rFonts w:hint="eastAsia"/>
          <w:b/>
          <w:color w:val="auto"/>
          <w:highlight w:val="none"/>
        </w:rPr>
        <w:t xml:space="preserve"> </w:t>
      </w:r>
      <w:r>
        <w:rPr>
          <w:rFonts w:hint="eastAsia"/>
          <w:color w:val="auto"/>
          <w:highlight w:val="none"/>
        </w:rPr>
        <w:t xml:space="preserve"> 集成卫生间干式工法的应用比例应按下列公式计算：</w:t>
      </w:r>
    </w:p>
    <w:p>
      <w:pPr>
        <w:pStyle w:val="36"/>
        <w:ind w:right="85" w:firstLine="0" w:firstLineChars="0"/>
        <w:jc w:val="center"/>
        <w:rPr>
          <w:rFonts w:hint="eastAsia" w:asciiTheme="minorEastAsia" w:hAnsiTheme="minorEastAsia" w:cstheme="minorEastAsia"/>
          <w:color w:val="auto"/>
          <w:szCs w:val="28"/>
          <w:highlight w:val="none"/>
        </w:rPr>
      </w:pPr>
      <w:r>
        <w:rPr>
          <w:rFonts w:asciiTheme="minorEastAsia" w:hAnsiTheme="minorEastAsia" w:cstheme="minorEastAsia"/>
          <w:i/>
          <w:color w:val="auto"/>
          <w:szCs w:val="28"/>
          <w:highlight w:val="none"/>
        </w:rPr>
        <w:t xml:space="preserve">      </w:t>
      </w:r>
      <w:r>
        <w:rPr>
          <w:rFonts w:ascii="Times New Roman" w:hAnsi="Times New Roman" w:eastAsia="仿宋" w:cs="Times New Roman"/>
          <w:i/>
          <w:iCs/>
          <w:color w:val="auto"/>
          <w:kern w:val="0"/>
          <w:sz w:val="24"/>
          <w:highlight w:val="none"/>
        </w:rPr>
        <w:t>q</w:t>
      </w:r>
      <w:r>
        <w:rPr>
          <w:rFonts w:hint="eastAsia" w:asciiTheme="minorEastAsia" w:hAnsiTheme="minorEastAsia" w:cstheme="minorEastAsia"/>
          <w:i/>
          <w:color w:val="auto"/>
          <w:szCs w:val="28"/>
          <w:highlight w:val="none"/>
          <w:vertAlign w:val="subscript"/>
        </w:rPr>
        <w:t>3c</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3c</w:t>
      </w:r>
      <w:r>
        <w:rPr>
          <w:rFonts w:hint="eastAsia" w:asciiTheme="minorEastAsia" w:hAnsiTheme="minorEastAsia" w:cstheme="minorEastAsia"/>
          <w:color w:val="auto"/>
          <w:szCs w:val="28"/>
          <w:highlight w:val="none"/>
        </w:rPr>
        <w:t>/</w:t>
      </w:r>
      <w:r>
        <w:rPr>
          <w:rFonts w:hint="eastAsia" w:asciiTheme="minorEastAsia" w:hAnsiTheme="minorEastAsia" w:cstheme="minorEastAsia"/>
          <w:i/>
          <w:color w:val="auto"/>
          <w:szCs w:val="28"/>
          <w:highlight w:val="none"/>
        </w:rPr>
        <w:t>A</w:t>
      </w:r>
      <w:r>
        <w:rPr>
          <w:rFonts w:hint="eastAsia" w:asciiTheme="minorEastAsia" w:hAnsiTheme="minorEastAsia" w:cstheme="minorEastAsia"/>
          <w:i/>
          <w:color w:val="auto"/>
          <w:szCs w:val="28"/>
          <w:highlight w:val="none"/>
          <w:vertAlign w:val="subscript"/>
        </w:rPr>
        <w:t>b</w:t>
      </w:r>
      <w:r>
        <w:rPr>
          <w:rFonts w:hint="eastAsia" w:asciiTheme="minorEastAsia" w:hAnsiTheme="minorEastAsia" w:cstheme="minorEastAsia"/>
          <w:color w:val="auto"/>
          <w:szCs w:val="28"/>
          <w:highlight w:val="none"/>
        </w:rPr>
        <w:t>×100%</w:t>
      </w:r>
      <w:r>
        <w:rPr>
          <w:rFonts w:asciiTheme="minorEastAsia" w:hAnsiTheme="minorEastAsia" w:cstheme="minorEastAsia"/>
          <w:bCs/>
          <w:color w:val="auto"/>
          <w:szCs w:val="28"/>
          <w:highlight w:val="none"/>
        </w:rPr>
        <w:t xml:space="preserve">               </w:t>
      </w:r>
      <w:r>
        <w:rPr>
          <w:rFonts w:asciiTheme="minorEastAsia" w:hAnsiTheme="minorEastAsia" w:cstheme="minorEastAsia"/>
          <w:color w:val="auto"/>
          <w:szCs w:val="28"/>
          <w:highlight w:val="none"/>
        </w:rPr>
        <w:t>(4.0.14)</w:t>
      </w:r>
    </w:p>
    <w:p>
      <w:pPr>
        <w:tabs>
          <w:tab w:val="left" w:pos="709"/>
        </w:tabs>
        <w:rPr>
          <w:rFonts w:hint="eastAsia"/>
          <w:color w:val="auto"/>
          <w:highlight w:val="none"/>
        </w:rPr>
      </w:pPr>
      <w:r>
        <w:rPr>
          <w:rFonts w:hint="eastAsia"/>
          <w:color w:val="auto"/>
          <w:highlight w:val="none"/>
        </w:rPr>
        <w:t>式中：</w:t>
      </w:r>
      <w:r>
        <w:rPr>
          <w:rFonts w:ascii="Times New Roman" w:hAnsi="Times New Roman" w:eastAsia="仿宋" w:cs="Times New Roman"/>
          <w:i/>
          <w:iCs/>
          <w:color w:val="auto"/>
          <w:kern w:val="0"/>
          <w:sz w:val="24"/>
          <w:highlight w:val="none"/>
        </w:rPr>
        <w:t>q</w:t>
      </w:r>
      <w:r>
        <w:rPr>
          <w:rFonts w:hint="eastAsia"/>
          <w:i/>
          <w:color w:val="auto"/>
          <w:highlight w:val="none"/>
          <w:vertAlign w:val="subscript"/>
        </w:rPr>
        <w:t>3c</w:t>
      </w:r>
      <w:r>
        <w:rPr>
          <w:rFonts w:hint="eastAsia"/>
          <w:color w:val="auto"/>
          <w:highlight w:val="none"/>
        </w:rPr>
        <w:t>──集成卫生间干式工法的应用比例；</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3c</w:t>
      </w:r>
      <w:r>
        <w:rPr>
          <w:rFonts w:hint="eastAsia"/>
          <w:color w:val="auto"/>
          <w:highlight w:val="none"/>
        </w:rPr>
        <w:t>──各楼层卫生间墙面、顶面和地面采用干式工法面积之和；</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b</w:t>
      </w:r>
      <w:r>
        <w:rPr>
          <w:rFonts w:hint="eastAsia"/>
          <w:color w:val="auto"/>
          <w:highlight w:val="none"/>
        </w:rPr>
        <w:t>──各楼层卫生间的墙面、顶面和地面的总面积。</w:t>
      </w:r>
    </w:p>
    <w:p>
      <w:pPr>
        <w:tabs>
          <w:tab w:val="left" w:pos="709"/>
        </w:tabs>
        <w:ind w:firstLine="840" w:firstLineChars="300"/>
        <w:rPr>
          <w:rFonts w:hint="eastAsia"/>
          <w:color w:val="auto"/>
          <w:highlight w:val="none"/>
        </w:rPr>
      </w:pPr>
      <w:r>
        <w:rPr>
          <w:rFonts w:hint="eastAsia"/>
          <w:i/>
          <w:color w:val="auto"/>
          <w:highlight w:val="none"/>
        </w:rPr>
        <w:t>A</w:t>
      </w:r>
      <w:r>
        <w:rPr>
          <w:rFonts w:hint="eastAsia"/>
          <w:i/>
          <w:color w:val="auto"/>
          <w:highlight w:val="none"/>
          <w:vertAlign w:val="subscript"/>
        </w:rPr>
        <w:t>3c</w:t>
      </w:r>
      <w:r>
        <w:rPr>
          <w:rFonts w:hint="eastAsia"/>
          <w:color w:val="auto"/>
          <w:highlight w:val="none"/>
        </w:rPr>
        <w:t>、</w:t>
      </w:r>
      <w:r>
        <w:rPr>
          <w:rFonts w:hint="eastAsia"/>
          <w:i/>
          <w:color w:val="auto"/>
          <w:highlight w:val="none"/>
        </w:rPr>
        <w:t>A</w:t>
      </w:r>
      <w:r>
        <w:rPr>
          <w:rFonts w:hint="eastAsia"/>
          <w:i/>
          <w:color w:val="auto"/>
          <w:highlight w:val="none"/>
          <w:vertAlign w:val="subscript"/>
        </w:rPr>
        <w:t>b</w:t>
      </w:r>
      <w:r>
        <w:rPr>
          <w:rFonts w:hint="eastAsia"/>
          <w:color w:val="auto"/>
          <w:highlight w:val="none"/>
        </w:rPr>
        <w:t>计算时可不扣除门、窗及预留洞口等的面积。</w:t>
      </w:r>
    </w:p>
    <w:p>
      <w:pPr>
        <w:numPr>
          <w:ilvl w:val="0"/>
          <w:numId w:val="0"/>
        </w:numPr>
        <w:tabs>
          <w:tab w:val="left" w:pos="709"/>
        </w:tabs>
        <w:ind w:firstLine="0" w:firstLineChars="0"/>
        <w:rPr>
          <w:rFonts w:hint="eastAsia"/>
          <w:color w:val="auto"/>
          <w:highlight w:val="none"/>
        </w:rPr>
      </w:pPr>
      <w:r>
        <w:rPr>
          <w:rFonts w:hint="eastAsia"/>
          <w:color w:val="auto"/>
          <w:highlight w:val="none"/>
        </w:rPr>
        <w:t>注：</w:t>
      </w:r>
      <w:r>
        <w:rPr>
          <w:rFonts w:hint="eastAsia" w:asciiTheme="minorEastAsia" w:hAnsiTheme="minorEastAsia" w:eastAsiaTheme="minorEastAsia" w:cstheme="minorEastAsia"/>
          <w:b w:val="0"/>
          <w:bCs w:val="0"/>
          <w:color w:val="auto"/>
          <w:sz w:val="28"/>
          <w:szCs w:val="28"/>
          <w:highlight w:val="none"/>
          <w:lang w:val="en-US" w:eastAsia="zh-CN"/>
        </w:rPr>
        <w:t>当卫生间采用模块单元制作且在工厂实现结构、机电、装修一体化集成时，其</w:t>
      </w:r>
      <w:r>
        <w:rPr>
          <w:rFonts w:hint="eastAsia" w:cstheme="minorEastAsia"/>
          <w:b w:val="0"/>
          <w:bCs w:val="0"/>
          <w:color w:val="auto"/>
          <w:sz w:val="28"/>
          <w:szCs w:val="28"/>
          <w:highlight w:val="none"/>
          <w:lang w:val="en-US" w:eastAsia="zh-CN"/>
        </w:rPr>
        <w:t>工厂制作部分</w:t>
      </w:r>
      <w:r>
        <w:rPr>
          <w:rFonts w:hint="eastAsia" w:asciiTheme="minorEastAsia" w:hAnsiTheme="minorEastAsia" w:eastAsiaTheme="minorEastAsia" w:cstheme="minorEastAsia"/>
          <w:b w:val="0"/>
          <w:bCs w:val="0"/>
          <w:color w:val="auto"/>
          <w:sz w:val="28"/>
          <w:szCs w:val="28"/>
          <w:highlight w:val="none"/>
          <w:lang w:val="en-US" w:eastAsia="zh-CN"/>
        </w:rPr>
        <w:t>均</w:t>
      </w:r>
      <w:r>
        <w:rPr>
          <w:rFonts w:hint="eastAsia" w:cstheme="minorEastAsia"/>
          <w:b w:val="0"/>
          <w:bCs w:val="0"/>
          <w:color w:val="auto"/>
          <w:sz w:val="28"/>
          <w:szCs w:val="28"/>
          <w:highlight w:val="none"/>
          <w:lang w:val="en-US" w:eastAsia="zh-CN"/>
        </w:rPr>
        <w:t>可</w:t>
      </w:r>
      <w:r>
        <w:rPr>
          <w:rFonts w:hint="eastAsia" w:asciiTheme="minorEastAsia" w:hAnsiTheme="minorEastAsia" w:eastAsiaTheme="minorEastAsia" w:cstheme="minorEastAsia"/>
          <w:b w:val="0"/>
          <w:bCs w:val="0"/>
          <w:color w:val="auto"/>
          <w:sz w:val="28"/>
          <w:szCs w:val="28"/>
          <w:highlight w:val="none"/>
          <w:lang w:val="en-US" w:eastAsia="zh-CN"/>
        </w:rPr>
        <w:t>计入干式工法面积；</w:t>
      </w:r>
    </w:p>
    <w:p>
      <w:pPr>
        <w:rPr>
          <w:rFonts w:hint="eastAsia"/>
          <w:color w:val="auto"/>
          <w:highlight w:val="none"/>
        </w:rPr>
      </w:pPr>
      <w:r>
        <w:rPr>
          <w:b/>
          <w:color w:val="auto"/>
          <w:highlight w:val="none"/>
        </w:rPr>
        <w:t>4.0.1</w:t>
      </w:r>
      <w:r>
        <w:rPr>
          <w:rFonts w:hint="eastAsia"/>
          <w:b/>
          <w:color w:val="auto"/>
          <w:highlight w:val="none"/>
          <w:lang w:val="en-US" w:eastAsia="zh-CN"/>
        </w:rPr>
        <w:t>4</w:t>
      </w:r>
      <w:r>
        <w:rPr>
          <w:color w:val="auto"/>
          <w:highlight w:val="none"/>
        </w:rPr>
        <w:t xml:space="preserve">  </w:t>
      </w:r>
      <w:r>
        <w:rPr>
          <w:rFonts w:hint="eastAsia"/>
          <w:color w:val="auto"/>
          <w:highlight w:val="none"/>
        </w:rPr>
        <w:t>水、暖管线与结构分离比例应按下列公式计算：</w:t>
      </w:r>
    </w:p>
    <w:p>
      <w:pPr>
        <w:pStyle w:val="36"/>
        <w:ind w:right="85" w:firstLine="0" w:firstLineChars="0"/>
        <w:jc w:val="center"/>
        <w:rPr>
          <w:rFonts w:hint="eastAsia" w:asciiTheme="minorEastAsia" w:hAnsiTheme="minorEastAsia" w:cstheme="minorEastAsia"/>
          <w:color w:val="auto"/>
          <w:szCs w:val="28"/>
          <w:highlight w:val="none"/>
        </w:rPr>
      </w:pPr>
      <w:r>
        <w:rPr>
          <w:rFonts w:asciiTheme="minorEastAsia" w:hAnsiTheme="minorEastAsia" w:cstheme="minorEastAsia"/>
          <w:i/>
          <w:color w:val="auto"/>
          <w:szCs w:val="28"/>
          <w:highlight w:val="none"/>
        </w:rPr>
        <w:t xml:space="preserve">      </w:t>
      </w:r>
      <w:r>
        <w:rPr>
          <w:rFonts w:ascii="Times New Roman" w:hAnsi="Times New Roman" w:eastAsia="仿宋" w:cs="Times New Roman"/>
          <w:i/>
          <w:iCs/>
          <w:color w:val="auto"/>
          <w:kern w:val="0"/>
          <w:sz w:val="24"/>
          <w:highlight w:val="none"/>
        </w:rPr>
        <w:t>q</w:t>
      </w:r>
      <w:r>
        <w:rPr>
          <w:rFonts w:asciiTheme="minorEastAsia" w:hAnsiTheme="minorEastAsia" w:cstheme="minorEastAsia"/>
          <w:i/>
          <w:color w:val="auto"/>
          <w:szCs w:val="28"/>
          <w:highlight w:val="none"/>
          <w:vertAlign w:val="subscript"/>
        </w:rPr>
        <w:t>3d</w:t>
      </w:r>
      <w:r>
        <w:rPr>
          <w:rFonts w:asciiTheme="minorEastAsia" w:hAnsiTheme="minorEastAsia" w:cstheme="minorEastAsia"/>
          <w:color w:val="auto"/>
          <w:szCs w:val="28"/>
          <w:highlight w:val="none"/>
        </w:rPr>
        <w:t>=</w:t>
      </w:r>
      <w:r>
        <w:rPr>
          <w:rFonts w:asciiTheme="minorEastAsia" w:hAnsiTheme="minorEastAsia" w:cstheme="minorEastAsia"/>
          <w:i/>
          <w:color w:val="auto"/>
          <w:szCs w:val="28"/>
          <w:highlight w:val="none"/>
        </w:rPr>
        <w:t>L</w:t>
      </w:r>
      <w:r>
        <w:rPr>
          <w:rFonts w:asciiTheme="minorEastAsia" w:hAnsiTheme="minorEastAsia" w:cstheme="minorEastAsia"/>
          <w:i/>
          <w:color w:val="auto"/>
          <w:szCs w:val="28"/>
          <w:highlight w:val="none"/>
          <w:vertAlign w:val="subscript"/>
        </w:rPr>
        <w:t>3d</w:t>
      </w:r>
      <w:r>
        <w:rPr>
          <w:rFonts w:asciiTheme="minorEastAsia" w:hAnsiTheme="minorEastAsia" w:cstheme="minorEastAsia"/>
          <w:color w:val="auto"/>
          <w:szCs w:val="28"/>
          <w:highlight w:val="none"/>
        </w:rPr>
        <w:t>/</w:t>
      </w:r>
      <w:r>
        <w:rPr>
          <w:rFonts w:asciiTheme="minorEastAsia" w:hAnsiTheme="minorEastAsia" w:cstheme="minorEastAsia"/>
          <w:i/>
          <w:color w:val="auto"/>
          <w:szCs w:val="28"/>
          <w:highlight w:val="none"/>
        </w:rPr>
        <w:t>L</w:t>
      </w:r>
      <w:r>
        <w:rPr>
          <w:rFonts w:asciiTheme="minorEastAsia" w:hAnsiTheme="minorEastAsia" w:cstheme="minorEastAsia"/>
          <w:i/>
          <w:color w:val="auto"/>
          <w:szCs w:val="28"/>
          <w:highlight w:val="none"/>
          <w:vertAlign w:val="subscript"/>
        </w:rPr>
        <w:t>1</w:t>
      </w:r>
      <w:r>
        <w:rPr>
          <w:rFonts w:hint="eastAsia" w:asciiTheme="minorEastAsia" w:hAnsiTheme="minorEastAsia" w:cstheme="minorEastAsia"/>
          <w:color w:val="auto"/>
          <w:szCs w:val="28"/>
          <w:highlight w:val="none"/>
        </w:rPr>
        <w:t>×</w:t>
      </w:r>
      <w:r>
        <w:rPr>
          <w:rFonts w:asciiTheme="minorEastAsia" w:hAnsiTheme="minorEastAsia" w:cstheme="minorEastAsia"/>
          <w:color w:val="auto"/>
          <w:szCs w:val="28"/>
          <w:highlight w:val="none"/>
        </w:rPr>
        <w:t>100%</w:t>
      </w:r>
      <w:r>
        <w:rPr>
          <w:rFonts w:asciiTheme="minorEastAsia" w:hAnsiTheme="minorEastAsia" w:cstheme="minorEastAsia"/>
          <w:bCs/>
          <w:color w:val="auto"/>
          <w:szCs w:val="28"/>
          <w:highlight w:val="none"/>
        </w:rPr>
        <w:t xml:space="preserve">               </w:t>
      </w:r>
      <w:r>
        <w:rPr>
          <w:rFonts w:asciiTheme="minorEastAsia" w:hAnsiTheme="minorEastAsia" w:cstheme="minorEastAsia"/>
          <w:color w:val="auto"/>
          <w:szCs w:val="28"/>
          <w:highlight w:val="none"/>
        </w:rPr>
        <w:t>(4.0.15)</w:t>
      </w:r>
    </w:p>
    <w:p>
      <w:pPr>
        <w:tabs>
          <w:tab w:val="left" w:pos="709"/>
        </w:tabs>
        <w:rPr>
          <w:rFonts w:hint="eastAsia"/>
          <w:color w:val="auto"/>
          <w:highlight w:val="none"/>
        </w:rPr>
      </w:pPr>
      <w:r>
        <w:rPr>
          <w:rFonts w:hint="eastAsia"/>
          <w:color w:val="auto"/>
          <w:highlight w:val="none"/>
        </w:rPr>
        <w:t>式中：</w:t>
      </w:r>
      <w:r>
        <w:rPr>
          <w:i/>
          <w:color w:val="auto"/>
          <w:highlight w:val="none"/>
        </w:rPr>
        <w:t>Q</w:t>
      </w:r>
      <w:r>
        <w:rPr>
          <w:i/>
          <w:color w:val="auto"/>
          <w:highlight w:val="none"/>
          <w:vertAlign w:val="subscript"/>
        </w:rPr>
        <w:t>3d</w:t>
      </w:r>
      <w:r>
        <w:rPr>
          <w:rFonts w:hint="eastAsia"/>
          <w:color w:val="auto"/>
          <w:highlight w:val="none"/>
        </w:rPr>
        <w:t>──水、暖管线分离比例；</w:t>
      </w:r>
    </w:p>
    <w:p>
      <w:pPr>
        <w:tabs>
          <w:tab w:val="left" w:pos="709"/>
        </w:tabs>
        <w:rPr>
          <w:rFonts w:hint="eastAsia"/>
          <w:color w:val="auto"/>
          <w:highlight w:val="none"/>
        </w:rPr>
      </w:pPr>
      <w:r>
        <w:rPr>
          <w:i/>
          <w:color w:val="auto"/>
          <w:highlight w:val="none"/>
        </w:rPr>
        <w:t xml:space="preserve">      L</w:t>
      </w:r>
      <w:r>
        <w:rPr>
          <w:i/>
          <w:color w:val="auto"/>
          <w:highlight w:val="none"/>
          <w:vertAlign w:val="subscript"/>
        </w:rPr>
        <w:t>3d</w:t>
      </w:r>
      <w:r>
        <w:rPr>
          <w:rFonts w:hint="eastAsia"/>
          <w:color w:val="auto"/>
          <w:highlight w:val="none"/>
        </w:rPr>
        <w:t>──各楼层水、暖管线分离的长度，包括裸露于室内空间以及敷设在地面架空层、非承重墙体空腔和吊顶内的给水排水和采暖管线长度之和；</w:t>
      </w:r>
    </w:p>
    <w:p>
      <w:pPr>
        <w:tabs>
          <w:tab w:val="left" w:pos="709"/>
        </w:tabs>
        <w:rPr>
          <w:rFonts w:hint="eastAsia"/>
          <w:color w:val="auto"/>
          <w:highlight w:val="none"/>
        </w:rPr>
      </w:pPr>
      <w:r>
        <w:rPr>
          <w:i/>
          <w:color w:val="auto"/>
          <w:highlight w:val="none"/>
        </w:rPr>
        <w:t xml:space="preserve">      L</w:t>
      </w:r>
      <w:r>
        <w:rPr>
          <w:i/>
          <w:color w:val="auto"/>
          <w:highlight w:val="none"/>
          <w:vertAlign w:val="subscript"/>
        </w:rPr>
        <w:t>1</w:t>
      </w:r>
      <w:r>
        <w:rPr>
          <w:rFonts w:hint="eastAsia"/>
          <w:color w:val="auto"/>
          <w:highlight w:val="none"/>
        </w:rPr>
        <w:t>──各楼层中给水排水和采暖等管线的总长度。</w:t>
      </w:r>
    </w:p>
    <w:p>
      <w:pPr>
        <w:tabs>
          <w:tab w:val="left" w:pos="709"/>
        </w:tabs>
        <w:rPr>
          <w:rFonts w:hint="eastAsia"/>
          <w:color w:val="auto"/>
          <w:highlight w:val="none"/>
        </w:rPr>
      </w:pPr>
      <w:r>
        <w:rPr>
          <w:b/>
          <w:color w:val="auto"/>
          <w:highlight w:val="none"/>
        </w:rPr>
        <w:t>4.0.1</w:t>
      </w:r>
      <w:r>
        <w:rPr>
          <w:rFonts w:hint="eastAsia"/>
          <w:b/>
          <w:color w:val="auto"/>
          <w:highlight w:val="none"/>
          <w:lang w:val="en-US" w:eastAsia="zh-CN"/>
        </w:rPr>
        <w:t>5</w:t>
      </w:r>
      <w:r>
        <w:rPr>
          <w:color w:val="auto"/>
          <w:highlight w:val="none"/>
        </w:rPr>
        <w:t xml:space="preserve"> </w:t>
      </w:r>
      <w:r>
        <w:rPr>
          <w:rFonts w:hint="eastAsia"/>
          <w:color w:val="auto"/>
          <w:highlight w:val="none"/>
          <w:lang w:val="en-US" w:eastAsia="zh-CN"/>
        </w:rPr>
        <w:t xml:space="preserve"> </w:t>
      </w:r>
      <w:r>
        <w:rPr>
          <w:rFonts w:hint="eastAsia"/>
          <w:color w:val="auto"/>
          <w:highlight w:val="none"/>
        </w:rPr>
        <w:t>电气管线与结构分离的比例应按下列公式计算：</w:t>
      </w:r>
    </w:p>
    <w:p>
      <w:pPr>
        <w:pStyle w:val="36"/>
        <w:ind w:right="85" w:firstLine="0" w:firstLineChars="0"/>
        <w:jc w:val="center"/>
        <w:rPr>
          <w:rFonts w:hint="eastAsia" w:asciiTheme="minorEastAsia" w:hAnsiTheme="minorEastAsia" w:cstheme="minorEastAsia"/>
          <w:color w:val="auto"/>
          <w:szCs w:val="28"/>
          <w:highlight w:val="none"/>
        </w:rPr>
      </w:pPr>
      <w:r>
        <w:rPr>
          <w:rFonts w:asciiTheme="minorEastAsia" w:hAnsiTheme="minorEastAsia" w:cstheme="minorEastAsia"/>
          <w:i/>
          <w:color w:val="auto"/>
          <w:szCs w:val="28"/>
          <w:highlight w:val="none"/>
        </w:rPr>
        <w:t xml:space="preserve">    </w:t>
      </w:r>
      <w:r>
        <w:rPr>
          <w:rFonts w:ascii="Times New Roman" w:hAnsi="Times New Roman" w:eastAsia="仿宋" w:cs="Times New Roman"/>
          <w:i/>
          <w:iCs/>
          <w:color w:val="auto"/>
          <w:kern w:val="0"/>
          <w:sz w:val="24"/>
          <w:highlight w:val="none"/>
        </w:rPr>
        <w:t>q</w:t>
      </w:r>
      <w:r>
        <w:rPr>
          <w:rFonts w:asciiTheme="minorEastAsia" w:hAnsiTheme="minorEastAsia" w:cstheme="minorEastAsia"/>
          <w:i/>
          <w:color w:val="auto"/>
          <w:szCs w:val="28"/>
          <w:highlight w:val="none"/>
          <w:vertAlign w:val="subscript"/>
        </w:rPr>
        <w:t>3e</w:t>
      </w:r>
      <w:r>
        <w:rPr>
          <w:rFonts w:asciiTheme="minorEastAsia" w:hAnsiTheme="minorEastAsia" w:cstheme="minorEastAsia"/>
          <w:color w:val="auto"/>
          <w:szCs w:val="28"/>
          <w:highlight w:val="none"/>
        </w:rPr>
        <w:t>=</w:t>
      </w:r>
      <w:r>
        <w:rPr>
          <w:rFonts w:asciiTheme="minorEastAsia" w:hAnsiTheme="minorEastAsia" w:cstheme="minorEastAsia"/>
          <w:i/>
          <w:color w:val="auto"/>
          <w:szCs w:val="28"/>
          <w:highlight w:val="none"/>
        </w:rPr>
        <w:t>L</w:t>
      </w:r>
      <w:r>
        <w:rPr>
          <w:rFonts w:asciiTheme="minorEastAsia" w:hAnsiTheme="minorEastAsia" w:cstheme="minorEastAsia"/>
          <w:i/>
          <w:color w:val="auto"/>
          <w:szCs w:val="28"/>
          <w:highlight w:val="none"/>
          <w:vertAlign w:val="subscript"/>
        </w:rPr>
        <w:t>3e</w:t>
      </w:r>
      <w:r>
        <w:rPr>
          <w:rFonts w:asciiTheme="minorEastAsia" w:hAnsiTheme="minorEastAsia" w:cstheme="minorEastAsia"/>
          <w:color w:val="auto"/>
          <w:szCs w:val="28"/>
          <w:highlight w:val="none"/>
        </w:rPr>
        <w:t>/</w:t>
      </w:r>
      <w:r>
        <w:rPr>
          <w:rFonts w:asciiTheme="minorEastAsia" w:hAnsiTheme="minorEastAsia" w:cstheme="minorEastAsia"/>
          <w:i/>
          <w:color w:val="auto"/>
          <w:szCs w:val="28"/>
          <w:highlight w:val="none"/>
        </w:rPr>
        <w:t>L</w:t>
      </w:r>
      <w:r>
        <w:rPr>
          <w:rFonts w:asciiTheme="minorEastAsia" w:hAnsiTheme="minorEastAsia" w:cstheme="minorEastAsia"/>
          <w:i/>
          <w:color w:val="auto"/>
          <w:szCs w:val="28"/>
          <w:highlight w:val="none"/>
          <w:vertAlign w:val="subscript"/>
        </w:rPr>
        <w:t>2</w:t>
      </w:r>
      <w:r>
        <w:rPr>
          <w:rFonts w:hint="eastAsia" w:asciiTheme="minorEastAsia" w:hAnsiTheme="minorEastAsia" w:cstheme="minorEastAsia"/>
          <w:color w:val="auto"/>
          <w:szCs w:val="28"/>
          <w:highlight w:val="none"/>
        </w:rPr>
        <w:t>×</w:t>
      </w:r>
      <w:r>
        <w:rPr>
          <w:rFonts w:asciiTheme="minorEastAsia" w:hAnsiTheme="minorEastAsia" w:cstheme="minorEastAsia"/>
          <w:color w:val="auto"/>
          <w:szCs w:val="28"/>
          <w:highlight w:val="none"/>
        </w:rPr>
        <w:t>100%</w:t>
      </w:r>
      <w:r>
        <w:rPr>
          <w:rFonts w:asciiTheme="minorEastAsia" w:hAnsiTheme="minorEastAsia" w:cstheme="minorEastAsia"/>
          <w:bCs/>
          <w:color w:val="auto"/>
          <w:szCs w:val="28"/>
          <w:highlight w:val="none"/>
        </w:rPr>
        <w:t xml:space="preserve">               </w:t>
      </w:r>
      <w:r>
        <w:rPr>
          <w:rFonts w:asciiTheme="minorEastAsia" w:hAnsiTheme="minorEastAsia" w:cstheme="minorEastAsia"/>
          <w:color w:val="auto"/>
          <w:szCs w:val="28"/>
          <w:highlight w:val="none"/>
        </w:rPr>
        <w:t>(4.0.16)</w:t>
      </w:r>
    </w:p>
    <w:p>
      <w:pPr>
        <w:tabs>
          <w:tab w:val="left" w:pos="709"/>
        </w:tabs>
        <w:rPr>
          <w:rFonts w:hint="eastAsia"/>
          <w:color w:val="auto"/>
          <w:highlight w:val="none"/>
        </w:rPr>
      </w:pPr>
      <w:r>
        <w:rPr>
          <w:rFonts w:hint="eastAsia"/>
          <w:color w:val="auto"/>
          <w:highlight w:val="none"/>
        </w:rPr>
        <w:t>式中：</w:t>
      </w:r>
      <w:r>
        <w:rPr>
          <w:rFonts w:ascii="Times New Roman" w:hAnsi="Times New Roman" w:eastAsia="仿宋" w:cs="Times New Roman"/>
          <w:i/>
          <w:iCs/>
          <w:color w:val="auto"/>
          <w:kern w:val="0"/>
          <w:sz w:val="24"/>
          <w:highlight w:val="none"/>
        </w:rPr>
        <w:t>q</w:t>
      </w:r>
      <w:r>
        <w:rPr>
          <w:i/>
          <w:color w:val="auto"/>
          <w:highlight w:val="none"/>
          <w:vertAlign w:val="subscript"/>
        </w:rPr>
        <w:t>3e</w:t>
      </w:r>
      <w:r>
        <w:rPr>
          <w:rFonts w:hint="eastAsia"/>
          <w:color w:val="auto"/>
          <w:highlight w:val="none"/>
        </w:rPr>
        <w:t>──电气管线分离比例；</w:t>
      </w:r>
    </w:p>
    <w:p>
      <w:pPr>
        <w:tabs>
          <w:tab w:val="left" w:pos="709"/>
        </w:tabs>
        <w:rPr>
          <w:rFonts w:hint="eastAsia"/>
          <w:i/>
          <w:color w:val="auto"/>
          <w:highlight w:val="none"/>
        </w:rPr>
      </w:pPr>
      <w:r>
        <w:rPr>
          <w:i/>
          <w:color w:val="auto"/>
          <w:highlight w:val="none"/>
        </w:rPr>
        <w:t xml:space="preserve">      L</w:t>
      </w:r>
      <w:r>
        <w:rPr>
          <w:i/>
          <w:color w:val="auto"/>
          <w:highlight w:val="none"/>
          <w:vertAlign w:val="subscript"/>
        </w:rPr>
        <w:t>3e</w:t>
      </w:r>
      <w:r>
        <w:rPr>
          <w:rFonts w:hint="eastAsia"/>
          <w:color w:val="auto"/>
          <w:highlight w:val="none"/>
        </w:rPr>
        <w:t>──各楼层电气管线分离的长度，包括裸露于室内空间以及敷设在地面架空层、非承重墙体空腔和吊顶内的电气管线；</w:t>
      </w:r>
      <w:r>
        <w:rPr>
          <w:i/>
          <w:color w:val="auto"/>
          <w:highlight w:val="none"/>
        </w:rPr>
        <w:t xml:space="preserve"> </w:t>
      </w:r>
    </w:p>
    <w:p>
      <w:pPr>
        <w:tabs>
          <w:tab w:val="left" w:pos="709"/>
        </w:tabs>
        <w:rPr>
          <w:rFonts w:hint="eastAsia"/>
          <w:color w:val="auto"/>
          <w:highlight w:val="none"/>
        </w:rPr>
      </w:pPr>
      <w:r>
        <w:rPr>
          <w:rFonts w:hint="eastAsia"/>
          <w:i/>
          <w:color w:val="auto"/>
          <w:highlight w:val="none"/>
        </w:rPr>
        <w:t xml:space="preserve">      </w:t>
      </w:r>
      <w:r>
        <w:rPr>
          <w:i/>
          <w:color w:val="auto"/>
          <w:highlight w:val="none"/>
        </w:rPr>
        <w:t>L</w:t>
      </w:r>
      <w:r>
        <w:rPr>
          <w:i/>
          <w:color w:val="auto"/>
          <w:highlight w:val="none"/>
          <w:vertAlign w:val="subscript"/>
        </w:rPr>
        <w:t>2</w:t>
      </w:r>
      <w:r>
        <w:rPr>
          <w:rFonts w:hint="eastAsia"/>
          <w:color w:val="auto"/>
          <w:highlight w:val="none"/>
        </w:rPr>
        <w:t>──各楼层中电气管线的总长度。</w:t>
      </w:r>
    </w:p>
    <w:p>
      <w:pPr>
        <w:rPr>
          <w:rFonts w:hint="eastAsia"/>
          <w:color w:val="auto"/>
          <w:highlight w:val="none"/>
        </w:rPr>
      </w:pPr>
      <w:r>
        <w:rPr>
          <w:rFonts w:hint="eastAsia"/>
          <w:color w:val="auto"/>
          <w:highlight w:val="none"/>
        </w:rPr>
        <w:t>注：电气中的管线长度按穿管长度计算。</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条文说明：4.0.1</w:t>
      </w:r>
      <w:r>
        <w:rPr>
          <w:rFonts w:hint="eastAsia" w:ascii="楷体" w:hAnsi="楷体" w:eastAsia="楷体" w:cs="楷体"/>
          <w:b w:val="0"/>
          <w:bCs w:val="0"/>
          <w:i w:val="0"/>
          <w:iCs w:val="0"/>
          <w:color w:val="auto"/>
          <w:highlight w:val="none"/>
          <w:lang w:val="en-US" w:eastAsia="zh-CN"/>
        </w:rPr>
        <w:t>4</w:t>
      </w:r>
      <w:r>
        <w:rPr>
          <w:rFonts w:hint="eastAsia" w:ascii="楷体" w:hAnsi="楷体" w:eastAsia="楷体" w:cs="楷体"/>
          <w:b w:val="0"/>
          <w:bCs w:val="0"/>
          <w:i w:val="0"/>
          <w:iCs w:val="0"/>
          <w:color w:val="auto"/>
          <w:highlight w:val="none"/>
        </w:rPr>
        <w:t>-4.0.1</w:t>
      </w:r>
      <w:r>
        <w:rPr>
          <w:rFonts w:hint="eastAsia" w:ascii="楷体" w:hAnsi="楷体" w:eastAsia="楷体" w:cs="楷体"/>
          <w:b w:val="0"/>
          <w:bCs w:val="0"/>
          <w:i w:val="0"/>
          <w:iCs w:val="0"/>
          <w:color w:val="auto"/>
          <w:highlight w:val="none"/>
          <w:lang w:val="en-US" w:eastAsia="zh-CN"/>
        </w:rPr>
        <w:t>5</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考虑到工程实际需要，水、暖管线及电气管线与结构分离包括竖向管线与结构分离和水平管线与结构分离，分离比例计算的管线专业包括电气（强电、弱电、通信和信息化系统等）、给水排水和采暖等专业。对于裸露于室内空间、非承重墙体空腔、敷设在地面架空层以及吊顶内的管线应认定为管线分离；而对于埋置在结构构件内部（不含横穿）或敷设在湿作业墙体内或敷设在湿作业地面垫层内的管线应认定为管线未分离。</w:t>
      </w:r>
    </w:p>
    <w:p>
      <w:pPr>
        <w:pStyle w:val="2"/>
        <w:rPr>
          <w:rFonts w:hint="eastAsia"/>
          <w:color w:val="auto"/>
          <w:highlight w:val="none"/>
        </w:rPr>
      </w:pPr>
    </w:p>
    <w:p>
      <w:pPr>
        <w:rPr>
          <w:rFonts w:hint="eastAsia" w:ascii="宋体" w:hAnsi="宋体" w:eastAsia="宋体" w:cs="宋体"/>
          <w:color w:val="auto"/>
          <w:kern w:val="0"/>
          <w:highlight w:val="none"/>
        </w:rPr>
      </w:pPr>
      <w:r>
        <w:rPr>
          <w:rFonts w:ascii="宋体" w:hAnsi="宋体" w:eastAsia="宋体" w:cs="宋体"/>
          <w:b/>
          <w:color w:val="auto"/>
          <w:kern w:val="0"/>
          <w:highlight w:val="none"/>
        </w:rPr>
        <w:t>4.0.1</w:t>
      </w:r>
      <w:r>
        <w:rPr>
          <w:rFonts w:hint="eastAsia" w:ascii="宋体" w:hAnsi="宋体" w:eastAsia="宋体" w:cs="宋体"/>
          <w:b/>
          <w:color w:val="auto"/>
          <w:kern w:val="0"/>
          <w:highlight w:val="none"/>
          <w:lang w:val="en-US" w:eastAsia="zh-CN"/>
        </w:rPr>
        <w:t>6</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en-US" w:eastAsia="zh-CN"/>
        </w:rPr>
        <w:t xml:space="preserve"> </w:t>
      </w:r>
      <w:r>
        <w:rPr>
          <w:rFonts w:hint="eastAsia" w:ascii="宋体" w:hAnsi="宋体" w:eastAsia="宋体" w:cs="宋体"/>
          <w:color w:val="auto"/>
          <w:kern w:val="0"/>
          <w:highlight w:val="none"/>
        </w:rPr>
        <w:t>绿色建筑与</w:t>
      </w:r>
      <w:r>
        <w:rPr>
          <w:rFonts w:ascii="宋体" w:hAnsi="宋体" w:eastAsia="宋体" w:cs="宋体"/>
          <w:color w:val="auto"/>
          <w:kern w:val="0"/>
          <w:highlight w:val="none"/>
        </w:rPr>
        <w:t>绿色</w:t>
      </w:r>
      <w:r>
        <w:rPr>
          <w:rFonts w:hint="eastAsia" w:ascii="宋体" w:hAnsi="宋体" w:eastAsia="宋体" w:cs="宋体"/>
          <w:color w:val="auto"/>
          <w:kern w:val="0"/>
          <w:highlight w:val="none"/>
        </w:rPr>
        <w:t>建材应用”，按现行《绿色建筑评价标准》</w:t>
      </w:r>
      <w:r>
        <w:rPr>
          <w:rFonts w:ascii="宋体" w:hAnsi="宋体" w:eastAsia="宋体" w:cs="宋体"/>
          <w:color w:val="auto"/>
          <w:kern w:val="0"/>
          <w:highlight w:val="none"/>
        </w:rPr>
        <w:t>GB/T50378</w:t>
      </w:r>
      <w:r>
        <w:rPr>
          <w:rFonts w:hint="eastAsia" w:ascii="宋体" w:hAnsi="宋体" w:eastAsia="宋体" w:cs="宋体"/>
          <w:color w:val="auto"/>
          <w:kern w:val="0"/>
          <w:highlight w:val="none"/>
        </w:rPr>
        <w:t>执行</w:t>
      </w:r>
      <w:r>
        <w:rPr>
          <w:rFonts w:ascii="宋体" w:hAnsi="宋体" w:eastAsia="宋体" w:cs="宋体"/>
          <w:color w:val="auto"/>
          <w:kern w:val="0"/>
          <w:highlight w:val="none"/>
        </w:rPr>
        <w:t>，</w:t>
      </w:r>
      <w:r>
        <w:rPr>
          <w:rFonts w:hint="eastAsia" w:ascii="宋体" w:hAnsi="宋体" w:eastAsia="宋体" w:cs="宋体"/>
          <w:color w:val="auto"/>
          <w:kern w:val="0"/>
          <w:highlight w:val="none"/>
        </w:rPr>
        <w:t>绿色建筑设计为一星</w:t>
      </w:r>
      <w:r>
        <w:rPr>
          <w:rFonts w:hint="eastAsia" w:ascii="宋体" w:hAnsi="宋体" w:eastAsia="宋体" w:cs="宋体"/>
          <w:color w:val="auto"/>
          <w:kern w:val="0"/>
          <w:highlight w:val="none"/>
          <w:lang w:eastAsia="zh-CN"/>
        </w:rPr>
        <w:t>不得分，</w:t>
      </w:r>
      <w:r>
        <w:rPr>
          <w:rFonts w:hint="eastAsia" w:ascii="宋体" w:hAnsi="宋体" w:eastAsia="宋体" w:cs="宋体"/>
          <w:color w:val="auto"/>
          <w:kern w:val="0"/>
          <w:highlight w:val="none"/>
        </w:rPr>
        <w:t>二星、三星分别得</w:t>
      </w:r>
      <w:r>
        <w:rPr>
          <w:rFonts w:ascii="宋体" w:hAnsi="宋体" w:eastAsia="宋体" w:cs="宋体"/>
          <w:color w:val="auto"/>
          <w:kern w:val="0"/>
          <w:highlight w:val="none"/>
        </w:rPr>
        <w:t>1分、</w:t>
      </w:r>
      <w:r>
        <w:rPr>
          <w:rFonts w:hint="eastAsia" w:ascii="宋体" w:hAnsi="宋体" w:eastAsia="宋体" w:cs="宋体"/>
          <w:color w:val="auto"/>
          <w:kern w:val="0"/>
          <w:highlight w:val="none"/>
        </w:rPr>
        <w:t>2</w:t>
      </w:r>
      <w:r>
        <w:rPr>
          <w:rFonts w:ascii="宋体" w:hAnsi="宋体" w:eastAsia="宋体" w:cs="宋体"/>
          <w:color w:val="auto"/>
          <w:kern w:val="0"/>
          <w:highlight w:val="none"/>
        </w:rPr>
        <w:t>分。</w:t>
      </w:r>
      <w:r>
        <w:rPr>
          <w:rFonts w:hint="eastAsia" w:ascii="宋体" w:hAnsi="宋体" w:eastAsia="宋体" w:cs="宋体"/>
          <w:color w:val="auto"/>
          <w:kern w:val="0"/>
          <w:highlight w:val="none"/>
        </w:rPr>
        <w:t>绿色建材选用《绿色建材采信应用数据库》，每</w:t>
      </w:r>
      <w:r>
        <w:rPr>
          <w:rFonts w:ascii="宋体" w:hAnsi="宋体" w:eastAsia="宋体" w:cs="宋体"/>
          <w:color w:val="auto"/>
          <w:kern w:val="0"/>
          <w:highlight w:val="none"/>
        </w:rPr>
        <w:t>使用1项的</w:t>
      </w:r>
      <w:r>
        <w:rPr>
          <w:rFonts w:hint="eastAsia" w:ascii="宋体" w:hAnsi="宋体" w:eastAsia="宋体" w:cs="宋体"/>
          <w:color w:val="auto"/>
          <w:kern w:val="0"/>
          <w:highlight w:val="none"/>
        </w:rPr>
        <w:t>得0.5</w:t>
      </w:r>
      <w:r>
        <w:rPr>
          <w:rFonts w:ascii="宋体" w:hAnsi="宋体" w:eastAsia="宋体" w:cs="宋体"/>
          <w:color w:val="auto"/>
          <w:kern w:val="0"/>
          <w:highlight w:val="none"/>
        </w:rPr>
        <w:t>分，</w:t>
      </w:r>
      <w:r>
        <w:rPr>
          <w:rFonts w:hint="eastAsia" w:ascii="宋体" w:hAnsi="宋体" w:eastAsia="宋体" w:cs="宋体"/>
          <w:color w:val="auto"/>
          <w:kern w:val="0"/>
          <w:highlight w:val="none"/>
        </w:rPr>
        <w:t>绿色建材应用最高得分值不大于</w:t>
      </w:r>
      <w:r>
        <w:rPr>
          <w:rFonts w:ascii="宋体" w:hAnsi="宋体" w:eastAsia="宋体" w:cs="宋体"/>
          <w:color w:val="auto"/>
          <w:kern w:val="0"/>
          <w:highlight w:val="none"/>
        </w:rPr>
        <w:t>2分</w:t>
      </w:r>
      <w:r>
        <w:rPr>
          <w:rFonts w:hint="eastAsia" w:ascii="宋体" w:hAnsi="宋体" w:eastAsia="宋体" w:cs="宋体"/>
          <w:color w:val="auto"/>
          <w:kern w:val="0"/>
          <w:highlight w:val="none"/>
        </w:rPr>
        <w:t>。</w:t>
      </w:r>
      <w:r>
        <w:rPr>
          <w:rFonts w:ascii="宋体" w:hAnsi="宋体" w:eastAsia="宋体" w:cs="宋体"/>
          <w:color w:val="auto"/>
          <w:kern w:val="0"/>
          <w:highlight w:val="none"/>
        </w:rPr>
        <w:t>但该项累加总分值不大于</w:t>
      </w:r>
      <w:r>
        <w:rPr>
          <w:rFonts w:hint="eastAsia" w:ascii="宋体" w:hAnsi="宋体" w:eastAsia="宋体" w:cs="宋体"/>
          <w:color w:val="auto"/>
          <w:kern w:val="0"/>
          <w:highlight w:val="none"/>
        </w:rPr>
        <w:t>3</w:t>
      </w:r>
      <w:r>
        <w:rPr>
          <w:rFonts w:ascii="宋体" w:hAnsi="宋体" w:eastAsia="宋体" w:cs="宋体"/>
          <w:color w:val="auto"/>
          <w:kern w:val="0"/>
          <w:highlight w:val="none"/>
        </w:rPr>
        <w:t>分。</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条文说明：4.0.1</w:t>
      </w:r>
      <w:r>
        <w:rPr>
          <w:rFonts w:hint="eastAsia" w:ascii="楷体" w:hAnsi="楷体" w:eastAsia="楷体" w:cs="楷体"/>
          <w:b w:val="0"/>
          <w:bCs w:val="0"/>
          <w:i w:val="0"/>
          <w:iCs w:val="0"/>
          <w:color w:val="auto"/>
          <w:highlight w:val="none"/>
          <w:lang w:eastAsia="zh-CN"/>
        </w:rPr>
        <w:t>6</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表4.0.1中鼓励项“绿色建筑设计与绿色建材应用”，绿色建筑以现行《绿色建筑评价标准》GB/T50378为依据按星级评分；绿色建材是经发布《绿色建材采信应用数据库》中某项绿色建材在单体工程中全部应用方可得分，否则不予认可。</w:t>
      </w:r>
    </w:p>
    <w:p>
      <w:pPr>
        <w:rPr>
          <w:rFonts w:hint="eastAsia"/>
          <w:color w:val="auto"/>
          <w:highlight w:val="none"/>
        </w:rPr>
      </w:pPr>
      <w:r>
        <w:rPr>
          <w:rFonts w:hint="eastAsia"/>
          <w:b/>
          <w:color w:val="auto"/>
          <w:highlight w:val="none"/>
        </w:rPr>
        <w:t>4.0.1</w:t>
      </w:r>
      <w:r>
        <w:rPr>
          <w:rFonts w:hint="eastAsia"/>
          <w:b/>
          <w:color w:val="auto"/>
          <w:highlight w:val="none"/>
          <w:lang w:val="en-US" w:eastAsia="zh-CN"/>
        </w:rPr>
        <w:t>7</w:t>
      </w:r>
      <w:r>
        <w:rPr>
          <w:rFonts w:hint="eastAsia"/>
          <w:color w:val="auto"/>
          <w:highlight w:val="none"/>
        </w:rPr>
        <w:t xml:space="preserve">  采用高精度模板或免拆模板施工技术的应用比例应按下列公式计算：</w:t>
      </w:r>
    </w:p>
    <w:p>
      <w:pPr>
        <w:jc w:val="center"/>
        <w:rPr>
          <w:rFonts w:hint="eastAsia"/>
          <w:color w:val="auto"/>
          <w:highlight w:val="none"/>
        </w:rPr>
      </w:pPr>
      <w:r>
        <w:rPr>
          <w:i/>
          <w:color w:val="auto"/>
          <w:highlight w:val="none"/>
        </w:rPr>
        <w:t xml:space="preserve">    </w:t>
      </w:r>
      <w:r>
        <w:rPr>
          <w:rFonts w:ascii="Times New Roman" w:hAnsi="Times New Roman" w:eastAsia="仿宋" w:cs="Times New Roman"/>
          <w:i/>
          <w:iCs/>
          <w:color w:val="auto"/>
          <w:kern w:val="0"/>
          <w:sz w:val="24"/>
          <w:highlight w:val="none"/>
        </w:rPr>
        <w:t>q</w:t>
      </w:r>
      <w:r>
        <w:rPr>
          <w:i/>
          <w:color w:val="auto"/>
          <w:highlight w:val="none"/>
          <w:vertAlign w:val="subscript"/>
        </w:rPr>
        <w:t>5a</w:t>
      </w:r>
      <w:r>
        <w:rPr>
          <w:rFonts w:hint="eastAsia"/>
          <w:color w:val="auto"/>
          <w:highlight w:val="none"/>
        </w:rPr>
        <w:t>=</w:t>
      </w:r>
      <w:r>
        <w:rPr>
          <w:rFonts w:hint="eastAsia"/>
          <w:i/>
          <w:color w:val="auto"/>
          <w:highlight w:val="none"/>
        </w:rPr>
        <w:t>A</w:t>
      </w:r>
      <w:r>
        <w:rPr>
          <w:rFonts w:hint="eastAsia"/>
          <w:i/>
          <w:color w:val="auto"/>
          <w:highlight w:val="none"/>
          <w:vertAlign w:val="subscript"/>
        </w:rPr>
        <w:t>5a</w:t>
      </w:r>
      <w:r>
        <w:rPr>
          <w:rFonts w:hint="eastAsia"/>
          <w:color w:val="auto"/>
          <w:highlight w:val="none"/>
        </w:rPr>
        <w:t>/</w:t>
      </w:r>
      <w:r>
        <w:rPr>
          <w:rFonts w:hint="eastAsia"/>
          <w:i/>
          <w:color w:val="auto"/>
          <w:highlight w:val="none"/>
        </w:rPr>
        <w:t>A</w:t>
      </w:r>
      <w:r>
        <w:rPr>
          <w:rFonts w:hint="eastAsia"/>
          <w:i/>
          <w:color w:val="auto"/>
          <w:highlight w:val="none"/>
          <w:vertAlign w:val="subscript"/>
        </w:rPr>
        <w:t>t</w:t>
      </w:r>
      <w:r>
        <w:rPr>
          <w:rFonts w:hint="eastAsia"/>
          <w:color w:val="auto"/>
          <w:highlight w:val="none"/>
        </w:rPr>
        <w:t>×100%</w:t>
      </w:r>
      <w:r>
        <w:rPr>
          <w:bCs/>
          <w:color w:val="auto"/>
          <w:highlight w:val="none"/>
        </w:rPr>
        <w:t xml:space="preserve">               </w:t>
      </w:r>
      <w:r>
        <w:rPr>
          <w:color w:val="auto"/>
          <w:highlight w:val="none"/>
        </w:rPr>
        <w:t>(4.0.18)</w:t>
      </w:r>
    </w:p>
    <w:p>
      <w:pPr>
        <w:rPr>
          <w:rFonts w:hint="eastAsia"/>
          <w:color w:val="auto"/>
          <w:highlight w:val="none"/>
        </w:rPr>
      </w:pPr>
      <w:r>
        <w:rPr>
          <w:rFonts w:hint="eastAsia"/>
          <w:color w:val="auto"/>
          <w:highlight w:val="none"/>
        </w:rPr>
        <w:t xml:space="preserve">  式中：</w:t>
      </w:r>
      <w:r>
        <w:rPr>
          <w:rFonts w:hint="eastAsia"/>
          <w:i/>
          <w:color w:val="auto"/>
          <w:highlight w:val="none"/>
        </w:rPr>
        <w:t>Q</w:t>
      </w:r>
      <w:r>
        <w:rPr>
          <w:rFonts w:hint="eastAsia"/>
          <w:i/>
          <w:color w:val="auto"/>
          <w:highlight w:val="none"/>
          <w:vertAlign w:val="subscript"/>
        </w:rPr>
        <w:t>5a</w:t>
      </w:r>
      <w:r>
        <w:rPr>
          <w:rFonts w:hint="eastAsia"/>
          <w:color w:val="auto"/>
          <w:highlight w:val="none"/>
        </w:rPr>
        <w:t>──采用高精度模板或免拆模板应用的比例；</w:t>
      </w:r>
    </w:p>
    <w:p>
      <w:pPr>
        <w:rPr>
          <w:rFonts w:hint="eastAsia"/>
          <w:color w:val="auto"/>
          <w:highlight w:val="none"/>
        </w:rPr>
      </w:pPr>
      <w:r>
        <w:rPr>
          <w:rFonts w:hint="eastAsia"/>
          <w:i/>
          <w:color w:val="auto"/>
          <w:highlight w:val="none"/>
        </w:rPr>
        <w:t xml:space="preserve">        A</w:t>
      </w:r>
      <w:r>
        <w:rPr>
          <w:rFonts w:hint="eastAsia"/>
          <w:i/>
          <w:color w:val="auto"/>
          <w:highlight w:val="none"/>
          <w:vertAlign w:val="subscript"/>
        </w:rPr>
        <w:t>5a</w:t>
      </w:r>
      <w:r>
        <w:rPr>
          <w:rFonts w:hint="eastAsia"/>
          <w:color w:val="auto"/>
          <w:highlight w:val="none"/>
        </w:rPr>
        <w:t>──采用高精度模板或免拆模板与混凝土接触的面积；</w:t>
      </w:r>
    </w:p>
    <w:p>
      <w:pPr>
        <w:tabs>
          <w:tab w:val="left" w:pos="709"/>
        </w:tabs>
        <w:rPr>
          <w:rFonts w:hint="eastAsia"/>
          <w:color w:val="auto"/>
          <w:highlight w:val="none"/>
        </w:rPr>
      </w:pPr>
      <w:r>
        <w:rPr>
          <w:rFonts w:hint="eastAsia"/>
          <w:i/>
          <w:color w:val="auto"/>
          <w:highlight w:val="none"/>
        </w:rPr>
        <w:t xml:space="preserve">        A</w:t>
      </w:r>
      <w:r>
        <w:rPr>
          <w:rFonts w:hint="eastAsia"/>
          <w:i/>
          <w:color w:val="auto"/>
          <w:highlight w:val="none"/>
          <w:vertAlign w:val="subscript"/>
        </w:rPr>
        <w:t>t</w:t>
      </w:r>
      <w:r>
        <w:rPr>
          <w:rFonts w:hint="eastAsia"/>
          <w:color w:val="auto"/>
          <w:highlight w:val="none"/>
        </w:rPr>
        <w:t>──模板应用的总面积。</w:t>
      </w:r>
    </w:p>
    <w:p>
      <w:pPr>
        <w:tabs>
          <w:tab w:val="left" w:pos="709"/>
        </w:tabs>
        <w:jc w:val="left"/>
        <w:rPr>
          <w:rFonts w:hint="eastAsia"/>
          <w:color w:val="auto"/>
          <w:highlight w:val="none"/>
        </w:rPr>
      </w:pPr>
      <w:r>
        <w:rPr>
          <w:b/>
          <w:color w:val="auto"/>
          <w:highlight w:val="none"/>
        </w:rPr>
        <w:t>4.0.1</w:t>
      </w:r>
      <w:r>
        <w:rPr>
          <w:rFonts w:hint="eastAsia"/>
          <w:b/>
          <w:color w:val="auto"/>
          <w:highlight w:val="none"/>
          <w:lang w:val="en-US" w:eastAsia="zh-CN"/>
        </w:rPr>
        <w:t>8</w:t>
      </w:r>
      <w:r>
        <w:rPr>
          <w:rFonts w:hint="eastAsia"/>
          <w:b/>
          <w:color w:val="auto"/>
          <w:highlight w:val="none"/>
        </w:rPr>
        <w:t xml:space="preserve"> </w:t>
      </w:r>
      <w:r>
        <w:rPr>
          <w:rFonts w:hint="eastAsia"/>
          <w:b/>
          <w:color w:val="auto"/>
          <w:highlight w:val="none"/>
          <w:lang w:val="en-US" w:eastAsia="zh-CN"/>
        </w:rPr>
        <w:t xml:space="preserve"> </w:t>
      </w:r>
      <w:r>
        <w:rPr>
          <w:rFonts w:hint="eastAsia"/>
          <w:color w:val="auto"/>
          <w:highlight w:val="none"/>
        </w:rPr>
        <w:t>标准化设计评分按表4.0.1</w:t>
      </w:r>
      <w:r>
        <w:rPr>
          <w:rFonts w:hint="eastAsia"/>
          <w:color w:val="auto"/>
          <w:highlight w:val="none"/>
          <w:lang w:val="en-US" w:eastAsia="zh-CN"/>
        </w:rPr>
        <w:t>8.1</w:t>
      </w:r>
      <w:r>
        <w:rPr>
          <w:rFonts w:hint="eastAsia"/>
          <w:color w:val="auto"/>
          <w:highlight w:val="none"/>
        </w:rPr>
        <w:t>或表4.0.</w:t>
      </w:r>
      <w:r>
        <w:rPr>
          <w:rFonts w:hint="eastAsia"/>
          <w:color w:val="auto"/>
          <w:highlight w:val="none"/>
          <w:lang w:val="en-US" w:eastAsia="zh-CN"/>
        </w:rPr>
        <w:t>18.2</w:t>
      </w:r>
      <w:r>
        <w:rPr>
          <w:rFonts w:hint="eastAsia"/>
          <w:color w:val="auto"/>
          <w:highlight w:val="none"/>
        </w:rPr>
        <w:t>执行，</w:t>
      </w:r>
      <w:r>
        <w:rPr>
          <w:rFonts w:hint="eastAsia"/>
          <w:color w:val="auto"/>
          <w:highlight w:val="none"/>
          <w:lang w:eastAsia="zh-CN"/>
        </w:rPr>
        <w:t>其中</w:t>
      </w:r>
      <w:r>
        <w:rPr>
          <w:rFonts w:hint="eastAsia"/>
          <w:color w:val="auto"/>
          <w:highlight w:val="none"/>
        </w:rPr>
        <w:t>预制构件及建筑部品部件标准化</w:t>
      </w:r>
      <w:r>
        <w:rPr>
          <w:rFonts w:hint="eastAsia"/>
          <w:color w:val="auto"/>
          <w:highlight w:val="none"/>
          <w:lang w:eastAsia="zh-CN"/>
        </w:rPr>
        <w:t>总分不大于</w:t>
      </w:r>
      <w:r>
        <w:rPr>
          <w:rFonts w:hint="eastAsia"/>
          <w:color w:val="auto"/>
          <w:highlight w:val="none"/>
          <w:lang w:val="en-US" w:eastAsia="zh-CN"/>
        </w:rPr>
        <w:t>2分，</w:t>
      </w:r>
      <w:r>
        <w:rPr>
          <w:rFonts w:ascii="宋体" w:hAnsi="宋体" w:eastAsia="宋体" w:cs="宋体"/>
          <w:color w:val="auto"/>
          <w:kern w:val="0"/>
          <w:highlight w:val="none"/>
        </w:rPr>
        <w:t>累加总分值不大于</w:t>
      </w:r>
      <w:r>
        <w:rPr>
          <w:rFonts w:hint="eastAsia" w:ascii="宋体" w:hAnsi="宋体" w:eastAsia="宋体" w:cs="宋体"/>
          <w:color w:val="auto"/>
          <w:kern w:val="0"/>
          <w:highlight w:val="none"/>
        </w:rPr>
        <w:t>5</w:t>
      </w:r>
      <w:r>
        <w:rPr>
          <w:rFonts w:ascii="宋体" w:hAnsi="宋体" w:eastAsia="宋体" w:cs="宋体"/>
          <w:color w:val="auto"/>
          <w:kern w:val="0"/>
          <w:highlight w:val="none"/>
        </w:rPr>
        <w:t>分</w:t>
      </w:r>
      <w:r>
        <w:rPr>
          <w:rFonts w:hint="eastAsia"/>
          <w:color w:val="auto"/>
          <w:highlight w:val="none"/>
        </w:rPr>
        <w:t>。</w:t>
      </w:r>
    </w:p>
    <w:p>
      <w:pPr>
        <w:jc w:val="center"/>
        <w:rPr>
          <w:rFonts w:hint="eastAsia" w:ascii="黑体" w:hAnsi="黑体" w:eastAsia="黑体" w:cs="黑体"/>
          <w:bCs/>
          <w:color w:val="auto"/>
          <w:sz w:val="24"/>
          <w:highlight w:val="none"/>
        </w:rPr>
      </w:pPr>
      <w:r>
        <w:rPr>
          <w:rFonts w:hint="eastAsia" w:ascii="黑体" w:hAnsi="黑体" w:eastAsia="黑体" w:cs="黑体"/>
          <w:bCs/>
          <w:color w:val="auto"/>
          <w:sz w:val="24"/>
          <w:highlight w:val="none"/>
        </w:rPr>
        <w:t>表4.0.1</w:t>
      </w:r>
      <w:r>
        <w:rPr>
          <w:rFonts w:hint="eastAsia" w:ascii="黑体" w:hAnsi="黑体" w:eastAsia="黑体" w:cs="黑体"/>
          <w:bCs/>
          <w:color w:val="auto"/>
          <w:sz w:val="24"/>
          <w:highlight w:val="none"/>
          <w:lang w:val="en-US" w:eastAsia="zh-CN"/>
        </w:rPr>
        <w:t>8.1</w:t>
      </w:r>
      <w:r>
        <w:rPr>
          <w:rFonts w:hint="eastAsia" w:ascii="黑体" w:hAnsi="黑体" w:eastAsia="黑体" w:cs="黑体"/>
          <w:bCs/>
          <w:color w:val="auto"/>
          <w:sz w:val="24"/>
          <w:highlight w:val="none"/>
        </w:rPr>
        <w:t xml:space="preserve"> </w:t>
      </w:r>
      <w:r>
        <w:rPr>
          <w:rFonts w:hint="eastAsia" w:ascii="黑体" w:hAnsi="黑体" w:eastAsia="黑体" w:cs="黑体"/>
          <w:bCs/>
          <w:color w:val="auto"/>
          <w:sz w:val="24"/>
          <w:highlight w:val="none"/>
          <w:lang w:eastAsia="zh-CN"/>
        </w:rPr>
        <w:t>标准套型</w:t>
      </w:r>
      <w:r>
        <w:rPr>
          <w:rFonts w:hint="eastAsia" w:ascii="黑体" w:hAnsi="黑体" w:eastAsia="黑体" w:cs="黑体"/>
          <w:bCs/>
          <w:color w:val="auto"/>
          <w:sz w:val="24"/>
          <w:highlight w:val="none"/>
        </w:rPr>
        <w:t>评分表一</w:t>
      </w:r>
    </w:p>
    <w:tbl>
      <w:tblPr>
        <w:tblStyle w:val="17"/>
        <w:tblW w:w="9078"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1"/>
        <w:gridCol w:w="3718"/>
        <w:gridCol w:w="2775"/>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491"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建筑类别</w:t>
            </w:r>
          </w:p>
        </w:tc>
        <w:tc>
          <w:tcPr>
            <w:tcW w:w="3718"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w:t>
            </w:r>
            <w:r>
              <w:rPr>
                <w:iCs/>
                <w:color w:val="auto"/>
                <w:sz w:val="24"/>
                <w:highlight w:val="none"/>
              </w:rPr>
              <w:t>0.000</w:t>
            </w:r>
            <w:r>
              <w:rPr>
                <w:rFonts w:hint="eastAsia"/>
                <w:iCs/>
                <w:color w:val="auto"/>
                <w:sz w:val="24"/>
                <w:highlight w:val="none"/>
              </w:rPr>
              <w:t>以上项目建筑面积</w:t>
            </w:r>
            <w:r>
              <w:rPr>
                <w:iCs/>
                <w:color w:val="auto"/>
                <w:sz w:val="24"/>
                <w:highlight w:val="none"/>
              </w:rPr>
              <w:t>N（㎡）</w:t>
            </w:r>
          </w:p>
        </w:tc>
        <w:tc>
          <w:tcPr>
            <w:tcW w:w="2775"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标准套型数</w:t>
            </w:r>
          </w:p>
        </w:tc>
        <w:tc>
          <w:tcPr>
            <w:tcW w:w="1094" w:type="dxa"/>
            <w:shd w:val="clear" w:color="auto" w:fill="auto"/>
            <w:vAlign w:val="center"/>
          </w:tcPr>
          <w:p>
            <w:pPr>
              <w:tabs>
                <w:tab w:val="left" w:pos="709"/>
              </w:tabs>
              <w:spacing w:line="240" w:lineRule="auto"/>
              <w:jc w:val="center"/>
              <w:rPr>
                <w:rFonts w:hint="eastAsia"/>
                <w:color w:val="auto"/>
                <w:highlight w:val="none"/>
              </w:rPr>
            </w:pPr>
            <w:r>
              <w:rPr>
                <w:rFonts w:hint="eastAsia"/>
                <w:iCs/>
                <w:color w:val="auto"/>
                <w:sz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491" w:type="dxa"/>
            <w:vMerge w:val="restart"/>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居住建筑</w:t>
            </w:r>
          </w:p>
        </w:tc>
        <w:tc>
          <w:tcPr>
            <w:tcW w:w="3718" w:type="dxa"/>
            <w:vAlign w:val="center"/>
          </w:tcPr>
          <w:p>
            <w:pPr>
              <w:tabs>
                <w:tab w:val="left" w:pos="709"/>
              </w:tabs>
              <w:spacing w:line="240" w:lineRule="auto"/>
              <w:jc w:val="center"/>
              <w:rPr>
                <w:rFonts w:hint="eastAsia"/>
                <w:iCs/>
                <w:color w:val="auto"/>
                <w:sz w:val="24"/>
                <w:highlight w:val="none"/>
              </w:rPr>
            </w:pPr>
            <w:r>
              <w:rPr>
                <w:iCs/>
                <w:color w:val="auto"/>
                <w:sz w:val="24"/>
                <w:highlight w:val="none"/>
              </w:rPr>
              <w:t>N≤</w:t>
            </w:r>
            <w:r>
              <w:rPr>
                <w:rFonts w:hint="eastAsia"/>
                <w:iCs/>
                <w:color w:val="auto"/>
                <w:sz w:val="24"/>
                <w:highlight w:val="none"/>
              </w:rPr>
              <w:t>5</w:t>
            </w:r>
            <w:r>
              <w:rPr>
                <w:iCs/>
                <w:color w:val="auto"/>
                <w:sz w:val="24"/>
                <w:highlight w:val="none"/>
              </w:rPr>
              <w:t>0000</w:t>
            </w:r>
          </w:p>
        </w:tc>
        <w:tc>
          <w:tcPr>
            <w:tcW w:w="2775"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2种及以内标准套型数</w:t>
            </w:r>
          </w:p>
        </w:tc>
        <w:tc>
          <w:tcPr>
            <w:tcW w:w="1094" w:type="dxa"/>
            <w:vMerge w:val="restart"/>
            <w:shd w:val="clear" w:color="auto" w:fill="auto"/>
            <w:vAlign w:val="center"/>
          </w:tcPr>
          <w:p>
            <w:pPr>
              <w:widowControl/>
              <w:spacing w:line="240" w:lineRule="auto"/>
              <w:jc w:val="center"/>
              <w:rPr>
                <w:rFonts w:hint="eastAsia" w:eastAsiaTheme="minorEastAsia"/>
                <w:color w:val="auto"/>
                <w:highlight w:val="none"/>
                <w:lang w:eastAsia="zh-CN"/>
              </w:rPr>
            </w:pPr>
            <w:r>
              <w:rPr>
                <w:rFonts w:hint="eastAsia"/>
                <w:color w:val="auto"/>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491" w:type="dxa"/>
            <w:vMerge w:val="continue"/>
          </w:tcPr>
          <w:p>
            <w:pPr>
              <w:tabs>
                <w:tab w:val="left" w:pos="709"/>
              </w:tabs>
              <w:spacing w:line="240" w:lineRule="auto"/>
              <w:jc w:val="center"/>
              <w:rPr>
                <w:rFonts w:hint="eastAsia"/>
                <w:iCs/>
                <w:color w:val="auto"/>
                <w:sz w:val="24"/>
                <w:highlight w:val="none"/>
              </w:rPr>
            </w:pPr>
          </w:p>
        </w:tc>
        <w:tc>
          <w:tcPr>
            <w:tcW w:w="3718"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5</w:t>
            </w:r>
            <w:r>
              <w:rPr>
                <w:iCs/>
                <w:color w:val="auto"/>
                <w:sz w:val="24"/>
                <w:highlight w:val="none"/>
              </w:rPr>
              <w:t>0000＜N≤</w:t>
            </w:r>
            <w:r>
              <w:rPr>
                <w:rFonts w:hint="eastAsia"/>
                <w:iCs/>
                <w:color w:val="auto"/>
                <w:sz w:val="24"/>
                <w:highlight w:val="none"/>
              </w:rPr>
              <w:t>1</w:t>
            </w:r>
            <w:r>
              <w:rPr>
                <w:iCs/>
                <w:color w:val="auto"/>
                <w:sz w:val="24"/>
                <w:highlight w:val="none"/>
              </w:rPr>
              <w:t>00000</w:t>
            </w:r>
          </w:p>
        </w:tc>
        <w:tc>
          <w:tcPr>
            <w:tcW w:w="2775"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3种及以内标准套型数</w:t>
            </w:r>
          </w:p>
        </w:tc>
        <w:tc>
          <w:tcPr>
            <w:tcW w:w="1094" w:type="dxa"/>
            <w:vMerge w:val="continue"/>
            <w:shd w:val="clear" w:color="auto" w:fill="auto"/>
            <w:vAlign w:val="center"/>
          </w:tcPr>
          <w:p>
            <w:pPr>
              <w:widowControl/>
              <w:spacing w:line="24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491" w:type="dxa"/>
            <w:vMerge w:val="continue"/>
          </w:tcPr>
          <w:p>
            <w:pPr>
              <w:tabs>
                <w:tab w:val="left" w:pos="709"/>
              </w:tabs>
              <w:spacing w:line="240" w:lineRule="auto"/>
              <w:jc w:val="center"/>
              <w:rPr>
                <w:rFonts w:hint="eastAsia"/>
                <w:iCs/>
                <w:color w:val="auto"/>
                <w:sz w:val="24"/>
                <w:highlight w:val="none"/>
              </w:rPr>
            </w:pPr>
          </w:p>
        </w:tc>
        <w:tc>
          <w:tcPr>
            <w:tcW w:w="3718" w:type="dxa"/>
            <w:vAlign w:val="center"/>
          </w:tcPr>
          <w:p>
            <w:pPr>
              <w:tabs>
                <w:tab w:val="left" w:pos="709"/>
              </w:tabs>
              <w:spacing w:line="240" w:lineRule="auto"/>
              <w:jc w:val="center"/>
              <w:rPr>
                <w:rFonts w:hint="eastAsia"/>
                <w:iCs/>
                <w:color w:val="auto"/>
                <w:sz w:val="24"/>
                <w:highlight w:val="none"/>
              </w:rPr>
            </w:pPr>
            <w:r>
              <w:rPr>
                <w:iCs/>
                <w:color w:val="auto"/>
                <w:sz w:val="24"/>
                <w:highlight w:val="none"/>
              </w:rPr>
              <w:t>100000＜N≤200000</w:t>
            </w:r>
          </w:p>
        </w:tc>
        <w:tc>
          <w:tcPr>
            <w:tcW w:w="2775"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4种及以内标准套型数</w:t>
            </w:r>
          </w:p>
        </w:tc>
        <w:tc>
          <w:tcPr>
            <w:tcW w:w="1094" w:type="dxa"/>
            <w:vMerge w:val="continue"/>
            <w:shd w:val="clear" w:color="auto" w:fill="auto"/>
            <w:vAlign w:val="center"/>
          </w:tcPr>
          <w:p>
            <w:pPr>
              <w:widowControl/>
              <w:spacing w:line="24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491" w:type="dxa"/>
            <w:vMerge w:val="continue"/>
          </w:tcPr>
          <w:p>
            <w:pPr>
              <w:tabs>
                <w:tab w:val="left" w:pos="709"/>
              </w:tabs>
              <w:spacing w:line="240" w:lineRule="auto"/>
              <w:jc w:val="center"/>
              <w:rPr>
                <w:rFonts w:hint="eastAsia"/>
                <w:iCs/>
                <w:color w:val="auto"/>
                <w:sz w:val="24"/>
                <w:highlight w:val="none"/>
              </w:rPr>
            </w:pPr>
          </w:p>
        </w:tc>
        <w:tc>
          <w:tcPr>
            <w:tcW w:w="3718" w:type="dxa"/>
            <w:vAlign w:val="center"/>
          </w:tcPr>
          <w:p>
            <w:pPr>
              <w:tabs>
                <w:tab w:val="left" w:pos="709"/>
              </w:tabs>
              <w:spacing w:line="240" w:lineRule="auto"/>
              <w:jc w:val="center"/>
              <w:rPr>
                <w:rFonts w:hint="eastAsia"/>
                <w:iCs/>
                <w:color w:val="auto"/>
                <w:sz w:val="24"/>
                <w:highlight w:val="none"/>
              </w:rPr>
            </w:pPr>
            <w:r>
              <w:rPr>
                <w:iCs/>
                <w:color w:val="auto"/>
                <w:sz w:val="24"/>
                <w:highlight w:val="none"/>
              </w:rPr>
              <w:t>N</w:t>
            </w:r>
            <w:r>
              <w:rPr>
                <w:rFonts w:hint="eastAsia"/>
                <w:iCs/>
                <w:color w:val="auto"/>
                <w:sz w:val="24"/>
                <w:highlight w:val="none"/>
              </w:rPr>
              <w:t>＞</w:t>
            </w:r>
            <w:r>
              <w:rPr>
                <w:iCs/>
                <w:color w:val="auto"/>
                <w:sz w:val="24"/>
                <w:highlight w:val="none"/>
              </w:rPr>
              <w:t>200000</w:t>
            </w:r>
          </w:p>
        </w:tc>
        <w:tc>
          <w:tcPr>
            <w:tcW w:w="2775"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5种及以内标准套型数</w:t>
            </w:r>
          </w:p>
        </w:tc>
        <w:tc>
          <w:tcPr>
            <w:tcW w:w="1094" w:type="dxa"/>
            <w:vMerge w:val="continue"/>
            <w:shd w:val="clear" w:color="auto" w:fill="auto"/>
            <w:vAlign w:val="center"/>
          </w:tcPr>
          <w:p>
            <w:pPr>
              <w:widowControl/>
              <w:spacing w:line="240" w:lineRule="auto"/>
              <w:jc w:val="center"/>
              <w:rPr>
                <w:rFonts w:hint="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491"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公共建筑</w:t>
            </w:r>
          </w:p>
        </w:tc>
        <w:tc>
          <w:tcPr>
            <w:tcW w:w="3718"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w:t>
            </w:r>
          </w:p>
        </w:tc>
        <w:tc>
          <w:tcPr>
            <w:tcW w:w="2775" w:type="dxa"/>
            <w:vAlign w:val="center"/>
          </w:tcPr>
          <w:p>
            <w:pPr>
              <w:tabs>
                <w:tab w:val="left" w:pos="709"/>
              </w:tabs>
              <w:spacing w:line="240" w:lineRule="auto"/>
              <w:jc w:val="center"/>
              <w:rPr>
                <w:rFonts w:hint="eastAsia"/>
                <w:iCs/>
                <w:color w:val="auto"/>
                <w:sz w:val="24"/>
                <w:highlight w:val="none"/>
              </w:rPr>
            </w:pPr>
            <w:r>
              <w:rPr>
                <w:rFonts w:hint="eastAsia"/>
                <w:iCs/>
                <w:color w:val="auto"/>
                <w:sz w:val="24"/>
                <w:highlight w:val="none"/>
              </w:rPr>
              <w:t>3种及以内基本单元轴网</w:t>
            </w:r>
          </w:p>
        </w:tc>
        <w:tc>
          <w:tcPr>
            <w:tcW w:w="1094" w:type="dxa"/>
            <w:shd w:val="clear" w:color="auto" w:fill="auto"/>
            <w:vAlign w:val="center"/>
          </w:tcPr>
          <w:p>
            <w:pPr>
              <w:tabs>
                <w:tab w:val="left" w:pos="709"/>
              </w:tabs>
              <w:spacing w:line="240" w:lineRule="auto"/>
              <w:jc w:val="center"/>
              <w:rPr>
                <w:rFonts w:hint="eastAsia" w:eastAsiaTheme="minorEastAsia"/>
                <w:color w:val="auto"/>
                <w:highlight w:val="none"/>
                <w:lang w:eastAsia="zh-CN"/>
              </w:rPr>
            </w:pPr>
            <w:r>
              <w:rPr>
                <w:rFonts w:hint="eastAsia"/>
                <w:color w:val="auto"/>
                <w:highlight w:val="none"/>
                <w:lang w:val="en-US" w:eastAsia="zh-CN"/>
              </w:rPr>
              <w:t>3</w:t>
            </w:r>
          </w:p>
        </w:tc>
      </w:tr>
    </w:tbl>
    <w:p>
      <w:pPr>
        <w:adjustRightInd/>
        <w:snapToGrid/>
        <w:spacing w:line="240" w:lineRule="auto"/>
        <w:jc w:val="center"/>
        <w:rPr>
          <w:rFonts w:hint="eastAsia" w:ascii="黑体" w:hAnsi="黑体" w:eastAsia="黑体" w:cs="黑体"/>
          <w:bCs/>
          <w:color w:val="auto"/>
          <w:sz w:val="24"/>
          <w:highlight w:val="none"/>
        </w:rPr>
      </w:pPr>
    </w:p>
    <w:p>
      <w:pPr>
        <w:adjustRightInd/>
        <w:snapToGrid/>
        <w:spacing w:line="240" w:lineRule="auto"/>
        <w:jc w:val="center"/>
        <w:rPr>
          <w:rFonts w:hint="eastAsia" w:ascii="黑体" w:hAnsi="黑体" w:eastAsia="黑体" w:cs="黑体"/>
          <w:b w:val="0"/>
          <w:bCs/>
          <w:color w:val="auto"/>
          <w:kern w:val="2"/>
          <w:sz w:val="24"/>
          <w:highlight w:val="none"/>
        </w:rPr>
      </w:pPr>
      <w:r>
        <w:rPr>
          <w:rFonts w:hint="eastAsia" w:ascii="黑体" w:hAnsi="黑体" w:eastAsia="黑体" w:cs="黑体"/>
          <w:bCs/>
          <w:color w:val="auto"/>
          <w:sz w:val="24"/>
          <w:highlight w:val="none"/>
        </w:rPr>
        <w:t>表4.0.</w:t>
      </w:r>
      <w:r>
        <w:rPr>
          <w:rFonts w:hint="default" w:ascii="黑体" w:hAnsi="黑体" w:eastAsia="黑体" w:cs="黑体"/>
          <w:bCs/>
          <w:color w:val="auto"/>
          <w:sz w:val="24"/>
          <w:highlight w:val="none"/>
          <w:lang w:val="en-US"/>
        </w:rPr>
        <w:t>1</w:t>
      </w:r>
      <w:r>
        <w:rPr>
          <w:rFonts w:hint="eastAsia" w:ascii="黑体" w:hAnsi="黑体" w:eastAsia="黑体" w:cs="黑体"/>
          <w:bCs/>
          <w:color w:val="auto"/>
          <w:sz w:val="24"/>
          <w:highlight w:val="none"/>
          <w:lang w:val="en-US" w:eastAsia="zh-CN"/>
        </w:rPr>
        <w:t>8.2</w:t>
      </w:r>
      <w:r>
        <w:rPr>
          <w:rFonts w:hint="eastAsia" w:ascii="黑体" w:hAnsi="黑体" w:eastAsia="黑体" w:cs="黑体"/>
          <w:bCs/>
          <w:color w:val="auto"/>
          <w:sz w:val="24"/>
          <w:highlight w:val="none"/>
        </w:rPr>
        <w:t xml:space="preserve"> 预制构件及建筑部品部件标准化评分表</w:t>
      </w:r>
    </w:p>
    <w:tbl>
      <w:tblPr>
        <w:tblStyle w:val="16"/>
        <w:tblW w:w="91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6376"/>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1689" w:type="dxa"/>
            <w:vMerge w:val="restart"/>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预制构件及建筑部品部件</w:t>
            </w:r>
          </w:p>
        </w:tc>
        <w:tc>
          <w:tcPr>
            <w:tcW w:w="6376" w:type="dxa"/>
            <w:vAlign w:val="center"/>
          </w:tcPr>
          <w:p>
            <w:pPr>
              <w:tabs>
                <w:tab w:val="left" w:pos="709"/>
              </w:tabs>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预制柱、预制梁、预制外承重墙板、内承重墙板、外挂墙板在单体建筑中重复使用最多的三个规格构件的总个数占同类构件总个数的比例</w:t>
            </w:r>
            <w:r>
              <w:rPr>
                <w:rFonts w:hint="eastAsia" w:ascii="宋体" w:hAnsi="宋体" w:eastAsia="宋体" w:cs="宋体"/>
                <w:color w:val="auto"/>
                <w:sz w:val="24"/>
                <w:highlight w:val="none"/>
                <w:lang w:eastAsia="zh-CN"/>
              </w:rPr>
              <w:t>均</w:t>
            </w:r>
            <w:r>
              <w:rPr>
                <w:rFonts w:hint="eastAsia" w:ascii="宋体" w:hAnsi="宋体" w:eastAsia="宋体" w:cs="宋体"/>
                <w:color w:val="auto"/>
                <w:sz w:val="24"/>
                <w:highlight w:val="none"/>
              </w:rPr>
              <w:t>不低于50%</w:t>
            </w:r>
          </w:p>
        </w:tc>
        <w:tc>
          <w:tcPr>
            <w:tcW w:w="1054" w:type="dxa"/>
            <w:shd w:val="clear" w:color="auto" w:fill="auto"/>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689" w:type="dxa"/>
            <w:vMerge w:val="continue"/>
            <w:vAlign w:val="center"/>
          </w:tcPr>
          <w:p>
            <w:pPr>
              <w:spacing w:line="240" w:lineRule="auto"/>
              <w:jc w:val="center"/>
              <w:rPr>
                <w:rFonts w:hint="eastAsia" w:ascii="宋体" w:hAnsi="宋体" w:eastAsia="宋体" w:cs="宋体"/>
                <w:color w:val="auto"/>
                <w:sz w:val="24"/>
                <w:highlight w:val="none"/>
              </w:rPr>
            </w:pPr>
          </w:p>
        </w:tc>
        <w:tc>
          <w:tcPr>
            <w:tcW w:w="6376" w:type="dxa"/>
            <w:vAlign w:val="center"/>
          </w:tcPr>
          <w:p>
            <w:pPr>
              <w:tabs>
                <w:tab w:val="left" w:pos="709"/>
              </w:tabs>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预制楼板、预制叠合楼板在单体建筑中重复使用最多的三个规格构件的总个数占预制楼板总数的比例不</w:t>
            </w:r>
            <w:r>
              <w:rPr>
                <w:rFonts w:hint="eastAsia"/>
                <w:iCs/>
                <w:color w:val="auto"/>
                <w:sz w:val="24"/>
                <w:highlight w:val="none"/>
              </w:rPr>
              <w:t>低于</w:t>
            </w:r>
            <w:r>
              <w:rPr>
                <w:rFonts w:hint="eastAsia" w:ascii="宋体" w:hAnsi="宋体" w:eastAsia="宋体" w:cs="宋体"/>
                <w:color w:val="auto"/>
                <w:sz w:val="24"/>
                <w:highlight w:val="none"/>
              </w:rPr>
              <w:t>60%</w:t>
            </w:r>
          </w:p>
        </w:tc>
        <w:tc>
          <w:tcPr>
            <w:tcW w:w="1054" w:type="dxa"/>
            <w:shd w:val="clear" w:color="auto" w:fill="auto"/>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1689" w:type="dxa"/>
            <w:vMerge w:val="continue"/>
            <w:vAlign w:val="center"/>
          </w:tcPr>
          <w:p>
            <w:pPr>
              <w:spacing w:line="240" w:lineRule="auto"/>
              <w:jc w:val="center"/>
              <w:rPr>
                <w:rFonts w:hint="eastAsia" w:ascii="宋体" w:hAnsi="宋体" w:eastAsia="宋体" w:cs="宋体"/>
                <w:color w:val="auto"/>
                <w:sz w:val="24"/>
                <w:highlight w:val="none"/>
              </w:rPr>
            </w:pPr>
          </w:p>
        </w:tc>
        <w:tc>
          <w:tcPr>
            <w:tcW w:w="6376" w:type="dxa"/>
            <w:vAlign w:val="center"/>
          </w:tcPr>
          <w:p>
            <w:pPr>
              <w:tabs>
                <w:tab w:val="left" w:pos="709"/>
              </w:tabs>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预制楼梯在单体建筑中重复使用最多的一个规格的总个数占楼梯总个数的比例不低于70%</w:t>
            </w:r>
          </w:p>
        </w:tc>
        <w:tc>
          <w:tcPr>
            <w:tcW w:w="1054" w:type="dxa"/>
            <w:shd w:val="clear" w:color="auto" w:fill="auto"/>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689" w:type="dxa"/>
            <w:vMerge w:val="continue"/>
            <w:vAlign w:val="center"/>
          </w:tcPr>
          <w:p>
            <w:pPr>
              <w:spacing w:line="240" w:lineRule="auto"/>
              <w:jc w:val="center"/>
              <w:rPr>
                <w:rFonts w:hint="eastAsia" w:ascii="宋体" w:hAnsi="宋体" w:eastAsia="宋体" w:cs="宋体"/>
                <w:color w:val="auto"/>
                <w:sz w:val="24"/>
                <w:highlight w:val="none"/>
              </w:rPr>
            </w:pPr>
          </w:p>
        </w:tc>
        <w:tc>
          <w:tcPr>
            <w:tcW w:w="6376" w:type="dxa"/>
            <w:vAlign w:val="center"/>
          </w:tcPr>
          <w:p>
            <w:pPr>
              <w:tabs>
                <w:tab w:val="left" w:pos="709"/>
              </w:tabs>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预制内隔墙板在单体建筑中重复使用最多的一个规格构件的面积之和占同类型墙板总面积的比例不低于50%</w:t>
            </w:r>
          </w:p>
        </w:tc>
        <w:tc>
          <w:tcPr>
            <w:tcW w:w="1054" w:type="dxa"/>
            <w:shd w:val="clear" w:color="auto" w:fill="auto"/>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1689" w:type="dxa"/>
            <w:vMerge w:val="continue"/>
            <w:vAlign w:val="center"/>
          </w:tcPr>
          <w:p>
            <w:pPr>
              <w:spacing w:line="240" w:lineRule="auto"/>
              <w:jc w:val="center"/>
              <w:rPr>
                <w:rFonts w:hint="eastAsia" w:ascii="宋体" w:hAnsi="宋体" w:eastAsia="宋体" w:cs="宋体"/>
                <w:color w:val="auto"/>
                <w:sz w:val="24"/>
                <w:highlight w:val="none"/>
              </w:rPr>
            </w:pPr>
          </w:p>
        </w:tc>
        <w:tc>
          <w:tcPr>
            <w:tcW w:w="6376" w:type="dxa"/>
            <w:vAlign w:val="center"/>
          </w:tcPr>
          <w:p>
            <w:pPr>
              <w:tabs>
                <w:tab w:val="left" w:pos="709"/>
              </w:tabs>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预制阳台板在单体建筑中重复使用最多的一个</w:t>
            </w:r>
            <w:r>
              <w:rPr>
                <w:rFonts w:hint="eastAsia"/>
                <w:iCs/>
                <w:color w:val="auto"/>
                <w:sz w:val="24"/>
                <w:highlight w:val="none"/>
              </w:rPr>
              <w:t>规格</w:t>
            </w:r>
            <w:r>
              <w:rPr>
                <w:rFonts w:hint="eastAsia" w:ascii="宋体" w:hAnsi="宋体" w:eastAsia="宋体" w:cs="宋体"/>
                <w:color w:val="auto"/>
                <w:sz w:val="24"/>
                <w:highlight w:val="none"/>
              </w:rPr>
              <w:t>构件的总个数占阳台板总数的比例不低于50%</w:t>
            </w:r>
          </w:p>
        </w:tc>
        <w:tc>
          <w:tcPr>
            <w:tcW w:w="1054" w:type="dxa"/>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1689" w:type="dxa"/>
            <w:vMerge w:val="continue"/>
            <w:vAlign w:val="center"/>
          </w:tcPr>
          <w:p>
            <w:pPr>
              <w:spacing w:line="240" w:lineRule="auto"/>
              <w:jc w:val="center"/>
              <w:rPr>
                <w:rFonts w:hint="eastAsia" w:ascii="宋体" w:hAnsi="宋体" w:eastAsia="宋体" w:cs="宋体"/>
                <w:color w:val="auto"/>
                <w:sz w:val="24"/>
                <w:highlight w:val="none"/>
              </w:rPr>
            </w:pPr>
          </w:p>
        </w:tc>
        <w:tc>
          <w:tcPr>
            <w:tcW w:w="6376" w:type="dxa"/>
            <w:vAlign w:val="center"/>
          </w:tcPr>
          <w:p>
            <w:pPr>
              <w:tabs>
                <w:tab w:val="left" w:pos="709"/>
              </w:tabs>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预制</w:t>
            </w:r>
            <w:r>
              <w:rPr>
                <w:rFonts w:hint="eastAsia" w:ascii="宋体" w:hAnsi="宋体" w:eastAsia="宋体" w:cs="宋体"/>
                <w:color w:val="auto"/>
                <w:sz w:val="24"/>
                <w:highlight w:val="none"/>
              </w:rPr>
              <w:t>外窗在单体建筑中重复使用最多的三个规格的总个数占外窗总数量的比例不低于60%</w:t>
            </w:r>
          </w:p>
        </w:tc>
        <w:tc>
          <w:tcPr>
            <w:tcW w:w="1054" w:type="dxa"/>
            <w:shd w:val="clear" w:color="auto" w:fill="auto"/>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jc w:val="center"/>
        </w:trPr>
        <w:tc>
          <w:tcPr>
            <w:tcW w:w="1689" w:type="dxa"/>
            <w:vMerge w:val="continue"/>
            <w:vAlign w:val="center"/>
          </w:tcPr>
          <w:p>
            <w:pPr>
              <w:spacing w:line="240" w:lineRule="auto"/>
              <w:jc w:val="center"/>
              <w:rPr>
                <w:rFonts w:hint="eastAsia" w:ascii="宋体" w:hAnsi="宋体" w:eastAsia="宋体" w:cs="宋体"/>
                <w:color w:val="auto"/>
                <w:sz w:val="24"/>
                <w:highlight w:val="none"/>
              </w:rPr>
            </w:pPr>
          </w:p>
        </w:tc>
        <w:tc>
          <w:tcPr>
            <w:tcW w:w="6376" w:type="dxa"/>
            <w:vAlign w:val="center"/>
          </w:tcPr>
          <w:p>
            <w:pPr>
              <w:tabs>
                <w:tab w:val="left" w:pos="709"/>
              </w:tabs>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整体卫生间、整体橱柜等室内建筑部品在单体建筑中重复使用最多的三个规格的总个数占同类部品总数量的比例不低于70%，并采用标准化接口、工厂化生产、装配化施工</w:t>
            </w:r>
          </w:p>
        </w:tc>
        <w:tc>
          <w:tcPr>
            <w:tcW w:w="1054" w:type="dxa"/>
            <w:shd w:val="clear" w:color="auto" w:fill="auto"/>
            <w:vAlign w:val="center"/>
          </w:tcPr>
          <w:p>
            <w:pPr>
              <w:spacing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r>
    </w:tbl>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条文说明：4.0.1</w:t>
      </w:r>
      <w:r>
        <w:rPr>
          <w:rFonts w:hint="eastAsia" w:ascii="楷体" w:hAnsi="楷体" w:eastAsia="楷体" w:cs="楷体"/>
          <w:b w:val="0"/>
          <w:bCs w:val="0"/>
          <w:i w:val="0"/>
          <w:iCs w:val="0"/>
          <w:color w:val="auto"/>
          <w:highlight w:val="none"/>
          <w:lang w:val="en-US" w:eastAsia="zh-CN"/>
        </w:rPr>
        <w:t>8</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标准化设计指平面布置设计采用标准化、模数化、系列化设计方法，遵循“少规格、多组合”的原则，提高预制构件和建筑部品的重复使用率。本规范标准化设计按照两种方式考虑赋予分值，一种按照标准套型设计考虑，另外一种按照标准化构件考虑。</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当按照标准套型设计考虑，对于居住建筑，根据不同的居住小区装配式住宅室外地坪以上总建筑面积，按该小区设计的标准套型数确定，对于反对称标准套型认可为是同一种标准套型。当符合得分要求时，该小区所有住宅单体均可得分。对于公共建筑，按单体建筑进行评分，按该单体公共建筑轴网间距数确定，轴网间距纵横向可进行不同的轴网组合，工业建筑参考公共建筑执行。</w:t>
      </w:r>
    </w:p>
    <w:p>
      <w:pPr>
        <w:pStyle w:val="46"/>
        <w:widowControl/>
        <w:ind w:firstLine="560" w:firstLineChars="200"/>
        <w:jc w:val="left"/>
        <w:rPr>
          <w:rFonts w:hint="eastAsia" w:ascii="楷体" w:hAnsi="楷体" w:eastAsia="楷体" w:cs="楷体"/>
          <w:b w:val="0"/>
          <w:bCs w:val="0"/>
          <w:i w:val="0"/>
          <w:iCs w:val="0"/>
          <w:color w:val="auto"/>
          <w:kern w:val="0"/>
          <w:highlight w:val="none"/>
        </w:rPr>
      </w:pPr>
      <w:r>
        <w:rPr>
          <w:rFonts w:hint="eastAsia" w:ascii="楷体" w:hAnsi="楷体" w:eastAsia="楷体" w:cs="楷体"/>
          <w:b w:val="0"/>
          <w:bCs w:val="0"/>
          <w:i w:val="0"/>
          <w:iCs w:val="0"/>
          <w:color w:val="auto"/>
          <w:highlight w:val="none"/>
        </w:rPr>
        <w:t>当按照预制构件标准化设计考虑时，可以通过标准化率来衡量单体装配式建筑中预制构件符合标准化设计程度的指标， 为标准预制构件数量与总预制构件数量的比值。</w:t>
      </w:r>
    </w:p>
    <w:p>
      <w:pPr>
        <w:tabs>
          <w:tab w:val="left" w:pos="709"/>
        </w:tabs>
        <w:jc w:val="left"/>
        <w:rPr>
          <w:rFonts w:hint="eastAsia" w:ascii="宋体" w:hAnsi="宋体" w:eastAsia="宋体" w:cs="宋体"/>
          <w:color w:val="auto"/>
          <w:kern w:val="0"/>
          <w:highlight w:val="none"/>
        </w:rPr>
      </w:pPr>
      <w:r>
        <w:rPr>
          <w:rFonts w:ascii="宋体" w:hAnsi="宋体" w:eastAsia="宋体" w:cs="宋体"/>
          <w:b/>
          <w:color w:val="auto"/>
          <w:kern w:val="0"/>
          <w:highlight w:val="none"/>
        </w:rPr>
        <w:t>4.0.</w:t>
      </w:r>
      <w:r>
        <w:rPr>
          <w:rFonts w:hint="eastAsia" w:ascii="宋体" w:hAnsi="宋体" w:eastAsia="宋体" w:cs="宋体"/>
          <w:b/>
          <w:color w:val="auto"/>
          <w:kern w:val="0"/>
          <w:highlight w:val="none"/>
          <w:lang w:val="en-US" w:eastAsia="zh-CN"/>
        </w:rPr>
        <w:t>19</w:t>
      </w:r>
      <w:r>
        <w:rPr>
          <w:rFonts w:hint="eastAsia" w:ascii="宋体" w:hAnsi="宋体" w:eastAsia="宋体" w:cs="宋体"/>
          <w:color w:val="auto"/>
          <w:kern w:val="0"/>
          <w:highlight w:val="none"/>
        </w:rPr>
        <w:t xml:space="preserve"> </w:t>
      </w:r>
      <w:r>
        <w:rPr>
          <w:rFonts w:hint="eastAsia" w:ascii="宋体" w:hAnsi="宋体" w:eastAsia="宋体" w:cs="宋体"/>
          <w:color w:val="auto"/>
          <w:kern w:val="0"/>
          <w:highlight w:val="none"/>
          <w:lang w:val="en-US" w:eastAsia="zh-CN"/>
        </w:rPr>
        <w:t xml:space="preserve"> </w:t>
      </w:r>
      <w:r>
        <w:rPr>
          <w:rFonts w:hint="eastAsia" w:ascii="宋体" w:hAnsi="宋体" w:eastAsia="宋体" w:cs="宋体"/>
          <w:color w:val="auto"/>
          <w:kern w:val="0"/>
          <w:highlight w:val="none"/>
        </w:rPr>
        <w:t>智能建造技术</w:t>
      </w:r>
      <w:r>
        <w:rPr>
          <w:rFonts w:hint="eastAsia"/>
          <w:color w:val="auto"/>
          <w:highlight w:val="none"/>
        </w:rPr>
        <w:t>应用</w:t>
      </w:r>
      <w:r>
        <w:rPr>
          <w:rFonts w:hint="eastAsia" w:ascii="宋体" w:hAnsi="宋体" w:eastAsia="宋体" w:cs="宋体"/>
          <w:color w:val="auto"/>
          <w:kern w:val="0"/>
          <w:highlight w:val="none"/>
        </w:rPr>
        <w:t>主要分为：数字化设计（BIM技术应用）和智能化装备应用；每阶段需要装配式楼栋全部应用方可得分，该项累加总分值不大于3分，智能建造应用</w:t>
      </w:r>
      <w:r>
        <w:rPr>
          <w:rFonts w:hint="eastAsia" w:ascii="宋体" w:hAnsi="宋体" w:eastAsia="宋体" w:cs="宋体"/>
          <w:color w:val="auto"/>
          <w:kern w:val="0"/>
          <w:highlight w:val="none"/>
          <w:lang w:val="en-US" w:eastAsia="zh-CN"/>
        </w:rPr>
        <w:t>要求</w:t>
      </w:r>
      <w:r>
        <w:rPr>
          <w:rFonts w:hint="eastAsia" w:ascii="宋体" w:hAnsi="宋体" w:eastAsia="宋体" w:cs="宋体"/>
          <w:color w:val="auto"/>
          <w:kern w:val="0"/>
          <w:highlight w:val="none"/>
        </w:rPr>
        <w:t>见表</w:t>
      </w:r>
      <w:r>
        <w:rPr>
          <w:rFonts w:hint="eastAsia" w:ascii="宋体" w:hAnsi="宋体" w:eastAsia="宋体" w:cs="宋体"/>
          <w:color w:val="auto"/>
          <w:kern w:val="0"/>
          <w:highlight w:val="none"/>
          <w:lang w:eastAsia="zh-CN"/>
        </w:rPr>
        <w:t>4</w:t>
      </w:r>
      <w:r>
        <w:rPr>
          <w:rFonts w:hint="eastAsia" w:ascii="宋体" w:hAnsi="宋体" w:eastAsia="宋体" w:cs="宋体"/>
          <w:color w:val="auto"/>
          <w:kern w:val="0"/>
          <w:highlight w:val="none"/>
          <w:lang w:val="en-US" w:eastAsia="zh-CN"/>
        </w:rPr>
        <w:t>.0.19.1</w:t>
      </w:r>
      <w:r>
        <w:rPr>
          <w:rFonts w:hint="eastAsia" w:ascii="宋体" w:hAnsi="宋体" w:eastAsia="宋体" w:cs="宋体"/>
          <w:color w:val="auto"/>
          <w:kern w:val="0"/>
          <w:highlight w:val="none"/>
        </w:rPr>
        <w:t>、表4</w:t>
      </w:r>
      <w:r>
        <w:rPr>
          <w:rFonts w:hint="eastAsia" w:ascii="宋体" w:hAnsi="宋体" w:eastAsia="宋体" w:cs="宋体"/>
          <w:color w:val="auto"/>
          <w:kern w:val="0"/>
          <w:highlight w:val="none"/>
          <w:lang w:val="en-US" w:eastAsia="zh-CN"/>
        </w:rPr>
        <w:t>.0.19.2</w:t>
      </w:r>
      <w:r>
        <w:rPr>
          <w:rFonts w:hint="eastAsia" w:ascii="宋体" w:hAnsi="宋体" w:eastAsia="宋体" w:cs="宋体"/>
          <w:color w:val="auto"/>
          <w:kern w:val="0"/>
          <w:highlight w:val="none"/>
        </w:rPr>
        <w:t>。</w:t>
      </w:r>
    </w:p>
    <w:p>
      <w:pPr>
        <w:adjustRightInd/>
        <w:snapToGrid/>
        <w:spacing w:line="240" w:lineRule="auto"/>
        <w:jc w:val="center"/>
        <w:rPr>
          <w:rFonts w:hint="eastAsia" w:ascii="黑体" w:hAnsi="黑体" w:eastAsia="黑体" w:cs="黑体"/>
          <w:bCs/>
          <w:color w:val="auto"/>
          <w:sz w:val="24"/>
          <w:highlight w:val="none"/>
        </w:rPr>
      </w:pPr>
      <w:r>
        <w:rPr>
          <w:rFonts w:hint="eastAsia" w:ascii="黑体" w:hAnsi="黑体" w:eastAsia="黑体" w:cs="黑体"/>
          <w:bCs/>
          <w:color w:val="auto"/>
          <w:sz w:val="24"/>
          <w:highlight w:val="none"/>
        </w:rPr>
        <w:t>表4.0.</w:t>
      </w:r>
      <w:r>
        <w:rPr>
          <w:rFonts w:hint="eastAsia" w:ascii="黑体" w:hAnsi="黑体" w:eastAsia="黑体" w:cs="黑体"/>
          <w:bCs/>
          <w:color w:val="auto"/>
          <w:sz w:val="24"/>
          <w:highlight w:val="none"/>
          <w:lang w:val="en-US" w:eastAsia="zh-CN"/>
        </w:rPr>
        <w:t>19</w:t>
      </w:r>
      <w:r>
        <w:rPr>
          <w:rFonts w:hint="eastAsia" w:ascii="黑体" w:hAnsi="黑体" w:eastAsia="黑体" w:cs="黑体"/>
          <w:bCs/>
          <w:color w:val="auto"/>
          <w:sz w:val="24"/>
          <w:highlight w:val="none"/>
        </w:rPr>
        <w:t>.1 数字化设计（BIM技术）应用要求</w:t>
      </w:r>
    </w:p>
    <w:tbl>
      <w:tblPr>
        <w:tblStyle w:val="17"/>
        <w:tblW w:w="9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7527"/>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80" w:type="dxa"/>
            <w:tcBorders>
              <w:righ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阶段</w:t>
            </w:r>
          </w:p>
        </w:tc>
        <w:tc>
          <w:tcPr>
            <w:tcW w:w="7527" w:type="dxa"/>
            <w:tcBorders>
              <w:left w:val="single" w:color="auto" w:sz="4" w:space="0"/>
              <w:righ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数字化设计（BIM技术）应用要求</w:t>
            </w:r>
          </w:p>
        </w:tc>
        <w:tc>
          <w:tcPr>
            <w:tcW w:w="728" w:type="dxa"/>
            <w:tcBorders>
              <w:left w:val="single" w:color="auto" w:sz="4" w:space="0"/>
            </w:tcBorders>
            <w:vAlign w:val="center"/>
          </w:tcPr>
          <w:p>
            <w:pPr>
              <w:spacing w:line="240" w:lineRule="auto"/>
              <w:jc w:val="center"/>
              <w:rPr>
                <w:rFonts w:hint="eastAsia"/>
                <w:color w:val="auto"/>
                <w:sz w:val="24"/>
                <w:szCs w:val="24"/>
                <w:highlight w:val="none"/>
              </w:rPr>
            </w:pPr>
            <w:r>
              <w:rPr>
                <w:rFonts w:hint="eastAsia"/>
                <w:iCs/>
                <w:color w:val="auto"/>
                <w:sz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880" w:type="dxa"/>
            <w:tcBorders>
              <w:righ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设计阶段</w:t>
            </w:r>
          </w:p>
        </w:tc>
        <w:tc>
          <w:tcPr>
            <w:tcW w:w="7527" w:type="dxa"/>
            <w:tcBorders>
              <w:left w:val="single" w:color="auto" w:sz="4" w:space="0"/>
              <w:right w:val="single" w:color="auto" w:sz="4" w:space="0"/>
            </w:tcBorders>
            <w:vAlign w:val="center"/>
          </w:tcPr>
          <w:p>
            <w:pPr>
              <w:spacing w:line="240" w:lineRule="auto"/>
              <w:ind w:firstLine="480" w:firstLineChars="200"/>
              <w:jc w:val="left"/>
              <w:rPr>
                <w:rFonts w:hint="eastAsia"/>
                <w:color w:val="auto"/>
                <w:sz w:val="24"/>
                <w:szCs w:val="24"/>
                <w:highlight w:val="none"/>
              </w:rPr>
            </w:pPr>
            <w:r>
              <w:rPr>
                <w:rFonts w:hint="eastAsia"/>
                <w:color w:val="auto"/>
                <w:sz w:val="24"/>
                <w:szCs w:val="24"/>
                <w:highlight w:val="none"/>
              </w:rPr>
              <w:t>1装配式建筑主体建筑、结构、机电；</w:t>
            </w:r>
          </w:p>
          <w:p>
            <w:pPr>
              <w:spacing w:line="240" w:lineRule="auto"/>
              <w:ind w:firstLine="480" w:firstLineChars="200"/>
              <w:jc w:val="left"/>
              <w:rPr>
                <w:rFonts w:hint="eastAsia"/>
                <w:color w:val="auto"/>
                <w:sz w:val="24"/>
                <w:szCs w:val="24"/>
                <w:highlight w:val="none"/>
              </w:rPr>
            </w:pPr>
            <w:r>
              <w:rPr>
                <w:rFonts w:hint="eastAsia"/>
                <w:color w:val="auto"/>
                <w:sz w:val="24"/>
                <w:szCs w:val="24"/>
                <w:highlight w:val="none"/>
              </w:rPr>
              <w:t>2 装配式拆分模型及装配式构件深化设计模型（含钢筋、机电）</w:t>
            </w:r>
          </w:p>
        </w:tc>
        <w:tc>
          <w:tcPr>
            <w:tcW w:w="728" w:type="dxa"/>
            <w:tcBorders>
              <w:lef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80" w:type="dxa"/>
            <w:tcBorders>
              <w:righ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施工阶段</w:t>
            </w:r>
          </w:p>
        </w:tc>
        <w:tc>
          <w:tcPr>
            <w:tcW w:w="7527" w:type="dxa"/>
            <w:tcBorders>
              <w:left w:val="single" w:color="auto" w:sz="4" w:space="0"/>
              <w:right w:val="single" w:color="auto" w:sz="4" w:space="0"/>
            </w:tcBorders>
            <w:vAlign w:val="center"/>
          </w:tcPr>
          <w:p>
            <w:pPr>
              <w:spacing w:line="240" w:lineRule="auto"/>
              <w:ind w:firstLine="480" w:firstLineChars="200"/>
              <w:jc w:val="left"/>
              <w:rPr>
                <w:rFonts w:hint="eastAsia"/>
                <w:color w:val="auto"/>
                <w:sz w:val="24"/>
                <w:szCs w:val="24"/>
                <w:highlight w:val="none"/>
              </w:rPr>
            </w:pPr>
            <w:r>
              <w:rPr>
                <w:rFonts w:hint="eastAsia"/>
                <w:color w:val="auto"/>
                <w:sz w:val="24"/>
                <w:szCs w:val="24"/>
                <w:highlight w:val="none"/>
                <w:lang w:val="en-US" w:eastAsia="zh-CN"/>
              </w:rPr>
              <w:t>1</w:t>
            </w:r>
            <w:r>
              <w:rPr>
                <w:rFonts w:hint="eastAsia"/>
                <w:color w:val="auto"/>
                <w:sz w:val="24"/>
                <w:szCs w:val="24"/>
                <w:highlight w:val="none"/>
              </w:rPr>
              <w:t>根据设计阶段提供深化设计模型结合现场施工点（含外架、模板等）进行深化，进行项目模型组装</w:t>
            </w:r>
            <w:r>
              <w:rPr>
                <w:rFonts w:hint="eastAsia"/>
                <w:color w:val="auto"/>
                <w:sz w:val="24"/>
                <w:szCs w:val="24"/>
                <w:highlight w:val="none"/>
                <w:lang w:eastAsia="zh-CN"/>
              </w:rPr>
              <w:t>；</w:t>
            </w:r>
            <w:r>
              <w:rPr>
                <w:rFonts w:hint="eastAsia"/>
                <w:color w:val="auto"/>
                <w:sz w:val="24"/>
                <w:szCs w:val="24"/>
                <w:highlight w:val="none"/>
                <w:lang w:val="en-US" w:eastAsia="zh-CN"/>
              </w:rPr>
              <w:t>2</w:t>
            </w:r>
            <w:r>
              <w:rPr>
                <w:rFonts w:hint="eastAsia"/>
                <w:color w:val="auto"/>
                <w:sz w:val="24"/>
                <w:szCs w:val="24"/>
                <w:highlight w:val="none"/>
              </w:rPr>
              <w:t>应用BIM模型对预制构件进行安装工艺模拟和节点钢筋、管线碰撞检查、确定构件安装顺序和工艺</w:t>
            </w:r>
            <w:r>
              <w:rPr>
                <w:rFonts w:hint="eastAsia"/>
                <w:color w:val="auto"/>
                <w:sz w:val="24"/>
                <w:szCs w:val="24"/>
                <w:highlight w:val="none"/>
                <w:lang w:eastAsia="zh-CN"/>
              </w:rPr>
              <w:t>；</w:t>
            </w:r>
            <w:r>
              <w:rPr>
                <w:rFonts w:hint="eastAsia"/>
                <w:color w:val="auto"/>
                <w:sz w:val="24"/>
                <w:szCs w:val="24"/>
                <w:highlight w:val="none"/>
                <w:lang w:val="en-US" w:eastAsia="zh-CN"/>
              </w:rPr>
              <w:t>3</w:t>
            </w:r>
            <w:r>
              <w:rPr>
                <w:rFonts w:hint="eastAsia"/>
                <w:color w:val="auto"/>
                <w:sz w:val="24"/>
                <w:szCs w:val="24"/>
                <w:highlight w:val="none"/>
              </w:rPr>
              <w:t>项目施工场地布置模拟；项目重点施工方案模拟；</w:t>
            </w:r>
          </w:p>
        </w:tc>
        <w:tc>
          <w:tcPr>
            <w:tcW w:w="728" w:type="dxa"/>
            <w:tcBorders>
              <w:lef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1.0</w:t>
            </w:r>
          </w:p>
        </w:tc>
      </w:tr>
    </w:tbl>
    <w:p>
      <w:pPr>
        <w:adjustRightInd/>
        <w:snapToGrid/>
        <w:spacing w:line="240" w:lineRule="auto"/>
        <w:jc w:val="center"/>
        <w:rPr>
          <w:rFonts w:hint="eastAsia" w:ascii="黑体" w:hAnsi="黑体" w:eastAsia="黑体" w:cs="黑体"/>
          <w:bCs/>
          <w:color w:val="auto"/>
          <w:sz w:val="24"/>
          <w:highlight w:val="none"/>
        </w:rPr>
      </w:pPr>
      <w:r>
        <w:rPr>
          <w:rFonts w:hint="eastAsia" w:ascii="黑体" w:hAnsi="黑体" w:eastAsia="黑体" w:cs="黑体"/>
          <w:bCs/>
          <w:color w:val="auto"/>
          <w:sz w:val="24"/>
          <w:highlight w:val="none"/>
        </w:rPr>
        <w:t>表4.0.</w:t>
      </w:r>
      <w:r>
        <w:rPr>
          <w:rFonts w:hint="eastAsia" w:ascii="黑体" w:hAnsi="黑体" w:eastAsia="黑体" w:cs="黑体"/>
          <w:bCs/>
          <w:color w:val="auto"/>
          <w:sz w:val="24"/>
          <w:highlight w:val="none"/>
          <w:lang w:val="en-US" w:eastAsia="zh-CN"/>
        </w:rPr>
        <w:t>19</w:t>
      </w:r>
      <w:r>
        <w:rPr>
          <w:rFonts w:hint="eastAsia" w:ascii="黑体" w:hAnsi="黑体" w:eastAsia="黑体" w:cs="黑体"/>
          <w:bCs/>
          <w:color w:val="auto"/>
          <w:sz w:val="24"/>
          <w:highlight w:val="none"/>
        </w:rPr>
        <w:t>.2 智能化装备应用要求</w:t>
      </w:r>
    </w:p>
    <w:tbl>
      <w:tblPr>
        <w:tblStyle w:val="17"/>
        <w:tblW w:w="91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7364"/>
        <w:gridCol w:w="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80" w:type="dxa"/>
            <w:tcBorders>
              <w:righ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阶段</w:t>
            </w:r>
          </w:p>
        </w:tc>
        <w:tc>
          <w:tcPr>
            <w:tcW w:w="7364" w:type="dxa"/>
            <w:tcBorders>
              <w:left w:val="single" w:color="auto" w:sz="4" w:space="0"/>
              <w:right w:val="single" w:color="auto" w:sz="4" w:space="0"/>
            </w:tcBorders>
            <w:vAlign w:val="center"/>
          </w:tcPr>
          <w:p>
            <w:pPr>
              <w:spacing w:line="240" w:lineRule="auto"/>
              <w:jc w:val="center"/>
              <w:rPr>
                <w:rFonts w:hint="eastAsia" w:eastAsiaTheme="minorEastAsia"/>
                <w:color w:val="auto"/>
                <w:sz w:val="24"/>
                <w:szCs w:val="24"/>
                <w:highlight w:val="none"/>
                <w:lang w:eastAsia="zh-CN"/>
              </w:rPr>
            </w:pPr>
            <w:r>
              <w:rPr>
                <w:rFonts w:hint="eastAsia"/>
                <w:color w:val="auto"/>
                <w:sz w:val="24"/>
                <w:szCs w:val="24"/>
                <w:highlight w:val="none"/>
              </w:rPr>
              <w:t>智能化装备应用要求</w:t>
            </w:r>
          </w:p>
        </w:tc>
        <w:tc>
          <w:tcPr>
            <w:tcW w:w="891" w:type="dxa"/>
            <w:tcBorders>
              <w:left w:val="single" w:color="auto" w:sz="4" w:space="0"/>
            </w:tcBorders>
            <w:vAlign w:val="center"/>
          </w:tcPr>
          <w:p>
            <w:pPr>
              <w:spacing w:line="240" w:lineRule="auto"/>
              <w:jc w:val="center"/>
              <w:rPr>
                <w:rFonts w:hint="eastAsia"/>
                <w:color w:val="auto"/>
                <w:sz w:val="24"/>
                <w:szCs w:val="24"/>
                <w:highlight w:val="none"/>
              </w:rPr>
            </w:pPr>
            <w:r>
              <w:rPr>
                <w:rFonts w:hint="eastAsia"/>
                <w:iCs/>
                <w:color w:val="auto"/>
                <w:sz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80" w:type="dxa"/>
            <w:tcBorders>
              <w:righ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生产阶段</w:t>
            </w:r>
          </w:p>
        </w:tc>
        <w:tc>
          <w:tcPr>
            <w:tcW w:w="7364" w:type="dxa"/>
            <w:tcBorders>
              <w:left w:val="single" w:color="auto" w:sz="4" w:space="0"/>
              <w:right w:val="single" w:color="auto" w:sz="4" w:space="0"/>
            </w:tcBorders>
            <w:vAlign w:val="center"/>
          </w:tcPr>
          <w:p>
            <w:pPr>
              <w:spacing w:line="240" w:lineRule="auto"/>
              <w:ind w:firstLine="480" w:firstLineChars="0"/>
              <w:jc w:val="left"/>
              <w:rPr>
                <w:rFonts w:hint="default" w:eastAsiaTheme="minorEastAsia"/>
                <w:color w:val="auto"/>
                <w:sz w:val="24"/>
                <w:szCs w:val="24"/>
                <w:highlight w:val="none"/>
                <w:lang w:val="en-US" w:eastAsia="zh-CN"/>
              </w:rPr>
            </w:pPr>
            <w:r>
              <w:rPr>
                <w:rFonts w:hint="eastAsia"/>
                <w:color w:val="auto"/>
                <w:sz w:val="24"/>
                <w:szCs w:val="24"/>
                <w:highlight w:val="none"/>
              </w:rPr>
              <w:t>每个构件均采用二维码及RFID技术</w:t>
            </w:r>
            <w:r>
              <w:rPr>
                <w:rFonts w:hint="eastAsia"/>
                <w:color w:val="auto"/>
                <w:sz w:val="24"/>
                <w:szCs w:val="24"/>
                <w:highlight w:val="none"/>
                <w:lang w:eastAsia="zh-CN"/>
              </w:rPr>
              <w:t>，</w:t>
            </w:r>
            <w:r>
              <w:rPr>
                <w:rFonts w:hint="eastAsia"/>
                <w:color w:val="auto"/>
                <w:sz w:val="24"/>
                <w:szCs w:val="24"/>
                <w:highlight w:val="none"/>
              </w:rPr>
              <w:t>设备产线智能化</w:t>
            </w:r>
            <w:r>
              <w:rPr>
                <w:rFonts w:hint="eastAsia"/>
                <w:color w:val="auto"/>
                <w:sz w:val="24"/>
                <w:szCs w:val="24"/>
                <w:highlight w:val="none"/>
                <w:lang w:eastAsia="zh-CN"/>
              </w:rPr>
              <w:t>，</w:t>
            </w:r>
            <w:r>
              <w:rPr>
                <w:rFonts w:hint="eastAsia"/>
                <w:color w:val="auto"/>
                <w:sz w:val="24"/>
                <w:szCs w:val="24"/>
                <w:highlight w:val="none"/>
              </w:rPr>
              <w:t>项目构件均采用生产智能管理系统</w:t>
            </w:r>
            <w:r>
              <w:rPr>
                <w:rFonts w:hint="eastAsia"/>
                <w:color w:val="auto"/>
                <w:sz w:val="24"/>
                <w:szCs w:val="24"/>
                <w:highlight w:val="none"/>
                <w:lang w:eastAsia="zh-CN"/>
              </w:rPr>
              <w:t>，</w:t>
            </w:r>
            <w:r>
              <w:rPr>
                <w:rFonts w:hint="eastAsia"/>
                <w:color w:val="auto"/>
                <w:sz w:val="24"/>
                <w:szCs w:val="24"/>
                <w:highlight w:val="none"/>
              </w:rPr>
              <w:t>机械臂组模</w:t>
            </w:r>
            <w:r>
              <w:rPr>
                <w:rFonts w:hint="eastAsia"/>
                <w:color w:val="auto"/>
                <w:sz w:val="24"/>
                <w:szCs w:val="24"/>
                <w:highlight w:val="none"/>
                <w:lang w:eastAsia="zh-CN"/>
              </w:rPr>
              <w:t>，</w:t>
            </w:r>
            <w:r>
              <w:rPr>
                <w:rFonts w:hint="eastAsia"/>
                <w:color w:val="auto"/>
                <w:sz w:val="24"/>
                <w:szCs w:val="24"/>
                <w:highlight w:val="none"/>
              </w:rPr>
              <w:t>自动化模台振捣等。</w:t>
            </w:r>
          </w:p>
        </w:tc>
        <w:tc>
          <w:tcPr>
            <w:tcW w:w="891" w:type="dxa"/>
            <w:tcBorders>
              <w:lef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880" w:type="dxa"/>
            <w:tcBorders>
              <w:righ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施工阶段</w:t>
            </w:r>
          </w:p>
        </w:tc>
        <w:tc>
          <w:tcPr>
            <w:tcW w:w="7364" w:type="dxa"/>
            <w:tcBorders>
              <w:left w:val="single" w:color="auto" w:sz="4" w:space="0"/>
              <w:right w:val="single" w:color="auto" w:sz="4" w:space="0"/>
            </w:tcBorders>
            <w:vAlign w:val="center"/>
          </w:tcPr>
          <w:p>
            <w:pPr>
              <w:spacing w:line="240" w:lineRule="auto"/>
              <w:ind w:firstLine="480" w:firstLineChars="200"/>
              <w:jc w:val="left"/>
              <w:rPr>
                <w:rFonts w:hint="eastAsia"/>
                <w:color w:val="auto"/>
                <w:sz w:val="24"/>
                <w:szCs w:val="24"/>
                <w:highlight w:val="none"/>
              </w:rPr>
            </w:pPr>
            <w:r>
              <w:rPr>
                <w:rFonts w:hint="eastAsia"/>
                <w:color w:val="auto"/>
                <w:sz w:val="24"/>
                <w:szCs w:val="24"/>
                <w:highlight w:val="none"/>
              </w:rPr>
              <w:t>项目采用施工管理平台；机器人现场作业；安全帽高清拍摄智能巡检；高空作业塔吊拍摄安全提醒系统；智能化门禁系统等。</w:t>
            </w:r>
          </w:p>
        </w:tc>
        <w:tc>
          <w:tcPr>
            <w:tcW w:w="891" w:type="dxa"/>
            <w:tcBorders>
              <w:left w:val="single" w:color="auto" w:sz="4" w:space="0"/>
            </w:tcBorders>
            <w:vAlign w:val="center"/>
          </w:tcPr>
          <w:p>
            <w:pPr>
              <w:spacing w:line="240" w:lineRule="auto"/>
              <w:jc w:val="center"/>
              <w:rPr>
                <w:rFonts w:hint="eastAsia"/>
                <w:color w:val="auto"/>
                <w:sz w:val="24"/>
                <w:szCs w:val="24"/>
                <w:highlight w:val="none"/>
              </w:rPr>
            </w:pPr>
            <w:r>
              <w:rPr>
                <w:rFonts w:hint="eastAsia"/>
                <w:color w:val="auto"/>
                <w:sz w:val="24"/>
                <w:szCs w:val="24"/>
                <w:highlight w:val="none"/>
              </w:rPr>
              <w:t>0.5</w:t>
            </w:r>
          </w:p>
        </w:tc>
      </w:tr>
    </w:tbl>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w:t>
      </w:r>
      <w:r>
        <w:rPr>
          <w:rFonts w:hint="eastAsia" w:ascii="楷体" w:hAnsi="楷体" w:eastAsia="楷体" w:cs="楷体"/>
          <w:b w:val="0"/>
          <w:bCs w:val="0"/>
          <w:i w:val="0"/>
          <w:iCs w:val="0"/>
          <w:color w:val="auto"/>
          <w:highlight w:val="none"/>
          <w:lang w:eastAsia="zh-CN"/>
        </w:rPr>
        <w:t>19</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表4.0.1中“智能建造技术应用”包括：BIM和建筑机器人。该项总分值3分。</w:t>
      </w:r>
    </w:p>
    <w:p>
      <w:pPr>
        <w:pStyle w:val="46"/>
        <w:rPr>
          <w:rFonts w:hint="eastAsia" w:ascii="楷体" w:hAnsi="楷体" w:eastAsia="楷体" w:cs="楷体"/>
          <w:b w:val="0"/>
          <w:bCs w:val="0"/>
          <w:i w:val="0"/>
          <w:iCs w:val="0"/>
          <w:color w:val="auto"/>
          <w:highlight w:val="none"/>
          <w:lang w:eastAsia="zh-CN"/>
        </w:rPr>
      </w:pP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BIM技术应用：</w:t>
      </w:r>
      <w:r>
        <w:rPr>
          <w:rFonts w:hint="eastAsia" w:ascii="楷体" w:hAnsi="楷体" w:eastAsia="楷体" w:cs="楷体"/>
          <w:b w:val="0"/>
          <w:bCs w:val="0"/>
          <w:i w:val="0"/>
          <w:iCs w:val="0"/>
          <w:color w:val="auto"/>
          <w:highlight w:val="none"/>
          <w:lang w:eastAsia="zh-CN"/>
        </w:rPr>
        <w:t>分为</w:t>
      </w:r>
      <w:r>
        <w:rPr>
          <w:rFonts w:hint="eastAsia" w:ascii="楷体" w:hAnsi="楷体" w:eastAsia="楷体" w:cs="楷体"/>
          <w:b w:val="0"/>
          <w:bCs w:val="0"/>
          <w:i w:val="0"/>
          <w:iCs w:val="0"/>
          <w:color w:val="auto"/>
          <w:highlight w:val="none"/>
        </w:rPr>
        <w:t>设计阶段和施工阶段，应用深度应满足相应阶段要求，BIM技术各阶段应用深度应满足国家标准《建筑信息模型应用统一标准》、《建筑信息模型施工应用标准》及</w:t>
      </w:r>
      <w:r>
        <w:rPr>
          <w:rFonts w:hint="eastAsia" w:ascii="楷体" w:hAnsi="楷体" w:eastAsia="楷体" w:cs="楷体"/>
          <w:b w:val="0"/>
          <w:bCs w:val="0"/>
          <w:i w:val="0"/>
          <w:iCs w:val="0"/>
          <w:color w:val="auto"/>
          <w:highlight w:val="none"/>
          <w:lang w:eastAsia="zh-CN"/>
        </w:rPr>
        <w:t>安徽省</w:t>
      </w:r>
      <w:r>
        <w:rPr>
          <w:rFonts w:hint="eastAsia" w:ascii="楷体" w:hAnsi="楷体" w:eastAsia="楷体" w:cs="楷体"/>
          <w:b w:val="0"/>
          <w:bCs w:val="0"/>
          <w:i w:val="0"/>
          <w:iCs w:val="0"/>
          <w:color w:val="auto"/>
          <w:highlight w:val="none"/>
        </w:rPr>
        <w:t>《建筑信息模型应用指南》的要求。</w:t>
      </w:r>
      <w:r>
        <w:rPr>
          <w:rFonts w:hint="eastAsia" w:ascii="楷体" w:hAnsi="楷体" w:eastAsia="楷体" w:cs="楷体"/>
          <w:b w:val="0"/>
          <w:bCs w:val="0"/>
          <w:i w:val="0"/>
          <w:iCs w:val="0"/>
          <w:color w:val="auto"/>
          <w:highlight w:val="none"/>
          <w:lang w:eastAsia="zh-CN"/>
        </w:rPr>
        <w:t>考虑装配式建筑项目特点，本次修订强调了有利于指导装配式建筑设计和施工的细化具体内容。</w:t>
      </w:r>
    </w:p>
    <w:p>
      <w:pPr>
        <w:pStyle w:val="46"/>
        <w:ind w:firstLine="560" w:firstLineChars="200"/>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智能建造各阶段应用点如下：</w:t>
      </w:r>
    </w:p>
    <w:p>
      <w:pPr>
        <w:pStyle w:val="46"/>
        <w:ind w:firstLine="560" w:firstLineChars="200"/>
        <w:rPr>
          <w:rFonts w:hint="eastAsia" w:ascii="楷体" w:hAnsi="楷体" w:eastAsia="楷体" w:cs="楷体"/>
          <w:b w:val="0"/>
          <w:bCs w:val="0"/>
          <w:i w:val="0"/>
          <w:iCs w:val="0"/>
          <w:color w:val="auto"/>
          <w:highlight w:val="none"/>
          <w:lang w:eastAsia="zh-CN"/>
        </w:rPr>
      </w:pPr>
      <w:r>
        <w:rPr>
          <w:rFonts w:hint="eastAsia" w:ascii="楷体" w:hAnsi="楷体" w:eastAsia="楷体" w:cs="楷体"/>
          <w:b w:val="0"/>
          <w:bCs w:val="0"/>
          <w:i w:val="0"/>
          <w:iCs w:val="0"/>
          <w:color w:val="auto"/>
          <w:highlight w:val="none"/>
        </w:rPr>
        <w:t>1 预制构件</w:t>
      </w:r>
      <w:r>
        <w:rPr>
          <w:rFonts w:hint="eastAsia" w:ascii="楷体" w:hAnsi="楷体" w:eastAsia="楷体" w:cs="楷体"/>
          <w:b w:val="0"/>
          <w:bCs w:val="0"/>
          <w:i w:val="0"/>
          <w:iCs w:val="0"/>
          <w:color w:val="auto"/>
          <w:highlight w:val="none"/>
          <w:lang w:eastAsia="zh-CN"/>
        </w:rPr>
        <w:t>生产</w:t>
      </w:r>
      <w:r>
        <w:rPr>
          <w:rFonts w:hint="eastAsia" w:ascii="楷体" w:hAnsi="楷体" w:eastAsia="楷体" w:cs="楷体"/>
          <w:b w:val="0"/>
          <w:bCs w:val="0"/>
          <w:i w:val="0"/>
          <w:iCs w:val="0"/>
          <w:color w:val="auto"/>
          <w:highlight w:val="none"/>
        </w:rPr>
        <w:t>阶段：每个构件均采用二维码及RFID技术</w:t>
      </w:r>
      <w:r>
        <w:rPr>
          <w:rFonts w:hint="eastAsia" w:ascii="楷体" w:hAnsi="楷体" w:eastAsia="楷体" w:cs="楷体"/>
          <w:b w:val="0"/>
          <w:bCs w:val="0"/>
          <w:i w:val="0"/>
          <w:iCs w:val="0"/>
          <w:color w:val="auto"/>
          <w:highlight w:val="none"/>
          <w:lang w:eastAsia="zh-CN"/>
        </w:rPr>
        <w:t>，</w:t>
      </w:r>
      <w:r>
        <w:rPr>
          <w:rFonts w:hint="eastAsia" w:ascii="楷体" w:hAnsi="楷体" w:eastAsia="楷体" w:cs="楷体"/>
          <w:b w:val="0"/>
          <w:bCs w:val="0"/>
          <w:i w:val="0"/>
          <w:iCs w:val="0"/>
          <w:color w:val="auto"/>
          <w:highlight w:val="none"/>
        </w:rPr>
        <w:t>设备产线智能化</w:t>
      </w:r>
      <w:r>
        <w:rPr>
          <w:rFonts w:hint="eastAsia" w:ascii="楷体" w:hAnsi="楷体" w:eastAsia="楷体" w:cs="楷体"/>
          <w:b w:val="0"/>
          <w:bCs w:val="0"/>
          <w:i w:val="0"/>
          <w:iCs w:val="0"/>
          <w:color w:val="auto"/>
          <w:highlight w:val="none"/>
          <w:lang w:eastAsia="zh-CN"/>
        </w:rPr>
        <w:t>，</w:t>
      </w:r>
      <w:r>
        <w:rPr>
          <w:rFonts w:hint="eastAsia" w:ascii="楷体" w:hAnsi="楷体" w:eastAsia="楷体" w:cs="楷体"/>
          <w:b w:val="0"/>
          <w:bCs w:val="0"/>
          <w:i w:val="0"/>
          <w:iCs w:val="0"/>
          <w:color w:val="auto"/>
          <w:highlight w:val="none"/>
        </w:rPr>
        <w:t>项目构件均采用生产智能管理系统</w:t>
      </w:r>
      <w:r>
        <w:rPr>
          <w:rFonts w:hint="eastAsia" w:ascii="楷体" w:hAnsi="楷体" w:eastAsia="楷体" w:cs="楷体"/>
          <w:b w:val="0"/>
          <w:bCs w:val="0"/>
          <w:i w:val="0"/>
          <w:iCs w:val="0"/>
          <w:color w:val="auto"/>
          <w:highlight w:val="none"/>
          <w:lang w:eastAsia="zh-CN"/>
        </w:rPr>
        <w:t>，</w:t>
      </w:r>
      <w:r>
        <w:rPr>
          <w:rFonts w:hint="eastAsia" w:ascii="楷体" w:hAnsi="楷体" w:eastAsia="楷体" w:cs="楷体"/>
          <w:b w:val="0"/>
          <w:bCs w:val="0"/>
          <w:i w:val="0"/>
          <w:iCs w:val="0"/>
          <w:color w:val="auto"/>
          <w:highlight w:val="none"/>
        </w:rPr>
        <w:t>机械臂组模</w:t>
      </w:r>
      <w:r>
        <w:rPr>
          <w:rFonts w:hint="eastAsia" w:ascii="楷体" w:hAnsi="楷体" w:eastAsia="楷体" w:cs="楷体"/>
          <w:b w:val="0"/>
          <w:bCs w:val="0"/>
          <w:i w:val="0"/>
          <w:iCs w:val="0"/>
          <w:color w:val="auto"/>
          <w:highlight w:val="none"/>
          <w:lang w:eastAsia="zh-CN"/>
        </w:rPr>
        <w:t>，</w:t>
      </w:r>
      <w:r>
        <w:rPr>
          <w:rFonts w:hint="eastAsia" w:ascii="楷体" w:hAnsi="楷体" w:eastAsia="楷体" w:cs="楷体"/>
          <w:b w:val="0"/>
          <w:bCs w:val="0"/>
          <w:i w:val="0"/>
          <w:iCs w:val="0"/>
          <w:color w:val="auto"/>
          <w:highlight w:val="none"/>
        </w:rPr>
        <w:t>自动化模台振捣等。每应用1项得0.3</w:t>
      </w:r>
      <w:r>
        <w:rPr>
          <w:rFonts w:hint="eastAsia" w:ascii="楷体" w:hAnsi="楷体" w:eastAsia="楷体" w:cs="楷体"/>
          <w:b w:val="0"/>
          <w:bCs w:val="0"/>
          <w:i w:val="0"/>
          <w:iCs w:val="0"/>
          <w:color w:val="auto"/>
          <w:highlight w:val="none"/>
          <w:lang w:eastAsia="zh-CN"/>
        </w:rPr>
        <w:t>分</w:t>
      </w:r>
    </w:p>
    <w:p>
      <w:pPr>
        <w:pStyle w:val="46"/>
        <w:ind w:firstLine="560" w:firstLineChars="200"/>
        <w:rPr>
          <w:rFonts w:hint="eastAsia" w:ascii="楷体" w:hAnsi="楷体" w:eastAsia="楷体" w:cs="楷体"/>
          <w:b w:val="0"/>
          <w:bCs w:val="0"/>
          <w:i w:val="0"/>
          <w:iCs w:val="0"/>
          <w:color w:val="auto"/>
          <w:highlight w:val="none"/>
          <w:lang w:val="en-US" w:eastAsia="zh-CN"/>
        </w:rPr>
      </w:pPr>
      <w:r>
        <w:rPr>
          <w:rFonts w:hint="eastAsia" w:ascii="楷体" w:hAnsi="楷体" w:eastAsia="楷体" w:cs="楷体"/>
          <w:b w:val="0"/>
          <w:bCs w:val="0"/>
          <w:i w:val="0"/>
          <w:iCs w:val="0"/>
          <w:color w:val="auto"/>
          <w:highlight w:val="none"/>
        </w:rPr>
        <w:t>2 施工阶段：项目采用施工管理平台；机器人现场作业；安全帽高清拍摄智能巡检；高空作业塔吊拍摄安全提醒系统；智能化门禁系统等。每应用1项得0.</w:t>
      </w:r>
      <w:r>
        <w:rPr>
          <w:rFonts w:hint="eastAsia" w:ascii="楷体" w:hAnsi="楷体" w:eastAsia="楷体" w:cs="楷体"/>
          <w:b w:val="0"/>
          <w:bCs w:val="0"/>
          <w:i w:val="0"/>
          <w:iCs w:val="0"/>
          <w:color w:val="auto"/>
          <w:highlight w:val="none"/>
          <w:lang w:val="en-US" w:eastAsia="zh-CN"/>
        </w:rPr>
        <w:t>1分</w:t>
      </w:r>
    </w:p>
    <w:p>
      <w:pPr>
        <w:tabs>
          <w:tab w:val="left" w:pos="709"/>
        </w:tabs>
        <w:rPr>
          <w:rFonts w:hint="eastAsia" w:ascii="宋体" w:hAnsi="宋体" w:eastAsia="宋体" w:cs="宋体"/>
          <w:color w:val="auto"/>
          <w:kern w:val="0"/>
          <w:highlight w:val="none"/>
        </w:rPr>
      </w:pPr>
      <w:r>
        <w:rPr>
          <w:rFonts w:ascii="宋体" w:hAnsi="宋体" w:eastAsia="宋体" w:cs="宋体"/>
          <w:b/>
          <w:color w:val="auto"/>
          <w:kern w:val="0"/>
          <w:highlight w:val="none"/>
        </w:rPr>
        <w:t>4.0.2</w:t>
      </w:r>
      <w:r>
        <w:rPr>
          <w:rFonts w:hint="eastAsia" w:ascii="宋体" w:hAnsi="宋体" w:eastAsia="宋体" w:cs="宋体"/>
          <w:b/>
          <w:color w:val="auto"/>
          <w:kern w:val="0"/>
          <w:highlight w:val="none"/>
          <w:lang w:val="en-US" w:eastAsia="zh-CN"/>
        </w:rPr>
        <w:t xml:space="preserve">0  </w:t>
      </w:r>
      <w:r>
        <w:rPr>
          <w:rFonts w:hint="eastAsia" w:ascii="宋体" w:hAnsi="宋体" w:eastAsia="宋体" w:cs="宋体"/>
          <w:color w:val="auto"/>
          <w:kern w:val="0"/>
          <w:highlight w:val="none"/>
        </w:rPr>
        <w:t>装配式建筑实施工程总承包</w:t>
      </w:r>
      <w:r>
        <w:rPr>
          <w:rFonts w:ascii="宋体" w:hAnsi="宋体" w:eastAsia="宋体" w:cs="宋体"/>
          <w:color w:val="auto"/>
          <w:kern w:val="0"/>
          <w:highlight w:val="none"/>
        </w:rPr>
        <w:t>(EPC)管理模式</w:t>
      </w:r>
      <w:r>
        <w:rPr>
          <w:rFonts w:hint="eastAsia" w:ascii="宋体" w:hAnsi="宋体" w:eastAsia="宋体" w:cs="宋体"/>
          <w:color w:val="auto"/>
          <w:kern w:val="0"/>
          <w:highlight w:val="none"/>
        </w:rPr>
        <w:t>得</w:t>
      </w:r>
      <w:r>
        <w:rPr>
          <w:rFonts w:ascii="宋体" w:hAnsi="宋体" w:eastAsia="宋体" w:cs="宋体"/>
          <w:color w:val="auto"/>
          <w:kern w:val="0"/>
          <w:highlight w:val="none"/>
        </w:rPr>
        <w:t>1</w:t>
      </w:r>
      <w:r>
        <w:rPr>
          <w:rFonts w:hint="eastAsia" w:ascii="宋体" w:hAnsi="宋体" w:eastAsia="宋体" w:cs="宋体"/>
          <w:color w:val="auto"/>
          <w:kern w:val="0"/>
          <w:highlight w:val="none"/>
        </w:rPr>
        <w:t>分。</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条文说明：4.0.2</w:t>
      </w:r>
      <w:r>
        <w:rPr>
          <w:rFonts w:hint="eastAsia" w:ascii="楷体" w:hAnsi="楷体" w:eastAsia="楷体" w:cs="楷体"/>
          <w:b w:val="0"/>
          <w:bCs w:val="0"/>
          <w:i w:val="0"/>
          <w:iCs w:val="0"/>
          <w:color w:val="auto"/>
          <w:highlight w:val="none"/>
          <w:lang w:eastAsia="zh-CN"/>
        </w:rPr>
        <w:t>0</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驻厂监造</w:t>
      </w:r>
      <w:r>
        <w:rPr>
          <w:rFonts w:hint="eastAsia" w:ascii="楷体" w:hAnsi="楷体" w:eastAsia="楷体" w:cs="楷体"/>
          <w:b w:val="0"/>
          <w:bCs w:val="0"/>
          <w:i w:val="0"/>
          <w:iCs w:val="0"/>
          <w:color w:val="auto"/>
          <w:kern w:val="2"/>
          <w:szCs w:val="28"/>
          <w:highlight w:val="none"/>
          <w:lang w:eastAsia="zh-CN"/>
        </w:rPr>
        <w:t>有利于在</w:t>
      </w:r>
      <w:r>
        <w:rPr>
          <w:rFonts w:hint="eastAsia" w:ascii="楷体" w:hAnsi="楷体" w:eastAsia="楷体" w:cs="楷体"/>
          <w:b w:val="0"/>
          <w:bCs w:val="0"/>
          <w:i w:val="0"/>
          <w:iCs w:val="0"/>
          <w:color w:val="auto"/>
          <w:highlight w:val="none"/>
        </w:rPr>
        <w:t>预制混凝土部品（部件）</w:t>
      </w:r>
      <w:r>
        <w:rPr>
          <w:rFonts w:hint="eastAsia" w:ascii="楷体" w:hAnsi="楷体" w:eastAsia="楷体" w:cs="楷体"/>
          <w:b w:val="0"/>
          <w:bCs w:val="0"/>
          <w:i w:val="0"/>
          <w:iCs w:val="0"/>
          <w:color w:val="auto"/>
          <w:kern w:val="2"/>
          <w:szCs w:val="28"/>
          <w:highlight w:val="none"/>
          <w:lang w:eastAsia="zh-CN"/>
        </w:rPr>
        <w:t>工厂</w:t>
      </w:r>
      <w:r>
        <w:rPr>
          <w:rFonts w:hint="eastAsia" w:ascii="楷体" w:hAnsi="楷体" w:eastAsia="楷体" w:cs="楷体"/>
          <w:b w:val="0"/>
          <w:bCs w:val="0"/>
          <w:i w:val="0"/>
          <w:iCs w:val="0"/>
          <w:color w:val="auto"/>
          <w:highlight w:val="none"/>
        </w:rPr>
        <w:t>生产</w:t>
      </w:r>
      <w:r>
        <w:rPr>
          <w:rFonts w:hint="eastAsia" w:ascii="楷体" w:hAnsi="楷体" w:eastAsia="楷体" w:cs="楷体"/>
          <w:b w:val="0"/>
          <w:bCs w:val="0"/>
          <w:i w:val="0"/>
          <w:iCs w:val="0"/>
          <w:color w:val="auto"/>
          <w:kern w:val="2"/>
          <w:szCs w:val="28"/>
          <w:highlight w:val="none"/>
          <w:lang w:eastAsia="zh-CN"/>
        </w:rPr>
        <w:t>阶段的质量控制，有利于</w:t>
      </w:r>
      <w:r>
        <w:rPr>
          <w:rFonts w:hint="eastAsia" w:ascii="楷体" w:hAnsi="楷体" w:eastAsia="楷体" w:cs="楷体"/>
          <w:b w:val="0"/>
          <w:bCs w:val="0"/>
          <w:i w:val="0"/>
          <w:iCs w:val="0"/>
          <w:color w:val="auto"/>
          <w:highlight w:val="none"/>
        </w:rPr>
        <w:t>提升预制构件质量品质。</w:t>
      </w:r>
    </w:p>
    <w:p>
      <w:pPr>
        <w:tabs>
          <w:tab w:val="left" w:pos="709"/>
        </w:tabs>
        <w:rPr>
          <w:rFonts w:hint="eastAsia" w:ascii="宋体" w:hAnsi="宋体" w:eastAsia="宋体" w:cs="宋体"/>
          <w:color w:val="auto"/>
          <w:kern w:val="0"/>
          <w:highlight w:val="none"/>
          <w:lang w:eastAsia="zh-CN"/>
        </w:rPr>
      </w:pPr>
      <w:r>
        <w:rPr>
          <w:rFonts w:ascii="宋体" w:hAnsi="宋体" w:eastAsia="宋体" w:cs="宋体"/>
          <w:b/>
          <w:color w:val="auto"/>
          <w:kern w:val="0"/>
          <w:highlight w:val="none"/>
        </w:rPr>
        <w:t>4.0.2</w:t>
      </w:r>
      <w:r>
        <w:rPr>
          <w:rFonts w:hint="eastAsia" w:ascii="宋体" w:hAnsi="宋体" w:eastAsia="宋体" w:cs="宋体"/>
          <w:b/>
          <w:color w:val="auto"/>
          <w:kern w:val="0"/>
          <w:highlight w:val="none"/>
          <w:lang w:val="en-US" w:eastAsia="zh-CN"/>
        </w:rPr>
        <w:t xml:space="preserve">1  </w:t>
      </w:r>
      <w:r>
        <w:rPr>
          <w:rFonts w:hint="eastAsia" w:ascii="宋体" w:hAnsi="宋体" w:eastAsia="宋体" w:cs="宋体"/>
          <w:color w:val="auto"/>
          <w:kern w:val="0"/>
          <w:highlight w:val="none"/>
        </w:rPr>
        <w:t>装配式建筑实施</w:t>
      </w:r>
      <w:r>
        <w:rPr>
          <w:rFonts w:hint="eastAsia" w:ascii="宋体" w:hAnsi="宋体" w:eastAsia="宋体" w:cs="宋体"/>
          <w:color w:val="auto"/>
          <w:kern w:val="0"/>
          <w:highlight w:val="none"/>
          <w:lang w:eastAsia="zh-CN"/>
        </w:rPr>
        <w:t>光伏建筑一体化</w:t>
      </w:r>
      <w:r>
        <w:rPr>
          <w:rFonts w:hint="eastAsia" w:ascii="宋体" w:hAnsi="宋体" w:eastAsia="宋体" w:cs="宋体"/>
          <w:color w:val="auto"/>
          <w:kern w:val="0"/>
          <w:highlight w:val="none"/>
        </w:rPr>
        <w:t>得</w:t>
      </w:r>
      <w:r>
        <w:rPr>
          <w:rFonts w:hint="eastAsia" w:ascii="宋体" w:hAnsi="宋体" w:eastAsia="宋体" w:cs="宋体"/>
          <w:color w:val="auto"/>
          <w:kern w:val="0"/>
          <w:highlight w:val="none"/>
          <w:lang w:val="en-US" w:eastAsia="zh-CN"/>
        </w:rPr>
        <w:t>2</w:t>
      </w:r>
      <w:r>
        <w:rPr>
          <w:rFonts w:hint="eastAsia" w:ascii="宋体" w:hAnsi="宋体" w:eastAsia="宋体" w:cs="宋体"/>
          <w:color w:val="auto"/>
          <w:kern w:val="0"/>
          <w:highlight w:val="none"/>
        </w:rPr>
        <w:t>分。</w:t>
      </w:r>
    </w:p>
    <w:p>
      <w:pPr>
        <w:pStyle w:val="46"/>
        <w:rPr>
          <w:rFonts w:hint="eastAsia" w:ascii="楷体" w:hAnsi="楷体" w:eastAsia="楷体" w:cs="楷体"/>
          <w:b w:val="0"/>
          <w:bCs w:val="0"/>
          <w:i w:val="0"/>
          <w:iCs w:val="0"/>
          <w:color w:val="auto"/>
          <w:highlight w:val="none"/>
          <w:lang w:eastAsia="zh-CN"/>
        </w:rPr>
      </w:pPr>
      <w:r>
        <w:rPr>
          <w:rFonts w:hint="eastAsia" w:ascii="楷体" w:hAnsi="楷体" w:eastAsia="楷体" w:cs="楷体"/>
          <w:b w:val="0"/>
          <w:bCs w:val="0"/>
          <w:i w:val="0"/>
          <w:iCs w:val="0"/>
          <w:color w:val="auto"/>
          <w:highlight w:val="none"/>
        </w:rPr>
        <w:t>条文说明：</w:t>
      </w:r>
      <w:r>
        <w:rPr>
          <w:rFonts w:hint="eastAsia" w:ascii="楷体" w:hAnsi="楷体" w:eastAsia="楷体" w:cs="楷体"/>
          <w:b w:val="0"/>
          <w:bCs w:val="0"/>
          <w:i w:val="0"/>
          <w:iCs w:val="0"/>
          <w:color w:val="auto"/>
          <w:highlight w:val="none"/>
          <w:lang w:val="en-US" w:eastAsia="zh-CN"/>
        </w:rPr>
        <w:t xml:space="preserve">40.21  </w:t>
      </w:r>
      <w:r>
        <w:rPr>
          <w:rFonts w:hint="eastAsia" w:ascii="楷体" w:hAnsi="楷体" w:eastAsia="楷体" w:cs="楷体"/>
          <w:b w:val="0"/>
          <w:bCs w:val="0"/>
          <w:i w:val="0"/>
          <w:iCs w:val="0"/>
          <w:color w:val="auto"/>
          <w:highlight w:val="none"/>
        </w:rPr>
        <w:t>光伏建筑一体化作为一种将太阳能光伏发电系统集成到建筑上的技术，能够实现节能减排、助力经济可持续发展。光伏发电组件投影面积不少于有效屋顶面积的50%</w:t>
      </w:r>
      <w:r>
        <w:rPr>
          <w:rFonts w:hint="eastAsia" w:ascii="楷体" w:hAnsi="楷体" w:eastAsia="楷体" w:cs="楷体"/>
          <w:b w:val="0"/>
          <w:bCs w:val="0"/>
          <w:i w:val="0"/>
          <w:iCs w:val="0"/>
          <w:color w:val="auto"/>
          <w:highlight w:val="none"/>
          <w:lang w:eastAsia="zh-CN"/>
        </w:rPr>
        <w:t>可认定得分。</w:t>
      </w:r>
    </w:p>
    <w:p>
      <w:pPr>
        <w:tabs>
          <w:tab w:val="left" w:pos="709"/>
        </w:tabs>
        <w:rPr>
          <w:rFonts w:hint="eastAsia" w:ascii="宋体" w:hAnsi="宋体" w:eastAsia="宋体" w:cs="宋体"/>
          <w:color w:val="auto"/>
          <w:kern w:val="0"/>
          <w:highlight w:val="none"/>
        </w:rPr>
      </w:pPr>
      <w:r>
        <w:rPr>
          <w:rFonts w:ascii="宋体" w:hAnsi="宋体" w:eastAsia="宋体" w:cs="宋体"/>
          <w:b/>
          <w:color w:val="auto"/>
          <w:kern w:val="0"/>
          <w:highlight w:val="none"/>
        </w:rPr>
        <w:t>4.0.2</w:t>
      </w:r>
      <w:r>
        <w:rPr>
          <w:rFonts w:hint="eastAsia" w:ascii="宋体" w:hAnsi="宋体" w:eastAsia="宋体" w:cs="宋体"/>
          <w:b/>
          <w:color w:val="auto"/>
          <w:kern w:val="0"/>
          <w:highlight w:val="none"/>
          <w:lang w:val="en-US" w:eastAsia="zh-CN"/>
        </w:rPr>
        <w:t xml:space="preserve">2  </w:t>
      </w:r>
      <w:r>
        <w:rPr>
          <w:rFonts w:hint="eastAsia" w:ascii="宋体" w:hAnsi="宋体" w:eastAsia="宋体" w:cs="宋体"/>
          <w:color w:val="auto"/>
          <w:kern w:val="0"/>
          <w:highlight w:val="none"/>
        </w:rPr>
        <w:t>装配式建筑项目新技术应用，通过专家专项评审符合新技术项目，得</w:t>
      </w:r>
      <w:r>
        <w:rPr>
          <w:rFonts w:ascii="宋体" w:hAnsi="宋体" w:eastAsia="宋体" w:cs="宋体"/>
          <w:color w:val="auto"/>
          <w:kern w:val="0"/>
          <w:highlight w:val="none"/>
        </w:rPr>
        <w:t>1</w:t>
      </w:r>
      <w:r>
        <w:rPr>
          <w:rFonts w:hint="eastAsia" w:ascii="宋体" w:hAnsi="宋体" w:eastAsia="宋体" w:cs="宋体"/>
          <w:color w:val="auto"/>
          <w:kern w:val="0"/>
          <w:highlight w:val="none"/>
        </w:rPr>
        <w:t>分，</w:t>
      </w:r>
      <w:r>
        <w:rPr>
          <w:rFonts w:ascii="宋体" w:hAnsi="宋体" w:eastAsia="宋体" w:cs="宋体"/>
          <w:color w:val="auto"/>
          <w:kern w:val="0"/>
          <w:highlight w:val="none"/>
        </w:rPr>
        <w:t>该项累加总分值不大于</w:t>
      </w:r>
      <w:r>
        <w:rPr>
          <w:rFonts w:hint="eastAsia" w:ascii="宋体" w:hAnsi="宋体" w:eastAsia="宋体" w:cs="宋体"/>
          <w:color w:val="auto"/>
          <w:kern w:val="0"/>
          <w:highlight w:val="none"/>
        </w:rPr>
        <w:t>3</w:t>
      </w:r>
      <w:r>
        <w:rPr>
          <w:rFonts w:ascii="宋体" w:hAnsi="宋体" w:eastAsia="宋体" w:cs="宋体"/>
          <w:color w:val="auto"/>
          <w:kern w:val="0"/>
          <w:highlight w:val="none"/>
        </w:rPr>
        <w:t>分</w:t>
      </w:r>
      <w:r>
        <w:rPr>
          <w:rFonts w:hint="eastAsia" w:ascii="宋体" w:hAnsi="宋体" w:eastAsia="宋体" w:cs="宋体"/>
          <w:color w:val="auto"/>
          <w:kern w:val="0"/>
          <w:highlight w:val="none"/>
        </w:rPr>
        <w:t>。</w:t>
      </w:r>
    </w:p>
    <w:p>
      <w:pPr>
        <w:pStyle w:val="46"/>
        <w:rPr>
          <w:rFonts w:hint="eastAsia" w:ascii="楷体" w:hAnsi="楷体" w:eastAsia="楷体" w:cs="楷体"/>
          <w:b w:val="0"/>
          <w:bCs w:val="0"/>
          <w:i w:val="0"/>
          <w:iCs w:val="0"/>
          <w:color w:val="auto"/>
          <w:highlight w:val="none"/>
        </w:rPr>
      </w:pPr>
      <w:r>
        <w:rPr>
          <w:rFonts w:hint="eastAsia" w:ascii="楷体" w:hAnsi="楷体" w:eastAsia="楷体" w:cs="楷体"/>
          <w:b w:val="0"/>
          <w:bCs w:val="0"/>
          <w:i w:val="0"/>
          <w:iCs w:val="0"/>
          <w:color w:val="auto"/>
          <w:highlight w:val="none"/>
        </w:rPr>
        <w:t>条文说明：4.0.2</w:t>
      </w:r>
      <w:r>
        <w:rPr>
          <w:rFonts w:hint="eastAsia" w:ascii="楷体" w:hAnsi="楷体" w:eastAsia="楷体" w:cs="楷体"/>
          <w:b w:val="0"/>
          <w:bCs w:val="0"/>
          <w:i w:val="0"/>
          <w:iCs w:val="0"/>
          <w:color w:val="auto"/>
          <w:highlight w:val="none"/>
          <w:lang w:val="en-US" w:eastAsia="zh-CN"/>
        </w:rPr>
        <w:t>2</w:t>
      </w:r>
      <w:r>
        <w:rPr>
          <w:rFonts w:hint="eastAsia" w:ascii="楷体" w:hAnsi="楷体" w:eastAsia="楷体" w:cs="楷体"/>
          <w:b w:val="0"/>
          <w:bCs w:val="0"/>
          <w:i w:val="0"/>
          <w:iCs w:val="0"/>
          <w:color w:val="auto"/>
          <w:highlight w:val="none"/>
        </w:rPr>
        <w:t xml:space="preserve"> </w:t>
      </w:r>
      <w:r>
        <w:rPr>
          <w:rFonts w:hint="eastAsia" w:ascii="楷体" w:hAnsi="楷体" w:eastAsia="楷体" w:cs="楷体"/>
          <w:b w:val="0"/>
          <w:bCs w:val="0"/>
          <w:i w:val="0"/>
          <w:iCs w:val="0"/>
          <w:color w:val="auto"/>
          <w:highlight w:val="none"/>
          <w:lang w:val="en-US" w:eastAsia="zh-CN"/>
        </w:rPr>
        <w:t xml:space="preserve"> </w:t>
      </w:r>
      <w:r>
        <w:rPr>
          <w:rFonts w:hint="eastAsia" w:ascii="楷体" w:hAnsi="楷体" w:eastAsia="楷体" w:cs="楷体"/>
          <w:b w:val="0"/>
          <w:bCs w:val="0"/>
          <w:i w:val="0"/>
          <w:iCs w:val="0"/>
          <w:color w:val="auto"/>
          <w:highlight w:val="none"/>
        </w:rPr>
        <w:t>当采用未包含在本《规范》规定范围内的装配式建筑相关新技术时，可采取专家评审的方式确定分值。如：近零能耗建筑、装配式组合结构技术、绿色高性能混凝土技术、消能减震或隔震技术等。每项新技术得1分，总分不超过3分。</w:t>
      </w:r>
    </w:p>
    <w:p>
      <w:pPr>
        <w:jc w:val="center"/>
        <w:rPr>
          <w:rFonts w:hint="eastAsia" w:ascii="黑体" w:hAnsi="黑体" w:eastAsia="黑体" w:cs="黑体"/>
          <w:bCs/>
          <w:color w:val="auto"/>
          <w:sz w:val="24"/>
          <w:highlight w:val="none"/>
        </w:rPr>
      </w:pPr>
    </w:p>
    <w:p>
      <w:pPr>
        <w:jc w:val="center"/>
        <w:rPr>
          <w:rFonts w:hint="eastAsia" w:ascii="黑体" w:hAnsi="黑体" w:eastAsia="黑体" w:cs="黑体"/>
          <w:bCs/>
          <w:color w:val="auto"/>
          <w:sz w:val="24"/>
          <w:highlight w:val="none"/>
        </w:rPr>
        <w:sectPr>
          <w:pgSz w:w="11906" w:h="16838"/>
          <w:pgMar w:top="1418" w:right="1304" w:bottom="1418" w:left="1304" w:header="851" w:footer="992" w:gutter="0"/>
          <w:pgNumType w:start="1"/>
          <w:cols w:space="425" w:num="1"/>
          <w:docGrid w:linePitch="312" w:charSpace="0"/>
        </w:sectPr>
      </w:pPr>
    </w:p>
    <w:p>
      <w:pPr>
        <w:pStyle w:val="3"/>
        <w:rPr>
          <w:rFonts w:hint="eastAsia"/>
          <w:color w:val="auto"/>
          <w:highlight w:val="none"/>
        </w:rPr>
      </w:pPr>
      <w:bookmarkStart w:id="28" w:name="_Toc28788"/>
      <w:bookmarkStart w:id="29" w:name="_Toc31392"/>
      <w:r>
        <w:rPr>
          <w:rFonts w:hint="eastAsia"/>
          <w:color w:val="auto"/>
          <w:highlight w:val="none"/>
        </w:rPr>
        <w:t>附表1：单体建筑装配率最终计算结果统计表</w:t>
      </w:r>
      <w:bookmarkEnd w:id="28"/>
      <w:bookmarkEnd w:id="29"/>
    </w:p>
    <w:p>
      <w:pPr>
        <w:pStyle w:val="15"/>
        <w:ind w:firstLine="0" w:firstLineChars="0"/>
        <w:rPr>
          <w:rFonts w:hint="eastAsia" w:ascii="宋体" w:hAnsi="宋体" w:eastAsia="宋体" w:cs="Arial"/>
          <w:color w:val="auto"/>
          <w:szCs w:val="28"/>
          <w:highlight w:val="none"/>
        </w:rPr>
      </w:pPr>
      <w:r>
        <w:rPr>
          <w:rFonts w:hint="eastAsia" w:ascii="宋体" w:hAnsi="宋体" w:eastAsia="宋体" w:cs="Arial"/>
          <w:color w:val="auto"/>
          <w:szCs w:val="28"/>
          <w:highlight w:val="none"/>
        </w:rPr>
        <w:t>项目名称：</w:t>
      </w:r>
    </w:p>
    <w:tbl>
      <w:tblPr>
        <w:tblStyle w:val="16"/>
        <w:tblW w:w="140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5"/>
        <w:gridCol w:w="542"/>
        <w:gridCol w:w="14"/>
        <w:gridCol w:w="691"/>
        <w:gridCol w:w="5"/>
        <w:gridCol w:w="1375"/>
        <w:gridCol w:w="367"/>
        <w:gridCol w:w="2052"/>
        <w:gridCol w:w="881"/>
        <w:gridCol w:w="1170"/>
        <w:gridCol w:w="1200"/>
        <w:gridCol w:w="2280"/>
        <w:gridCol w:w="675"/>
        <w:gridCol w:w="855"/>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4219" w:type="dxa"/>
            <w:gridSpan w:val="7"/>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评</w:t>
            </w:r>
            <w:r>
              <w:rPr>
                <w:rFonts w:hint="eastAsia" w:ascii="仿宋" w:hAnsi="仿宋" w:eastAsia="仿宋" w:cs="宋体"/>
                <w:b/>
                <w:bCs/>
                <w:color w:val="auto"/>
                <w:kern w:val="0"/>
                <w:sz w:val="24"/>
                <w:highlight w:val="none"/>
                <w:lang w:val="en-US" w:eastAsia="zh-CN"/>
              </w:rPr>
              <w:t>分</w:t>
            </w:r>
            <w:r>
              <w:rPr>
                <w:rFonts w:hint="eastAsia" w:ascii="仿宋" w:hAnsi="仿宋" w:eastAsia="仿宋" w:cs="宋体"/>
                <w:b/>
                <w:bCs/>
                <w:color w:val="auto"/>
                <w:kern w:val="0"/>
                <w:sz w:val="24"/>
                <w:highlight w:val="none"/>
              </w:rPr>
              <w:t>项</w:t>
            </w:r>
          </w:p>
        </w:tc>
        <w:tc>
          <w:tcPr>
            <w:tcW w:w="2052"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评</w:t>
            </w:r>
            <w:r>
              <w:rPr>
                <w:rFonts w:hint="eastAsia" w:ascii="仿宋" w:hAnsi="仿宋" w:eastAsia="仿宋" w:cs="宋体"/>
                <w:b/>
                <w:bCs/>
                <w:color w:val="auto"/>
                <w:kern w:val="0"/>
                <w:sz w:val="24"/>
                <w:highlight w:val="none"/>
                <w:lang w:val="en-US" w:eastAsia="zh-CN"/>
              </w:rPr>
              <w:t>分</w:t>
            </w:r>
            <w:r>
              <w:rPr>
                <w:rFonts w:hint="eastAsia" w:ascii="仿宋" w:hAnsi="仿宋" w:eastAsia="仿宋" w:cs="宋体"/>
                <w:b/>
                <w:bCs/>
                <w:color w:val="auto"/>
                <w:kern w:val="0"/>
                <w:sz w:val="24"/>
                <w:highlight w:val="none"/>
              </w:rPr>
              <w:t>要求</w:t>
            </w:r>
          </w:p>
        </w:tc>
        <w:tc>
          <w:tcPr>
            <w:tcW w:w="881"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评</w:t>
            </w:r>
            <w:r>
              <w:rPr>
                <w:rFonts w:hint="eastAsia" w:ascii="仿宋" w:hAnsi="仿宋" w:eastAsia="仿宋" w:cs="宋体"/>
                <w:b/>
                <w:bCs/>
                <w:color w:val="auto"/>
                <w:kern w:val="0"/>
                <w:sz w:val="24"/>
                <w:highlight w:val="none"/>
                <w:lang w:val="en-US" w:eastAsia="zh-CN"/>
              </w:rPr>
              <w:t>分</w:t>
            </w:r>
            <w:r>
              <w:rPr>
                <w:rFonts w:hint="eastAsia" w:ascii="仿宋" w:hAnsi="仿宋" w:eastAsia="仿宋" w:cs="宋体"/>
                <w:b/>
                <w:bCs/>
                <w:color w:val="auto"/>
                <w:kern w:val="0"/>
                <w:sz w:val="24"/>
                <w:highlight w:val="none"/>
              </w:rPr>
              <w:t>分值</w:t>
            </w:r>
          </w:p>
        </w:tc>
        <w:tc>
          <w:tcPr>
            <w:tcW w:w="1170"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最低分值</w:t>
            </w:r>
          </w:p>
        </w:tc>
        <w:tc>
          <w:tcPr>
            <w:tcW w:w="1200"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体积或面积或长度</w:t>
            </w:r>
          </w:p>
        </w:tc>
        <w:tc>
          <w:tcPr>
            <w:tcW w:w="2280"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对应部分总体积或总面积或总长度</w:t>
            </w:r>
          </w:p>
        </w:tc>
        <w:tc>
          <w:tcPr>
            <w:tcW w:w="675"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比例</w:t>
            </w:r>
          </w:p>
        </w:tc>
        <w:tc>
          <w:tcPr>
            <w:tcW w:w="855"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评</w:t>
            </w:r>
            <w:r>
              <w:rPr>
                <w:rFonts w:hint="eastAsia" w:ascii="仿宋" w:hAnsi="仿宋" w:eastAsia="仿宋" w:cs="宋体"/>
                <w:b/>
                <w:bCs/>
                <w:color w:val="auto"/>
                <w:kern w:val="0"/>
                <w:sz w:val="24"/>
                <w:highlight w:val="none"/>
                <w:lang w:val="en-US" w:eastAsia="zh-CN"/>
              </w:rPr>
              <w:t>分</w:t>
            </w:r>
            <w:r>
              <w:rPr>
                <w:rFonts w:hint="eastAsia" w:ascii="仿宋" w:hAnsi="仿宋" w:eastAsia="仿宋" w:cs="宋体"/>
                <w:b/>
                <w:bCs/>
                <w:color w:val="auto"/>
                <w:kern w:val="0"/>
                <w:sz w:val="24"/>
                <w:highlight w:val="none"/>
              </w:rPr>
              <w:t>分值</w:t>
            </w:r>
          </w:p>
        </w:tc>
        <w:tc>
          <w:tcPr>
            <w:tcW w:w="705" w:type="dxa"/>
            <w:shd w:val="clear" w:color="auto" w:fill="auto"/>
            <w:vAlign w:val="center"/>
          </w:tcPr>
          <w:p>
            <w:pPr>
              <w:widowControl/>
              <w:spacing w:line="240" w:lineRule="auto"/>
              <w:jc w:val="center"/>
              <w:rPr>
                <w:rFonts w:hint="eastAsia" w:ascii="仿宋" w:hAnsi="仿宋" w:eastAsia="仿宋" w:cs="宋体"/>
                <w:b/>
                <w:bCs/>
                <w:color w:val="auto"/>
                <w:kern w:val="0"/>
                <w:sz w:val="24"/>
                <w:highlight w:val="none"/>
              </w:rPr>
            </w:pPr>
            <w:r>
              <w:rPr>
                <w:rFonts w:hint="eastAsia" w:ascii="仿宋" w:hAnsi="仿宋" w:eastAsia="仿宋" w:cs="宋体"/>
                <w:b/>
                <w:bCs/>
                <w:color w:val="auto"/>
                <w:kern w:val="0"/>
                <w:sz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主体结构Q</w:t>
            </w:r>
            <w:r>
              <w:rPr>
                <w:rFonts w:hint="eastAsia" w:ascii="仿宋" w:hAnsi="仿宋" w:eastAsia="仿宋" w:cs="宋体"/>
                <w:color w:val="auto"/>
                <w:kern w:val="0"/>
                <w:sz w:val="24"/>
                <w:highlight w:val="none"/>
                <w:vertAlign w:val="subscript"/>
              </w:rPr>
              <w:t>1</w:t>
            </w:r>
            <w:r>
              <w:rPr>
                <w:rFonts w:hint="eastAsia" w:ascii="仿宋" w:hAnsi="仿宋" w:eastAsia="仿宋" w:cs="宋体"/>
                <w:color w:val="auto"/>
                <w:kern w:val="0"/>
                <w:sz w:val="24"/>
                <w:highlight w:val="none"/>
              </w:rPr>
              <w:t>（50分）</w:t>
            </w:r>
          </w:p>
        </w:tc>
        <w:tc>
          <w:tcPr>
            <w:tcW w:w="556" w:type="dxa"/>
            <w:gridSpan w:val="2"/>
            <w:vMerge w:val="restart"/>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1a</w:t>
            </w:r>
          </w:p>
        </w:tc>
        <w:tc>
          <w:tcPr>
            <w:tcW w:w="2438" w:type="dxa"/>
            <w:gridSpan w:val="4"/>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柱、支撑、承重墙、延性墙板等竖向构件</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35%≤比例≤80%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20-30*</w:t>
            </w:r>
          </w:p>
        </w:tc>
        <w:tc>
          <w:tcPr>
            <w:tcW w:w="1170" w:type="dxa"/>
            <w:vMerge w:val="restart"/>
            <w:shd w:val="clear" w:color="auto" w:fill="auto"/>
            <w:vAlign w:val="center"/>
          </w:tcPr>
          <w:p>
            <w:pPr>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15（</w:t>
            </w:r>
            <w:r>
              <w:rPr>
                <w:rFonts w:hint="eastAsia" w:ascii="仿宋" w:hAnsi="仿宋" w:eastAsia="仿宋" w:cs="宋体"/>
                <w:color w:val="auto"/>
                <w:kern w:val="0"/>
                <w:sz w:val="24"/>
                <w:highlight w:val="none"/>
                <w:lang w:val="en-US" w:eastAsia="zh-CN"/>
              </w:rPr>
              <w:t>居建25；公建</w:t>
            </w:r>
            <w:r>
              <w:rPr>
                <w:rFonts w:hint="eastAsia" w:ascii="仿宋" w:hAnsi="仿宋" w:eastAsia="仿宋" w:cs="宋体"/>
                <w:color w:val="auto"/>
                <w:kern w:val="0"/>
                <w:sz w:val="24"/>
                <w:highlight w:val="none"/>
              </w:rPr>
              <w:t>20）</w:t>
            </w: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restart"/>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56" w:type="dxa"/>
            <w:gridSpan w:val="2"/>
            <w:vMerge w:val="continue"/>
            <w:vAlign w:val="center"/>
          </w:tcPr>
          <w:p>
            <w:pPr>
              <w:widowControl/>
              <w:jc w:val="left"/>
              <w:rPr>
                <w:rFonts w:hint="eastAsia" w:ascii="仿宋" w:hAnsi="仿宋" w:eastAsia="仿宋" w:cs="宋体"/>
                <w:color w:val="auto"/>
                <w:kern w:val="0"/>
                <w:sz w:val="24"/>
                <w:highlight w:val="none"/>
              </w:rPr>
            </w:pPr>
          </w:p>
        </w:tc>
        <w:tc>
          <w:tcPr>
            <w:tcW w:w="2438" w:type="dxa"/>
            <w:gridSpan w:val="4"/>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15%≤比例＜35%</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5-20*</w:t>
            </w:r>
          </w:p>
        </w:tc>
        <w:tc>
          <w:tcPr>
            <w:tcW w:w="1170" w:type="dxa"/>
            <w:vMerge w:val="continue"/>
            <w:vAlign w:val="center"/>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56" w:type="dxa"/>
            <w:gridSpan w:val="2"/>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1b</w:t>
            </w:r>
          </w:p>
        </w:tc>
        <w:tc>
          <w:tcPr>
            <w:tcW w:w="2438" w:type="dxa"/>
            <w:gridSpan w:val="4"/>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梁、板、楼梯、阳台、空调板等水平构件</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50%≤比例≤80%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5-20*</w:t>
            </w:r>
          </w:p>
        </w:tc>
        <w:tc>
          <w:tcPr>
            <w:tcW w:w="1170" w:type="dxa"/>
            <w:vMerge w:val="continue"/>
            <w:vAlign w:val="center"/>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围护墙和内隔墙Q</w:t>
            </w:r>
            <w:r>
              <w:rPr>
                <w:rFonts w:hint="eastAsia" w:ascii="仿宋" w:hAnsi="仿宋" w:eastAsia="仿宋" w:cs="宋体"/>
                <w:color w:val="auto"/>
                <w:kern w:val="0"/>
                <w:sz w:val="24"/>
                <w:highlight w:val="none"/>
                <w:vertAlign w:val="subscript"/>
              </w:rPr>
              <w:t>2</w:t>
            </w:r>
            <w:r>
              <w:rPr>
                <w:rFonts w:hint="eastAsia" w:ascii="仿宋" w:hAnsi="仿宋" w:eastAsia="仿宋" w:cs="宋体"/>
                <w:color w:val="auto"/>
                <w:kern w:val="0"/>
                <w:sz w:val="24"/>
                <w:highlight w:val="none"/>
              </w:rPr>
              <w:t>（2</w:t>
            </w:r>
            <w:r>
              <w:rPr>
                <w:rFonts w:hint="eastAsia" w:ascii="仿宋" w:hAnsi="仿宋" w:eastAsia="仿宋" w:cs="宋体"/>
                <w:color w:val="auto"/>
                <w:kern w:val="0"/>
                <w:sz w:val="24"/>
                <w:highlight w:val="none"/>
                <w:lang w:val="en-US" w:eastAsia="zh-CN"/>
              </w:rPr>
              <w:t>0</w:t>
            </w:r>
            <w:r>
              <w:rPr>
                <w:rFonts w:hint="eastAsia" w:ascii="仿宋" w:hAnsi="仿宋" w:eastAsia="仿宋" w:cs="宋体"/>
                <w:color w:val="auto"/>
                <w:kern w:val="0"/>
                <w:sz w:val="24"/>
                <w:highlight w:val="none"/>
              </w:rPr>
              <w:t>分）</w:t>
            </w:r>
          </w:p>
        </w:tc>
        <w:tc>
          <w:tcPr>
            <w:tcW w:w="556" w:type="dxa"/>
            <w:gridSpan w:val="2"/>
            <w:vMerge w:val="restart"/>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2a</w:t>
            </w:r>
          </w:p>
        </w:tc>
        <w:tc>
          <w:tcPr>
            <w:tcW w:w="2438" w:type="dxa"/>
            <w:gridSpan w:val="4"/>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非承重围护墙非现场砌筑</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比例≥80%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w:t>
            </w:r>
          </w:p>
        </w:tc>
        <w:tc>
          <w:tcPr>
            <w:tcW w:w="1170" w:type="dxa"/>
            <w:vMerge w:val="restart"/>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5（10）</w:t>
            </w: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restart"/>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56" w:type="dxa"/>
            <w:gridSpan w:val="2"/>
            <w:vMerge w:val="continue"/>
            <w:vAlign w:val="center"/>
          </w:tcPr>
          <w:p>
            <w:pPr>
              <w:widowControl/>
              <w:jc w:val="left"/>
              <w:rPr>
                <w:rFonts w:hint="eastAsia" w:ascii="仿宋" w:hAnsi="仿宋" w:eastAsia="仿宋" w:cs="宋体"/>
                <w:color w:val="auto"/>
                <w:kern w:val="0"/>
                <w:sz w:val="24"/>
                <w:highlight w:val="none"/>
              </w:rPr>
            </w:pPr>
          </w:p>
        </w:tc>
        <w:tc>
          <w:tcPr>
            <w:tcW w:w="2438" w:type="dxa"/>
            <w:gridSpan w:val="4"/>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50%≤比例＜80%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2-5*</w:t>
            </w:r>
          </w:p>
        </w:tc>
        <w:tc>
          <w:tcPr>
            <w:tcW w:w="1170" w:type="dxa"/>
            <w:vMerge w:val="continue"/>
            <w:vAlign w:val="center"/>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56" w:type="dxa"/>
            <w:gridSpan w:val="2"/>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2b</w:t>
            </w:r>
          </w:p>
        </w:tc>
        <w:tc>
          <w:tcPr>
            <w:tcW w:w="2438" w:type="dxa"/>
            <w:gridSpan w:val="4"/>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2b1</w:t>
            </w:r>
          </w:p>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围护墙与保温、隔热、装饰一体化</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35%≤比例≤80%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1-5*</w:t>
            </w:r>
          </w:p>
        </w:tc>
        <w:tc>
          <w:tcPr>
            <w:tcW w:w="1170" w:type="dxa"/>
            <w:vMerge w:val="continue"/>
            <w:vAlign w:val="center"/>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56" w:type="dxa"/>
            <w:gridSpan w:val="2"/>
            <w:vMerge w:val="restart"/>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2c</w:t>
            </w:r>
          </w:p>
        </w:tc>
        <w:tc>
          <w:tcPr>
            <w:tcW w:w="2438" w:type="dxa"/>
            <w:gridSpan w:val="4"/>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内隔墙非现场砌筑</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比例≥50%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w:t>
            </w:r>
          </w:p>
        </w:tc>
        <w:tc>
          <w:tcPr>
            <w:tcW w:w="1170" w:type="dxa"/>
            <w:vMerge w:val="continue"/>
            <w:vAlign w:val="center"/>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56" w:type="dxa"/>
            <w:gridSpan w:val="2"/>
            <w:vMerge w:val="continue"/>
            <w:vAlign w:val="center"/>
          </w:tcPr>
          <w:p>
            <w:pPr>
              <w:widowControl/>
              <w:jc w:val="left"/>
              <w:rPr>
                <w:rFonts w:hint="eastAsia" w:ascii="仿宋" w:hAnsi="仿宋" w:eastAsia="仿宋" w:cs="宋体"/>
                <w:color w:val="auto"/>
                <w:kern w:val="0"/>
                <w:sz w:val="24"/>
                <w:highlight w:val="none"/>
              </w:rPr>
            </w:pPr>
          </w:p>
        </w:tc>
        <w:tc>
          <w:tcPr>
            <w:tcW w:w="2438" w:type="dxa"/>
            <w:gridSpan w:val="4"/>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30%≤比例＜50%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2-5*</w:t>
            </w:r>
          </w:p>
        </w:tc>
        <w:tc>
          <w:tcPr>
            <w:tcW w:w="1170" w:type="dxa"/>
            <w:vMerge w:val="continue"/>
            <w:vAlign w:val="center"/>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56" w:type="dxa"/>
            <w:gridSpan w:val="2"/>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2d</w:t>
            </w:r>
          </w:p>
        </w:tc>
        <w:tc>
          <w:tcPr>
            <w:tcW w:w="2438" w:type="dxa"/>
            <w:gridSpan w:val="4"/>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内隔墙与管线、装修一体化</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35%≤比例≤80%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1-5*</w:t>
            </w:r>
          </w:p>
        </w:tc>
        <w:tc>
          <w:tcPr>
            <w:tcW w:w="1170" w:type="dxa"/>
            <w:vMerge w:val="continue"/>
            <w:vAlign w:val="center"/>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225"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装修和设备管线Q</w:t>
            </w:r>
            <w:r>
              <w:rPr>
                <w:rFonts w:hint="eastAsia" w:ascii="仿宋" w:hAnsi="仿宋" w:eastAsia="仿宋" w:cs="宋体"/>
                <w:color w:val="auto"/>
                <w:kern w:val="0"/>
                <w:sz w:val="24"/>
                <w:highlight w:val="none"/>
                <w:vertAlign w:val="subscript"/>
              </w:rPr>
              <w:t>3</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en-US" w:eastAsia="zh-CN"/>
              </w:rPr>
              <w:t>30</w:t>
            </w:r>
            <w:r>
              <w:rPr>
                <w:rFonts w:hint="eastAsia" w:ascii="仿宋" w:hAnsi="仿宋" w:eastAsia="仿宋" w:cs="宋体"/>
                <w:color w:val="auto"/>
                <w:kern w:val="0"/>
                <w:sz w:val="24"/>
                <w:highlight w:val="none"/>
              </w:rPr>
              <w:t>分）</w:t>
            </w:r>
          </w:p>
        </w:tc>
        <w:tc>
          <w:tcPr>
            <w:tcW w:w="1252" w:type="dxa"/>
            <w:gridSpan w:val="4"/>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全装修</w:t>
            </w:r>
          </w:p>
        </w:tc>
        <w:tc>
          <w:tcPr>
            <w:tcW w:w="3794" w:type="dxa"/>
            <w:gridSpan w:val="3"/>
            <w:shd w:val="clear" w:color="auto" w:fill="auto"/>
            <w:vAlign w:val="center"/>
          </w:tcPr>
          <w:p>
            <w:pPr>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eastAsia="zh-CN"/>
              </w:rPr>
              <w:t>公区全部装修</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2</w:t>
            </w:r>
          </w:p>
        </w:tc>
        <w:tc>
          <w:tcPr>
            <w:tcW w:w="1170" w:type="dxa"/>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val="en-US" w:eastAsia="zh-CN"/>
              </w:rPr>
              <w:t>2</w:t>
            </w: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225" w:type="dxa"/>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c>
          <w:tcPr>
            <w:tcW w:w="1252" w:type="dxa"/>
            <w:gridSpan w:val="4"/>
            <w:vMerge w:val="continue"/>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c>
          <w:tcPr>
            <w:tcW w:w="3794" w:type="dxa"/>
            <w:gridSpan w:val="3"/>
            <w:shd w:val="clear" w:color="auto" w:fill="auto"/>
            <w:vAlign w:val="center"/>
          </w:tcPr>
          <w:p>
            <w:pPr>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eastAsia="zh-CN"/>
              </w:rPr>
              <w:t>建筑功能空间全部装修</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6</w:t>
            </w:r>
          </w:p>
        </w:tc>
        <w:tc>
          <w:tcPr>
            <w:tcW w:w="1170" w:type="dxa"/>
            <w:vMerge w:val="continue"/>
            <w:shd w:val="clear" w:color="auto" w:fill="auto"/>
          </w:tcPr>
          <w:p>
            <w:pPr>
              <w:widowControl/>
              <w:spacing w:line="240" w:lineRule="auto"/>
              <w:jc w:val="center"/>
              <w:rPr>
                <w:rFonts w:hint="default" w:ascii="仿宋" w:hAnsi="仿宋" w:eastAsia="仿宋" w:cs="宋体"/>
                <w:color w:val="auto"/>
                <w:kern w:val="0"/>
                <w:sz w:val="24"/>
                <w:highlight w:val="none"/>
                <w:lang w:val="en-US"/>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Merge w:val="restart"/>
            <w:shd w:val="clear" w:color="auto" w:fill="auto"/>
            <w:vAlign w:val="bottom"/>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restart"/>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3a</w:t>
            </w:r>
          </w:p>
        </w:tc>
        <w:tc>
          <w:tcPr>
            <w:tcW w:w="2452" w:type="dxa"/>
            <w:gridSpan w:val="5"/>
            <w:vMerge w:val="restart"/>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干式工法楼面、地面</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比例≥70%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6</w:t>
            </w:r>
          </w:p>
        </w:tc>
        <w:tc>
          <w:tcPr>
            <w:tcW w:w="1170" w:type="dxa"/>
            <w:vMerge w:val="restart"/>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lang w:val="en-US" w:eastAsia="zh-CN"/>
              </w:rPr>
              <w:t>3（6）</w:t>
            </w: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vAlign w:val="center"/>
          </w:tcPr>
          <w:p>
            <w:pPr>
              <w:widowControl/>
              <w:jc w:val="left"/>
              <w:rPr>
                <w:rFonts w:hint="eastAsia" w:ascii="仿宋" w:hAnsi="仿宋" w:eastAsia="仿宋" w:cs="宋体"/>
                <w:color w:val="auto"/>
                <w:kern w:val="0"/>
                <w:sz w:val="24"/>
                <w:highlight w:val="none"/>
              </w:rPr>
            </w:pPr>
          </w:p>
        </w:tc>
        <w:tc>
          <w:tcPr>
            <w:tcW w:w="2452" w:type="dxa"/>
            <w:gridSpan w:val="5"/>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50%≤比例＜70%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3-6*</w:t>
            </w:r>
          </w:p>
        </w:tc>
        <w:tc>
          <w:tcPr>
            <w:tcW w:w="1170" w:type="dxa"/>
            <w:vMerge w:val="continue"/>
            <w:vAlign w:val="center"/>
          </w:tcPr>
          <w:p>
            <w:pPr>
              <w:jc w:val="center"/>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3b</w:t>
            </w:r>
          </w:p>
        </w:tc>
        <w:tc>
          <w:tcPr>
            <w:tcW w:w="2452"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集成厨房</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70%≤比例≤90%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w:t>
            </w:r>
            <w:r>
              <w:rPr>
                <w:rFonts w:hint="eastAsia" w:ascii="仿宋" w:hAnsi="仿宋" w:eastAsia="仿宋" w:cs="宋体"/>
                <w:color w:val="auto"/>
                <w:kern w:val="0"/>
                <w:sz w:val="24"/>
                <w:highlight w:val="none"/>
                <w:lang w:val="en-US" w:eastAsia="zh-CN"/>
              </w:rPr>
              <w:t>6</w:t>
            </w:r>
            <w:r>
              <w:rPr>
                <w:rFonts w:hint="eastAsia" w:ascii="仿宋" w:hAnsi="仿宋" w:eastAsia="仿宋" w:cs="宋体"/>
                <w:color w:val="auto"/>
                <w:kern w:val="0"/>
                <w:sz w:val="24"/>
                <w:highlight w:val="none"/>
              </w:rPr>
              <w:t>*</w:t>
            </w:r>
          </w:p>
        </w:tc>
        <w:tc>
          <w:tcPr>
            <w:tcW w:w="1170" w:type="dxa"/>
            <w:vMerge w:val="continue"/>
            <w:vAlign w:val="center"/>
          </w:tcPr>
          <w:p>
            <w:pPr>
              <w:jc w:val="center"/>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3c</w:t>
            </w:r>
          </w:p>
        </w:tc>
        <w:tc>
          <w:tcPr>
            <w:tcW w:w="2452"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集成卫生间</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70%≤比例≤90%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3-</w:t>
            </w:r>
            <w:r>
              <w:rPr>
                <w:rFonts w:hint="eastAsia" w:ascii="仿宋" w:hAnsi="仿宋" w:eastAsia="仿宋" w:cs="宋体"/>
                <w:color w:val="auto"/>
                <w:kern w:val="0"/>
                <w:sz w:val="24"/>
                <w:highlight w:val="none"/>
                <w:lang w:val="en-US" w:eastAsia="zh-CN"/>
              </w:rPr>
              <w:t>6</w:t>
            </w:r>
            <w:r>
              <w:rPr>
                <w:rFonts w:hint="eastAsia" w:ascii="仿宋" w:hAnsi="仿宋" w:eastAsia="仿宋" w:cs="宋体"/>
                <w:color w:val="auto"/>
                <w:kern w:val="0"/>
                <w:sz w:val="24"/>
                <w:highlight w:val="none"/>
              </w:rPr>
              <w:t>*</w:t>
            </w:r>
          </w:p>
        </w:tc>
        <w:tc>
          <w:tcPr>
            <w:tcW w:w="1170" w:type="dxa"/>
            <w:vMerge w:val="continue"/>
            <w:vAlign w:val="center"/>
          </w:tcPr>
          <w:p>
            <w:pPr>
              <w:jc w:val="center"/>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3d</w:t>
            </w:r>
          </w:p>
        </w:tc>
        <w:tc>
          <w:tcPr>
            <w:tcW w:w="2452"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水、暖管线分离</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50%≤比例≤70%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1-3*</w:t>
            </w:r>
          </w:p>
        </w:tc>
        <w:tc>
          <w:tcPr>
            <w:tcW w:w="1170" w:type="dxa"/>
            <w:vMerge w:val="continue"/>
            <w:vAlign w:val="center"/>
          </w:tcPr>
          <w:p>
            <w:pPr>
              <w:jc w:val="center"/>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3e</w:t>
            </w:r>
          </w:p>
        </w:tc>
        <w:tc>
          <w:tcPr>
            <w:tcW w:w="2452" w:type="dxa"/>
            <w:gridSpan w:val="5"/>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电气管线分离</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50%≤比例≤70%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1-3*</w:t>
            </w:r>
          </w:p>
        </w:tc>
        <w:tc>
          <w:tcPr>
            <w:tcW w:w="1170" w:type="dxa"/>
            <w:vMerge w:val="continue"/>
            <w:vAlign w:val="center"/>
          </w:tcPr>
          <w:p>
            <w:pPr>
              <w:jc w:val="center"/>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vMerge w:val="continue"/>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225"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缺项分值总和Q</w:t>
            </w:r>
            <w:r>
              <w:rPr>
                <w:rFonts w:hint="eastAsia" w:ascii="仿宋" w:hAnsi="仿宋" w:eastAsia="仿宋" w:cs="宋体"/>
                <w:color w:val="auto"/>
                <w:kern w:val="0"/>
                <w:sz w:val="24"/>
                <w:highlight w:val="none"/>
                <w:vertAlign w:val="subscript"/>
              </w:rPr>
              <w:t>4</w:t>
            </w:r>
          </w:p>
        </w:tc>
        <w:tc>
          <w:tcPr>
            <w:tcW w:w="2994" w:type="dxa"/>
            <w:gridSpan w:val="6"/>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052"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p>
        </w:tc>
        <w:tc>
          <w:tcPr>
            <w:tcW w:w="1170" w:type="dxa"/>
            <w:shd w:val="clear" w:color="auto" w:fill="auto"/>
            <w:vAlign w:val="center"/>
          </w:tcPr>
          <w:p>
            <w:pPr>
              <w:widowControl/>
              <w:jc w:val="center"/>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c>
          <w:tcPr>
            <w:tcW w:w="705" w:type="dxa"/>
            <w:shd w:val="clear" w:color="auto" w:fill="auto"/>
            <w:vAlign w:val="bottom"/>
          </w:tcPr>
          <w:p>
            <w:pPr>
              <w:widowControl/>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restart"/>
            <w:vAlign w:val="center"/>
          </w:tcPr>
          <w:p>
            <w:pPr>
              <w:spacing w:line="240" w:lineRule="auto"/>
              <w:jc w:val="center"/>
              <w:rPr>
                <w:rFonts w:hint="eastAsia" w:ascii="仿宋" w:hAnsi="仿宋" w:eastAsia="仿宋" w:cs="宋体"/>
                <w:color w:val="auto"/>
                <w:kern w:val="0"/>
                <w:sz w:val="24"/>
                <w:highlight w:val="none"/>
                <w:vertAlign w:val="subscript"/>
              </w:rPr>
            </w:pPr>
            <w:r>
              <w:rPr>
                <w:rFonts w:hint="eastAsia" w:ascii="仿宋" w:hAnsi="仿宋" w:eastAsia="仿宋" w:cs="宋体"/>
                <w:color w:val="auto"/>
                <w:kern w:val="0"/>
                <w:sz w:val="24"/>
                <w:highlight w:val="none"/>
              </w:rPr>
              <w:t>Q</w:t>
            </w:r>
            <w:r>
              <w:rPr>
                <w:rFonts w:hint="eastAsia" w:ascii="仿宋" w:hAnsi="仿宋" w:eastAsia="仿宋" w:cs="宋体"/>
                <w:color w:val="auto"/>
                <w:kern w:val="0"/>
                <w:sz w:val="24"/>
                <w:highlight w:val="none"/>
                <w:vertAlign w:val="subscript"/>
              </w:rPr>
              <w:t>5</w:t>
            </w:r>
          </w:p>
          <w:p>
            <w:pPr>
              <w:widowControl/>
              <w:spacing w:line="240" w:lineRule="auto"/>
              <w:jc w:val="left"/>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（20分）</w:t>
            </w:r>
          </w:p>
        </w:tc>
        <w:tc>
          <w:tcPr>
            <w:tcW w:w="542" w:type="dxa"/>
            <w:vMerge w:val="restart"/>
            <w:shd w:val="clear" w:color="auto" w:fill="auto"/>
            <w:vAlign w:val="center"/>
          </w:tcPr>
          <w:p>
            <w:pPr>
              <w:widowControl/>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eastAsia="zh-CN"/>
              </w:rPr>
              <w:t>加分项</w:t>
            </w:r>
          </w:p>
        </w:tc>
        <w:tc>
          <w:tcPr>
            <w:tcW w:w="4504" w:type="dxa"/>
            <w:gridSpan w:val="6"/>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绿色建筑（二星以上）与</w:t>
            </w:r>
            <w:r>
              <w:rPr>
                <w:rFonts w:ascii="仿宋" w:hAnsi="仿宋" w:eastAsia="仿宋" w:cs="宋体"/>
                <w:color w:val="auto"/>
                <w:kern w:val="0"/>
                <w:sz w:val="24"/>
                <w:highlight w:val="none"/>
              </w:rPr>
              <w:t>绿色建材</w:t>
            </w:r>
            <w:r>
              <w:rPr>
                <w:rFonts w:hint="eastAsia" w:ascii="仿宋" w:hAnsi="仿宋" w:eastAsia="仿宋" w:cs="宋体"/>
                <w:color w:val="auto"/>
                <w:kern w:val="0"/>
                <w:sz w:val="24"/>
                <w:highlight w:val="none"/>
              </w:rPr>
              <w:t>应用</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1-3</w:t>
            </w:r>
          </w:p>
        </w:tc>
        <w:tc>
          <w:tcPr>
            <w:tcW w:w="1170"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1200" w:type="dxa"/>
            <w:shd w:val="clear" w:color="auto" w:fill="auto"/>
            <w:vAlign w:val="bottom"/>
          </w:tcPr>
          <w:p>
            <w:pPr>
              <w:widowControl/>
              <w:jc w:val="center"/>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shd w:val="clear" w:color="auto" w:fill="auto"/>
            <w:vAlign w:val="center"/>
          </w:tcPr>
          <w:p>
            <w:pPr>
              <w:widowControl/>
              <w:jc w:val="center"/>
              <w:rPr>
                <w:rFonts w:hint="eastAsia" w:ascii="仿宋" w:hAnsi="仿宋" w:eastAsia="仿宋" w:cs="宋体"/>
                <w:color w:val="auto"/>
                <w:kern w:val="0"/>
                <w:sz w:val="24"/>
                <w:highlight w:val="none"/>
              </w:rPr>
            </w:pPr>
          </w:p>
        </w:tc>
        <w:tc>
          <w:tcPr>
            <w:tcW w:w="4504" w:type="dxa"/>
            <w:gridSpan w:val="6"/>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标准化设计</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5</w:t>
            </w:r>
          </w:p>
        </w:tc>
        <w:tc>
          <w:tcPr>
            <w:tcW w:w="1170" w:type="dxa"/>
            <w:shd w:val="clear" w:color="auto" w:fill="auto"/>
            <w:vAlign w:val="center"/>
          </w:tcPr>
          <w:p>
            <w:pPr>
              <w:widowControl/>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kern w:val="0"/>
                <w:sz w:val="24"/>
                <w:highlight w:val="none"/>
                <w:lang w:val="en-US" w:eastAsia="zh-CN"/>
              </w:rPr>
              <w:t>2</w:t>
            </w:r>
          </w:p>
        </w:tc>
        <w:tc>
          <w:tcPr>
            <w:tcW w:w="1200" w:type="dxa"/>
            <w:shd w:val="clear" w:color="auto" w:fill="auto"/>
            <w:vAlign w:val="bottom"/>
          </w:tcPr>
          <w:p>
            <w:pPr>
              <w:widowControl/>
              <w:jc w:val="center"/>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shd w:val="clear" w:color="auto" w:fill="auto"/>
            <w:vAlign w:val="center"/>
          </w:tcPr>
          <w:p>
            <w:pPr>
              <w:widowControl/>
              <w:jc w:val="center"/>
              <w:rPr>
                <w:rFonts w:hint="eastAsia" w:ascii="仿宋" w:hAnsi="仿宋" w:eastAsia="仿宋" w:cs="宋体"/>
                <w:color w:val="auto"/>
                <w:kern w:val="0"/>
                <w:sz w:val="24"/>
                <w:highlight w:val="none"/>
              </w:rPr>
            </w:pPr>
          </w:p>
        </w:tc>
        <w:tc>
          <w:tcPr>
            <w:tcW w:w="4504" w:type="dxa"/>
            <w:gridSpan w:val="6"/>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智能建造技术应用</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1-3</w:t>
            </w:r>
          </w:p>
        </w:tc>
        <w:tc>
          <w:tcPr>
            <w:tcW w:w="1170" w:type="dxa"/>
            <w:vMerge w:val="restart"/>
            <w:shd w:val="clear" w:color="auto" w:fill="auto"/>
            <w:vAlign w:val="center"/>
          </w:tcPr>
          <w:p>
            <w:pPr>
              <w:widowControl/>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color w:val="auto"/>
                <w:kern w:val="0"/>
                <w:sz w:val="24"/>
                <w:highlight w:val="none"/>
                <w:lang w:val="en-US" w:eastAsia="zh-CN"/>
              </w:rPr>
              <w:t>4</w:t>
            </w:r>
            <w:r>
              <w:rPr>
                <w:rFonts w:hint="eastAsia" w:ascii="仿宋" w:hAnsi="仿宋" w:eastAsia="仿宋" w:cs="宋体"/>
                <w:color w:val="auto"/>
                <w:kern w:val="0"/>
                <w:sz w:val="24"/>
                <w:highlight w:val="none"/>
              </w:rPr>
              <w:t>）</w:t>
            </w:r>
          </w:p>
        </w:tc>
        <w:tc>
          <w:tcPr>
            <w:tcW w:w="1200" w:type="dxa"/>
            <w:shd w:val="clear" w:color="auto" w:fill="auto"/>
            <w:vAlign w:val="bottom"/>
          </w:tcPr>
          <w:p>
            <w:pPr>
              <w:widowControl/>
              <w:jc w:val="center"/>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shd w:val="clear" w:color="auto" w:fill="auto"/>
            <w:vAlign w:val="center"/>
          </w:tcPr>
          <w:p>
            <w:pPr>
              <w:widowControl/>
              <w:jc w:val="center"/>
              <w:rPr>
                <w:rFonts w:hint="eastAsia" w:ascii="仿宋" w:hAnsi="仿宋" w:eastAsia="仿宋" w:cs="宋体"/>
                <w:color w:val="auto"/>
                <w:kern w:val="0"/>
                <w:sz w:val="24"/>
                <w:highlight w:val="none"/>
              </w:rPr>
            </w:pPr>
          </w:p>
        </w:tc>
        <w:tc>
          <w:tcPr>
            <w:tcW w:w="705"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宋体" w:hAnsi="宋体" w:eastAsia="宋体" w:cs="宋体"/>
                <w:color w:val="auto"/>
                <w:kern w:val="0"/>
                <w:sz w:val="22"/>
                <w:szCs w:val="22"/>
                <w:highlight w:val="none"/>
              </w:rPr>
              <w:t>Q</w:t>
            </w:r>
            <w:r>
              <w:rPr>
                <w:rFonts w:ascii="宋体" w:hAnsi="宋体" w:eastAsia="宋体" w:cs="宋体"/>
                <w:color w:val="auto"/>
                <w:kern w:val="0"/>
                <w:sz w:val="22"/>
                <w:szCs w:val="22"/>
                <w:highlight w:val="none"/>
                <w:vertAlign w:val="subscript"/>
              </w:rPr>
              <w:t>5a</w:t>
            </w:r>
          </w:p>
        </w:tc>
        <w:tc>
          <w:tcPr>
            <w:tcW w:w="1380" w:type="dxa"/>
            <w:gridSpan w:val="2"/>
            <w:shd w:val="clear" w:color="auto" w:fill="auto"/>
            <w:vAlign w:val="center"/>
          </w:tcPr>
          <w:p>
            <w:pPr>
              <w:widowControl/>
              <w:spacing w:line="240" w:lineRule="auto"/>
              <w:jc w:val="center"/>
              <w:rPr>
                <w:rFonts w:hint="eastAsia" w:ascii="仿宋" w:hAnsi="仿宋" w:eastAsia="仿宋" w:cs="宋体"/>
                <w:color w:val="auto"/>
                <w:kern w:val="0"/>
                <w:sz w:val="24"/>
                <w:highlight w:val="none"/>
                <w:lang w:eastAsia="zh-CN"/>
              </w:rPr>
            </w:pPr>
            <w:r>
              <w:rPr>
                <w:rFonts w:hint="eastAsia" w:ascii="仿宋" w:hAnsi="仿宋" w:eastAsia="仿宋" w:cs="宋体"/>
                <w:color w:val="auto"/>
                <w:w w:val="90"/>
                <w:kern w:val="0"/>
                <w:sz w:val="24"/>
                <w:highlight w:val="none"/>
                <w:lang w:eastAsia="zh-CN"/>
              </w:rPr>
              <w:t>高精度模版</w:t>
            </w:r>
          </w:p>
        </w:tc>
        <w:tc>
          <w:tcPr>
            <w:tcW w:w="2419" w:type="dxa"/>
            <w:gridSpan w:val="2"/>
            <w:shd w:val="clear" w:color="auto" w:fill="auto"/>
            <w:vAlign w:val="center"/>
          </w:tcPr>
          <w:p>
            <w:pPr>
              <w:widowControl/>
              <w:spacing w:line="240" w:lineRule="auto"/>
              <w:jc w:val="center"/>
              <w:rPr>
                <w:rFonts w:hint="eastAsia" w:ascii="仿宋" w:hAnsi="仿宋" w:eastAsia="仿宋" w:cs="宋体"/>
                <w:color w:val="auto"/>
                <w:kern w:val="0"/>
                <w:sz w:val="24"/>
                <w:szCs w:val="24"/>
                <w:highlight w:val="none"/>
              </w:rPr>
            </w:pPr>
            <w:r>
              <w:rPr>
                <w:rFonts w:ascii="仿宋" w:hAnsi="仿宋" w:eastAsia="仿宋" w:cs="宋体"/>
                <w:color w:val="auto"/>
                <w:kern w:val="0"/>
                <w:sz w:val="24"/>
                <w:highlight w:val="none"/>
              </w:rPr>
              <w:t>50%≤比例≤70%</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lang w:val="en-US" w:eastAsia="zh-CN"/>
              </w:rPr>
              <w:t>2</w:t>
            </w:r>
            <w:r>
              <w:rPr>
                <w:rFonts w:hint="eastAsia" w:ascii="仿宋" w:hAnsi="仿宋" w:eastAsia="仿宋" w:cs="宋体"/>
                <w:color w:val="auto"/>
                <w:kern w:val="0"/>
                <w:sz w:val="24"/>
                <w:highlight w:val="none"/>
              </w:rPr>
              <w:t>*</w:t>
            </w:r>
          </w:p>
        </w:tc>
        <w:tc>
          <w:tcPr>
            <w:tcW w:w="1170" w:type="dxa"/>
            <w:vMerge w:val="continue"/>
            <w:shd w:val="clear" w:color="auto" w:fill="auto"/>
            <w:vAlign w:val="bottom"/>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shd w:val="clear" w:color="auto" w:fill="auto"/>
            <w:vAlign w:val="center"/>
          </w:tcPr>
          <w:p>
            <w:pPr>
              <w:widowControl/>
              <w:jc w:val="center"/>
              <w:rPr>
                <w:rFonts w:hint="eastAsia" w:ascii="仿宋" w:hAnsi="仿宋" w:eastAsia="仿宋" w:cs="宋体"/>
                <w:color w:val="auto"/>
                <w:kern w:val="0"/>
                <w:sz w:val="24"/>
                <w:highlight w:val="none"/>
              </w:rPr>
            </w:pPr>
          </w:p>
        </w:tc>
        <w:tc>
          <w:tcPr>
            <w:tcW w:w="4504" w:type="dxa"/>
            <w:gridSpan w:val="6"/>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工程总承包(EPC)管理模式</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lang w:val="en-US" w:eastAsia="zh-CN"/>
              </w:rPr>
            </w:pPr>
            <w:r>
              <w:rPr>
                <w:rFonts w:hint="eastAsia" w:ascii="仿宋" w:hAnsi="仿宋" w:eastAsia="仿宋" w:cs="宋体"/>
                <w:color w:val="auto"/>
                <w:kern w:val="0"/>
                <w:sz w:val="24"/>
                <w:highlight w:val="none"/>
                <w:lang w:val="en-US" w:eastAsia="zh-CN"/>
              </w:rPr>
              <w:t>1</w:t>
            </w:r>
          </w:p>
        </w:tc>
        <w:tc>
          <w:tcPr>
            <w:tcW w:w="1170" w:type="dxa"/>
            <w:vMerge w:val="continue"/>
            <w:shd w:val="clear" w:color="auto" w:fill="auto"/>
            <w:vAlign w:val="bottom"/>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shd w:val="clear" w:color="auto" w:fill="auto"/>
            <w:vAlign w:val="center"/>
          </w:tcPr>
          <w:p>
            <w:pPr>
              <w:widowControl/>
              <w:jc w:val="center"/>
              <w:rPr>
                <w:rFonts w:hint="eastAsia" w:ascii="仿宋" w:hAnsi="仿宋" w:eastAsia="仿宋" w:cs="宋体"/>
                <w:color w:val="auto"/>
                <w:kern w:val="0"/>
                <w:sz w:val="24"/>
                <w:highlight w:val="none"/>
              </w:rPr>
            </w:pPr>
          </w:p>
        </w:tc>
        <w:tc>
          <w:tcPr>
            <w:tcW w:w="4504" w:type="dxa"/>
            <w:gridSpan w:val="6"/>
            <w:shd w:val="clear" w:color="auto" w:fill="auto"/>
            <w:vAlign w:val="center"/>
          </w:tcPr>
          <w:p>
            <w:pPr>
              <w:widowControl/>
              <w:spacing w:line="240" w:lineRule="auto"/>
              <w:jc w:val="center"/>
              <w:rPr>
                <w:rFonts w:hint="default" w:ascii="仿宋" w:hAnsi="仿宋" w:eastAsia="仿宋" w:cs="宋体"/>
                <w:color w:val="auto"/>
                <w:kern w:val="0"/>
                <w:sz w:val="24"/>
                <w:szCs w:val="28"/>
                <w:highlight w:val="none"/>
                <w:lang w:val="en-US" w:eastAsia="zh-CN" w:bidi="ar-SA"/>
              </w:rPr>
            </w:pPr>
            <w:r>
              <w:rPr>
                <w:rFonts w:hint="eastAsia" w:ascii="仿宋" w:hAnsi="仿宋" w:eastAsia="仿宋" w:cs="宋体"/>
                <w:color w:val="auto"/>
                <w:kern w:val="0"/>
                <w:sz w:val="24"/>
                <w:szCs w:val="28"/>
                <w:highlight w:val="none"/>
                <w:lang w:val="en-US" w:eastAsia="zh-CN" w:bidi="ar-SA"/>
              </w:rPr>
              <w:t>驻厂监造</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1170" w:type="dxa"/>
            <w:vMerge w:val="continue"/>
            <w:shd w:val="clear" w:color="auto" w:fill="auto"/>
            <w:vAlign w:val="bottom"/>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shd w:val="clear" w:color="auto" w:fill="auto"/>
            <w:vAlign w:val="center"/>
          </w:tcPr>
          <w:p>
            <w:pPr>
              <w:widowControl/>
              <w:jc w:val="center"/>
              <w:rPr>
                <w:rFonts w:hint="eastAsia" w:ascii="仿宋" w:hAnsi="仿宋" w:eastAsia="仿宋" w:cs="宋体"/>
                <w:color w:val="auto"/>
                <w:kern w:val="0"/>
                <w:sz w:val="24"/>
                <w:highlight w:val="none"/>
              </w:rPr>
            </w:pPr>
          </w:p>
        </w:tc>
        <w:tc>
          <w:tcPr>
            <w:tcW w:w="4504" w:type="dxa"/>
            <w:gridSpan w:val="6"/>
            <w:shd w:val="clear" w:color="auto" w:fill="auto"/>
            <w:vAlign w:val="center"/>
          </w:tcPr>
          <w:p>
            <w:pPr>
              <w:widowControl/>
              <w:spacing w:line="240" w:lineRule="auto"/>
              <w:jc w:val="center"/>
              <w:rPr>
                <w:rFonts w:hint="eastAsia" w:ascii="仿宋" w:hAnsi="仿宋" w:eastAsia="仿宋" w:cs="宋体"/>
                <w:color w:val="auto"/>
                <w:kern w:val="0"/>
                <w:sz w:val="24"/>
                <w:szCs w:val="28"/>
                <w:highlight w:val="none"/>
                <w:lang w:val="en-US" w:eastAsia="zh-CN" w:bidi="ar-SA"/>
              </w:rPr>
            </w:pPr>
            <w:r>
              <w:rPr>
                <w:rFonts w:hint="eastAsia" w:ascii="仿宋" w:hAnsi="仿宋" w:eastAsia="仿宋" w:cs="宋体"/>
                <w:color w:val="auto"/>
                <w:kern w:val="0"/>
                <w:sz w:val="24"/>
                <w:highlight w:val="none"/>
                <w:lang w:eastAsia="zh-CN"/>
              </w:rPr>
              <w:t>光伏建筑一体化</w:t>
            </w:r>
          </w:p>
        </w:tc>
        <w:tc>
          <w:tcPr>
            <w:tcW w:w="881" w:type="dxa"/>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szCs w:val="28"/>
                <w:highlight w:val="none"/>
                <w:lang w:val="en-US" w:eastAsia="zh-CN" w:bidi="ar-SA"/>
              </w:rPr>
              <w:t>2</w:t>
            </w:r>
          </w:p>
        </w:tc>
        <w:tc>
          <w:tcPr>
            <w:tcW w:w="1170" w:type="dxa"/>
            <w:vMerge w:val="continue"/>
            <w:shd w:val="clear" w:color="auto" w:fill="auto"/>
            <w:vAlign w:val="bottom"/>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225" w:type="dxa"/>
            <w:vMerge w:val="continue"/>
            <w:vAlign w:val="center"/>
          </w:tcPr>
          <w:p>
            <w:pPr>
              <w:widowControl/>
              <w:spacing w:line="240" w:lineRule="auto"/>
              <w:jc w:val="left"/>
              <w:rPr>
                <w:rFonts w:hint="eastAsia" w:ascii="仿宋" w:hAnsi="仿宋" w:eastAsia="仿宋" w:cs="宋体"/>
                <w:color w:val="auto"/>
                <w:kern w:val="0"/>
                <w:sz w:val="24"/>
                <w:highlight w:val="none"/>
              </w:rPr>
            </w:pPr>
          </w:p>
        </w:tc>
        <w:tc>
          <w:tcPr>
            <w:tcW w:w="542" w:type="dxa"/>
            <w:vMerge w:val="continue"/>
            <w:shd w:val="clear" w:color="auto" w:fill="auto"/>
            <w:vAlign w:val="center"/>
          </w:tcPr>
          <w:p>
            <w:pPr>
              <w:widowControl/>
              <w:jc w:val="center"/>
              <w:rPr>
                <w:rFonts w:hint="eastAsia" w:ascii="仿宋" w:hAnsi="仿宋" w:eastAsia="仿宋" w:cs="宋体"/>
                <w:color w:val="auto"/>
                <w:kern w:val="0"/>
                <w:sz w:val="24"/>
                <w:highlight w:val="none"/>
              </w:rPr>
            </w:pPr>
          </w:p>
        </w:tc>
        <w:tc>
          <w:tcPr>
            <w:tcW w:w="4504" w:type="dxa"/>
            <w:gridSpan w:val="6"/>
            <w:shd w:val="clear" w:color="auto" w:fill="auto"/>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其它新技术应用</w:t>
            </w:r>
          </w:p>
        </w:tc>
        <w:tc>
          <w:tcPr>
            <w:tcW w:w="881" w:type="dxa"/>
            <w:shd w:val="clear" w:color="auto" w:fill="auto"/>
            <w:vAlign w:val="center"/>
          </w:tcPr>
          <w:p>
            <w:pPr>
              <w:widowControl/>
              <w:spacing w:line="240" w:lineRule="auto"/>
              <w:jc w:val="center"/>
              <w:rPr>
                <w:rFonts w:hint="default" w:ascii="仿宋" w:hAnsi="仿宋" w:eastAsia="仿宋" w:cs="宋体"/>
                <w:color w:val="auto"/>
                <w:kern w:val="0"/>
                <w:sz w:val="24"/>
                <w:highlight w:val="none"/>
                <w:lang w:val="en-US"/>
              </w:rPr>
            </w:pPr>
            <w:r>
              <w:rPr>
                <w:rFonts w:hint="eastAsia" w:ascii="仿宋" w:hAnsi="仿宋" w:eastAsia="仿宋" w:cs="宋体"/>
                <w:color w:val="auto"/>
                <w:kern w:val="0"/>
                <w:sz w:val="24"/>
                <w:highlight w:val="none"/>
                <w:lang w:val="en-US" w:eastAsia="zh-CN"/>
              </w:rPr>
              <w:t>1-3</w:t>
            </w:r>
          </w:p>
        </w:tc>
        <w:tc>
          <w:tcPr>
            <w:tcW w:w="1170" w:type="dxa"/>
            <w:vMerge w:val="continue"/>
            <w:shd w:val="clear" w:color="auto" w:fill="auto"/>
            <w:vAlign w:val="bottom"/>
          </w:tcPr>
          <w:p>
            <w:pPr>
              <w:widowControl/>
              <w:jc w:val="left"/>
              <w:rPr>
                <w:rFonts w:hint="eastAsia" w:ascii="仿宋" w:hAnsi="仿宋" w:eastAsia="仿宋" w:cs="宋体"/>
                <w:color w:val="auto"/>
                <w:kern w:val="0"/>
                <w:sz w:val="24"/>
                <w:highlight w:val="none"/>
              </w:rPr>
            </w:pPr>
          </w:p>
        </w:tc>
        <w:tc>
          <w:tcPr>
            <w:tcW w:w="1200" w:type="dxa"/>
            <w:shd w:val="clear" w:color="auto" w:fill="auto"/>
            <w:vAlign w:val="bottom"/>
          </w:tcPr>
          <w:p>
            <w:pPr>
              <w:widowControl/>
              <w:jc w:val="left"/>
              <w:rPr>
                <w:rFonts w:hint="eastAsia" w:ascii="仿宋" w:hAnsi="仿宋" w:eastAsia="仿宋" w:cs="宋体"/>
                <w:color w:val="auto"/>
                <w:kern w:val="0"/>
                <w:sz w:val="24"/>
                <w:highlight w:val="none"/>
              </w:rPr>
            </w:pPr>
          </w:p>
        </w:tc>
        <w:tc>
          <w:tcPr>
            <w:tcW w:w="2280" w:type="dxa"/>
            <w:shd w:val="clear" w:color="auto" w:fill="auto"/>
            <w:vAlign w:val="bottom"/>
          </w:tcPr>
          <w:p>
            <w:pPr>
              <w:widowControl/>
              <w:jc w:val="left"/>
              <w:rPr>
                <w:rFonts w:hint="eastAsia" w:ascii="仿宋" w:hAnsi="仿宋" w:eastAsia="仿宋" w:cs="宋体"/>
                <w:color w:val="auto"/>
                <w:kern w:val="0"/>
                <w:sz w:val="24"/>
                <w:highlight w:val="none"/>
              </w:rPr>
            </w:pPr>
          </w:p>
        </w:tc>
        <w:tc>
          <w:tcPr>
            <w:tcW w:w="675" w:type="dxa"/>
            <w:shd w:val="clear" w:color="auto" w:fill="auto"/>
            <w:vAlign w:val="bottom"/>
          </w:tcPr>
          <w:p>
            <w:pPr>
              <w:widowControl/>
              <w:jc w:val="left"/>
              <w:rPr>
                <w:rFonts w:hint="eastAsia" w:ascii="仿宋" w:hAnsi="仿宋" w:eastAsia="仿宋" w:cs="宋体"/>
                <w:color w:val="auto"/>
                <w:kern w:val="0"/>
                <w:sz w:val="24"/>
                <w:highlight w:val="none"/>
              </w:rPr>
            </w:pPr>
          </w:p>
        </w:tc>
        <w:tc>
          <w:tcPr>
            <w:tcW w:w="855" w:type="dxa"/>
            <w:shd w:val="clear" w:color="auto" w:fill="auto"/>
            <w:vAlign w:val="bottom"/>
          </w:tcPr>
          <w:p>
            <w:pPr>
              <w:widowControl/>
              <w:jc w:val="left"/>
              <w:rPr>
                <w:rFonts w:hint="eastAsia" w:ascii="仿宋" w:hAnsi="仿宋" w:eastAsia="仿宋" w:cs="宋体"/>
                <w:color w:val="auto"/>
                <w:kern w:val="0"/>
                <w:sz w:val="24"/>
                <w:highlight w:val="none"/>
              </w:rPr>
            </w:pPr>
          </w:p>
        </w:tc>
        <w:tc>
          <w:tcPr>
            <w:tcW w:w="705" w:type="dxa"/>
            <w:vAlign w:val="center"/>
          </w:tcPr>
          <w:p>
            <w:pPr>
              <w:widowControl/>
              <w:jc w:val="left"/>
              <w:rPr>
                <w:rFonts w:hint="eastAsia" w:ascii="仿宋" w:hAnsi="仿宋" w:eastAsia="仿宋" w:cs="宋体"/>
                <w:color w:val="auto"/>
                <w:kern w:val="0"/>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25" w:type="dxa"/>
            <w:vAlign w:val="center"/>
          </w:tcPr>
          <w:p>
            <w:pPr>
              <w:widowControl/>
              <w:spacing w:line="240" w:lineRule="auto"/>
              <w:jc w:val="center"/>
              <w:rPr>
                <w:rFonts w:hint="eastAsia" w:ascii="仿宋" w:hAnsi="仿宋" w:eastAsia="仿宋" w:cs="宋体"/>
                <w:color w:val="auto"/>
                <w:kern w:val="0"/>
                <w:sz w:val="24"/>
                <w:highlight w:val="none"/>
              </w:rPr>
            </w:pPr>
            <w:r>
              <w:rPr>
                <w:rFonts w:hint="eastAsia" w:ascii="仿宋" w:hAnsi="仿宋" w:eastAsia="仿宋" w:cs="宋体"/>
                <w:color w:val="auto"/>
                <w:kern w:val="0"/>
                <w:sz w:val="24"/>
                <w:highlight w:val="none"/>
              </w:rPr>
              <w:t>装配率P</w:t>
            </w:r>
          </w:p>
        </w:tc>
        <w:tc>
          <w:tcPr>
            <w:tcW w:w="12812" w:type="dxa"/>
            <w:gridSpan w:val="14"/>
            <w:shd w:val="clear" w:color="auto" w:fill="auto"/>
            <w:vAlign w:val="center"/>
          </w:tcPr>
          <w:p>
            <w:pPr>
              <w:widowControl/>
              <w:jc w:val="left"/>
              <w:rPr>
                <w:rFonts w:hint="eastAsia" w:ascii="仿宋" w:hAnsi="仿宋" w:eastAsia="仿宋" w:cs="宋体"/>
                <w:color w:val="auto"/>
                <w:kern w:val="0"/>
                <w:sz w:val="24"/>
                <w:highlight w:val="none"/>
              </w:rPr>
            </w:pPr>
          </w:p>
        </w:tc>
      </w:tr>
    </w:tbl>
    <w:p>
      <w:pPr>
        <w:ind w:firstLine="180" w:firstLineChars="100"/>
        <w:rPr>
          <w:rFonts w:hint="eastAsia"/>
          <w:color w:val="auto"/>
          <w:sz w:val="18"/>
          <w:szCs w:val="18"/>
          <w:highlight w:val="none"/>
        </w:rPr>
      </w:pPr>
      <w:r>
        <w:rPr>
          <w:rFonts w:hint="eastAsia"/>
          <w:color w:val="auto"/>
          <w:sz w:val="18"/>
          <w:szCs w:val="18"/>
          <w:highlight w:val="none"/>
        </w:rPr>
        <w:t>注：表中带“*”项的分值采用“线性内插法”计算，计算结果取小数点后1位；括号内为装配率不小于50%时的最低得分。</w:t>
      </w:r>
    </w:p>
    <w:p>
      <w:pPr>
        <w:ind w:firstLine="180" w:firstLineChars="100"/>
        <w:rPr>
          <w:rFonts w:hint="eastAsia"/>
          <w:color w:val="auto"/>
          <w:sz w:val="18"/>
          <w:szCs w:val="18"/>
          <w:highlight w:val="none"/>
        </w:rPr>
      </w:pPr>
    </w:p>
    <w:p>
      <w:pPr>
        <w:rPr>
          <w:rFonts w:hint="eastAsia"/>
          <w:color w:val="auto"/>
          <w:highlight w:val="none"/>
        </w:rPr>
      </w:pPr>
      <w:r>
        <w:rPr>
          <w:rFonts w:hint="eastAsia" w:ascii="宋体" w:hAnsi="宋体" w:eastAsia="宋体" w:cs="Arial"/>
          <w:color w:val="auto"/>
          <w:highlight w:val="none"/>
        </w:rPr>
        <w:t>计算人（签名）：                                                 审核人（签名）：</w:t>
      </w:r>
    </w:p>
    <w:p>
      <w:pPr>
        <w:rPr>
          <w:rFonts w:hint="eastAsia"/>
          <w:color w:val="auto"/>
          <w:highlight w:val="none"/>
        </w:rPr>
        <w:sectPr>
          <w:pgSz w:w="16838" w:h="11906" w:orient="landscape"/>
          <w:pgMar w:top="1304" w:right="1418" w:bottom="1304" w:left="1418" w:header="851" w:footer="992" w:gutter="0"/>
          <w:cols w:space="425" w:num="1"/>
          <w:docGrid w:linePitch="312" w:charSpace="0"/>
        </w:sectPr>
      </w:pPr>
    </w:p>
    <w:p>
      <w:pPr>
        <w:widowControl/>
        <w:jc w:val="center"/>
        <w:rPr>
          <w:rFonts w:hint="eastAsia"/>
          <w:b/>
          <w:color w:val="auto"/>
          <w:highlight w:val="none"/>
        </w:rPr>
      </w:pPr>
    </w:p>
    <w:p>
      <w:pPr>
        <w:pStyle w:val="3"/>
        <w:rPr>
          <w:rFonts w:hint="eastAsia" w:asciiTheme="minorEastAsia" w:hAnsiTheme="minorEastAsia" w:cstheme="minorEastAsia"/>
          <w:color w:val="auto"/>
          <w:sz w:val="28"/>
          <w:szCs w:val="28"/>
          <w:highlight w:val="none"/>
        </w:rPr>
      </w:pPr>
      <w:bookmarkStart w:id="30" w:name="_Toc9790"/>
      <w:bookmarkStart w:id="31" w:name="_Toc6064"/>
      <w:r>
        <w:rPr>
          <w:rFonts w:hint="eastAsia" w:asciiTheme="minorEastAsia" w:hAnsiTheme="minorEastAsia" w:cstheme="minorEastAsia"/>
          <w:color w:val="auto"/>
          <w:sz w:val="28"/>
          <w:szCs w:val="28"/>
          <w:highlight w:val="none"/>
        </w:rPr>
        <w:t>本规范用词说明</w:t>
      </w:r>
      <w:bookmarkEnd w:id="30"/>
      <w:bookmarkEnd w:id="31"/>
    </w:p>
    <w:p>
      <w:pPr>
        <w:jc w:val="center"/>
        <w:rPr>
          <w:rFonts w:hint="eastAsia"/>
          <w:b/>
          <w:color w:val="auto"/>
          <w:highlight w:val="none"/>
        </w:rPr>
      </w:pPr>
    </w:p>
    <w:p>
      <w:pPr>
        <w:tabs>
          <w:tab w:val="left" w:pos="709"/>
        </w:tabs>
        <w:spacing w:line="540" w:lineRule="exact"/>
        <w:ind w:firstLine="560" w:firstLineChars="200"/>
        <w:rPr>
          <w:rFonts w:hint="eastAsia"/>
          <w:color w:val="auto"/>
          <w:highlight w:val="none"/>
        </w:rPr>
      </w:pPr>
      <w:r>
        <w:rPr>
          <w:rFonts w:hint="eastAsia"/>
          <w:color w:val="auto"/>
          <w:highlight w:val="none"/>
        </w:rPr>
        <w:t>1 为便于在执行本规范条文时区别对待，对要求严格程度不同的用词说明如下：</w:t>
      </w:r>
    </w:p>
    <w:p>
      <w:pPr>
        <w:tabs>
          <w:tab w:val="left" w:pos="709"/>
        </w:tabs>
        <w:spacing w:line="540" w:lineRule="exact"/>
        <w:ind w:firstLine="840" w:firstLineChars="300"/>
        <w:rPr>
          <w:rFonts w:hint="eastAsia"/>
          <w:color w:val="auto"/>
          <w:highlight w:val="none"/>
        </w:rPr>
      </w:pPr>
      <w:r>
        <w:rPr>
          <w:rFonts w:hint="eastAsia"/>
          <w:color w:val="auto"/>
          <w:highlight w:val="none"/>
        </w:rPr>
        <w:t>1）表示很严格，非这样做不可的：</w:t>
      </w:r>
    </w:p>
    <w:p>
      <w:pPr>
        <w:tabs>
          <w:tab w:val="left" w:pos="709"/>
        </w:tabs>
        <w:spacing w:line="540" w:lineRule="exact"/>
        <w:ind w:firstLine="1400" w:firstLineChars="500"/>
        <w:rPr>
          <w:rFonts w:hint="eastAsia"/>
          <w:color w:val="auto"/>
          <w:highlight w:val="none"/>
        </w:rPr>
      </w:pPr>
      <w:r>
        <w:rPr>
          <w:rFonts w:hint="eastAsia"/>
          <w:color w:val="auto"/>
          <w:highlight w:val="none"/>
        </w:rPr>
        <w:t>正面词采用“必须 ”，反面词采用“严禁 ”；</w:t>
      </w:r>
    </w:p>
    <w:p>
      <w:pPr>
        <w:tabs>
          <w:tab w:val="left" w:pos="709"/>
        </w:tabs>
        <w:spacing w:line="540" w:lineRule="exact"/>
        <w:ind w:firstLine="840" w:firstLineChars="300"/>
        <w:rPr>
          <w:rFonts w:hint="eastAsia"/>
          <w:color w:val="auto"/>
          <w:highlight w:val="none"/>
        </w:rPr>
      </w:pPr>
      <w:r>
        <w:rPr>
          <w:rFonts w:hint="eastAsia"/>
          <w:color w:val="auto"/>
          <w:highlight w:val="none"/>
        </w:rPr>
        <w:t>2）表示严格，在正常情况下均应这样做的：</w:t>
      </w:r>
    </w:p>
    <w:p>
      <w:pPr>
        <w:tabs>
          <w:tab w:val="left" w:pos="709"/>
        </w:tabs>
        <w:spacing w:line="540" w:lineRule="exact"/>
        <w:ind w:firstLine="1400" w:firstLineChars="500"/>
        <w:rPr>
          <w:rFonts w:hint="eastAsia"/>
          <w:color w:val="auto"/>
          <w:highlight w:val="none"/>
        </w:rPr>
      </w:pPr>
      <w:r>
        <w:rPr>
          <w:rFonts w:hint="eastAsia"/>
          <w:color w:val="auto"/>
          <w:highlight w:val="none"/>
        </w:rPr>
        <w:t>正面词采用“应”，反面词采用“不应 ”或“不得”；</w:t>
      </w:r>
    </w:p>
    <w:p>
      <w:pPr>
        <w:tabs>
          <w:tab w:val="left" w:pos="709"/>
        </w:tabs>
        <w:spacing w:line="540" w:lineRule="exact"/>
        <w:ind w:firstLine="840" w:firstLineChars="300"/>
        <w:rPr>
          <w:rFonts w:hint="eastAsia"/>
          <w:color w:val="auto"/>
          <w:highlight w:val="none"/>
        </w:rPr>
      </w:pPr>
      <w:r>
        <w:rPr>
          <w:rFonts w:hint="eastAsia"/>
          <w:color w:val="auto"/>
          <w:highlight w:val="none"/>
        </w:rPr>
        <w:t>3）表示允许稍有选择，在条件许可时首先应这样做的：</w:t>
      </w:r>
    </w:p>
    <w:p>
      <w:pPr>
        <w:tabs>
          <w:tab w:val="left" w:pos="709"/>
        </w:tabs>
        <w:spacing w:line="540" w:lineRule="exact"/>
        <w:ind w:firstLine="1400" w:firstLineChars="500"/>
        <w:rPr>
          <w:rFonts w:hint="eastAsia"/>
          <w:color w:val="auto"/>
          <w:highlight w:val="none"/>
        </w:rPr>
      </w:pPr>
      <w:r>
        <w:rPr>
          <w:rFonts w:hint="eastAsia"/>
          <w:color w:val="auto"/>
          <w:highlight w:val="none"/>
        </w:rPr>
        <w:t>正面词采用“宜”，反面词采用“不宜”；</w:t>
      </w:r>
    </w:p>
    <w:p>
      <w:pPr>
        <w:tabs>
          <w:tab w:val="left" w:pos="709"/>
        </w:tabs>
        <w:spacing w:line="540" w:lineRule="exact"/>
        <w:ind w:firstLine="840" w:firstLineChars="300"/>
        <w:rPr>
          <w:rFonts w:hint="eastAsia"/>
          <w:color w:val="auto"/>
          <w:highlight w:val="none"/>
        </w:rPr>
      </w:pPr>
      <w:r>
        <w:rPr>
          <w:rFonts w:hint="eastAsia"/>
          <w:color w:val="auto"/>
          <w:highlight w:val="none"/>
        </w:rPr>
        <w:t>4）表示有选择，在一定条件下可以这样做的，采用“可”。</w:t>
      </w:r>
    </w:p>
    <w:p>
      <w:pPr>
        <w:tabs>
          <w:tab w:val="left" w:pos="709"/>
        </w:tabs>
        <w:spacing w:line="540" w:lineRule="exact"/>
        <w:ind w:firstLine="560" w:firstLineChars="200"/>
        <w:rPr>
          <w:rFonts w:hint="eastAsia"/>
          <w:color w:val="auto"/>
          <w:highlight w:val="none"/>
        </w:rPr>
      </w:pPr>
      <w:r>
        <w:rPr>
          <w:rFonts w:hint="eastAsia"/>
          <w:color w:val="auto"/>
          <w:highlight w:val="none"/>
        </w:rPr>
        <w:t>2 条文中指明应按其他有关标准执行的写法为：“应符合……的规定”或“应按…….执行”。</w:t>
      </w: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tabs>
          <w:tab w:val="left" w:pos="709"/>
        </w:tabs>
        <w:spacing w:line="540" w:lineRule="exact"/>
        <w:rPr>
          <w:rFonts w:hint="eastAsia"/>
          <w:color w:val="auto"/>
          <w:highlight w:val="none"/>
        </w:rPr>
      </w:pPr>
    </w:p>
    <w:p>
      <w:pPr>
        <w:pStyle w:val="3"/>
        <w:rPr>
          <w:rFonts w:hint="eastAsia"/>
          <w:color w:val="auto"/>
          <w:highlight w:val="none"/>
        </w:rPr>
      </w:pPr>
      <w:bookmarkStart w:id="32" w:name="_Toc17083"/>
      <w:bookmarkStart w:id="33" w:name="_Toc13833"/>
      <w:r>
        <w:rPr>
          <w:rFonts w:hint="eastAsia"/>
          <w:color w:val="auto"/>
          <w:highlight w:val="none"/>
        </w:rPr>
        <w:t>引用标准名录</w:t>
      </w:r>
      <w:bookmarkEnd w:id="32"/>
      <w:bookmarkEnd w:id="33"/>
    </w:p>
    <w:p>
      <w:pPr>
        <w:jc w:val="center"/>
        <w:rPr>
          <w:rFonts w:hint="eastAsia" w:ascii="宋体" w:hAnsi="宋体" w:eastAsia="宋体" w:cs="宋体"/>
          <w:color w:val="auto"/>
          <w:kern w:val="0"/>
          <w:highlight w:val="none"/>
        </w:rPr>
      </w:pP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rPr>
        <w:t>1 《装配式建筑评价标准》GB/T51129</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rPr>
        <w:t>2 《绿色建筑评价标准》GB/T50378</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rPr>
        <w:t xml:space="preserve">3 </w:t>
      </w:r>
      <w:r>
        <w:rPr>
          <w:rFonts w:ascii="宋体" w:hAnsi="宋体" w:eastAsia="宋体" w:cs="宋体"/>
          <w:color w:val="auto"/>
          <w:kern w:val="0"/>
          <w:highlight w:val="none"/>
        </w:rPr>
        <w:t>《装配式混凝土建筑技术标准》GB/T51231</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rPr>
        <w:t>4《装配式钢结构建筑技术标准》</w:t>
      </w:r>
      <w:r>
        <w:rPr>
          <w:rFonts w:ascii="宋体" w:hAnsi="宋体" w:eastAsia="宋体" w:cs="宋体"/>
          <w:color w:val="auto"/>
          <w:kern w:val="0"/>
          <w:highlight w:val="none"/>
        </w:rPr>
        <w:t>GB/T51232</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5</w:t>
      </w:r>
      <w:r>
        <w:rPr>
          <w:rFonts w:hint="eastAsia" w:ascii="宋体" w:hAnsi="宋体" w:eastAsia="宋体" w:cs="宋体"/>
          <w:color w:val="auto"/>
          <w:kern w:val="0"/>
          <w:highlight w:val="none"/>
        </w:rPr>
        <w:t>《装配式木结构建筑技术标准》</w:t>
      </w:r>
      <w:r>
        <w:rPr>
          <w:rFonts w:ascii="宋体" w:hAnsi="宋体" w:eastAsia="宋体" w:cs="宋体"/>
          <w:color w:val="auto"/>
          <w:kern w:val="0"/>
          <w:highlight w:val="none"/>
        </w:rPr>
        <w:t>GB/T51233</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6</w:t>
      </w:r>
      <w:r>
        <w:rPr>
          <w:rFonts w:hint="eastAsia" w:ascii="宋体" w:hAnsi="宋体" w:eastAsia="宋体" w:cs="宋体"/>
          <w:color w:val="auto"/>
          <w:kern w:val="0"/>
          <w:highlight w:val="none"/>
        </w:rPr>
        <w:t xml:space="preserve"> 《建筑信息模型应用统一标准》GB/T51212</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7</w:t>
      </w:r>
      <w:r>
        <w:rPr>
          <w:rFonts w:hint="eastAsia" w:ascii="宋体" w:hAnsi="宋体" w:eastAsia="宋体" w:cs="宋体"/>
          <w:color w:val="auto"/>
          <w:kern w:val="0"/>
          <w:highlight w:val="none"/>
        </w:rPr>
        <w:t xml:space="preserve"> 《建筑设计防火规范》GB50016</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8</w:t>
      </w:r>
      <w:r>
        <w:rPr>
          <w:rFonts w:hint="eastAsia" w:ascii="宋体" w:hAnsi="宋体" w:eastAsia="宋体" w:cs="宋体"/>
          <w:color w:val="auto"/>
          <w:kern w:val="0"/>
          <w:highlight w:val="none"/>
        </w:rPr>
        <w:t xml:space="preserve"> 《智能建筑设计标准》GB50314</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9</w:t>
      </w:r>
      <w:r>
        <w:rPr>
          <w:rFonts w:hint="eastAsia" w:ascii="宋体" w:hAnsi="宋体" w:eastAsia="宋体" w:cs="宋体"/>
          <w:color w:val="auto"/>
          <w:kern w:val="0"/>
          <w:highlight w:val="none"/>
        </w:rPr>
        <w:t xml:space="preserve"> </w:t>
      </w:r>
      <w:r>
        <w:rPr>
          <w:rFonts w:ascii="宋体" w:hAnsi="宋体" w:eastAsia="宋体" w:cs="宋体"/>
          <w:color w:val="auto"/>
          <w:kern w:val="0"/>
          <w:highlight w:val="none"/>
        </w:rPr>
        <w:t>《装配式混凝土</w:t>
      </w:r>
      <w:r>
        <w:rPr>
          <w:rFonts w:hint="eastAsia" w:ascii="宋体" w:hAnsi="宋体" w:eastAsia="宋体" w:cs="宋体"/>
          <w:color w:val="auto"/>
          <w:kern w:val="0"/>
          <w:highlight w:val="none"/>
        </w:rPr>
        <w:t>结构</w:t>
      </w:r>
      <w:r>
        <w:rPr>
          <w:rFonts w:ascii="宋体" w:hAnsi="宋体" w:eastAsia="宋体" w:cs="宋体"/>
          <w:color w:val="auto"/>
          <w:kern w:val="0"/>
          <w:highlight w:val="none"/>
        </w:rPr>
        <w:t>技术</w:t>
      </w:r>
      <w:r>
        <w:rPr>
          <w:rFonts w:hint="eastAsia" w:ascii="宋体" w:hAnsi="宋体" w:eastAsia="宋体" w:cs="宋体"/>
          <w:color w:val="auto"/>
          <w:kern w:val="0"/>
          <w:highlight w:val="none"/>
        </w:rPr>
        <w:t>规程</w:t>
      </w:r>
      <w:r>
        <w:rPr>
          <w:rFonts w:ascii="宋体" w:hAnsi="宋体" w:eastAsia="宋体" w:cs="宋体"/>
          <w:color w:val="auto"/>
          <w:kern w:val="0"/>
          <w:highlight w:val="none"/>
        </w:rPr>
        <w:t>》</w:t>
      </w:r>
      <w:r>
        <w:rPr>
          <w:rFonts w:hint="eastAsia" w:ascii="宋体" w:hAnsi="宋体" w:eastAsia="宋体" w:cs="宋体"/>
          <w:color w:val="auto"/>
          <w:kern w:val="0"/>
          <w:highlight w:val="none"/>
        </w:rPr>
        <w:t>JGJ1</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10</w:t>
      </w:r>
      <w:r>
        <w:rPr>
          <w:rFonts w:hint="eastAsia" w:ascii="宋体" w:hAnsi="宋体" w:eastAsia="宋体" w:cs="宋体"/>
          <w:color w:val="auto"/>
          <w:kern w:val="0"/>
          <w:highlight w:val="none"/>
        </w:rPr>
        <w:t xml:space="preserve"> 《装配式住宅建筑设计标准》JGJ/T398</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lang w:val="en-US" w:eastAsia="zh-CN"/>
        </w:rPr>
        <w:t>11</w:t>
      </w:r>
      <w:r>
        <w:rPr>
          <w:rFonts w:hint="eastAsia" w:ascii="宋体" w:hAnsi="宋体" w:eastAsia="宋体" w:cs="宋体"/>
          <w:color w:val="auto"/>
          <w:kern w:val="0"/>
          <w:highlight w:val="none"/>
        </w:rPr>
        <w:t xml:space="preserve"> 安徽省《装配整体式建筑预制混凝土构件制作与验收规程》DB34/T5033</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rPr>
        <w:t>1</w:t>
      </w:r>
      <w:r>
        <w:rPr>
          <w:rFonts w:hint="eastAsia" w:ascii="宋体" w:hAnsi="宋体" w:eastAsia="宋体" w:cs="宋体"/>
          <w:color w:val="auto"/>
          <w:kern w:val="0"/>
          <w:highlight w:val="none"/>
          <w:lang w:val="en-US" w:eastAsia="zh-CN"/>
        </w:rPr>
        <w:t>2</w:t>
      </w:r>
      <w:r>
        <w:rPr>
          <w:rFonts w:hint="eastAsia" w:ascii="宋体" w:hAnsi="宋体" w:eastAsia="宋体" w:cs="宋体"/>
          <w:color w:val="auto"/>
          <w:kern w:val="0"/>
          <w:highlight w:val="none"/>
        </w:rPr>
        <w:t xml:space="preserve"> 安徽省《装配整体式混凝土结构工程施工及验收规程》DB34/T5043</w:t>
      </w:r>
    </w:p>
    <w:p>
      <w:pPr>
        <w:tabs>
          <w:tab w:val="left" w:pos="709"/>
        </w:tabs>
        <w:spacing w:line="540" w:lineRule="exact"/>
        <w:rPr>
          <w:rFonts w:hint="eastAsia" w:ascii="宋体" w:hAnsi="宋体" w:eastAsia="宋体" w:cs="宋体"/>
          <w:color w:val="auto"/>
          <w:kern w:val="0"/>
          <w:highlight w:val="none"/>
        </w:rPr>
      </w:pPr>
      <w:bookmarkStart w:id="34" w:name="_Toc20035"/>
      <w:r>
        <w:rPr>
          <w:rFonts w:hint="eastAsia" w:ascii="宋体" w:hAnsi="宋体" w:eastAsia="宋体" w:cs="宋体"/>
          <w:color w:val="auto"/>
          <w:kern w:val="0"/>
          <w:highlight w:val="none"/>
        </w:rPr>
        <w:t>1</w:t>
      </w:r>
      <w:r>
        <w:rPr>
          <w:rFonts w:hint="eastAsia" w:ascii="宋体" w:hAnsi="宋体" w:eastAsia="宋体" w:cs="宋体"/>
          <w:color w:val="auto"/>
          <w:kern w:val="0"/>
          <w:highlight w:val="none"/>
          <w:lang w:val="en-US" w:eastAsia="zh-CN"/>
        </w:rPr>
        <w:t>3</w:t>
      </w:r>
      <w:r>
        <w:rPr>
          <w:rFonts w:hint="eastAsia" w:ascii="宋体" w:hAnsi="宋体" w:eastAsia="宋体" w:cs="宋体"/>
          <w:color w:val="auto"/>
          <w:kern w:val="0"/>
          <w:highlight w:val="none"/>
        </w:rPr>
        <w:t xml:space="preserve"> 安徽省《装配式住宅装修技术规程》DB34/T5070</w:t>
      </w:r>
      <w:bookmarkEnd w:id="34"/>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rPr>
        <w:t>1</w:t>
      </w:r>
      <w:r>
        <w:rPr>
          <w:rFonts w:hint="eastAsia" w:ascii="宋体" w:hAnsi="宋体" w:eastAsia="宋体" w:cs="宋体"/>
          <w:color w:val="auto"/>
          <w:kern w:val="0"/>
          <w:highlight w:val="none"/>
          <w:lang w:val="en-US" w:eastAsia="zh-CN"/>
        </w:rPr>
        <w:t>4</w:t>
      </w:r>
      <w:r>
        <w:rPr>
          <w:rFonts w:hint="eastAsia" w:ascii="宋体" w:hAnsi="宋体" w:eastAsia="宋体" w:cs="宋体"/>
          <w:color w:val="auto"/>
          <w:kern w:val="0"/>
          <w:highlight w:val="none"/>
        </w:rPr>
        <w:t xml:space="preserve"> 安徽省《装配整体式剪力墙结构技术规程》DB34/T1874</w:t>
      </w:r>
    </w:p>
    <w:p>
      <w:pPr>
        <w:tabs>
          <w:tab w:val="left" w:pos="709"/>
        </w:tabs>
        <w:spacing w:line="540" w:lineRule="exact"/>
        <w:rPr>
          <w:rFonts w:hint="eastAsia" w:ascii="宋体" w:hAnsi="宋体" w:eastAsia="宋体" w:cs="宋体"/>
          <w:color w:val="auto"/>
          <w:kern w:val="0"/>
          <w:highlight w:val="none"/>
        </w:rPr>
      </w:pPr>
      <w:r>
        <w:rPr>
          <w:rFonts w:hint="eastAsia" w:ascii="宋体" w:hAnsi="宋体" w:eastAsia="宋体" w:cs="宋体"/>
          <w:color w:val="auto"/>
          <w:kern w:val="0"/>
          <w:highlight w:val="none"/>
        </w:rPr>
        <w:t xml:space="preserve">15 </w:t>
      </w:r>
      <w:r>
        <w:rPr>
          <w:rFonts w:hint="eastAsia" w:ascii="宋体" w:hAnsi="宋体" w:eastAsia="宋体" w:cs="宋体"/>
          <w:color w:val="auto"/>
          <w:kern w:val="0"/>
          <w:highlight w:val="none"/>
          <w:lang w:eastAsia="zh-CN"/>
        </w:rPr>
        <w:t>安徽省《</w:t>
      </w:r>
      <w:r>
        <w:rPr>
          <w:rFonts w:hint="eastAsia" w:ascii="宋体" w:hAnsi="宋体" w:eastAsia="宋体" w:cs="宋体"/>
          <w:color w:val="auto"/>
          <w:kern w:val="0"/>
          <w:highlight w:val="none"/>
        </w:rPr>
        <w:t>建筑信息模型应用指南</w:t>
      </w:r>
      <w:r>
        <w:rPr>
          <w:rFonts w:hint="eastAsia" w:ascii="宋体" w:hAnsi="宋体" w:eastAsia="宋体" w:cs="宋体"/>
          <w:color w:val="auto"/>
          <w:kern w:val="0"/>
          <w:highlight w:val="none"/>
          <w:lang w:eastAsia="zh-CN"/>
        </w:rPr>
        <w:t>》</w:t>
      </w:r>
      <w:r>
        <w:rPr>
          <w:rFonts w:hint="eastAsia" w:ascii="宋体" w:hAnsi="宋体" w:eastAsia="宋体" w:cs="宋体"/>
          <w:color w:val="auto"/>
          <w:kern w:val="0"/>
          <w:highlight w:val="none"/>
        </w:rPr>
        <w:t>DB34 /T4714</w:t>
      </w:r>
    </w:p>
    <w:p>
      <w:pPr>
        <w:tabs>
          <w:tab w:val="left" w:pos="709"/>
        </w:tabs>
        <w:spacing w:line="540" w:lineRule="exact"/>
        <w:rPr>
          <w:rFonts w:hint="eastAsia"/>
          <w:color w:val="auto"/>
        </w:rPr>
      </w:pPr>
      <w:r>
        <w:rPr>
          <w:rFonts w:hint="eastAsia" w:ascii="宋体" w:hAnsi="宋体" w:eastAsia="宋体" w:cs="宋体"/>
          <w:color w:val="auto"/>
          <w:kern w:val="0"/>
          <w:highlight w:val="none"/>
        </w:rPr>
        <w:t>16 安徽省《太阳能光伏与建筑一体化技术规程》DB34T 5006</w:t>
      </w:r>
    </w:p>
    <w:sectPr>
      <w:pgSz w:w="11906" w:h="16838"/>
      <w:pgMar w:top="1418" w:right="1304" w:bottom="1418" w:left="1304" w:header="851" w:footer="992" w:gutter="0"/>
      <w:cols w:space="425"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font-weight : 400">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13911"/>
    </w:sdtPr>
    <w:sdtContent>
      <w:p>
        <w:pPr>
          <w:pStyle w:val="11"/>
          <w:jc w:val="right"/>
          <w:rPr>
            <w:rFonts w:hint="eastAsia"/>
          </w:rPr>
        </w:pPr>
        <w:r>
          <w:fldChar w:fldCharType="begin"/>
        </w:r>
        <w:r>
          <w:instrText xml:space="preserve"> PAGE   \* MERGEFORMAT </w:instrText>
        </w:r>
        <w:r>
          <w:fldChar w:fldCharType="separate"/>
        </w:r>
        <w:r>
          <w:rPr>
            <w:lang w:val="zh-CN"/>
          </w:rPr>
          <w:t>6</w:t>
        </w:r>
        <w:r>
          <w:rPr>
            <w:lang w:val="zh-CN"/>
          </w:rPr>
          <w:fldChar w:fldCharType="end"/>
        </w:r>
      </w:p>
    </w:sdtContent>
  </w:sdt>
  <w:p>
    <w:pPr>
      <w:pStyle w:val="11"/>
      <w:ind w:right="21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B05163"/>
    <w:multiLevelType w:val="singleLevel"/>
    <w:tmpl w:val="A7B0516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OGFlZjdiMDkyMmU3Y2M3NGEzMmY5ODE2OTJlMzAifQ=="/>
  </w:docVars>
  <w:rsids>
    <w:rsidRoot w:val="3C3700C4"/>
    <w:rsid w:val="000044D6"/>
    <w:rsid w:val="00004DF2"/>
    <w:rsid w:val="00007244"/>
    <w:rsid w:val="0000759A"/>
    <w:rsid w:val="00012246"/>
    <w:rsid w:val="00015C4E"/>
    <w:rsid w:val="00015F06"/>
    <w:rsid w:val="00022115"/>
    <w:rsid w:val="000222E1"/>
    <w:rsid w:val="00022C64"/>
    <w:rsid w:val="00027392"/>
    <w:rsid w:val="00027404"/>
    <w:rsid w:val="00040799"/>
    <w:rsid w:val="00042662"/>
    <w:rsid w:val="00042FFA"/>
    <w:rsid w:val="00043DA8"/>
    <w:rsid w:val="000465A2"/>
    <w:rsid w:val="00046F90"/>
    <w:rsid w:val="00047150"/>
    <w:rsid w:val="00051202"/>
    <w:rsid w:val="00052406"/>
    <w:rsid w:val="0005408B"/>
    <w:rsid w:val="00055BF1"/>
    <w:rsid w:val="000563CA"/>
    <w:rsid w:val="00057011"/>
    <w:rsid w:val="000574D0"/>
    <w:rsid w:val="0005770B"/>
    <w:rsid w:val="00057BC0"/>
    <w:rsid w:val="00063359"/>
    <w:rsid w:val="00063932"/>
    <w:rsid w:val="00065020"/>
    <w:rsid w:val="00067DDB"/>
    <w:rsid w:val="00073838"/>
    <w:rsid w:val="000763BE"/>
    <w:rsid w:val="000804BC"/>
    <w:rsid w:val="000837A4"/>
    <w:rsid w:val="00084AB3"/>
    <w:rsid w:val="00085B67"/>
    <w:rsid w:val="0009163C"/>
    <w:rsid w:val="00091E5F"/>
    <w:rsid w:val="000921A9"/>
    <w:rsid w:val="0009728C"/>
    <w:rsid w:val="0009773C"/>
    <w:rsid w:val="000A0F35"/>
    <w:rsid w:val="000A1020"/>
    <w:rsid w:val="000A2B40"/>
    <w:rsid w:val="000A31CC"/>
    <w:rsid w:val="000A3839"/>
    <w:rsid w:val="000A3BD1"/>
    <w:rsid w:val="000A45EC"/>
    <w:rsid w:val="000A474C"/>
    <w:rsid w:val="000A6B80"/>
    <w:rsid w:val="000A7A0A"/>
    <w:rsid w:val="000A7B3F"/>
    <w:rsid w:val="000B5520"/>
    <w:rsid w:val="000B77AC"/>
    <w:rsid w:val="000C0886"/>
    <w:rsid w:val="000C1256"/>
    <w:rsid w:val="000C2CC3"/>
    <w:rsid w:val="000C3A6A"/>
    <w:rsid w:val="000C5733"/>
    <w:rsid w:val="000D0540"/>
    <w:rsid w:val="000D22D4"/>
    <w:rsid w:val="000D5FD7"/>
    <w:rsid w:val="000E0056"/>
    <w:rsid w:val="000E3D76"/>
    <w:rsid w:val="000E3E23"/>
    <w:rsid w:val="000F1235"/>
    <w:rsid w:val="000F3694"/>
    <w:rsid w:val="000F4701"/>
    <w:rsid w:val="000F4C47"/>
    <w:rsid w:val="000F7649"/>
    <w:rsid w:val="00101C36"/>
    <w:rsid w:val="00104CBA"/>
    <w:rsid w:val="001058FC"/>
    <w:rsid w:val="00110DC4"/>
    <w:rsid w:val="001121CC"/>
    <w:rsid w:val="001126C9"/>
    <w:rsid w:val="00112911"/>
    <w:rsid w:val="0011349F"/>
    <w:rsid w:val="001155DF"/>
    <w:rsid w:val="001166E9"/>
    <w:rsid w:val="00116B31"/>
    <w:rsid w:val="001170F4"/>
    <w:rsid w:val="001212F7"/>
    <w:rsid w:val="00123614"/>
    <w:rsid w:val="001237E4"/>
    <w:rsid w:val="00127196"/>
    <w:rsid w:val="0013028F"/>
    <w:rsid w:val="00130AC8"/>
    <w:rsid w:val="001333D0"/>
    <w:rsid w:val="0013665C"/>
    <w:rsid w:val="00140CB6"/>
    <w:rsid w:val="001423D7"/>
    <w:rsid w:val="00144370"/>
    <w:rsid w:val="00144ECC"/>
    <w:rsid w:val="0014566E"/>
    <w:rsid w:val="00145E40"/>
    <w:rsid w:val="00146EB7"/>
    <w:rsid w:val="00147E94"/>
    <w:rsid w:val="00150B05"/>
    <w:rsid w:val="001515CE"/>
    <w:rsid w:val="00152544"/>
    <w:rsid w:val="00153CAC"/>
    <w:rsid w:val="001549D3"/>
    <w:rsid w:val="001551B4"/>
    <w:rsid w:val="00157958"/>
    <w:rsid w:val="00160613"/>
    <w:rsid w:val="0016108E"/>
    <w:rsid w:val="0016314F"/>
    <w:rsid w:val="001636D9"/>
    <w:rsid w:val="0016687C"/>
    <w:rsid w:val="00167EB1"/>
    <w:rsid w:val="00170CD0"/>
    <w:rsid w:val="00171623"/>
    <w:rsid w:val="00174148"/>
    <w:rsid w:val="001750DC"/>
    <w:rsid w:val="00177F1A"/>
    <w:rsid w:val="0018145C"/>
    <w:rsid w:val="00181900"/>
    <w:rsid w:val="0018464C"/>
    <w:rsid w:val="0018692E"/>
    <w:rsid w:val="00187085"/>
    <w:rsid w:val="001876D4"/>
    <w:rsid w:val="00190E74"/>
    <w:rsid w:val="0019388A"/>
    <w:rsid w:val="0019551A"/>
    <w:rsid w:val="0019590F"/>
    <w:rsid w:val="00197A9B"/>
    <w:rsid w:val="001A0564"/>
    <w:rsid w:val="001A0848"/>
    <w:rsid w:val="001A2902"/>
    <w:rsid w:val="001A5EE6"/>
    <w:rsid w:val="001A68E8"/>
    <w:rsid w:val="001A6DAA"/>
    <w:rsid w:val="001B1801"/>
    <w:rsid w:val="001B433F"/>
    <w:rsid w:val="001B5C0C"/>
    <w:rsid w:val="001B6A84"/>
    <w:rsid w:val="001C0604"/>
    <w:rsid w:val="001C6179"/>
    <w:rsid w:val="001C7B5C"/>
    <w:rsid w:val="001D2419"/>
    <w:rsid w:val="001D2A3E"/>
    <w:rsid w:val="001D2F9E"/>
    <w:rsid w:val="001D355C"/>
    <w:rsid w:val="001D3B0D"/>
    <w:rsid w:val="001D606A"/>
    <w:rsid w:val="001D7E10"/>
    <w:rsid w:val="001E01CD"/>
    <w:rsid w:val="001E033F"/>
    <w:rsid w:val="001E04A0"/>
    <w:rsid w:val="001E272A"/>
    <w:rsid w:val="001E4196"/>
    <w:rsid w:val="001E449F"/>
    <w:rsid w:val="001E4A32"/>
    <w:rsid w:val="001E6017"/>
    <w:rsid w:val="001F0929"/>
    <w:rsid w:val="001F19E9"/>
    <w:rsid w:val="001F7982"/>
    <w:rsid w:val="0020042D"/>
    <w:rsid w:val="00200799"/>
    <w:rsid w:val="002025A0"/>
    <w:rsid w:val="00205CAD"/>
    <w:rsid w:val="00212424"/>
    <w:rsid w:val="002133C6"/>
    <w:rsid w:val="0021495C"/>
    <w:rsid w:val="00214B55"/>
    <w:rsid w:val="002178D3"/>
    <w:rsid w:val="00221B26"/>
    <w:rsid w:val="002229D1"/>
    <w:rsid w:val="002251F5"/>
    <w:rsid w:val="002263A4"/>
    <w:rsid w:val="002265F1"/>
    <w:rsid w:val="00226FD0"/>
    <w:rsid w:val="00230C04"/>
    <w:rsid w:val="002311B7"/>
    <w:rsid w:val="00232DE5"/>
    <w:rsid w:val="0023339E"/>
    <w:rsid w:val="002336FD"/>
    <w:rsid w:val="002356C5"/>
    <w:rsid w:val="00236181"/>
    <w:rsid w:val="002426B5"/>
    <w:rsid w:val="00242E4B"/>
    <w:rsid w:val="00242F82"/>
    <w:rsid w:val="00244505"/>
    <w:rsid w:val="002460C9"/>
    <w:rsid w:val="00250C1F"/>
    <w:rsid w:val="00251061"/>
    <w:rsid w:val="00251C65"/>
    <w:rsid w:val="00255496"/>
    <w:rsid w:val="002610C0"/>
    <w:rsid w:val="00262146"/>
    <w:rsid w:val="002631B1"/>
    <w:rsid w:val="00263BB4"/>
    <w:rsid w:val="0027054B"/>
    <w:rsid w:val="002711B0"/>
    <w:rsid w:val="002762F2"/>
    <w:rsid w:val="00276352"/>
    <w:rsid w:val="002809FA"/>
    <w:rsid w:val="00280B38"/>
    <w:rsid w:val="00280E2A"/>
    <w:rsid w:val="00282F6F"/>
    <w:rsid w:val="00283330"/>
    <w:rsid w:val="002858ED"/>
    <w:rsid w:val="002870FB"/>
    <w:rsid w:val="00287C2F"/>
    <w:rsid w:val="00287F20"/>
    <w:rsid w:val="002904F8"/>
    <w:rsid w:val="00290BB5"/>
    <w:rsid w:val="00291264"/>
    <w:rsid w:val="00291CE9"/>
    <w:rsid w:val="00292C11"/>
    <w:rsid w:val="00292D1E"/>
    <w:rsid w:val="0029353D"/>
    <w:rsid w:val="00295B62"/>
    <w:rsid w:val="0029632C"/>
    <w:rsid w:val="00297AFE"/>
    <w:rsid w:val="002A3129"/>
    <w:rsid w:val="002A34FD"/>
    <w:rsid w:val="002A3F2B"/>
    <w:rsid w:val="002B07D7"/>
    <w:rsid w:val="002B1495"/>
    <w:rsid w:val="002B250F"/>
    <w:rsid w:val="002B4C99"/>
    <w:rsid w:val="002B4FA9"/>
    <w:rsid w:val="002B75A0"/>
    <w:rsid w:val="002C02AE"/>
    <w:rsid w:val="002C314D"/>
    <w:rsid w:val="002C7DC1"/>
    <w:rsid w:val="002D0F60"/>
    <w:rsid w:val="002D2AF3"/>
    <w:rsid w:val="002D4562"/>
    <w:rsid w:val="002D50A0"/>
    <w:rsid w:val="002D6B12"/>
    <w:rsid w:val="002E05DD"/>
    <w:rsid w:val="002E0E7A"/>
    <w:rsid w:val="002E2466"/>
    <w:rsid w:val="002E3D7E"/>
    <w:rsid w:val="002E72AB"/>
    <w:rsid w:val="002E7919"/>
    <w:rsid w:val="002F098A"/>
    <w:rsid w:val="002F4CFE"/>
    <w:rsid w:val="003006D2"/>
    <w:rsid w:val="00301E59"/>
    <w:rsid w:val="0030251F"/>
    <w:rsid w:val="00305481"/>
    <w:rsid w:val="00305D30"/>
    <w:rsid w:val="00307A83"/>
    <w:rsid w:val="00310F20"/>
    <w:rsid w:val="00314DFC"/>
    <w:rsid w:val="00321778"/>
    <w:rsid w:val="00326DAE"/>
    <w:rsid w:val="00336079"/>
    <w:rsid w:val="00336C37"/>
    <w:rsid w:val="0034080F"/>
    <w:rsid w:val="00343DFB"/>
    <w:rsid w:val="0034532E"/>
    <w:rsid w:val="00345E8F"/>
    <w:rsid w:val="00346D2B"/>
    <w:rsid w:val="003519F7"/>
    <w:rsid w:val="00354776"/>
    <w:rsid w:val="00355ED6"/>
    <w:rsid w:val="0035781D"/>
    <w:rsid w:val="00360389"/>
    <w:rsid w:val="003641C0"/>
    <w:rsid w:val="003674F6"/>
    <w:rsid w:val="00373DA0"/>
    <w:rsid w:val="003743D8"/>
    <w:rsid w:val="0038270C"/>
    <w:rsid w:val="003830C5"/>
    <w:rsid w:val="0038458D"/>
    <w:rsid w:val="00384B2C"/>
    <w:rsid w:val="00385F58"/>
    <w:rsid w:val="00392125"/>
    <w:rsid w:val="0039272B"/>
    <w:rsid w:val="00392E6E"/>
    <w:rsid w:val="003941C8"/>
    <w:rsid w:val="00394791"/>
    <w:rsid w:val="003948C2"/>
    <w:rsid w:val="0039525B"/>
    <w:rsid w:val="0039641F"/>
    <w:rsid w:val="00396870"/>
    <w:rsid w:val="00397964"/>
    <w:rsid w:val="003A03BF"/>
    <w:rsid w:val="003A35AE"/>
    <w:rsid w:val="003A35BD"/>
    <w:rsid w:val="003A4932"/>
    <w:rsid w:val="003A6735"/>
    <w:rsid w:val="003B1E13"/>
    <w:rsid w:val="003B61D3"/>
    <w:rsid w:val="003C2218"/>
    <w:rsid w:val="003D126A"/>
    <w:rsid w:val="003D2241"/>
    <w:rsid w:val="003D6A2A"/>
    <w:rsid w:val="003E05C4"/>
    <w:rsid w:val="003E05E0"/>
    <w:rsid w:val="003E0A36"/>
    <w:rsid w:val="003E0F46"/>
    <w:rsid w:val="003E119D"/>
    <w:rsid w:val="003E1895"/>
    <w:rsid w:val="003E3993"/>
    <w:rsid w:val="003E412B"/>
    <w:rsid w:val="003E46B5"/>
    <w:rsid w:val="003F0FEA"/>
    <w:rsid w:val="003F1A18"/>
    <w:rsid w:val="003F2B15"/>
    <w:rsid w:val="003F3E3A"/>
    <w:rsid w:val="003F40BF"/>
    <w:rsid w:val="003F417C"/>
    <w:rsid w:val="00400BAD"/>
    <w:rsid w:val="004018B6"/>
    <w:rsid w:val="00405FC2"/>
    <w:rsid w:val="0040638F"/>
    <w:rsid w:val="00407349"/>
    <w:rsid w:val="0041022A"/>
    <w:rsid w:val="0041396C"/>
    <w:rsid w:val="00415E21"/>
    <w:rsid w:val="00416DC8"/>
    <w:rsid w:val="00421DF6"/>
    <w:rsid w:val="00422BFA"/>
    <w:rsid w:val="00424984"/>
    <w:rsid w:val="00426256"/>
    <w:rsid w:val="00426A4C"/>
    <w:rsid w:val="00426B4D"/>
    <w:rsid w:val="00430166"/>
    <w:rsid w:val="00435C24"/>
    <w:rsid w:val="00436EB3"/>
    <w:rsid w:val="004450F6"/>
    <w:rsid w:val="00445160"/>
    <w:rsid w:val="00447102"/>
    <w:rsid w:val="004551B6"/>
    <w:rsid w:val="00456F67"/>
    <w:rsid w:val="00457FDD"/>
    <w:rsid w:val="004613EA"/>
    <w:rsid w:val="0046248E"/>
    <w:rsid w:val="004651E5"/>
    <w:rsid w:val="004666B8"/>
    <w:rsid w:val="00466A1E"/>
    <w:rsid w:val="00466C9F"/>
    <w:rsid w:val="0046703B"/>
    <w:rsid w:val="00470436"/>
    <w:rsid w:val="00472499"/>
    <w:rsid w:val="00473491"/>
    <w:rsid w:val="004762C1"/>
    <w:rsid w:val="00480539"/>
    <w:rsid w:val="00482AB0"/>
    <w:rsid w:val="00482CE7"/>
    <w:rsid w:val="00486ACC"/>
    <w:rsid w:val="004904CE"/>
    <w:rsid w:val="00493C24"/>
    <w:rsid w:val="00495692"/>
    <w:rsid w:val="004973CE"/>
    <w:rsid w:val="00497F9C"/>
    <w:rsid w:val="004A136C"/>
    <w:rsid w:val="004A488D"/>
    <w:rsid w:val="004A6203"/>
    <w:rsid w:val="004A740F"/>
    <w:rsid w:val="004A7B43"/>
    <w:rsid w:val="004B2BA1"/>
    <w:rsid w:val="004B5B14"/>
    <w:rsid w:val="004B5D2D"/>
    <w:rsid w:val="004C1D1E"/>
    <w:rsid w:val="004C242C"/>
    <w:rsid w:val="004C4CD7"/>
    <w:rsid w:val="004C563D"/>
    <w:rsid w:val="004D0777"/>
    <w:rsid w:val="004D4687"/>
    <w:rsid w:val="004D4D67"/>
    <w:rsid w:val="004D756B"/>
    <w:rsid w:val="004E0D5A"/>
    <w:rsid w:val="004E1CAE"/>
    <w:rsid w:val="004E32EC"/>
    <w:rsid w:val="004E3656"/>
    <w:rsid w:val="004E7802"/>
    <w:rsid w:val="004F1AE1"/>
    <w:rsid w:val="004F20A3"/>
    <w:rsid w:val="004F6108"/>
    <w:rsid w:val="00502163"/>
    <w:rsid w:val="0050339A"/>
    <w:rsid w:val="0050548F"/>
    <w:rsid w:val="00511090"/>
    <w:rsid w:val="00511B1C"/>
    <w:rsid w:val="00511F8D"/>
    <w:rsid w:val="00513031"/>
    <w:rsid w:val="00514B05"/>
    <w:rsid w:val="00514B31"/>
    <w:rsid w:val="00521151"/>
    <w:rsid w:val="005216AF"/>
    <w:rsid w:val="005226B8"/>
    <w:rsid w:val="00524625"/>
    <w:rsid w:val="00524EB3"/>
    <w:rsid w:val="00526242"/>
    <w:rsid w:val="00526B35"/>
    <w:rsid w:val="005304A0"/>
    <w:rsid w:val="00530766"/>
    <w:rsid w:val="00531093"/>
    <w:rsid w:val="00534BFD"/>
    <w:rsid w:val="00535E02"/>
    <w:rsid w:val="005416F1"/>
    <w:rsid w:val="00541D08"/>
    <w:rsid w:val="005421B1"/>
    <w:rsid w:val="005430BB"/>
    <w:rsid w:val="00544082"/>
    <w:rsid w:val="00544A07"/>
    <w:rsid w:val="005468ED"/>
    <w:rsid w:val="005549ED"/>
    <w:rsid w:val="00557248"/>
    <w:rsid w:val="00564072"/>
    <w:rsid w:val="00565858"/>
    <w:rsid w:val="0056638F"/>
    <w:rsid w:val="00566AA9"/>
    <w:rsid w:val="005724D6"/>
    <w:rsid w:val="00573061"/>
    <w:rsid w:val="00573B60"/>
    <w:rsid w:val="00573C61"/>
    <w:rsid w:val="00574EA1"/>
    <w:rsid w:val="00575D45"/>
    <w:rsid w:val="00576281"/>
    <w:rsid w:val="00576EC5"/>
    <w:rsid w:val="00577433"/>
    <w:rsid w:val="00577D63"/>
    <w:rsid w:val="005829B9"/>
    <w:rsid w:val="00583456"/>
    <w:rsid w:val="00583BD5"/>
    <w:rsid w:val="005840CD"/>
    <w:rsid w:val="0058474A"/>
    <w:rsid w:val="005862F3"/>
    <w:rsid w:val="00587361"/>
    <w:rsid w:val="0059059C"/>
    <w:rsid w:val="0059082C"/>
    <w:rsid w:val="00591E78"/>
    <w:rsid w:val="00592AC9"/>
    <w:rsid w:val="00592BF1"/>
    <w:rsid w:val="00594211"/>
    <w:rsid w:val="005942B3"/>
    <w:rsid w:val="00595731"/>
    <w:rsid w:val="00597541"/>
    <w:rsid w:val="005A3348"/>
    <w:rsid w:val="005A3BF2"/>
    <w:rsid w:val="005A4559"/>
    <w:rsid w:val="005A4EFC"/>
    <w:rsid w:val="005A7A37"/>
    <w:rsid w:val="005B1CDB"/>
    <w:rsid w:val="005B278F"/>
    <w:rsid w:val="005B41C3"/>
    <w:rsid w:val="005B426B"/>
    <w:rsid w:val="005B5D65"/>
    <w:rsid w:val="005B6ED9"/>
    <w:rsid w:val="005C0320"/>
    <w:rsid w:val="005C16EB"/>
    <w:rsid w:val="005C2CDE"/>
    <w:rsid w:val="005C3864"/>
    <w:rsid w:val="005C40DB"/>
    <w:rsid w:val="005C5065"/>
    <w:rsid w:val="005C52F7"/>
    <w:rsid w:val="005C5C4B"/>
    <w:rsid w:val="005D010E"/>
    <w:rsid w:val="005D271C"/>
    <w:rsid w:val="005D30EF"/>
    <w:rsid w:val="005E07B7"/>
    <w:rsid w:val="005E135C"/>
    <w:rsid w:val="005E3BCF"/>
    <w:rsid w:val="005E4135"/>
    <w:rsid w:val="005F0EB3"/>
    <w:rsid w:val="005F3784"/>
    <w:rsid w:val="005F4E4F"/>
    <w:rsid w:val="005F6C63"/>
    <w:rsid w:val="00601260"/>
    <w:rsid w:val="00602CE8"/>
    <w:rsid w:val="00604735"/>
    <w:rsid w:val="006047E8"/>
    <w:rsid w:val="0060736C"/>
    <w:rsid w:val="006076CF"/>
    <w:rsid w:val="006103CD"/>
    <w:rsid w:val="0061122B"/>
    <w:rsid w:val="006139A1"/>
    <w:rsid w:val="006142CC"/>
    <w:rsid w:val="0061594F"/>
    <w:rsid w:val="00616102"/>
    <w:rsid w:val="006166EE"/>
    <w:rsid w:val="00616CC0"/>
    <w:rsid w:val="00616F37"/>
    <w:rsid w:val="00617514"/>
    <w:rsid w:val="0062305F"/>
    <w:rsid w:val="00626F4A"/>
    <w:rsid w:val="006344C1"/>
    <w:rsid w:val="00640250"/>
    <w:rsid w:val="00641235"/>
    <w:rsid w:val="00642CA7"/>
    <w:rsid w:val="00645A25"/>
    <w:rsid w:val="00646758"/>
    <w:rsid w:val="00650E58"/>
    <w:rsid w:val="0065184E"/>
    <w:rsid w:val="00651A5F"/>
    <w:rsid w:val="00651E30"/>
    <w:rsid w:val="006534CC"/>
    <w:rsid w:val="006537EB"/>
    <w:rsid w:val="006560BC"/>
    <w:rsid w:val="00664921"/>
    <w:rsid w:val="00664EFD"/>
    <w:rsid w:val="0066554C"/>
    <w:rsid w:val="0066667C"/>
    <w:rsid w:val="0066724F"/>
    <w:rsid w:val="00670DD5"/>
    <w:rsid w:val="006715BF"/>
    <w:rsid w:val="00672674"/>
    <w:rsid w:val="006748DD"/>
    <w:rsid w:val="00674C6E"/>
    <w:rsid w:val="006769D4"/>
    <w:rsid w:val="00677A6F"/>
    <w:rsid w:val="00680970"/>
    <w:rsid w:val="00682967"/>
    <w:rsid w:val="00685CC4"/>
    <w:rsid w:val="006906D2"/>
    <w:rsid w:val="006946CF"/>
    <w:rsid w:val="00696138"/>
    <w:rsid w:val="006972E0"/>
    <w:rsid w:val="006A0664"/>
    <w:rsid w:val="006A1D44"/>
    <w:rsid w:val="006A4853"/>
    <w:rsid w:val="006A6D2F"/>
    <w:rsid w:val="006A780B"/>
    <w:rsid w:val="006B38DB"/>
    <w:rsid w:val="006B51B7"/>
    <w:rsid w:val="006B52F4"/>
    <w:rsid w:val="006C39FE"/>
    <w:rsid w:val="006C6BD7"/>
    <w:rsid w:val="006D2A59"/>
    <w:rsid w:val="006D46CB"/>
    <w:rsid w:val="006D4853"/>
    <w:rsid w:val="006D54A7"/>
    <w:rsid w:val="006D619D"/>
    <w:rsid w:val="006E1101"/>
    <w:rsid w:val="006E3777"/>
    <w:rsid w:val="006E4F9B"/>
    <w:rsid w:val="006E6B43"/>
    <w:rsid w:val="006F581E"/>
    <w:rsid w:val="00701FFB"/>
    <w:rsid w:val="007023C2"/>
    <w:rsid w:val="007067C8"/>
    <w:rsid w:val="00707DF7"/>
    <w:rsid w:val="007113C2"/>
    <w:rsid w:val="007136AC"/>
    <w:rsid w:val="007138C4"/>
    <w:rsid w:val="00714333"/>
    <w:rsid w:val="0071542A"/>
    <w:rsid w:val="00721ECD"/>
    <w:rsid w:val="007220C0"/>
    <w:rsid w:val="00722A6B"/>
    <w:rsid w:val="007241E7"/>
    <w:rsid w:val="00727676"/>
    <w:rsid w:val="00727EB6"/>
    <w:rsid w:val="00727FF7"/>
    <w:rsid w:val="00730690"/>
    <w:rsid w:val="00735BE0"/>
    <w:rsid w:val="00740C30"/>
    <w:rsid w:val="007410AC"/>
    <w:rsid w:val="00743BCC"/>
    <w:rsid w:val="00745769"/>
    <w:rsid w:val="00752E7C"/>
    <w:rsid w:val="00757EF5"/>
    <w:rsid w:val="00765D43"/>
    <w:rsid w:val="00766087"/>
    <w:rsid w:val="00766233"/>
    <w:rsid w:val="00766541"/>
    <w:rsid w:val="00774FA2"/>
    <w:rsid w:val="00780643"/>
    <w:rsid w:val="00780A3D"/>
    <w:rsid w:val="007810D6"/>
    <w:rsid w:val="00781A5F"/>
    <w:rsid w:val="00784838"/>
    <w:rsid w:val="00791319"/>
    <w:rsid w:val="00791FC5"/>
    <w:rsid w:val="007922C7"/>
    <w:rsid w:val="00793FD9"/>
    <w:rsid w:val="0079671C"/>
    <w:rsid w:val="00796E73"/>
    <w:rsid w:val="007A14F0"/>
    <w:rsid w:val="007A3394"/>
    <w:rsid w:val="007A3B10"/>
    <w:rsid w:val="007A3CAD"/>
    <w:rsid w:val="007A642F"/>
    <w:rsid w:val="007A6C56"/>
    <w:rsid w:val="007B44B4"/>
    <w:rsid w:val="007B5838"/>
    <w:rsid w:val="007B5CD1"/>
    <w:rsid w:val="007B5D76"/>
    <w:rsid w:val="007B6BDF"/>
    <w:rsid w:val="007C1FC7"/>
    <w:rsid w:val="007C2781"/>
    <w:rsid w:val="007C4657"/>
    <w:rsid w:val="007C6A65"/>
    <w:rsid w:val="007C7624"/>
    <w:rsid w:val="007C7A5A"/>
    <w:rsid w:val="007D042A"/>
    <w:rsid w:val="007D0961"/>
    <w:rsid w:val="007D2A6A"/>
    <w:rsid w:val="007D350D"/>
    <w:rsid w:val="007D4ACC"/>
    <w:rsid w:val="007D4C64"/>
    <w:rsid w:val="007D4F2E"/>
    <w:rsid w:val="007D6276"/>
    <w:rsid w:val="007E1DDC"/>
    <w:rsid w:val="007E22B9"/>
    <w:rsid w:val="007E27DA"/>
    <w:rsid w:val="007E2E9E"/>
    <w:rsid w:val="007E3CF7"/>
    <w:rsid w:val="007E64F1"/>
    <w:rsid w:val="007F0A33"/>
    <w:rsid w:val="007F0B74"/>
    <w:rsid w:val="007F175B"/>
    <w:rsid w:val="007F446A"/>
    <w:rsid w:val="007F45CA"/>
    <w:rsid w:val="007F5BC9"/>
    <w:rsid w:val="007F60BB"/>
    <w:rsid w:val="00800D5F"/>
    <w:rsid w:val="0080189D"/>
    <w:rsid w:val="008045A6"/>
    <w:rsid w:val="0080582A"/>
    <w:rsid w:val="008066FE"/>
    <w:rsid w:val="008128F9"/>
    <w:rsid w:val="00817CF2"/>
    <w:rsid w:val="0082181B"/>
    <w:rsid w:val="00827890"/>
    <w:rsid w:val="00827E1D"/>
    <w:rsid w:val="00832B0A"/>
    <w:rsid w:val="00833B42"/>
    <w:rsid w:val="0083557E"/>
    <w:rsid w:val="00835CAC"/>
    <w:rsid w:val="00836E31"/>
    <w:rsid w:val="00837903"/>
    <w:rsid w:val="00840DFB"/>
    <w:rsid w:val="008446B7"/>
    <w:rsid w:val="00844A97"/>
    <w:rsid w:val="00847177"/>
    <w:rsid w:val="00850F9A"/>
    <w:rsid w:val="008532CD"/>
    <w:rsid w:val="00854BC1"/>
    <w:rsid w:val="00854EB9"/>
    <w:rsid w:val="00861295"/>
    <w:rsid w:val="008614A7"/>
    <w:rsid w:val="00862D1C"/>
    <w:rsid w:val="00862FBB"/>
    <w:rsid w:val="00864372"/>
    <w:rsid w:val="00870553"/>
    <w:rsid w:val="00871D45"/>
    <w:rsid w:val="00873E2C"/>
    <w:rsid w:val="008743EF"/>
    <w:rsid w:val="0087487B"/>
    <w:rsid w:val="008752E5"/>
    <w:rsid w:val="00875AD5"/>
    <w:rsid w:val="0087685F"/>
    <w:rsid w:val="0087727F"/>
    <w:rsid w:val="008827E8"/>
    <w:rsid w:val="008831E7"/>
    <w:rsid w:val="00885A0F"/>
    <w:rsid w:val="00892399"/>
    <w:rsid w:val="008923D9"/>
    <w:rsid w:val="00893208"/>
    <w:rsid w:val="008A07AC"/>
    <w:rsid w:val="008A1576"/>
    <w:rsid w:val="008A1A52"/>
    <w:rsid w:val="008A372D"/>
    <w:rsid w:val="008A3912"/>
    <w:rsid w:val="008A3D90"/>
    <w:rsid w:val="008A43A0"/>
    <w:rsid w:val="008A46FE"/>
    <w:rsid w:val="008B097C"/>
    <w:rsid w:val="008B285C"/>
    <w:rsid w:val="008B589A"/>
    <w:rsid w:val="008C1744"/>
    <w:rsid w:val="008C22DD"/>
    <w:rsid w:val="008C440B"/>
    <w:rsid w:val="008C4CDE"/>
    <w:rsid w:val="008C6592"/>
    <w:rsid w:val="008D05EA"/>
    <w:rsid w:val="008D0BAF"/>
    <w:rsid w:val="008D49EF"/>
    <w:rsid w:val="008D671D"/>
    <w:rsid w:val="008D796C"/>
    <w:rsid w:val="008E195F"/>
    <w:rsid w:val="008E6F18"/>
    <w:rsid w:val="008E7D1C"/>
    <w:rsid w:val="008F0793"/>
    <w:rsid w:val="008F3FBD"/>
    <w:rsid w:val="008F5436"/>
    <w:rsid w:val="008F65D0"/>
    <w:rsid w:val="0090192A"/>
    <w:rsid w:val="00901B38"/>
    <w:rsid w:val="00902CA5"/>
    <w:rsid w:val="00902E6D"/>
    <w:rsid w:val="009042D0"/>
    <w:rsid w:val="00910789"/>
    <w:rsid w:val="00911C1C"/>
    <w:rsid w:val="00913BE8"/>
    <w:rsid w:val="009170EA"/>
    <w:rsid w:val="00923270"/>
    <w:rsid w:val="009342B7"/>
    <w:rsid w:val="0093580A"/>
    <w:rsid w:val="00937600"/>
    <w:rsid w:val="009379DF"/>
    <w:rsid w:val="00940249"/>
    <w:rsid w:val="00942B5C"/>
    <w:rsid w:val="00942C8C"/>
    <w:rsid w:val="009430D1"/>
    <w:rsid w:val="00943D4F"/>
    <w:rsid w:val="00944070"/>
    <w:rsid w:val="00947D4D"/>
    <w:rsid w:val="00950EEB"/>
    <w:rsid w:val="00952070"/>
    <w:rsid w:val="0095263F"/>
    <w:rsid w:val="009536A9"/>
    <w:rsid w:val="00953961"/>
    <w:rsid w:val="009562C1"/>
    <w:rsid w:val="00956C50"/>
    <w:rsid w:val="00956EE9"/>
    <w:rsid w:val="00957AB1"/>
    <w:rsid w:val="0096108F"/>
    <w:rsid w:val="009628F0"/>
    <w:rsid w:val="00962EB7"/>
    <w:rsid w:val="009638BB"/>
    <w:rsid w:val="00964934"/>
    <w:rsid w:val="00965481"/>
    <w:rsid w:val="00965DF3"/>
    <w:rsid w:val="00971276"/>
    <w:rsid w:val="00974034"/>
    <w:rsid w:val="009759DC"/>
    <w:rsid w:val="00975EDD"/>
    <w:rsid w:val="00977C3E"/>
    <w:rsid w:val="00977F5D"/>
    <w:rsid w:val="009859C7"/>
    <w:rsid w:val="00987293"/>
    <w:rsid w:val="0099091F"/>
    <w:rsid w:val="00991836"/>
    <w:rsid w:val="00991A4F"/>
    <w:rsid w:val="009931B8"/>
    <w:rsid w:val="00993798"/>
    <w:rsid w:val="009943F6"/>
    <w:rsid w:val="00996B70"/>
    <w:rsid w:val="00997FA1"/>
    <w:rsid w:val="009A0FC3"/>
    <w:rsid w:val="009A1B27"/>
    <w:rsid w:val="009A2596"/>
    <w:rsid w:val="009B0D1A"/>
    <w:rsid w:val="009B1FBA"/>
    <w:rsid w:val="009B378D"/>
    <w:rsid w:val="009B7642"/>
    <w:rsid w:val="009B7E5A"/>
    <w:rsid w:val="009C0BBA"/>
    <w:rsid w:val="009C2024"/>
    <w:rsid w:val="009C3E16"/>
    <w:rsid w:val="009D1993"/>
    <w:rsid w:val="009D3E15"/>
    <w:rsid w:val="009D45D1"/>
    <w:rsid w:val="009D622B"/>
    <w:rsid w:val="009E36FC"/>
    <w:rsid w:val="009E588F"/>
    <w:rsid w:val="009E5E83"/>
    <w:rsid w:val="009E6DB0"/>
    <w:rsid w:val="009F0883"/>
    <w:rsid w:val="009F1FB0"/>
    <w:rsid w:val="009F4DF5"/>
    <w:rsid w:val="009F7687"/>
    <w:rsid w:val="00A00022"/>
    <w:rsid w:val="00A014E7"/>
    <w:rsid w:val="00A01A9D"/>
    <w:rsid w:val="00A05DB0"/>
    <w:rsid w:val="00A05FF3"/>
    <w:rsid w:val="00A112F8"/>
    <w:rsid w:val="00A1337F"/>
    <w:rsid w:val="00A14B9D"/>
    <w:rsid w:val="00A17463"/>
    <w:rsid w:val="00A20425"/>
    <w:rsid w:val="00A21ACC"/>
    <w:rsid w:val="00A21F5B"/>
    <w:rsid w:val="00A22007"/>
    <w:rsid w:val="00A22C8A"/>
    <w:rsid w:val="00A22E71"/>
    <w:rsid w:val="00A2452B"/>
    <w:rsid w:val="00A2471D"/>
    <w:rsid w:val="00A25BF1"/>
    <w:rsid w:val="00A25EF8"/>
    <w:rsid w:val="00A26BA5"/>
    <w:rsid w:val="00A31956"/>
    <w:rsid w:val="00A35627"/>
    <w:rsid w:val="00A41908"/>
    <w:rsid w:val="00A41DAD"/>
    <w:rsid w:val="00A42608"/>
    <w:rsid w:val="00A43234"/>
    <w:rsid w:val="00A43DD0"/>
    <w:rsid w:val="00A50288"/>
    <w:rsid w:val="00A51048"/>
    <w:rsid w:val="00A51E26"/>
    <w:rsid w:val="00A52EAF"/>
    <w:rsid w:val="00A542CC"/>
    <w:rsid w:val="00A5539C"/>
    <w:rsid w:val="00A55A2A"/>
    <w:rsid w:val="00A60DE9"/>
    <w:rsid w:val="00A63658"/>
    <w:rsid w:val="00A66A7E"/>
    <w:rsid w:val="00A66B36"/>
    <w:rsid w:val="00A70285"/>
    <w:rsid w:val="00A72236"/>
    <w:rsid w:val="00A7565B"/>
    <w:rsid w:val="00A75E4E"/>
    <w:rsid w:val="00A805D0"/>
    <w:rsid w:val="00A84769"/>
    <w:rsid w:val="00A85491"/>
    <w:rsid w:val="00A87125"/>
    <w:rsid w:val="00A91662"/>
    <w:rsid w:val="00A92168"/>
    <w:rsid w:val="00A9343E"/>
    <w:rsid w:val="00A937E7"/>
    <w:rsid w:val="00AA1113"/>
    <w:rsid w:val="00AA52B4"/>
    <w:rsid w:val="00AB2FD3"/>
    <w:rsid w:val="00AB483E"/>
    <w:rsid w:val="00AB5AB7"/>
    <w:rsid w:val="00AC0859"/>
    <w:rsid w:val="00AC17E0"/>
    <w:rsid w:val="00AC536A"/>
    <w:rsid w:val="00AC63DC"/>
    <w:rsid w:val="00AC67CE"/>
    <w:rsid w:val="00AC6D9F"/>
    <w:rsid w:val="00AC7284"/>
    <w:rsid w:val="00AC7EF4"/>
    <w:rsid w:val="00AD00D1"/>
    <w:rsid w:val="00AD05C6"/>
    <w:rsid w:val="00AD146C"/>
    <w:rsid w:val="00AD1EB6"/>
    <w:rsid w:val="00AD3169"/>
    <w:rsid w:val="00AD3D10"/>
    <w:rsid w:val="00AD3DE1"/>
    <w:rsid w:val="00AD4365"/>
    <w:rsid w:val="00AD7D50"/>
    <w:rsid w:val="00AE53A5"/>
    <w:rsid w:val="00AE631B"/>
    <w:rsid w:val="00AE7996"/>
    <w:rsid w:val="00AF0FD3"/>
    <w:rsid w:val="00AF29F1"/>
    <w:rsid w:val="00AF3184"/>
    <w:rsid w:val="00AF4BA6"/>
    <w:rsid w:val="00AF6A37"/>
    <w:rsid w:val="00AF6F63"/>
    <w:rsid w:val="00AF7191"/>
    <w:rsid w:val="00B00332"/>
    <w:rsid w:val="00B0054B"/>
    <w:rsid w:val="00B03D96"/>
    <w:rsid w:val="00B04D17"/>
    <w:rsid w:val="00B11427"/>
    <w:rsid w:val="00B11450"/>
    <w:rsid w:val="00B11946"/>
    <w:rsid w:val="00B11948"/>
    <w:rsid w:val="00B12229"/>
    <w:rsid w:val="00B1229E"/>
    <w:rsid w:val="00B13418"/>
    <w:rsid w:val="00B13985"/>
    <w:rsid w:val="00B14188"/>
    <w:rsid w:val="00B14A56"/>
    <w:rsid w:val="00B17DDE"/>
    <w:rsid w:val="00B219F3"/>
    <w:rsid w:val="00B226BE"/>
    <w:rsid w:val="00B2274A"/>
    <w:rsid w:val="00B235C5"/>
    <w:rsid w:val="00B24E58"/>
    <w:rsid w:val="00B2728C"/>
    <w:rsid w:val="00B32758"/>
    <w:rsid w:val="00B354B3"/>
    <w:rsid w:val="00B363B0"/>
    <w:rsid w:val="00B370E8"/>
    <w:rsid w:val="00B42207"/>
    <w:rsid w:val="00B44B59"/>
    <w:rsid w:val="00B4528A"/>
    <w:rsid w:val="00B4718F"/>
    <w:rsid w:val="00B472DE"/>
    <w:rsid w:val="00B50DEF"/>
    <w:rsid w:val="00B534C6"/>
    <w:rsid w:val="00B53AD0"/>
    <w:rsid w:val="00B55FCE"/>
    <w:rsid w:val="00B621ED"/>
    <w:rsid w:val="00B6350C"/>
    <w:rsid w:val="00B653C1"/>
    <w:rsid w:val="00B65CB5"/>
    <w:rsid w:val="00B720EA"/>
    <w:rsid w:val="00B72CAE"/>
    <w:rsid w:val="00B737F5"/>
    <w:rsid w:val="00B73DA6"/>
    <w:rsid w:val="00B74208"/>
    <w:rsid w:val="00B74257"/>
    <w:rsid w:val="00B747FF"/>
    <w:rsid w:val="00B754D9"/>
    <w:rsid w:val="00B75D93"/>
    <w:rsid w:val="00B81514"/>
    <w:rsid w:val="00B81E4D"/>
    <w:rsid w:val="00B82253"/>
    <w:rsid w:val="00B82B70"/>
    <w:rsid w:val="00B872D0"/>
    <w:rsid w:val="00B93BDC"/>
    <w:rsid w:val="00B94FA0"/>
    <w:rsid w:val="00B95076"/>
    <w:rsid w:val="00B96576"/>
    <w:rsid w:val="00B965CE"/>
    <w:rsid w:val="00B9747B"/>
    <w:rsid w:val="00B9763D"/>
    <w:rsid w:val="00B97AE5"/>
    <w:rsid w:val="00BA040F"/>
    <w:rsid w:val="00BA2B5A"/>
    <w:rsid w:val="00BA4554"/>
    <w:rsid w:val="00BA5734"/>
    <w:rsid w:val="00BA68E1"/>
    <w:rsid w:val="00BA7D2E"/>
    <w:rsid w:val="00BB08AF"/>
    <w:rsid w:val="00BB1131"/>
    <w:rsid w:val="00BB473B"/>
    <w:rsid w:val="00BB52E9"/>
    <w:rsid w:val="00BB5677"/>
    <w:rsid w:val="00BB6205"/>
    <w:rsid w:val="00BB69E1"/>
    <w:rsid w:val="00BC1E81"/>
    <w:rsid w:val="00BC4DE7"/>
    <w:rsid w:val="00BC5E11"/>
    <w:rsid w:val="00BC72D8"/>
    <w:rsid w:val="00BC7691"/>
    <w:rsid w:val="00BD0AD1"/>
    <w:rsid w:val="00BD1E8D"/>
    <w:rsid w:val="00BD1F0D"/>
    <w:rsid w:val="00BD2255"/>
    <w:rsid w:val="00BD7DFC"/>
    <w:rsid w:val="00BE0E0F"/>
    <w:rsid w:val="00BE2F24"/>
    <w:rsid w:val="00BE3387"/>
    <w:rsid w:val="00BE3407"/>
    <w:rsid w:val="00BE55DA"/>
    <w:rsid w:val="00BF18CE"/>
    <w:rsid w:val="00BF47F1"/>
    <w:rsid w:val="00BF4F83"/>
    <w:rsid w:val="00C0009D"/>
    <w:rsid w:val="00C06162"/>
    <w:rsid w:val="00C16DDD"/>
    <w:rsid w:val="00C17B31"/>
    <w:rsid w:val="00C203F9"/>
    <w:rsid w:val="00C22789"/>
    <w:rsid w:val="00C2718C"/>
    <w:rsid w:val="00C33842"/>
    <w:rsid w:val="00C347A5"/>
    <w:rsid w:val="00C3660D"/>
    <w:rsid w:val="00C375F2"/>
    <w:rsid w:val="00C4019C"/>
    <w:rsid w:val="00C418F8"/>
    <w:rsid w:val="00C46567"/>
    <w:rsid w:val="00C46A70"/>
    <w:rsid w:val="00C52994"/>
    <w:rsid w:val="00C53871"/>
    <w:rsid w:val="00C5447E"/>
    <w:rsid w:val="00C54F58"/>
    <w:rsid w:val="00C55F33"/>
    <w:rsid w:val="00C60B85"/>
    <w:rsid w:val="00C6346F"/>
    <w:rsid w:val="00C6488E"/>
    <w:rsid w:val="00C66E69"/>
    <w:rsid w:val="00C67FA2"/>
    <w:rsid w:val="00C75DC8"/>
    <w:rsid w:val="00C760F0"/>
    <w:rsid w:val="00C84422"/>
    <w:rsid w:val="00C85492"/>
    <w:rsid w:val="00C86842"/>
    <w:rsid w:val="00C90134"/>
    <w:rsid w:val="00C925A3"/>
    <w:rsid w:val="00C93FFE"/>
    <w:rsid w:val="00CA1625"/>
    <w:rsid w:val="00CA4E8F"/>
    <w:rsid w:val="00CA58A1"/>
    <w:rsid w:val="00CB3141"/>
    <w:rsid w:val="00CB4F97"/>
    <w:rsid w:val="00CB56C9"/>
    <w:rsid w:val="00CB65BA"/>
    <w:rsid w:val="00CB7580"/>
    <w:rsid w:val="00CC304F"/>
    <w:rsid w:val="00CC3461"/>
    <w:rsid w:val="00CC6180"/>
    <w:rsid w:val="00CC6DB5"/>
    <w:rsid w:val="00CC7D47"/>
    <w:rsid w:val="00CC7F19"/>
    <w:rsid w:val="00CD055F"/>
    <w:rsid w:val="00CD1260"/>
    <w:rsid w:val="00CD1352"/>
    <w:rsid w:val="00CD4CFB"/>
    <w:rsid w:val="00CD6411"/>
    <w:rsid w:val="00CE0225"/>
    <w:rsid w:val="00CE07DF"/>
    <w:rsid w:val="00CE14AC"/>
    <w:rsid w:val="00CE1F0C"/>
    <w:rsid w:val="00CE3E7C"/>
    <w:rsid w:val="00CE5565"/>
    <w:rsid w:val="00CE561C"/>
    <w:rsid w:val="00CE5F20"/>
    <w:rsid w:val="00CE605A"/>
    <w:rsid w:val="00CF00CA"/>
    <w:rsid w:val="00CF3F1F"/>
    <w:rsid w:val="00CF55D8"/>
    <w:rsid w:val="00D00237"/>
    <w:rsid w:val="00D029C0"/>
    <w:rsid w:val="00D0363A"/>
    <w:rsid w:val="00D05726"/>
    <w:rsid w:val="00D05870"/>
    <w:rsid w:val="00D0641C"/>
    <w:rsid w:val="00D10FBF"/>
    <w:rsid w:val="00D11103"/>
    <w:rsid w:val="00D13087"/>
    <w:rsid w:val="00D15652"/>
    <w:rsid w:val="00D15C47"/>
    <w:rsid w:val="00D16BBC"/>
    <w:rsid w:val="00D16DA0"/>
    <w:rsid w:val="00D21055"/>
    <w:rsid w:val="00D222DE"/>
    <w:rsid w:val="00D24195"/>
    <w:rsid w:val="00D264DF"/>
    <w:rsid w:val="00D3020D"/>
    <w:rsid w:val="00D34C29"/>
    <w:rsid w:val="00D42DDA"/>
    <w:rsid w:val="00D4316C"/>
    <w:rsid w:val="00D4335D"/>
    <w:rsid w:val="00D4403C"/>
    <w:rsid w:val="00D44583"/>
    <w:rsid w:val="00D45A1C"/>
    <w:rsid w:val="00D4708E"/>
    <w:rsid w:val="00D5354C"/>
    <w:rsid w:val="00D5450F"/>
    <w:rsid w:val="00D57A5F"/>
    <w:rsid w:val="00D602F6"/>
    <w:rsid w:val="00D60B29"/>
    <w:rsid w:val="00D66A29"/>
    <w:rsid w:val="00D66C74"/>
    <w:rsid w:val="00D67327"/>
    <w:rsid w:val="00D71DEF"/>
    <w:rsid w:val="00D760F5"/>
    <w:rsid w:val="00D7624A"/>
    <w:rsid w:val="00D7778E"/>
    <w:rsid w:val="00D82463"/>
    <w:rsid w:val="00D83886"/>
    <w:rsid w:val="00D86419"/>
    <w:rsid w:val="00D873FD"/>
    <w:rsid w:val="00D918BF"/>
    <w:rsid w:val="00D92C5D"/>
    <w:rsid w:val="00D93416"/>
    <w:rsid w:val="00D93E82"/>
    <w:rsid w:val="00D942CC"/>
    <w:rsid w:val="00D94601"/>
    <w:rsid w:val="00D9650B"/>
    <w:rsid w:val="00D973DC"/>
    <w:rsid w:val="00DA2206"/>
    <w:rsid w:val="00DA244B"/>
    <w:rsid w:val="00DA2797"/>
    <w:rsid w:val="00DA6894"/>
    <w:rsid w:val="00DB1B2E"/>
    <w:rsid w:val="00DB3C50"/>
    <w:rsid w:val="00DB431A"/>
    <w:rsid w:val="00DB52EF"/>
    <w:rsid w:val="00DB7D55"/>
    <w:rsid w:val="00DC116E"/>
    <w:rsid w:val="00DC189D"/>
    <w:rsid w:val="00DC28C0"/>
    <w:rsid w:val="00DC3825"/>
    <w:rsid w:val="00DC5870"/>
    <w:rsid w:val="00DC6F01"/>
    <w:rsid w:val="00DD1978"/>
    <w:rsid w:val="00DD696D"/>
    <w:rsid w:val="00DE36D0"/>
    <w:rsid w:val="00DE6349"/>
    <w:rsid w:val="00DF0411"/>
    <w:rsid w:val="00DF2542"/>
    <w:rsid w:val="00DF5B85"/>
    <w:rsid w:val="00DF5D51"/>
    <w:rsid w:val="00DF6D26"/>
    <w:rsid w:val="00DF79F0"/>
    <w:rsid w:val="00E005A8"/>
    <w:rsid w:val="00E01E7A"/>
    <w:rsid w:val="00E0467D"/>
    <w:rsid w:val="00E12101"/>
    <w:rsid w:val="00E13933"/>
    <w:rsid w:val="00E206F8"/>
    <w:rsid w:val="00E218E6"/>
    <w:rsid w:val="00E21D56"/>
    <w:rsid w:val="00E22F00"/>
    <w:rsid w:val="00E22F91"/>
    <w:rsid w:val="00E235E5"/>
    <w:rsid w:val="00E24E61"/>
    <w:rsid w:val="00E27EB7"/>
    <w:rsid w:val="00E30C0F"/>
    <w:rsid w:val="00E36B18"/>
    <w:rsid w:val="00E37A6B"/>
    <w:rsid w:val="00E50BD4"/>
    <w:rsid w:val="00E53DF6"/>
    <w:rsid w:val="00E54064"/>
    <w:rsid w:val="00E5540E"/>
    <w:rsid w:val="00E55654"/>
    <w:rsid w:val="00E5606A"/>
    <w:rsid w:val="00E56B29"/>
    <w:rsid w:val="00E62A37"/>
    <w:rsid w:val="00E704C5"/>
    <w:rsid w:val="00E7132F"/>
    <w:rsid w:val="00E716FF"/>
    <w:rsid w:val="00E7172F"/>
    <w:rsid w:val="00E7216C"/>
    <w:rsid w:val="00E737A8"/>
    <w:rsid w:val="00E737B5"/>
    <w:rsid w:val="00E73FE2"/>
    <w:rsid w:val="00E74E7C"/>
    <w:rsid w:val="00E75995"/>
    <w:rsid w:val="00E759E5"/>
    <w:rsid w:val="00E765A0"/>
    <w:rsid w:val="00E7669A"/>
    <w:rsid w:val="00E841BE"/>
    <w:rsid w:val="00E84C56"/>
    <w:rsid w:val="00E859F8"/>
    <w:rsid w:val="00E90506"/>
    <w:rsid w:val="00E95AAF"/>
    <w:rsid w:val="00EA06F3"/>
    <w:rsid w:val="00EA0F8F"/>
    <w:rsid w:val="00EA4B21"/>
    <w:rsid w:val="00EA641C"/>
    <w:rsid w:val="00EB40D3"/>
    <w:rsid w:val="00EB5F6F"/>
    <w:rsid w:val="00EB73C7"/>
    <w:rsid w:val="00EC1355"/>
    <w:rsid w:val="00EC3B61"/>
    <w:rsid w:val="00EC4D86"/>
    <w:rsid w:val="00EC660D"/>
    <w:rsid w:val="00ED2AE5"/>
    <w:rsid w:val="00ED2B01"/>
    <w:rsid w:val="00ED3471"/>
    <w:rsid w:val="00ED4879"/>
    <w:rsid w:val="00ED60F3"/>
    <w:rsid w:val="00EE13D8"/>
    <w:rsid w:val="00EE37A5"/>
    <w:rsid w:val="00EE5086"/>
    <w:rsid w:val="00EE6159"/>
    <w:rsid w:val="00EF118C"/>
    <w:rsid w:val="00EF68E8"/>
    <w:rsid w:val="00F0160C"/>
    <w:rsid w:val="00F02374"/>
    <w:rsid w:val="00F03CC1"/>
    <w:rsid w:val="00F0424A"/>
    <w:rsid w:val="00F0474B"/>
    <w:rsid w:val="00F069FA"/>
    <w:rsid w:val="00F06C2A"/>
    <w:rsid w:val="00F06D83"/>
    <w:rsid w:val="00F11C31"/>
    <w:rsid w:val="00F12F7F"/>
    <w:rsid w:val="00F14EBF"/>
    <w:rsid w:val="00F16DAD"/>
    <w:rsid w:val="00F203AD"/>
    <w:rsid w:val="00F23444"/>
    <w:rsid w:val="00F25DCE"/>
    <w:rsid w:val="00F325D2"/>
    <w:rsid w:val="00F32D64"/>
    <w:rsid w:val="00F35775"/>
    <w:rsid w:val="00F37D39"/>
    <w:rsid w:val="00F40051"/>
    <w:rsid w:val="00F47FCE"/>
    <w:rsid w:val="00F501A9"/>
    <w:rsid w:val="00F53116"/>
    <w:rsid w:val="00F53C57"/>
    <w:rsid w:val="00F5400D"/>
    <w:rsid w:val="00F5463D"/>
    <w:rsid w:val="00F54B66"/>
    <w:rsid w:val="00F555CA"/>
    <w:rsid w:val="00F5713A"/>
    <w:rsid w:val="00F575CD"/>
    <w:rsid w:val="00F61EF8"/>
    <w:rsid w:val="00F631AA"/>
    <w:rsid w:val="00F63887"/>
    <w:rsid w:val="00F639BB"/>
    <w:rsid w:val="00F660DF"/>
    <w:rsid w:val="00F6696A"/>
    <w:rsid w:val="00F6735D"/>
    <w:rsid w:val="00F72691"/>
    <w:rsid w:val="00F74570"/>
    <w:rsid w:val="00F74833"/>
    <w:rsid w:val="00F82E5C"/>
    <w:rsid w:val="00F85310"/>
    <w:rsid w:val="00F86312"/>
    <w:rsid w:val="00F86F63"/>
    <w:rsid w:val="00F9035A"/>
    <w:rsid w:val="00F94076"/>
    <w:rsid w:val="00F94C4E"/>
    <w:rsid w:val="00F9515C"/>
    <w:rsid w:val="00F955BA"/>
    <w:rsid w:val="00FA0CF7"/>
    <w:rsid w:val="00FA3CC8"/>
    <w:rsid w:val="00FB0009"/>
    <w:rsid w:val="00FB0EC6"/>
    <w:rsid w:val="00FC0602"/>
    <w:rsid w:val="00FC308F"/>
    <w:rsid w:val="00FC51BF"/>
    <w:rsid w:val="00FC6A09"/>
    <w:rsid w:val="00FC7706"/>
    <w:rsid w:val="00FD1598"/>
    <w:rsid w:val="00FD1FBA"/>
    <w:rsid w:val="00FD2542"/>
    <w:rsid w:val="00FD3F02"/>
    <w:rsid w:val="00FE1EF8"/>
    <w:rsid w:val="00FE512B"/>
    <w:rsid w:val="00FE61C6"/>
    <w:rsid w:val="00FF1027"/>
    <w:rsid w:val="00FF1450"/>
    <w:rsid w:val="00FF1F46"/>
    <w:rsid w:val="00FF38B9"/>
    <w:rsid w:val="00FF6BE5"/>
    <w:rsid w:val="0132783D"/>
    <w:rsid w:val="01464857"/>
    <w:rsid w:val="01C07E8A"/>
    <w:rsid w:val="02156F46"/>
    <w:rsid w:val="02311E7E"/>
    <w:rsid w:val="024E05D6"/>
    <w:rsid w:val="03435D32"/>
    <w:rsid w:val="03CE296F"/>
    <w:rsid w:val="03E017D2"/>
    <w:rsid w:val="03E94B2B"/>
    <w:rsid w:val="04B2420D"/>
    <w:rsid w:val="04F6199F"/>
    <w:rsid w:val="0539596F"/>
    <w:rsid w:val="05DC48F6"/>
    <w:rsid w:val="05DC58AA"/>
    <w:rsid w:val="06397B18"/>
    <w:rsid w:val="06540AF8"/>
    <w:rsid w:val="06761661"/>
    <w:rsid w:val="068E19BA"/>
    <w:rsid w:val="06D40AEF"/>
    <w:rsid w:val="06D918AE"/>
    <w:rsid w:val="06E635A4"/>
    <w:rsid w:val="072623C9"/>
    <w:rsid w:val="074F5BE1"/>
    <w:rsid w:val="07C23356"/>
    <w:rsid w:val="07E71CC8"/>
    <w:rsid w:val="08E21B49"/>
    <w:rsid w:val="090D2B63"/>
    <w:rsid w:val="095852FA"/>
    <w:rsid w:val="099937DC"/>
    <w:rsid w:val="09CB4AB3"/>
    <w:rsid w:val="0A381193"/>
    <w:rsid w:val="0AC21C32"/>
    <w:rsid w:val="0AE16866"/>
    <w:rsid w:val="0B694267"/>
    <w:rsid w:val="0C4E7606"/>
    <w:rsid w:val="0C7F6B1C"/>
    <w:rsid w:val="0CB67574"/>
    <w:rsid w:val="0CE56B8A"/>
    <w:rsid w:val="0D701E19"/>
    <w:rsid w:val="0E27253F"/>
    <w:rsid w:val="0EC56195"/>
    <w:rsid w:val="0EFE42C2"/>
    <w:rsid w:val="0FA820BD"/>
    <w:rsid w:val="10240C99"/>
    <w:rsid w:val="10833C11"/>
    <w:rsid w:val="10A23143"/>
    <w:rsid w:val="111A2367"/>
    <w:rsid w:val="1199049E"/>
    <w:rsid w:val="11F53C51"/>
    <w:rsid w:val="12ED28F4"/>
    <w:rsid w:val="13031364"/>
    <w:rsid w:val="134A1379"/>
    <w:rsid w:val="13711ACD"/>
    <w:rsid w:val="13C168AB"/>
    <w:rsid w:val="13CD72FF"/>
    <w:rsid w:val="13F44C4B"/>
    <w:rsid w:val="14574512"/>
    <w:rsid w:val="153B464F"/>
    <w:rsid w:val="15AB649C"/>
    <w:rsid w:val="15F86A6B"/>
    <w:rsid w:val="15FA5EFB"/>
    <w:rsid w:val="16A82AF9"/>
    <w:rsid w:val="16BC7E7D"/>
    <w:rsid w:val="16D66972"/>
    <w:rsid w:val="17662B13"/>
    <w:rsid w:val="18A312F5"/>
    <w:rsid w:val="18BD7EDC"/>
    <w:rsid w:val="18DF4352"/>
    <w:rsid w:val="190873AA"/>
    <w:rsid w:val="19100920"/>
    <w:rsid w:val="196952B3"/>
    <w:rsid w:val="1A4A3557"/>
    <w:rsid w:val="1AB12430"/>
    <w:rsid w:val="1AD27A8D"/>
    <w:rsid w:val="1AF26A5D"/>
    <w:rsid w:val="1BCD79A9"/>
    <w:rsid w:val="1C167529"/>
    <w:rsid w:val="1C2631BD"/>
    <w:rsid w:val="1C5A2864"/>
    <w:rsid w:val="1C8B0E6B"/>
    <w:rsid w:val="1CF35492"/>
    <w:rsid w:val="1F2B042A"/>
    <w:rsid w:val="1F57038A"/>
    <w:rsid w:val="1FA11821"/>
    <w:rsid w:val="1FBC155D"/>
    <w:rsid w:val="1FF01429"/>
    <w:rsid w:val="20254CE5"/>
    <w:rsid w:val="20DC0785"/>
    <w:rsid w:val="20FF0C31"/>
    <w:rsid w:val="20FF50CE"/>
    <w:rsid w:val="2107679C"/>
    <w:rsid w:val="224F5CC2"/>
    <w:rsid w:val="225A05D6"/>
    <w:rsid w:val="22D327D6"/>
    <w:rsid w:val="22EA44AB"/>
    <w:rsid w:val="231A5714"/>
    <w:rsid w:val="24010BAF"/>
    <w:rsid w:val="244D1781"/>
    <w:rsid w:val="24F66B73"/>
    <w:rsid w:val="2531042B"/>
    <w:rsid w:val="25EE6D89"/>
    <w:rsid w:val="26616E28"/>
    <w:rsid w:val="26804286"/>
    <w:rsid w:val="268914CF"/>
    <w:rsid w:val="2719799A"/>
    <w:rsid w:val="274C0515"/>
    <w:rsid w:val="27640597"/>
    <w:rsid w:val="278A39E9"/>
    <w:rsid w:val="27EC1727"/>
    <w:rsid w:val="280C256F"/>
    <w:rsid w:val="28925A21"/>
    <w:rsid w:val="29023E15"/>
    <w:rsid w:val="29F9442D"/>
    <w:rsid w:val="2A3E70CF"/>
    <w:rsid w:val="2A497706"/>
    <w:rsid w:val="2A697369"/>
    <w:rsid w:val="2ABC1286"/>
    <w:rsid w:val="2B256377"/>
    <w:rsid w:val="2C617098"/>
    <w:rsid w:val="2C8C24F2"/>
    <w:rsid w:val="2CAD06F9"/>
    <w:rsid w:val="2D581FF7"/>
    <w:rsid w:val="2D5C161A"/>
    <w:rsid w:val="2D6A4408"/>
    <w:rsid w:val="2DB05842"/>
    <w:rsid w:val="2DD57822"/>
    <w:rsid w:val="2F023CA6"/>
    <w:rsid w:val="2F113F79"/>
    <w:rsid w:val="2FA923BE"/>
    <w:rsid w:val="300360D5"/>
    <w:rsid w:val="30533781"/>
    <w:rsid w:val="30946BB9"/>
    <w:rsid w:val="30CC4D09"/>
    <w:rsid w:val="31163B2E"/>
    <w:rsid w:val="3144071D"/>
    <w:rsid w:val="3178245B"/>
    <w:rsid w:val="32102167"/>
    <w:rsid w:val="32621481"/>
    <w:rsid w:val="32AE6284"/>
    <w:rsid w:val="32B9311D"/>
    <w:rsid w:val="32C75A29"/>
    <w:rsid w:val="3336395B"/>
    <w:rsid w:val="336B6A33"/>
    <w:rsid w:val="33B32D68"/>
    <w:rsid w:val="35011425"/>
    <w:rsid w:val="35243365"/>
    <w:rsid w:val="356B6CE2"/>
    <w:rsid w:val="35E40288"/>
    <w:rsid w:val="36D466C5"/>
    <w:rsid w:val="3768578B"/>
    <w:rsid w:val="377B75F1"/>
    <w:rsid w:val="38313FBC"/>
    <w:rsid w:val="3AA707EA"/>
    <w:rsid w:val="3AEE1594"/>
    <w:rsid w:val="3BA25F72"/>
    <w:rsid w:val="3BBA232E"/>
    <w:rsid w:val="3BD77609"/>
    <w:rsid w:val="3BDA6DA3"/>
    <w:rsid w:val="3C3700C4"/>
    <w:rsid w:val="3C7C5835"/>
    <w:rsid w:val="3CC43091"/>
    <w:rsid w:val="3F2B7793"/>
    <w:rsid w:val="3F646F34"/>
    <w:rsid w:val="3F7F054C"/>
    <w:rsid w:val="3FA339EF"/>
    <w:rsid w:val="3FCA4B09"/>
    <w:rsid w:val="3FCE740A"/>
    <w:rsid w:val="40493C80"/>
    <w:rsid w:val="419B4733"/>
    <w:rsid w:val="42220C2D"/>
    <w:rsid w:val="425012F6"/>
    <w:rsid w:val="42C70A02"/>
    <w:rsid w:val="430D566B"/>
    <w:rsid w:val="43194E40"/>
    <w:rsid w:val="43252782"/>
    <w:rsid w:val="445B1C45"/>
    <w:rsid w:val="445B61D2"/>
    <w:rsid w:val="4483206C"/>
    <w:rsid w:val="4545710C"/>
    <w:rsid w:val="45464C32"/>
    <w:rsid w:val="45C679FF"/>
    <w:rsid w:val="45EF09E0"/>
    <w:rsid w:val="460758E3"/>
    <w:rsid w:val="46F86E25"/>
    <w:rsid w:val="47364D14"/>
    <w:rsid w:val="475E6263"/>
    <w:rsid w:val="479A36B7"/>
    <w:rsid w:val="47F42EC9"/>
    <w:rsid w:val="481E68FE"/>
    <w:rsid w:val="48205161"/>
    <w:rsid w:val="48320668"/>
    <w:rsid w:val="48970095"/>
    <w:rsid w:val="49066BB2"/>
    <w:rsid w:val="49A14B2D"/>
    <w:rsid w:val="4A2C64BB"/>
    <w:rsid w:val="4BEE3E64"/>
    <w:rsid w:val="4C147838"/>
    <w:rsid w:val="4C2555A1"/>
    <w:rsid w:val="4C7C5907"/>
    <w:rsid w:val="4C906FAA"/>
    <w:rsid w:val="4CD64545"/>
    <w:rsid w:val="4D9A1FBF"/>
    <w:rsid w:val="4E4F1509"/>
    <w:rsid w:val="4E740AE3"/>
    <w:rsid w:val="4F267653"/>
    <w:rsid w:val="4FD87F95"/>
    <w:rsid w:val="50245053"/>
    <w:rsid w:val="50621DD7"/>
    <w:rsid w:val="509727E6"/>
    <w:rsid w:val="510E310F"/>
    <w:rsid w:val="52014122"/>
    <w:rsid w:val="526C5E7E"/>
    <w:rsid w:val="53040B81"/>
    <w:rsid w:val="534051E9"/>
    <w:rsid w:val="535E0F59"/>
    <w:rsid w:val="548825BE"/>
    <w:rsid w:val="549A2866"/>
    <w:rsid w:val="54C0318A"/>
    <w:rsid w:val="55254864"/>
    <w:rsid w:val="556E1F11"/>
    <w:rsid w:val="55A00C9B"/>
    <w:rsid w:val="55E9303F"/>
    <w:rsid w:val="566C5020"/>
    <w:rsid w:val="56775382"/>
    <w:rsid w:val="58115221"/>
    <w:rsid w:val="593E55C6"/>
    <w:rsid w:val="5949577F"/>
    <w:rsid w:val="59822F00"/>
    <w:rsid w:val="59F165B4"/>
    <w:rsid w:val="59FF5943"/>
    <w:rsid w:val="5A435CE5"/>
    <w:rsid w:val="5A89797C"/>
    <w:rsid w:val="5A9072FE"/>
    <w:rsid w:val="5AF20911"/>
    <w:rsid w:val="5B1E1DDD"/>
    <w:rsid w:val="5B265FAF"/>
    <w:rsid w:val="5C171A25"/>
    <w:rsid w:val="5C216AB1"/>
    <w:rsid w:val="5C4E4AC2"/>
    <w:rsid w:val="5C5A20B3"/>
    <w:rsid w:val="5CF35248"/>
    <w:rsid w:val="5DFA7591"/>
    <w:rsid w:val="5E3C0AFF"/>
    <w:rsid w:val="5E84776B"/>
    <w:rsid w:val="5E950814"/>
    <w:rsid w:val="5EC3780A"/>
    <w:rsid w:val="5ED115B9"/>
    <w:rsid w:val="5FD64DCE"/>
    <w:rsid w:val="60031C46"/>
    <w:rsid w:val="604C5661"/>
    <w:rsid w:val="60AF4396"/>
    <w:rsid w:val="60F0473B"/>
    <w:rsid w:val="619B2EA8"/>
    <w:rsid w:val="623C4F9B"/>
    <w:rsid w:val="62D57230"/>
    <w:rsid w:val="62E21F1B"/>
    <w:rsid w:val="62E563BD"/>
    <w:rsid w:val="633E7E23"/>
    <w:rsid w:val="63CF50E2"/>
    <w:rsid w:val="642448A5"/>
    <w:rsid w:val="646215F9"/>
    <w:rsid w:val="649F50AB"/>
    <w:rsid w:val="65613696"/>
    <w:rsid w:val="65E6393A"/>
    <w:rsid w:val="6624083A"/>
    <w:rsid w:val="66355017"/>
    <w:rsid w:val="668071BE"/>
    <w:rsid w:val="66924C0B"/>
    <w:rsid w:val="66C12C9D"/>
    <w:rsid w:val="670C7632"/>
    <w:rsid w:val="67332E10"/>
    <w:rsid w:val="68B55CD6"/>
    <w:rsid w:val="68CA5FB1"/>
    <w:rsid w:val="691A5D50"/>
    <w:rsid w:val="69556539"/>
    <w:rsid w:val="696167F0"/>
    <w:rsid w:val="69DE2D73"/>
    <w:rsid w:val="69F44B05"/>
    <w:rsid w:val="6A5823AB"/>
    <w:rsid w:val="6A737C34"/>
    <w:rsid w:val="6AAD2EDA"/>
    <w:rsid w:val="6ACC4801"/>
    <w:rsid w:val="6AFD0F60"/>
    <w:rsid w:val="6BBE4C73"/>
    <w:rsid w:val="6C800660"/>
    <w:rsid w:val="6C9F3253"/>
    <w:rsid w:val="6DAF53E5"/>
    <w:rsid w:val="6EBE61D9"/>
    <w:rsid w:val="6F9F1ABF"/>
    <w:rsid w:val="6FB65B61"/>
    <w:rsid w:val="703E3CF5"/>
    <w:rsid w:val="70595D2F"/>
    <w:rsid w:val="70875F7B"/>
    <w:rsid w:val="70AD7246"/>
    <w:rsid w:val="70E42CD0"/>
    <w:rsid w:val="71254208"/>
    <w:rsid w:val="71771B4C"/>
    <w:rsid w:val="72A95FB6"/>
    <w:rsid w:val="72D021A7"/>
    <w:rsid w:val="7313424C"/>
    <w:rsid w:val="73340C8B"/>
    <w:rsid w:val="73F922AC"/>
    <w:rsid w:val="74456B93"/>
    <w:rsid w:val="74A26A28"/>
    <w:rsid w:val="74B46F86"/>
    <w:rsid w:val="751D6C11"/>
    <w:rsid w:val="75287806"/>
    <w:rsid w:val="75786A7C"/>
    <w:rsid w:val="75902136"/>
    <w:rsid w:val="75A919E5"/>
    <w:rsid w:val="75CA06FB"/>
    <w:rsid w:val="75E4492E"/>
    <w:rsid w:val="75FB0F9D"/>
    <w:rsid w:val="77F503B9"/>
    <w:rsid w:val="787C5A31"/>
    <w:rsid w:val="78D329B4"/>
    <w:rsid w:val="78E35C39"/>
    <w:rsid w:val="79510EC9"/>
    <w:rsid w:val="795D18C7"/>
    <w:rsid w:val="799D2841"/>
    <w:rsid w:val="7A3B6069"/>
    <w:rsid w:val="7A5769BE"/>
    <w:rsid w:val="7AB8590E"/>
    <w:rsid w:val="7AD10686"/>
    <w:rsid w:val="7AD33E8B"/>
    <w:rsid w:val="7B52162C"/>
    <w:rsid w:val="7BF03C15"/>
    <w:rsid w:val="7C376AA7"/>
    <w:rsid w:val="7C72278B"/>
    <w:rsid w:val="7C8914CB"/>
    <w:rsid w:val="7CFD384D"/>
    <w:rsid w:val="7D150167"/>
    <w:rsid w:val="7D4E1EEA"/>
    <w:rsid w:val="7DC806AB"/>
    <w:rsid w:val="7DF42B28"/>
    <w:rsid w:val="7E134206"/>
    <w:rsid w:val="7E8C34C9"/>
    <w:rsid w:val="7E8F7854"/>
    <w:rsid w:val="7F6A36C5"/>
    <w:rsid w:val="97FDF4BA"/>
    <w:rsid w:val="FA8E0A7E"/>
    <w:rsid w:val="FFB721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360" w:lineRule="auto"/>
      <w:jc w:val="both"/>
    </w:pPr>
    <w:rPr>
      <w:rFonts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style>
  <w:style w:type="paragraph" w:styleId="3">
    <w:name w:val="heading 1"/>
    <w:basedOn w:val="1"/>
    <w:next w:val="1"/>
    <w:link w:val="20"/>
    <w:qFormat/>
    <w:uiPriority w:val="0"/>
    <w:pPr>
      <w:jc w:val="center"/>
      <w:outlineLvl w:val="0"/>
    </w:pPr>
    <w:rPr>
      <w:rFonts w:asciiTheme="majorEastAsia" w:hAnsiTheme="majorEastAsia" w:eastAsiaTheme="majorEastAsia" w:cstheme="majorEastAsia"/>
      <w:b/>
      <w:bCs/>
      <w:sz w:val="32"/>
      <w:szCs w:val="32"/>
    </w:rPr>
  </w:style>
  <w:style w:type="paragraph" w:styleId="4">
    <w:name w:val="heading 2"/>
    <w:basedOn w:val="1"/>
    <w:next w:val="1"/>
    <w:link w:val="26"/>
    <w:qFormat/>
    <w:uiPriority w:val="99"/>
    <w:pPr>
      <w:keepNext/>
      <w:keepLines/>
      <w:spacing w:before="260" w:after="260" w:line="415" w:lineRule="auto"/>
      <w:outlineLvl w:val="1"/>
    </w:pPr>
    <w:rPr>
      <w:rFonts w:ascii="Calibri Light" w:hAnsi="Calibri Light" w:eastAsia="宋体" w:cs="Times New Roman"/>
      <w:b/>
      <w:bCs/>
      <w:sz w:val="32"/>
      <w:szCs w:val="32"/>
    </w:rPr>
  </w:style>
  <w:style w:type="character" w:default="1" w:styleId="18">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tabs>
        <w:tab w:val="left" w:pos="0"/>
      </w:tabs>
    </w:pPr>
    <w:rPr>
      <w:color w:val="000000"/>
    </w:rPr>
  </w:style>
  <w:style w:type="paragraph" w:styleId="5">
    <w:name w:val="Normal Indent"/>
    <w:basedOn w:val="1"/>
    <w:qFormat/>
    <w:uiPriority w:val="0"/>
    <w:pPr>
      <w:ind w:firstLine="420"/>
    </w:pPr>
    <w:rPr>
      <w:szCs w:val="20"/>
    </w:rPr>
  </w:style>
  <w:style w:type="paragraph" w:styleId="6">
    <w:name w:val="Document Map"/>
    <w:basedOn w:val="1"/>
    <w:link w:val="41"/>
    <w:unhideWhenUsed/>
    <w:qFormat/>
    <w:uiPriority w:val="0"/>
    <w:rPr>
      <w:rFonts w:ascii="宋体" w:eastAsia="宋体"/>
      <w:sz w:val="18"/>
      <w:szCs w:val="18"/>
    </w:rPr>
  </w:style>
  <w:style w:type="paragraph" w:styleId="7">
    <w:name w:val="annotation text"/>
    <w:basedOn w:val="1"/>
    <w:link w:val="34"/>
    <w:qFormat/>
    <w:uiPriority w:val="0"/>
    <w:pPr>
      <w:jc w:val="left"/>
    </w:pPr>
    <w:rPr>
      <w:rFonts w:ascii="Calibri" w:hAnsi="Calibri" w:eastAsia="宋体" w:cs="Times New Roman"/>
    </w:rPr>
  </w:style>
  <w:style w:type="paragraph" w:styleId="8">
    <w:name w:val="Body Text Indent"/>
    <w:basedOn w:val="1"/>
    <w:link w:val="28"/>
    <w:qFormat/>
    <w:uiPriority w:val="0"/>
    <w:pPr>
      <w:spacing w:after="120"/>
      <w:ind w:left="420" w:leftChars="200"/>
    </w:pPr>
  </w:style>
  <w:style w:type="paragraph" w:styleId="9">
    <w:name w:val="Date"/>
    <w:basedOn w:val="1"/>
    <w:next w:val="1"/>
    <w:link w:val="31"/>
    <w:qFormat/>
    <w:uiPriority w:val="0"/>
    <w:pPr>
      <w:ind w:left="100" w:leftChars="2500"/>
    </w:pPr>
  </w:style>
  <w:style w:type="paragraph" w:styleId="10">
    <w:name w:val="Balloon Text"/>
    <w:basedOn w:val="1"/>
    <w:link w:val="30"/>
    <w:qFormat/>
    <w:uiPriority w:val="0"/>
    <w:rPr>
      <w:sz w:val="18"/>
      <w:szCs w:val="18"/>
    </w:rPr>
  </w:style>
  <w:style w:type="paragraph" w:styleId="11">
    <w:name w:val="footer"/>
    <w:basedOn w:val="1"/>
    <w:link w:val="25"/>
    <w:qFormat/>
    <w:uiPriority w:val="99"/>
    <w:pPr>
      <w:tabs>
        <w:tab w:val="center" w:pos="4153"/>
        <w:tab w:val="right" w:pos="8306"/>
      </w:tabs>
      <w:jc w:val="left"/>
    </w:pPr>
    <w:rPr>
      <w:sz w:val="18"/>
      <w:szCs w:val="18"/>
    </w:rPr>
  </w:style>
  <w:style w:type="paragraph" w:styleId="12">
    <w:name w:val="header"/>
    <w:basedOn w:val="1"/>
    <w:link w:val="24"/>
    <w:qFormat/>
    <w:uiPriority w:val="0"/>
    <w:pPr>
      <w:pBdr>
        <w:bottom w:val="single" w:color="auto" w:sz="6" w:space="1"/>
      </w:pBdr>
      <w:tabs>
        <w:tab w:val="center" w:pos="4153"/>
        <w:tab w:val="right" w:pos="8306"/>
      </w:tabs>
      <w:jc w:val="center"/>
    </w:pPr>
    <w:rPr>
      <w:sz w:val="18"/>
      <w:szCs w:val="18"/>
    </w:rPr>
  </w:style>
  <w:style w:type="paragraph" w:styleId="13">
    <w:name w:val="toc 1"/>
    <w:basedOn w:val="1"/>
    <w:next w:val="1"/>
    <w:unhideWhenUsed/>
    <w:qFormat/>
    <w:uiPriority w:val="0"/>
  </w:style>
  <w:style w:type="paragraph" w:styleId="14">
    <w:name w:val="annotation subject"/>
    <w:basedOn w:val="7"/>
    <w:next w:val="7"/>
    <w:link w:val="37"/>
    <w:qFormat/>
    <w:uiPriority w:val="0"/>
    <w:rPr>
      <w:rFonts w:asciiTheme="minorHAnsi" w:hAnsiTheme="minorHAnsi" w:eastAsiaTheme="minorEastAsia" w:cstheme="minorBidi"/>
      <w:b/>
      <w:bCs/>
    </w:rPr>
  </w:style>
  <w:style w:type="paragraph" w:styleId="15">
    <w:name w:val="Body Text First Indent 2"/>
    <w:basedOn w:val="8"/>
    <w:link w:val="29"/>
    <w:qFormat/>
    <w:uiPriority w:val="0"/>
    <w:pPr>
      <w:spacing w:after="0"/>
      <w:ind w:left="0" w:leftChars="0" w:firstLine="420" w:firstLineChars="200"/>
    </w:pPr>
    <w:rPr>
      <w:rFonts w:ascii="Times New Roman" w:hAnsi="Times New Roman" w:eastAsia="仿宋_GB2312" w:cs="Times New Roman"/>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annotation reference"/>
    <w:qFormat/>
    <w:uiPriority w:val="0"/>
    <w:rPr>
      <w:rFonts w:ascii="Calibri" w:hAnsi="Calibri" w:eastAsia="宋体" w:cs="Times New Roman"/>
      <w:sz w:val="21"/>
      <w:szCs w:val="21"/>
    </w:rPr>
  </w:style>
  <w:style w:type="character" w:customStyle="1" w:styleId="20">
    <w:name w:val="标题 1 字符"/>
    <w:basedOn w:val="18"/>
    <w:link w:val="3"/>
    <w:qFormat/>
    <w:uiPriority w:val="0"/>
    <w:rPr>
      <w:rFonts w:asciiTheme="majorEastAsia" w:hAnsiTheme="majorEastAsia" w:eastAsiaTheme="majorEastAsia" w:cstheme="majorEastAsia"/>
      <w:b/>
      <w:bCs/>
      <w:color w:val="000000" w:themeColor="text1"/>
      <w:kern w:val="2"/>
      <w:sz w:val="32"/>
      <w:szCs w:val="32"/>
      <w14:textFill>
        <w14:solidFill>
          <w14:schemeClr w14:val="tx1"/>
        </w14:solidFill>
      </w14:textFill>
    </w:rPr>
  </w:style>
  <w:style w:type="character" w:customStyle="1" w:styleId="21">
    <w:name w:val="font31"/>
    <w:basedOn w:val="18"/>
    <w:qFormat/>
    <w:uiPriority w:val="0"/>
    <w:rPr>
      <w:rFonts w:hint="eastAsia" w:ascii="宋体" w:hAnsi="宋体" w:eastAsia="宋体" w:cs="宋体"/>
      <w:color w:val="000000"/>
      <w:sz w:val="22"/>
      <w:szCs w:val="22"/>
      <w:u w:val="none"/>
    </w:rPr>
  </w:style>
  <w:style w:type="character" w:customStyle="1" w:styleId="22">
    <w:name w:val="font01"/>
    <w:basedOn w:val="18"/>
    <w:qFormat/>
    <w:uiPriority w:val="0"/>
    <w:rPr>
      <w:rFonts w:hint="default" w:ascii="font-weight : 400" w:hAnsi="font-weight : 400" w:eastAsia="font-weight : 400" w:cs="font-weight : 400"/>
      <w:color w:val="000000"/>
      <w:sz w:val="22"/>
      <w:szCs w:val="22"/>
      <w:u w:val="none"/>
    </w:rPr>
  </w:style>
  <w:style w:type="character" w:customStyle="1" w:styleId="23">
    <w:name w:val="font11"/>
    <w:basedOn w:val="18"/>
    <w:qFormat/>
    <w:uiPriority w:val="0"/>
    <w:rPr>
      <w:rFonts w:ascii="Arial" w:hAnsi="Arial" w:cs="Arial"/>
      <w:color w:val="000000"/>
      <w:sz w:val="22"/>
      <w:szCs w:val="22"/>
      <w:u w:val="none"/>
    </w:rPr>
  </w:style>
  <w:style w:type="character" w:customStyle="1" w:styleId="24">
    <w:name w:val="页眉 字符"/>
    <w:basedOn w:val="18"/>
    <w:link w:val="12"/>
    <w:qFormat/>
    <w:uiPriority w:val="0"/>
    <w:rPr>
      <w:rFonts w:asciiTheme="minorHAnsi" w:hAnsiTheme="minorHAnsi" w:eastAsiaTheme="minorEastAsia" w:cstheme="minorBidi"/>
      <w:kern w:val="2"/>
      <w:sz w:val="18"/>
      <w:szCs w:val="18"/>
    </w:rPr>
  </w:style>
  <w:style w:type="character" w:customStyle="1" w:styleId="25">
    <w:name w:val="页脚 字符"/>
    <w:basedOn w:val="18"/>
    <w:link w:val="11"/>
    <w:qFormat/>
    <w:uiPriority w:val="99"/>
    <w:rPr>
      <w:rFonts w:asciiTheme="minorHAnsi" w:hAnsiTheme="minorHAnsi" w:eastAsiaTheme="minorEastAsia" w:cstheme="minorBidi"/>
      <w:kern w:val="2"/>
      <w:sz w:val="18"/>
      <w:szCs w:val="18"/>
    </w:rPr>
  </w:style>
  <w:style w:type="character" w:customStyle="1" w:styleId="26">
    <w:name w:val="标题 2 字符"/>
    <w:basedOn w:val="18"/>
    <w:link w:val="4"/>
    <w:qFormat/>
    <w:uiPriority w:val="99"/>
    <w:rPr>
      <w:rFonts w:ascii="Calibri Light" w:hAnsi="Calibri Light"/>
      <w:b/>
      <w:bCs/>
      <w:kern w:val="2"/>
      <w:sz w:val="32"/>
      <w:szCs w:val="32"/>
    </w:rPr>
  </w:style>
  <w:style w:type="paragraph" w:customStyle="1" w:styleId="27">
    <w:name w:val="列出段落1"/>
    <w:basedOn w:val="1"/>
    <w:unhideWhenUsed/>
    <w:qFormat/>
    <w:uiPriority w:val="99"/>
    <w:pPr>
      <w:ind w:firstLine="420" w:firstLineChars="200"/>
    </w:pPr>
  </w:style>
  <w:style w:type="character" w:customStyle="1" w:styleId="28">
    <w:name w:val="正文文本缩进 字符"/>
    <w:basedOn w:val="18"/>
    <w:link w:val="8"/>
    <w:qFormat/>
    <w:uiPriority w:val="0"/>
    <w:rPr>
      <w:rFonts w:asciiTheme="minorHAnsi" w:hAnsiTheme="minorHAnsi" w:eastAsiaTheme="minorEastAsia" w:cstheme="minorBidi"/>
      <w:kern w:val="2"/>
      <w:sz w:val="21"/>
      <w:szCs w:val="24"/>
    </w:rPr>
  </w:style>
  <w:style w:type="character" w:customStyle="1" w:styleId="29">
    <w:name w:val="正文文本首行缩进 2 字符"/>
    <w:basedOn w:val="28"/>
    <w:link w:val="15"/>
    <w:qFormat/>
    <w:uiPriority w:val="0"/>
    <w:rPr>
      <w:rFonts w:eastAsia="仿宋_GB2312" w:asciiTheme="minorHAnsi" w:hAnsiTheme="minorHAnsi" w:cstheme="minorBidi"/>
      <w:kern w:val="2"/>
      <w:sz w:val="28"/>
      <w:szCs w:val="24"/>
    </w:rPr>
  </w:style>
  <w:style w:type="character" w:customStyle="1" w:styleId="30">
    <w:name w:val="批注框文本 字符"/>
    <w:basedOn w:val="18"/>
    <w:link w:val="10"/>
    <w:qFormat/>
    <w:uiPriority w:val="0"/>
    <w:rPr>
      <w:rFonts w:asciiTheme="minorHAnsi" w:hAnsiTheme="minorHAnsi" w:eastAsiaTheme="minorEastAsia" w:cstheme="minorBidi"/>
      <w:kern w:val="2"/>
      <w:sz w:val="18"/>
      <w:szCs w:val="18"/>
    </w:rPr>
  </w:style>
  <w:style w:type="character" w:customStyle="1" w:styleId="31">
    <w:name w:val="日期 字符"/>
    <w:basedOn w:val="18"/>
    <w:link w:val="9"/>
    <w:qFormat/>
    <w:uiPriority w:val="0"/>
    <w:rPr>
      <w:rFonts w:asciiTheme="minorHAnsi" w:hAnsiTheme="minorHAnsi" w:eastAsiaTheme="minorEastAsia" w:cstheme="minorBidi"/>
      <w:kern w:val="2"/>
      <w:sz w:val="21"/>
      <w:szCs w:val="24"/>
    </w:rPr>
  </w:style>
  <w:style w:type="paragraph" w:customStyle="1" w:styleId="32">
    <w:name w:val="样式 (西文) 宋体 二号 居中 首行缩进:  2 字符"/>
    <w:basedOn w:val="1"/>
    <w:qFormat/>
    <w:uiPriority w:val="0"/>
    <w:pPr>
      <w:jc w:val="center"/>
    </w:pPr>
    <w:rPr>
      <w:rFonts w:ascii="宋体" w:hAnsi="宋体" w:eastAsia="宋体" w:cs="宋体"/>
      <w:sz w:val="44"/>
      <w:szCs w:val="20"/>
    </w:rPr>
  </w:style>
  <w:style w:type="paragraph" w:customStyle="1" w:styleId="33">
    <w:name w:val="样式 (西文) 黑体 (中文) 黑体 小初 加粗 居中 首行缩进:  0 字符"/>
    <w:basedOn w:val="1"/>
    <w:qFormat/>
    <w:uiPriority w:val="0"/>
    <w:pPr>
      <w:jc w:val="center"/>
    </w:pPr>
    <w:rPr>
      <w:rFonts w:ascii="黑体" w:hAnsi="Times New Roman" w:eastAsia="黑体" w:cs="宋体"/>
      <w:b/>
      <w:bCs/>
      <w:sz w:val="72"/>
      <w:szCs w:val="20"/>
    </w:rPr>
  </w:style>
  <w:style w:type="character" w:customStyle="1" w:styleId="34">
    <w:name w:val="批注文字 字符"/>
    <w:basedOn w:val="18"/>
    <w:link w:val="7"/>
    <w:qFormat/>
    <w:uiPriority w:val="0"/>
    <w:rPr>
      <w:rFonts w:ascii="Calibri" w:hAnsi="Calibri"/>
      <w:kern w:val="2"/>
      <w:sz w:val="21"/>
      <w:szCs w:val="24"/>
    </w:rPr>
  </w:style>
  <w:style w:type="paragraph" w:customStyle="1" w:styleId="35">
    <w:name w:val="列出段落11"/>
    <w:basedOn w:val="1"/>
    <w:qFormat/>
    <w:uiPriority w:val="0"/>
    <w:pPr>
      <w:ind w:firstLine="420" w:firstLineChars="200"/>
    </w:pPr>
    <w:rPr>
      <w:rFonts w:ascii="Calibri" w:hAnsi="Calibri"/>
    </w:rPr>
  </w:style>
  <w:style w:type="paragraph" w:customStyle="1" w:styleId="36">
    <w:name w:val="列出段落12"/>
    <w:basedOn w:val="1"/>
    <w:qFormat/>
    <w:uiPriority w:val="0"/>
    <w:pPr>
      <w:ind w:firstLine="420" w:firstLineChars="200"/>
    </w:pPr>
    <w:rPr>
      <w:rFonts w:ascii="Calibri" w:hAnsi="Calibri" w:cs="Calibri"/>
      <w:szCs w:val="21"/>
    </w:rPr>
  </w:style>
  <w:style w:type="character" w:customStyle="1" w:styleId="37">
    <w:name w:val="批注主题 字符"/>
    <w:basedOn w:val="34"/>
    <w:link w:val="14"/>
    <w:qFormat/>
    <w:uiPriority w:val="0"/>
    <w:rPr>
      <w:rFonts w:asciiTheme="minorHAnsi" w:hAnsiTheme="minorHAnsi" w:eastAsiaTheme="minorEastAsia" w:cstheme="minorBidi"/>
      <w:b/>
      <w:bCs/>
      <w:kern w:val="2"/>
      <w:sz w:val="21"/>
      <w:szCs w:val="24"/>
    </w:rPr>
  </w:style>
  <w:style w:type="paragraph" w:customStyle="1" w:styleId="38">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39">
    <w:name w:val="修订2"/>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40">
    <w:name w:val="doc-header-title"/>
    <w:basedOn w:val="18"/>
    <w:qFormat/>
    <w:uiPriority w:val="0"/>
  </w:style>
  <w:style w:type="character" w:customStyle="1" w:styleId="41">
    <w:name w:val="文档结构图 字符"/>
    <w:basedOn w:val="18"/>
    <w:link w:val="6"/>
    <w:semiHidden/>
    <w:qFormat/>
    <w:uiPriority w:val="0"/>
    <w:rPr>
      <w:rFonts w:ascii="宋体" w:hAnsiTheme="minorHAnsi" w:cstheme="minorBidi"/>
      <w:kern w:val="2"/>
      <w:sz w:val="18"/>
      <w:szCs w:val="18"/>
    </w:rPr>
  </w:style>
  <w:style w:type="paragraph" w:customStyle="1" w:styleId="42">
    <w:name w:val="修订3"/>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3">
    <w:name w:val="修订4"/>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4">
    <w:name w:val="修订5"/>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5">
    <w:name w:val="修订6"/>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6">
    <w:name w:val="修编条文说明"/>
    <w:basedOn w:val="1"/>
    <w:link w:val="47"/>
    <w:qFormat/>
    <w:uiPriority w:val="0"/>
    <w:pPr>
      <w:tabs>
        <w:tab w:val="left" w:pos="709"/>
      </w:tabs>
    </w:pPr>
    <w:rPr>
      <w:rFonts w:ascii="Times New Roman" w:hAnsi="Times New Roman" w:cs="Times New Roman"/>
      <w:i/>
      <w:iCs/>
      <w:color w:val="C00000"/>
    </w:rPr>
  </w:style>
  <w:style w:type="character" w:customStyle="1" w:styleId="47">
    <w:name w:val="条文说明 Char"/>
    <w:link w:val="46"/>
    <w:qFormat/>
    <w:uiPriority w:val="0"/>
    <w:rPr>
      <w:rFonts w:ascii="Times New Roman" w:hAnsi="Times New Roman" w:cs="Times New Roman" w:eastAsiaTheme="minorEastAsia"/>
      <w:i/>
      <w:iCs/>
      <w:color w:val="C00000"/>
      <w:sz w:val="28"/>
    </w:rPr>
  </w:style>
  <w:style w:type="paragraph" w:customStyle="1" w:styleId="48">
    <w:name w:val="修订7"/>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49">
    <w:name w:val="修订8"/>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50">
    <w:name w:val="修订9"/>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51">
    <w:name w:val="原规范条文说明"/>
    <w:basedOn w:val="1"/>
    <w:qFormat/>
    <w:uiPriority w:val="0"/>
    <w:rPr>
      <w:rFonts w:ascii="宋体" w:hAnsi="宋体" w:eastAsia="宋体" w:cs="宋体"/>
      <w:i/>
      <w:color w:val="0070C0"/>
      <w:kern w:val="0"/>
    </w:rPr>
  </w:style>
  <w:style w:type="paragraph" w:customStyle="1" w:styleId="52">
    <w:name w:val="WPSOffice手动目录 1"/>
    <w:qFormat/>
    <w:uiPriority w:val="0"/>
    <w:rPr>
      <w:rFonts w:ascii="Times New Roman" w:hAnsi="Times New Roman" w:eastAsia="宋体" w:cs="Times New Roman"/>
      <w:lang w:val="en-US" w:eastAsia="zh-CN" w:bidi="ar-SA"/>
    </w:rPr>
  </w:style>
  <w:style w:type="paragraph" w:customStyle="1" w:styleId="53">
    <w:name w:val="Revision"/>
    <w:hidden/>
    <w:unhideWhenUsed/>
    <w:qFormat/>
    <w:uiPriority w:val="99"/>
    <w:rPr>
      <w:rFonts w:asciiTheme="minorEastAsia" w:hAnsiTheme="minorEastAsia" w:eastAsiaTheme="minorEastAsia" w:cstheme="minorEastAsia"/>
      <w:color w:val="000000" w:themeColor="text1"/>
      <w:kern w:val="2"/>
      <w:sz w:val="28"/>
      <w:szCs w:val="28"/>
      <w:lang w:val="en-US" w:eastAsia="zh-CN" w:bidi="ar-SA"/>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e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30</Pages>
  <Words>8385</Words>
  <Characters>10506</Characters>
  <Lines>148</Lines>
  <Paragraphs>41</Paragraphs>
  <TotalTime>21</TotalTime>
  <ScaleCrop>false</ScaleCrop>
  <LinksUpToDate>false</LinksUpToDate>
  <CharactersWithSpaces>11344</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2024-02-05T21:49:00Z</dcterms:created>
  <dc:creator>云未染</dc:creator>
  <cp:lastModifiedBy>ying123lin163com</cp:lastModifiedBy>
  <cp:lastPrinted>2021-03-19T23:53:00Z</cp:lastPrinted>
  <dcterms:modified xsi:type="dcterms:W3CDTF">2024-12-16T02:33:34Z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AA28CF82D2184D59BAA8CA959FA97D66_13</vt:lpwstr>
  </property>
</Properties>
</file>