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华文中宋" w:hAnsi="华文中宋" w:eastAsia="华文中宋"/>
          <w:color w:val="000000"/>
          <w:sz w:val="36"/>
          <w:szCs w:val="36"/>
        </w:rPr>
      </w:pPr>
      <w:r>
        <w:rPr>
          <w:rFonts w:hint="eastAsia" w:ascii="黑体" w:hAnsi="黑体" w:eastAsia="黑体" w:cs="黑体"/>
          <w:color w:val="000000"/>
        </w:rPr>
        <w:t>安徽省地方标准编制说明</w:t>
      </w:r>
    </w:p>
    <w:tbl>
      <w:tblPr>
        <w:tblStyle w:val="7"/>
        <w:tblW w:w="95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5"/>
        <w:gridCol w:w="79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25" w:type="dxa"/>
            <w:vAlign w:val="center"/>
          </w:tcPr>
          <w:p>
            <w:pPr>
              <w:pStyle w:val="11"/>
              <w:adjustRightInd w:val="0"/>
              <w:spacing w:line="360" w:lineRule="auto"/>
              <w:ind w:firstLine="0" w:firstLineChars="0"/>
              <w:contextualSpacing/>
              <w:jc w:val="center"/>
              <w:rPr>
                <w:rFonts w:hint="eastAsia" w:hAnsi="宋体"/>
                <w:szCs w:val="21"/>
                <w:u w:val="none"/>
              </w:rPr>
            </w:pPr>
            <w:r>
              <w:rPr>
                <w:rFonts w:hint="eastAsia" w:hAnsi="宋体"/>
                <w:szCs w:val="21"/>
                <w:u w:val="none"/>
              </w:rPr>
              <w:t>标准名称</w:t>
            </w:r>
          </w:p>
        </w:tc>
        <w:tc>
          <w:tcPr>
            <w:tcW w:w="7945" w:type="dxa"/>
            <w:vAlign w:val="center"/>
          </w:tcPr>
          <w:p>
            <w:pPr>
              <w:pStyle w:val="11"/>
              <w:adjustRightInd w:val="0"/>
              <w:spacing w:line="360" w:lineRule="auto"/>
              <w:ind w:firstLine="0" w:firstLineChars="0"/>
              <w:contextualSpacing/>
              <w:rPr>
                <w:rFonts w:hint="eastAsia" w:hAnsi="宋体"/>
                <w:szCs w:val="21"/>
                <w:u w:val="none"/>
              </w:rPr>
            </w:pPr>
            <w:r>
              <w:rPr>
                <w:rFonts w:hint="eastAsia" w:hAnsi="宋体" w:cs="宋体"/>
                <w:szCs w:val="21"/>
                <w:u w:val="none"/>
              </w:rPr>
              <w:t>《养老服务设施规划建设标准》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25" w:type="dxa"/>
            <w:vAlign w:val="center"/>
          </w:tcPr>
          <w:p>
            <w:pPr>
              <w:pStyle w:val="11"/>
              <w:adjustRightInd w:val="0"/>
              <w:spacing w:line="360" w:lineRule="auto"/>
              <w:ind w:firstLine="0" w:firstLineChars="0"/>
              <w:contextualSpacing/>
              <w:jc w:val="center"/>
              <w:rPr>
                <w:rFonts w:hint="eastAsia" w:hAnsi="宋体"/>
                <w:szCs w:val="21"/>
                <w:u w:val="none"/>
              </w:rPr>
            </w:pPr>
            <w:r>
              <w:rPr>
                <w:rFonts w:hint="eastAsia" w:hAnsi="宋体"/>
                <w:szCs w:val="21"/>
                <w:u w:val="none"/>
              </w:rPr>
              <w:t>任务来源</w:t>
            </w:r>
          </w:p>
          <w:p>
            <w:pPr>
              <w:pStyle w:val="11"/>
              <w:adjustRightInd w:val="0"/>
              <w:spacing w:line="360" w:lineRule="auto"/>
              <w:ind w:firstLine="0" w:firstLineChars="0"/>
              <w:contextualSpacing/>
              <w:jc w:val="center"/>
              <w:rPr>
                <w:rFonts w:hint="eastAsia" w:hAnsi="宋体"/>
                <w:szCs w:val="21"/>
                <w:u w:val="none"/>
              </w:rPr>
            </w:pPr>
            <w:r>
              <w:rPr>
                <w:rFonts w:hint="eastAsia" w:hAnsi="宋体"/>
                <w:szCs w:val="21"/>
                <w:u w:val="none"/>
              </w:rPr>
              <w:t>（项目计划号）</w:t>
            </w:r>
          </w:p>
        </w:tc>
        <w:tc>
          <w:tcPr>
            <w:tcW w:w="7945" w:type="dxa"/>
            <w:vAlign w:val="center"/>
          </w:tcPr>
          <w:p>
            <w:pPr>
              <w:pStyle w:val="11"/>
              <w:adjustRightInd w:val="0"/>
              <w:spacing w:line="360" w:lineRule="auto"/>
              <w:ind w:firstLine="0" w:firstLineChars="0"/>
              <w:contextualSpacing/>
              <w:rPr>
                <w:rFonts w:hint="eastAsia" w:hAnsi="宋体"/>
                <w:szCs w:val="21"/>
                <w:u w:val="none"/>
              </w:rPr>
            </w:pPr>
            <w:r>
              <w:rPr>
                <w:rFonts w:hint="eastAsia" w:hAnsi="宋体"/>
                <w:szCs w:val="21"/>
                <w:u w:val="none"/>
              </w:rPr>
              <w:t>《安徽省市场监督管理局关于下达2023年第一批安徽省地方标准制修订计划的通知》（皖市监函〔2023〕414号），项目计划号：2</w:t>
            </w:r>
            <w:r>
              <w:rPr>
                <w:rFonts w:hAnsi="宋体"/>
                <w:szCs w:val="21"/>
                <w:u w:val="none"/>
              </w:rPr>
              <w:t>0</w:t>
            </w:r>
            <w:r>
              <w:rPr>
                <w:rFonts w:hint="eastAsia" w:hAnsi="宋体"/>
                <w:szCs w:val="21"/>
                <w:u w:val="none"/>
              </w:rPr>
              <w:t>23-1-5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25" w:type="dxa"/>
            <w:vAlign w:val="center"/>
          </w:tcPr>
          <w:p>
            <w:pPr>
              <w:pStyle w:val="11"/>
              <w:adjustRightInd w:val="0"/>
              <w:spacing w:line="360" w:lineRule="auto"/>
              <w:ind w:firstLine="0" w:firstLineChars="0"/>
              <w:contextualSpacing/>
              <w:jc w:val="center"/>
              <w:rPr>
                <w:rFonts w:hint="eastAsia" w:hAnsi="宋体"/>
                <w:szCs w:val="21"/>
                <w:u w:val="none"/>
              </w:rPr>
            </w:pPr>
            <w:r>
              <w:rPr>
                <w:rFonts w:hint="eastAsia" w:hAnsi="宋体"/>
                <w:szCs w:val="21"/>
                <w:u w:val="none"/>
              </w:rPr>
              <w:t>第一起草单位</w:t>
            </w:r>
          </w:p>
        </w:tc>
        <w:tc>
          <w:tcPr>
            <w:tcW w:w="7945" w:type="dxa"/>
            <w:vAlign w:val="center"/>
          </w:tcPr>
          <w:p>
            <w:pPr>
              <w:pStyle w:val="11"/>
              <w:adjustRightInd w:val="0"/>
              <w:spacing w:line="360" w:lineRule="auto"/>
              <w:ind w:firstLine="0" w:firstLineChars="0"/>
              <w:contextualSpacing/>
              <w:rPr>
                <w:rFonts w:hint="eastAsia" w:hAnsi="宋体"/>
                <w:szCs w:val="21"/>
                <w:u w:val="none"/>
              </w:rPr>
            </w:pPr>
            <w:r>
              <w:rPr>
                <w:rFonts w:hint="eastAsia" w:hAnsi="宋体" w:cs="宋体"/>
                <w:szCs w:val="21"/>
                <w:u w:val="none"/>
              </w:rPr>
              <w:t>安徽省城乡规划设计研究院有限公司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25" w:type="dxa"/>
            <w:vAlign w:val="center"/>
          </w:tcPr>
          <w:p>
            <w:pPr>
              <w:pStyle w:val="11"/>
              <w:adjustRightInd w:val="0"/>
              <w:spacing w:line="360" w:lineRule="auto"/>
              <w:ind w:firstLine="0" w:firstLineChars="0"/>
              <w:contextualSpacing/>
              <w:jc w:val="center"/>
              <w:rPr>
                <w:rFonts w:hint="eastAsia" w:hAnsi="宋体"/>
                <w:szCs w:val="21"/>
                <w:u w:val="none"/>
              </w:rPr>
            </w:pPr>
            <w:r>
              <w:rPr>
                <w:rFonts w:hint="eastAsia" w:hAnsi="宋体"/>
                <w:szCs w:val="21"/>
                <w:u w:val="none"/>
              </w:rPr>
              <w:t>单位地址</w:t>
            </w:r>
          </w:p>
        </w:tc>
        <w:tc>
          <w:tcPr>
            <w:tcW w:w="7945" w:type="dxa"/>
            <w:vAlign w:val="center"/>
          </w:tcPr>
          <w:p>
            <w:pPr>
              <w:pStyle w:val="11"/>
              <w:adjustRightInd w:val="0"/>
              <w:spacing w:line="360" w:lineRule="auto"/>
              <w:ind w:firstLine="0" w:firstLineChars="0"/>
              <w:contextualSpacing/>
              <w:rPr>
                <w:rFonts w:hint="eastAsia" w:hAnsi="宋体"/>
                <w:szCs w:val="21"/>
                <w:u w:val="none"/>
              </w:rPr>
            </w:pPr>
            <w:r>
              <w:rPr>
                <w:rFonts w:hint="eastAsia" w:hAnsi="宋体" w:cs="宋体"/>
                <w:szCs w:val="21"/>
                <w:u w:val="none"/>
              </w:rPr>
              <w:t>合肥市包河区桐城南路363号</w:t>
            </w:r>
            <w:bookmarkStart w:id="87" w:name="_GoBack"/>
            <w:bookmarkEnd w:id="8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25" w:type="dxa"/>
            <w:vAlign w:val="center"/>
          </w:tcPr>
          <w:p>
            <w:pPr>
              <w:pStyle w:val="11"/>
              <w:adjustRightInd w:val="0"/>
              <w:spacing w:line="360" w:lineRule="auto"/>
              <w:ind w:firstLine="0" w:firstLineChars="0"/>
              <w:contextualSpacing/>
              <w:jc w:val="center"/>
              <w:rPr>
                <w:rFonts w:hint="eastAsia" w:hAnsi="宋体"/>
                <w:szCs w:val="21"/>
                <w:u w:val="none"/>
              </w:rPr>
            </w:pPr>
            <w:r>
              <w:rPr>
                <w:rFonts w:hint="eastAsia" w:hAnsi="宋体"/>
                <w:szCs w:val="21"/>
                <w:u w:val="none"/>
              </w:rPr>
              <w:t>参与起草单位</w:t>
            </w:r>
          </w:p>
        </w:tc>
        <w:tc>
          <w:tcPr>
            <w:tcW w:w="7945" w:type="dxa"/>
            <w:vAlign w:val="center"/>
          </w:tcPr>
          <w:p>
            <w:pPr>
              <w:rPr>
                <w:rFonts w:hint="eastAsia" w:ascii="宋体" w:hAnsi="宋体"/>
                <w:u w:val="none"/>
              </w:rPr>
            </w:pPr>
            <w:r>
              <w:rPr>
                <w:rFonts w:hint="eastAsia" w:ascii="宋体" w:hAnsi="宋体" w:cs="宋体"/>
                <w:u w:val="none"/>
              </w:rPr>
              <w:t>安徽省国土空间规划研究院</w:t>
            </w:r>
            <w:r>
              <w:rPr>
                <w:rFonts w:hint="eastAsia" w:ascii="宋体" w:hAnsi="宋体" w:cs="宋体"/>
                <w:u w:val="none"/>
                <w:lang w:eastAsia="zh-CN"/>
              </w:rPr>
              <w:t>、</w:t>
            </w:r>
            <w:r>
              <w:rPr>
                <w:rFonts w:hint="eastAsia" w:ascii="宋体" w:hAnsi="宋体" w:cs="宋体"/>
                <w:u w:val="none"/>
              </w:rPr>
              <w:t>安徽省建筑设计研究总院股份有限公司、中合一工程设计有限公司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2"/>
            <w:vAlign w:val="center"/>
          </w:tcPr>
          <w:p>
            <w:pPr>
              <w:pStyle w:val="11"/>
              <w:adjustRightInd w:val="0"/>
              <w:spacing w:line="360" w:lineRule="auto"/>
              <w:ind w:firstLine="0" w:firstLineChars="0"/>
              <w:contextualSpacing/>
              <w:jc w:val="center"/>
              <w:rPr>
                <w:rFonts w:hint="eastAsia" w:hAnsi="宋体"/>
                <w:szCs w:val="21"/>
              </w:rPr>
            </w:pPr>
            <w:r>
              <w:rPr>
                <w:rFonts w:hint="eastAsia" w:hAnsi="宋体"/>
                <w:b/>
                <w:bCs/>
                <w:szCs w:val="21"/>
              </w:rPr>
              <w:t>编制情况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2"/>
            <w:vAlign w:val="center"/>
          </w:tcPr>
          <w:p>
            <w:pPr>
              <w:pStyle w:val="11"/>
              <w:adjustRightInd w:val="0"/>
              <w:spacing w:line="360" w:lineRule="auto"/>
              <w:ind w:firstLine="0" w:firstLineChars="0"/>
              <w:contextualSpacing/>
              <w:rPr>
                <w:rFonts w:hint="eastAsia" w:hAnsi="宋体"/>
                <w:szCs w:val="21"/>
              </w:rPr>
            </w:pPr>
            <w:r>
              <w:rPr>
                <w:rFonts w:hint="eastAsia" w:hAnsi="宋体"/>
                <w:b/>
                <w:bCs/>
                <w:szCs w:val="21"/>
              </w:rPr>
              <w:t>1、编制过程简介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2"/>
            <w:vAlign w:val="center"/>
          </w:tcPr>
          <w:p>
            <w:pPr>
              <w:pStyle w:val="11"/>
              <w:adjustRightInd w:val="0"/>
              <w:spacing w:line="360" w:lineRule="auto"/>
              <w:contextualSpacing/>
              <w:rPr>
                <w:rFonts w:hint="eastAsia" w:hAnsi="宋体"/>
              </w:rPr>
            </w:pPr>
            <w:r>
              <w:rPr>
                <w:rFonts w:hint="eastAsia"/>
                <w:szCs w:val="21"/>
              </w:rPr>
              <w:t>2023年10月28日，召开</w:t>
            </w:r>
            <w:r>
              <w:rPr>
                <w:rFonts w:hint="eastAsia" w:hAnsi="宋体"/>
              </w:rPr>
              <w:t>大纲编制专家讨论会；</w:t>
            </w:r>
          </w:p>
          <w:p>
            <w:pPr>
              <w:pStyle w:val="11"/>
              <w:adjustRightInd w:val="0"/>
              <w:spacing w:line="360" w:lineRule="auto"/>
              <w:contextualSpacing/>
            </w:pPr>
            <w:r>
              <w:rPr>
                <w:rFonts w:hint="eastAsia" w:hAnsi="宋体"/>
              </w:rPr>
              <w:t>2</w:t>
            </w:r>
            <w:r>
              <w:rPr>
                <w:rFonts w:hAnsi="宋体"/>
              </w:rPr>
              <w:t>02</w:t>
            </w:r>
            <w:r>
              <w:rPr>
                <w:rFonts w:hint="eastAsia" w:hAnsi="宋体"/>
              </w:rPr>
              <w:t>3年11月10日，</w:t>
            </w:r>
            <w:r>
              <w:rPr>
                <w:rFonts w:hint="eastAsia"/>
                <w:szCs w:val="21"/>
              </w:rPr>
              <w:t>召开</w:t>
            </w:r>
            <w:r>
              <w:rPr>
                <w:rFonts w:hint="eastAsia"/>
              </w:rPr>
              <w:t>主、参编单位全体会议，全体编制组成员共同讨论项目进程、项目计划安排及项目大纲初步成果等；</w:t>
            </w:r>
          </w:p>
          <w:p>
            <w:pPr>
              <w:pStyle w:val="11"/>
              <w:adjustRightInd w:val="0"/>
              <w:spacing w:line="360" w:lineRule="auto"/>
              <w:contextualSpacing/>
            </w:pPr>
            <w:r>
              <w:rPr>
                <w:rFonts w:hint="eastAsia"/>
              </w:rPr>
              <w:t>2</w:t>
            </w:r>
            <w:r>
              <w:t>02</w:t>
            </w:r>
            <w:r>
              <w:rPr>
                <w:rFonts w:hint="eastAsia"/>
              </w:rPr>
              <w:t>4年11月18日，</w:t>
            </w:r>
            <w:r>
              <w:rPr>
                <w:rFonts w:hint="eastAsia"/>
                <w:szCs w:val="21"/>
              </w:rPr>
              <w:t>召开</w:t>
            </w:r>
            <w:r>
              <w:rPr>
                <w:rFonts w:hint="eastAsia" w:hAnsi="宋体"/>
              </w:rPr>
              <w:t>编制组讨论会，形成标准草案；</w:t>
            </w:r>
          </w:p>
          <w:p>
            <w:pPr>
              <w:pStyle w:val="11"/>
              <w:adjustRightInd w:val="0"/>
              <w:spacing w:line="360" w:lineRule="auto"/>
              <w:contextualSpacing/>
            </w:pPr>
            <w:r>
              <w:rPr>
                <w:rFonts w:hint="eastAsia"/>
              </w:rPr>
              <w:t>2</w:t>
            </w:r>
            <w:r>
              <w:t>02</w:t>
            </w:r>
            <w:r>
              <w:rPr>
                <w:rFonts w:hint="eastAsia"/>
              </w:rPr>
              <w:t>4年12月3日，</w:t>
            </w:r>
            <w:r>
              <w:rPr>
                <w:rFonts w:hint="eastAsia" w:hAnsi="宋体"/>
              </w:rPr>
              <w:t>召开</w:t>
            </w:r>
            <w:r>
              <w:rPr>
                <w:rFonts w:hint="eastAsia"/>
              </w:rPr>
              <w:t>草案</w:t>
            </w:r>
            <w:r>
              <w:rPr>
                <w:rFonts w:hint="eastAsia" w:hAnsi="宋体"/>
              </w:rPr>
              <w:t>专家论证会，</w:t>
            </w:r>
            <w:r>
              <w:rPr>
                <w:rFonts w:hint="eastAsia"/>
              </w:rPr>
              <w:t>会议邀请相关专家共同探讨标准草案成果，</w:t>
            </w:r>
            <w:r>
              <w:rPr>
                <w:rFonts w:hint="eastAsia" w:hAnsi="宋体" w:cs="宋体"/>
                <w:szCs w:val="21"/>
              </w:rPr>
              <w:t>经充分讨论，同意初稿通过论证，修改完善后形成征求意见稿。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2"/>
            <w:vAlign w:val="center"/>
          </w:tcPr>
          <w:p>
            <w:pPr>
              <w:pStyle w:val="11"/>
              <w:adjustRightInd w:val="0"/>
              <w:spacing w:line="360" w:lineRule="auto"/>
              <w:ind w:firstLine="0" w:firstLineChars="0"/>
              <w:contextualSpacing/>
              <w:rPr>
                <w:rFonts w:hint="eastAsia" w:hAnsi="宋体"/>
                <w:szCs w:val="21"/>
              </w:rPr>
            </w:pPr>
            <w:r>
              <w:rPr>
                <w:rFonts w:hint="eastAsia" w:hAnsi="宋体"/>
                <w:b/>
                <w:bCs/>
                <w:szCs w:val="21"/>
              </w:rPr>
              <w:t>2、制定标准的必要性和意义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2"/>
            <w:vAlign w:val="center"/>
          </w:tcPr>
          <w:p>
            <w:pPr>
              <w:ind w:firstLine="420" w:firstLineChars="200"/>
            </w:pPr>
            <w:r>
              <w:rPr>
                <w:rFonts w:hint="eastAsia"/>
                <w:color w:val="000000"/>
                <w:kern w:val="0"/>
              </w:rPr>
              <w:t>《养老服务设施规划建设标准》DB34/T3943-2021自发布以来，有效引导了相关政策文件的制定，随着国家最新政策文件的出台及安徽省老龄化形式的变化，</w:t>
            </w:r>
            <w:r>
              <w:rPr>
                <w:rFonts w:hint="eastAsia"/>
              </w:rPr>
              <w:t>养老事业面临新形势、新问题和新要求。</w:t>
            </w:r>
          </w:p>
          <w:p>
            <w:pPr>
              <w:ind w:firstLine="420" w:firstLineChars="200"/>
              <w:rPr>
                <w:rFonts w:hint="eastAsia"/>
                <w:color w:val="000000"/>
                <w:kern w:val="0"/>
              </w:rPr>
            </w:pPr>
            <w:r>
              <w:rPr>
                <w:rFonts w:hint="eastAsia"/>
                <w:color w:val="000000"/>
                <w:kern w:val="0"/>
              </w:rPr>
              <w:t>（1）提供在养老服务设施规划建设方面的技术支持，统一建设标准、目标和建设方式，进一步推动安徽省养老服务设施建设；</w:t>
            </w:r>
          </w:p>
          <w:p>
            <w:pPr>
              <w:ind w:firstLine="420" w:firstLineChars="200"/>
              <w:rPr>
                <w:rFonts w:hint="eastAsia"/>
                <w:color w:val="000000"/>
                <w:kern w:val="0"/>
              </w:rPr>
            </w:pPr>
            <w:r>
              <w:rPr>
                <w:rFonts w:hint="eastAsia"/>
                <w:color w:val="000000"/>
                <w:kern w:val="0"/>
              </w:rPr>
              <w:t>（2）健全安徽省养老服务体系建设，满足老年人多样化、多层次的养老服务需求，提高老年人生活质量，促进社会和谐发展。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2"/>
            <w:vAlign w:val="center"/>
          </w:tcPr>
          <w:p>
            <w:pPr>
              <w:pStyle w:val="11"/>
              <w:adjustRightInd w:val="0"/>
              <w:spacing w:line="360" w:lineRule="auto"/>
              <w:ind w:firstLine="0" w:firstLineChars="0"/>
              <w:contextualSpacing/>
              <w:rPr>
                <w:rFonts w:hint="eastAsia" w:hAnsi="宋体"/>
                <w:szCs w:val="21"/>
              </w:rPr>
            </w:pPr>
            <w:r>
              <w:rPr>
                <w:rFonts w:hint="eastAsia" w:hAnsi="宋体"/>
                <w:b/>
                <w:bCs/>
                <w:szCs w:val="21"/>
              </w:rPr>
              <w:t>3、制定标准的原则和依据，与现行法律法规、标准的关系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2"/>
            <w:vAlign w:val="center"/>
          </w:tcPr>
          <w:p>
            <w:pPr>
              <w:ind w:firstLine="561"/>
              <w:rPr>
                <w:rFonts w:hint="eastAsia" w:ascii="宋体" w:hAnsi="宋体"/>
                <w:kern w:val="0"/>
              </w:rPr>
            </w:pPr>
            <w:r>
              <w:rPr>
                <w:rFonts w:hint="eastAsia" w:ascii="宋体" w:hAnsi="宋体"/>
                <w:kern w:val="0"/>
              </w:rPr>
              <w:t>落实《国务院办公厅关于转发国家发展改革委〈城市社区嵌入式服务设施建设工程实施方案〉的通知》（国办函〔2023〕121 号）《住建部、发改委、民政部办公厅关于推动城市居住区养老服务设施建设的通知》（建办科〔2022〕47号）《安徽省养老服务条例》《安徽省城市居住区配套建设养老服务设施实施细则》（建标〔2022〕60号）《安徽省促进养老托育服务健康发展实施方案》《社区嵌入式养老服务机构（综合体）建设指引（试行）》（皖民养老函〔2023〕240号）《发展社区嵌入式养老服务机构（综合体）实施方案》（皖民养老函〔2024〕130号）等文件要求，在原标准基础上，结合国家养老新形势、新要求，提出局部修订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2"/>
            <w:vAlign w:val="center"/>
          </w:tcPr>
          <w:p>
            <w:pPr>
              <w:pStyle w:val="11"/>
              <w:adjustRightInd w:val="0"/>
              <w:spacing w:line="360" w:lineRule="auto"/>
              <w:ind w:firstLine="0" w:firstLineChars="0"/>
              <w:contextualSpacing/>
              <w:rPr>
                <w:rFonts w:hint="eastAsia" w:hAnsi="宋体"/>
                <w:szCs w:val="21"/>
              </w:rPr>
            </w:pPr>
            <w:r>
              <w:rPr>
                <w:rFonts w:hint="eastAsia" w:hAnsi="宋体"/>
                <w:b/>
                <w:bCs/>
                <w:szCs w:val="21"/>
              </w:rPr>
              <w:t>4、主要条款的说明，主要技术指标、参数、试验验证的论述（详细说明）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2"/>
            <w:vAlign w:val="center"/>
          </w:tcPr>
          <w:p>
            <w:pPr>
              <w:ind w:firstLine="454"/>
              <w:rPr>
                <w:rFonts w:ascii="宋体" w:hAnsi="宋体"/>
                <w:kern w:val="0"/>
              </w:rPr>
            </w:pPr>
            <w:r>
              <w:rPr>
                <w:rFonts w:hint="eastAsia" w:ascii="宋体" w:hAnsi="宋体"/>
                <w:kern w:val="0"/>
              </w:rPr>
              <w:t>《养老服务设施规划建设标准》包括6章，主要内容包括：1总则；2术语；3分类分级配置要求；4布局与选址；5场地规划；6房屋建筑。每章的编制情况说明如下：</w:t>
            </w:r>
          </w:p>
          <w:p>
            <w:pPr>
              <w:ind w:firstLine="454"/>
              <w:rPr>
                <w:rFonts w:hint="eastAsia" w:ascii="宋体" w:hAnsi="宋体"/>
                <w:b/>
                <w:bCs/>
                <w:kern w:val="0"/>
              </w:rPr>
            </w:pPr>
            <w:r>
              <w:rPr>
                <w:rFonts w:hint="eastAsia" w:ascii="宋体" w:hAnsi="宋体"/>
                <w:b/>
                <w:bCs/>
                <w:kern w:val="0"/>
              </w:rPr>
              <w:t>第1章：总则</w:t>
            </w:r>
          </w:p>
          <w:p>
            <w:pPr>
              <w:ind w:firstLine="454"/>
              <w:rPr>
                <w:rFonts w:hint="eastAsia" w:ascii="宋体" w:hAnsi="宋体"/>
                <w:kern w:val="0"/>
              </w:rPr>
            </w:pPr>
            <w:r>
              <w:rPr>
                <w:rFonts w:hint="eastAsia" w:ascii="宋体" w:hAnsi="宋体"/>
                <w:kern w:val="0"/>
              </w:rPr>
              <w:t>本章对规范制定的目的和意义进行了阐述，对规范的适用范围进行了规定。</w:t>
            </w:r>
          </w:p>
          <w:p>
            <w:pPr>
              <w:ind w:firstLine="454"/>
              <w:rPr>
                <w:rFonts w:hint="eastAsia" w:ascii="宋体" w:hAnsi="宋体"/>
                <w:b/>
                <w:bCs/>
                <w:kern w:val="0"/>
              </w:rPr>
            </w:pPr>
            <w:r>
              <w:rPr>
                <w:rFonts w:hint="eastAsia" w:ascii="宋体" w:hAnsi="宋体"/>
                <w:b/>
                <w:bCs/>
                <w:kern w:val="0"/>
              </w:rPr>
              <w:t>第2章：术语</w:t>
            </w:r>
          </w:p>
          <w:p>
            <w:pPr>
              <w:ind w:firstLine="454"/>
              <w:rPr>
                <w:rFonts w:hint="eastAsia" w:ascii="宋体" w:hAnsi="宋体"/>
                <w:kern w:val="0"/>
              </w:rPr>
            </w:pPr>
            <w:r>
              <w:rPr>
                <w:rFonts w:hint="eastAsia" w:ascii="宋体" w:hAnsi="宋体"/>
                <w:kern w:val="0"/>
              </w:rPr>
              <w:t>本章对养老服务设施的一些重要术语进行了定义。所列术语主要有老年人、养老服务设施、养老机构、社区嵌入式养老服务机构（综合体）</w:t>
            </w:r>
            <w:r>
              <w:rPr>
                <w:rFonts w:ascii="宋体" w:hAnsi="宋体"/>
                <w:kern w:val="0"/>
              </w:rPr>
              <w:t>等</w:t>
            </w:r>
            <w:r>
              <w:rPr>
                <w:rFonts w:hint="eastAsia" w:ascii="宋体" w:hAnsi="宋体"/>
                <w:kern w:val="0"/>
              </w:rPr>
              <w:t>。</w:t>
            </w:r>
          </w:p>
          <w:p>
            <w:pPr>
              <w:ind w:firstLine="454"/>
              <w:rPr>
                <w:rFonts w:hint="eastAsia" w:ascii="宋体" w:hAnsi="宋体"/>
                <w:b/>
                <w:bCs/>
                <w:kern w:val="0"/>
              </w:rPr>
            </w:pPr>
            <w:r>
              <w:rPr>
                <w:rFonts w:hint="eastAsia" w:ascii="宋体" w:hAnsi="宋体"/>
                <w:b/>
                <w:bCs/>
                <w:kern w:val="0"/>
              </w:rPr>
              <w:t>第3章：分类及配置要求</w:t>
            </w:r>
          </w:p>
          <w:p>
            <w:pPr>
              <w:ind w:firstLine="422" w:firstLineChars="200"/>
              <w:jc w:val="center"/>
              <w:rPr>
                <w:rFonts w:ascii="宋体" w:hAnsi="宋体"/>
                <w:b/>
                <w:bCs/>
                <w:kern w:val="0"/>
              </w:rPr>
            </w:pPr>
            <w:r>
              <w:rPr>
                <w:rFonts w:hint="eastAsia" w:ascii="宋体" w:hAnsi="宋体"/>
                <w:b/>
                <w:bCs/>
                <w:kern w:val="0"/>
              </w:rPr>
              <w:t>3.1 分 类</w:t>
            </w:r>
          </w:p>
          <w:p>
            <w:pPr>
              <w:ind w:firstLine="420" w:firstLineChars="200"/>
              <w:rPr>
                <w:rFonts w:ascii="宋体" w:hAnsi="宋体"/>
                <w:kern w:val="0"/>
              </w:rPr>
            </w:pPr>
            <w:r>
              <w:rPr>
                <w:rFonts w:hint="eastAsia" w:ascii="宋体" w:hAnsi="宋体"/>
                <w:kern w:val="0"/>
              </w:rPr>
              <w:t>3.1.1  养老服务设施按养老模式、服务内容和服务形式分为机构养老服务设施和社区养老服务设施两类。</w:t>
            </w:r>
          </w:p>
          <w:p>
            <w:pPr>
              <w:ind w:firstLine="420" w:firstLineChars="200"/>
              <w:rPr>
                <w:rFonts w:ascii="宋体" w:hAnsi="宋体"/>
                <w:kern w:val="0"/>
              </w:rPr>
            </w:pPr>
            <w:r>
              <w:rPr>
                <w:rFonts w:hint="eastAsia" w:ascii="宋体" w:hAnsi="宋体"/>
                <w:kern w:val="0"/>
              </w:rPr>
              <w:t>3.1.2  养老服务设施分类配建应符合表3.1.2的规定。</w:t>
            </w:r>
          </w:p>
          <w:p>
            <w:pPr>
              <w:spacing w:line="360" w:lineRule="auto"/>
              <w:ind w:firstLine="420" w:firstLineChars="200"/>
              <w:jc w:val="center"/>
              <w:rPr>
                <w:rFonts w:ascii="宋体" w:hAnsi="宋体" w:cs="宋体"/>
                <w:szCs w:val="24"/>
              </w:rPr>
            </w:pPr>
            <w:r>
              <w:rPr>
                <w:rFonts w:hint="eastAsia" w:ascii="宋体" w:hAnsi="宋体" w:cs="宋体"/>
                <w:szCs w:val="24"/>
              </w:rPr>
              <w:t>表3.1.2 养老服务设施分类配建表</w:t>
            </w:r>
          </w:p>
          <w:tbl>
            <w:tblPr>
              <w:tblStyle w:val="7"/>
              <w:tblW w:w="4991"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662"/>
              <w:gridCol w:w="2167"/>
              <w:gridCol w:w="1394"/>
              <w:gridCol w:w="1703"/>
              <w:gridCol w:w="238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21" w:hRule="atLeast"/>
                <w:jc w:val="center"/>
              </w:trPr>
              <w:tc>
                <w:tcPr>
                  <w:tcW w:w="893" w:type="pct"/>
                  <w:vMerge w:val="restart"/>
                  <w:vAlign w:val="center"/>
                </w:tcPr>
                <w:p>
                  <w:pPr>
                    <w:jc w:val="center"/>
                    <w:rPr>
                      <w:rFonts w:hint="eastAsia" w:ascii="宋体" w:hAnsi="宋体" w:cs="宋体"/>
                      <w:b/>
                      <w:bCs/>
                      <w:sz w:val="18"/>
                    </w:rPr>
                  </w:pPr>
                  <w:r>
                    <w:rPr>
                      <w:rFonts w:hint="eastAsia" w:ascii="宋体" w:hAnsi="宋体" w:cs="宋体"/>
                      <w:b/>
                      <w:bCs/>
                      <w:sz w:val="18"/>
                    </w:rPr>
                    <w:t>服务区域</w:t>
                  </w:r>
                </w:p>
              </w:tc>
              <w:tc>
                <w:tcPr>
                  <w:tcW w:w="1164" w:type="pct"/>
                  <w:vAlign w:val="center"/>
                </w:tcPr>
                <w:p>
                  <w:pPr>
                    <w:jc w:val="center"/>
                    <w:rPr>
                      <w:rFonts w:hint="eastAsia" w:ascii="宋体" w:hAnsi="宋体" w:cs="宋体"/>
                      <w:b/>
                      <w:bCs/>
                      <w:sz w:val="18"/>
                    </w:rPr>
                  </w:pPr>
                  <w:r>
                    <w:rPr>
                      <w:rFonts w:hint="eastAsia" w:ascii="宋体" w:hAnsi="宋体" w:cs="宋体"/>
                      <w:b/>
                      <w:bCs/>
                      <w:sz w:val="18"/>
                    </w:rPr>
                    <w:t>机构养老服务设施</w:t>
                  </w:r>
                </w:p>
              </w:tc>
              <w:tc>
                <w:tcPr>
                  <w:tcW w:w="2943" w:type="pct"/>
                  <w:gridSpan w:val="3"/>
                  <w:vAlign w:val="center"/>
                </w:tcPr>
                <w:p>
                  <w:pPr>
                    <w:jc w:val="center"/>
                    <w:rPr>
                      <w:rFonts w:hint="eastAsia" w:ascii="宋体" w:hAnsi="宋体" w:cs="宋体"/>
                      <w:b/>
                      <w:bCs/>
                      <w:sz w:val="18"/>
                    </w:rPr>
                  </w:pPr>
                  <w:r>
                    <w:rPr>
                      <w:rFonts w:hint="eastAsia" w:ascii="宋体" w:hAnsi="宋体" w:cs="宋体"/>
                      <w:b/>
                      <w:bCs/>
                      <w:sz w:val="18"/>
                    </w:rPr>
                    <w:t>社区养老服务设施</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0" w:hRule="atLeast"/>
                <w:jc w:val="center"/>
              </w:trPr>
              <w:tc>
                <w:tcPr>
                  <w:tcW w:w="893" w:type="pct"/>
                  <w:vMerge w:val="continue"/>
                  <w:vAlign w:val="center"/>
                </w:tcPr>
                <w:p>
                  <w:pPr>
                    <w:jc w:val="center"/>
                    <w:rPr>
                      <w:rFonts w:hint="eastAsia" w:ascii="宋体" w:hAnsi="宋体" w:cs="宋体"/>
                      <w:b/>
                      <w:bCs/>
                      <w:sz w:val="18"/>
                    </w:rPr>
                  </w:pPr>
                </w:p>
              </w:tc>
              <w:tc>
                <w:tcPr>
                  <w:tcW w:w="1164" w:type="pct"/>
                  <w:vAlign w:val="center"/>
                </w:tcPr>
                <w:p>
                  <w:pPr>
                    <w:autoSpaceDE w:val="0"/>
                    <w:autoSpaceDN w:val="0"/>
                    <w:spacing w:line="240" w:lineRule="exact"/>
                    <w:jc w:val="center"/>
                    <w:rPr>
                      <w:rFonts w:hint="eastAsia" w:ascii="宋体" w:hAnsi="宋体" w:cs="宋体"/>
                      <w:b/>
                      <w:bCs/>
                      <w:sz w:val="18"/>
                    </w:rPr>
                  </w:pPr>
                  <w:r>
                    <w:rPr>
                      <w:rFonts w:hint="eastAsia" w:ascii="宋体" w:hAnsi="宋体" w:cs="宋体"/>
                      <w:b/>
                      <w:bCs/>
                      <w:sz w:val="18"/>
                    </w:rPr>
                    <w:t>养老机构</w:t>
                  </w:r>
                </w:p>
              </w:tc>
              <w:tc>
                <w:tcPr>
                  <w:tcW w:w="749" w:type="pct"/>
                  <w:vAlign w:val="center"/>
                </w:tcPr>
                <w:p>
                  <w:pPr>
                    <w:spacing w:line="240" w:lineRule="exact"/>
                    <w:jc w:val="center"/>
                    <w:rPr>
                      <w:rFonts w:hint="eastAsia" w:ascii="宋体" w:hAnsi="宋体" w:cs="宋体"/>
                      <w:b/>
                      <w:bCs/>
                      <w:sz w:val="18"/>
                    </w:rPr>
                  </w:pPr>
                  <w:r>
                    <w:rPr>
                      <w:rFonts w:hint="eastAsia" w:ascii="宋体" w:hAnsi="宋体" w:cs="宋体"/>
                      <w:b/>
                      <w:bCs/>
                      <w:sz w:val="18"/>
                    </w:rPr>
                    <w:t>养老服务指导中心</w:t>
                  </w:r>
                </w:p>
              </w:tc>
              <w:tc>
                <w:tcPr>
                  <w:tcW w:w="915" w:type="pct"/>
                  <w:vAlign w:val="center"/>
                </w:tcPr>
                <w:p>
                  <w:pPr>
                    <w:spacing w:line="240" w:lineRule="exact"/>
                    <w:jc w:val="center"/>
                    <w:rPr>
                      <w:rFonts w:hint="eastAsia" w:ascii="宋体" w:hAnsi="宋体" w:cs="宋体"/>
                      <w:b/>
                      <w:bCs/>
                      <w:sz w:val="18"/>
                    </w:rPr>
                  </w:pPr>
                  <w:r>
                    <w:rPr>
                      <w:rFonts w:hint="eastAsia" w:ascii="宋体" w:hAnsi="宋体" w:cs="宋体"/>
                      <w:b/>
                      <w:bCs/>
                      <w:sz w:val="18"/>
                    </w:rPr>
                    <w:t>养老服务中心（站）</w:t>
                  </w:r>
                </w:p>
              </w:tc>
              <w:tc>
                <w:tcPr>
                  <w:tcW w:w="1279" w:type="pct"/>
                  <w:vAlign w:val="center"/>
                </w:tcPr>
                <w:p>
                  <w:pPr>
                    <w:spacing w:line="240" w:lineRule="exact"/>
                    <w:jc w:val="center"/>
                    <w:rPr>
                      <w:rFonts w:hint="eastAsia" w:ascii="宋体" w:hAnsi="宋体" w:cs="宋体"/>
                      <w:b/>
                      <w:bCs/>
                      <w:sz w:val="18"/>
                    </w:rPr>
                  </w:pPr>
                  <w:bookmarkStart w:id="0" w:name="_Hlk184220408"/>
                  <w:r>
                    <w:rPr>
                      <w:rFonts w:hint="eastAsia" w:ascii="宋体" w:hAnsi="宋体" w:cs="宋体"/>
                      <w:b/>
                      <w:bCs/>
                      <w:sz w:val="18"/>
                    </w:rPr>
                    <w:t>社区嵌入式养老服务机构（综合体）</w:t>
                  </w:r>
                  <w:bookmarkEnd w:id="0"/>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1" w:hRule="atLeast"/>
                <w:jc w:val="center"/>
              </w:trPr>
              <w:tc>
                <w:tcPr>
                  <w:tcW w:w="893" w:type="pct"/>
                  <w:vAlign w:val="center"/>
                </w:tcPr>
                <w:p>
                  <w:pPr>
                    <w:jc w:val="center"/>
                    <w:rPr>
                      <w:rFonts w:hint="eastAsia" w:ascii="宋体" w:hAnsi="宋体" w:cs="宋体"/>
                      <w:sz w:val="18"/>
                    </w:rPr>
                  </w:pPr>
                  <w:r>
                    <w:rPr>
                      <w:rFonts w:hint="eastAsia" w:ascii="宋体" w:hAnsi="宋体" w:cs="宋体"/>
                      <w:sz w:val="18"/>
                    </w:rPr>
                    <w:t>中心城区</w:t>
                  </w:r>
                </w:p>
              </w:tc>
              <w:tc>
                <w:tcPr>
                  <w:tcW w:w="1164" w:type="pct"/>
                  <w:vAlign w:val="center"/>
                </w:tcPr>
                <w:p>
                  <w:pPr>
                    <w:jc w:val="center"/>
                    <w:rPr>
                      <w:rFonts w:hint="eastAsia" w:ascii="宋体" w:hAnsi="宋体" w:cs="宋体"/>
                      <w:sz w:val="18"/>
                    </w:rPr>
                  </w:pPr>
                  <w:r>
                    <w:rPr>
                      <w:rFonts w:hint="eastAsia" w:ascii="宋体" w:hAnsi="宋体" w:cs="宋体"/>
                      <w:sz w:val="18"/>
                    </w:rPr>
                    <w:t>▲</w:t>
                  </w:r>
                </w:p>
              </w:tc>
              <w:tc>
                <w:tcPr>
                  <w:tcW w:w="749" w:type="pct"/>
                  <w:vAlign w:val="center"/>
                </w:tcPr>
                <w:p>
                  <w:pPr>
                    <w:jc w:val="center"/>
                    <w:rPr>
                      <w:rFonts w:hint="eastAsia" w:ascii="宋体" w:hAnsi="宋体" w:cs="宋体"/>
                      <w:sz w:val="18"/>
                    </w:rPr>
                  </w:pPr>
                  <w:r>
                    <w:rPr>
                      <w:rFonts w:hint="eastAsia" w:ascii="宋体" w:hAnsi="宋体" w:cs="宋体"/>
                      <w:sz w:val="18"/>
                    </w:rPr>
                    <w:t>▲</w:t>
                  </w:r>
                </w:p>
              </w:tc>
              <w:tc>
                <w:tcPr>
                  <w:tcW w:w="915" w:type="pct"/>
                  <w:vAlign w:val="center"/>
                </w:tcPr>
                <w:p>
                  <w:pPr>
                    <w:jc w:val="center"/>
                    <w:rPr>
                      <w:rFonts w:hint="eastAsia" w:ascii="宋体" w:hAnsi="宋体" w:cs="宋体"/>
                      <w:sz w:val="18"/>
                    </w:rPr>
                  </w:pPr>
                  <w:r>
                    <w:rPr>
                      <w:rFonts w:hint="eastAsia" w:ascii="宋体" w:hAnsi="宋体" w:cs="宋体"/>
                      <w:sz w:val="18"/>
                    </w:rPr>
                    <w:t>-</w:t>
                  </w:r>
                </w:p>
              </w:tc>
              <w:tc>
                <w:tcPr>
                  <w:tcW w:w="1279" w:type="pct"/>
                  <w:vAlign w:val="center"/>
                </w:tcPr>
                <w:p>
                  <w:pPr>
                    <w:jc w:val="center"/>
                    <w:rPr>
                      <w:rFonts w:hint="eastAsia" w:ascii="宋体" w:hAnsi="宋体" w:cs="宋体"/>
                      <w:sz w:val="18"/>
                    </w:rPr>
                  </w:pPr>
                  <w:r>
                    <w:rPr>
                      <w:rFonts w:hint="eastAsia" w:ascii="宋体" w:hAnsi="宋体" w:cs="宋体"/>
                      <w:sz w:val="18"/>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0" w:hRule="atLeast"/>
                <w:jc w:val="center"/>
              </w:trPr>
              <w:tc>
                <w:tcPr>
                  <w:tcW w:w="893" w:type="pct"/>
                  <w:vAlign w:val="center"/>
                </w:tcPr>
                <w:p>
                  <w:pPr>
                    <w:jc w:val="center"/>
                    <w:rPr>
                      <w:rFonts w:hint="eastAsia" w:ascii="宋体" w:hAnsi="宋体" w:cs="宋体"/>
                      <w:sz w:val="18"/>
                    </w:rPr>
                  </w:pPr>
                  <w:r>
                    <w:rPr>
                      <w:rFonts w:hint="eastAsia" w:ascii="宋体" w:hAnsi="宋体" w:cs="宋体"/>
                      <w:sz w:val="18"/>
                    </w:rPr>
                    <w:t>街道</w:t>
                  </w:r>
                </w:p>
              </w:tc>
              <w:tc>
                <w:tcPr>
                  <w:tcW w:w="1164" w:type="pct"/>
                  <w:vAlign w:val="center"/>
                </w:tcPr>
                <w:p>
                  <w:pPr>
                    <w:jc w:val="center"/>
                    <w:rPr>
                      <w:rFonts w:hint="eastAsia" w:ascii="宋体" w:hAnsi="宋体" w:cs="宋体"/>
                      <w:sz w:val="18"/>
                    </w:rPr>
                  </w:pPr>
                  <w:r>
                    <w:rPr>
                      <w:rFonts w:hint="eastAsia" w:ascii="宋体" w:hAnsi="宋体" w:cs="宋体"/>
                      <w:sz w:val="18"/>
                    </w:rPr>
                    <w:t>△</w:t>
                  </w:r>
                </w:p>
              </w:tc>
              <w:tc>
                <w:tcPr>
                  <w:tcW w:w="749" w:type="pct"/>
                  <w:vAlign w:val="center"/>
                </w:tcPr>
                <w:p>
                  <w:pPr>
                    <w:jc w:val="center"/>
                    <w:rPr>
                      <w:rFonts w:hint="eastAsia" w:ascii="宋体" w:hAnsi="宋体" w:cs="宋体"/>
                      <w:sz w:val="18"/>
                    </w:rPr>
                  </w:pPr>
                  <w:r>
                    <w:rPr>
                      <w:rFonts w:hint="eastAsia" w:ascii="宋体" w:hAnsi="宋体" w:cs="宋体"/>
                      <w:sz w:val="18"/>
                    </w:rPr>
                    <w:t>-</w:t>
                  </w:r>
                </w:p>
              </w:tc>
              <w:tc>
                <w:tcPr>
                  <w:tcW w:w="915" w:type="pct"/>
                  <w:vAlign w:val="center"/>
                </w:tcPr>
                <w:p>
                  <w:pPr>
                    <w:jc w:val="center"/>
                    <w:rPr>
                      <w:rFonts w:hint="eastAsia" w:ascii="宋体" w:hAnsi="宋体" w:cs="宋体"/>
                      <w:sz w:val="18"/>
                    </w:rPr>
                  </w:pPr>
                  <w:r>
                    <w:rPr>
                      <w:rFonts w:hint="eastAsia" w:ascii="宋体" w:hAnsi="宋体" w:cs="宋体"/>
                      <w:sz w:val="18"/>
                    </w:rPr>
                    <w:t>▲</w:t>
                  </w:r>
                </w:p>
              </w:tc>
              <w:tc>
                <w:tcPr>
                  <w:tcW w:w="1279" w:type="pct"/>
                  <w:vAlign w:val="center"/>
                </w:tcPr>
                <w:p>
                  <w:pPr>
                    <w:jc w:val="center"/>
                    <w:rPr>
                      <w:rFonts w:hint="eastAsia" w:ascii="宋体" w:hAnsi="宋体" w:cs="宋体"/>
                      <w:sz w:val="18"/>
                    </w:rPr>
                  </w:pPr>
                  <w:r>
                    <w:rPr>
                      <w:rFonts w:hint="eastAsia" w:ascii="宋体" w:hAnsi="宋体" w:cs="宋体"/>
                      <w:sz w:val="18"/>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0" w:hRule="atLeast"/>
                <w:jc w:val="center"/>
              </w:trPr>
              <w:tc>
                <w:tcPr>
                  <w:tcW w:w="893" w:type="pct"/>
                  <w:vAlign w:val="center"/>
                </w:tcPr>
                <w:p>
                  <w:pPr>
                    <w:jc w:val="center"/>
                    <w:rPr>
                      <w:rFonts w:hint="eastAsia" w:ascii="宋体" w:hAnsi="宋体" w:cs="宋体"/>
                      <w:sz w:val="18"/>
                    </w:rPr>
                  </w:pPr>
                  <w:r>
                    <w:rPr>
                      <w:rFonts w:hint="eastAsia" w:ascii="宋体" w:hAnsi="宋体" w:cs="宋体"/>
                      <w:sz w:val="18"/>
                    </w:rPr>
                    <w:t>镇区（乡集镇）</w:t>
                  </w:r>
                </w:p>
              </w:tc>
              <w:tc>
                <w:tcPr>
                  <w:tcW w:w="1164" w:type="pct"/>
                  <w:vAlign w:val="center"/>
                </w:tcPr>
                <w:p>
                  <w:pPr>
                    <w:jc w:val="center"/>
                    <w:rPr>
                      <w:rFonts w:hint="eastAsia" w:ascii="宋体" w:hAnsi="宋体" w:cs="宋体"/>
                      <w:sz w:val="18"/>
                    </w:rPr>
                  </w:pPr>
                  <w:r>
                    <w:rPr>
                      <w:rFonts w:hint="eastAsia" w:ascii="宋体" w:hAnsi="宋体" w:cs="宋体"/>
                      <w:sz w:val="18"/>
                    </w:rPr>
                    <w:t>▲</w:t>
                  </w:r>
                </w:p>
              </w:tc>
              <w:tc>
                <w:tcPr>
                  <w:tcW w:w="749" w:type="pct"/>
                  <w:vAlign w:val="center"/>
                </w:tcPr>
                <w:p>
                  <w:pPr>
                    <w:jc w:val="center"/>
                    <w:rPr>
                      <w:rFonts w:hint="eastAsia" w:ascii="宋体" w:hAnsi="宋体" w:cs="宋体"/>
                      <w:sz w:val="18"/>
                    </w:rPr>
                  </w:pPr>
                  <w:r>
                    <w:rPr>
                      <w:rFonts w:hint="eastAsia" w:ascii="宋体" w:hAnsi="宋体" w:cs="宋体"/>
                      <w:sz w:val="18"/>
                    </w:rPr>
                    <w:t>-</w:t>
                  </w:r>
                </w:p>
              </w:tc>
              <w:tc>
                <w:tcPr>
                  <w:tcW w:w="915" w:type="pct"/>
                  <w:vAlign w:val="center"/>
                </w:tcPr>
                <w:p>
                  <w:pPr>
                    <w:jc w:val="center"/>
                    <w:rPr>
                      <w:rFonts w:hint="eastAsia" w:ascii="宋体" w:hAnsi="宋体" w:cs="宋体"/>
                      <w:sz w:val="18"/>
                    </w:rPr>
                  </w:pPr>
                  <w:r>
                    <w:rPr>
                      <w:rFonts w:hint="eastAsia" w:ascii="宋体" w:hAnsi="宋体" w:cs="宋体"/>
                      <w:sz w:val="18"/>
                    </w:rPr>
                    <w:t>▲</w:t>
                  </w:r>
                </w:p>
              </w:tc>
              <w:tc>
                <w:tcPr>
                  <w:tcW w:w="1279" w:type="pct"/>
                  <w:vAlign w:val="center"/>
                </w:tcPr>
                <w:p>
                  <w:pPr>
                    <w:jc w:val="center"/>
                    <w:rPr>
                      <w:rFonts w:hint="eastAsia" w:ascii="宋体" w:hAnsi="宋体" w:cs="宋体"/>
                      <w:sz w:val="18"/>
                    </w:rPr>
                  </w:pPr>
                  <w:r>
                    <w:rPr>
                      <w:rFonts w:hint="eastAsia" w:ascii="宋体" w:hAnsi="宋体" w:cs="宋体"/>
                      <w:sz w:val="18"/>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3" w:hRule="atLeast"/>
                <w:jc w:val="center"/>
              </w:trPr>
              <w:tc>
                <w:tcPr>
                  <w:tcW w:w="893" w:type="pct"/>
                  <w:vAlign w:val="center"/>
                </w:tcPr>
                <w:p>
                  <w:pPr>
                    <w:jc w:val="center"/>
                    <w:rPr>
                      <w:rFonts w:hint="eastAsia" w:ascii="宋体" w:hAnsi="宋体" w:cs="宋体"/>
                      <w:sz w:val="18"/>
                    </w:rPr>
                  </w:pPr>
                  <w:r>
                    <w:rPr>
                      <w:rFonts w:hint="eastAsia" w:ascii="宋体" w:hAnsi="宋体" w:cs="宋体"/>
                      <w:sz w:val="18"/>
                    </w:rPr>
                    <w:t>社区（行政村）</w:t>
                  </w:r>
                </w:p>
              </w:tc>
              <w:tc>
                <w:tcPr>
                  <w:tcW w:w="1164" w:type="pct"/>
                  <w:vAlign w:val="center"/>
                </w:tcPr>
                <w:p>
                  <w:pPr>
                    <w:jc w:val="center"/>
                    <w:rPr>
                      <w:rFonts w:hint="eastAsia" w:ascii="宋体" w:hAnsi="宋体" w:cs="宋体"/>
                      <w:sz w:val="18"/>
                    </w:rPr>
                  </w:pPr>
                  <w:r>
                    <w:rPr>
                      <w:rFonts w:hint="eastAsia" w:ascii="宋体" w:hAnsi="宋体" w:cs="宋体"/>
                      <w:sz w:val="18"/>
                    </w:rPr>
                    <w:t>-</w:t>
                  </w:r>
                </w:p>
              </w:tc>
              <w:tc>
                <w:tcPr>
                  <w:tcW w:w="749" w:type="pct"/>
                  <w:vAlign w:val="center"/>
                </w:tcPr>
                <w:p>
                  <w:pPr>
                    <w:jc w:val="center"/>
                    <w:rPr>
                      <w:rFonts w:hint="eastAsia" w:ascii="宋体" w:hAnsi="宋体" w:cs="宋体"/>
                      <w:sz w:val="18"/>
                    </w:rPr>
                  </w:pPr>
                  <w:r>
                    <w:rPr>
                      <w:rFonts w:hint="eastAsia" w:ascii="宋体" w:hAnsi="宋体" w:cs="宋体"/>
                      <w:sz w:val="18"/>
                    </w:rPr>
                    <w:t>-</w:t>
                  </w:r>
                </w:p>
              </w:tc>
              <w:tc>
                <w:tcPr>
                  <w:tcW w:w="915" w:type="pct"/>
                  <w:vAlign w:val="center"/>
                </w:tcPr>
                <w:p>
                  <w:pPr>
                    <w:jc w:val="center"/>
                    <w:rPr>
                      <w:rFonts w:hint="eastAsia" w:ascii="宋体" w:hAnsi="宋体" w:cs="宋体"/>
                      <w:sz w:val="18"/>
                    </w:rPr>
                  </w:pPr>
                  <w:r>
                    <w:rPr>
                      <w:rFonts w:hint="eastAsia" w:ascii="宋体" w:hAnsi="宋体" w:cs="宋体"/>
                      <w:sz w:val="18"/>
                    </w:rPr>
                    <w:t>△</w:t>
                  </w:r>
                </w:p>
              </w:tc>
              <w:tc>
                <w:tcPr>
                  <w:tcW w:w="1279" w:type="pct"/>
                  <w:vAlign w:val="center"/>
                </w:tcPr>
                <w:p>
                  <w:pPr>
                    <w:jc w:val="center"/>
                    <w:rPr>
                      <w:rFonts w:hint="eastAsia" w:ascii="宋体" w:hAnsi="宋体" w:cs="宋体"/>
                      <w:sz w:val="18"/>
                    </w:rPr>
                  </w:pPr>
                  <w:r>
                    <w:rPr>
                      <w:rFonts w:hint="eastAsia" w:ascii="宋体" w:hAnsi="宋体" w:cs="宋体"/>
                      <w:sz w:val="18"/>
                    </w:rPr>
                    <w:t>-</w:t>
                  </w:r>
                </w:p>
              </w:tc>
            </w:tr>
          </w:tbl>
          <w:p>
            <w:pPr>
              <w:spacing w:line="276" w:lineRule="auto"/>
              <w:rPr>
                <w:rFonts w:hint="eastAsia" w:ascii="宋体" w:hAnsi="宋体" w:cs="宋体"/>
                <w:bCs/>
                <w:kern w:val="0"/>
                <w:sz w:val="22"/>
                <w:szCs w:val="22"/>
              </w:rPr>
            </w:pPr>
            <w:r>
              <w:rPr>
                <w:rFonts w:hint="eastAsia" w:ascii="宋体" w:hAnsi="宋体" w:cs="宋体"/>
                <w:bCs/>
                <w:kern w:val="0"/>
                <w:sz w:val="22"/>
                <w:szCs w:val="22"/>
              </w:rPr>
              <w:t>注：1  表中▲为应配建，△为宜配建。</w:t>
            </w:r>
          </w:p>
          <w:p>
            <w:pPr>
              <w:spacing w:line="276" w:lineRule="auto"/>
              <w:ind w:firstLine="440" w:firstLineChars="200"/>
              <w:rPr>
                <w:rFonts w:ascii="宋体" w:hAnsi="宋体" w:cs="宋体"/>
                <w:bCs/>
                <w:kern w:val="0"/>
                <w:sz w:val="22"/>
                <w:szCs w:val="22"/>
              </w:rPr>
            </w:pPr>
            <w:r>
              <w:rPr>
                <w:rFonts w:hint="eastAsia" w:ascii="宋体" w:hAnsi="宋体" w:cs="宋体"/>
                <w:bCs/>
                <w:kern w:val="0"/>
                <w:sz w:val="22"/>
                <w:szCs w:val="22"/>
              </w:rPr>
              <w:t>2  社区嵌入式养老服务机构（综合体）可与其他服务设施合并建设。</w:t>
            </w:r>
          </w:p>
          <w:p>
            <w:pPr>
              <w:ind w:firstLine="422" w:firstLineChars="200"/>
              <w:jc w:val="center"/>
              <w:rPr>
                <w:rFonts w:hint="eastAsia" w:ascii="宋体" w:hAnsi="宋体"/>
                <w:b/>
                <w:bCs/>
                <w:kern w:val="0"/>
              </w:rPr>
            </w:pPr>
            <w:r>
              <w:rPr>
                <w:rFonts w:hint="eastAsia" w:ascii="宋体" w:hAnsi="宋体"/>
                <w:b/>
                <w:bCs/>
                <w:kern w:val="0"/>
              </w:rPr>
              <w:t>3.2 配置要求</w:t>
            </w:r>
          </w:p>
          <w:p>
            <w:pPr>
              <w:ind w:firstLine="420" w:firstLineChars="200"/>
              <w:rPr>
                <w:rFonts w:hint="eastAsia" w:ascii="宋体" w:hAnsi="宋体"/>
                <w:kern w:val="0"/>
              </w:rPr>
            </w:pPr>
            <w:r>
              <w:rPr>
                <w:rFonts w:hint="eastAsia" w:ascii="宋体" w:hAnsi="宋体"/>
                <w:kern w:val="0"/>
              </w:rPr>
              <w:t>3.2.1 以县级行政区为基本单元，按照常住人口人均用地面积不少于0.2m2的标准，规划设置城乡养老服务设施。</w:t>
            </w:r>
          </w:p>
          <w:p>
            <w:pPr>
              <w:ind w:firstLine="420" w:firstLineChars="200"/>
              <w:rPr>
                <w:rFonts w:hint="eastAsia" w:ascii="宋体" w:hAnsi="宋体"/>
                <w:kern w:val="0"/>
              </w:rPr>
            </w:pPr>
            <w:r>
              <w:rPr>
                <w:rFonts w:hint="eastAsia" w:ascii="宋体" w:hAnsi="宋体"/>
                <w:kern w:val="0"/>
              </w:rPr>
              <w:t>3.2.2 占地面积较小的住宅小区，可统筹多个小区规划配建养老服务设施。统筹配建时，应当结合小区密度、人口数量与分布状况等因素，按照社区生活圈进行统筹规划配建。</w:t>
            </w:r>
          </w:p>
          <w:p>
            <w:pPr>
              <w:ind w:firstLine="420" w:firstLineChars="200"/>
              <w:rPr>
                <w:rFonts w:ascii="宋体" w:hAnsi="宋体"/>
                <w:kern w:val="0"/>
              </w:rPr>
            </w:pPr>
            <w:r>
              <w:rPr>
                <w:rFonts w:hint="eastAsia" w:ascii="宋体" w:hAnsi="宋体"/>
                <w:kern w:val="0"/>
              </w:rPr>
              <w:t>3.2.3 老城区和已建成居住（小）区，养老服务设施不足的，统筹利用公用住房、社区综合服务设施、各类闲置用房等，通过补建、购置、置换、租赁、改造等方式进行配建，或在相邻新建项目内予以补足。</w:t>
            </w:r>
          </w:p>
          <w:p>
            <w:pPr>
              <w:ind w:firstLine="420" w:firstLineChars="200"/>
              <w:rPr>
                <w:rFonts w:ascii="宋体" w:hAnsi="宋体"/>
                <w:kern w:val="0"/>
              </w:rPr>
            </w:pPr>
            <w:r>
              <w:rPr>
                <w:rFonts w:hint="eastAsia" w:ascii="宋体" w:hAnsi="宋体"/>
                <w:kern w:val="0"/>
              </w:rPr>
              <w:t>3.2.4根据老年人数量、年龄结构、分布情况、健康状况和人口规模等，按照合理的服务半径，分区分级设置城乡养老服务设施，其单项配建规模、要求及指标，应符合表3.2.4-1和表3.2.4-2的规定。</w:t>
            </w:r>
          </w:p>
          <w:p>
            <w:pPr>
              <w:ind w:firstLine="420" w:firstLineChars="200"/>
              <w:rPr>
                <w:rFonts w:hint="eastAsia" w:ascii="宋体" w:hAnsi="宋体"/>
                <w:kern w:val="0"/>
              </w:rPr>
            </w:pPr>
          </w:p>
          <w:p>
            <w:pPr>
              <w:spacing w:line="360" w:lineRule="auto"/>
              <w:jc w:val="center"/>
              <w:rPr>
                <w:rFonts w:hint="eastAsia" w:ascii="宋体" w:hAnsi="宋体" w:cs="宋体"/>
                <w:szCs w:val="16"/>
              </w:rPr>
            </w:pPr>
            <w:r>
              <w:rPr>
                <w:rFonts w:hint="eastAsia" w:ascii="宋体" w:hAnsi="宋体" w:cs="宋体"/>
                <w:szCs w:val="16"/>
              </w:rPr>
              <w:t>表3.2.4-1  机构养老服务设施配建指标及要求</w:t>
            </w:r>
          </w:p>
          <w:tbl>
            <w:tblPr>
              <w:tblStyle w:val="7"/>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317"/>
              <w:gridCol w:w="1201"/>
              <w:gridCol w:w="3687"/>
              <w:gridCol w:w="1132"/>
              <w:gridCol w:w="118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6" w:hRule="atLeast"/>
                <w:jc w:val="center"/>
              </w:trPr>
              <w:tc>
                <w:tcPr>
                  <w:tcW w:w="1317" w:type="dxa"/>
                  <w:vMerge w:val="restart"/>
                  <w:vAlign w:val="center"/>
                </w:tcPr>
                <w:p>
                  <w:pPr>
                    <w:snapToGrid w:val="0"/>
                    <w:spacing w:line="240" w:lineRule="auto"/>
                    <w:jc w:val="center"/>
                    <w:rPr>
                      <w:rFonts w:hint="eastAsia" w:ascii="宋体" w:hAnsi="宋体" w:cs="宋体"/>
                      <w:b/>
                      <w:bCs/>
                      <w:sz w:val="18"/>
                      <w:szCs w:val="18"/>
                    </w:rPr>
                  </w:pPr>
                  <w:r>
                    <w:rPr>
                      <w:rFonts w:hint="eastAsia" w:ascii="宋体" w:hAnsi="宋体" w:cs="宋体"/>
                      <w:b/>
                      <w:bCs/>
                      <w:sz w:val="18"/>
                      <w:szCs w:val="18"/>
                    </w:rPr>
                    <w:t>服务区域</w:t>
                  </w:r>
                </w:p>
              </w:tc>
              <w:tc>
                <w:tcPr>
                  <w:tcW w:w="1201" w:type="dxa"/>
                  <w:vMerge w:val="restart"/>
                  <w:vAlign w:val="center"/>
                </w:tcPr>
                <w:p>
                  <w:pPr>
                    <w:snapToGrid w:val="0"/>
                    <w:spacing w:line="240" w:lineRule="auto"/>
                    <w:jc w:val="center"/>
                    <w:rPr>
                      <w:rFonts w:hint="eastAsia" w:ascii="宋体" w:hAnsi="宋体" w:cs="宋体"/>
                      <w:b/>
                      <w:bCs/>
                      <w:sz w:val="18"/>
                      <w:szCs w:val="18"/>
                    </w:rPr>
                  </w:pPr>
                  <w:r>
                    <w:rPr>
                      <w:rFonts w:hint="eastAsia" w:ascii="宋体" w:hAnsi="宋体" w:cs="宋体"/>
                      <w:b/>
                      <w:bCs/>
                      <w:sz w:val="18"/>
                      <w:szCs w:val="18"/>
                    </w:rPr>
                    <w:t>常住人口（万人）</w:t>
                  </w:r>
                </w:p>
              </w:tc>
              <w:tc>
                <w:tcPr>
                  <w:tcW w:w="3687" w:type="dxa"/>
                  <w:vMerge w:val="restart"/>
                  <w:vAlign w:val="center"/>
                </w:tcPr>
                <w:p>
                  <w:pPr>
                    <w:snapToGrid w:val="0"/>
                    <w:spacing w:line="240" w:lineRule="auto"/>
                    <w:jc w:val="center"/>
                    <w:rPr>
                      <w:rFonts w:hint="eastAsia" w:ascii="宋体" w:hAnsi="宋体" w:cs="宋体"/>
                      <w:b/>
                      <w:bCs/>
                      <w:sz w:val="18"/>
                      <w:szCs w:val="18"/>
                    </w:rPr>
                  </w:pPr>
                  <w:r>
                    <w:rPr>
                      <w:rFonts w:hint="eastAsia" w:ascii="宋体" w:hAnsi="宋体" w:cs="宋体"/>
                      <w:b/>
                      <w:bCs/>
                      <w:sz w:val="18"/>
                      <w:szCs w:val="18"/>
                    </w:rPr>
                    <w:t>配建要求</w:t>
                  </w:r>
                </w:p>
              </w:tc>
              <w:tc>
                <w:tcPr>
                  <w:tcW w:w="2317" w:type="dxa"/>
                  <w:gridSpan w:val="2"/>
                  <w:vAlign w:val="center"/>
                </w:tcPr>
                <w:p>
                  <w:pPr>
                    <w:snapToGrid w:val="0"/>
                    <w:spacing w:line="240" w:lineRule="auto"/>
                    <w:jc w:val="center"/>
                    <w:rPr>
                      <w:rFonts w:hint="eastAsia" w:ascii="宋体" w:hAnsi="宋体" w:cs="宋体"/>
                      <w:b/>
                      <w:bCs/>
                      <w:sz w:val="18"/>
                      <w:szCs w:val="18"/>
                    </w:rPr>
                  </w:pPr>
                  <w:r>
                    <w:rPr>
                      <w:rFonts w:hint="eastAsia" w:ascii="宋体" w:hAnsi="宋体" w:cs="宋体"/>
                      <w:b/>
                      <w:bCs/>
                      <w:sz w:val="18"/>
                      <w:szCs w:val="18"/>
                    </w:rPr>
                    <w:t>配建指标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4" w:hRule="atLeast"/>
                <w:jc w:val="center"/>
              </w:trPr>
              <w:tc>
                <w:tcPr>
                  <w:tcW w:w="1317" w:type="dxa"/>
                  <w:vMerge w:val="continue"/>
                  <w:vAlign w:val="center"/>
                </w:tcPr>
                <w:p>
                  <w:pPr>
                    <w:snapToGrid w:val="0"/>
                    <w:spacing w:line="240" w:lineRule="auto"/>
                    <w:jc w:val="center"/>
                    <w:rPr>
                      <w:rFonts w:hint="eastAsia" w:ascii="宋体" w:hAnsi="宋体" w:cs="宋体"/>
                      <w:b/>
                      <w:bCs/>
                      <w:sz w:val="18"/>
                      <w:szCs w:val="18"/>
                    </w:rPr>
                  </w:pPr>
                </w:p>
              </w:tc>
              <w:tc>
                <w:tcPr>
                  <w:tcW w:w="1201" w:type="dxa"/>
                  <w:vMerge w:val="continue"/>
                  <w:vAlign w:val="center"/>
                </w:tcPr>
                <w:p>
                  <w:pPr>
                    <w:snapToGrid w:val="0"/>
                    <w:spacing w:line="240" w:lineRule="auto"/>
                    <w:jc w:val="center"/>
                    <w:rPr>
                      <w:rFonts w:hint="eastAsia" w:ascii="宋体" w:hAnsi="宋体" w:cs="宋体"/>
                      <w:b/>
                      <w:bCs/>
                      <w:sz w:val="18"/>
                      <w:szCs w:val="18"/>
                    </w:rPr>
                  </w:pPr>
                </w:p>
              </w:tc>
              <w:tc>
                <w:tcPr>
                  <w:tcW w:w="3687" w:type="dxa"/>
                  <w:vMerge w:val="continue"/>
                  <w:vAlign w:val="center"/>
                </w:tcPr>
                <w:p>
                  <w:pPr>
                    <w:snapToGrid w:val="0"/>
                    <w:spacing w:line="240" w:lineRule="auto"/>
                    <w:jc w:val="center"/>
                    <w:rPr>
                      <w:rFonts w:hint="eastAsia" w:ascii="宋体" w:hAnsi="宋体" w:cs="宋体"/>
                      <w:b/>
                      <w:bCs/>
                      <w:sz w:val="18"/>
                      <w:szCs w:val="18"/>
                    </w:rPr>
                  </w:pPr>
                </w:p>
              </w:tc>
              <w:tc>
                <w:tcPr>
                  <w:tcW w:w="1132" w:type="dxa"/>
                  <w:vAlign w:val="center"/>
                </w:tcPr>
                <w:p>
                  <w:pPr>
                    <w:snapToGrid w:val="0"/>
                    <w:spacing w:line="240" w:lineRule="auto"/>
                    <w:jc w:val="center"/>
                    <w:rPr>
                      <w:rFonts w:hint="eastAsia" w:ascii="宋体" w:hAnsi="宋体" w:cs="宋体"/>
                      <w:b/>
                      <w:bCs/>
                      <w:sz w:val="18"/>
                      <w:szCs w:val="18"/>
                    </w:rPr>
                  </w:pPr>
                  <w:r>
                    <w:rPr>
                      <w:rFonts w:hint="eastAsia" w:ascii="宋体" w:hAnsi="宋体" w:cs="宋体"/>
                      <w:b/>
                      <w:bCs/>
                      <w:sz w:val="18"/>
                      <w:szCs w:val="18"/>
                    </w:rPr>
                    <w:t>建筑面积（m</w:t>
                  </w:r>
                  <w:r>
                    <w:rPr>
                      <w:rFonts w:hint="eastAsia" w:ascii="宋体" w:hAnsi="宋体" w:cs="宋体"/>
                      <w:b/>
                      <w:bCs/>
                      <w:sz w:val="18"/>
                      <w:szCs w:val="18"/>
                      <w:vertAlign w:val="superscript"/>
                    </w:rPr>
                    <w:t>2</w:t>
                  </w:r>
                  <w:r>
                    <w:rPr>
                      <w:rFonts w:hint="eastAsia" w:ascii="宋体" w:hAnsi="宋体" w:cs="宋体"/>
                      <w:b/>
                      <w:bCs/>
                      <w:sz w:val="18"/>
                      <w:szCs w:val="18"/>
                    </w:rPr>
                    <w:t>/床）</w:t>
                  </w:r>
                </w:p>
              </w:tc>
              <w:tc>
                <w:tcPr>
                  <w:tcW w:w="1185" w:type="dxa"/>
                  <w:vAlign w:val="center"/>
                </w:tcPr>
                <w:p>
                  <w:pPr>
                    <w:snapToGrid w:val="0"/>
                    <w:spacing w:line="240" w:lineRule="auto"/>
                    <w:jc w:val="center"/>
                    <w:rPr>
                      <w:rFonts w:hint="eastAsia" w:ascii="宋体" w:hAnsi="宋体" w:cs="宋体"/>
                      <w:b/>
                      <w:bCs/>
                      <w:sz w:val="18"/>
                      <w:szCs w:val="18"/>
                    </w:rPr>
                  </w:pPr>
                  <w:r>
                    <w:rPr>
                      <w:rFonts w:hint="eastAsia" w:ascii="宋体" w:hAnsi="宋体" w:cs="宋体"/>
                      <w:b/>
                      <w:bCs/>
                      <w:sz w:val="18"/>
                      <w:szCs w:val="18"/>
                    </w:rPr>
                    <w:t>用地面积（m</w:t>
                  </w:r>
                  <w:r>
                    <w:rPr>
                      <w:rFonts w:hint="eastAsia" w:ascii="宋体" w:hAnsi="宋体" w:cs="宋体"/>
                      <w:b/>
                      <w:bCs/>
                      <w:sz w:val="18"/>
                      <w:szCs w:val="18"/>
                      <w:vertAlign w:val="superscript"/>
                    </w:rPr>
                    <w:t>2</w:t>
                  </w:r>
                  <w:r>
                    <w:rPr>
                      <w:rFonts w:hint="eastAsia" w:ascii="宋体" w:hAnsi="宋体" w:cs="宋体"/>
                      <w:b/>
                      <w:bCs/>
                      <w:sz w:val="18"/>
                      <w:szCs w:val="18"/>
                    </w:rPr>
                    <w:t>/床）</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39" w:hRule="atLeast"/>
                <w:jc w:val="center"/>
              </w:trPr>
              <w:tc>
                <w:tcPr>
                  <w:tcW w:w="1317" w:type="dxa"/>
                  <w:vAlign w:val="center"/>
                </w:tcPr>
                <w:p>
                  <w:pPr>
                    <w:snapToGrid w:val="0"/>
                    <w:spacing w:line="240" w:lineRule="auto"/>
                    <w:jc w:val="center"/>
                    <w:rPr>
                      <w:rFonts w:hint="eastAsia" w:ascii="宋体" w:hAnsi="宋体" w:cs="宋体"/>
                      <w:sz w:val="18"/>
                      <w:szCs w:val="18"/>
                    </w:rPr>
                  </w:pPr>
                  <w:r>
                    <w:rPr>
                      <w:rFonts w:hint="eastAsia" w:ascii="宋体" w:hAnsi="宋体" w:cs="宋体"/>
                      <w:sz w:val="18"/>
                      <w:szCs w:val="18"/>
                    </w:rPr>
                    <w:t>城市地区</w:t>
                  </w:r>
                </w:p>
              </w:tc>
              <w:tc>
                <w:tcPr>
                  <w:tcW w:w="1201" w:type="dxa"/>
                  <w:vAlign w:val="center"/>
                </w:tcPr>
                <w:p>
                  <w:pPr>
                    <w:snapToGrid w:val="0"/>
                    <w:spacing w:line="240" w:lineRule="auto"/>
                    <w:jc w:val="center"/>
                    <w:rPr>
                      <w:rFonts w:hint="eastAsia" w:ascii="宋体" w:hAnsi="宋体"/>
                      <w:sz w:val="18"/>
                      <w:szCs w:val="18"/>
                    </w:rPr>
                  </w:pPr>
                  <w:r>
                    <w:rPr>
                      <w:rFonts w:hint="eastAsia" w:ascii="宋体" w:hAnsi="宋体"/>
                      <w:sz w:val="18"/>
                      <w:szCs w:val="18"/>
                    </w:rPr>
                    <w:t>-</w:t>
                  </w:r>
                </w:p>
              </w:tc>
              <w:tc>
                <w:tcPr>
                  <w:tcW w:w="3687" w:type="dxa"/>
                  <w:vAlign w:val="center"/>
                </w:tcPr>
                <w:p>
                  <w:pPr>
                    <w:numPr>
                      <w:ilvl w:val="0"/>
                      <w:numId w:val="3"/>
                    </w:numPr>
                    <w:snapToGrid w:val="0"/>
                    <w:spacing w:line="240" w:lineRule="auto"/>
                    <w:jc w:val="left"/>
                    <w:rPr>
                      <w:rFonts w:ascii="宋体" w:hAnsi="宋体" w:cs="宋体"/>
                      <w:kern w:val="0"/>
                      <w:sz w:val="18"/>
                      <w:szCs w:val="18"/>
                    </w:rPr>
                  </w:pPr>
                  <w:r>
                    <w:rPr>
                      <w:rFonts w:hint="eastAsia" w:ascii="宋体" w:hAnsi="宋体" w:cs="宋体"/>
                      <w:kern w:val="0"/>
                      <w:sz w:val="18"/>
                      <w:szCs w:val="18"/>
                    </w:rPr>
                    <w:t>每处规模宜300床左右，不宜大于500床</w:t>
                  </w:r>
                </w:p>
                <w:p>
                  <w:pPr>
                    <w:numPr>
                      <w:ilvl w:val="0"/>
                      <w:numId w:val="3"/>
                    </w:numPr>
                    <w:snapToGrid w:val="0"/>
                    <w:spacing w:line="240" w:lineRule="auto"/>
                    <w:jc w:val="left"/>
                    <w:rPr>
                      <w:rFonts w:hint="eastAsia" w:ascii="宋体" w:hAnsi="宋体" w:cs="宋体"/>
                      <w:kern w:val="0"/>
                      <w:sz w:val="18"/>
                      <w:szCs w:val="18"/>
                    </w:rPr>
                  </w:pPr>
                  <w:r>
                    <w:rPr>
                      <w:rFonts w:hint="eastAsia" w:ascii="宋体" w:hAnsi="宋体" w:cs="宋体"/>
                      <w:kern w:val="0"/>
                      <w:sz w:val="18"/>
                      <w:szCs w:val="18"/>
                    </w:rPr>
                    <w:t>床位数总量应满足城市总床位预测数量</w:t>
                  </w:r>
                </w:p>
              </w:tc>
              <w:tc>
                <w:tcPr>
                  <w:tcW w:w="1132" w:type="dxa"/>
                  <w:vAlign w:val="center"/>
                </w:tcPr>
                <w:p>
                  <w:pPr>
                    <w:snapToGrid w:val="0"/>
                    <w:spacing w:line="240" w:lineRule="auto"/>
                    <w:jc w:val="center"/>
                    <w:rPr>
                      <w:rFonts w:ascii="宋体" w:hAnsi="宋体" w:cs="宋体"/>
                      <w:sz w:val="18"/>
                      <w:szCs w:val="18"/>
                    </w:rPr>
                  </w:pPr>
                  <w:r>
                    <w:rPr>
                      <w:rFonts w:hint="eastAsia" w:ascii="宋体" w:hAnsi="宋体" w:cs="宋体"/>
                      <w:sz w:val="18"/>
                      <w:szCs w:val="18"/>
                    </w:rPr>
                    <w:t>≥35</w:t>
                  </w:r>
                </w:p>
              </w:tc>
              <w:tc>
                <w:tcPr>
                  <w:tcW w:w="1185" w:type="dxa"/>
                  <w:vAlign w:val="center"/>
                </w:tcPr>
                <w:p>
                  <w:pPr>
                    <w:snapToGrid w:val="0"/>
                    <w:spacing w:line="240" w:lineRule="auto"/>
                    <w:jc w:val="center"/>
                    <w:rPr>
                      <w:rFonts w:ascii="宋体" w:hAnsi="宋体" w:cs="宋体"/>
                      <w:sz w:val="18"/>
                      <w:szCs w:val="18"/>
                    </w:rPr>
                  </w:pPr>
                  <w:r>
                    <w:rPr>
                      <w:rFonts w:hint="eastAsia" w:ascii="宋体" w:hAnsi="宋体" w:cs="宋体"/>
                      <w:sz w:val="18"/>
                      <w:szCs w:val="18"/>
                    </w:rPr>
                    <w:t>25～50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4" w:hRule="atLeast"/>
                <w:jc w:val="center"/>
              </w:trPr>
              <w:tc>
                <w:tcPr>
                  <w:tcW w:w="1317" w:type="dxa"/>
                  <w:vMerge w:val="restart"/>
                  <w:vAlign w:val="center"/>
                </w:tcPr>
                <w:p>
                  <w:pPr>
                    <w:snapToGrid w:val="0"/>
                    <w:jc w:val="center"/>
                    <w:rPr>
                      <w:rFonts w:hint="eastAsia" w:ascii="宋体" w:hAnsi="宋体" w:cs="宋体"/>
                      <w:sz w:val="18"/>
                      <w:szCs w:val="18"/>
                    </w:rPr>
                  </w:pPr>
                  <w:r>
                    <w:rPr>
                      <w:rFonts w:hint="eastAsia" w:ascii="宋体" w:hAnsi="宋体" w:cs="宋体"/>
                      <w:sz w:val="18"/>
                      <w:szCs w:val="18"/>
                    </w:rPr>
                    <w:t>乡镇地区</w:t>
                  </w:r>
                </w:p>
              </w:tc>
              <w:tc>
                <w:tcPr>
                  <w:tcW w:w="1201" w:type="dxa"/>
                  <w:vAlign w:val="center"/>
                </w:tcPr>
                <w:p>
                  <w:pPr>
                    <w:snapToGrid w:val="0"/>
                    <w:jc w:val="center"/>
                    <w:rPr>
                      <w:rFonts w:hint="eastAsia" w:ascii="宋体" w:hAnsi="宋体"/>
                      <w:sz w:val="18"/>
                      <w:szCs w:val="18"/>
                    </w:rPr>
                  </w:pPr>
                  <w:r>
                    <w:rPr>
                      <w:rFonts w:ascii="Arial" w:hAnsi="Arial" w:cs="Arial"/>
                      <w:sz w:val="18"/>
                      <w:szCs w:val="18"/>
                    </w:rPr>
                    <w:t>≥</w:t>
                  </w:r>
                  <w:r>
                    <w:rPr>
                      <w:rFonts w:hint="eastAsia" w:ascii="宋体" w:hAnsi="宋体"/>
                      <w:sz w:val="18"/>
                      <w:szCs w:val="18"/>
                    </w:rPr>
                    <w:t>5</w:t>
                  </w:r>
                </w:p>
              </w:tc>
              <w:tc>
                <w:tcPr>
                  <w:tcW w:w="3687" w:type="dxa"/>
                  <w:vAlign w:val="center"/>
                </w:tcPr>
                <w:p>
                  <w:pPr>
                    <w:snapToGrid w:val="0"/>
                    <w:jc w:val="left"/>
                    <w:rPr>
                      <w:rFonts w:hint="eastAsia" w:ascii="宋体" w:hAnsi="宋体" w:cs="宋体"/>
                      <w:sz w:val="18"/>
                      <w:szCs w:val="18"/>
                    </w:rPr>
                  </w:pPr>
                  <w:r>
                    <w:rPr>
                      <w:rFonts w:hint="eastAsia" w:ascii="宋体" w:hAnsi="宋体" w:cs="宋体"/>
                      <w:sz w:val="18"/>
                      <w:szCs w:val="18"/>
                    </w:rPr>
                    <w:t>（1）一般应配建不少于350床位，并应满足乡镇总床位预测数量</w:t>
                  </w:r>
                </w:p>
                <w:p>
                  <w:pPr>
                    <w:snapToGrid w:val="0"/>
                    <w:jc w:val="left"/>
                    <w:rPr>
                      <w:rFonts w:hint="eastAsia" w:ascii="宋体" w:hAnsi="宋体" w:cs="宋体"/>
                      <w:sz w:val="18"/>
                      <w:szCs w:val="18"/>
                    </w:rPr>
                  </w:pPr>
                  <w:r>
                    <w:rPr>
                      <w:rFonts w:hint="eastAsia" w:ascii="宋体" w:hAnsi="宋体" w:cs="宋体"/>
                      <w:sz w:val="18"/>
                      <w:szCs w:val="18"/>
                    </w:rPr>
                    <w:t>（2）每处规模宜100～</w:t>
                  </w:r>
                  <w:r>
                    <w:rPr>
                      <w:rFonts w:ascii="宋体" w:hAnsi="宋体" w:cs="宋体"/>
                      <w:sz w:val="18"/>
                      <w:szCs w:val="18"/>
                    </w:rPr>
                    <w:t>2</w:t>
                  </w:r>
                  <w:r>
                    <w:rPr>
                      <w:rFonts w:hint="eastAsia" w:ascii="宋体" w:hAnsi="宋体" w:cs="宋体"/>
                      <w:sz w:val="18"/>
                      <w:szCs w:val="18"/>
                    </w:rPr>
                    <w:t>00床</w:t>
                  </w:r>
                </w:p>
              </w:tc>
              <w:tc>
                <w:tcPr>
                  <w:tcW w:w="1132" w:type="dxa"/>
                  <w:vMerge w:val="restart"/>
                  <w:vAlign w:val="center"/>
                </w:tcPr>
                <w:p>
                  <w:pPr>
                    <w:snapToGrid w:val="0"/>
                    <w:jc w:val="center"/>
                    <w:rPr>
                      <w:rFonts w:ascii="宋体" w:hAnsi="宋体" w:cs="宋体"/>
                      <w:sz w:val="18"/>
                      <w:szCs w:val="18"/>
                    </w:rPr>
                  </w:pPr>
                  <w:r>
                    <w:rPr>
                      <w:rFonts w:hint="eastAsia" w:ascii="宋体" w:hAnsi="宋体" w:cs="宋体"/>
                      <w:sz w:val="18"/>
                      <w:szCs w:val="18"/>
                    </w:rPr>
                    <w:t>≥35</w:t>
                  </w:r>
                </w:p>
              </w:tc>
              <w:tc>
                <w:tcPr>
                  <w:tcW w:w="1185" w:type="dxa"/>
                  <w:vMerge w:val="restart"/>
                  <w:vAlign w:val="center"/>
                </w:tcPr>
                <w:p>
                  <w:pPr>
                    <w:snapToGrid w:val="0"/>
                    <w:jc w:val="center"/>
                    <w:rPr>
                      <w:rFonts w:ascii="宋体" w:hAnsi="宋体" w:cs="宋体"/>
                      <w:sz w:val="18"/>
                      <w:szCs w:val="18"/>
                    </w:rPr>
                  </w:pPr>
                  <w:r>
                    <w:rPr>
                      <w:rFonts w:hint="eastAsia" w:ascii="宋体" w:hAnsi="宋体" w:cs="宋体"/>
                      <w:sz w:val="18"/>
                      <w:szCs w:val="18"/>
                    </w:rPr>
                    <w:t>3</w:t>
                  </w:r>
                  <w:r>
                    <w:rPr>
                      <w:rFonts w:ascii="宋体" w:hAnsi="宋体" w:cs="宋体"/>
                      <w:sz w:val="18"/>
                      <w:szCs w:val="18"/>
                    </w:rPr>
                    <w:t>0</w:t>
                  </w:r>
                  <w:r>
                    <w:rPr>
                      <w:rFonts w:hint="eastAsia" w:ascii="宋体" w:hAnsi="宋体" w:cs="宋体"/>
                      <w:sz w:val="18"/>
                      <w:szCs w:val="18"/>
                    </w:rPr>
                    <w:t>～</w:t>
                  </w:r>
                  <w:r>
                    <w:rPr>
                      <w:rFonts w:ascii="宋体" w:hAnsi="宋体" w:cs="宋体"/>
                      <w:sz w:val="18"/>
                      <w:szCs w:val="18"/>
                    </w:rPr>
                    <w:t>6</w:t>
                  </w:r>
                  <w:r>
                    <w:rPr>
                      <w:rFonts w:hint="eastAsia" w:ascii="宋体" w:hAnsi="宋体" w:cs="宋体"/>
                      <w:sz w:val="18"/>
                      <w:szCs w:val="18"/>
                    </w:rPr>
                    <w:t>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4" w:hRule="atLeast"/>
                <w:jc w:val="center"/>
              </w:trPr>
              <w:tc>
                <w:tcPr>
                  <w:tcW w:w="1317" w:type="dxa"/>
                  <w:vMerge w:val="continue"/>
                  <w:vAlign w:val="center"/>
                </w:tcPr>
                <w:p>
                  <w:pPr>
                    <w:snapToGrid w:val="0"/>
                    <w:jc w:val="center"/>
                    <w:rPr>
                      <w:rFonts w:hint="eastAsia" w:ascii="宋体" w:hAnsi="宋体"/>
                      <w:sz w:val="18"/>
                      <w:szCs w:val="18"/>
                    </w:rPr>
                  </w:pPr>
                </w:p>
              </w:tc>
              <w:tc>
                <w:tcPr>
                  <w:tcW w:w="1201" w:type="dxa"/>
                  <w:vAlign w:val="center"/>
                </w:tcPr>
                <w:p>
                  <w:pPr>
                    <w:snapToGrid w:val="0"/>
                    <w:jc w:val="center"/>
                    <w:rPr>
                      <w:rFonts w:hint="eastAsia" w:ascii="宋体" w:hAnsi="宋体"/>
                      <w:sz w:val="18"/>
                      <w:szCs w:val="18"/>
                    </w:rPr>
                  </w:pPr>
                  <w:r>
                    <w:rPr>
                      <w:rFonts w:ascii="宋体" w:hAnsi="宋体"/>
                      <w:sz w:val="18"/>
                      <w:szCs w:val="18"/>
                    </w:rPr>
                    <w:t>3</w:t>
                  </w:r>
                  <w:r>
                    <w:rPr>
                      <w:rFonts w:hint="eastAsia" w:ascii="宋体" w:hAnsi="宋体" w:cs="宋体"/>
                      <w:sz w:val="18"/>
                      <w:szCs w:val="18"/>
                    </w:rPr>
                    <w:t>～</w:t>
                  </w:r>
                  <w:r>
                    <w:rPr>
                      <w:rFonts w:ascii="宋体" w:hAnsi="宋体"/>
                      <w:sz w:val="18"/>
                      <w:szCs w:val="18"/>
                    </w:rPr>
                    <w:t>5</w:t>
                  </w:r>
                </w:p>
              </w:tc>
              <w:tc>
                <w:tcPr>
                  <w:tcW w:w="3687" w:type="dxa"/>
                  <w:vAlign w:val="center"/>
                </w:tcPr>
                <w:p>
                  <w:pPr>
                    <w:snapToGrid w:val="0"/>
                    <w:jc w:val="left"/>
                    <w:rPr>
                      <w:rFonts w:hint="eastAsia" w:ascii="宋体" w:hAnsi="宋体" w:cs="宋体"/>
                      <w:sz w:val="18"/>
                      <w:szCs w:val="18"/>
                    </w:rPr>
                  </w:pPr>
                  <w:r>
                    <w:rPr>
                      <w:rFonts w:hint="eastAsia" w:ascii="宋体" w:hAnsi="宋体" w:cs="宋体"/>
                      <w:sz w:val="18"/>
                      <w:szCs w:val="18"/>
                    </w:rPr>
                    <w:t>（1）一般应配建200～350床位</w:t>
                  </w:r>
                </w:p>
                <w:p>
                  <w:pPr>
                    <w:snapToGrid w:val="0"/>
                    <w:jc w:val="left"/>
                    <w:rPr>
                      <w:rFonts w:hint="eastAsia" w:ascii="宋体" w:hAnsi="宋体" w:cs="宋体"/>
                      <w:sz w:val="18"/>
                      <w:szCs w:val="18"/>
                    </w:rPr>
                  </w:pPr>
                  <w:r>
                    <w:rPr>
                      <w:rFonts w:hint="eastAsia" w:ascii="宋体" w:hAnsi="宋体" w:cs="宋体"/>
                      <w:sz w:val="18"/>
                      <w:szCs w:val="18"/>
                    </w:rPr>
                    <w:t>（2）每个乡镇应至少设置1处</w:t>
                  </w:r>
                </w:p>
                <w:p>
                  <w:pPr>
                    <w:snapToGrid w:val="0"/>
                    <w:jc w:val="left"/>
                    <w:rPr>
                      <w:rFonts w:hint="eastAsia" w:ascii="宋体" w:hAnsi="宋体" w:cs="宋体"/>
                      <w:sz w:val="18"/>
                      <w:szCs w:val="18"/>
                    </w:rPr>
                  </w:pPr>
                  <w:r>
                    <w:rPr>
                      <w:rFonts w:hint="eastAsia" w:ascii="宋体" w:hAnsi="宋体" w:cs="宋体"/>
                      <w:sz w:val="18"/>
                      <w:szCs w:val="18"/>
                    </w:rPr>
                    <w:t>（3）每处规模宜100～</w:t>
                  </w:r>
                  <w:r>
                    <w:rPr>
                      <w:rFonts w:ascii="宋体" w:hAnsi="宋体" w:cs="宋体"/>
                      <w:sz w:val="18"/>
                      <w:szCs w:val="18"/>
                    </w:rPr>
                    <w:t>2</w:t>
                  </w:r>
                  <w:r>
                    <w:rPr>
                      <w:rFonts w:hint="eastAsia" w:ascii="宋体" w:hAnsi="宋体" w:cs="宋体"/>
                      <w:sz w:val="18"/>
                      <w:szCs w:val="18"/>
                    </w:rPr>
                    <w:t>00床</w:t>
                  </w:r>
                </w:p>
              </w:tc>
              <w:tc>
                <w:tcPr>
                  <w:tcW w:w="1132" w:type="dxa"/>
                  <w:vMerge w:val="continue"/>
                  <w:vAlign w:val="center"/>
                </w:tcPr>
                <w:p>
                  <w:pPr>
                    <w:snapToGrid w:val="0"/>
                    <w:jc w:val="center"/>
                    <w:rPr>
                      <w:rFonts w:hint="eastAsia" w:ascii="宋体" w:hAnsi="宋体"/>
                      <w:sz w:val="18"/>
                      <w:szCs w:val="18"/>
                    </w:rPr>
                  </w:pPr>
                </w:p>
              </w:tc>
              <w:tc>
                <w:tcPr>
                  <w:tcW w:w="1185" w:type="dxa"/>
                  <w:vMerge w:val="continue"/>
                  <w:vAlign w:val="center"/>
                </w:tcPr>
                <w:p>
                  <w:pPr>
                    <w:snapToGrid w:val="0"/>
                    <w:jc w:val="center"/>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2" w:hRule="atLeast"/>
                <w:jc w:val="center"/>
              </w:trPr>
              <w:tc>
                <w:tcPr>
                  <w:tcW w:w="1317" w:type="dxa"/>
                  <w:vMerge w:val="continue"/>
                  <w:vAlign w:val="center"/>
                </w:tcPr>
                <w:p>
                  <w:pPr>
                    <w:snapToGrid w:val="0"/>
                    <w:jc w:val="center"/>
                    <w:rPr>
                      <w:rFonts w:hint="eastAsia" w:ascii="宋体" w:hAnsi="宋体"/>
                      <w:sz w:val="18"/>
                      <w:szCs w:val="18"/>
                    </w:rPr>
                  </w:pPr>
                </w:p>
              </w:tc>
              <w:tc>
                <w:tcPr>
                  <w:tcW w:w="1201" w:type="dxa"/>
                  <w:vAlign w:val="center"/>
                </w:tcPr>
                <w:p>
                  <w:pPr>
                    <w:snapToGrid w:val="0"/>
                    <w:jc w:val="center"/>
                    <w:rPr>
                      <w:rFonts w:hint="eastAsia" w:ascii="宋体" w:hAnsi="宋体"/>
                      <w:sz w:val="18"/>
                      <w:szCs w:val="18"/>
                    </w:rPr>
                  </w:pPr>
                  <w:r>
                    <w:rPr>
                      <w:rFonts w:ascii="宋体" w:hAnsi="宋体"/>
                      <w:sz w:val="18"/>
                      <w:szCs w:val="18"/>
                    </w:rPr>
                    <w:t>1</w:t>
                  </w:r>
                  <w:r>
                    <w:rPr>
                      <w:rFonts w:hint="eastAsia" w:ascii="宋体" w:hAnsi="宋体" w:cs="宋体"/>
                      <w:sz w:val="18"/>
                      <w:szCs w:val="18"/>
                    </w:rPr>
                    <w:t>～</w:t>
                  </w:r>
                  <w:r>
                    <w:rPr>
                      <w:rFonts w:ascii="宋体" w:hAnsi="宋体"/>
                      <w:sz w:val="18"/>
                      <w:szCs w:val="18"/>
                    </w:rPr>
                    <w:t>3</w:t>
                  </w:r>
                </w:p>
              </w:tc>
              <w:tc>
                <w:tcPr>
                  <w:tcW w:w="3687" w:type="dxa"/>
                  <w:vAlign w:val="center"/>
                </w:tcPr>
                <w:p>
                  <w:pPr>
                    <w:snapToGrid w:val="0"/>
                    <w:jc w:val="left"/>
                    <w:rPr>
                      <w:rFonts w:hint="eastAsia" w:ascii="宋体" w:hAnsi="宋体" w:cs="宋体"/>
                      <w:sz w:val="18"/>
                      <w:szCs w:val="18"/>
                    </w:rPr>
                  </w:pPr>
                  <w:r>
                    <w:rPr>
                      <w:rFonts w:hint="eastAsia" w:ascii="宋体" w:hAnsi="宋体" w:cs="宋体"/>
                      <w:sz w:val="18"/>
                      <w:szCs w:val="18"/>
                    </w:rPr>
                    <w:t>（1）一般应配建60～200床位</w:t>
                  </w:r>
                </w:p>
                <w:p>
                  <w:pPr>
                    <w:snapToGrid w:val="0"/>
                    <w:jc w:val="left"/>
                    <w:rPr>
                      <w:rFonts w:hint="eastAsia" w:ascii="宋体" w:hAnsi="宋体" w:cs="宋体"/>
                      <w:sz w:val="18"/>
                      <w:szCs w:val="18"/>
                    </w:rPr>
                  </w:pPr>
                  <w:r>
                    <w:rPr>
                      <w:rFonts w:hint="eastAsia" w:ascii="宋体" w:hAnsi="宋体" w:cs="宋体"/>
                      <w:sz w:val="18"/>
                      <w:szCs w:val="18"/>
                    </w:rPr>
                    <w:t>（2）每个乡镇应至少设置1处</w:t>
                  </w:r>
                </w:p>
              </w:tc>
              <w:tc>
                <w:tcPr>
                  <w:tcW w:w="1132" w:type="dxa"/>
                  <w:vMerge w:val="continue"/>
                  <w:vAlign w:val="center"/>
                </w:tcPr>
                <w:p>
                  <w:pPr>
                    <w:snapToGrid w:val="0"/>
                    <w:jc w:val="center"/>
                    <w:rPr>
                      <w:rFonts w:hint="eastAsia" w:ascii="宋体" w:hAnsi="宋体"/>
                      <w:sz w:val="18"/>
                      <w:szCs w:val="18"/>
                    </w:rPr>
                  </w:pPr>
                </w:p>
              </w:tc>
              <w:tc>
                <w:tcPr>
                  <w:tcW w:w="1185" w:type="dxa"/>
                  <w:vMerge w:val="continue"/>
                  <w:vAlign w:val="center"/>
                </w:tcPr>
                <w:p>
                  <w:pPr>
                    <w:snapToGrid w:val="0"/>
                    <w:jc w:val="center"/>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4" w:hRule="atLeast"/>
                <w:jc w:val="center"/>
              </w:trPr>
              <w:tc>
                <w:tcPr>
                  <w:tcW w:w="1317" w:type="dxa"/>
                  <w:vMerge w:val="continue"/>
                  <w:vAlign w:val="center"/>
                </w:tcPr>
                <w:p>
                  <w:pPr>
                    <w:snapToGrid w:val="0"/>
                    <w:jc w:val="center"/>
                    <w:rPr>
                      <w:rFonts w:hint="eastAsia" w:ascii="宋体" w:hAnsi="宋体"/>
                      <w:sz w:val="18"/>
                      <w:szCs w:val="18"/>
                    </w:rPr>
                  </w:pPr>
                </w:p>
              </w:tc>
              <w:tc>
                <w:tcPr>
                  <w:tcW w:w="1201" w:type="dxa"/>
                  <w:vAlign w:val="center"/>
                </w:tcPr>
                <w:p>
                  <w:pPr>
                    <w:snapToGrid w:val="0"/>
                    <w:jc w:val="center"/>
                    <w:rPr>
                      <w:rFonts w:hint="eastAsia" w:ascii="宋体" w:hAnsi="宋体"/>
                      <w:sz w:val="18"/>
                      <w:szCs w:val="18"/>
                    </w:rPr>
                  </w:pPr>
                  <w:r>
                    <w:rPr>
                      <w:rFonts w:hint="eastAsia" w:ascii="微软雅黑" w:hAnsi="微软雅黑" w:eastAsia="微软雅黑" w:cs="微软雅黑"/>
                      <w:sz w:val="18"/>
                      <w:szCs w:val="18"/>
                      <w:shd w:val="clear" w:color="auto" w:fill="FFFFFF"/>
                    </w:rPr>
                    <w:t>≤</w:t>
                  </w:r>
                  <w:r>
                    <w:rPr>
                      <w:rFonts w:hint="eastAsia" w:ascii="宋体" w:hAnsi="宋体"/>
                      <w:sz w:val="18"/>
                      <w:szCs w:val="18"/>
                    </w:rPr>
                    <w:t>1</w:t>
                  </w:r>
                </w:p>
              </w:tc>
              <w:tc>
                <w:tcPr>
                  <w:tcW w:w="3687" w:type="dxa"/>
                  <w:vAlign w:val="center"/>
                </w:tcPr>
                <w:p>
                  <w:pPr>
                    <w:snapToGrid w:val="0"/>
                    <w:jc w:val="left"/>
                    <w:rPr>
                      <w:rFonts w:hint="eastAsia" w:ascii="宋体" w:hAnsi="宋体" w:cs="宋体"/>
                      <w:sz w:val="18"/>
                      <w:szCs w:val="18"/>
                    </w:rPr>
                  </w:pPr>
                  <w:r>
                    <w:rPr>
                      <w:rFonts w:hint="eastAsia" w:ascii="宋体" w:hAnsi="宋体" w:cs="宋体"/>
                      <w:sz w:val="18"/>
                      <w:szCs w:val="18"/>
                    </w:rPr>
                    <w:t>（1）按照乡镇总床位预测数量配置</w:t>
                  </w:r>
                </w:p>
                <w:p>
                  <w:pPr>
                    <w:snapToGrid w:val="0"/>
                    <w:jc w:val="left"/>
                    <w:rPr>
                      <w:rFonts w:hint="eastAsia" w:ascii="宋体" w:hAnsi="宋体" w:cs="宋体"/>
                      <w:sz w:val="18"/>
                      <w:szCs w:val="18"/>
                    </w:rPr>
                  </w:pPr>
                  <w:r>
                    <w:rPr>
                      <w:rFonts w:hint="eastAsia" w:ascii="宋体" w:hAnsi="宋体" w:cs="宋体"/>
                      <w:sz w:val="18"/>
                      <w:szCs w:val="18"/>
                    </w:rPr>
                    <w:t>（2）每个乡镇宜至少设置1处</w:t>
                  </w:r>
                </w:p>
              </w:tc>
              <w:tc>
                <w:tcPr>
                  <w:tcW w:w="1132" w:type="dxa"/>
                  <w:vMerge w:val="continue"/>
                  <w:vAlign w:val="center"/>
                </w:tcPr>
                <w:p>
                  <w:pPr>
                    <w:snapToGrid w:val="0"/>
                    <w:jc w:val="center"/>
                    <w:rPr>
                      <w:rFonts w:hint="eastAsia" w:ascii="宋体" w:hAnsi="宋体"/>
                      <w:sz w:val="18"/>
                      <w:szCs w:val="18"/>
                    </w:rPr>
                  </w:pPr>
                </w:p>
              </w:tc>
              <w:tc>
                <w:tcPr>
                  <w:tcW w:w="1185" w:type="dxa"/>
                  <w:vMerge w:val="continue"/>
                  <w:vAlign w:val="center"/>
                </w:tcPr>
                <w:p>
                  <w:pPr>
                    <w:snapToGrid w:val="0"/>
                    <w:jc w:val="center"/>
                    <w:rPr>
                      <w:rFonts w:ascii="宋体" w:hAnsi="宋体"/>
                      <w:sz w:val="18"/>
                      <w:szCs w:val="18"/>
                    </w:rPr>
                  </w:pPr>
                </w:p>
              </w:tc>
            </w:tr>
          </w:tbl>
          <w:p>
            <w:pPr>
              <w:spacing w:line="276" w:lineRule="auto"/>
              <w:rPr>
                <w:rFonts w:hint="eastAsia" w:ascii="宋体" w:hAnsi="宋体" w:cs="宋体"/>
                <w:bCs/>
                <w:kern w:val="0"/>
                <w:sz w:val="20"/>
              </w:rPr>
            </w:pPr>
            <w:r>
              <w:rPr>
                <w:rFonts w:hint="eastAsia" w:ascii="宋体" w:hAnsi="宋体" w:cs="宋体"/>
                <w:bCs/>
                <w:kern w:val="0"/>
                <w:sz w:val="20"/>
              </w:rPr>
              <w:t>注：1 各地可根据老龄化率和千名老人养老床位预测指标，对配建规模予以相应调整。</w:t>
            </w:r>
          </w:p>
          <w:p>
            <w:pPr>
              <w:spacing w:line="276" w:lineRule="auto"/>
              <w:ind w:firstLine="400" w:firstLineChars="200"/>
              <w:rPr>
                <w:rFonts w:hint="eastAsia" w:ascii="宋体" w:hAnsi="宋体" w:cs="宋体"/>
                <w:bCs/>
                <w:kern w:val="0"/>
                <w:sz w:val="20"/>
              </w:rPr>
            </w:pPr>
            <w:r>
              <w:rPr>
                <w:rFonts w:hint="eastAsia" w:ascii="宋体" w:hAnsi="宋体" w:cs="宋体"/>
                <w:bCs/>
                <w:kern w:val="0"/>
                <w:sz w:val="20"/>
              </w:rPr>
              <w:t>2 乡镇常住人口规模分级按照乡镇行政管辖范围计算。</w:t>
            </w:r>
          </w:p>
          <w:p>
            <w:pPr>
              <w:spacing w:line="276" w:lineRule="auto"/>
              <w:ind w:firstLine="400" w:firstLineChars="200"/>
              <w:rPr>
                <w:rFonts w:ascii="宋体" w:hAnsi="宋体" w:cs="宋体"/>
                <w:bCs/>
                <w:kern w:val="0"/>
                <w:sz w:val="20"/>
              </w:rPr>
            </w:pPr>
            <w:r>
              <w:rPr>
                <w:rFonts w:hint="eastAsia" w:ascii="宋体" w:hAnsi="宋体" w:cs="宋体"/>
                <w:bCs/>
                <w:kern w:val="0"/>
                <w:sz w:val="20"/>
              </w:rPr>
              <w:t>3 新建机构养老服务设施应独立设置，并提供室外活动场地。</w:t>
            </w:r>
          </w:p>
          <w:p>
            <w:pPr>
              <w:spacing w:line="276" w:lineRule="auto"/>
              <w:ind w:firstLine="420" w:firstLineChars="200"/>
              <w:jc w:val="center"/>
              <w:rPr>
                <w:rFonts w:ascii="宋体" w:hAnsi="宋体" w:cs="宋体"/>
                <w:bCs/>
                <w:kern w:val="0"/>
                <w:sz w:val="20"/>
              </w:rPr>
            </w:pPr>
            <w:r>
              <w:rPr>
                <w:rFonts w:hint="eastAsia" w:ascii="宋体" w:hAnsi="宋体" w:cs="宋体"/>
                <w:szCs w:val="16"/>
              </w:rPr>
              <w:t>表3.2.4-2  社区养老服务设施配建指标及要求</w:t>
            </w:r>
          </w:p>
          <w:tbl>
            <w:tblPr>
              <w:tblStyle w:val="7"/>
              <w:tblW w:w="878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277"/>
              <w:gridCol w:w="1134"/>
              <w:gridCol w:w="4394"/>
              <w:gridCol w:w="198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83" w:hRule="atLeast"/>
                <w:jc w:val="center"/>
              </w:trPr>
              <w:tc>
                <w:tcPr>
                  <w:tcW w:w="1277" w:type="dxa"/>
                  <w:vAlign w:val="center"/>
                </w:tcPr>
                <w:p>
                  <w:pPr>
                    <w:snapToGrid w:val="0"/>
                    <w:spacing w:line="240" w:lineRule="auto"/>
                    <w:jc w:val="center"/>
                    <w:rPr>
                      <w:rFonts w:hint="eastAsia" w:ascii="宋体" w:hAnsi="宋体" w:cs="宋体"/>
                      <w:b/>
                      <w:bCs/>
                      <w:sz w:val="18"/>
                      <w:szCs w:val="18"/>
                    </w:rPr>
                  </w:pPr>
                  <w:r>
                    <w:rPr>
                      <w:rFonts w:hint="eastAsia" w:ascii="宋体" w:hAnsi="宋体" w:cs="宋体"/>
                      <w:b/>
                      <w:bCs/>
                      <w:sz w:val="18"/>
                      <w:szCs w:val="18"/>
                    </w:rPr>
                    <w:t>服务区域</w:t>
                  </w:r>
                </w:p>
              </w:tc>
              <w:tc>
                <w:tcPr>
                  <w:tcW w:w="1134" w:type="dxa"/>
                  <w:vAlign w:val="center"/>
                </w:tcPr>
                <w:p>
                  <w:pPr>
                    <w:snapToGrid w:val="0"/>
                    <w:spacing w:line="240" w:lineRule="auto"/>
                    <w:jc w:val="center"/>
                    <w:rPr>
                      <w:rFonts w:hint="eastAsia" w:ascii="宋体" w:hAnsi="宋体" w:cs="宋体"/>
                      <w:b/>
                      <w:bCs/>
                      <w:sz w:val="18"/>
                      <w:szCs w:val="18"/>
                    </w:rPr>
                  </w:pPr>
                  <w:r>
                    <w:rPr>
                      <w:rFonts w:hint="eastAsia" w:ascii="宋体" w:hAnsi="宋体" w:cs="宋体"/>
                      <w:b/>
                      <w:bCs/>
                      <w:sz w:val="18"/>
                      <w:szCs w:val="18"/>
                    </w:rPr>
                    <w:t>常住人口（万人）</w:t>
                  </w:r>
                </w:p>
              </w:tc>
              <w:tc>
                <w:tcPr>
                  <w:tcW w:w="4394" w:type="dxa"/>
                  <w:vAlign w:val="center"/>
                </w:tcPr>
                <w:p>
                  <w:pPr>
                    <w:snapToGrid w:val="0"/>
                    <w:spacing w:line="240" w:lineRule="auto"/>
                    <w:jc w:val="center"/>
                    <w:rPr>
                      <w:rFonts w:hint="eastAsia" w:ascii="宋体" w:hAnsi="宋体" w:cs="宋体"/>
                      <w:b/>
                      <w:bCs/>
                      <w:sz w:val="18"/>
                      <w:szCs w:val="18"/>
                    </w:rPr>
                  </w:pPr>
                  <w:r>
                    <w:rPr>
                      <w:rFonts w:hint="eastAsia" w:ascii="宋体" w:hAnsi="宋体" w:cs="宋体"/>
                      <w:b/>
                      <w:bCs/>
                      <w:sz w:val="18"/>
                      <w:szCs w:val="18"/>
                    </w:rPr>
                    <w:t>配建要求</w:t>
                  </w:r>
                </w:p>
              </w:tc>
              <w:tc>
                <w:tcPr>
                  <w:tcW w:w="1983" w:type="dxa"/>
                  <w:vAlign w:val="center"/>
                </w:tcPr>
                <w:p>
                  <w:pPr>
                    <w:snapToGrid w:val="0"/>
                    <w:spacing w:line="240" w:lineRule="auto"/>
                    <w:jc w:val="center"/>
                    <w:rPr>
                      <w:rFonts w:hint="eastAsia" w:ascii="宋体" w:hAnsi="宋体" w:cs="宋体"/>
                      <w:b/>
                      <w:bCs/>
                      <w:sz w:val="18"/>
                      <w:szCs w:val="18"/>
                    </w:rPr>
                  </w:pPr>
                  <w:r>
                    <w:rPr>
                      <w:rFonts w:hint="eastAsia" w:ascii="宋体" w:hAnsi="宋体" w:cs="宋体"/>
                      <w:b/>
                      <w:bCs/>
                      <w:sz w:val="18"/>
                      <w:szCs w:val="18"/>
                    </w:rPr>
                    <w:t>建筑面积配建指标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8" w:hRule="atLeast"/>
                <w:jc w:val="center"/>
              </w:trPr>
              <w:tc>
                <w:tcPr>
                  <w:tcW w:w="1277" w:type="dxa"/>
                  <w:vAlign w:val="center"/>
                </w:tcPr>
                <w:p>
                  <w:pPr>
                    <w:snapToGrid w:val="0"/>
                    <w:spacing w:line="240" w:lineRule="auto"/>
                    <w:jc w:val="center"/>
                    <w:rPr>
                      <w:rFonts w:hint="eastAsia" w:ascii="宋体" w:hAnsi="宋体" w:cs="宋体"/>
                      <w:sz w:val="18"/>
                      <w:szCs w:val="18"/>
                    </w:rPr>
                  </w:pPr>
                  <w:r>
                    <w:rPr>
                      <w:rFonts w:hint="eastAsia" w:ascii="宋体" w:hAnsi="宋体" w:cs="宋体"/>
                      <w:sz w:val="18"/>
                      <w:szCs w:val="18"/>
                    </w:rPr>
                    <w:t>中心城区</w:t>
                  </w:r>
                </w:p>
              </w:tc>
              <w:tc>
                <w:tcPr>
                  <w:tcW w:w="1134" w:type="dxa"/>
                  <w:vAlign w:val="center"/>
                </w:tcPr>
                <w:p>
                  <w:pPr>
                    <w:snapToGrid w:val="0"/>
                    <w:spacing w:line="240" w:lineRule="auto"/>
                    <w:jc w:val="center"/>
                    <w:rPr>
                      <w:rFonts w:hint="eastAsia" w:ascii="宋体" w:hAnsi="宋体" w:cs="宋体"/>
                      <w:sz w:val="18"/>
                      <w:szCs w:val="18"/>
                    </w:rPr>
                  </w:pPr>
                  <w:r>
                    <w:rPr>
                      <w:rFonts w:hint="eastAsia" w:ascii="宋体" w:hAnsi="宋体" w:cs="宋体"/>
                      <w:sz w:val="18"/>
                      <w:szCs w:val="18"/>
                    </w:rPr>
                    <w:t>-</w:t>
                  </w:r>
                </w:p>
              </w:tc>
              <w:tc>
                <w:tcPr>
                  <w:tcW w:w="4394" w:type="dxa"/>
                  <w:vAlign w:val="center"/>
                </w:tcPr>
                <w:p>
                  <w:pPr>
                    <w:snapToGrid w:val="0"/>
                    <w:spacing w:line="240" w:lineRule="auto"/>
                    <w:jc w:val="left"/>
                    <w:rPr>
                      <w:rFonts w:hint="eastAsia" w:ascii="宋体" w:hAnsi="宋体" w:cs="宋体"/>
                      <w:sz w:val="18"/>
                      <w:szCs w:val="18"/>
                    </w:rPr>
                  </w:pPr>
                  <w:r>
                    <w:rPr>
                      <w:rFonts w:hint="eastAsia" w:ascii="宋体" w:hAnsi="宋体" w:cs="宋体"/>
                      <w:sz w:val="18"/>
                      <w:szCs w:val="18"/>
                    </w:rPr>
                    <w:t>各县（县级市、市辖区）应设置1处县级养老服务指导中心</w:t>
                  </w:r>
                </w:p>
              </w:tc>
              <w:tc>
                <w:tcPr>
                  <w:tcW w:w="1983" w:type="dxa"/>
                  <w:vAlign w:val="center"/>
                </w:tcPr>
                <w:p>
                  <w:pPr>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≥600</w:t>
                  </w:r>
                  <w:r>
                    <w:rPr>
                      <w:rFonts w:hint="eastAsia" w:ascii="宋体" w:hAnsi="宋体" w:cs="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22" w:hRule="atLeast"/>
                <w:jc w:val="center"/>
              </w:trPr>
              <w:tc>
                <w:tcPr>
                  <w:tcW w:w="1277" w:type="dxa"/>
                  <w:vAlign w:val="center"/>
                </w:tcPr>
                <w:p>
                  <w:pPr>
                    <w:snapToGrid w:val="0"/>
                    <w:spacing w:line="240" w:lineRule="auto"/>
                    <w:jc w:val="center"/>
                    <w:rPr>
                      <w:rFonts w:hint="eastAsia" w:ascii="宋体" w:hAnsi="宋体" w:cs="宋体"/>
                      <w:sz w:val="18"/>
                      <w:szCs w:val="18"/>
                    </w:rPr>
                  </w:pPr>
                  <w:r>
                    <w:rPr>
                      <w:rFonts w:hint="eastAsia" w:ascii="宋体" w:hAnsi="宋体" w:cs="宋体"/>
                      <w:sz w:val="18"/>
                      <w:szCs w:val="18"/>
                    </w:rPr>
                    <w:t>街道</w:t>
                  </w:r>
                </w:p>
              </w:tc>
              <w:tc>
                <w:tcPr>
                  <w:tcW w:w="1134" w:type="dxa"/>
                  <w:vAlign w:val="center"/>
                </w:tcPr>
                <w:p>
                  <w:pPr>
                    <w:snapToGrid w:val="0"/>
                    <w:spacing w:line="240" w:lineRule="auto"/>
                    <w:jc w:val="center"/>
                    <w:rPr>
                      <w:rFonts w:hint="eastAsia" w:ascii="宋体" w:hAnsi="宋体" w:cs="宋体"/>
                      <w:sz w:val="18"/>
                      <w:szCs w:val="18"/>
                    </w:rPr>
                  </w:pPr>
                  <w:r>
                    <w:rPr>
                      <w:rFonts w:hint="eastAsia" w:ascii="宋体" w:hAnsi="宋体" w:cs="宋体"/>
                      <w:sz w:val="18"/>
                      <w:szCs w:val="18"/>
                    </w:rPr>
                    <w:t>5.0左右</w:t>
                  </w:r>
                </w:p>
              </w:tc>
              <w:tc>
                <w:tcPr>
                  <w:tcW w:w="4394" w:type="dxa"/>
                  <w:vAlign w:val="center"/>
                </w:tcPr>
                <w:p>
                  <w:pPr>
                    <w:snapToGrid w:val="0"/>
                    <w:spacing w:line="240" w:lineRule="auto"/>
                    <w:jc w:val="left"/>
                    <w:rPr>
                      <w:rFonts w:ascii="宋体" w:hAnsi="宋体" w:cs="宋体"/>
                      <w:sz w:val="18"/>
                      <w:szCs w:val="18"/>
                    </w:rPr>
                  </w:pPr>
                  <w:r>
                    <w:rPr>
                      <w:rFonts w:hint="eastAsia" w:ascii="宋体" w:hAnsi="宋体" w:cs="宋体"/>
                      <w:sz w:val="18"/>
                      <w:szCs w:val="18"/>
                    </w:rPr>
                    <w:t>（1）应设置1处街道养老服务中心</w:t>
                  </w:r>
                </w:p>
                <w:p>
                  <w:pPr>
                    <w:snapToGrid w:val="0"/>
                    <w:spacing w:line="240" w:lineRule="auto"/>
                    <w:jc w:val="left"/>
                    <w:rPr>
                      <w:rFonts w:hint="eastAsia" w:ascii="宋体" w:hAnsi="宋体" w:cs="宋体"/>
                      <w:sz w:val="18"/>
                      <w:szCs w:val="18"/>
                    </w:rPr>
                  </w:pPr>
                  <w:r>
                    <w:rPr>
                      <w:rFonts w:hint="eastAsia" w:ascii="宋体" w:hAnsi="宋体" w:cs="宋体"/>
                      <w:sz w:val="18"/>
                      <w:szCs w:val="18"/>
                    </w:rPr>
                    <w:t>（2）鼓励建设社区嵌入式养老服务机构（综合体），床位不少于10张，一般不超过150张，可与其他服务设施合建</w:t>
                  </w:r>
                </w:p>
              </w:tc>
              <w:tc>
                <w:tcPr>
                  <w:tcW w:w="1983" w:type="dxa"/>
                  <w:vAlign w:val="center"/>
                </w:tcPr>
                <w:p>
                  <w:pPr>
                    <w:snapToGrid w:val="0"/>
                    <w:spacing w:line="240" w:lineRule="auto"/>
                    <w:jc w:val="center"/>
                    <w:rPr>
                      <w:rFonts w:ascii="宋体" w:hAnsi="宋体" w:cs="宋体"/>
                      <w:sz w:val="18"/>
                      <w:szCs w:val="18"/>
                    </w:rPr>
                  </w:pPr>
                  <w:r>
                    <w:rPr>
                      <w:rFonts w:hint="eastAsia" w:ascii="宋体" w:hAnsi="宋体" w:cs="宋体"/>
                      <w:sz w:val="18"/>
                      <w:szCs w:val="18"/>
                    </w:rPr>
                    <w:t>街道养老服务中心</w:t>
                  </w:r>
                  <w:r>
                    <w:rPr>
                      <w:rFonts w:hint="eastAsia" w:ascii="宋体" w:hAnsi="宋体" w:cs="宋体"/>
                      <w:kern w:val="0"/>
                      <w:sz w:val="18"/>
                      <w:szCs w:val="18"/>
                    </w:rPr>
                    <w:t>≥500</w:t>
                  </w:r>
                  <w:r>
                    <w:rPr>
                      <w:rFonts w:hint="eastAsia" w:ascii="宋体" w:hAnsi="宋体" w:cs="宋体"/>
                      <w:sz w:val="18"/>
                      <w:szCs w:val="18"/>
                    </w:rPr>
                    <w:t>㎡</w:t>
                  </w:r>
                </w:p>
                <w:p>
                  <w:pPr>
                    <w:snapToGrid w:val="0"/>
                    <w:spacing w:line="240" w:lineRule="auto"/>
                    <w:jc w:val="center"/>
                    <w:rPr>
                      <w:rFonts w:hint="eastAsia" w:ascii="宋体" w:hAnsi="宋体" w:cs="宋体"/>
                      <w:kern w:val="0"/>
                      <w:sz w:val="18"/>
                      <w:szCs w:val="18"/>
                    </w:rPr>
                  </w:pPr>
                  <w:r>
                    <w:rPr>
                      <w:rFonts w:hint="eastAsia" w:ascii="宋体" w:hAnsi="宋体" w:cs="宋体"/>
                      <w:sz w:val="18"/>
                      <w:szCs w:val="18"/>
                    </w:rPr>
                    <w:t>社区嵌入式养老服务机构（综合体）</w:t>
                  </w:r>
                  <w:r>
                    <w:rPr>
                      <w:rFonts w:hint="eastAsia" w:ascii="宋体" w:hAnsi="宋体" w:cs="宋体"/>
                      <w:kern w:val="0"/>
                      <w:sz w:val="18"/>
                      <w:szCs w:val="18"/>
                    </w:rPr>
                    <w:t>≥1000</w:t>
                  </w:r>
                  <w:r>
                    <w:rPr>
                      <w:rFonts w:hint="eastAsia" w:ascii="宋体" w:hAnsi="宋体" w:cs="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8" w:hRule="atLeast"/>
                <w:jc w:val="center"/>
              </w:trPr>
              <w:tc>
                <w:tcPr>
                  <w:tcW w:w="1277" w:type="dxa"/>
                  <w:vAlign w:val="center"/>
                </w:tcPr>
                <w:p>
                  <w:pPr>
                    <w:spacing w:line="240" w:lineRule="auto"/>
                    <w:jc w:val="center"/>
                    <w:rPr>
                      <w:rFonts w:ascii="宋体" w:hAnsi="宋体" w:cs="宋体"/>
                      <w:sz w:val="18"/>
                      <w:szCs w:val="18"/>
                    </w:rPr>
                  </w:pPr>
                  <w:r>
                    <w:rPr>
                      <w:rFonts w:hint="eastAsia" w:ascii="宋体" w:hAnsi="宋体" w:cs="宋体"/>
                      <w:sz w:val="18"/>
                      <w:szCs w:val="18"/>
                    </w:rPr>
                    <w:t>镇区</w:t>
                  </w:r>
                </w:p>
                <w:p>
                  <w:pPr>
                    <w:snapToGrid w:val="0"/>
                    <w:spacing w:line="240" w:lineRule="auto"/>
                    <w:jc w:val="center"/>
                    <w:rPr>
                      <w:rFonts w:hint="eastAsia" w:ascii="宋体" w:hAnsi="宋体" w:cs="宋体"/>
                      <w:sz w:val="18"/>
                      <w:szCs w:val="18"/>
                    </w:rPr>
                  </w:pPr>
                  <w:r>
                    <w:rPr>
                      <w:rFonts w:hint="eastAsia" w:ascii="宋体" w:hAnsi="宋体" w:cs="宋体"/>
                      <w:sz w:val="18"/>
                      <w:szCs w:val="18"/>
                    </w:rPr>
                    <w:t>（乡集镇）</w:t>
                  </w:r>
                </w:p>
              </w:tc>
              <w:tc>
                <w:tcPr>
                  <w:tcW w:w="1134" w:type="dxa"/>
                  <w:vAlign w:val="center"/>
                </w:tcPr>
                <w:p>
                  <w:pPr>
                    <w:snapToGrid w:val="0"/>
                    <w:spacing w:line="240" w:lineRule="auto"/>
                    <w:jc w:val="center"/>
                    <w:rPr>
                      <w:rFonts w:hint="eastAsia" w:ascii="宋体" w:hAnsi="宋体" w:cs="宋体"/>
                      <w:sz w:val="18"/>
                      <w:szCs w:val="18"/>
                    </w:rPr>
                  </w:pPr>
                  <w:r>
                    <w:rPr>
                      <w:rFonts w:hint="eastAsia" w:ascii="宋体" w:hAnsi="宋体" w:cs="宋体"/>
                      <w:sz w:val="18"/>
                      <w:szCs w:val="18"/>
                    </w:rPr>
                    <w:t>-</w:t>
                  </w:r>
                </w:p>
              </w:tc>
              <w:tc>
                <w:tcPr>
                  <w:tcW w:w="4394" w:type="dxa"/>
                  <w:vAlign w:val="center"/>
                </w:tcPr>
                <w:p>
                  <w:pPr>
                    <w:snapToGrid w:val="0"/>
                    <w:spacing w:line="240" w:lineRule="auto"/>
                    <w:jc w:val="left"/>
                    <w:rPr>
                      <w:rFonts w:ascii="宋体" w:hAnsi="宋体" w:cs="宋体"/>
                      <w:sz w:val="18"/>
                      <w:szCs w:val="18"/>
                    </w:rPr>
                  </w:pPr>
                  <w:r>
                    <w:rPr>
                      <w:rFonts w:hint="eastAsia" w:ascii="宋体" w:hAnsi="宋体" w:cs="宋体"/>
                      <w:sz w:val="18"/>
                      <w:szCs w:val="18"/>
                    </w:rPr>
                    <w:t>（1）应设置1处乡镇养老服务中心，根据需要附设全托床位，为居家失能失智老年人提供短期托养服务</w:t>
                  </w:r>
                </w:p>
                <w:p>
                  <w:pPr>
                    <w:snapToGrid w:val="0"/>
                    <w:spacing w:line="240" w:lineRule="auto"/>
                    <w:jc w:val="left"/>
                    <w:rPr>
                      <w:rFonts w:hint="eastAsia" w:ascii="宋体" w:hAnsi="宋体" w:cs="宋体"/>
                      <w:sz w:val="18"/>
                      <w:szCs w:val="18"/>
                    </w:rPr>
                  </w:pPr>
                  <w:r>
                    <w:rPr>
                      <w:rFonts w:hint="eastAsia" w:ascii="宋体" w:hAnsi="宋体" w:cs="宋体"/>
                      <w:sz w:val="18"/>
                      <w:szCs w:val="18"/>
                    </w:rPr>
                    <w:t>（2）镇区人口规模大于</w:t>
                  </w:r>
                  <w:r>
                    <w:rPr>
                      <w:rFonts w:ascii="宋体" w:hAnsi="宋体" w:cs="宋体"/>
                      <w:sz w:val="18"/>
                      <w:szCs w:val="18"/>
                    </w:rPr>
                    <w:t>3</w:t>
                  </w:r>
                  <w:r>
                    <w:rPr>
                      <w:rFonts w:hint="eastAsia" w:ascii="宋体" w:hAnsi="宋体" w:cs="宋体"/>
                      <w:sz w:val="18"/>
                      <w:szCs w:val="18"/>
                    </w:rPr>
                    <w:t>万人的乡镇，根据服务半径，每增加1.5万人，宜增设1处养老服务站，附设中午休息简易床位</w:t>
                  </w:r>
                </w:p>
              </w:tc>
              <w:tc>
                <w:tcPr>
                  <w:tcW w:w="1983" w:type="dxa"/>
                  <w:vAlign w:val="center"/>
                </w:tcPr>
                <w:p>
                  <w:pPr>
                    <w:snapToGrid w:val="0"/>
                    <w:spacing w:line="240" w:lineRule="auto"/>
                    <w:jc w:val="center"/>
                    <w:rPr>
                      <w:rFonts w:ascii="宋体" w:hAnsi="宋体" w:cs="宋体"/>
                      <w:sz w:val="18"/>
                      <w:szCs w:val="18"/>
                    </w:rPr>
                  </w:pPr>
                  <w:r>
                    <w:rPr>
                      <w:rFonts w:hint="eastAsia" w:ascii="宋体" w:hAnsi="宋体" w:cs="宋体"/>
                      <w:sz w:val="18"/>
                      <w:szCs w:val="18"/>
                    </w:rPr>
                    <w:t>乡镇养老服务中心</w:t>
                  </w:r>
                </w:p>
                <w:p>
                  <w:pPr>
                    <w:snapToGrid w:val="0"/>
                    <w:spacing w:line="240" w:lineRule="auto"/>
                    <w:jc w:val="center"/>
                    <w:rPr>
                      <w:rFonts w:ascii="宋体" w:hAnsi="宋体" w:cs="宋体"/>
                      <w:sz w:val="18"/>
                      <w:szCs w:val="18"/>
                    </w:rPr>
                  </w:pPr>
                  <w:r>
                    <w:rPr>
                      <w:rFonts w:hint="eastAsia" w:ascii="宋体" w:hAnsi="宋体" w:cs="宋体"/>
                      <w:kern w:val="0"/>
                      <w:sz w:val="18"/>
                      <w:szCs w:val="18"/>
                    </w:rPr>
                    <w:t>≥500</w:t>
                  </w:r>
                  <w:r>
                    <w:rPr>
                      <w:rFonts w:hint="eastAsia" w:ascii="宋体" w:hAnsi="宋体" w:cs="宋体"/>
                      <w:sz w:val="18"/>
                      <w:szCs w:val="18"/>
                    </w:rPr>
                    <w:t>㎡</w:t>
                  </w:r>
                </w:p>
                <w:p>
                  <w:pPr>
                    <w:snapToGrid w:val="0"/>
                    <w:spacing w:line="240" w:lineRule="auto"/>
                    <w:jc w:val="center"/>
                    <w:rPr>
                      <w:rFonts w:ascii="宋体" w:hAnsi="宋体" w:cs="宋体"/>
                      <w:sz w:val="18"/>
                      <w:szCs w:val="18"/>
                    </w:rPr>
                  </w:pPr>
                  <w:r>
                    <w:rPr>
                      <w:rFonts w:hint="eastAsia" w:ascii="宋体" w:hAnsi="宋体" w:cs="宋体"/>
                      <w:sz w:val="18"/>
                      <w:szCs w:val="18"/>
                    </w:rPr>
                    <w:t>养老服务站</w:t>
                  </w:r>
                </w:p>
                <w:p>
                  <w:pPr>
                    <w:snapToGrid w:val="0"/>
                    <w:spacing w:line="240" w:lineRule="auto"/>
                    <w:jc w:val="center"/>
                    <w:rPr>
                      <w:rFonts w:hint="eastAsia" w:ascii="宋体" w:hAnsi="宋体" w:cs="宋体"/>
                      <w:sz w:val="18"/>
                      <w:szCs w:val="18"/>
                    </w:rPr>
                  </w:pPr>
                  <w:r>
                    <w:rPr>
                      <w:rFonts w:hint="eastAsia" w:ascii="宋体" w:hAnsi="宋体" w:cs="宋体"/>
                      <w:kern w:val="0"/>
                      <w:sz w:val="18"/>
                      <w:szCs w:val="18"/>
                    </w:rPr>
                    <w:t>≥300</w:t>
                  </w:r>
                  <w:r>
                    <w:rPr>
                      <w:rFonts w:hint="eastAsia" w:ascii="宋体" w:hAnsi="宋体" w:cs="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8" w:hRule="atLeast"/>
                <w:jc w:val="center"/>
              </w:trPr>
              <w:tc>
                <w:tcPr>
                  <w:tcW w:w="1277" w:type="dxa"/>
                  <w:vAlign w:val="center"/>
                </w:tcPr>
                <w:p>
                  <w:pPr>
                    <w:snapToGrid w:val="0"/>
                    <w:spacing w:line="240" w:lineRule="auto"/>
                    <w:jc w:val="center"/>
                    <w:rPr>
                      <w:rFonts w:hint="eastAsia" w:ascii="宋体" w:hAnsi="宋体" w:cs="宋体"/>
                      <w:sz w:val="18"/>
                      <w:szCs w:val="18"/>
                    </w:rPr>
                  </w:pPr>
                  <w:r>
                    <w:rPr>
                      <w:rFonts w:hint="eastAsia" w:ascii="宋体" w:hAnsi="宋体" w:cs="宋体"/>
                      <w:sz w:val="18"/>
                      <w:szCs w:val="18"/>
                    </w:rPr>
                    <w:t>社区</w:t>
                  </w:r>
                </w:p>
              </w:tc>
              <w:tc>
                <w:tcPr>
                  <w:tcW w:w="1134" w:type="dxa"/>
                  <w:vAlign w:val="center"/>
                </w:tcPr>
                <w:p>
                  <w:pPr>
                    <w:snapToGrid w:val="0"/>
                    <w:spacing w:line="240" w:lineRule="auto"/>
                    <w:jc w:val="center"/>
                    <w:rPr>
                      <w:rFonts w:hint="eastAsia" w:ascii="宋体" w:hAnsi="宋体" w:cs="宋体"/>
                      <w:sz w:val="18"/>
                      <w:szCs w:val="18"/>
                    </w:rPr>
                  </w:pPr>
                  <w:r>
                    <w:rPr>
                      <w:rFonts w:hint="eastAsia" w:ascii="宋体" w:hAnsi="宋体" w:cs="宋体"/>
                      <w:sz w:val="18"/>
                      <w:szCs w:val="18"/>
                    </w:rPr>
                    <w:t>1.0左右</w:t>
                  </w:r>
                </w:p>
              </w:tc>
              <w:tc>
                <w:tcPr>
                  <w:tcW w:w="4394" w:type="dxa"/>
                  <w:vAlign w:val="center"/>
                </w:tcPr>
                <w:p>
                  <w:pPr>
                    <w:snapToGrid w:val="0"/>
                    <w:spacing w:line="240" w:lineRule="auto"/>
                    <w:jc w:val="left"/>
                    <w:rPr>
                      <w:rFonts w:ascii="宋体" w:hAnsi="宋体" w:cs="宋体"/>
                      <w:sz w:val="18"/>
                      <w:szCs w:val="18"/>
                    </w:rPr>
                  </w:pPr>
                  <w:r>
                    <w:rPr>
                      <w:rFonts w:hint="eastAsia" w:ascii="宋体" w:hAnsi="宋体" w:cs="宋体"/>
                      <w:sz w:val="18"/>
                      <w:szCs w:val="18"/>
                    </w:rPr>
                    <w:t>（1）应设置1处社区养老服务站，并附设中午休息简易床位</w:t>
                  </w:r>
                </w:p>
                <w:p>
                  <w:pPr>
                    <w:snapToGrid w:val="0"/>
                    <w:spacing w:line="240" w:lineRule="auto"/>
                    <w:jc w:val="left"/>
                    <w:rPr>
                      <w:rFonts w:hint="eastAsia" w:ascii="宋体" w:hAnsi="宋体" w:cs="宋体"/>
                      <w:sz w:val="18"/>
                      <w:szCs w:val="18"/>
                    </w:rPr>
                  </w:pPr>
                  <w:r>
                    <w:rPr>
                      <w:rFonts w:hint="eastAsia" w:ascii="宋体" w:hAnsi="宋体" w:cs="宋体"/>
                      <w:sz w:val="18"/>
                      <w:szCs w:val="18"/>
                    </w:rPr>
                    <w:t>（2）人口规模大的社区，应根据老年人口数量、服务半径等情况，综合确定社区养老服务站数量和空间布局</w:t>
                  </w:r>
                </w:p>
              </w:tc>
              <w:tc>
                <w:tcPr>
                  <w:tcW w:w="1983" w:type="dxa"/>
                  <w:vAlign w:val="center"/>
                </w:tcPr>
                <w:p>
                  <w:pPr>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350</w:t>
                  </w:r>
                  <w:r>
                    <w:rPr>
                      <w:rFonts w:hint="eastAsia" w:ascii="宋体" w:hAnsi="宋体" w:cs="宋体"/>
                      <w:sz w:val="18"/>
                      <w:szCs w:val="18"/>
                    </w:rPr>
                    <w:t>～</w:t>
                  </w:r>
                  <w:r>
                    <w:rPr>
                      <w:rFonts w:ascii="宋体" w:hAnsi="宋体" w:cs="宋体"/>
                      <w:kern w:val="0"/>
                      <w:sz w:val="18"/>
                      <w:szCs w:val="18"/>
                    </w:rPr>
                    <w:t>750</w:t>
                  </w:r>
                  <w:r>
                    <w:rPr>
                      <w:rFonts w:hint="eastAsia" w:ascii="宋体" w:hAnsi="宋体" w:cs="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8" w:hRule="atLeast"/>
                <w:jc w:val="center"/>
              </w:trPr>
              <w:tc>
                <w:tcPr>
                  <w:tcW w:w="1277" w:type="dxa"/>
                  <w:vAlign w:val="center"/>
                </w:tcPr>
                <w:p>
                  <w:pPr>
                    <w:snapToGrid w:val="0"/>
                    <w:spacing w:line="240" w:lineRule="auto"/>
                    <w:jc w:val="center"/>
                    <w:rPr>
                      <w:rFonts w:hint="eastAsia" w:ascii="宋体" w:hAnsi="宋体" w:cs="宋体"/>
                      <w:sz w:val="18"/>
                      <w:szCs w:val="18"/>
                    </w:rPr>
                  </w:pPr>
                  <w:r>
                    <w:rPr>
                      <w:rFonts w:hint="eastAsia" w:ascii="宋体" w:hAnsi="宋体" w:cs="宋体"/>
                      <w:sz w:val="18"/>
                      <w:szCs w:val="18"/>
                    </w:rPr>
                    <w:t>村庄</w:t>
                  </w:r>
                </w:p>
              </w:tc>
              <w:tc>
                <w:tcPr>
                  <w:tcW w:w="1134" w:type="dxa"/>
                  <w:vAlign w:val="center"/>
                </w:tcPr>
                <w:p>
                  <w:pPr>
                    <w:snapToGrid w:val="0"/>
                    <w:spacing w:line="240" w:lineRule="auto"/>
                    <w:jc w:val="center"/>
                    <w:rPr>
                      <w:rFonts w:hint="eastAsia" w:ascii="宋体" w:hAnsi="宋体" w:cs="宋体"/>
                      <w:sz w:val="18"/>
                      <w:szCs w:val="18"/>
                    </w:rPr>
                  </w:pPr>
                  <w:r>
                    <w:rPr>
                      <w:rFonts w:hint="eastAsia" w:ascii="宋体" w:hAnsi="宋体" w:cs="宋体"/>
                      <w:sz w:val="18"/>
                      <w:szCs w:val="18"/>
                    </w:rPr>
                    <w:t>-</w:t>
                  </w:r>
                </w:p>
              </w:tc>
              <w:tc>
                <w:tcPr>
                  <w:tcW w:w="4394" w:type="dxa"/>
                  <w:vAlign w:val="center"/>
                </w:tcPr>
                <w:p>
                  <w:pPr>
                    <w:snapToGrid w:val="0"/>
                    <w:spacing w:line="240" w:lineRule="auto"/>
                    <w:jc w:val="left"/>
                    <w:rPr>
                      <w:rFonts w:ascii="宋体" w:hAnsi="宋体" w:cs="宋体"/>
                      <w:sz w:val="18"/>
                      <w:szCs w:val="18"/>
                    </w:rPr>
                  </w:pPr>
                  <w:r>
                    <w:rPr>
                      <w:rFonts w:hint="eastAsia" w:ascii="宋体" w:hAnsi="宋体" w:cs="宋体"/>
                      <w:sz w:val="18"/>
                      <w:szCs w:val="18"/>
                    </w:rPr>
                    <w:t>（1）每个行政村宜设置1处养老服务站</w:t>
                  </w:r>
                </w:p>
                <w:p>
                  <w:pPr>
                    <w:snapToGrid w:val="0"/>
                    <w:spacing w:line="240" w:lineRule="auto"/>
                    <w:jc w:val="left"/>
                    <w:rPr>
                      <w:rFonts w:hint="eastAsia" w:ascii="宋体" w:hAnsi="宋体" w:cs="宋体"/>
                      <w:sz w:val="18"/>
                      <w:szCs w:val="18"/>
                    </w:rPr>
                  </w:pPr>
                  <w:r>
                    <w:rPr>
                      <w:rFonts w:hint="eastAsia" w:ascii="宋体" w:hAnsi="宋体" w:cs="宋体"/>
                      <w:sz w:val="18"/>
                      <w:szCs w:val="18"/>
                    </w:rPr>
                    <w:t>（2）建筑面积配置指标可依据村庄常住人口弹性设置</w:t>
                  </w:r>
                </w:p>
              </w:tc>
              <w:tc>
                <w:tcPr>
                  <w:tcW w:w="1983" w:type="dxa"/>
                  <w:vAlign w:val="center"/>
                </w:tcPr>
                <w:p>
                  <w:pPr>
                    <w:snapToGrid w:val="0"/>
                    <w:spacing w:line="240" w:lineRule="auto"/>
                    <w:jc w:val="center"/>
                    <w:rPr>
                      <w:rFonts w:hint="eastAsia" w:ascii="宋体" w:hAnsi="宋体" w:cs="宋体"/>
                      <w:kern w:val="0"/>
                      <w:sz w:val="18"/>
                      <w:szCs w:val="18"/>
                    </w:rPr>
                  </w:pPr>
                  <w:r>
                    <w:rPr>
                      <w:rFonts w:hint="eastAsia" w:ascii="宋体" w:hAnsi="宋体" w:cs="宋体"/>
                      <w:sz w:val="18"/>
                      <w:szCs w:val="18"/>
                    </w:rPr>
                    <w:t>（200～350）㎡/处</w:t>
                  </w:r>
                </w:p>
              </w:tc>
            </w:tr>
          </w:tbl>
          <w:p>
            <w:pPr>
              <w:spacing w:line="276" w:lineRule="auto"/>
              <w:ind w:firstLine="400" w:firstLineChars="200"/>
              <w:rPr>
                <w:rFonts w:hint="eastAsia" w:ascii="宋体" w:hAnsi="宋体" w:cs="宋体"/>
                <w:bCs/>
                <w:kern w:val="0"/>
                <w:sz w:val="20"/>
              </w:rPr>
            </w:pPr>
          </w:p>
          <w:p>
            <w:pPr>
              <w:ind w:firstLine="454"/>
              <w:rPr>
                <w:rFonts w:hint="eastAsia" w:ascii="宋体" w:hAnsi="宋体"/>
                <w:b/>
                <w:bCs/>
                <w:kern w:val="0"/>
              </w:rPr>
            </w:pPr>
            <w:r>
              <w:rPr>
                <w:rFonts w:hint="eastAsia" w:ascii="宋体" w:hAnsi="宋体"/>
                <w:b/>
                <w:bCs/>
                <w:kern w:val="0"/>
              </w:rPr>
              <w:t>第4章：布局选址</w:t>
            </w:r>
          </w:p>
          <w:p>
            <w:pPr>
              <w:spacing w:line="276" w:lineRule="auto"/>
              <w:ind w:firstLine="422" w:firstLineChars="200"/>
              <w:jc w:val="center"/>
              <w:rPr>
                <w:rFonts w:ascii="宋体" w:hAnsi="宋体" w:cs="宋体"/>
                <w:bCs/>
                <w:kern w:val="0"/>
                <w:sz w:val="20"/>
              </w:rPr>
            </w:pPr>
            <w:r>
              <w:rPr>
                <w:rFonts w:hint="eastAsia" w:ascii="宋体" w:hAnsi="宋体"/>
                <w:b/>
                <w:bCs/>
                <w:kern w:val="0"/>
              </w:rPr>
              <w:t>4.1 布 局</w:t>
            </w:r>
          </w:p>
          <w:p>
            <w:pPr>
              <w:spacing w:line="276" w:lineRule="auto"/>
              <w:ind w:firstLine="400" w:firstLineChars="200"/>
              <w:rPr>
                <w:rFonts w:hint="eastAsia" w:ascii="宋体" w:hAnsi="宋体" w:cs="宋体"/>
                <w:bCs/>
                <w:kern w:val="0"/>
                <w:sz w:val="20"/>
              </w:rPr>
            </w:pPr>
            <w:r>
              <w:rPr>
                <w:rFonts w:hint="eastAsia" w:ascii="宋体" w:hAnsi="宋体" w:cs="宋体"/>
                <w:bCs/>
                <w:kern w:val="0"/>
                <w:sz w:val="20"/>
              </w:rPr>
              <w:t>4.1.1  养老服务设施布局应符合国土空间规划的要求，以及当地老年人口的分布特点，并宜靠近居住人口集中的地区布局。</w:t>
            </w:r>
          </w:p>
          <w:p>
            <w:pPr>
              <w:spacing w:line="276" w:lineRule="auto"/>
              <w:ind w:firstLine="400" w:firstLineChars="200"/>
              <w:rPr>
                <w:rFonts w:hint="eastAsia" w:ascii="宋体" w:hAnsi="宋体" w:cs="宋体"/>
                <w:bCs/>
                <w:kern w:val="0"/>
                <w:sz w:val="20"/>
              </w:rPr>
            </w:pPr>
            <w:r>
              <w:rPr>
                <w:rFonts w:hint="eastAsia" w:ascii="宋体" w:hAnsi="宋体" w:cs="宋体"/>
                <w:bCs/>
                <w:kern w:val="0"/>
                <w:sz w:val="20"/>
              </w:rPr>
              <w:t>1 在国土空间总体规划中，明确养老服务设施的发展目标、规模及布局要求，在用地布局、社区生活圈、公共空间、无障碍设施规划等方面应考虑人口老龄化的影响，制定相应的策略；</w:t>
            </w:r>
          </w:p>
          <w:p>
            <w:pPr>
              <w:spacing w:line="276" w:lineRule="auto"/>
              <w:ind w:firstLine="400" w:firstLineChars="200"/>
              <w:rPr>
                <w:rFonts w:hint="eastAsia" w:ascii="宋体" w:hAnsi="宋体" w:cs="宋体"/>
                <w:bCs/>
                <w:kern w:val="0"/>
                <w:sz w:val="20"/>
              </w:rPr>
            </w:pPr>
            <w:r>
              <w:rPr>
                <w:rFonts w:hint="eastAsia" w:ascii="宋体" w:hAnsi="宋体" w:cs="宋体"/>
                <w:bCs/>
                <w:kern w:val="0"/>
                <w:sz w:val="20"/>
              </w:rPr>
              <w:t>2 在城乡养老服务设施布局国土空间专项规划中，统筹养老服务资源与医疗卫生资源，实现医养结合，合理确定养老服务设施体系及空间布局；将依法批准的专项规划纳入国民经济和社会发展规划和同级国土空间规划基础信息平台，叠加到国土空间规划“一张图”上，其主要内容纳入到详细规划中；</w:t>
            </w:r>
          </w:p>
          <w:p>
            <w:pPr>
              <w:spacing w:line="276" w:lineRule="auto"/>
              <w:ind w:firstLine="400" w:firstLineChars="200"/>
              <w:rPr>
                <w:rFonts w:hint="eastAsia" w:ascii="宋体" w:hAnsi="宋体" w:cs="宋体"/>
                <w:bCs/>
                <w:kern w:val="0"/>
                <w:sz w:val="20"/>
              </w:rPr>
            </w:pPr>
            <w:r>
              <w:rPr>
                <w:rFonts w:hint="eastAsia" w:ascii="宋体" w:hAnsi="宋体" w:cs="宋体"/>
                <w:bCs/>
                <w:kern w:val="0"/>
                <w:sz w:val="20"/>
              </w:rPr>
              <w:t>3 在城镇开发边界内详细规划中，将各级养老服务设施的用地规模、建设规模和空间位置落实到各管理单元。在村庄规划中，应以方便村民使用为原则，统筹安排村庄公共服务设施，在村域范围内确定养老服务设施的建设位置和规模。</w:t>
            </w:r>
          </w:p>
          <w:p>
            <w:pPr>
              <w:spacing w:line="276" w:lineRule="auto"/>
              <w:ind w:firstLine="400" w:firstLineChars="200"/>
              <w:rPr>
                <w:rFonts w:hint="eastAsia" w:ascii="宋体" w:hAnsi="宋体" w:cs="宋体"/>
                <w:bCs/>
                <w:kern w:val="0"/>
                <w:sz w:val="20"/>
              </w:rPr>
            </w:pPr>
            <w:r>
              <w:rPr>
                <w:rFonts w:hint="eastAsia" w:ascii="宋体" w:hAnsi="宋体" w:cs="宋体"/>
                <w:bCs/>
                <w:kern w:val="0"/>
                <w:sz w:val="20"/>
              </w:rPr>
              <w:t xml:space="preserve">4.1.2 机构养老服务设施布局应符合下列规定： </w:t>
            </w:r>
          </w:p>
          <w:p>
            <w:pPr>
              <w:spacing w:line="276" w:lineRule="auto"/>
              <w:ind w:firstLine="400" w:firstLineChars="200"/>
              <w:rPr>
                <w:rFonts w:hint="eastAsia" w:ascii="宋体" w:hAnsi="宋体" w:cs="宋体"/>
                <w:bCs/>
                <w:kern w:val="0"/>
                <w:sz w:val="20"/>
              </w:rPr>
            </w:pPr>
            <w:r>
              <w:rPr>
                <w:rFonts w:hint="eastAsia" w:ascii="宋体" w:hAnsi="宋体" w:cs="宋体"/>
                <w:bCs/>
                <w:kern w:val="0"/>
                <w:sz w:val="20"/>
              </w:rPr>
              <w:t>1 城市应根据养老需求和宜托宜管的原则，结合县区、街道管辖范围等因素分区设置；乡镇应以乡镇管辖范围综合设置。</w:t>
            </w:r>
          </w:p>
          <w:p>
            <w:pPr>
              <w:spacing w:line="276" w:lineRule="auto"/>
              <w:ind w:firstLine="400" w:firstLineChars="200"/>
              <w:rPr>
                <w:rFonts w:ascii="宋体" w:hAnsi="宋体" w:cs="宋体"/>
                <w:bCs/>
                <w:kern w:val="0"/>
                <w:sz w:val="20"/>
              </w:rPr>
            </w:pPr>
            <w:r>
              <w:rPr>
                <w:rFonts w:hint="eastAsia" w:ascii="宋体" w:hAnsi="宋体" w:cs="宋体"/>
                <w:bCs/>
                <w:kern w:val="0"/>
                <w:sz w:val="20"/>
              </w:rPr>
              <w:t>2 宜独立设置，可与医院、乡镇卫生院、康复中心、公园绿地、老年人活动设施等邻近设置，实现居家社区机构相融合。</w:t>
            </w:r>
          </w:p>
          <w:p>
            <w:pPr>
              <w:spacing w:line="276" w:lineRule="auto"/>
              <w:ind w:firstLine="400" w:firstLineChars="200"/>
              <w:rPr>
                <w:rFonts w:hint="eastAsia" w:ascii="宋体" w:hAnsi="宋体" w:cs="宋体"/>
                <w:bCs/>
                <w:kern w:val="0"/>
                <w:sz w:val="20"/>
              </w:rPr>
            </w:pPr>
            <w:r>
              <w:rPr>
                <w:rFonts w:hint="eastAsia" w:ascii="宋体" w:hAnsi="宋体" w:cs="宋体"/>
                <w:bCs/>
                <w:kern w:val="0"/>
                <w:sz w:val="20"/>
              </w:rPr>
              <w:t xml:space="preserve">4.1.3 社区养老服务设施布局应符合下列规定： </w:t>
            </w:r>
          </w:p>
          <w:p>
            <w:pPr>
              <w:spacing w:line="276" w:lineRule="auto"/>
              <w:ind w:firstLine="400" w:firstLineChars="200"/>
              <w:rPr>
                <w:rFonts w:hint="eastAsia" w:ascii="宋体" w:hAnsi="宋体" w:cs="宋体"/>
                <w:bCs/>
                <w:kern w:val="0"/>
                <w:sz w:val="20"/>
              </w:rPr>
            </w:pPr>
            <w:r>
              <w:rPr>
                <w:rFonts w:hint="eastAsia" w:ascii="宋体" w:hAnsi="宋体" w:cs="宋体"/>
                <w:bCs/>
                <w:kern w:val="0"/>
                <w:sz w:val="20"/>
              </w:rPr>
              <w:t>1 城市应结合街道、社区管辖范围等因素均衡设置，服务半径宜小于300m。城市新建居住（小）区按照每百户不得低于30平方米、单体建筑面积不得低于350平方米，老城区和已建成居住（小）区要结合城市更新、城镇老旧小区改造等工作，按照每百户不得低于20平方米的标准配套建设养老服务设施，不得配置在地下层、半地下层、夹层、架空层、顶楼、阁楼、车库，不得分散配置。宜与基本公共服务设施统筹规划，并鼓励与社区服务设施、医疗机构、公园绿地、幼儿园、其他为老服务设施等综合设置，方便使用。</w:t>
            </w:r>
          </w:p>
          <w:p>
            <w:pPr>
              <w:spacing w:line="276" w:lineRule="auto"/>
              <w:ind w:firstLine="400" w:firstLineChars="200"/>
              <w:rPr>
                <w:rFonts w:hint="eastAsia" w:ascii="宋体" w:hAnsi="宋体" w:cs="宋体"/>
                <w:bCs/>
                <w:kern w:val="0"/>
                <w:sz w:val="20"/>
              </w:rPr>
            </w:pPr>
            <w:r>
              <w:rPr>
                <w:rFonts w:hint="eastAsia" w:ascii="宋体" w:hAnsi="宋体" w:cs="宋体"/>
                <w:bCs/>
                <w:kern w:val="0"/>
                <w:sz w:val="20"/>
              </w:rPr>
              <w:t>2 乡镇应结合乡镇政府驻地、村庄范围及常住人口规模等因素分级合理设置，服务半径宜小于1000m。可结合运营中的农村特困人员供养机构、乡镇卫生院、综合服务中心、农村幸福院等已有服务设施综合设置，方便使用；并鼓励利用村委会办公用房、校舍等闲置资源因地制宜改建为养老服务设施。</w:t>
            </w:r>
          </w:p>
          <w:p>
            <w:pPr>
              <w:spacing w:line="276" w:lineRule="auto"/>
              <w:ind w:firstLine="400" w:firstLineChars="200"/>
              <w:rPr>
                <w:rFonts w:ascii="宋体" w:hAnsi="宋体" w:cs="宋体"/>
                <w:bCs/>
                <w:kern w:val="0"/>
                <w:sz w:val="20"/>
              </w:rPr>
            </w:pPr>
            <w:r>
              <w:rPr>
                <w:rFonts w:hint="eastAsia" w:ascii="宋体" w:hAnsi="宋体" w:cs="宋体"/>
                <w:bCs/>
                <w:kern w:val="0"/>
                <w:sz w:val="20"/>
              </w:rPr>
              <w:t>4.1.4养老服务设施与其他功能综合设置时，应满足安全、卫生等条件，并保持一定的独立性，避免干扰。</w:t>
            </w:r>
          </w:p>
          <w:p>
            <w:pPr>
              <w:spacing w:line="276" w:lineRule="auto"/>
              <w:ind w:firstLine="402" w:firstLineChars="200"/>
              <w:jc w:val="center"/>
              <w:rPr>
                <w:rFonts w:hint="eastAsia" w:ascii="宋体" w:hAnsi="宋体" w:cs="宋体"/>
                <w:b/>
                <w:kern w:val="0"/>
                <w:sz w:val="20"/>
              </w:rPr>
            </w:pPr>
            <w:r>
              <w:rPr>
                <w:rFonts w:hint="eastAsia" w:ascii="宋体" w:hAnsi="宋体" w:cs="宋体"/>
                <w:b/>
                <w:kern w:val="0"/>
                <w:sz w:val="20"/>
              </w:rPr>
              <w:t>4.2 选 址</w:t>
            </w:r>
          </w:p>
          <w:p>
            <w:pPr>
              <w:spacing w:line="276" w:lineRule="auto"/>
              <w:ind w:firstLine="400" w:firstLineChars="200"/>
              <w:rPr>
                <w:rFonts w:hint="eastAsia" w:ascii="宋体" w:hAnsi="宋体" w:cs="宋体"/>
                <w:bCs/>
                <w:kern w:val="0"/>
                <w:sz w:val="20"/>
              </w:rPr>
            </w:pPr>
            <w:r>
              <w:rPr>
                <w:rFonts w:hint="eastAsia" w:ascii="宋体" w:hAnsi="宋体" w:cs="宋体"/>
                <w:bCs/>
                <w:kern w:val="0"/>
                <w:sz w:val="20"/>
              </w:rPr>
              <w:t>4.2.1  养老服务设施应选择在地形平坦、自然环境较好、阳光充足、通风良好的地段布置，严禁选择在地震、地质塌裂、暗河、洪涝等具有自然灾害隐患的地段。</w:t>
            </w:r>
          </w:p>
          <w:p>
            <w:pPr>
              <w:spacing w:line="276" w:lineRule="auto"/>
              <w:ind w:firstLine="400" w:firstLineChars="200"/>
              <w:rPr>
                <w:rFonts w:hint="eastAsia" w:ascii="宋体" w:hAnsi="宋体" w:cs="宋体"/>
                <w:bCs/>
                <w:kern w:val="0"/>
                <w:sz w:val="20"/>
              </w:rPr>
            </w:pPr>
            <w:r>
              <w:rPr>
                <w:rFonts w:hint="eastAsia" w:ascii="宋体" w:hAnsi="宋体" w:cs="宋体"/>
                <w:bCs/>
                <w:kern w:val="0"/>
                <w:sz w:val="20"/>
              </w:rPr>
              <w:t>4.2.2  养老服务设施应选择在具有基本公共服务和良好基础设施条件的地段布置，有条件的地区宜布置在与医疗康复设施交通联系便捷的地段，鼓励以医养康养康复结合形式综合设置。</w:t>
            </w:r>
          </w:p>
          <w:p>
            <w:pPr>
              <w:spacing w:line="276" w:lineRule="auto"/>
              <w:ind w:firstLine="400" w:firstLineChars="200"/>
              <w:rPr>
                <w:rFonts w:hint="eastAsia" w:ascii="宋体" w:hAnsi="宋体" w:cs="宋体"/>
                <w:bCs/>
                <w:kern w:val="0"/>
                <w:sz w:val="20"/>
              </w:rPr>
            </w:pPr>
            <w:r>
              <w:rPr>
                <w:rFonts w:hint="eastAsia" w:ascii="宋体" w:hAnsi="宋体" w:cs="宋体"/>
                <w:bCs/>
                <w:kern w:val="0"/>
                <w:sz w:val="20"/>
              </w:rPr>
              <w:t>4.2.3  养老服务设施应选择在交通便捷的地段布置，宜临近公交、轨道交通站点设置，但应避开对外公路、快速路及交通量大的交叉路口等地段。</w:t>
            </w:r>
          </w:p>
          <w:p>
            <w:pPr>
              <w:spacing w:line="276" w:lineRule="auto"/>
              <w:ind w:firstLine="400" w:firstLineChars="200"/>
              <w:rPr>
                <w:rFonts w:ascii="宋体" w:hAnsi="宋体" w:cs="宋体"/>
                <w:bCs/>
                <w:kern w:val="0"/>
                <w:sz w:val="20"/>
              </w:rPr>
            </w:pPr>
            <w:r>
              <w:rPr>
                <w:rFonts w:hint="eastAsia" w:ascii="宋体" w:hAnsi="宋体" w:cs="宋体"/>
                <w:bCs/>
                <w:kern w:val="0"/>
                <w:sz w:val="20"/>
              </w:rPr>
              <w:t>4.2.4  养老服务设施应远离污染源、噪声源及危险品的生产储运等用地。</w:t>
            </w:r>
          </w:p>
          <w:p>
            <w:pPr>
              <w:spacing w:line="276" w:lineRule="auto"/>
              <w:ind w:firstLine="400" w:firstLineChars="200"/>
              <w:rPr>
                <w:rFonts w:ascii="宋体" w:hAnsi="宋体" w:cs="宋体"/>
                <w:bCs/>
                <w:kern w:val="0"/>
                <w:sz w:val="20"/>
              </w:rPr>
            </w:pPr>
          </w:p>
          <w:p>
            <w:pPr>
              <w:spacing w:line="276" w:lineRule="auto"/>
              <w:ind w:firstLine="400" w:firstLineChars="200"/>
              <w:rPr>
                <w:rFonts w:hint="eastAsia" w:ascii="宋体" w:hAnsi="宋体" w:cs="宋体"/>
                <w:bCs/>
                <w:kern w:val="0"/>
                <w:sz w:val="20"/>
              </w:rPr>
            </w:pPr>
          </w:p>
          <w:p>
            <w:pPr>
              <w:ind w:firstLine="454"/>
              <w:rPr>
                <w:rFonts w:ascii="宋体" w:hAnsi="宋体"/>
                <w:b/>
                <w:bCs/>
                <w:kern w:val="0"/>
              </w:rPr>
            </w:pPr>
            <w:bookmarkStart w:id="1" w:name="_Toc58426993"/>
            <w:bookmarkStart w:id="2" w:name="_Toc437934281"/>
            <w:bookmarkStart w:id="3" w:name="_Toc441582007"/>
            <w:bookmarkStart w:id="4" w:name="_Toc444619793"/>
            <w:bookmarkStart w:id="5" w:name="_Toc25246"/>
            <w:bookmarkStart w:id="6" w:name="_Toc9208"/>
            <w:r>
              <w:rPr>
                <w:rFonts w:hint="eastAsia" w:ascii="宋体" w:hAnsi="宋体"/>
                <w:b/>
                <w:bCs/>
                <w:kern w:val="0"/>
              </w:rPr>
              <w:t>第5章 场地规划</w:t>
            </w:r>
            <w:bookmarkEnd w:id="1"/>
            <w:bookmarkEnd w:id="2"/>
            <w:bookmarkEnd w:id="3"/>
            <w:bookmarkEnd w:id="4"/>
            <w:bookmarkEnd w:id="5"/>
            <w:bookmarkEnd w:id="6"/>
          </w:p>
          <w:p>
            <w:pPr>
              <w:spacing w:line="276" w:lineRule="auto"/>
              <w:ind w:firstLine="402" w:firstLineChars="200"/>
              <w:jc w:val="center"/>
              <w:rPr>
                <w:rFonts w:ascii="宋体" w:hAnsi="宋体" w:cs="宋体"/>
                <w:b/>
                <w:kern w:val="0"/>
                <w:sz w:val="20"/>
              </w:rPr>
            </w:pPr>
            <w:bookmarkStart w:id="7" w:name="_Toc441582008"/>
            <w:bookmarkStart w:id="8" w:name="_Toc7539"/>
            <w:bookmarkStart w:id="9" w:name="_Toc437934282"/>
            <w:bookmarkStart w:id="10" w:name="_Toc444619794"/>
            <w:bookmarkStart w:id="11" w:name="_Toc436830016"/>
            <w:bookmarkStart w:id="12" w:name="_Toc436814145"/>
            <w:bookmarkStart w:id="13" w:name="_Toc58426994"/>
            <w:bookmarkStart w:id="14" w:name="_Toc436829937"/>
            <w:bookmarkStart w:id="15" w:name="_Toc29169"/>
            <w:r>
              <w:rPr>
                <w:rFonts w:hint="eastAsia" w:ascii="宋体" w:hAnsi="宋体" w:cs="宋体"/>
                <w:b/>
                <w:kern w:val="0"/>
                <w:sz w:val="20"/>
              </w:rPr>
              <w:t>5.1</w:t>
            </w:r>
            <w:r>
              <w:rPr>
                <w:rFonts w:ascii="宋体" w:hAnsi="宋体" w:cs="宋体"/>
                <w:b/>
                <w:kern w:val="0"/>
                <w:sz w:val="20"/>
              </w:rPr>
              <w:t xml:space="preserve"> </w:t>
            </w:r>
            <w:r>
              <w:rPr>
                <w:rFonts w:hint="eastAsia" w:ascii="宋体" w:hAnsi="宋体" w:cs="宋体"/>
                <w:b/>
                <w:kern w:val="0"/>
                <w:sz w:val="20"/>
              </w:rPr>
              <w:t>场地与建筑</w:t>
            </w:r>
            <w:bookmarkEnd w:id="7"/>
            <w:bookmarkEnd w:id="8"/>
            <w:bookmarkEnd w:id="9"/>
            <w:bookmarkEnd w:id="10"/>
            <w:bookmarkEnd w:id="11"/>
            <w:bookmarkEnd w:id="12"/>
            <w:bookmarkEnd w:id="13"/>
            <w:bookmarkEnd w:id="14"/>
            <w:bookmarkEnd w:id="15"/>
          </w:p>
          <w:p>
            <w:pPr>
              <w:spacing w:line="276" w:lineRule="auto"/>
              <w:ind w:firstLine="400" w:firstLineChars="200"/>
              <w:rPr>
                <w:rFonts w:hint="eastAsia" w:ascii="宋体" w:hAnsi="宋体" w:cs="宋体"/>
                <w:bCs/>
                <w:kern w:val="0"/>
                <w:sz w:val="20"/>
              </w:rPr>
            </w:pPr>
            <w:r>
              <w:rPr>
                <w:rFonts w:hint="eastAsia" w:ascii="宋体" w:hAnsi="宋体" w:cs="宋体"/>
                <w:bCs/>
                <w:kern w:val="0"/>
                <w:sz w:val="20"/>
              </w:rPr>
              <w:t>5.1.1</w:t>
            </w:r>
            <w:r>
              <w:rPr>
                <w:rFonts w:ascii="宋体" w:hAnsi="宋体" w:cs="宋体"/>
                <w:bCs/>
                <w:kern w:val="0"/>
                <w:sz w:val="20"/>
              </w:rPr>
              <w:t xml:space="preserve">  </w:t>
            </w:r>
            <w:r>
              <w:rPr>
                <w:rFonts w:hint="eastAsia" w:ascii="宋体" w:hAnsi="宋体" w:cs="宋体"/>
                <w:bCs/>
                <w:kern w:val="0"/>
                <w:sz w:val="20"/>
              </w:rPr>
              <w:t>机构养老服务设施应为老年人设室外活动场地；社区养老服务设施宜为老年人设室外活动场地，面积不宜小于1</w:t>
            </w:r>
            <w:r>
              <w:rPr>
                <w:rFonts w:ascii="宋体" w:hAnsi="宋体" w:cs="宋体"/>
                <w:bCs/>
                <w:kern w:val="0"/>
                <w:sz w:val="20"/>
              </w:rPr>
              <w:t>00</w:t>
            </w:r>
            <w:r>
              <w:rPr>
                <w:rFonts w:hint="eastAsia" w:ascii="宋体" w:hAnsi="宋体" w:cs="宋体"/>
                <w:bCs/>
                <w:kern w:val="0"/>
                <w:sz w:val="20"/>
              </w:rPr>
              <w:t>㎡，独立设置的社区养老服务设施可利用屋顶做室外活动场地。老年人使用的室外活动场地应符合下列规定：</w:t>
            </w:r>
          </w:p>
          <w:p>
            <w:pPr>
              <w:spacing w:line="276" w:lineRule="auto"/>
              <w:ind w:firstLine="400" w:firstLineChars="200"/>
              <w:rPr>
                <w:rFonts w:ascii="宋体" w:hAnsi="宋体" w:cs="宋体"/>
                <w:bCs/>
                <w:kern w:val="0"/>
                <w:sz w:val="20"/>
              </w:rPr>
            </w:pPr>
            <w:r>
              <w:rPr>
                <w:rFonts w:hint="eastAsia" w:ascii="宋体" w:hAnsi="宋体" w:cs="宋体"/>
                <w:bCs/>
                <w:kern w:val="0"/>
                <w:sz w:val="20"/>
              </w:rPr>
              <w:t>1  可与社区公共绿地、儿童活动场地等结合设置；布局宜动静分区，并宜设置健身器材、座椅等设施。</w:t>
            </w:r>
          </w:p>
          <w:p>
            <w:pPr>
              <w:spacing w:line="276" w:lineRule="auto"/>
              <w:ind w:firstLine="400" w:firstLineChars="200"/>
              <w:rPr>
                <w:rFonts w:hint="eastAsia" w:ascii="宋体" w:hAnsi="宋体" w:cs="宋体"/>
                <w:bCs/>
                <w:kern w:val="0"/>
                <w:sz w:val="20"/>
              </w:rPr>
            </w:pPr>
            <w:r>
              <w:rPr>
                <w:rFonts w:ascii="宋体" w:hAnsi="宋体" w:cs="宋体"/>
                <w:bCs/>
                <w:kern w:val="0"/>
                <w:sz w:val="20"/>
              </w:rPr>
              <w:t xml:space="preserve">2  </w:t>
            </w:r>
            <w:r>
              <w:rPr>
                <w:rFonts w:hint="eastAsia" w:ascii="宋体" w:hAnsi="宋体" w:cs="宋体"/>
                <w:bCs/>
                <w:kern w:val="0"/>
                <w:sz w:val="20"/>
              </w:rPr>
              <w:t>宜选择在向阳、避风处，场地范围应保证有 1/2 的面积处于当地标准的建筑日照阴影之外。应与城市道路有</w:t>
            </w:r>
            <w:r>
              <w:rPr>
                <w:rFonts w:ascii="宋体" w:hAnsi="宋体" w:cs="宋体"/>
                <w:bCs/>
                <w:kern w:val="0"/>
                <w:sz w:val="20"/>
              </w:rPr>
              <w:t>5</w:t>
            </w:r>
            <w:r>
              <w:rPr>
                <w:rFonts w:hint="eastAsia" w:ascii="宋体" w:hAnsi="宋体" w:cs="宋体"/>
                <w:bCs/>
                <w:kern w:val="0"/>
                <w:sz w:val="20"/>
              </w:rPr>
              <w:t>米以上的隔离带，不宜贴近建筑外墙布置。</w:t>
            </w:r>
          </w:p>
          <w:p>
            <w:pPr>
              <w:spacing w:line="276" w:lineRule="auto"/>
              <w:ind w:firstLine="400" w:firstLineChars="200"/>
              <w:rPr>
                <w:rFonts w:hint="eastAsia" w:ascii="宋体" w:hAnsi="宋体" w:cs="宋体"/>
                <w:bCs/>
                <w:kern w:val="0"/>
                <w:sz w:val="20"/>
              </w:rPr>
            </w:pPr>
            <w:r>
              <w:rPr>
                <w:rFonts w:ascii="宋体" w:hAnsi="宋体" w:cs="宋体"/>
                <w:bCs/>
                <w:kern w:val="0"/>
                <w:sz w:val="20"/>
              </w:rPr>
              <w:t xml:space="preserve">3  </w:t>
            </w:r>
            <w:r>
              <w:rPr>
                <w:rFonts w:hint="eastAsia" w:ascii="宋体" w:hAnsi="宋体" w:cs="宋体"/>
                <w:bCs/>
                <w:kern w:val="0"/>
                <w:sz w:val="20"/>
              </w:rPr>
              <w:t>场地周边1</w:t>
            </w:r>
            <w:r>
              <w:rPr>
                <w:rFonts w:ascii="宋体" w:hAnsi="宋体" w:cs="宋体"/>
                <w:bCs/>
                <w:kern w:val="0"/>
                <w:sz w:val="20"/>
              </w:rPr>
              <w:t>00</w:t>
            </w:r>
            <w:r>
              <w:rPr>
                <w:rFonts w:hint="eastAsia" w:ascii="宋体" w:hAnsi="宋体" w:cs="宋体"/>
                <w:bCs/>
                <w:kern w:val="0"/>
                <w:sz w:val="20"/>
              </w:rPr>
              <w:t>m内宜设置便于老年人使用的无障碍卫生间。</w:t>
            </w:r>
          </w:p>
          <w:p>
            <w:pPr>
              <w:spacing w:line="276" w:lineRule="auto"/>
              <w:ind w:firstLine="400" w:firstLineChars="200"/>
              <w:rPr>
                <w:rFonts w:ascii="宋体" w:hAnsi="宋体" w:cs="宋体"/>
                <w:bCs/>
                <w:kern w:val="0"/>
                <w:sz w:val="20"/>
              </w:rPr>
            </w:pPr>
            <w:r>
              <w:rPr>
                <w:rFonts w:ascii="宋体" w:hAnsi="宋体" w:cs="宋体"/>
                <w:bCs/>
                <w:kern w:val="0"/>
                <w:sz w:val="20"/>
              </w:rPr>
              <w:t>4</w:t>
            </w:r>
            <w:r>
              <w:rPr>
                <w:rFonts w:hint="eastAsia" w:ascii="宋体" w:hAnsi="宋体" w:cs="宋体"/>
                <w:bCs/>
                <w:kern w:val="0"/>
                <w:sz w:val="20"/>
              </w:rPr>
              <w:t xml:space="preserve">  地面应平整防滑、排水畅通，当有坡度时，坡度不应大于2.5%。</w:t>
            </w:r>
          </w:p>
          <w:p>
            <w:pPr>
              <w:spacing w:line="276" w:lineRule="auto"/>
              <w:ind w:firstLine="400" w:firstLineChars="200"/>
              <w:rPr>
                <w:rFonts w:hint="eastAsia" w:ascii="宋体" w:hAnsi="宋体" w:cs="宋体"/>
                <w:bCs/>
                <w:kern w:val="0"/>
                <w:sz w:val="20"/>
              </w:rPr>
            </w:pPr>
            <w:r>
              <w:rPr>
                <w:rFonts w:hint="eastAsia" w:ascii="宋体" w:hAnsi="宋体" w:cs="宋体"/>
                <w:bCs/>
                <w:kern w:val="0"/>
                <w:sz w:val="20"/>
              </w:rPr>
              <w:t>5.1.2</w:t>
            </w:r>
            <w:r>
              <w:rPr>
                <w:rFonts w:ascii="宋体" w:hAnsi="宋体" w:cs="宋体"/>
                <w:bCs/>
                <w:kern w:val="0"/>
                <w:sz w:val="20"/>
              </w:rPr>
              <w:t xml:space="preserve">  </w:t>
            </w:r>
            <w:r>
              <w:rPr>
                <w:rFonts w:hint="eastAsia" w:ascii="宋体" w:hAnsi="宋体" w:cs="宋体"/>
                <w:bCs/>
                <w:kern w:val="0"/>
                <w:sz w:val="20"/>
              </w:rPr>
              <w:t>养老服务设施建筑总平面应根据设施的不同类型进行合理布局，功能分区和动静分区应明确。</w:t>
            </w:r>
          </w:p>
          <w:p>
            <w:pPr>
              <w:spacing w:line="276" w:lineRule="auto"/>
              <w:ind w:firstLine="400" w:firstLineChars="200"/>
              <w:rPr>
                <w:rFonts w:ascii="宋体" w:hAnsi="宋体" w:cs="宋体"/>
                <w:bCs/>
                <w:kern w:val="0"/>
                <w:sz w:val="20"/>
              </w:rPr>
            </w:pPr>
            <w:r>
              <w:rPr>
                <w:rFonts w:hint="eastAsia" w:ascii="宋体" w:hAnsi="宋体" w:cs="宋体"/>
                <w:bCs/>
                <w:kern w:val="0"/>
                <w:sz w:val="20"/>
              </w:rPr>
              <w:t>5.1.3</w:t>
            </w:r>
            <w:r>
              <w:rPr>
                <w:rFonts w:ascii="宋体" w:hAnsi="宋体" w:cs="宋体"/>
                <w:bCs/>
                <w:kern w:val="0"/>
                <w:sz w:val="20"/>
              </w:rPr>
              <w:t xml:space="preserve">  </w:t>
            </w:r>
            <w:r>
              <w:rPr>
                <w:rFonts w:hint="eastAsia" w:ascii="宋体" w:hAnsi="宋体" w:cs="宋体"/>
                <w:bCs/>
                <w:kern w:val="0"/>
                <w:sz w:val="20"/>
              </w:rPr>
              <w:t>养老服务设施建筑基地及建筑物的主要出入口不宜开向城市主干道。殡葬运输宜设置单独的通道和出入口。</w:t>
            </w:r>
          </w:p>
          <w:p>
            <w:pPr>
              <w:spacing w:line="276" w:lineRule="auto"/>
              <w:ind w:firstLine="400" w:firstLineChars="200"/>
              <w:rPr>
                <w:rFonts w:hint="eastAsia" w:ascii="宋体" w:hAnsi="宋体" w:cs="宋体"/>
                <w:bCs/>
                <w:kern w:val="0"/>
                <w:sz w:val="20"/>
              </w:rPr>
            </w:pPr>
            <w:r>
              <w:rPr>
                <w:rFonts w:hint="eastAsia" w:ascii="宋体" w:hAnsi="宋体" w:cs="宋体"/>
                <w:bCs/>
                <w:kern w:val="0"/>
                <w:sz w:val="20"/>
              </w:rPr>
              <w:t>5.1.4  养老服务设施场地内直接为老年人服务的各类设施均应进行无障碍设计并应符合《无障碍设计规范》GB 50763的规定。</w:t>
            </w:r>
          </w:p>
          <w:p>
            <w:pPr>
              <w:spacing w:line="276" w:lineRule="auto"/>
              <w:ind w:firstLine="400" w:firstLineChars="200"/>
              <w:rPr>
                <w:rFonts w:ascii="宋体" w:hAnsi="宋体" w:cs="宋体"/>
                <w:bCs/>
                <w:kern w:val="0"/>
                <w:sz w:val="20"/>
              </w:rPr>
            </w:pPr>
            <w:r>
              <w:rPr>
                <w:rFonts w:hint="eastAsia" w:ascii="宋体" w:hAnsi="宋体" w:cs="宋体"/>
                <w:bCs/>
                <w:kern w:val="0"/>
                <w:sz w:val="20"/>
              </w:rPr>
              <w:t>5.1.5  独立占地养老服务设施场地内的建筑密度不宜大于30%，城市及乡镇旧区可酌情提高，但不宜大于35%。绿地率不宜低于40%，城市及乡镇旧区可酌情降低，但不宜低于30%。容积率不宜大于1.5。建筑宜以低层和多层为主。</w:t>
            </w:r>
          </w:p>
          <w:p>
            <w:pPr>
              <w:spacing w:line="276" w:lineRule="auto"/>
              <w:ind w:firstLine="402" w:firstLineChars="200"/>
              <w:jc w:val="center"/>
              <w:rPr>
                <w:rFonts w:hint="eastAsia" w:ascii="宋体" w:hAnsi="宋体" w:cs="宋体"/>
                <w:b/>
                <w:kern w:val="0"/>
                <w:sz w:val="20"/>
              </w:rPr>
            </w:pPr>
            <w:bookmarkStart w:id="16" w:name="_Toc441582009"/>
            <w:bookmarkStart w:id="17" w:name="_Toc444619795"/>
            <w:bookmarkStart w:id="18" w:name="_Toc436830017"/>
            <w:bookmarkStart w:id="19" w:name="_Toc17292"/>
            <w:bookmarkStart w:id="20" w:name="_Toc18564"/>
            <w:bookmarkStart w:id="21" w:name="_Toc436829938"/>
            <w:bookmarkStart w:id="22" w:name="_Toc437934283"/>
            <w:bookmarkStart w:id="23" w:name="_Toc58426995"/>
            <w:bookmarkStart w:id="24" w:name="_Toc436814146"/>
            <w:r>
              <w:rPr>
                <w:rFonts w:hint="eastAsia" w:ascii="宋体" w:hAnsi="宋体" w:cs="宋体"/>
                <w:b/>
                <w:kern w:val="0"/>
                <w:sz w:val="20"/>
              </w:rPr>
              <w:t>5.2</w:t>
            </w:r>
            <w:r>
              <w:rPr>
                <w:rFonts w:ascii="宋体" w:hAnsi="宋体" w:cs="宋体"/>
                <w:b/>
                <w:kern w:val="0"/>
                <w:sz w:val="20"/>
              </w:rPr>
              <w:t xml:space="preserve"> </w:t>
            </w:r>
            <w:r>
              <w:rPr>
                <w:rFonts w:hint="eastAsia" w:ascii="宋体" w:hAnsi="宋体" w:cs="宋体"/>
                <w:b/>
                <w:kern w:val="0"/>
                <w:sz w:val="20"/>
              </w:rPr>
              <w:t>道路与停车</w:t>
            </w:r>
            <w:bookmarkEnd w:id="16"/>
            <w:bookmarkEnd w:id="17"/>
            <w:bookmarkEnd w:id="18"/>
            <w:bookmarkEnd w:id="19"/>
            <w:bookmarkEnd w:id="20"/>
            <w:bookmarkEnd w:id="21"/>
            <w:bookmarkEnd w:id="22"/>
            <w:bookmarkEnd w:id="23"/>
            <w:bookmarkEnd w:id="24"/>
          </w:p>
          <w:p>
            <w:pPr>
              <w:spacing w:line="276" w:lineRule="auto"/>
              <w:ind w:firstLine="400" w:firstLineChars="200"/>
              <w:rPr>
                <w:rFonts w:hint="eastAsia" w:ascii="宋体" w:hAnsi="宋体" w:cs="宋体"/>
                <w:bCs/>
                <w:kern w:val="0"/>
                <w:sz w:val="20"/>
              </w:rPr>
            </w:pPr>
            <w:r>
              <w:rPr>
                <w:rFonts w:hint="eastAsia" w:ascii="宋体" w:hAnsi="宋体" w:cs="宋体"/>
                <w:bCs/>
                <w:kern w:val="0"/>
                <w:sz w:val="20"/>
              </w:rPr>
              <w:t>5.2.1</w:t>
            </w:r>
            <w:r>
              <w:rPr>
                <w:rFonts w:ascii="宋体" w:hAnsi="宋体" w:cs="宋体"/>
                <w:bCs/>
                <w:kern w:val="0"/>
                <w:sz w:val="20"/>
              </w:rPr>
              <w:t xml:space="preserve">  </w:t>
            </w:r>
            <w:r>
              <w:rPr>
                <w:rFonts w:hint="eastAsia" w:ascii="宋体" w:hAnsi="宋体" w:cs="宋体"/>
                <w:bCs/>
                <w:kern w:val="0"/>
                <w:sz w:val="20"/>
              </w:rPr>
              <w:t>场地交通组织应便捷流畅，满足消防、疏散、运输要求的同时，避免车行对人行的影响。</w:t>
            </w:r>
          </w:p>
          <w:p>
            <w:pPr>
              <w:spacing w:line="276" w:lineRule="auto"/>
              <w:ind w:firstLine="400" w:firstLineChars="200"/>
              <w:rPr>
                <w:rFonts w:hint="eastAsia" w:ascii="宋体" w:hAnsi="宋体" w:cs="宋体"/>
                <w:bCs/>
                <w:kern w:val="0"/>
                <w:sz w:val="20"/>
              </w:rPr>
            </w:pPr>
            <w:r>
              <w:rPr>
                <w:rFonts w:hint="eastAsia" w:ascii="宋体" w:hAnsi="宋体" w:cs="宋体"/>
                <w:bCs/>
                <w:kern w:val="0"/>
                <w:sz w:val="20"/>
              </w:rPr>
              <w:t>5.2.2</w:t>
            </w:r>
            <w:r>
              <w:rPr>
                <w:rFonts w:ascii="宋体" w:hAnsi="宋体" w:cs="宋体"/>
                <w:bCs/>
                <w:kern w:val="0"/>
                <w:sz w:val="20"/>
              </w:rPr>
              <w:t xml:space="preserve">  </w:t>
            </w:r>
            <w:r>
              <w:rPr>
                <w:rFonts w:hint="eastAsia" w:ascii="宋体" w:hAnsi="宋体" w:cs="宋体"/>
                <w:bCs/>
                <w:kern w:val="0"/>
                <w:sz w:val="20"/>
              </w:rPr>
              <w:t>场地道路系统应保证救护车辆能停靠在建筑的主要出入口处，且应与建筑的紧急送医通道相连，并满足相关无障碍要求。</w:t>
            </w:r>
          </w:p>
          <w:p>
            <w:pPr>
              <w:spacing w:line="276" w:lineRule="auto"/>
              <w:ind w:firstLine="400" w:firstLineChars="200"/>
              <w:rPr>
                <w:rFonts w:hint="eastAsia" w:ascii="宋体" w:hAnsi="宋体" w:cs="宋体"/>
                <w:bCs/>
                <w:kern w:val="0"/>
                <w:sz w:val="20"/>
              </w:rPr>
            </w:pPr>
            <w:r>
              <w:rPr>
                <w:rFonts w:hint="eastAsia" w:ascii="宋体" w:hAnsi="宋体" w:cs="宋体"/>
                <w:bCs/>
                <w:kern w:val="0"/>
                <w:sz w:val="20"/>
              </w:rPr>
              <w:t>5.2.3</w:t>
            </w:r>
            <w:r>
              <w:rPr>
                <w:rFonts w:ascii="宋体" w:hAnsi="宋体" w:cs="宋体"/>
                <w:bCs/>
                <w:kern w:val="0"/>
                <w:sz w:val="20"/>
              </w:rPr>
              <w:t xml:space="preserve">  </w:t>
            </w:r>
            <w:r>
              <w:rPr>
                <w:rFonts w:hint="eastAsia" w:ascii="宋体" w:hAnsi="宋体" w:cs="宋体"/>
                <w:bCs/>
                <w:kern w:val="0"/>
                <w:sz w:val="20"/>
              </w:rPr>
              <w:t>场地应设置机动车和非机动车停车场。在机动车停车场距建筑物主要出入口最近的位置上应设置无障碍停车位或无障碍停车下客点，并与无障碍人行道相连。无障碍停车位或无障碍停车下客点应有明显的标志。</w:t>
            </w:r>
          </w:p>
          <w:p>
            <w:pPr>
              <w:spacing w:line="276" w:lineRule="auto"/>
              <w:ind w:firstLine="402" w:firstLineChars="200"/>
              <w:jc w:val="center"/>
              <w:rPr>
                <w:rFonts w:hint="eastAsia" w:ascii="宋体" w:hAnsi="宋体" w:cs="宋体"/>
                <w:b/>
                <w:kern w:val="0"/>
                <w:sz w:val="20"/>
              </w:rPr>
            </w:pPr>
            <w:bookmarkStart w:id="25" w:name="_Toc437934284"/>
            <w:bookmarkStart w:id="26" w:name="_Toc436829939"/>
            <w:bookmarkStart w:id="27" w:name="_Toc441582010"/>
            <w:bookmarkStart w:id="28" w:name="_Toc58426996"/>
            <w:bookmarkStart w:id="29" w:name="_Toc444619796"/>
            <w:bookmarkStart w:id="30" w:name="_Toc22484"/>
            <w:bookmarkStart w:id="31" w:name="_Toc436830018"/>
            <w:bookmarkStart w:id="32" w:name="_Toc436814147"/>
            <w:bookmarkStart w:id="33" w:name="_Toc14039"/>
            <w:r>
              <w:rPr>
                <w:rFonts w:hint="eastAsia" w:ascii="宋体" w:hAnsi="宋体" w:cs="宋体"/>
                <w:b/>
                <w:kern w:val="0"/>
                <w:sz w:val="20"/>
              </w:rPr>
              <w:t>5.3</w:t>
            </w:r>
            <w:r>
              <w:rPr>
                <w:rFonts w:ascii="宋体" w:hAnsi="宋体" w:cs="宋体"/>
                <w:b/>
                <w:kern w:val="0"/>
                <w:sz w:val="20"/>
              </w:rPr>
              <w:t xml:space="preserve"> </w:t>
            </w:r>
            <w:r>
              <w:rPr>
                <w:rFonts w:hint="eastAsia" w:ascii="宋体" w:hAnsi="宋体" w:cs="宋体"/>
                <w:b/>
                <w:kern w:val="0"/>
                <w:sz w:val="20"/>
              </w:rPr>
              <w:t>绿地与景观</w:t>
            </w:r>
            <w:bookmarkEnd w:id="25"/>
            <w:bookmarkEnd w:id="26"/>
            <w:bookmarkEnd w:id="27"/>
            <w:bookmarkEnd w:id="28"/>
            <w:bookmarkEnd w:id="29"/>
            <w:bookmarkEnd w:id="30"/>
            <w:bookmarkEnd w:id="31"/>
            <w:bookmarkEnd w:id="32"/>
            <w:bookmarkEnd w:id="33"/>
          </w:p>
          <w:p>
            <w:pPr>
              <w:spacing w:line="276" w:lineRule="auto"/>
              <w:ind w:firstLine="400" w:firstLineChars="200"/>
              <w:rPr>
                <w:rFonts w:ascii="宋体" w:hAnsi="宋体" w:cs="宋体"/>
                <w:bCs/>
                <w:kern w:val="0"/>
                <w:sz w:val="20"/>
              </w:rPr>
            </w:pPr>
            <w:r>
              <w:rPr>
                <w:rFonts w:hint="eastAsia" w:ascii="宋体" w:hAnsi="宋体" w:cs="宋体"/>
                <w:bCs/>
                <w:kern w:val="0"/>
                <w:sz w:val="20"/>
              </w:rPr>
              <w:t>5.3.1</w:t>
            </w:r>
            <w:r>
              <w:rPr>
                <w:rFonts w:ascii="宋体" w:hAnsi="宋体" w:cs="宋体"/>
                <w:bCs/>
                <w:kern w:val="0"/>
                <w:sz w:val="20"/>
              </w:rPr>
              <w:t xml:space="preserve"> </w:t>
            </w:r>
            <w:r>
              <w:rPr>
                <w:rFonts w:hint="eastAsia" w:ascii="宋体" w:hAnsi="宋体" w:cs="宋体"/>
                <w:bCs/>
                <w:kern w:val="0"/>
                <w:sz w:val="20"/>
              </w:rPr>
              <w:t>场地应进行景观环境和园林绿化设计。绿化植物选择应适应当地气候、土壤条件及植物多样性要求，且不应对老年人安全和健康造成危害。</w:t>
            </w:r>
          </w:p>
          <w:p>
            <w:pPr>
              <w:spacing w:line="276" w:lineRule="auto"/>
              <w:ind w:firstLine="400" w:firstLineChars="200"/>
              <w:rPr>
                <w:rFonts w:ascii="宋体" w:hAnsi="宋体" w:cs="宋体"/>
                <w:bCs/>
                <w:kern w:val="0"/>
                <w:sz w:val="20"/>
              </w:rPr>
            </w:pPr>
            <w:r>
              <w:rPr>
                <w:rFonts w:ascii="宋体" w:hAnsi="宋体" w:cs="宋体"/>
                <w:bCs/>
                <w:kern w:val="0"/>
                <w:sz w:val="20"/>
              </w:rPr>
              <w:t>5</w:t>
            </w:r>
            <w:r>
              <w:rPr>
                <w:rFonts w:hint="eastAsia" w:ascii="宋体" w:hAnsi="宋体" w:cs="宋体"/>
                <w:bCs/>
                <w:kern w:val="0"/>
                <w:sz w:val="20"/>
              </w:rPr>
              <w:t>.</w:t>
            </w:r>
            <w:r>
              <w:rPr>
                <w:rFonts w:ascii="宋体" w:hAnsi="宋体" w:cs="宋体"/>
                <w:bCs/>
                <w:kern w:val="0"/>
                <w:sz w:val="20"/>
              </w:rPr>
              <w:t>3</w:t>
            </w:r>
            <w:r>
              <w:rPr>
                <w:rFonts w:hint="eastAsia" w:ascii="宋体" w:hAnsi="宋体" w:cs="宋体"/>
                <w:bCs/>
                <w:kern w:val="0"/>
                <w:sz w:val="20"/>
              </w:rPr>
              <w:t>.</w:t>
            </w:r>
            <w:r>
              <w:rPr>
                <w:rFonts w:ascii="宋体" w:hAnsi="宋体" w:cs="宋体"/>
                <w:bCs/>
                <w:kern w:val="0"/>
                <w:sz w:val="20"/>
              </w:rPr>
              <w:t xml:space="preserve">2 </w:t>
            </w:r>
            <w:r>
              <w:rPr>
                <w:rFonts w:hint="eastAsia" w:ascii="宋体" w:hAnsi="宋体" w:cs="宋体"/>
                <w:bCs/>
                <w:kern w:val="0"/>
                <w:sz w:val="20"/>
              </w:rPr>
              <w:t>室外活动场地内的植物配置宜四季常青及乔灌木、草地相结合,不应种植带刺、有毒及根茎易露出地面的植物。</w:t>
            </w:r>
          </w:p>
          <w:p>
            <w:pPr>
              <w:spacing w:line="276" w:lineRule="auto"/>
              <w:ind w:firstLine="400" w:firstLineChars="200"/>
              <w:rPr>
                <w:rFonts w:ascii="宋体" w:hAnsi="宋体" w:cs="宋体"/>
                <w:bCs/>
                <w:kern w:val="0"/>
                <w:sz w:val="20"/>
              </w:rPr>
            </w:pPr>
            <w:r>
              <w:rPr>
                <w:rFonts w:hint="eastAsia" w:ascii="宋体" w:hAnsi="宋体" w:cs="宋体"/>
                <w:bCs/>
                <w:kern w:val="0"/>
                <w:sz w:val="20"/>
              </w:rPr>
              <w:t>5.3.</w:t>
            </w:r>
            <w:r>
              <w:rPr>
                <w:rFonts w:ascii="宋体" w:hAnsi="宋体" w:cs="宋体"/>
                <w:bCs/>
                <w:kern w:val="0"/>
                <w:sz w:val="20"/>
              </w:rPr>
              <w:t xml:space="preserve">3 </w:t>
            </w:r>
            <w:r>
              <w:rPr>
                <w:rFonts w:hint="eastAsia" w:ascii="宋体" w:hAnsi="宋体" w:cs="宋体"/>
                <w:bCs/>
                <w:kern w:val="0"/>
                <w:sz w:val="20"/>
              </w:rPr>
              <w:t>场地设置观赏水景水池时，应有安全提示与安全防护措施。</w:t>
            </w:r>
          </w:p>
          <w:p>
            <w:pPr>
              <w:ind w:firstLine="454"/>
              <w:rPr>
                <w:rFonts w:hint="eastAsia" w:ascii="宋体" w:hAnsi="宋体"/>
                <w:b/>
                <w:bCs/>
                <w:kern w:val="0"/>
              </w:rPr>
            </w:pPr>
            <w:bookmarkStart w:id="34" w:name="_Toc444619797"/>
            <w:bookmarkStart w:id="35" w:name="_Toc58426997"/>
            <w:bookmarkStart w:id="36" w:name="_Toc20173"/>
            <w:bookmarkStart w:id="37" w:name="_Toc5266"/>
            <w:bookmarkStart w:id="38" w:name="_Toc441582011"/>
            <w:bookmarkStart w:id="39" w:name="_Toc437934285"/>
            <w:r>
              <w:rPr>
                <w:rFonts w:hint="eastAsia" w:ascii="宋体" w:hAnsi="宋体"/>
                <w:b/>
                <w:bCs/>
                <w:kern w:val="0"/>
              </w:rPr>
              <w:t>第6章 房屋建筑</w:t>
            </w:r>
            <w:bookmarkEnd w:id="34"/>
            <w:bookmarkEnd w:id="35"/>
            <w:bookmarkEnd w:id="36"/>
            <w:bookmarkEnd w:id="37"/>
            <w:bookmarkEnd w:id="38"/>
            <w:bookmarkEnd w:id="39"/>
          </w:p>
          <w:p>
            <w:pPr>
              <w:spacing w:line="276" w:lineRule="auto"/>
              <w:ind w:firstLine="402" w:firstLineChars="200"/>
              <w:jc w:val="center"/>
              <w:rPr>
                <w:rFonts w:hint="eastAsia" w:ascii="宋体" w:hAnsi="宋体" w:cs="宋体"/>
                <w:b/>
                <w:kern w:val="0"/>
                <w:sz w:val="20"/>
              </w:rPr>
            </w:pPr>
            <w:bookmarkStart w:id="40" w:name="_Toc441582012"/>
            <w:bookmarkStart w:id="41" w:name="_Toc17591"/>
            <w:bookmarkStart w:id="42" w:name="_Toc436814149"/>
            <w:bookmarkStart w:id="43" w:name="_Toc444619798"/>
            <w:bookmarkStart w:id="44" w:name="_Toc436830020"/>
            <w:bookmarkStart w:id="45" w:name="_Toc58426998"/>
            <w:bookmarkStart w:id="46" w:name="_Toc436829941"/>
            <w:bookmarkStart w:id="47" w:name="_Toc14299"/>
            <w:bookmarkStart w:id="48" w:name="_Toc437934286"/>
            <w:r>
              <w:rPr>
                <w:rFonts w:hint="eastAsia" w:ascii="宋体" w:hAnsi="宋体" w:cs="宋体"/>
                <w:b/>
                <w:kern w:val="0"/>
                <w:sz w:val="20"/>
              </w:rPr>
              <w:t>6.1建筑设计</w:t>
            </w:r>
            <w:bookmarkEnd w:id="40"/>
            <w:bookmarkEnd w:id="41"/>
            <w:bookmarkEnd w:id="42"/>
            <w:bookmarkEnd w:id="43"/>
            <w:bookmarkEnd w:id="44"/>
            <w:bookmarkEnd w:id="45"/>
            <w:bookmarkEnd w:id="46"/>
            <w:bookmarkEnd w:id="47"/>
            <w:bookmarkEnd w:id="48"/>
          </w:p>
          <w:p>
            <w:pPr>
              <w:spacing w:line="276" w:lineRule="auto"/>
              <w:ind w:firstLine="400" w:firstLineChars="200"/>
              <w:rPr>
                <w:rFonts w:ascii="宋体" w:hAnsi="宋体" w:cs="宋体"/>
                <w:bCs/>
                <w:kern w:val="0"/>
                <w:sz w:val="20"/>
              </w:rPr>
            </w:pPr>
            <w:r>
              <w:rPr>
                <w:rFonts w:hint="eastAsia" w:ascii="宋体" w:hAnsi="宋体" w:cs="宋体"/>
                <w:bCs/>
                <w:kern w:val="0"/>
                <w:sz w:val="20"/>
              </w:rPr>
              <w:t>6.1.1 养老服务设施建筑宜独立设置，与其他建筑合并设置时，宜安排在建筑低层部分，有独立的出入口，二层及以上的应当设置无障碍电梯或者助行设备。</w:t>
            </w:r>
          </w:p>
          <w:p>
            <w:pPr>
              <w:spacing w:line="276" w:lineRule="auto"/>
              <w:ind w:firstLine="400" w:firstLineChars="200"/>
              <w:rPr>
                <w:rFonts w:ascii="宋体" w:hAnsi="宋体" w:cs="宋体"/>
                <w:bCs/>
                <w:kern w:val="0"/>
                <w:sz w:val="20"/>
              </w:rPr>
            </w:pPr>
            <w:r>
              <w:rPr>
                <w:rFonts w:hint="eastAsia" w:ascii="宋体" w:hAnsi="宋体" w:cs="宋体"/>
                <w:bCs/>
                <w:kern w:val="0"/>
                <w:sz w:val="20"/>
              </w:rPr>
              <w:t>6.1.2 标识系统应明晰、连续，且字体醒目、图案清晰。室内活动区域应设置连续无障碍设施。</w:t>
            </w:r>
          </w:p>
          <w:p>
            <w:pPr>
              <w:spacing w:line="276" w:lineRule="auto"/>
              <w:ind w:firstLine="400" w:firstLineChars="200"/>
              <w:rPr>
                <w:rFonts w:hint="eastAsia" w:ascii="宋体" w:hAnsi="宋体" w:cs="宋体"/>
                <w:bCs/>
                <w:kern w:val="0"/>
                <w:sz w:val="20"/>
              </w:rPr>
            </w:pPr>
            <w:r>
              <w:rPr>
                <w:rFonts w:hint="eastAsia" w:ascii="宋体" w:hAnsi="宋体" w:cs="宋体"/>
                <w:bCs/>
                <w:kern w:val="0"/>
                <w:sz w:val="20"/>
              </w:rPr>
              <w:t>6.1.3 建筑造型宜具有时代特色、地方风貌；建筑色彩宜柔和并与环境相协调。</w:t>
            </w:r>
          </w:p>
          <w:p>
            <w:pPr>
              <w:spacing w:line="276" w:lineRule="auto"/>
              <w:ind w:firstLine="402" w:firstLineChars="200"/>
              <w:jc w:val="center"/>
              <w:rPr>
                <w:rFonts w:ascii="宋体" w:hAnsi="宋体" w:cs="宋体"/>
                <w:b/>
                <w:kern w:val="0"/>
                <w:sz w:val="20"/>
              </w:rPr>
            </w:pPr>
            <w:bookmarkStart w:id="49" w:name="_Toc7348"/>
            <w:bookmarkStart w:id="50" w:name="_Toc58426999"/>
            <w:bookmarkStart w:id="51" w:name="_Toc444619799"/>
            <w:bookmarkStart w:id="52" w:name="_Toc18361"/>
            <w:bookmarkStart w:id="53" w:name="_Toc437934288"/>
            <w:bookmarkStart w:id="54" w:name="_Toc441582013"/>
          </w:p>
          <w:p>
            <w:pPr>
              <w:spacing w:line="276" w:lineRule="auto"/>
              <w:ind w:firstLine="402" w:firstLineChars="200"/>
              <w:jc w:val="center"/>
              <w:rPr>
                <w:rFonts w:hint="eastAsia" w:ascii="宋体" w:hAnsi="宋体" w:cs="宋体"/>
                <w:b/>
                <w:kern w:val="0"/>
                <w:sz w:val="20"/>
              </w:rPr>
            </w:pPr>
            <w:r>
              <w:rPr>
                <w:rFonts w:hint="eastAsia" w:ascii="宋体" w:hAnsi="宋体" w:cs="宋体"/>
                <w:b/>
                <w:kern w:val="0"/>
                <w:sz w:val="20"/>
              </w:rPr>
              <w:t>6.2建筑设备</w:t>
            </w:r>
            <w:bookmarkEnd w:id="49"/>
            <w:bookmarkEnd w:id="50"/>
            <w:bookmarkEnd w:id="51"/>
            <w:bookmarkEnd w:id="52"/>
            <w:bookmarkEnd w:id="53"/>
            <w:bookmarkEnd w:id="54"/>
          </w:p>
          <w:p>
            <w:pPr>
              <w:spacing w:line="276" w:lineRule="auto"/>
              <w:ind w:firstLine="400" w:firstLineChars="200"/>
              <w:rPr>
                <w:rFonts w:hint="eastAsia" w:ascii="宋体" w:hAnsi="宋体" w:cs="宋体"/>
                <w:bCs/>
                <w:kern w:val="0"/>
                <w:sz w:val="20"/>
              </w:rPr>
            </w:pPr>
            <w:bookmarkStart w:id="55" w:name="_Toc437934289"/>
            <w:r>
              <w:rPr>
                <w:rFonts w:hint="eastAsia" w:ascii="宋体" w:hAnsi="宋体" w:cs="宋体"/>
                <w:bCs/>
                <w:kern w:val="0"/>
                <w:sz w:val="20"/>
              </w:rPr>
              <w:t>6.2.1</w:t>
            </w:r>
            <w:r>
              <w:rPr>
                <w:rFonts w:ascii="宋体" w:hAnsi="宋体" w:cs="宋体"/>
                <w:bCs/>
                <w:kern w:val="0"/>
                <w:sz w:val="20"/>
              </w:rPr>
              <w:t xml:space="preserve"> </w:t>
            </w:r>
            <w:r>
              <w:rPr>
                <w:rFonts w:hint="eastAsia" w:ascii="宋体" w:hAnsi="宋体" w:cs="宋体"/>
                <w:bCs/>
                <w:kern w:val="0"/>
                <w:sz w:val="20"/>
              </w:rPr>
              <w:t>给水排水</w:t>
            </w:r>
            <w:bookmarkEnd w:id="55"/>
          </w:p>
          <w:p>
            <w:pPr>
              <w:spacing w:line="276" w:lineRule="auto"/>
              <w:ind w:firstLine="400" w:firstLineChars="200"/>
              <w:rPr>
                <w:rFonts w:ascii="宋体" w:hAnsi="宋体" w:cs="宋体"/>
                <w:bCs/>
                <w:kern w:val="0"/>
                <w:sz w:val="20"/>
              </w:rPr>
            </w:pPr>
            <w:r>
              <w:rPr>
                <w:rFonts w:hint="eastAsia" w:ascii="宋体" w:hAnsi="宋体" w:cs="宋体"/>
                <w:bCs/>
                <w:kern w:val="0"/>
                <w:sz w:val="20"/>
              </w:rPr>
              <w:t>1  养老服务设施建筑给水系统供水水质应满足国家现行相关标准的规定。</w:t>
            </w:r>
          </w:p>
          <w:p>
            <w:pPr>
              <w:spacing w:line="276" w:lineRule="auto"/>
              <w:ind w:firstLine="400" w:firstLineChars="200"/>
              <w:rPr>
                <w:rFonts w:hint="eastAsia" w:ascii="宋体" w:hAnsi="宋体" w:cs="宋体"/>
                <w:bCs/>
                <w:kern w:val="0"/>
                <w:sz w:val="20"/>
              </w:rPr>
            </w:pPr>
            <w:r>
              <w:rPr>
                <w:rFonts w:hint="eastAsia" w:ascii="宋体" w:hAnsi="宋体" w:cs="宋体"/>
                <w:bCs/>
                <w:kern w:val="0"/>
                <w:sz w:val="20"/>
              </w:rPr>
              <w:t>2</w:t>
            </w:r>
            <w:r>
              <w:rPr>
                <w:rFonts w:ascii="宋体" w:hAnsi="宋体" w:cs="宋体"/>
                <w:bCs/>
                <w:kern w:val="0"/>
                <w:sz w:val="20"/>
              </w:rPr>
              <w:t xml:space="preserve">  </w:t>
            </w:r>
            <w:r>
              <w:rPr>
                <w:rFonts w:hint="eastAsia" w:ascii="宋体" w:hAnsi="宋体" w:cs="宋体"/>
                <w:bCs/>
                <w:kern w:val="0"/>
                <w:sz w:val="20"/>
              </w:rPr>
              <w:t>养老服务设施建筑内应选用节水型、低噪声的卫生洁具和给排水配件、管材。</w:t>
            </w:r>
          </w:p>
          <w:p>
            <w:pPr>
              <w:spacing w:line="276" w:lineRule="auto"/>
              <w:ind w:firstLine="400" w:firstLineChars="200"/>
              <w:rPr>
                <w:rFonts w:hint="eastAsia" w:ascii="宋体" w:hAnsi="宋体" w:cs="宋体"/>
                <w:bCs/>
                <w:kern w:val="0"/>
                <w:sz w:val="20"/>
              </w:rPr>
            </w:pPr>
            <w:r>
              <w:rPr>
                <w:rFonts w:hint="eastAsia" w:ascii="宋体" w:hAnsi="宋体" w:cs="宋体"/>
                <w:bCs/>
                <w:kern w:val="0"/>
                <w:sz w:val="20"/>
              </w:rPr>
              <w:t>3  养老服务设施建筑的公用卫生间宜采用光电感应式、触摸式等便于操作的水嘴和水冲式坐便器冲洗装置，水嘴处应设置清晰可见的冷热水旋转方向标识，防止烫伤。室内排水系统应通畅便捷，并保证有效的水封要求。</w:t>
            </w:r>
          </w:p>
          <w:p>
            <w:pPr>
              <w:spacing w:line="276" w:lineRule="auto"/>
              <w:ind w:firstLine="400" w:firstLineChars="200"/>
              <w:rPr>
                <w:rFonts w:hint="eastAsia" w:ascii="宋体" w:hAnsi="宋体" w:cs="宋体"/>
                <w:bCs/>
                <w:kern w:val="0"/>
                <w:sz w:val="20"/>
              </w:rPr>
            </w:pPr>
            <w:bookmarkStart w:id="56" w:name="_Toc437934291"/>
            <w:r>
              <w:rPr>
                <w:rFonts w:hint="eastAsia" w:ascii="宋体" w:hAnsi="宋体" w:cs="宋体"/>
                <w:bCs/>
                <w:kern w:val="0"/>
                <w:sz w:val="20"/>
              </w:rPr>
              <w:t>6.2.3建筑电气</w:t>
            </w:r>
            <w:bookmarkEnd w:id="56"/>
          </w:p>
          <w:p>
            <w:pPr>
              <w:spacing w:line="276" w:lineRule="auto"/>
              <w:ind w:firstLine="400" w:firstLineChars="200"/>
              <w:rPr>
                <w:rFonts w:hint="eastAsia" w:ascii="宋体" w:hAnsi="宋体" w:cs="宋体"/>
                <w:bCs/>
                <w:kern w:val="0"/>
                <w:sz w:val="20"/>
              </w:rPr>
            </w:pPr>
            <w:r>
              <w:rPr>
                <w:rFonts w:hint="eastAsia" w:ascii="宋体" w:hAnsi="宋体" w:cs="宋体"/>
                <w:bCs/>
                <w:kern w:val="0"/>
                <w:sz w:val="20"/>
              </w:rPr>
              <w:t>1  建筑出入口、阳台应设照明设施。供老年人使用的盥洗盆或盥洗槽、厨房操作台应设局部照明，有条件时，每个居室的门外可增设局部照明。</w:t>
            </w:r>
          </w:p>
          <w:p>
            <w:pPr>
              <w:spacing w:line="276" w:lineRule="auto"/>
              <w:ind w:firstLine="400" w:firstLineChars="200"/>
              <w:rPr>
                <w:rFonts w:hint="eastAsia" w:ascii="宋体" w:hAnsi="宋体" w:cs="宋体"/>
                <w:bCs/>
                <w:kern w:val="0"/>
                <w:sz w:val="20"/>
              </w:rPr>
            </w:pPr>
            <w:r>
              <w:rPr>
                <w:rFonts w:hint="eastAsia" w:ascii="宋体" w:hAnsi="宋体" w:cs="宋体"/>
                <w:bCs/>
                <w:kern w:val="0"/>
                <w:sz w:val="20"/>
              </w:rPr>
              <w:t>2  居室至居室卫生间的走道墙面距地0.40m处应设嵌装脚灯，居室的顶灯、长过道的照明宜采用双控开关两地控制。</w:t>
            </w:r>
          </w:p>
          <w:p>
            <w:pPr>
              <w:spacing w:line="276" w:lineRule="auto"/>
              <w:ind w:firstLine="400" w:firstLineChars="200"/>
              <w:rPr>
                <w:rFonts w:hint="eastAsia" w:ascii="宋体" w:hAnsi="宋体"/>
                <w:kern w:val="0"/>
              </w:rPr>
            </w:pPr>
            <w:r>
              <w:rPr>
                <w:rFonts w:hint="eastAsia" w:ascii="宋体" w:hAnsi="宋体" w:cs="宋体"/>
                <w:bCs/>
                <w:kern w:val="0"/>
                <w:sz w:val="20"/>
              </w:rPr>
              <w:t>3  照明开关应选用带夜间指示灯的宽板翘板开关，安装位置应醒目，且颜色应与墙壁区分，高度宜距地面</w:t>
            </w:r>
            <w:r>
              <w:rPr>
                <w:rFonts w:ascii="宋体" w:hAnsi="宋体" w:cs="宋体"/>
                <w:bCs/>
                <w:kern w:val="0"/>
                <w:sz w:val="20"/>
              </w:rPr>
              <w:t>1.</w:t>
            </w:r>
            <w:r>
              <w:rPr>
                <w:rFonts w:hint="eastAsia" w:ascii="宋体" w:hAnsi="宋体" w:cs="宋体"/>
                <w:bCs/>
                <w:kern w:val="0"/>
                <w:sz w:val="20"/>
              </w:rPr>
              <w:t>10m。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2"/>
            <w:vAlign w:val="center"/>
          </w:tcPr>
          <w:p>
            <w:pPr>
              <w:pStyle w:val="11"/>
              <w:adjustRightInd w:val="0"/>
              <w:spacing w:line="360" w:lineRule="auto"/>
              <w:ind w:firstLine="0" w:firstLineChars="0"/>
              <w:contextualSpacing/>
              <w:rPr>
                <w:rFonts w:hint="eastAsia" w:hAnsi="宋体"/>
                <w:szCs w:val="21"/>
              </w:rPr>
            </w:pPr>
            <w:bookmarkStart w:id="57" w:name="_Toc464905809"/>
            <w:bookmarkStart w:id="58" w:name="_Toc465074266"/>
            <w:bookmarkStart w:id="59" w:name="_Toc464905613"/>
            <w:bookmarkStart w:id="60" w:name="_Toc464905557"/>
            <w:bookmarkStart w:id="61" w:name="_Toc464902852"/>
            <w:r>
              <w:rPr>
                <w:rFonts w:hint="eastAsia" w:hAnsi="宋体"/>
                <w:b/>
                <w:bCs/>
                <w:szCs w:val="21"/>
              </w:rPr>
              <w:t>5、标准中如果涉及专利，应有明确的知识产权说明</w:t>
            </w:r>
            <w:bookmarkEnd w:id="57"/>
            <w:bookmarkEnd w:id="58"/>
            <w:bookmarkEnd w:id="59"/>
            <w:bookmarkEnd w:id="60"/>
            <w:bookmarkEnd w:id="6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2"/>
            <w:vAlign w:val="center"/>
          </w:tcPr>
          <w:p>
            <w:pPr>
              <w:ind w:firstLine="420" w:firstLineChars="200"/>
              <w:rPr>
                <w:rFonts w:hint="eastAsia" w:hAnsi="宋体"/>
              </w:rPr>
            </w:pPr>
            <w:r>
              <w:rPr>
                <w:rFonts w:hint="eastAsia"/>
                <w:color w:val="000000"/>
                <w:kern w:val="0"/>
              </w:rPr>
              <w:t>本标准不涉及专利。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2"/>
            <w:vAlign w:val="center"/>
          </w:tcPr>
          <w:p>
            <w:pPr>
              <w:pStyle w:val="11"/>
              <w:adjustRightInd w:val="0"/>
              <w:spacing w:line="360" w:lineRule="auto"/>
              <w:ind w:firstLine="0" w:firstLineChars="0"/>
              <w:contextualSpacing/>
              <w:rPr>
                <w:rFonts w:hint="eastAsia" w:hAnsi="宋体"/>
                <w:szCs w:val="21"/>
              </w:rPr>
            </w:pPr>
            <w:bookmarkStart w:id="62" w:name="_Toc464905810"/>
            <w:bookmarkStart w:id="63" w:name="_Toc464905558"/>
            <w:bookmarkStart w:id="64" w:name="_Toc465074267"/>
            <w:bookmarkStart w:id="65" w:name="_Toc464905614"/>
            <w:bookmarkStart w:id="66" w:name="_Toc464902853"/>
            <w:r>
              <w:rPr>
                <w:rFonts w:hint="eastAsia" w:hAnsi="宋体"/>
                <w:b/>
                <w:bCs/>
                <w:szCs w:val="21"/>
              </w:rPr>
              <w:t>6、采用国际标准或国外先进标准的，说明采标程度，以及国内外同类标准水平的对比情况</w:t>
            </w:r>
            <w:bookmarkEnd w:id="62"/>
            <w:bookmarkEnd w:id="63"/>
            <w:bookmarkEnd w:id="64"/>
            <w:bookmarkEnd w:id="65"/>
            <w:bookmarkEnd w:id="6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2"/>
            <w:vAlign w:val="center"/>
          </w:tcPr>
          <w:p>
            <w:pPr>
              <w:ind w:firstLine="420" w:firstLineChars="200"/>
              <w:rPr>
                <w:rFonts w:hint="eastAsia" w:hAnsi="宋体"/>
              </w:rPr>
            </w:pPr>
            <w:r>
              <w:rPr>
                <w:rFonts w:hint="eastAsia" w:hAnsi="宋体"/>
              </w:rPr>
              <w:t>无采用国际或国外标准。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2"/>
            <w:vAlign w:val="center"/>
          </w:tcPr>
          <w:p>
            <w:pPr>
              <w:pStyle w:val="11"/>
              <w:adjustRightInd w:val="0"/>
              <w:spacing w:line="360" w:lineRule="auto"/>
              <w:ind w:firstLine="0" w:firstLineChars="0"/>
              <w:contextualSpacing/>
              <w:rPr>
                <w:rFonts w:hint="eastAsia" w:hAnsi="宋体"/>
                <w:szCs w:val="21"/>
              </w:rPr>
            </w:pPr>
            <w:bookmarkStart w:id="67" w:name="_Toc464905811"/>
            <w:bookmarkStart w:id="68" w:name="_Toc465074268"/>
            <w:bookmarkStart w:id="69" w:name="_Toc464905559"/>
            <w:bookmarkStart w:id="70" w:name="_Toc464905615"/>
            <w:bookmarkStart w:id="71" w:name="_Toc464902854"/>
            <w:r>
              <w:rPr>
                <w:rFonts w:hint="eastAsia" w:hAnsi="宋体"/>
                <w:b/>
                <w:bCs/>
                <w:szCs w:val="21"/>
              </w:rPr>
              <w:t>7、重大分歧意见的处理经过和依据</w:t>
            </w:r>
            <w:bookmarkEnd w:id="67"/>
            <w:bookmarkEnd w:id="68"/>
            <w:bookmarkEnd w:id="69"/>
            <w:bookmarkEnd w:id="70"/>
            <w:bookmarkEnd w:id="7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2"/>
            <w:vAlign w:val="center"/>
          </w:tcPr>
          <w:p>
            <w:pPr>
              <w:ind w:firstLine="420" w:firstLineChars="200"/>
              <w:rPr>
                <w:rFonts w:hint="eastAsia" w:hAnsi="宋体"/>
              </w:rPr>
            </w:pPr>
            <w:r>
              <w:rPr>
                <w:rFonts w:hint="eastAsia" w:hAnsi="宋体"/>
              </w:rPr>
              <w:t>无重大意见分歧。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2"/>
            <w:vAlign w:val="center"/>
          </w:tcPr>
          <w:p>
            <w:pPr>
              <w:pStyle w:val="11"/>
              <w:adjustRightInd w:val="0"/>
              <w:spacing w:line="360" w:lineRule="auto"/>
              <w:ind w:firstLine="0" w:firstLineChars="0"/>
              <w:contextualSpacing/>
              <w:rPr>
                <w:rFonts w:hint="eastAsia" w:hAnsi="宋体"/>
                <w:szCs w:val="21"/>
              </w:rPr>
            </w:pPr>
            <w:bookmarkStart w:id="72" w:name="_Toc464905812"/>
            <w:bookmarkStart w:id="73" w:name="_Toc464905616"/>
            <w:bookmarkStart w:id="74" w:name="_Toc464902855"/>
            <w:bookmarkStart w:id="75" w:name="_Toc465074269"/>
            <w:bookmarkStart w:id="76" w:name="_Toc464905560"/>
            <w:r>
              <w:rPr>
                <w:rFonts w:hint="eastAsia" w:hAnsi="宋体"/>
                <w:b/>
                <w:bCs/>
                <w:szCs w:val="21"/>
              </w:rPr>
              <w:t>8、贯彻标准的要求和措施建议（包括组织措施、技术措施、过渡办法、实施日期等）</w:t>
            </w:r>
            <w:bookmarkEnd w:id="72"/>
            <w:bookmarkEnd w:id="73"/>
            <w:bookmarkEnd w:id="74"/>
            <w:bookmarkEnd w:id="75"/>
            <w:bookmarkEnd w:id="7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2"/>
            <w:vAlign w:val="center"/>
          </w:tcPr>
          <w:p>
            <w:pPr>
              <w:ind w:firstLine="420" w:firstLineChars="200"/>
              <w:rPr>
                <w:rFonts w:hint="eastAsia" w:hAnsi="宋体"/>
              </w:rPr>
            </w:pPr>
            <w:r>
              <w:rPr>
                <w:rFonts w:hint="eastAsia"/>
                <w:color w:val="000000"/>
                <w:kern w:val="0"/>
              </w:rPr>
              <w:t>本标准实施后，标准编制单位将会同标准化技术机构组织使用单位对该标准进行宣贯，利用各种宣传媒体，使相关使用单位尽快熟悉、了解、掌握和应用本标准，促进相关单位按照标准实施安徽省城乡养老服务设施的规划与建设工作，规范相关技术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2"/>
            <w:vAlign w:val="center"/>
          </w:tcPr>
          <w:p>
            <w:pPr>
              <w:pStyle w:val="11"/>
              <w:adjustRightInd w:val="0"/>
              <w:spacing w:line="360" w:lineRule="auto"/>
              <w:ind w:firstLine="0" w:firstLineChars="0"/>
              <w:contextualSpacing/>
              <w:rPr>
                <w:rFonts w:hint="eastAsia" w:hAnsi="宋体"/>
                <w:szCs w:val="21"/>
              </w:rPr>
            </w:pPr>
            <w:bookmarkStart w:id="77" w:name="_Toc465074270"/>
            <w:bookmarkStart w:id="78" w:name="_Toc464905813"/>
            <w:bookmarkStart w:id="79" w:name="_Toc464902856"/>
            <w:bookmarkStart w:id="80" w:name="_Toc464905617"/>
            <w:bookmarkStart w:id="81" w:name="_Toc464905561"/>
            <w:r>
              <w:rPr>
                <w:rFonts w:hint="eastAsia" w:hAnsi="宋体"/>
                <w:b/>
                <w:bCs/>
                <w:szCs w:val="21"/>
              </w:rPr>
              <w:t>9、废止现行相关标准的建议</w:t>
            </w:r>
            <w:bookmarkEnd w:id="77"/>
            <w:bookmarkEnd w:id="78"/>
            <w:bookmarkEnd w:id="79"/>
            <w:bookmarkEnd w:id="80"/>
            <w:bookmarkEnd w:id="8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2"/>
            <w:vAlign w:val="center"/>
          </w:tcPr>
          <w:p>
            <w:pPr>
              <w:ind w:firstLine="420" w:firstLineChars="200"/>
              <w:rPr>
                <w:rFonts w:hint="eastAsia" w:hAnsi="宋体"/>
              </w:rPr>
            </w:pPr>
            <w:r>
              <w:rPr>
                <w:rFonts w:hint="eastAsia"/>
                <w:color w:val="000000"/>
                <w:kern w:val="0"/>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2"/>
            <w:vAlign w:val="center"/>
          </w:tcPr>
          <w:p>
            <w:pPr>
              <w:pStyle w:val="11"/>
              <w:adjustRightInd w:val="0"/>
              <w:spacing w:line="360" w:lineRule="auto"/>
              <w:ind w:firstLine="0" w:firstLineChars="0"/>
              <w:contextualSpacing/>
              <w:rPr>
                <w:rFonts w:hint="eastAsia" w:hAnsi="宋体"/>
                <w:szCs w:val="21"/>
              </w:rPr>
            </w:pPr>
            <w:bookmarkStart w:id="82" w:name="_Toc464905562"/>
            <w:bookmarkStart w:id="83" w:name="_Toc464902857"/>
            <w:bookmarkStart w:id="84" w:name="_Toc465074271"/>
            <w:bookmarkStart w:id="85" w:name="_Toc464905814"/>
            <w:bookmarkStart w:id="86" w:name="_Toc464905618"/>
            <w:r>
              <w:rPr>
                <w:rFonts w:hint="eastAsia" w:hAnsi="宋体"/>
                <w:b/>
                <w:bCs/>
                <w:szCs w:val="21"/>
              </w:rPr>
              <w:t>10、其它应予说明的事项</w:t>
            </w:r>
            <w:bookmarkEnd w:id="82"/>
            <w:bookmarkEnd w:id="83"/>
            <w:bookmarkEnd w:id="84"/>
            <w:bookmarkEnd w:id="85"/>
            <w:bookmarkEnd w:id="8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2"/>
            <w:vAlign w:val="center"/>
          </w:tcPr>
          <w:p>
            <w:pPr>
              <w:ind w:firstLine="420" w:firstLineChars="200"/>
              <w:rPr>
                <w:rFonts w:hint="eastAsia" w:hAnsi="宋体"/>
              </w:rPr>
            </w:pPr>
            <w:r>
              <w:rPr>
                <w:rFonts w:hint="eastAsia"/>
                <w:color w:val="000000"/>
                <w:kern w:val="0"/>
              </w:rPr>
              <w:t>无</w:t>
            </w:r>
          </w:p>
        </w:tc>
      </w:tr>
    </w:tbl>
    <w:p>
      <w:pPr>
        <w:pStyle w:val="12"/>
      </w:pPr>
      <w:r>
        <w:rPr>
          <w:rFonts w:hint="eastAsia"/>
        </w:rPr>
        <w:t>没有的请填写 “无”。</w:t>
      </w: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swiss"/>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62AAD2C"/>
    <w:multiLevelType w:val="singleLevel"/>
    <w:tmpl w:val="462AAD2C"/>
    <w:lvl w:ilvl="0" w:tentative="0">
      <w:start w:val="1"/>
      <w:numFmt w:val="decimal"/>
      <w:suff w:val="nothing"/>
      <w:lvlText w:val="（%1）"/>
      <w:lvlJc w:val="left"/>
      <w:rPr>
        <w:rFonts w:ascii="宋体" w:hAnsi="宋体" w:eastAsia="宋体" w:cs="宋体"/>
      </w:rPr>
    </w:lvl>
  </w:abstractNum>
  <w:abstractNum w:abstractNumId="1">
    <w:nsid w:val="657D3FBC"/>
    <w:multiLevelType w:val="multilevel"/>
    <w:tmpl w:val="657D3FBC"/>
    <w:lvl w:ilvl="0" w:tentative="0">
      <w:start w:val="1"/>
      <w:numFmt w:val="upperLetter"/>
      <w:pStyle w:val="9"/>
      <w:suff w:val="nothing"/>
      <w:lvlText w:val="附录%1"/>
      <w:lvlJc w:val="left"/>
      <w:pPr>
        <w:ind w:left="0" w:firstLine="0"/>
      </w:pPr>
      <w:rPr>
        <w:rFonts w:hint="eastAsia"/>
        <w:spacing w:val="100"/>
      </w:rPr>
    </w:lvl>
    <w:lvl w:ilvl="1" w:tentative="0">
      <w:start w:val="1"/>
      <w:numFmt w:val="decimal"/>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eastAsia="黑体"/>
        <w:b w:val="0"/>
        <w:i w:val="0"/>
        <w:sz w:val="21"/>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
    <w:nsid w:val="6DBF04F4"/>
    <w:multiLevelType w:val="multilevel"/>
    <w:tmpl w:val="6DBF04F4"/>
    <w:lvl w:ilvl="0" w:tentative="0">
      <w:start w:val="1"/>
      <w:numFmt w:val="none"/>
      <w:pStyle w:val="12"/>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2OGFlZjdiMDkyMmU3Y2M3NGEzMmY5ODE2OTJlMzAifQ=="/>
  </w:docVars>
  <w:rsids>
    <w:rsidRoot w:val="11937BFE"/>
    <w:rsid w:val="0000424A"/>
    <w:rsid w:val="00022D15"/>
    <w:rsid w:val="00037EC4"/>
    <w:rsid w:val="0005585B"/>
    <w:rsid w:val="000614F3"/>
    <w:rsid w:val="00095D6F"/>
    <w:rsid w:val="000B1103"/>
    <w:rsid w:val="000B17D7"/>
    <w:rsid w:val="000B650A"/>
    <w:rsid w:val="000D5608"/>
    <w:rsid w:val="00101794"/>
    <w:rsid w:val="0011059C"/>
    <w:rsid w:val="00141C74"/>
    <w:rsid w:val="00144273"/>
    <w:rsid w:val="001649DF"/>
    <w:rsid w:val="001C48B2"/>
    <w:rsid w:val="001D60F1"/>
    <w:rsid w:val="00200018"/>
    <w:rsid w:val="0025402E"/>
    <w:rsid w:val="00257130"/>
    <w:rsid w:val="00275B1C"/>
    <w:rsid w:val="002805F7"/>
    <w:rsid w:val="002A6CE7"/>
    <w:rsid w:val="002C4F30"/>
    <w:rsid w:val="002F3700"/>
    <w:rsid w:val="00347717"/>
    <w:rsid w:val="00382EC6"/>
    <w:rsid w:val="00390E11"/>
    <w:rsid w:val="00391B5E"/>
    <w:rsid w:val="003E57F8"/>
    <w:rsid w:val="004009DA"/>
    <w:rsid w:val="0040754A"/>
    <w:rsid w:val="004A14F1"/>
    <w:rsid w:val="004B1E7D"/>
    <w:rsid w:val="004B38FB"/>
    <w:rsid w:val="004B53BE"/>
    <w:rsid w:val="004C7E1D"/>
    <w:rsid w:val="00502E1F"/>
    <w:rsid w:val="00520F21"/>
    <w:rsid w:val="00527408"/>
    <w:rsid w:val="005304A9"/>
    <w:rsid w:val="0059466F"/>
    <w:rsid w:val="005B79D5"/>
    <w:rsid w:val="005C3BBE"/>
    <w:rsid w:val="005F142B"/>
    <w:rsid w:val="005F7FF5"/>
    <w:rsid w:val="0064069E"/>
    <w:rsid w:val="006562FF"/>
    <w:rsid w:val="00680642"/>
    <w:rsid w:val="006B40F3"/>
    <w:rsid w:val="006C1EF2"/>
    <w:rsid w:val="00710393"/>
    <w:rsid w:val="00724A15"/>
    <w:rsid w:val="00756A1B"/>
    <w:rsid w:val="00764F30"/>
    <w:rsid w:val="007A1B5D"/>
    <w:rsid w:val="007C15B2"/>
    <w:rsid w:val="007D345F"/>
    <w:rsid w:val="007D6AE3"/>
    <w:rsid w:val="007F5F75"/>
    <w:rsid w:val="00803C2E"/>
    <w:rsid w:val="008355C7"/>
    <w:rsid w:val="00844E23"/>
    <w:rsid w:val="008C7A90"/>
    <w:rsid w:val="00934A62"/>
    <w:rsid w:val="00943FBD"/>
    <w:rsid w:val="009554A4"/>
    <w:rsid w:val="00957B5F"/>
    <w:rsid w:val="00992834"/>
    <w:rsid w:val="00AA0056"/>
    <w:rsid w:val="00B00DF8"/>
    <w:rsid w:val="00B14E00"/>
    <w:rsid w:val="00B2719E"/>
    <w:rsid w:val="00B52793"/>
    <w:rsid w:val="00B532B6"/>
    <w:rsid w:val="00B56FBC"/>
    <w:rsid w:val="00B96522"/>
    <w:rsid w:val="00BA32EC"/>
    <w:rsid w:val="00C124B4"/>
    <w:rsid w:val="00C127B9"/>
    <w:rsid w:val="00C1334E"/>
    <w:rsid w:val="00C4165C"/>
    <w:rsid w:val="00C6226B"/>
    <w:rsid w:val="00C62F50"/>
    <w:rsid w:val="00C645AD"/>
    <w:rsid w:val="00CC4187"/>
    <w:rsid w:val="00CD36D7"/>
    <w:rsid w:val="00CF4ABE"/>
    <w:rsid w:val="00D15C3C"/>
    <w:rsid w:val="00D279CA"/>
    <w:rsid w:val="00D47E8A"/>
    <w:rsid w:val="00DA23A5"/>
    <w:rsid w:val="00DB22D8"/>
    <w:rsid w:val="00E00E61"/>
    <w:rsid w:val="00E0771C"/>
    <w:rsid w:val="00EE7BF5"/>
    <w:rsid w:val="00EF0423"/>
    <w:rsid w:val="00F5620E"/>
    <w:rsid w:val="00F575B3"/>
    <w:rsid w:val="00F62C5A"/>
    <w:rsid w:val="00F709E5"/>
    <w:rsid w:val="00F923AF"/>
    <w:rsid w:val="014852B3"/>
    <w:rsid w:val="0E0139D1"/>
    <w:rsid w:val="11937BFE"/>
    <w:rsid w:val="2189338F"/>
    <w:rsid w:val="24B42D48"/>
    <w:rsid w:val="64F15014"/>
    <w:rsid w:val="7A045B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17"/>
    <w:qFormat/>
    <w:uiPriority w:val="0"/>
    <w:pPr>
      <w:keepNext/>
      <w:keepLines/>
      <w:adjustRightInd/>
      <w:spacing w:before="340" w:after="330" w:line="578" w:lineRule="auto"/>
      <w:outlineLvl w:val="0"/>
    </w:pPr>
    <w:rPr>
      <w:b/>
      <w:bCs/>
      <w:kern w:val="44"/>
      <w:sz w:val="44"/>
      <w:szCs w:val="44"/>
    </w:rPr>
  </w:style>
  <w:style w:type="paragraph" w:styleId="3">
    <w:name w:val="heading 2"/>
    <w:basedOn w:val="1"/>
    <w:next w:val="1"/>
    <w:link w:val="18"/>
    <w:qFormat/>
    <w:uiPriority w:val="0"/>
    <w:pPr>
      <w:keepNext/>
      <w:keepLines/>
      <w:adjustRightInd/>
      <w:spacing w:before="260" w:after="260" w:line="416" w:lineRule="auto"/>
      <w:outlineLvl w:val="1"/>
    </w:pPr>
    <w:rPr>
      <w:rFonts w:ascii="Cambria" w:hAnsi="Cambria"/>
      <w:b/>
      <w:bCs/>
      <w:sz w:val="32"/>
      <w:szCs w:val="32"/>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4"/>
    <w:qFormat/>
    <w:uiPriority w:val="0"/>
    <w:pPr>
      <w:tabs>
        <w:tab w:val="center" w:pos="4153"/>
        <w:tab w:val="right" w:pos="8306"/>
      </w:tabs>
      <w:snapToGrid w:val="0"/>
      <w:spacing w:line="240" w:lineRule="atLeast"/>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6">
    <w:name w:val="Normal (Web)"/>
    <w:basedOn w:val="1"/>
    <w:unhideWhenUsed/>
    <w:qFormat/>
    <w:uiPriority w:val="99"/>
    <w:pPr>
      <w:widowControl/>
      <w:adjustRightInd/>
      <w:spacing w:before="100" w:beforeAutospacing="1" w:after="100" w:afterAutospacing="1" w:line="240" w:lineRule="auto"/>
      <w:jc w:val="left"/>
    </w:pPr>
    <w:rPr>
      <w:rFonts w:ascii="宋体" w:hAnsi="宋体" w:cs="宋体"/>
      <w:kern w:val="0"/>
      <w:sz w:val="24"/>
      <w:szCs w:val="24"/>
    </w:rPr>
  </w:style>
  <w:style w:type="paragraph" w:customStyle="1" w:styleId="9">
    <w:name w:val="标准文件_附录标识"/>
    <w:next w:val="10"/>
    <w:qFormat/>
    <w:uiPriority w:val="0"/>
    <w:pPr>
      <w:numPr>
        <w:ilvl w:val="0"/>
        <w:numId w:val="1"/>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10">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1">
    <w:name w:val="段"/>
    <w:link w:val="16"/>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2">
    <w:name w:val="标准文件_注："/>
    <w:next w:val="10"/>
    <w:qFormat/>
    <w:uiPriority w:val="0"/>
    <w:pPr>
      <w:widowControl w:val="0"/>
      <w:numPr>
        <w:ilvl w:val="0"/>
        <w:numId w:val="2"/>
      </w:numPr>
      <w:autoSpaceDE w:val="0"/>
      <w:autoSpaceDN w:val="0"/>
      <w:jc w:val="both"/>
    </w:pPr>
    <w:rPr>
      <w:rFonts w:ascii="宋体" w:hAnsi="Times New Roman" w:eastAsia="宋体" w:cs="Times New Roman"/>
      <w:sz w:val="18"/>
      <w:szCs w:val="18"/>
      <w:lang w:val="en-US" w:eastAsia="zh-CN" w:bidi="ar-SA"/>
    </w:rPr>
  </w:style>
  <w:style w:type="character" w:customStyle="1" w:styleId="13">
    <w:name w:val="页眉 字符"/>
    <w:basedOn w:val="8"/>
    <w:link w:val="5"/>
    <w:qFormat/>
    <w:uiPriority w:val="0"/>
    <w:rPr>
      <w:rFonts w:ascii="Calibri" w:hAnsi="Calibri" w:eastAsia="宋体" w:cs="Times New Roman"/>
      <w:kern w:val="2"/>
      <w:sz w:val="18"/>
      <w:szCs w:val="18"/>
    </w:rPr>
  </w:style>
  <w:style w:type="character" w:customStyle="1" w:styleId="14">
    <w:name w:val="页脚 字符"/>
    <w:basedOn w:val="8"/>
    <w:link w:val="4"/>
    <w:qFormat/>
    <w:uiPriority w:val="0"/>
    <w:rPr>
      <w:rFonts w:ascii="Calibri" w:hAnsi="Calibri" w:eastAsia="宋体" w:cs="Times New Roman"/>
      <w:kern w:val="2"/>
      <w:sz w:val="18"/>
      <w:szCs w:val="18"/>
    </w:rPr>
  </w:style>
  <w:style w:type="character" w:customStyle="1" w:styleId="15">
    <w:name w:val="op_exactqa_word_word_text1"/>
    <w:basedOn w:val="8"/>
    <w:qFormat/>
    <w:uiPriority w:val="0"/>
    <w:rPr>
      <w:spacing w:val="15"/>
      <w:sz w:val="20"/>
      <w:szCs w:val="20"/>
    </w:rPr>
  </w:style>
  <w:style w:type="character" w:customStyle="1" w:styleId="16">
    <w:name w:val="段 Char"/>
    <w:basedOn w:val="8"/>
    <w:link w:val="11"/>
    <w:qFormat/>
    <w:uiPriority w:val="0"/>
    <w:rPr>
      <w:rFonts w:ascii="宋体" w:hAnsi="Times New Roman" w:eastAsia="宋体" w:cs="Times New Roman"/>
      <w:sz w:val="21"/>
    </w:rPr>
  </w:style>
  <w:style w:type="character" w:customStyle="1" w:styleId="17">
    <w:name w:val="标题 1 字符"/>
    <w:basedOn w:val="8"/>
    <w:link w:val="2"/>
    <w:qFormat/>
    <w:uiPriority w:val="0"/>
    <w:rPr>
      <w:rFonts w:ascii="Calibri" w:hAnsi="Calibri" w:eastAsia="宋体" w:cs="Times New Roman"/>
      <w:b/>
      <w:bCs/>
      <w:kern w:val="44"/>
      <w:sz w:val="44"/>
      <w:szCs w:val="44"/>
    </w:rPr>
  </w:style>
  <w:style w:type="character" w:customStyle="1" w:styleId="18">
    <w:name w:val="标题 2 字符"/>
    <w:basedOn w:val="8"/>
    <w:link w:val="3"/>
    <w:qFormat/>
    <w:uiPriority w:val="0"/>
    <w:rPr>
      <w:rFonts w:ascii="Cambria" w:hAnsi="Cambria" w:eastAsia="宋体" w:cs="Times New Roman"/>
      <w:b/>
      <w:bCs/>
      <w:kern w:val="2"/>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883</Words>
  <Characters>5035</Characters>
  <Lines>41</Lines>
  <Paragraphs>11</Paragraphs>
  <TotalTime>0</TotalTime>
  <ScaleCrop>false</ScaleCrop>
  <LinksUpToDate>false</LinksUpToDate>
  <CharactersWithSpaces>5907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2022-09-22T02:36:00Z</dcterms:created>
  <dc:creator>ying123lin163com</dc:creator>
  <cp:lastModifiedBy>ying123lin163com</cp:lastModifiedBy>
  <dcterms:modified xsi:type="dcterms:W3CDTF">2024-12-13T07:41:31Z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93164B6D702546179E96BC355752B824</vt:lpwstr>
  </property>
</Properties>
</file>