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730" w:firstLineChars="1300"/>
        <w:rPr>
          <w:rFonts w:hint="eastAsia"/>
        </w:rPr>
      </w:pPr>
      <w:bookmarkStart w:id="31" w:name="_GoBack"/>
      <w:bookmarkEnd w:id="31"/>
      <w:r>
        <w:rPr>
          <w:rFonts w:hint="eastAsia"/>
        </w:rPr>
        <w:t>安徽省地方标准编制说明</w:t>
      </w:r>
    </w:p>
    <w:tbl>
      <w:tblPr>
        <w:tblStyle w:val="7"/>
        <w:tblW w:w="99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1101"/>
        <w:gridCol w:w="3888"/>
        <w:gridCol w:w="1220"/>
        <w:gridCol w:w="1450"/>
        <w:gridCol w:w="1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828" w:type="dxa"/>
            <w:gridSpan w:val="2"/>
            <w:vAlign w:val="center"/>
          </w:tcPr>
          <w:p>
            <w:pPr>
              <w:pStyle w:val="8"/>
            </w:pPr>
            <w:r>
              <w:rPr>
                <w:rFonts w:hint="eastAsia"/>
              </w:rPr>
              <w:t>标准名称</w:t>
            </w:r>
          </w:p>
        </w:tc>
        <w:tc>
          <w:tcPr>
            <w:tcW w:w="8105" w:type="dxa"/>
            <w:gridSpan w:val="4"/>
            <w:vAlign w:val="center"/>
          </w:tcPr>
          <w:p>
            <w:pPr>
              <w:pStyle w:val="8"/>
            </w:pPr>
            <w:r>
              <w:rPr>
                <w:rFonts w:hint="eastAsia"/>
              </w:rPr>
              <w:t>预制菜追溯编码标识与信息要求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828" w:type="dxa"/>
            <w:gridSpan w:val="2"/>
            <w:vAlign w:val="center"/>
          </w:tcPr>
          <w:p>
            <w:pPr>
              <w:pStyle w:val="8"/>
            </w:pPr>
            <w:r>
              <w:rPr>
                <w:rFonts w:hint="eastAsia"/>
              </w:rPr>
              <w:t>任务来源</w:t>
            </w:r>
          </w:p>
          <w:p>
            <w:pPr>
              <w:pStyle w:val="8"/>
            </w:pPr>
            <w:r>
              <w:rPr>
                <w:rFonts w:hint="eastAsia"/>
              </w:rPr>
              <w:t>（项目计划号）</w:t>
            </w:r>
          </w:p>
        </w:tc>
        <w:tc>
          <w:tcPr>
            <w:tcW w:w="8105" w:type="dxa"/>
            <w:gridSpan w:val="4"/>
            <w:vAlign w:val="center"/>
          </w:tcPr>
          <w:p>
            <w:pPr>
              <w:pStyle w:val="8"/>
            </w:pPr>
            <w:r>
              <w:rPr>
                <w:rFonts w:hint="eastAsia"/>
              </w:rPr>
              <w:t>安徽省市场监督管理局关于下达2024年第四批安徽省地方标准制修订计划的通知（</w:t>
            </w:r>
            <w:r>
              <w:rPr>
                <w:rFonts w:hint="eastAsia"/>
                <w:kern w:val="2"/>
                <w:lang w:bidi="ar"/>
              </w:rPr>
              <w:t>皖市监函〔2024〕524 号</w:t>
            </w:r>
            <w:r>
              <w:rPr>
                <w:rFonts w:hint="eastAsia"/>
              </w:rPr>
              <w:t>），项目计划号：2024-4-42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828" w:type="dxa"/>
            <w:gridSpan w:val="2"/>
            <w:vAlign w:val="center"/>
          </w:tcPr>
          <w:p>
            <w:pPr>
              <w:pStyle w:val="8"/>
            </w:pPr>
            <w:r>
              <w:rPr>
                <w:rFonts w:hint="eastAsia"/>
              </w:rPr>
              <w:t>第一起草单位</w:t>
            </w:r>
          </w:p>
          <w:p>
            <w:pPr>
              <w:pStyle w:val="8"/>
            </w:pPr>
            <w:r>
              <w:rPr>
                <w:rFonts w:hint="eastAsia"/>
              </w:rPr>
              <w:t>（盖章）</w:t>
            </w:r>
          </w:p>
        </w:tc>
        <w:tc>
          <w:tcPr>
            <w:tcW w:w="8105" w:type="dxa"/>
            <w:gridSpan w:val="4"/>
            <w:vAlign w:val="center"/>
          </w:tcPr>
          <w:p>
            <w:pPr>
              <w:pStyle w:val="8"/>
            </w:pPr>
            <w:r>
              <w:rPr>
                <w:rFonts w:hint="eastAsia"/>
              </w:rPr>
              <w:t>安徽省质量和标准化研究院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828" w:type="dxa"/>
            <w:gridSpan w:val="2"/>
            <w:vAlign w:val="center"/>
          </w:tcPr>
          <w:p>
            <w:pPr>
              <w:pStyle w:val="8"/>
            </w:pPr>
            <w:r>
              <w:rPr>
                <w:rFonts w:hint="eastAsia"/>
              </w:rPr>
              <w:t>单位地址</w:t>
            </w:r>
          </w:p>
        </w:tc>
        <w:tc>
          <w:tcPr>
            <w:tcW w:w="8105" w:type="dxa"/>
            <w:gridSpan w:val="4"/>
            <w:vAlign w:val="center"/>
          </w:tcPr>
          <w:p>
            <w:pPr>
              <w:pStyle w:val="8"/>
            </w:pPr>
            <w:r>
              <w:rPr>
                <w:rFonts w:hint="eastAsia"/>
              </w:rPr>
              <w:t>安徽省合肥市包河区宁国路112号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828" w:type="dxa"/>
            <w:gridSpan w:val="2"/>
            <w:vAlign w:val="center"/>
          </w:tcPr>
          <w:p>
            <w:pPr>
              <w:pStyle w:val="8"/>
            </w:pPr>
            <w:r>
              <w:rPr>
                <w:rFonts w:hint="eastAsia"/>
              </w:rPr>
              <w:t>参与起草单位</w:t>
            </w:r>
          </w:p>
        </w:tc>
        <w:tc>
          <w:tcPr>
            <w:tcW w:w="8105" w:type="dxa"/>
            <w:gridSpan w:val="4"/>
            <w:vAlign w:val="center"/>
          </w:tcPr>
          <w:p>
            <w:pPr>
              <w:pStyle w:val="8"/>
            </w:pPr>
            <w:r>
              <w:rPr>
                <w:rFonts w:hint="eastAsia"/>
              </w:rPr>
              <w:t>安徽顺道食品有限公司、</w:t>
            </w:r>
            <w:bookmarkStart w:id="0" w:name="OLE_LINK2"/>
            <w:r>
              <w:rPr>
                <w:rFonts w:hint="eastAsia"/>
              </w:rPr>
              <w:t>宿州市草源牧业股份有限公司</w:t>
            </w:r>
            <w:bookmarkEnd w:id="0"/>
            <w:r>
              <w:rPr>
                <w:rFonts w:hint="eastAsia"/>
              </w:rPr>
              <w:t>、必斐艾食品有限公司、快乐蜂食品（安徽）有限公司、淮南宜生生物科技有限公司、安徽上甲生物科技有限公司、黄山全江生态农业科技有限公司、宿州市预制菜学会、黄山市产品质量检验研究院、六安市质量和标准化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933" w:type="dxa"/>
            <w:gridSpan w:val="6"/>
            <w:vAlign w:val="center"/>
          </w:tcPr>
          <w:p>
            <w:pPr>
              <w:pStyle w:val="8"/>
            </w:pPr>
            <w:r>
              <w:rPr>
                <w:rFonts w:hint="eastAsia"/>
              </w:rPr>
              <w:t>标准起草人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7" w:type="dxa"/>
            <w:vAlign w:val="center"/>
          </w:tcPr>
          <w:p>
            <w:pPr>
              <w:pStyle w:val="8"/>
            </w:pPr>
            <w:r>
              <w:rPr>
                <w:rFonts w:hint="eastAsia"/>
              </w:rPr>
              <w:t>序号</w:t>
            </w:r>
          </w:p>
        </w:tc>
        <w:tc>
          <w:tcPr>
            <w:tcW w:w="1101" w:type="dxa"/>
            <w:vAlign w:val="center"/>
          </w:tcPr>
          <w:p>
            <w:pPr>
              <w:pStyle w:val="8"/>
            </w:pPr>
            <w:r>
              <w:rPr>
                <w:rFonts w:hint="eastAsia"/>
              </w:rPr>
              <w:t>姓名</w:t>
            </w:r>
          </w:p>
        </w:tc>
        <w:tc>
          <w:tcPr>
            <w:tcW w:w="3888" w:type="dxa"/>
            <w:vAlign w:val="center"/>
          </w:tcPr>
          <w:p>
            <w:pPr>
              <w:pStyle w:val="8"/>
            </w:pPr>
            <w:r>
              <w:rPr>
                <w:rFonts w:hint="eastAsia"/>
              </w:rPr>
              <w:t>单位</w:t>
            </w:r>
          </w:p>
        </w:tc>
        <w:tc>
          <w:tcPr>
            <w:tcW w:w="1220" w:type="dxa"/>
            <w:vAlign w:val="center"/>
          </w:tcPr>
          <w:p>
            <w:pPr>
              <w:pStyle w:val="8"/>
            </w:pPr>
            <w:r>
              <w:rPr>
                <w:rFonts w:hint="eastAsia"/>
              </w:rPr>
              <w:t>职务</w:t>
            </w:r>
          </w:p>
        </w:tc>
        <w:tc>
          <w:tcPr>
            <w:tcW w:w="1450" w:type="dxa"/>
            <w:vAlign w:val="center"/>
          </w:tcPr>
          <w:p>
            <w:pPr>
              <w:pStyle w:val="8"/>
            </w:pPr>
            <w:r>
              <w:rPr>
                <w:rFonts w:hint="eastAsia"/>
              </w:rPr>
              <w:t>职称</w:t>
            </w:r>
          </w:p>
        </w:tc>
        <w:tc>
          <w:tcPr>
            <w:tcW w:w="1547" w:type="dxa"/>
            <w:vAlign w:val="center"/>
          </w:tcPr>
          <w:p>
            <w:pPr>
              <w:pStyle w:val="8"/>
            </w:pPr>
            <w:r>
              <w:rPr>
                <w:rFonts w:hint="eastAsia"/>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7" w:type="dxa"/>
            <w:vAlign w:val="center"/>
          </w:tcPr>
          <w:p>
            <w:pPr>
              <w:pStyle w:val="8"/>
            </w:pPr>
            <w:r>
              <w:rPr>
                <w:rFonts w:hint="eastAsia"/>
              </w:rPr>
              <w:t>1</w:t>
            </w:r>
          </w:p>
        </w:tc>
        <w:tc>
          <w:tcPr>
            <w:tcW w:w="1101" w:type="dxa"/>
            <w:vAlign w:val="center"/>
          </w:tcPr>
          <w:p>
            <w:pPr>
              <w:pStyle w:val="8"/>
            </w:pPr>
          </w:p>
        </w:tc>
        <w:tc>
          <w:tcPr>
            <w:tcW w:w="3888" w:type="dxa"/>
            <w:vAlign w:val="center"/>
          </w:tcPr>
          <w:p>
            <w:pPr>
              <w:pStyle w:val="8"/>
            </w:pPr>
          </w:p>
        </w:tc>
        <w:tc>
          <w:tcPr>
            <w:tcW w:w="1220" w:type="dxa"/>
            <w:vAlign w:val="center"/>
          </w:tcPr>
          <w:p>
            <w:pPr>
              <w:pStyle w:val="8"/>
            </w:pPr>
          </w:p>
        </w:tc>
        <w:tc>
          <w:tcPr>
            <w:tcW w:w="1450" w:type="dxa"/>
            <w:vAlign w:val="center"/>
          </w:tcPr>
          <w:p>
            <w:pPr>
              <w:pStyle w:val="8"/>
            </w:pPr>
          </w:p>
        </w:tc>
        <w:tc>
          <w:tcPr>
            <w:tcW w:w="1547" w:type="dxa"/>
            <w:vAlign w:val="center"/>
          </w:tcPr>
          <w:p>
            <w:pPr>
              <w:pStyle w:val="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7" w:type="dxa"/>
            <w:vAlign w:val="center"/>
          </w:tcPr>
          <w:p>
            <w:pPr>
              <w:pStyle w:val="8"/>
            </w:pPr>
            <w:r>
              <w:rPr>
                <w:rFonts w:hint="eastAsia"/>
              </w:rPr>
              <w:t>2</w:t>
            </w:r>
          </w:p>
        </w:tc>
        <w:tc>
          <w:tcPr>
            <w:tcW w:w="1101" w:type="dxa"/>
            <w:vAlign w:val="center"/>
          </w:tcPr>
          <w:p>
            <w:pPr>
              <w:pStyle w:val="8"/>
            </w:pPr>
          </w:p>
        </w:tc>
        <w:tc>
          <w:tcPr>
            <w:tcW w:w="3888" w:type="dxa"/>
            <w:vAlign w:val="center"/>
          </w:tcPr>
          <w:p>
            <w:pPr>
              <w:pStyle w:val="8"/>
            </w:pPr>
          </w:p>
        </w:tc>
        <w:tc>
          <w:tcPr>
            <w:tcW w:w="1220" w:type="dxa"/>
            <w:vAlign w:val="center"/>
          </w:tcPr>
          <w:p>
            <w:pPr>
              <w:pStyle w:val="8"/>
            </w:pPr>
          </w:p>
        </w:tc>
        <w:tc>
          <w:tcPr>
            <w:tcW w:w="1450" w:type="dxa"/>
            <w:vAlign w:val="center"/>
          </w:tcPr>
          <w:p>
            <w:pPr>
              <w:pStyle w:val="8"/>
            </w:pPr>
          </w:p>
        </w:tc>
        <w:tc>
          <w:tcPr>
            <w:tcW w:w="1547" w:type="dxa"/>
            <w:vAlign w:val="center"/>
          </w:tcPr>
          <w:p>
            <w:pPr>
              <w:pStyle w:val="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7" w:type="dxa"/>
            <w:vAlign w:val="center"/>
          </w:tcPr>
          <w:p>
            <w:pPr>
              <w:pStyle w:val="8"/>
            </w:pPr>
            <w:r>
              <w:rPr>
                <w:rFonts w:hint="eastAsia"/>
              </w:rPr>
              <w:t>3</w:t>
            </w:r>
          </w:p>
        </w:tc>
        <w:tc>
          <w:tcPr>
            <w:tcW w:w="1101" w:type="dxa"/>
            <w:vAlign w:val="center"/>
          </w:tcPr>
          <w:p>
            <w:pPr>
              <w:pStyle w:val="8"/>
            </w:pPr>
          </w:p>
        </w:tc>
        <w:tc>
          <w:tcPr>
            <w:tcW w:w="3888" w:type="dxa"/>
            <w:vAlign w:val="center"/>
          </w:tcPr>
          <w:p>
            <w:pPr>
              <w:pStyle w:val="8"/>
            </w:pPr>
          </w:p>
        </w:tc>
        <w:tc>
          <w:tcPr>
            <w:tcW w:w="1220" w:type="dxa"/>
            <w:vAlign w:val="center"/>
          </w:tcPr>
          <w:p>
            <w:pPr>
              <w:pStyle w:val="8"/>
            </w:pPr>
          </w:p>
        </w:tc>
        <w:tc>
          <w:tcPr>
            <w:tcW w:w="1450" w:type="dxa"/>
            <w:vAlign w:val="center"/>
          </w:tcPr>
          <w:p>
            <w:pPr>
              <w:pStyle w:val="8"/>
            </w:pPr>
          </w:p>
        </w:tc>
        <w:tc>
          <w:tcPr>
            <w:tcW w:w="1547" w:type="dxa"/>
            <w:vAlign w:val="center"/>
          </w:tcPr>
          <w:p>
            <w:pPr>
              <w:pStyle w:val="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7" w:type="dxa"/>
            <w:vAlign w:val="center"/>
          </w:tcPr>
          <w:p>
            <w:pPr>
              <w:pStyle w:val="8"/>
            </w:pPr>
            <w:r>
              <w:rPr>
                <w:rFonts w:hint="eastAsia"/>
              </w:rPr>
              <w:t>4</w:t>
            </w:r>
          </w:p>
        </w:tc>
        <w:tc>
          <w:tcPr>
            <w:tcW w:w="1101" w:type="dxa"/>
            <w:vAlign w:val="center"/>
          </w:tcPr>
          <w:p>
            <w:pPr>
              <w:pStyle w:val="8"/>
            </w:pPr>
          </w:p>
        </w:tc>
        <w:tc>
          <w:tcPr>
            <w:tcW w:w="3888" w:type="dxa"/>
            <w:vAlign w:val="center"/>
          </w:tcPr>
          <w:p>
            <w:pPr>
              <w:pStyle w:val="8"/>
            </w:pPr>
          </w:p>
        </w:tc>
        <w:tc>
          <w:tcPr>
            <w:tcW w:w="1220" w:type="dxa"/>
            <w:vAlign w:val="center"/>
          </w:tcPr>
          <w:p>
            <w:pPr>
              <w:pStyle w:val="8"/>
            </w:pPr>
          </w:p>
        </w:tc>
        <w:tc>
          <w:tcPr>
            <w:tcW w:w="1450" w:type="dxa"/>
            <w:vAlign w:val="center"/>
          </w:tcPr>
          <w:p>
            <w:pPr>
              <w:pStyle w:val="8"/>
            </w:pPr>
          </w:p>
        </w:tc>
        <w:tc>
          <w:tcPr>
            <w:tcW w:w="1547" w:type="dxa"/>
            <w:vAlign w:val="center"/>
          </w:tcPr>
          <w:p>
            <w:pPr>
              <w:pStyle w:val="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7" w:type="dxa"/>
            <w:vAlign w:val="center"/>
          </w:tcPr>
          <w:p>
            <w:pPr>
              <w:pStyle w:val="8"/>
            </w:pPr>
            <w:r>
              <w:rPr>
                <w:rFonts w:hint="eastAsia"/>
              </w:rPr>
              <w:t>5</w:t>
            </w:r>
          </w:p>
        </w:tc>
        <w:tc>
          <w:tcPr>
            <w:tcW w:w="1101" w:type="dxa"/>
            <w:vAlign w:val="center"/>
          </w:tcPr>
          <w:p>
            <w:pPr>
              <w:pStyle w:val="8"/>
            </w:pPr>
          </w:p>
        </w:tc>
        <w:tc>
          <w:tcPr>
            <w:tcW w:w="3888" w:type="dxa"/>
            <w:vAlign w:val="center"/>
          </w:tcPr>
          <w:p>
            <w:pPr>
              <w:pStyle w:val="8"/>
            </w:pPr>
          </w:p>
        </w:tc>
        <w:tc>
          <w:tcPr>
            <w:tcW w:w="1220" w:type="dxa"/>
            <w:vAlign w:val="center"/>
          </w:tcPr>
          <w:p>
            <w:pPr>
              <w:pStyle w:val="8"/>
            </w:pPr>
          </w:p>
        </w:tc>
        <w:tc>
          <w:tcPr>
            <w:tcW w:w="1450" w:type="dxa"/>
            <w:vAlign w:val="center"/>
          </w:tcPr>
          <w:p>
            <w:pPr>
              <w:pStyle w:val="8"/>
            </w:pPr>
          </w:p>
        </w:tc>
        <w:tc>
          <w:tcPr>
            <w:tcW w:w="1547" w:type="dxa"/>
            <w:vAlign w:val="center"/>
          </w:tcPr>
          <w:p>
            <w:pPr>
              <w:pStyle w:val="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7" w:type="dxa"/>
            <w:vAlign w:val="center"/>
          </w:tcPr>
          <w:p>
            <w:pPr>
              <w:pStyle w:val="8"/>
            </w:pPr>
            <w:r>
              <w:rPr>
                <w:rFonts w:hint="eastAsia"/>
              </w:rPr>
              <w:t>6</w:t>
            </w:r>
          </w:p>
        </w:tc>
        <w:tc>
          <w:tcPr>
            <w:tcW w:w="1101" w:type="dxa"/>
            <w:vAlign w:val="center"/>
          </w:tcPr>
          <w:p>
            <w:pPr>
              <w:pStyle w:val="8"/>
            </w:pPr>
          </w:p>
        </w:tc>
        <w:tc>
          <w:tcPr>
            <w:tcW w:w="3888" w:type="dxa"/>
            <w:vAlign w:val="center"/>
          </w:tcPr>
          <w:p>
            <w:pPr>
              <w:pStyle w:val="8"/>
            </w:pPr>
          </w:p>
        </w:tc>
        <w:tc>
          <w:tcPr>
            <w:tcW w:w="1220" w:type="dxa"/>
            <w:vAlign w:val="center"/>
          </w:tcPr>
          <w:p>
            <w:pPr>
              <w:pStyle w:val="8"/>
            </w:pPr>
          </w:p>
        </w:tc>
        <w:tc>
          <w:tcPr>
            <w:tcW w:w="1450" w:type="dxa"/>
            <w:vAlign w:val="center"/>
          </w:tcPr>
          <w:p>
            <w:pPr>
              <w:pStyle w:val="8"/>
            </w:pPr>
          </w:p>
        </w:tc>
        <w:tc>
          <w:tcPr>
            <w:tcW w:w="1547" w:type="dxa"/>
            <w:vAlign w:val="center"/>
          </w:tcPr>
          <w:p>
            <w:pPr>
              <w:pStyle w:val="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7" w:type="dxa"/>
            <w:vAlign w:val="center"/>
          </w:tcPr>
          <w:p>
            <w:pPr>
              <w:pStyle w:val="8"/>
            </w:pPr>
            <w:r>
              <w:rPr>
                <w:rFonts w:hint="eastAsia"/>
              </w:rPr>
              <w:t>7</w:t>
            </w:r>
          </w:p>
        </w:tc>
        <w:tc>
          <w:tcPr>
            <w:tcW w:w="1101" w:type="dxa"/>
            <w:vAlign w:val="center"/>
          </w:tcPr>
          <w:p>
            <w:pPr>
              <w:pStyle w:val="8"/>
            </w:pPr>
          </w:p>
        </w:tc>
        <w:tc>
          <w:tcPr>
            <w:tcW w:w="3888" w:type="dxa"/>
            <w:vAlign w:val="center"/>
          </w:tcPr>
          <w:p>
            <w:pPr>
              <w:pStyle w:val="8"/>
            </w:pPr>
          </w:p>
        </w:tc>
        <w:tc>
          <w:tcPr>
            <w:tcW w:w="1220" w:type="dxa"/>
            <w:vAlign w:val="center"/>
          </w:tcPr>
          <w:p>
            <w:pPr>
              <w:pStyle w:val="8"/>
            </w:pPr>
          </w:p>
        </w:tc>
        <w:tc>
          <w:tcPr>
            <w:tcW w:w="1450" w:type="dxa"/>
            <w:vAlign w:val="center"/>
          </w:tcPr>
          <w:p>
            <w:pPr>
              <w:pStyle w:val="8"/>
            </w:pPr>
          </w:p>
        </w:tc>
        <w:tc>
          <w:tcPr>
            <w:tcW w:w="1547" w:type="dxa"/>
            <w:vAlign w:val="center"/>
          </w:tcPr>
          <w:p>
            <w:pPr>
              <w:pStyle w:val="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7" w:type="dxa"/>
            <w:vAlign w:val="center"/>
          </w:tcPr>
          <w:p>
            <w:pPr>
              <w:pStyle w:val="8"/>
            </w:pPr>
            <w:r>
              <w:rPr>
                <w:rFonts w:hint="eastAsia"/>
              </w:rPr>
              <w:t>8</w:t>
            </w:r>
          </w:p>
        </w:tc>
        <w:tc>
          <w:tcPr>
            <w:tcW w:w="1101" w:type="dxa"/>
            <w:vAlign w:val="center"/>
          </w:tcPr>
          <w:p>
            <w:pPr>
              <w:pStyle w:val="8"/>
            </w:pPr>
          </w:p>
        </w:tc>
        <w:tc>
          <w:tcPr>
            <w:tcW w:w="3888" w:type="dxa"/>
            <w:vAlign w:val="center"/>
          </w:tcPr>
          <w:p>
            <w:pPr>
              <w:pStyle w:val="8"/>
            </w:pPr>
          </w:p>
        </w:tc>
        <w:tc>
          <w:tcPr>
            <w:tcW w:w="1220" w:type="dxa"/>
            <w:vAlign w:val="center"/>
          </w:tcPr>
          <w:p>
            <w:pPr>
              <w:pStyle w:val="8"/>
            </w:pPr>
          </w:p>
        </w:tc>
        <w:tc>
          <w:tcPr>
            <w:tcW w:w="1450" w:type="dxa"/>
            <w:vAlign w:val="center"/>
          </w:tcPr>
          <w:p>
            <w:pPr>
              <w:pStyle w:val="8"/>
            </w:pPr>
          </w:p>
        </w:tc>
        <w:tc>
          <w:tcPr>
            <w:tcW w:w="1547" w:type="dxa"/>
            <w:vAlign w:val="center"/>
          </w:tcPr>
          <w:p>
            <w:pPr>
              <w:pStyle w:val="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7" w:type="dxa"/>
            <w:vAlign w:val="center"/>
          </w:tcPr>
          <w:p>
            <w:pPr>
              <w:pStyle w:val="8"/>
            </w:pPr>
            <w:r>
              <w:rPr>
                <w:rFonts w:hint="eastAsia"/>
              </w:rPr>
              <w:t>9</w:t>
            </w:r>
          </w:p>
        </w:tc>
        <w:tc>
          <w:tcPr>
            <w:tcW w:w="1101" w:type="dxa"/>
            <w:vAlign w:val="center"/>
          </w:tcPr>
          <w:p>
            <w:pPr>
              <w:pStyle w:val="8"/>
            </w:pPr>
          </w:p>
        </w:tc>
        <w:tc>
          <w:tcPr>
            <w:tcW w:w="3888" w:type="dxa"/>
            <w:vAlign w:val="center"/>
          </w:tcPr>
          <w:p>
            <w:pPr>
              <w:pStyle w:val="8"/>
            </w:pPr>
          </w:p>
        </w:tc>
        <w:tc>
          <w:tcPr>
            <w:tcW w:w="1220" w:type="dxa"/>
            <w:vAlign w:val="center"/>
          </w:tcPr>
          <w:p>
            <w:pPr>
              <w:pStyle w:val="8"/>
            </w:pPr>
          </w:p>
        </w:tc>
        <w:tc>
          <w:tcPr>
            <w:tcW w:w="1450" w:type="dxa"/>
            <w:vAlign w:val="center"/>
          </w:tcPr>
          <w:p>
            <w:pPr>
              <w:pStyle w:val="8"/>
            </w:pPr>
          </w:p>
        </w:tc>
        <w:tc>
          <w:tcPr>
            <w:tcW w:w="1547" w:type="dxa"/>
            <w:vAlign w:val="center"/>
          </w:tcPr>
          <w:p>
            <w:pPr>
              <w:pStyle w:val="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7" w:type="dxa"/>
            <w:vAlign w:val="center"/>
          </w:tcPr>
          <w:p>
            <w:pPr>
              <w:pStyle w:val="8"/>
            </w:pPr>
            <w:r>
              <w:rPr>
                <w:rFonts w:hint="eastAsia"/>
              </w:rPr>
              <w:t>10</w:t>
            </w:r>
          </w:p>
        </w:tc>
        <w:tc>
          <w:tcPr>
            <w:tcW w:w="1101" w:type="dxa"/>
            <w:vAlign w:val="center"/>
          </w:tcPr>
          <w:p>
            <w:pPr>
              <w:pStyle w:val="8"/>
            </w:pPr>
          </w:p>
        </w:tc>
        <w:tc>
          <w:tcPr>
            <w:tcW w:w="3888" w:type="dxa"/>
            <w:vAlign w:val="center"/>
          </w:tcPr>
          <w:p>
            <w:pPr>
              <w:pStyle w:val="8"/>
            </w:pPr>
          </w:p>
        </w:tc>
        <w:tc>
          <w:tcPr>
            <w:tcW w:w="1220" w:type="dxa"/>
            <w:vAlign w:val="center"/>
          </w:tcPr>
          <w:p>
            <w:pPr>
              <w:pStyle w:val="8"/>
            </w:pPr>
          </w:p>
        </w:tc>
        <w:tc>
          <w:tcPr>
            <w:tcW w:w="1450" w:type="dxa"/>
            <w:vAlign w:val="center"/>
          </w:tcPr>
          <w:p>
            <w:pPr>
              <w:pStyle w:val="8"/>
            </w:pPr>
          </w:p>
        </w:tc>
        <w:tc>
          <w:tcPr>
            <w:tcW w:w="1547" w:type="dxa"/>
            <w:vAlign w:val="center"/>
          </w:tcPr>
          <w:p>
            <w:pPr>
              <w:pStyle w:val="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7" w:type="dxa"/>
            <w:vAlign w:val="center"/>
          </w:tcPr>
          <w:p>
            <w:pPr>
              <w:pStyle w:val="8"/>
            </w:pPr>
            <w:r>
              <w:rPr>
                <w:rFonts w:hint="eastAsia"/>
              </w:rPr>
              <w:t>11</w:t>
            </w:r>
          </w:p>
        </w:tc>
        <w:tc>
          <w:tcPr>
            <w:tcW w:w="1101" w:type="dxa"/>
            <w:vAlign w:val="center"/>
          </w:tcPr>
          <w:p>
            <w:pPr>
              <w:pStyle w:val="8"/>
            </w:pPr>
          </w:p>
        </w:tc>
        <w:tc>
          <w:tcPr>
            <w:tcW w:w="3888" w:type="dxa"/>
            <w:vAlign w:val="center"/>
          </w:tcPr>
          <w:p>
            <w:pPr>
              <w:pStyle w:val="8"/>
            </w:pPr>
          </w:p>
        </w:tc>
        <w:tc>
          <w:tcPr>
            <w:tcW w:w="1220" w:type="dxa"/>
            <w:vAlign w:val="center"/>
          </w:tcPr>
          <w:p>
            <w:pPr>
              <w:pStyle w:val="8"/>
            </w:pPr>
          </w:p>
        </w:tc>
        <w:tc>
          <w:tcPr>
            <w:tcW w:w="1450" w:type="dxa"/>
            <w:vAlign w:val="center"/>
          </w:tcPr>
          <w:p>
            <w:pPr>
              <w:pStyle w:val="8"/>
            </w:pPr>
          </w:p>
        </w:tc>
        <w:tc>
          <w:tcPr>
            <w:tcW w:w="1547" w:type="dxa"/>
            <w:vAlign w:val="center"/>
          </w:tcPr>
          <w:p>
            <w:pPr>
              <w:pStyle w:val="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7" w:type="dxa"/>
            <w:vAlign w:val="center"/>
          </w:tcPr>
          <w:p>
            <w:pPr>
              <w:pStyle w:val="8"/>
            </w:pPr>
            <w:r>
              <w:rPr>
                <w:rFonts w:hint="eastAsia"/>
              </w:rPr>
              <w:t>12</w:t>
            </w:r>
          </w:p>
        </w:tc>
        <w:tc>
          <w:tcPr>
            <w:tcW w:w="1101" w:type="dxa"/>
            <w:vAlign w:val="center"/>
          </w:tcPr>
          <w:p>
            <w:pPr>
              <w:pStyle w:val="8"/>
            </w:pPr>
          </w:p>
        </w:tc>
        <w:tc>
          <w:tcPr>
            <w:tcW w:w="3888" w:type="dxa"/>
            <w:vAlign w:val="center"/>
          </w:tcPr>
          <w:p>
            <w:pPr>
              <w:pStyle w:val="8"/>
            </w:pPr>
          </w:p>
        </w:tc>
        <w:tc>
          <w:tcPr>
            <w:tcW w:w="1220" w:type="dxa"/>
            <w:vAlign w:val="center"/>
          </w:tcPr>
          <w:p>
            <w:pPr>
              <w:pStyle w:val="8"/>
            </w:pPr>
          </w:p>
        </w:tc>
        <w:tc>
          <w:tcPr>
            <w:tcW w:w="1450" w:type="dxa"/>
            <w:vAlign w:val="center"/>
          </w:tcPr>
          <w:p>
            <w:pPr>
              <w:pStyle w:val="8"/>
            </w:pPr>
          </w:p>
        </w:tc>
        <w:tc>
          <w:tcPr>
            <w:tcW w:w="1547" w:type="dxa"/>
            <w:vAlign w:val="center"/>
          </w:tcPr>
          <w:p>
            <w:pPr>
              <w:pStyle w:val="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933" w:type="dxa"/>
            <w:gridSpan w:val="6"/>
            <w:vAlign w:val="center"/>
          </w:tcPr>
          <w:p>
            <w:pPr>
              <w:pStyle w:val="8"/>
            </w:pPr>
            <w:r>
              <w:rPr>
                <w:rFonts w:hint="eastAsia"/>
              </w:rPr>
              <w:t>编制情况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933" w:type="dxa"/>
            <w:gridSpan w:val="6"/>
            <w:vAlign w:val="center"/>
          </w:tcPr>
          <w:p>
            <w:pPr>
              <w:pStyle w:val="8"/>
            </w:pPr>
            <w:r>
              <w:rPr>
                <w:rFonts w:hint="eastAsia"/>
              </w:rPr>
              <w:t>1、编制过程简介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933" w:type="dxa"/>
            <w:gridSpan w:val="6"/>
            <w:vAlign w:val="center"/>
          </w:tcPr>
          <w:p>
            <w:pPr>
              <w:rPr>
                <w:rFonts w:hint="eastAsia"/>
              </w:rPr>
            </w:pPr>
            <w:r>
              <w:rPr>
                <w:rFonts w:hint="eastAsia"/>
              </w:rPr>
              <w:t>2024年12月3日，《安徽省市场监督管理局关于下达2024年第四批安徽省地方标准制修订计划的通知》（皖市监函〔2024〕524号）下达了《预制菜追溯编码标识与信息要求》安徽省地方标准制定计划，标准起草组根据前期调研工作，认真计划、研究，明确了工作任务和职责分工。</w:t>
            </w:r>
          </w:p>
          <w:p>
            <w:pPr>
              <w:ind w:firstLine="422"/>
              <w:rPr>
                <w:rFonts w:hint="eastAsia"/>
              </w:rPr>
            </w:pPr>
            <w:r>
              <w:rPr>
                <w:rFonts w:hint="eastAsia"/>
                <w:b/>
              </w:rPr>
              <w:t>一、收集资料、开展调研、形成草案</w:t>
            </w:r>
            <w:r>
              <w:rPr>
                <w:rFonts w:hint="eastAsia"/>
              </w:rPr>
              <w:t>。2023年3月5日，收到安徽省市场监督管理局关于申报 2024 年安徽省地方标准计划项目申报工作的通知后，起草单位开展预制菜追溯编码标识与信息要求标准申报工作，成立标准起草组，起草组对预制菜相关国际、国家标准、行业标准、地方标准及团体标准及相关规章制度、规范、法律法规进行梳理，了解和掌握预制菜的相关定义、范围、加工流程等。对国内预制菜的实际情况进行深入的调查和研究，包括预制菜的生产、流通、问题及行业需求等，充分了解预制菜现有的标准化管理制度及规范情况、标准化工作体制机制情况，为预制菜追溯工作提供清晰明确的指导原则和操作规程。标准起草组依据GB/T 1.1-2020《标准化工作导则 第1部分：标准化文件的结构和起草规则》编制标准草案，并于2024年3月31日完成标准申报材料并提交。</w:t>
            </w:r>
          </w:p>
          <w:p>
            <w:pPr>
              <w:ind w:firstLine="422"/>
              <w:rPr>
                <w:rFonts w:hint="eastAsia"/>
              </w:rPr>
            </w:pPr>
            <w:r>
              <w:rPr>
                <w:rFonts w:hint="eastAsia"/>
                <w:b/>
                <w:color w:val="000000" w:themeColor="text1"/>
                <w14:textFill>
                  <w14:solidFill>
                    <w14:schemeClr w14:val="tx1"/>
                  </w14:solidFill>
                </w14:textFill>
              </w:rPr>
              <w:t>二、形成标准征求意见稿。</w:t>
            </w:r>
            <w:r>
              <w:rPr>
                <w:rFonts w:hint="eastAsia"/>
                <w:b w:val="0"/>
                <w:bCs w:val="0"/>
                <w:color w:val="000000" w:themeColor="text1"/>
                <w14:textFill>
                  <w14:solidFill>
                    <w14:schemeClr w14:val="tx1"/>
                  </w14:solidFill>
                </w14:textFill>
              </w:rPr>
              <w:t>2024 年 5 月 30 日至 2024 年 6 月 13 日，</w:t>
            </w:r>
            <w:r>
              <w:rPr>
                <w:rFonts w:hint="eastAsia"/>
                <w:b w:val="0"/>
                <w:bCs w:val="0"/>
                <w:color w:val="000000" w:themeColor="text1"/>
                <w:lang w:val="en-US" w:eastAsia="zh-CN"/>
                <w14:textFill>
                  <w14:solidFill>
                    <w14:schemeClr w14:val="tx1"/>
                  </w14:solidFill>
                </w14:textFill>
              </w:rPr>
              <w:t>标准起草组</w:t>
            </w:r>
            <w:r>
              <w:rPr>
                <w:rFonts w:hint="eastAsia"/>
                <w:b w:val="0"/>
                <w:bCs w:val="0"/>
                <w:color w:val="000000" w:themeColor="text1"/>
                <w14:textFill>
                  <w14:solidFill>
                    <w14:schemeClr w14:val="tx1"/>
                  </w14:solidFill>
                </w14:textFill>
              </w:rPr>
              <w:t>根据本省市预制菜研究的相关经验、需求、面临问题等，梳理调研问卷，确定参与调研的意向企业。2024 年 6 月 14 日至 2024 年 7 月 8 日，</w:t>
            </w:r>
            <w:r>
              <w:rPr>
                <w:rFonts w:hint="eastAsia"/>
                <w:b w:val="0"/>
                <w:bCs w:val="0"/>
                <w:color w:val="000000" w:themeColor="text1"/>
                <w:lang w:val="en-US" w:eastAsia="zh-CN"/>
                <w14:textFill>
                  <w14:solidFill>
                    <w14:schemeClr w14:val="tx1"/>
                  </w14:solidFill>
                </w14:textFill>
              </w:rPr>
              <w:t>标准起草组</w:t>
            </w:r>
            <w:r>
              <w:rPr>
                <w:rFonts w:hint="eastAsia"/>
                <w:b w:val="0"/>
                <w:bCs w:val="0"/>
                <w:color w:val="000000" w:themeColor="text1"/>
                <w14:textFill>
                  <w14:solidFill>
                    <w14:schemeClr w14:val="tx1"/>
                  </w14:solidFill>
                </w14:textFill>
              </w:rPr>
              <w:t>根据反馈的调研提纲，整理形成统一的调研问卷，进行预制菜企业追溯相关情况摸底调研。2024 年 7 月 9 日至 2024 年 7 月 26 日，根据反馈的调研结果，标准</w:t>
            </w:r>
            <w:r>
              <w:rPr>
                <w:rFonts w:hint="eastAsia"/>
                <w:b w:val="0"/>
                <w:bCs w:val="0"/>
                <w:color w:val="000000" w:themeColor="text1"/>
                <w:lang w:val="en-US" w:eastAsia="zh-CN"/>
                <w14:textFill>
                  <w14:solidFill>
                    <w14:schemeClr w14:val="tx1"/>
                  </w14:solidFill>
                </w14:textFill>
              </w:rPr>
              <w:t>起草组</w:t>
            </w:r>
            <w:r>
              <w:rPr>
                <w:rFonts w:hint="eastAsia"/>
                <w:b w:val="0"/>
                <w:bCs w:val="0"/>
                <w:color w:val="000000" w:themeColor="text1"/>
                <w14:textFill>
                  <w14:solidFill>
                    <w14:schemeClr w14:val="tx1"/>
                  </w14:solidFill>
                </w14:textFill>
              </w:rPr>
              <w:t>整理形成《预制菜追溯编码标识与追溯信息要求》团体标准编制调研总结报告。本次调研涵盖了预制菜产业链上相关各环节，包括生产、储运、销售、餐饮企业等，同时也涉及了大、中、小不同规模预制菜企5业的需求。调研总结报告依据企业反馈的有效调研结果进行编制，包含调研背景、调研目的、调研对象、调研方法、调研结果分析、问题、结论与建议、附件等部分，报告的研究成果可成为《预制菜追溯编码标识与追溯信息要求》团体标准制定的依据。</w:t>
            </w:r>
            <w:r>
              <w:rPr>
                <w:rFonts w:hint="eastAsia"/>
                <w:color w:val="000000" w:themeColor="text1"/>
                <w14:textFill>
                  <w14:solidFill>
                    <w14:schemeClr w14:val="tx1"/>
                  </w14:solidFill>
                </w14:textFill>
              </w:rPr>
              <w:t>2023年12月3日，在收到</w:t>
            </w:r>
            <w:r>
              <w:rPr>
                <w:rFonts w:hint="eastAsia"/>
              </w:rPr>
              <w:t>安徽省市场监督管理局《安徽省市场监督管理局关于下达2024年第四批安徽省地方标准制修订计划的通知》（皖市监函〔2024〕524号）后，标准起草组在标准草案基础上，结合前期调研情况，多次召开内部讨论会，研究标准框架，撰写编制说明，丰富、完善标准内容，于2024年12月20日形成标准征求意见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933" w:type="dxa"/>
            <w:gridSpan w:val="6"/>
            <w:vAlign w:val="center"/>
          </w:tcPr>
          <w:p>
            <w:pPr>
              <w:pStyle w:val="8"/>
            </w:pPr>
            <w:r>
              <w:rPr>
                <w:rFonts w:hint="eastAsia"/>
              </w:rPr>
              <w:t>2、制定标准的必要性和意义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933" w:type="dxa"/>
            <w:gridSpan w:val="6"/>
            <w:vAlign w:val="center"/>
          </w:tcPr>
          <w:p>
            <w:pPr>
              <w:ind w:firstLine="422"/>
              <w:rPr>
                <w:rFonts w:hint="eastAsia"/>
              </w:rPr>
            </w:pPr>
            <w:r>
              <w:rPr>
                <w:rFonts w:hint="eastAsia"/>
                <w:b/>
              </w:rPr>
              <w:t>必要性：</w:t>
            </w:r>
            <w:r>
              <w:rPr>
                <w:rFonts w:hint="eastAsia"/>
              </w:rPr>
              <w:t>伴随着我国社会经济的快速发展，社会化分工越来越精细、劳动力成本占比越来越大、餐饮业规模化需求越来越高，生活节奏的加快以及餐饮消费模式的发展，预制菜已经成为群众餐桌的重要组成部分。短短几年时间，预制菜产业迅速实现规模化、集约化，产品品种不断丰富，市场规模不断扩大，有望成为</w:t>
            </w:r>
            <w:r>
              <w:t>“</w:t>
            </w:r>
            <w:r>
              <w:rPr>
                <w:rFonts w:hint="eastAsia"/>
              </w:rPr>
              <w:t>下一个万亿级市场</w:t>
            </w:r>
            <w:r>
              <w:t>”</w:t>
            </w:r>
            <w:r>
              <w:rPr>
                <w:rFonts w:hint="eastAsia"/>
              </w:rPr>
              <w:t>。《</w:t>
            </w:r>
            <w:r>
              <w:t>2023</w:t>
            </w:r>
            <w:r>
              <w:rPr>
                <w:rFonts w:hint="eastAsia"/>
              </w:rPr>
              <w:t>年中国预制菜产业发展蓝皮书》数据显示，</w:t>
            </w:r>
            <w:r>
              <w:t>2023</w:t>
            </w:r>
            <w:r>
              <w:rPr>
                <w:rFonts w:hint="eastAsia"/>
              </w:rPr>
              <w:t>年中国预制菜市场规模达到了</w:t>
            </w:r>
            <w:r>
              <w:t>5165</w:t>
            </w:r>
            <w:r>
              <w:rPr>
                <w:rFonts w:hint="eastAsia"/>
              </w:rPr>
              <w:t>亿元，较去年同期增长了</w:t>
            </w:r>
            <w:r>
              <w:t>23.1%</w:t>
            </w:r>
            <w:r>
              <w:rPr>
                <w:rFonts w:hint="eastAsia"/>
              </w:rPr>
              <w:t>。预计到</w:t>
            </w:r>
            <w:r>
              <w:t>2026</w:t>
            </w:r>
            <w:r>
              <w:rPr>
                <w:rFonts w:hint="eastAsia"/>
              </w:rPr>
              <w:t>年，市场规模有望突破</w:t>
            </w:r>
            <w:r>
              <w:t>10720</w:t>
            </w:r>
            <w:r>
              <w:rPr>
                <w:rFonts w:hint="eastAsia"/>
              </w:rPr>
              <w:t>亿元大关。预制菜市场的快速发展大大方便了百姓的生活，同时也暴露出一些问题：缺乏专门针对预制菜的食品安全标准和生产经营卫生规范；预制菜行业自动化生产水平不高，标准化程度低；预制菜食品质量安全隐患较多；产业产品难以界定，从业者鱼龙混杂、产品质量参差不齐等，消费者通常缺乏关于预制菜产品的详细信息，包括生产过程、原材料来源和质量检测报告等，这类信息不透明使得消费者难以做出明智的购买决策。因此，加快出台预制菜食品生产规范与安全标准，推动预制菜行业标准化建设，健全预制菜食品行业质量追溯体系是加强预制菜监管、提高预制菜质量安全、促进良性发展的重要手段。</w:t>
            </w:r>
          </w:p>
          <w:p>
            <w:pPr>
              <w:pStyle w:val="15"/>
              <w:spacing w:line="360" w:lineRule="auto"/>
              <w:ind w:firstLine="482"/>
            </w:pPr>
            <w:r>
              <w:rPr>
                <w:rFonts w:hint="eastAsia" w:ascii="宋体" w:hAnsi="宋体" w:eastAsia="宋体" w:cs="宋体"/>
                <w:b/>
                <w:bCs/>
                <w:color w:val="auto"/>
                <w:kern w:val="2"/>
                <w:sz w:val="21"/>
                <w:szCs w:val="21"/>
              </w:rPr>
              <w:t>意义：</w:t>
            </w:r>
            <w:r>
              <w:rPr>
                <w:rFonts w:hint="eastAsia" w:ascii="宋体" w:hAnsi="宋体" w:eastAsia="宋体" w:cs="宋体"/>
                <w:bCs/>
                <w:color w:val="auto"/>
                <w:kern w:val="2"/>
                <w:sz w:val="21"/>
                <w:szCs w:val="21"/>
              </w:rPr>
              <w:t>一是追溯作为食品安全监管的一种重要手段，在预制菜监管中发挥着重要作用。推动预制菜企业运用条码、物联网等信息技术开展质量追溯体系建设实现产品源头追溯，推进产地种植、生产加工、物流、销售等全流程数字化追溯，高效整合利用质量追溯数据，能够更好进行责任认定和信用评价，能够从源头上保证预制菜质量安全，更好地实现行业监测和消费者权益维护。二是预制菜全过程追溯是一项体系性工程，覆盖初级生产、生产加工、流通、销售等各个环节，涉及的主体类型众多。建立全程的追溯体系，除了追溯编码和标识要统一外，还要根据预制菜行业特点，制定各环节的关键追溯信息和涉及质量安全的追溯信息规范，以指导预制菜企业建立追溯体系，落实追溯主体责任，满足企业管理需求、政府监管需求和消费者知情权需求。三是推动预制菜行业标准化建设，健全预制菜食品行业质量追溯体系是加强预制菜监管、提高预制菜质量安全、促进行业良性发展的重要手段。该标准的制定将根据预制菜行业特点，推动预制菜企业采用全球通用的商品条码和物联网信息技术建立全程追溯体系，制定各环节的关键追溯信息和涉及质量安全的追溯信息规范，推进产地种植、生产加工、物流、销售等全流程数字化追溯，从源头上保证预制菜质量安全，满足企业管理需求、政府监管需求和消费者知情权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933" w:type="dxa"/>
            <w:gridSpan w:val="6"/>
            <w:vAlign w:val="center"/>
          </w:tcPr>
          <w:p>
            <w:pPr>
              <w:pStyle w:val="8"/>
            </w:pPr>
            <w:r>
              <w:rPr>
                <w:rFonts w:hint="eastAsia"/>
              </w:rPr>
              <w:t>3、制定标准的原则和依据，与现行法律法规、标准的关系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933" w:type="dxa"/>
            <w:gridSpan w:val="6"/>
            <w:vAlign w:val="center"/>
          </w:tcPr>
          <w:p>
            <w:pPr>
              <w:rPr>
                <w:rFonts w:hint="eastAsia"/>
              </w:rPr>
            </w:pPr>
            <w:r>
              <w:rPr>
                <w:rFonts w:hint="eastAsia"/>
              </w:rPr>
              <w:t>一、制定标准的原则</w:t>
            </w:r>
          </w:p>
          <w:p>
            <w:pPr>
              <w:rPr>
                <w:rFonts w:hint="eastAsia"/>
              </w:rPr>
            </w:pPr>
            <w:r>
              <w:rPr>
                <w:rFonts w:hint="eastAsia"/>
              </w:rPr>
              <w:t>标准编制遵循“科学性、可行性、规范性”的原则。</w:t>
            </w:r>
          </w:p>
          <w:p>
            <w:pPr>
              <w:rPr>
                <w:rFonts w:hint="eastAsia"/>
              </w:rPr>
            </w:pPr>
            <w:r>
              <w:rPr>
                <w:rFonts w:hint="eastAsia"/>
              </w:rPr>
              <w:t>二、制定该标准的依据</w:t>
            </w:r>
          </w:p>
          <w:p>
            <w:pPr>
              <w:rPr>
                <w:rFonts w:hint="eastAsia"/>
              </w:rPr>
            </w:pPr>
            <w:r>
              <w:rPr>
                <w:rFonts w:hint="eastAsia"/>
              </w:rPr>
              <w:t>1.本标准遵循我国法律法规的有关规定和要求：</w:t>
            </w:r>
          </w:p>
          <w:p>
            <w:pPr>
              <w:rPr>
                <w:rFonts w:hint="eastAsia"/>
              </w:rPr>
            </w:pPr>
            <w:r>
              <w:rPr>
                <w:rFonts w:hint="eastAsia"/>
              </w:rPr>
              <w:t>（1）国务院办公厅发布《关于加快推进重要产品追溯体系建设的意见》（国办发﹝</w:t>
            </w:r>
            <w:r>
              <w:t>2015</w:t>
            </w:r>
            <w:r>
              <w:rPr>
                <w:rFonts w:hint="eastAsia"/>
              </w:rPr>
              <w:t>﹞</w:t>
            </w:r>
            <w:r>
              <w:t>95</w:t>
            </w:r>
            <w:r>
              <w:rPr>
                <w:rFonts w:hint="eastAsia"/>
              </w:rPr>
              <w:t>号）</w:t>
            </w:r>
          </w:p>
          <w:p>
            <w:pPr>
              <w:rPr>
                <w:rFonts w:hint="eastAsia"/>
              </w:rPr>
            </w:pPr>
            <w:r>
              <w:rPr>
                <w:rFonts w:hint="eastAsia"/>
              </w:rPr>
              <w:t>（2）商品条码管理办法(国家质量监督检验检疫总局令〔2005〕第76号)</w:t>
            </w:r>
          </w:p>
          <w:p>
            <w:pPr>
              <w:rPr>
                <w:rFonts w:hint="eastAsia"/>
              </w:rPr>
            </w:pPr>
            <w:r>
              <w:rPr>
                <w:rFonts w:hint="eastAsia"/>
              </w:rPr>
              <w:t>（3）关于《商品条码管理办法》实施过程中有关问题意见的函(质检办法函〔2008〕67号)</w:t>
            </w:r>
          </w:p>
          <w:p>
            <w:pPr>
              <w:rPr>
                <w:rFonts w:hint="eastAsia"/>
              </w:rPr>
            </w:pPr>
            <w:r>
              <w:rPr>
                <w:rFonts w:hint="eastAsia"/>
              </w:rPr>
              <w:t>（4）《安徽省地方标准管理办法》（皖市监发〔2019〕32号）</w:t>
            </w:r>
          </w:p>
          <w:p>
            <w:pPr>
              <w:rPr>
                <w:rFonts w:hint="eastAsia"/>
              </w:rPr>
            </w:pPr>
            <w:r>
              <w:rPr>
                <w:rFonts w:hint="eastAsia"/>
              </w:rPr>
              <w:t>2.本标准引用的规范性文件：</w:t>
            </w:r>
          </w:p>
          <w:p>
            <w:pPr>
              <w:rPr>
                <w:rFonts w:hint="eastAsia"/>
              </w:rPr>
            </w:pPr>
            <w:r>
              <w:t xml:space="preserve">GB/T 7027  </w:t>
            </w:r>
            <w:r>
              <w:rPr>
                <w:rFonts w:hint="eastAsia"/>
              </w:rPr>
              <w:t>信息分类和编码的基本原则与方法</w:t>
            </w:r>
          </w:p>
          <w:p>
            <w:pPr>
              <w:rPr>
                <w:rFonts w:hint="eastAsia"/>
              </w:rPr>
            </w:pPr>
            <w:r>
              <w:t xml:space="preserve">GB 12904  </w:t>
            </w:r>
            <w:r>
              <w:rPr>
                <w:rFonts w:hint="eastAsia"/>
              </w:rPr>
              <w:t>商品条码 零售商品编码与条码表示</w:t>
            </w:r>
          </w:p>
          <w:p>
            <w:pPr>
              <w:rPr>
                <w:rFonts w:hint="eastAsia"/>
              </w:rPr>
            </w:pPr>
            <w:r>
              <w:t xml:space="preserve">GB/T 12905  </w:t>
            </w:r>
            <w:r>
              <w:rPr>
                <w:rFonts w:hint="eastAsia"/>
              </w:rPr>
              <w:t>条码术语</w:t>
            </w:r>
          </w:p>
          <w:p>
            <w:pPr>
              <w:rPr>
                <w:rFonts w:hint="eastAsia"/>
              </w:rPr>
            </w:pPr>
            <w:r>
              <w:t xml:space="preserve">GB/T 15425  </w:t>
            </w:r>
            <w:r>
              <w:rPr>
                <w:rFonts w:hint="eastAsia"/>
              </w:rPr>
              <w:t>商品条码</w:t>
            </w:r>
            <w:r>
              <w:t>128</w:t>
            </w:r>
            <w:r>
              <w:rPr>
                <w:rFonts w:hint="eastAsia"/>
              </w:rPr>
              <w:t>条码</w:t>
            </w:r>
          </w:p>
          <w:p>
            <w:pPr>
              <w:rPr>
                <w:rFonts w:hint="eastAsia"/>
              </w:rPr>
            </w:pPr>
            <w:r>
              <w:t>GB/T 16986-2018</w:t>
            </w:r>
            <w:r>
              <w:rPr>
                <w:rFonts w:hint="eastAsia"/>
              </w:rPr>
              <w:t xml:space="preserve">  商品条码应用标识符</w:t>
            </w:r>
          </w:p>
          <w:p>
            <w:pPr>
              <w:rPr>
                <w:rFonts w:hint="eastAsia"/>
              </w:rPr>
            </w:pPr>
            <w:r>
              <w:t xml:space="preserve">GB/T 18284  </w:t>
            </w:r>
            <w:r>
              <w:rPr>
                <w:rFonts w:hint="eastAsia"/>
              </w:rPr>
              <w:t>快速响应矩阵码</w:t>
            </w:r>
          </w:p>
          <w:p>
            <w:pPr>
              <w:rPr>
                <w:rFonts w:hint="eastAsia"/>
              </w:rPr>
            </w:pPr>
            <w:r>
              <w:t xml:space="preserve">GB/T 18348  </w:t>
            </w:r>
            <w:r>
              <w:rPr>
                <w:rFonts w:hint="eastAsia"/>
              </w:rPr>
              <w:t>商品条码符号印制质量的检验</w:t>
            </w:r>
          </w:p>
          <w:p>
            <w:pPr>
              <w:rPr>
                <w:rFonts w:hint="eastAsia"/>
              </w:rPr>
            </w:pPr>
            <w:r>
              <w:t xml:space="preserve">GB/T 21049  </w:t>
            </w:r>
            <w:r>
              <w:rPr>
                <w:rFonts w:hint="eastAsia"/>
              </w:rPr>
              <w:t>汉信码</w:t>
            </w:r>
          </w:p>
          <w:p>
            <w:pPr>
              <w:rPr>
                <w:rFonts w:hint="eastAsia"/>
              </w:rPr>
            </w:pPr>
            <w:r>
              <w:t xml:space="preserve">GB/T 23704  </w:t>
            </w:r>
            <w:r>
              <w:rPr>
                <w:rFonts w:hint="eastAsia"/>
              </w:rPr>
              <w:t>二维条码符号印制质量的检验</w:t>
            </w:r>
          </w:p>
          <w:p>
            <w:pPr>
              <w:rPr>
                <w:rFonts w:hint="eastAsia"/>
              </w:rPr>
            </w:pPr>
            <w:r>
              <w:t xml:space="preserve">GB/T 36364  </w:t>
            </w:r>
            <w:r>
              <w:rPr>
                <w:rFonts w:hint="eastAsia"/>
              </w:rPr>
              <w:t>信息技术射频识别</w:t>
            </w:r>
            <w:r>
              <w:t>2.45 GHz</w:t>
            </w:r>
            <w:r>
              <w:rPr>
                <w:rFonts w:hint="eastAsia"/>
              </w:rPr>
              <w:t>标签通用规范</w:t>
            </w:r>
          </w:p>
          <w:p>
            <w:pPr>
              <w:rPr>
                <w:rFonts w:hint="eastAsia"/>
              </w:rPr>
            </w:pPr>
            <w:r>
              <w:t xml:space="preserve">GB/T 36365  </w:t>
            </w:r>
            <w:r>
              <w:rPr>
                <w:rFonts w:hint="eastAsia"/>
              </w:rPr>
              <w:t>信息技术射频识别</w:t>
            </w:r>
            <w:r>
              <w:t>800/900 MHz</w:t>
            </w:r>
            <w:r>
              <w:rPr>
                <w:rFonts w:hint="eastAsia"/>
              </w:rPr>
              <w:t>无源标签通用规范</w:t>
            </w:r>
          </w:p>
          <w:p>
            <w:pPr>
              <w:rPr>
                <w:rFonts w:hint="eastAsia"/>
              </w:rPr>
            </w:pPr>
            <w:r>
              <w:t xml:space="preserve">GB/T 37056  </w:t>
            </w:r>
            <w:r>
              <w:rPr>
                <w:rFonts w:hint="eastAsia"/>
              </w:rPr>
              <w:t>物品编码术语</w:t>
            </w:r>
          </w:p>
          <w:p>
            <w:pPr>
              <w:rPr>
                <w:rFonts w:hint="eastAsia"/>
              </w:rPr>
            </w:pPr>
            <w:r>
              <w:t xml:space="preserve">GB/T 38155  </w:t>
            </w:r>
            <w:r>
              <w:rPr>
                <w:rFonts w:hint="eastAsia"/>
              </w:rPr>
              <w:t>重要产品追溯术语</w:t>
            </w:r>
          </w:p>
          <w:p>
            <w:pPr>
              <w:rPr>
                <w:rFonts w:hint="eastAsia"/>
              </w:rPr>
            </w:pPr>
            <w:r>
              <w:t xml:space="preserve">GB/T 41208  </w:t>
            </w:r>
            <w:r>
              <w:rPr>
                <w:rFonts w:hint="eastAsia"/>
              </w:rPr>
              <w:t>数据矩阵码</w:t>
            </w:r>
          </w:p>
          <w:p>
            <w:pPr>
              <w:rPr>
                <w:rFonts w:hint="eastAsia"/>
              </w:rPr>
            </w:pPr>
            <w:r>
              <w:rPr>
                <w:rFonts w:hint="eastAsia"/>
              </w:rPr>
              <w:t>三、该标准与现行法律法规、标准的关系</w:t>
            </w:r>
          </w:p>
          <w:p>
            <w:pPr>
              <w:rPr>
                <w:rFonts w:hint="eastAsia"/>
              </w:rPr>
            </w:pPr>
            <w:r>
              <w:rPr>
                <w:rFonts w:hint="eastAsia"/>
              </w:rPr>
              <w:t>1.本标准与现行的相关法律法规不存在任何抵触；</w:t>
            </w:r>
          </w:p>
          <w:p>
            <w:pPr>
              <w:rPr>
                <w:rFonts w:hint="eastAsia"/>
              </w:rPr>
            </w:pPr>
            <w:r>
              <w:rPr>
                <w:rFonts w:hint="eastAsia"/>
              </w:rPr>
              <w:t>2.本标准按照GB/T 1.1-2020《标准化工作导则 第1部分：标准化文件的结构和起草规则》的规定进行编写和表述；</w:t>
            </w:r>
          </w:p>
          <w:p>
            <w:pPr>
              <w:rPr>
                <w:rFonts w:hint="eastAsia"/>
                <w:sz w:val="24"/>
              </w:rPr>
            </w:pPr>
            <w:r>
              <w:rPr>
                <w:rFonts w:hint="eastAsia"/>
              </w:rPr>
              <w:t>3.本标准填补了我省预制菜编码标识领域空白，对相关标准的内容进行了补充，并进行了细化。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933" w:type="dxa"/>
            <w:gridSpan w:val="6"/>
            <w:vAlign w:val="center"/>
          </w:tcPr>
          <w:p>
            <w:pPr>
              <w:pStyle w:val="8"/>
            </w:pPr>
            <w:r>
              <w:rPr>
                <w:rFonts w:hint="eastAsia"/>
              </w:rPr>
              <w:t>4、主要条款的说明，主要技术指标、参数、试验验证的论述（</w:t>
            </w:r>
            <w:r>
              <w:rPr>
                <w:rFonts w:hint="eastAsia"/>
                <w:b/>
              </w:rPr>
              <w:t>详细说明</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933" w:type="dxa"/>
            <w:gridSpan w:val="6"/>
            <w:vAlign w:val="center"/>
          </w:tcPr>
          <w:p>
            <w:pPr>
              <w:pStyle w:val="8"/>
              <w:spacing w:line="360" w:lineRule="auto"/>
              <w:ind w:firstLine="420" w:firstLineChars="200"/>
            </w:pPr>
            <w:r>
              <w:rPr>
                <w:rFonts w:hint="eastAsia"/>
              </w:rPr>
              <w:t>主要条款：</w:t>
            </w:r>
          </w:p>
          <w:p>
            <w:pPr>
              <w:pStyle w:val="8"/>
              <w:spacing w:line="360" w:lineRule="auto"/>
              <w:ind w:firstLine="420" w:firstLineChars="200"/>
            </w:pPr>
            <w:r>
              <w:rPr>
                <w:rFonts w:hint="eastAsia"/>
              </w:rPr>
              <w:t>本文件的章节由：范围、规范性引用文件、术语和定义、缩略语、基本要求、追溯编码与标识、追溯信息、追溯信息管理、附录A、附录B和附录C、参考文献组成。其中“追溯编码与标识”、“追溯信息”和“追溯信息管理”是本文件的主要技术内容。</w:t>
            </w:r>
          </w:p>
          <w:p>
            <w:pPr>
              <w:pStyle w:val="10"/>
              <w:spacing w:line="360" w:lineRule="auto"/>
              <w:ind w:firstLine="420"/>
            </w:pPr>
            <w:r>
              <w:t>本文件</w:t>
            </w:r>
            <w:r>
              <w:rPr>
                <w:rFonts w:hint="eastAsia"/>
              </w:rPr>
              <w:t>规定了预制菜追溯编码与标识、预制菜各环节的追溯信息及信息管理的有关要求。适用于预制菜原料处理、生产</w:t>
            </w:r>
            <w:r>
              <w:t>加工、</w:t>
            </w:r>
            <w:r>
              <w:rPr>
                <w:rFonts w:hint="eastAsia"/>
              </w:rPr>
              <w:t>流通、仓储</w:t>
            </w:r>
            <w:r>
              <w:t>、</w:t>
            </w:r>
            <w:r>
              <w:rPr>
                <w:rFonts w:hint="eastAsia"/>
              </w:rPr>
              <w:t>批发、零售和餐饮</w:t>
            </w:r>
            <w:r>
              <w:t>等环节</w:t>
            </w:r>
            <w:r>
              <w:rPr>
                <w:rFonts w:hint="eastAsia"/>
              </w:rPr>
              <w:t>的</w:t>
            </w:r>
            <w:r>
              <w:t>追溯</w:t>
            </w:r>
            <w:r>
              <w:rPr>
                <w:rFonts w:hint="eastAsia"/>
              </w:rPr>
              <w:t>编码标识和信息管理。</w:t>
            </w:r>
          </w:p>
          <w:p>
            <w:pPr>
              <w:pStyle w:val="8"/>
              <w:spacing w:line="360" w:lineRule="auto"/>
              <w:ind w:firstLine="420" w:firstLineChars="200"/>
            </w:pPr>
            <w:r>
              <w:rPr>
                <w:rFonts w:hint="eastAsia"/>
              </w:rPr>
              <w:t>主要技术指标、参数：</w:t>
            </w:r>
          </w:p>
          <w:p>
            <w:pPr>
              <w:rPr>
                <w:rFonts w:hint="eastAsia" w:hAnsi="Times New Roman" w:cs="Times New Roman"/>
                <w:bCs w:val="0"/>
                <w:kern w:val="0"/>
                <w:szCs w:val="20"/>
              </w:rPr>
            </w:pPr>
            <w:r>
              <w:rPr>
                <w:rFonts w:hint="eastAsia" w:hAnsi="Times New Roman" w:cs="Times New Roman"/>
                <w:bCs w:val="0"/>
                <w:kern w:val="0"/>
                <w:szCs w:val="20"/>
              </w:rPr>
              <w:t>追溯编码与标识：规定了编码原则、编码要求、追溯码结构、追溯标识和追溯码质量要求，其中追溯码结构重点围绕追溯码类型、追溯码基本结构（追溯到产品品类、追溯到产品批次、追溯到单品）、追溯码的扩展提出具体要求。</w:t>
            </w:r>
          </w:p>
          <w:p>
            <w:pPr>
              <w:rPr>
                <w:rFonts w:hint="eastAsia" w:hAnsi="Times New Roman" w:cs="Times New Roman"/>
                <w:bCs w:val="0"/>
                <w:kern w:val="0"/>
                <w:szCs w:val="20"/>
              </w:rPr>
            </w:pPr>
            <w:r>
              <w:rPr>
                <w:rFonts w:hint="eastAsia" w:hAnsi="Times New Roman" w:cs="Times New Roman"/>
                <w:bCs w:val="0"/>
                <w:kern w:val="0"/>
                <w:szCs w:val="20"/>
              </w:rPr>
              <w:t>追溯信息：围绕原料、生产加工环节、仓储环节、运输环节、批发零售及餐饮环节提出追溯信息的要求。</w:t>
            </w:r>
          </w:p>
          <w:p>
            <w:pPr>
              <w:rPr>
                <w:rFonts w:hint="eastAsia" w:hAnsi="Times New Roman" w:cs="Times New Roman"/>
                <w:bCs w:val="0"/>
                <w:kern w:val="0"/>
                <w:szCs w:val="20"/>
              </w:rPr>
            </w:pPr>
            <w:r>
              <w:rPr>
                <w:rFonts w:hint="eastAsia" w:hAnsi="Times New Roman" w:cs="Times New Roman"/>
                <w:bCs w:val="0"/>
                <w:kern w:val="0"/>
                <w:szCs w:val="20"/>
              </w:rPr>
              <w:t>追溯信息管理：规定了追溯信息采集和记录要求、信息存储、信息共享和数据安全等方面的要求。</w:t>
            </w:r>
          </w:p>
          <w:p>
            <w:pPr>
              <w:rPr>
                <w:rFonts w:hint="eastAsia" w:hAnsi="Times New Roman" w:cs="Times New Roman"/>
                <w:bCs w:val="0"/>
                <w:kern w:val="0"/>
                <w:szCs w:val="20"/>
              </w:rPr>
            </w:pPr>
            <w:r>
              <w:rPr>
                <w:rFonts w:hint="eastAsia" w:hAnsi="Times New Roman" w:cs="Times New Roman"/>
                <w:bCs w:val="0"/>
                <w:kern w:val="0"/>
                <w:szCs w:val="20"/>
              </w:rPr>
              <w:t>附录A、附录B和附录C分别给出了AI及应用标识符数据字段、网址数据结构和预制菜追溯编码标识示例。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933" w:type="dxa"/>
            <w:gridSpan w:val="6"/>
            <w:vAlign w:val="center"/>
          </w:tcPr>
          <w:p>
            <w:pPr>
              <w:pStyle w:val="8"/>
            </w:pPr>
            <w:bookmarkStart w:id="1" w:name="_Toc464902852"/>
            <w:bookmarkStart w:id="2" w:name="_Toc465074266"/>
            <w:bookmarkStart w:id="3" w:name="_Toc464905557"/>
            <w:bookmarkStart w:id="4" w:name="_Toc464905809"/>
            <w:bookmarkStart w:id="5" w:name="_Toc464905613"/>
            <w:r>
              <w:rPr>
                <w:rFonts w:hint="eastAsia"/>
              </w:rPr>
              <w:t>5、标准中如果涉及专利，应有明确的知识产权说明</w:t>
            </w:r>
            <w:bookmarkEnd w:id="1"/>
            <w:bookmarkEnd w:id="2"/>
            <w:bookmarkEnd w:id="3"/>
            <w:bookmarkEnd w:id="4"/>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933" w:type="dxa"/>
            <w:gridSpan w:val="6"/>
            <w:vAlign w:val="center"/>
          </w:tcPr>
          <w:p>
            <w:pPr>
              <w:pStyle w:val="8"/>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933" w:type="dxa"/>
            <w:gridSpan w:val="6"/>
            <w:vAlign w:val="center"/>
          </w:tcPr>
          <w:p>
            <w:pPr>
              <w:pStyle w:val="8"/>
            </w:pPr>
            <w:bookmarkStart w:id="6" w:name="_Toc464905558"/>
            <w:bookmarkStart w:id="7" w:name="_Toc464905614"/>
            <w:bookmarkStart w:id="8" w:name="_Toc464902853"/>
            <w:bookmarkStart w:id="9" w:name="_Toc464905810"/>
            <w:bookmarkStart w:id="10" w:name="_Toc465074267"/>
            <w:r>
              <w:rPr>
                <w:rFonts w:hint="eastAsia"/>
              </w:rPr>
              <w:t>6、采用国际标准或国外先进标准的，说明采标程度，以及国内外同类标准水平的对比情况</w:t>
            </w:r>
            <w:bookmarkEnd w:id="6"/>
            <w:bookmarkEnd w:id="7"/>
            <w:bookmarkEnd w:id="8"/>
            <w:bookmarkEnd w:id="9"/>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933" w:type="dxa"/>
            <w:gridSpan w:val="6"/>
            <w:vAlign w:val="center"/>
          </w:tcPr>
          <w:p>
            <w:pPr>
              <w:pStyle w:val="8"/>
              <w:spacing w:line="360" w:lineRule="auto"/>
              <w:ind w:firstLine="420" w:firstLineChars="200"/>
            </w:pPr>
            <w:r>
              <w:rPr>
                <w:rFonts w:hint="eastAsia"/>
              </w:rPr>
              <w:t>本标准没有相应的国际标准、国外先进标准、国家标准和行业标准。</w:t>
            </w:r>
          </w:p>
          <w:p>
            <w:pPr>
              <w:pStyle w:val="15"/>
              <w:spacing w:line="360" w:lineRule="auto"/>
              <w:ind w:firstLine="420" w:firstLineChars="200"/>
              <w:rPr>
                <w:rFonts w:ascii="宋体" w:hAnsi="Times New Roman" w:eastAsia="宋体" w:cs="Times New Roman"/>
                <w:color w:val="auto"/>
                <w:sz w:val="21"/>
                <w:szCs w:val="20"/>
              </w:rPr>
            </w:pPr>
            <w:r>
              <w:rPr>
                <w:rFonts w:hint="eastAsia" w:ascii="宋体" w:hAnsi="Times New Roman" w:eastAsia="宋体" w:cs="Times New Roman"/>
                <w:color w:val="auto"/>
                <w:sz w:val="21"/>
                <w:szCs w:val="20"/>
              </w:rPr>
              <w:t>国内相关标准化情况。①食品追溯方面。</w:t>
            </w:r>
            <w:r>
              <w:rPr>
                <w:rFonts w:ascii="宋体" w:hAnsi="Times New Roman" w:eastAsia="宋体" w:cs="Times New Roman"/>
                <w:color w:val="auto"/>
                <w:sz w:val="21"/>
                <w:szCs w:val="20"/>
              </w:rPr>
              <w:t>GB/T 38159</w:t>
            </w:r>
            <w:r>
              <w:rPr>
                <w:rFonts w:hint="eastAsia" w:ascii="宋体" w:hAnsi="Times New Roman" w:eastAsia="宋体" w:cs="Times New Roman"/>
                <w:color w:val="auto"/>
                <w:sz w:val="21"/>
                <w:szCs w:val="20"/>
              </w:rPr>
              <w:t>《重要产品追溯追溯体系通用要求》、</w:t>
            </w:r>
            <w:r>
              <w:rPr>
                <w:rFonts w:ascii="宋体" w:hAnsi="Times New Roman" w:eastAsia="宋体" w:cs="Times New Roman"/>
                <w:color w:val="auto"/>
                <w:sz w:val="21"/>
                <w:szCs w:val="20"/>
              </w:rPr>
              <w:t>GB/T 38156</w:t>
            </w:r>
            <w:r>
              <w:rPr>
                <w:rFonts w:hint="eastAsia" w:ascii="宋体" w:hAnsi="Times New Roman" w:eastAsia="宋体" w:cs="Times New Roman"/>
                <w:color w:val="auto"/>
                <w:sz w:val="21"/>
                <w:szCs w:val="20"/>
              </w:rPr>
              <w:t>《重要产品追溯交易记录总体要求》、</w:t>
            </w:r>
            <w:r>
              <w:rPr>
                <w:rFonts w:ascii="宋体" w:hAnsi="Times New Roman" w:eastAsia="宋体" w:cs="Times New Roman"/>
                <w:color w:val="auto"/>
                <w:sz w:val="21"/>
                <w:szCs w:val="20"/>
              </w:rPr>
              <w:t>GB/T 38155</w:t>
            </w:r>
            <w:r>
              <w:rPr>
                <w:rFonts w:hint="eastAsia" w:ascii="宋体" w:hAnsi="Times New Roman" w:eastAsia="宋体" w:cs="Times New Roman"/>
                <w:color w:val="auto"/>
                <w:sz w:val="21"/>
                <w:szCs w:val="20"/>
              </w:rPr>
              <w:t>《重要产品追溯追溯术语》、</w:t>
            </w:r>
            <w:r>
              <w:rPr>
                <w:rFonts w:ascii="宋体" w:hAnsi="Times New Roman" w:eastAsia="宋体" w:cs="Times New Roman"/>
                <w:color w:val="auto"/>
                <w:sz w:val="21"/>
                <w:szCs w:val="20"/>
              </w:rPr>
              <w:t>GB/T 38154-2019</w:t>
            </w:r>
            <w:r>
              <w:rPr>
                <w:rFonts w:hint="eastAsia" w:ascii="宋体" w:hAnsi="Times New Roman" w:eastAsia="宋体" w:cs="Times New Roman"/>
                <w:color w:val="auto"/>
                <w:sz w:val="21"/>
                <w:szCs w:val="20"/>
              </w:rPr>
              <w:t>《重要产品追溯核心元数据》、</w:t>
            </w:r>
            <w:r>
              <w:rPr>
                <w:rFonts w:ascii="宋体" w:hAnsi="Times New Roman" w:eastAsia="宋体" w:cs="Times New Roman"/>
                <w:color w:val="auto"/>
                <w:sz w:val="21"/>
                <w:szCs w:val="20"/>
              </w:rPr>
              <w:t>GB/T 38158-2019</w:t>
            </w:r>
            <w:r>
              <w:rPr>
                <w:rFonts w:hint="eastAsia" w:ascii="宋体" w:hAnsi="Times New Roman" w:eastAsia="宋体" w:cs="Times New Roman"/>
                <w:color w:val="auto"/>
                <w:sz w:val="21"/>
                <w:szCs w:val="20"/>
              </w:rPr>
              <w:t>《重要产品追溯产品追溯系统基本要求》、</w:t>
            </w:r>
            <w:r>
              <w:rPr>
                <w:rFonts w:ascii="宋体" w:hAnsi="Times New Roman" w:eastAsia="宋体" w:cs="Times New Roman"/>
                <w:color w:val="auto"/>
                <w:sz w:val="21"/>
                <w:szCs w:val="20"/>
              </w:rPr>
              <w:t>GB/T 38157-2019</w:t>
            </w:r>
            <w:r>
              <w:rPr>
                <w:rFonts w:hint="eastAsia" w:ascii="宋体" w:hAnsi="Times New Roman" w:eastAsia="宋体" w:cs="Times New Roman"/>
                <w:color w:val="auto"/>
                <w:sz w:val="21"/>
                <w:szCs w:val="20"/>
              </w:rPr>
              <w:t>《重要产品追溯追溯管理平台建设规范》等</w:t>
            </w:r>
            <w:r>
              <w:rPr>
                <w:rFonts w:ascii="宋体" w:hAnsi="Times New Roman" w:eastAsia="宋体" w:cs="Times New Roman"/>
                <w:color w:val="auto"/>
                <w:sz w:val="21"/>
                <w:szCs w:val="20"/>
              </w:rPr>
              <w:t>6</w:t>
            </w:r>
            <w:r>
              <w:rPr>
                <w:rFonts w:hint="eastAsia" w:ascii="宋体" w:hAnsi="Times New Roman" w:eastAsia="宋体" w:cs="Times New Roman"/>
                <w:color w:val="auto"/>
                <w:sz w:val="21"/>
                <w:szCs w:val="20"/>
              </w:rPr>
              <w:t>项。此类标准规定了追溯术语、追溯要求、追溯系统、平台的基本框架和要求，</w:t>
            </w:r>
            <w:r>
              <w:rPr>
                <w:rFonts w:ascii="宋体" w:hAnsi="Times New Roman" w:eastAsia="宋体" w:cs="Times New Roman"/>
                <w:color w:val="auto"/>
                <w:sz w:val="21"/>
                <w:szCs w:val="20"/>
              </w:rPr>
              <w:t>GB/T 22005-2009</w:t>
            </w:r>
            <w:r>
              <w:rPr>
                <w:rFonts w:hint="eastAsia" w:ascii="宋体" w:hAnsi="Times New Roman" w:eastAsia="宋体" w:cs="Times New Roman"/>
                <w:color w:val="auto"/>
                <w:sz w:val="21"/>
                <w:szCs w:val="20"/>
              </w:rPr>
              <w:t>《饲料和食品链的可追溯性体系设计与实施的通用原则和基本要求》对食品链的追溯设计原则进行了规定。</w:t>
            </w:r>
            <w:r>
              <w:rPr>
                <w:rFonts w:ascii="宋体" w:hAnsi="Times New Roman" w:eastAsia="宋体" w:cs="Times New Roman"/>
                <w:color w:val="auto"/>
                <w:sz w:val="21"/>
                <w:szCs w:val="20"/>
              </w:rPr>
              <w:t>GB/T 28843-2012</w:t>
            </w:r>
            <w:r>
              <w:rPr>
                <w:rFonts w:hint="eastAsia" w:ascii="宋体" w:hAnsi="Times New Roman" w:eastAsia="宋体" w:cs="Times New Roman"/>
                <w:color w:val="auto"/>
                <w:sz w:val="21"/>
                <w:szCs w:val="20"/>
              </w:rPr>
              <w:t>《食品冷链物流追溯管理要求》、</w:t>
            </w:r>
            <w:r>
              <w:rPr>
                <w:rFonts w:ascii="宋体" w:hAnsi="Times New Roman" w:eastAsia="宋体" w:cs="Times New Roman"/>
                <w:color w:val="auto"/>
                <w:sz w:val="21"/>
                <w:szCs w:val="20"/>
              </w:rPr>
              <w:t>GB/T 40480-20218 《物流追溯信息管理要求》分别针对相应场景的追溯信息管理提出了规定。GB/T 33915-2017</w:t>
            </w:r>
            <w:r>
              <w:rPr>
                <w:rFonts w:hint="eastAsia" w:ascii="宋体" w:hAnsi="Times New Roman" w:eastAsia="宋体" w:cs="Times New Roman"/>
                <w:color w:val="auto"/>
                <w:sz w:val="21"/>
                <w:szCs w:val="20"/>
              </w:rPr>
              <w:t>《农产品追溯要求茶叶》、</w:t>
            </w:r>
            <w:r>
              <w:rPr>
                <w:rFonts w:ascii="宋体" w:hAnsi="Times New Roman" w:eastAsia="宋体" w:cs="Times New Roman"/>
                <w:color w:val="auto"/>
                <w:sz w:val="21"/>
                <w:szCs w:val="20"/>
              </w:rPr>
              <w:t>GB/T 29373-2012</w:t>
            </w:r>
            <w:r>
              <w:rPr>
                <w:rFonts w:hint="eastAsia" w:ascii="宋体" w:hAnsi="Times New Roman" w:eastAsia="宋体" w:cs="Times New Roman"/>
                <w:color w:val="auto"/>
                <w:sz w:val="21"/>
                <w:szCs w:val="20"/>
              </w:rPr>
              <w:t>《农产品追溯要求果蔬》、</w:t>
            </w:r>
            <w:r>
              <w:rPr>
                <w:rFonts w:ascii="宋体" w:hAnsi="Times New Roman" w:eastAsia="宋体" w:cs="Times New Roman"/>
                <w:color w:val="auto"/>
                <w:sz w:val="21"/>
                <w:szCs w:val="20"/>
              </w:rPr>
              <w:t>GB/T 29568-2013</w:t>
            </w:r>
            <w:r>
              <w:rPr>
                <w:rFonts w:hint="eastAsia" w:ascii="宋体" w:hAnsi="Times New Roman" w:eastAsia="宋体" w:cs="Times New Roman"/>
                <w:color w:val="auto"/>
                <w:sz w:val="21"/>
                <w:szCs w:val="20"/>
              </w:rPr>
              <w:t>《农产品追溯要求水产品》、</w:t>
            </w:r>
            <w:r>
              <w:rPr>
                <w:rFonts w:ascii="宋体" w:hAnsi="Times New Roman" w:eastAsia="宋体" w:cs="Times New Roman"/>
                <w:color w:val="auto"/>
                <w:sz w:val="21"/>
                <w:szCs w:val="20"/>
              </w:rPr>
              <w:t>GB/T 31575-2015</w:t>
            </w:r>
            <w:r>
              <w:rPr>
                <w:rFonts w:hint="eastAsia" w:ascii="宋体" w:hAnsi="Times New Roman" w:eastAsia="宋体" w:cs="Times New Roman"/>
                <w:color w:val="auto"/>
                <w:sz w:val="21"/>
                <w:szCs w:val="20"/>
              </w:rPr>
              <w:t>《马铃薯商品薯质量追溯体系的建立与实施规程》、</w:t>
            </w:r>
            <w:r>
              <w:rPr>
                <w:rFonts w:ascii="宋体" w:hAnsi="Times New Roman" w:eastAsia="宋体" w:cs="Times New Roman"/>
                <w:color w:val="auto"/>
                <w:sz w:val="21"/>
                <w:szCs w:val="20"/>
              </w:rPr>
              <w:t>GB/T 36759-2018</w:t>
            </w:r>
            <w:r>
              <w:rPr>
                <w:rFonts w:hint="eastAsia" w:ascii="宋体" w:hAnsi="Times New Roman" w:eastAsia="宋体" w:cs="Times New Roman"/>
                <w:color w:val="auto"/>
                <w:sz w:val="21"/>
                <w:szCs w:val="20"/>
              </w:rPr>
              <w:t>《葡萄酒生产追溯实施指南》、</w:t>
            </w:r>
            <w:r>
              <w:rPr>
                <w:rFonts w:ascii="宋体" w:hAnsi="Times New Roman" w:eastAsia="宋体" w:cs="Times New Roman"/>
                <w:color w:val="auto"/>
                <w:sz w:val="21"/>
                <w:szCs w:val="20"/>
              </w:rPr>
              <w:t>GB/T 40465-2021</w:t>
            </w:r>
            <w:r>
              <w:rPr>
                <w:rFonts w:hint="eastAsia" w:ascii="宋体" w:hAnsi="Times New Roman" w:eastAsia="宋体" w:cs="Times New Roman"/>
                <w:color w:val="auto"/>
                <w:sz w:val="21"/>
                <w:szCs w:val="20"/>
              </w:rPr>
              <w:t>《畜禽肉追溯要求》、</w:t>
            </w:r>
            <w:r>
              <w:rPr>
                <w:rFonts w:ascii="宋体" w:hAnsi="Times New Roman" w:eastAsia="宋体" w:cs="Times New Roman"/>
                <w:color w:val="auto"/>
                <w:sz w:val="21"/>
                <w:szCs w:val="20"/>
              </w:rPr>
              <w:t>GB/Z40948-2021</w:t>
            </w:r>
            <w:r>
              <w:rPr>
                <w:rFonts w:hint="eastAsia" w:ascii="宋体" w:hAnsi="Times New Roman" w:eastAsia="宋体" w:cs="Times New Roman"/>
                <w:color w:val="auto"/>
                <w:sz w:val="21"/>
                <w:szCs w:val="20"/>
              </w:rPr>
              <w:t>《农产品追溯要求蜂蜜》、</w:t>
            </w:r>
            <w:r>
              <w:rPr>
                <w:rFonts w:ascii="宋体" w:hAnsi="Times New Roman" w:eastAsia="宋体" w:cs="Times New Roman"/>
                <w:color w:val="auto"/>
                <w:sz w:val="21"/>
                <w:szCs w:val="20"/>
              </w:rPr>
              <w:t>GB/T 41438-2022</w:t>
            </w:r>
            <w:r>
              <w:rPr>
                <w:rFonts w:hint="eastAsia" w:ascii="宋体" w:hAnsi="Times New Roman" w:eastAsia="宋体" w:cs="Times New Roman"/>
                <w:color w:val="auto"/>
                <w:sz w:val="21"/>
                <w:szCs w:val="20"/>
              </w:rPr>
              <w:t>《牛肉追溯技术规程》则对不同种类的产品做出了追溯信息的管理要求。</w:t>
            </w:r>
          </w:p>
          <w:p>
            <w:pPr>
              <w:pStyle w:val="15"/>
              <w:spacing w:line="360" w:lineRule="auto"/>
              <w:ind w:firstLine="420" w:firstLineChars="200"/>
              <w:rPr>
                <w:rFonts w:ascii="宋体" w:hAnsi="Times New Roman" w:eastAsia="宋体" w:cs="Times New Roman"/>
                <w:color w:val="auto"/>
                <w:sz w:val="21"/>
                <w:szCs w:val="20"/>
              </w:rPr>
            </w:pPr>
            <w:r>
              <w:rPr>
                <w:rFonts w:hint="eastAsia" w:ascii="宋体" w:hAnsi="Times New Roman" w:eastAsia="宋体" w:cs="Times New Roman"/>
                <w:color w:val="auto"/>
                <w:sz w:val="21"/>
                <w:szCs w:val="20"/>
              </w:rPr>
              <w:t>②预制菜方面。国家及行业未出台相关标准，各省市近三年纷纷出台了一批预制菜的地方标准，包括山东省的</w:t>
            </w:r>
            <w:r>
              <w:rPr>
                <w:rFonts w:ascii="宋体" w:hAnsi="Times New Roman" w:eastAsia="宋体" w:cs="Times New Roman"/>
                <w:color w:val="auto"/>
                <w:sz w:val="21"/>
                <w:szCs w:val="20"/>
              </w:rPr>
              <w:t>DB37T 4712-2024</w:t>
            </w:r>
            <w:r>
              <w:rPr>
                <w:rFonts w:hint="eastAsia" w:ascii="宋体" w:hAnsi="Times New Roman" w:eastAsia="宋体" w:cs="Times New Roman"/>
                <w:color w:val="auto"/>
                <w:sz w:val="21"/>
                <w:szCs w:val="20"/>
              </w:rPr>
              <w:t>《预制菜通用设计指南》、江西省</w:t>
            </w:r>
            <w:r>
              <w:rPr>
                <w:rFonts w:ascii="宋体" w:hAnsi="Times New Roman" w:eastAsia="宋体" w:cs="Times New Roman"/>
                <w:color w:val="auto"/>
                <w:sz w:val="21"/>
                <w:szCs w:val="20"/>
              </w:rPr>
              <w:t>DB36T 1891-2023</w:t>
            </w:r>
            <w:r>
              <w:rPr>
                <w:rFonts w:hint="eastAsia" w:ascii="宋体" w:hAnsi="Times New Roman" w:eastAsia="宋体" w:cs="Times New Roman"/>
                <w:color w:val="auto"/>
                <w:sz w:val="21"/>
                <w:szCs w:val="20"/>
              </w:rPr>
              <w:t>《预制菜冷链运输配送管理规范》、石家庄市</w:t>
            </w:r>
            <w:r>
              <w:rPr>
                <w:rFonts w:ascii="宋体" w:hAnsi="Times New Roman" w:eastAsia="宋体" w:cs="Times New Roman"/>
                <w:color w:val="auto"/>
                <w:sz w:val="21"/>
                <w:szCs w:val="20"/>
              </w:rPr>
              <w:t>DB1301T 475-2023</w:t>
            </w:r>
            <w:r>
              <w:rPr>
                <w:rFonts w:hint="eastAsia" w:ascii="宋体" w:hAnsi="Times New Roman" w:eastAsia="宋体" w:cs="Times New Roman"/>
                <w:color w:val="auto"/>
                <w:sz w:val="21"/>
                <w:szCs w:val="20"/>
              </w:rPr>
              <w:t>《预制菜配送中心运营服务规范》、潍坊市</w:t>
            </w:r>
            <w:r>
              <w:rPr>
                <w:rFonts w:ascii="宋体" w:hAnsi="Times New Roman" w:eastAsia="宋体" w:cs="Times New Roman"/>
                <w:color w:val="auto"/>
                <w:sz w:val="21"/>
                <w:szCs w:val="20"/>
              </w:rPr>
              <w:t>DB3707 094.1-2023</w:t>
            </w:r>
            <w:r>
              <w:rPr>
                <w:rFonts w:hint="eastAsia" w:ascii="宋体" w:hAnsi="Times New Roman" w:eastAsia="宋体" w:cs="Times New Roman"/>
                <w:color w:val="auto"/>
                <w:sz w:val="21"/>
                <w:szCs w:val="20"/>
              </w:rPr>
              <w:t>《预制菜加工技术规范第</w:t>
            </w:r>
            <w:r>
              <w:rPr>
                <w:rFonts w:ascii="宋体" w:hAnsi="Times New Roman" w:eastAsia="宋体" w:cs="Times New Roman"/>
                <w:color w:val="auto"/>
                <w:sz w:val="21"/>
                <w:szCs w:val="20"/>
              </w:rPr>
              <w:t>1</w:t>
            </w:r>
            <w:r>
              <w:rPr>
                <w:rFonts w:hint="eastAsia" w:ascii="宋体" w:hAnsi="Times New Roman" w:eastAsia="宋体" w:cs="Times New Roman"/>
                <w:color w:val="auto"/>
                <w:sz w:val="21"/>
                <w:szCs w:val="20"/>
              </w:rPr>
              <w:t>部分：通则》和</w:t>
            </w:r>
            <w:r>
              <w:rPr>
                <w:rFonts w:ascii="宋体" w:hAnsi="Times New Roman" w:eastAsia="宋体" w:cs="Times New Roman"/>
                <w:color w:val="auto"/>
                <w:sz w:val="21"/>
                <w:szCs w:val="20"/>
              </w:rPr>
              <w:t>DB3707 094.2-2023</w:t>
            </w:r>
            <w:r>
              <w:rPr>
                <w:rFonts w:hint="eastAsia" w:ascii="宋体" w:hAnsi="Times New Roman" w:eastAsia="宋体" w:cs="Times New Roman"/>
                <w:color w:val="auto"/>
                <w:sz w:val="21"/>
                <w:szCs w:val="20"/>
              </w:rPr>
              <w:t>《预制菜加工技术规范第</w:t>
            </w:r>
            <w:r>
              <w:rPr>
                <w:rFonts w:ascii="宋体" w:hAnsi="Times New Roman" w:eastAsia="宋体" w:cs="Times New Roman"/>
                <w:color w:val="auto"/>
                <w:sz w:val="21"/>
                <w:szCs w:val="20"/>
              </w:rPr>
              <w:t>2</w:t>
            </w:r>
            <w:r>
              <w:rPr>
                <w:rFonts w:hint="eastAsia" w:ascii="宋体" w:hAnsi="Times New Roman" w:eastAsia="宋体" w:cs="Times New Roman"/>
                <w:color w:val="auto"/>
                <w:sz w:val="21"/>
                <w:szCs w:val="20"/>
              </w:rPr>
              <w:t>部分：即食预制菜》等</w:t>
            </w:r>
            <w:r>
              <w:rPr>
                <w:rFonts w:ascii="宋体" w:hAnsi="Times New Roman" w:eastAsia="宋体" w:cs="Times New Roman"/>
                <w:color w:val="auto"/>
                <w:sz w:val="21"/>
                <w:szCs w:val="20"/>
              </w:rPr>
              <w:t>5</w:t>
            </w:r>
            <w:r>
              <w:rPr>
                <w:rFonts w:hint="eastAsia" w:ascii="宋体" w:hAnsi="Times New Roman" w:eastAsia="宋体" w:cs="Times New Roman"/>
                <w:color w:val="auto"/>
                <w:sz w:val="21"/>
                <w:szCs w:val="20"/>
              </w:rPr>
              <w:t>项、南宁市的</w:t>
            </w:r>
            <w:r>
              <w:rPr>
                <w:rFonts w:ascii="宋体" w:hAnsi="Times New Roman" w:eastAsia="宋体" w:cs="Times New Roman"/>
                <w:color w:val="auto"/>
                <w:sz w:val="21"/>
                <w:szCs w:val="20"/>
              </w:rPr>
              <w:t>DB4501T1-2022</w:t>
            </w:r>
            <w:r>
              <w:rPr>
                <w:rFonts w:hint="eastAsia" w:ascii="宋体" w:hAnsi="Times New Roman" w:eastAsia="宋体" w:cs="Times New Roman"/>
                <w:color w:val="auto"/>
                <w:sz w:val="21"/>
                <w:szCs w:val="20"/>
              </w:rPr>
              <w:t>《预制菜术语》、</w:t>
            </w:r>
            <w:r>
              <w:rPr>
                <w:rFonts w:ascii="宋体" w:hAnsi="Times New Roman" w:eastAsia="宋体" w:cs="Times New Roman"/>
                <w:color w:val="auto"/>
                <w:sz w:val="21"/>
                <w:szCs w:val="20"/>
              </w:rPr>
              <w:t>DB4501T2-2022</w:t>
            </w:r>
            <w:r>
              <w:rPr>
                <w:rFonts w:hint="eastAsia" w:ascii="宋体" w:hAnsi="Times New Roman" w:eastAsia="宋体" w:cs="Times New Roman"/>
                <w:color w:val="auto"/>
                <w:sz w:val="21"/>
                <w:szCs w:val="20"/>
              </w:rPr>
              <w:t>《预制菜分类》和</w:t>
            </w:r>
            <w:r>
              <w:rPr>
                <w:rFonts w:ascii="宋体" w:hAnsi="Times New Roman" w:eastAsia="宋体" w:cs="Times New Roman"/>
                <w:color w:val="auto"/>
                <w:sz w:val="21"/>
                <w:szCs w:val="20"/>
              </w:rPr>
              <w:t>DB4501T3-2022</w:t>
            </w:r>
            <w:r>
              <w:rPr>
                <w:rFonts w:hint="eastAsia" w:ascii="宋体" w:hAnsi="Times New Roman" w:eastAsia="宋体" w:cs="Times New Roman"/>
                <w:color w:val="auto"/>
                <w:sz w:val="21"/>
                <w:szCs w:val="20"/>
              </w:rPr>
              <w:t>《预制菜冷链配送操作规范》、保定市</w:t>
            </w:r>
            <w:r>
              <w:rPr>
                <w:rFonts w:ascii="宋体" w:hAnsi="Times New Roman" w:eastAsia="宋体" w:cs="Times New Roman"/>
                <w:color w:val="auto"/>
                <w:sz w:val="21"/>
                <w:szCs w:val="20"/>
              </w:rPr>
              <w:t>DB1306T 200-2022</w:t>
            </w:r>
            <w:r>
              <w:rPr>
                <w:rFonts w:hint="eastAsia" w:ascii="宋体" w:hAnsi="Times New Roman" w:eastAsia="宋体" w:cs="Times New Roman"/>
                <w:color w:val="auto"/>
                <w:sz w:val="21"/>
                <w:szCs w:val="20"/>
              </w:rPr>
              <w:t>《预制菜术语》和</w:t>
            </w:r>
            <w:r>
              <w:rPr>
                <w:rFonts w:ascii="宋体" w:hAnsi="Times New Roman" w:eastAsia="宋体" w:cs="Times New Roman"/>
                <w:color w:val="auto"/>
                <w:sz w:val="21"/>
                <w:szCs w:val="20"/>
              </w:rPr>
              <w:t>DB1306T 201-20222</w:t>
            </w:r>
            <w:r>
              <w:rPr>
                <w:rFonts w:hint="eastAsia" w:ascii="宋体" w:hAnsi="Times New Roman" w:eastAsia="宋体" w:cs="Times New Roman"/>
                <w:color w:val="auto"/>
                <w:sz w:val="21"/>
                <w:szCs w:val="20"/>
              </w:rPr>
              <w:t>《预制菜分类》、广东省《预制菜术语及分类要求》等，为各省市预制菜的规范和发展提供依据。此外，因预制菜快速发展的需求，近年来预制菜的团体标准数量增幅较大，其中有浙江省农产品质量安全协会发布的</w:t>
            </w:r>
            <w:r>
              <w:rPr>
                <w:rFonts w:ascii="宋体" w:hAnsi="Times New Roman" w:eastAsia="宋体" w:cs="Times New Roman"/>
                <w:color w:val="auto"/>
                <w:sz w:val="21"/>
                <w:szCs w:val="20"/>
              </w:rPr>
              <w:t>TZNZ 204-2023</w:t>
            </w:r>
            <w:r>
              <w:rPr>
                <w:rFonts w:hint="eastAsia" w:ascii="宋体" w:hAnsi="Times New Roman" w:eastAsia="宋体" w:cs="Times New Roman"/>
                <w:color w:val="auto"/>
                <w:sz w:val="21"/>
                <w:szCs w:val="20"/>
              </w:rPr>
              <w:t>《预制菜生产管理技术规范》、中国烹饪协会</w:t>
            </w:r>
            <w:r>
              <w:rPr>
                <w:rFonts w:ascii="宋体" w:hAnsi="Times New Roman" w:eastAsia="宋体" w:cs="Times New Roman"/>
                <w:color w:val="auto"/>
                <w:sz w:val="21"/>
                <w:szCs w:val="20"/>
              </w:rPr>
              <w:t>TCCA024-2022</w:t>
            </w:r>
            <w:r>
              <w:rPr>
                <w:rFonts w:hint="eastAsia" w:ascii="宋体" w:hAnsi="Times New Roman" w:eastAsia="宋体" w:cs="Times New Roman"/>
                <w:color w:val="auto"/>
                <w:sz w:val="21"/>
                <w:szCs w:val="20"/>
              </w:rPr>
              <w:t>《预制菜》、广东省食品学会发布的</w:t>
            </w:r>
            <w:r>
              <w:rPr>
                <w:rFonts w:ascii="宋体" w:hAnsi="Times New Roman" w:eastAsia="宋体" w:cs="Times New Roman"/>
                <w:color w:val="auto"/>
                <w:sz w:val="21"/>
                <w:szCs w:val="20"/>
              </w:rPr>
              <w:t>T/GDIFST 006.1-2022</w:t>
            </w:r>
            <w:r>
              <w:rPr>
                <w:rFonts w:hint="eastAsia" w:ascii="宋体" w:hAnsi="Times New Roman" w:eastAsia="宋体" w:cs="Times New Roman"/>
                <w:color w:val="auto"/>
                <w:sz w:val="21"/>
                <w:szCs w:val="20"/>
              </w:rPr>
              <w:t>《预制菜术语和分类方法》和</w:t>
            </w:r>
            <w:r>
              <w:rPr>
                <w:rFonts w:ascii="宋体" w:hAnsi="Times New Roman" w:eastAsia="宋体" w:cs="Times New Roman"/>
                <w:color w:val="auto"/>
                <w:sz w:val="21"/>
                <w:szCs w:val="20"/>
              </w:rPr>
              <w:t>T/GDIFST 006.2-2022</w:t>
            </w:r>
            <w:r>
              <w:rPr>
                <w:rFonts w:hint="eastAsia" w:ascii="宋体" w:hAnsi="Times New Roman" w:eastAsia="宋体" w:cs="Times New Roman"/>
                <w:color w:val="auto"/>
                <w:sz w:val="21"/>
                <w:szCs w:val="20"/>
              </w:rPr>
              <w:t>《预制菜术语及分类要求》、中国民族贸易促进会发布的</w:t>
            </w:r>
            <w:r>
              <w:rPr>
                <w:rFonts w:ascii="宋体" w:hAnsi="Times New Roman" w:eastAsia="宋体" w:cs="Times New Roman"/>
                <w:color w:val="auto"/>
                <w:sz w:val="21"/>
                <w:szCs w:val="20"/>
              </w:rPr>
              <w:t>T/OTOP-202332</w:t>
            </w:r>
            <w:r>
              <w:rPr>
                <w:rFonts w:hint="eastAsia" w:ascii="宋体" w:hAnsi="Times New Roman" w:eastAsia="宋体" w:cs="Times New Roman"/>
                <w:color w:val="auto"/>
                <w:sz w:val="21"/>
                <w:szCs w:val="20"/>
              </w:rPr>
              <w:t>《预制菜标准体系建设通则》、</w:t>
            </w:r>
            <w:r>
              <w:rPr>
                <w:rFonts w:ascii="宋体" w:hAnsi="Times New Roman" w:eastAsia="宋体" w:cs="Times New Roman"/>
                <w:color w:val="auto"/>
                <w:sz w:val="21"/>
                <w:szCs w:val="20"/>
              </w:rPr>
              <w:t>T/OTOP-202333</w:t>
            </w:r>
            <w:r>
              <w:rPr>
                <w:rFonts w:hint="eastAsia" w:ascii="宋体" w:hAnsi="Times New Roman" w:eastAsia="宋体" w:cs="Times New Roman"/>
                <w:color w:val="auto"/>
                <w:sz w:val="21"/>
                <w:szCs w:val="20"/>
              </w:rPr>
              <w:t>《预制菜分类准则》、</w:t>
            </w:r>
            <w:r>
              <w:rPr>
                <w:rFonts w:ascii="宋体" w:hAnsi="Times New Roman" w:eastAsia="宋体" w:cs="Times New Roman"/>
                <w:color w:val="auto"/>
                <w:sz w:val="21"/>
                <w:szCs w:val="20"/>
              </w:rPr>
              <w:t>T/OTOP-202334</w:t>
            </w:r>
            <w:r>
              <w:rPr>
                <w:rFonts w:hint="eastAsia" w:ascii="宋体" w:hAnsi="Times New Roman" w:eastAsia="宋体" w:cs="Times New Roman"/>
                <w:color w:val="auto"/>
                <w:sz w:val="21"/>
                <w:szCs w:val="20"/>
              </w:rPr>
              <w:t>《预制菜分级规范》</w:t>
            </w:r>
            <w:r>
              <w:rPr>
                <w:rFonts w:ascii="宋体" w:hAnsi="Times New Roman" w:eastAsia="宋体" w:cs="Times New Roman"/>
                <w:color w:val="auto"/>
                <w:sz w:val="21"/>
                <w:szCs w:val="20"/>
              </w:rPr>
              <w:t>等。</w:t>
            </w:r>
          </w:p>
          <w:p>
            <w:pPr>
              <w:pStyle w:val="8"/>
              <w:spacing w:line="360" w:lineRule="auto"/>
              <w:ind w:firstLine="420" w:firstLineChars="200"/>
            </w:pPr>
            <w:r>
              <w:t>国内外标准情况对比。目前国内分别出台了关于食品安全追溯等标准，但针对预制菜追溯编码标识与追溯信息还未制定统一的标准。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933" w:type="dxa"/>
            <w:gridSpan w:val="6"/>
            <w:vAlign w:val="center"/>
          </w:tcPr>
          <w:p>
            <w:pPr>
              <w:pStyle w:val="8"/>
            </w:pPr>
            <w:bookmarkStart w:id="11" w:name="_Toc464905811"/>
            <w:bookmarkStart w:id="12" w:name="_Toc465074268"/>
            <w:bookmarkStart w:id="13" w:name="_Toc464905615"/>
            <w:bookmarkStart w:id="14" w:name="_Toc464902854"/>
            <w:bookmarkStart w:id="15" w:name="_Toc464905559"/>
            <w:r>
              <w:rPr>
                <w:rFonts w:hint="eastAsia"/>
              </w:rPr>
              <w:t>7、重大分歧意见的处理经过和依据</w:t>
            </w:r>
            <w:bookmarkEnd w:id="11"/>
            <w:bookmarkEnd w:id="12"/>
            <w:bookmarkEnd w:id="13"/>
            <w:bookmarkEnd w:id="14"/>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933" w:type="dxa"/>
            <w:gridSpan w:val="6"/>
            <w:vAlign w:val="center"/>
          </w:tcPr>
          <w:p>
            <w:pPr>
              <w:rPr>
                <w:rFonts w:hint="eastAsia"/>
              </w:rPr>
            </w:pPr>
            <w:r>
              <w:rPr>
                <w:rFonts w:hint="eastAsia"/>
              </w:rPr>
              <w:t>本文件在制定过程中未出现重大分歧意见。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933" w:type="dxa"/>
            <w:gridSpan w:val="6"/>
            <w:vAlign w:val="center"/>
          </w:tcPr>
          <w:p>
            <w:pPr>
              <w:pStyle w:val="8"/>
            </w:pPr>
            <w:bookmarkStart w:id="16" w:name="_Toc465074269"/>
            <w:bookmarkStart w:id="17" w:name="_Toc464905616"/>
            <w:bookmarkStart w:id="18" w:name="_Toc464902855"/>
            <w:bookmarkStart w:id="19" w:name="_Toc464905560"/>
            <w:bookmarkStart w:id="20" w:name="_Toc464905812"/>
            <w:r>
              <w:rPr>
                <w:rFonts w:hint="eastAsia"/>
              </w:rPr>
              <w:t>8、贯彻标准的要求和措施建议（包括组织措施、技术措施、过渡办法、实施日期等）</w:t>
            </w:r>
            <w:bookmarkEnd w:id="16"/>
            <w:bookmarkEnd w:id="17"/>
            <w:bookmarkEnd w:id="18"/>
            <w:bookmarkEnd w:id="19"/>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933" w:type="dxa"/>
            <w:gridSpan w:val="6"/>
            <w:vAlign w:val="center"/>
          </w:tcPr>
          <w:p>
            <w:pPr>
              <w:pStyle w:val="8"/>
              <w:spacing w:line="360" w:lineRule="auto"/>
              <w:ind w:firstLine="420" w:firstLineChars="200"/>
            </w:pPr>
            <w:r>
              <w:rPr>
                <w:rFonts w:hint="eastAsia"/>
              </w:rPr>
              <w:t>为了加强本标准的指导作用，标准发布后，应对标准进行宣贯，贯彻落实标准的实施。同时，为推广和实施本标准，可以采取如下一些具体措施：</w:t>
            </w:r>
          </w:p>
          <w:p>
            <w:pPr>
              <w:pStyle w:val="8"/>
              <w:spacing w:line="360" w:lineRule="auto"/>
            </w:pPr>
            <w:r>
              <w:rPr>
                <w:rFonts w:hint="eastAsia"/>
              </w:rPr>
              <w:t>（1）由主要起草单位牵头，按照归口单位的管理要求开展标准宣贯；</w:t>
            </w:r>
          </w:p>
          <w:p>
            <w:pPr>
              <w:pStyle w:val="8"/>
              <w:spacing w:line="360" w:lineRule="auto"/>
            </w:pPr>
            <w:r>
              <w:rPr>
                <w:rFonts w:hint="eastAsia"/>
              </w:rPr>
              <w:t>（2）标准起草工作组应继续开展研究，改进和完善标准的相关内容。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933" w:type="dxa"/>
            <w:gridSpan w:val="6"/>
            <w:vAlign w:val="center"/>
          </w:tcPr>
          <w:p>
            <w:pPr>
              <w:pStyle w:val="8"/>
            </w:pPr>
            <w:bookmarkStart w:id="21" w:name="_Toc464905617"/>
            <w:bookmarkStart w:id="22" w:name="_Toc464902856"/>
            <w:bookmarkStart w:id="23" w:name="_Toc465074270"/>
            <w:bookmarkStart w:id="24" w:name="_Toc464905561"/>
            <w:bookmarkStart w:id="25" w:name="_Toc464905813"/>
            <w:r>
              <w:rPr>
                <w:rFonts w:hint="eastAsia"/>
              </w:rPr>
              <w:t>9、废止现行相关标准的建议</w:t>
            </w:r>
            <w:bookmarkEnd w:id="21"/>
            <w:bookmarkEnd w:id="22"/>
            <w:bookmarkEnd w:id="23"/>
            <w:bookmarkEnd w:id="24"/>
            <w:bookmarkEnd w:id="2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933" w:type="dxa"/>
            <w:gridSpan w:val="6"/>
            <w:vAlign w:val="center"/>
          </w:tcPr>
          <w:p>
            <w:pPr>
              <w:pStyle w:val="8"/>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933" w:type="dxa"/>
            <w:gridSpan w:val="6"/>
            <w:vAlign w:val="center"/>
          </w:tcPr>
          <w:p>
            <w:pPr>
              <w:pStyle w:val="8"/>
            </w:pPr>
            <w:bookmarkStart w:id="26" w:name="_Toc464905618"/>
            <w:bookmarkStart w:id="27" w:name="_Toc464902857"/>
            <w:bookmarkStart w:id="28" w:name="_Toc465074271"/>
            <w:bookmarkStart w:id="29" w:name="_Toc464905562"/>
            <w:bookmarkStart w:id="30" w:name="_Toc464905814"/>
            <w:r>
              <w:rPr>
                <w:rFonts w:hint="eastAsia"/>
              </w:rPr>
              <w:t>10、其它应予说明的事项</w:t>
            </w:r>
            <w:bookmarkEnd w:id="26"/>
            <w:bookmarkEnd w:id="27"/>
            <w:bookmarkEnd w:id="28"/>
            <w:bookmarkEnd w:id="29"/>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933" w:type="dxa"/>
            <w:gridSpan w:val="6"/>
            <w:vAlign w:val="center"/>
          </w:tcPr>
          <w:p>
            <w:pPr>
              <w:pStyle w:val="8"/>
            </w:pPr>
            <w:r>
              <w:rPr>
                <w:rFonts w:hint="eastAsia"/>
              </w:rPr>
              <w:t>无。</w:t>
            </w:r>
          </w:p>
        </w:tc>
      </w:tr>
    </w:tbl>
    <w:p>
      <w:pPr>
        <w:pStyle w:val="9"/>
      </w:pPr>
      <w:r>
        <w:rPr>
          <w:rFonts w:hint="eastAsia"/>
        </w:rPr>
        <w:t>没有的请填写 “无”。</w:t>
      </w:r>
    </w:p>
    <w:p>
      <w:pPr>
        <w:rPr>
          <w:rFonts w:hint="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0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仿宋_GB2312">
    <w:panose1 w:val="02010609030101010101"/>
    <w:charset w:val="86"/>
    <w:family w:val="swiss"/>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841235188">
    <w:nsid w:val="6DBF04F4"/>
    <w:multiLevelType w:val="multilevel"/>
    <w:tmpl w:val="6DBF04F4"/>
    <w:lvl w:ilvl="0" w:tentative="1">
      <w:start w:val="1"/>
      <w:numFmt w:val="none"/>
      <w:pStyle w:val="9"/>
      <w:lvlText w:val="%1注："/>
      <w:lvlJc w:val="left"/>
      <w:pPr>
        <w:ind w:left="737" w:hanging="374"/>
      </w:pPr>
      <w:rPr>
        <w:rFonts w:hint="eastAsia" w:ascii="黑体" w:eastAsia="黑体"/>
        <w:b w:val="0"/>
        <w:i w:val="0"/>
        <w:sz w:val="18"/>
      </w:rPr>
    </w:lvl>
    <w:lvl w:ilvl="1" w:tentative="1">
      <w:start w:val="1"/>
      <w:numFmt w:val="lowerLetter"/>
      <w:lvlText w:val="%2)"/>
      <w:lvlJc w:val="left"/>
      <w:pPr>
        <w:tabs>
          <w:tab w:val="left" w:pos="1140"/>
        </w:tabs>
        <w:ind w:left="726" w:hanging="363"/>
      </w:pPr>
      <w:rPr>
        <w:rFonts w:hint="eastAsia"/>
      </w:rPr>
    </w:lvl>
    <w:lvl w:ilvl="2" w:tentative="1">
      <w:start w:val="1"/>
      <w:numFmt w:val="lowerRoman"/>
      <w:lvlText w:val="%3."/>
      <w:lvlJc w:val="right"/>
      <w:pPr>
        <w:tabs>
          <w:tab w:val="left" w:pos="1140"/>
        </w:tabs>
        <w:ind w:left="726" w:hanging="363"/>
      </w:pPr>
      <w:rPr>
        <w:rFonts w:hint="eastAsia"/>
      </w:rPr>
    </w:lvl>
    <w:lvl w:ilvl="3" w:tentative="1">
      <w:start w:val="1"/>
      <w:numFmt w:val="decimal"/>
      <w:lvlText w:val="%4."/>
      <w:lvlJc w:val="left"/>
      <w:pPr>
        <w:tabs>
          <w:tab w:val="left" w:pos="1140"/>
        </w:tabs>
        <w:ind w:left="726" w:hanging="363"/>
      </w:pPr>
      <w:rPr>
        <w:rFonts w:hint="eastAsia"/>
      </w:rPr>
    </w:lvl>
    <w:lvl w:ilvl="4" w:tentative="1">
      <w:start w:val="1"/>
      <w:numFmt w:val="lowerLetter"/>
      <w:lvlText w:val="%5)"/>
      <w:lvlJc w:val="left"/>
      <w:pPr>
        <w:tabs>
          <w:tab w:val="left" w:pos="1140"/>
        </w:tabs>
        <w:ind w:left="726" w:hanging="363"/>
      </w:pPr>
      <w:rPr>
        <w:rFonts w:hint="eastAsia"/>
      </w:rPr>
    </w:lvl>
    <w:lvl w:ilvl="5" w:tentative="1">
      <w:start w:val="1"/>
      <w:numFmt w:val="lowerRoman"/>
      <w:lvlText w:val="%6."/>
      <w:lvlJc w:val="right"/>
      <w:pPr>
        <w:tabs>
          <w:tab w:val="left" w:pos="1140"/>
        </w:tabs>
        <w:ind w:left="726" w:hanging="363"/>
      </w:pPr>
      <w:rPr>
        <w:rFonts w:hint="eastAsia"/>
      </w:rPr>
    </w:lvl>
    <w:lvl w:ilvl="6" w:tentative="1">
      <w:start w:val="1"/>
      <w:numFmt w:val="decimal"/>
      <w:lvlText w:val="%7."/>
      <w:lvlJc w:val="left"/>
      <w:pPr>
        <w:tabs>
          <w:tab w:val="left" w:pos="1140"/>
        </w:tabs>
        <w:ind w:left="726" w:hanging="363"/>
      </w:pPr>
      <w:rPr>
        <w:rFonts w:hint="eastAsia"/>
      </w:rPr>
    </w:lvl>
    <w:lvl w:ilvl="7" w:tentative="1">
      <w:start w:val="1"/>
      <w:numFmt w:val="lowerLetter"/>
      <w:lvlText w:val="%8)"/>
      <w:lvlJc w:val="left"/>
      <w:pPr>
        <w:tabs>
          <w:tab w:val="left" w:pos="1140"/>
        </w:tabs>
        <w:ind w:left="726" w:hanging="363"/>
      </w:pPr>
      <w:rPr>
        <w:rFonts w:hint="eastAsia"/>
      </w:rPr>
    </w:lvl>
    <w:lvl w:ilvl="8" w:tentative="1">
      <w:start w:val="1"/>
      <w:numFmt w:val="lowerRoman"/>
      <w:lvlText w:val="%9."/>
      <w:lvlJc w:val="right"/>
      <w:pPr>
        <w:tabs>
          <w:tab w:val="left" w:pos="1140"/>
        </w:tabs>
        <w:ind w:left="726" w:hanging="363"/>
      </w:pPr>
      <w:rPr>
        <w:rFonts w:hint="eastAsia"/>
      </w:rPr>
    </w:lvl>
  </w:abstractNum>
  <w:num w:numId="1">
    <w:abstractNumId w:val="184123518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2NGY5N2UxNzlhMDM0M2NhNjcyN2NjNTEyZGU5Y2YifQ=="/>
  </w:docVars>
  <w:rsids>
    <w:rsidRoot w:val="7E7327BD"/>
    <w:rsid w:val="0004356E"/>
    <w:rsid w:val="000A5A80"/>
    <w:rsid w:val="001045FF"/>
    <w:rsid w:val="00110B7F"/>
    <w:rsid w:val="00173CA7"/>
    <w:rsid w:val="001757CA"/>
    <w:rsid w:val="001A05D5"/>
    <w:rsid w:val="001B6C15"/>
    <w:rsid w:val="001D1B49"/>
    <w:rsid w:val="002A1324"/>
    <w:rsid w:val="002D1395"/>
    <w:rsid w:val="003374F4"/>
    <w:rsid w:val="00475C13"/>
    <w:rsid w:val="0047676A"/>
    <w:rsid w:val="00497EB9"/>
    <w:rsid w:val="004C15FF"/>
    <w:rsid w:val="00556930"/>
    <w:rsid w:val="00557950"/>
    <w:rsid w:val="005E0B19"/>
    <w:rsid w:val="0060272E"/>
    <w:rsid w:val="006B7D5D"/>
    <w:rsid w:val="006D23F9"/>
    <w:rsid w:val="006D58A1"/>
    <w:rsid w:val="00757888"/>
    <w:rsid w:val="00792109"/>
    <w:rsid w:val="0079272F"/>
    <w:rsid w:val="007C2A80"/>
    <w:rsid w:val="00854379"/>
    <w:rsid w:val="00854F64"/>
    <w:rsid w:val="00942D85"/>
    <w:rsid w:val="00960BBF"/>
    <w:rsid w:val="009A4FA5"/>
    <w:rsid w:val="009B3605"/>
    <w:rsid w:val="009C7ACA"/>
    <w:rsid w:val="00A06E69"/>
    <w:rsid w:val="00A07F97"/>
    <w:rsid w:val="00AE7C6C"/>
    <w:rsid w:val="00AF1641"/>
    <w:rsid w:val="00AF4AF3"/>
    <w:rsid w:val="00B03212"/>
    <w:rsid w:val="00B1634E"/>
    <w:rsid w:val="00B33807"/>
    <w:rsid w:val="00BE51F8"/>
    <w:rsid w:val="00C748CA"/>
    <w:rsid w:val="00CB3988"/>
    <w:rsid w:val="00D72DE2"/>
    <w:rsid w:val="00DC7D4F"/>
    <w:rsid w:val="00DD2548"/>
    <w:rsid w:val="00E14B6A"/>
    <w:rsid w:val="00E156C2"/>
    <w:rsid w:val="00E302CA"/>
    <w:rsid w:val="00E33058"/>
    <w:rsid w:val="00EC6B9D"/>
    <w:rsid w:val="00F22091"/>
    <w:rsid w:val="00F4449B"/>
    <w:rsid w:val="00F50980"/>
    <w:rsid w:val="00F664D4"/>
    <w:rsid w:val="00F94936"/>
    <w:rsid w:val="02151F43"/>
    <w:rsid w:val="02171FD8"/>
    <w:rsid w:val="025F5E51"/>
    <w:rsid w:val="03D168E4"/>
    <w:rsid w:val="048A5DF5"/>
    <w:rsid w:val="048E122E"/>
    <w:rsid w:val="04934C03"/>
    <w:rsid w:val="053C512E"/>
    <w:rsid w:val="05686892"/>
    <w:rsid w:val="067D680B"/>
    <w:rsid w:val="071741D7"/>
    <w:rsid w:val="08AE6343"/>
    <w:rsid w:val="0953152D"/>
    <w:rsid w:val="0A760BD4"/>
    <w:rsid w:val="0AA23C86"/>
    <w:rsid w:val="0B0C7351"/>
    <w:rsid w:val="0CDE6ACB"/>
    <w:rsid w:val="0D085D69"/>
    <w:rsid w:val="0D2A3D65"/>
    <w:rsid w:val="0D58062B"/>
    <w:rsid w:val="0D6D5CAF"/>
    <w:rsid w:val="0DF2309E"/>
    <w:rsid w:val="0E525ADF"/>
    <w:rsid w:val="0F3B0205"/>
    <w:rsid w:val="10631240"/>
    <w:rsid w:val="120E432A"/>
    <w:rsid w:val="13084BF5"/>
    <w:rsid w:val="137678C1"/>
    <w:rsid w:val="139879D4"/>
    <w:rsid w:val="140572CC"/>
    <w:rsid w:val="15030EC9"/>
    <w:rsid w:val="158239BA"/>
    <w:rsid w:val="15C44F0F"/>
    <w:rsid w:val="166D339A"/>
    <w:rsid w:val="169933BB"/>
    <w:rsid w:val="1821784B"/>
    <w:rsid w:val="18A65CAE"/>
    <w:rsid w:val="18AC2A30"/>
    <w:rsid w:val="1AFF658A"/>
    <w:rsid w:val="1BAF1D5E"/>
    <w:rsid w:val="1BD16179"/>
    <w:rsid w:val="1BEB0778"/>
    <w:rsid w:val="1CE7319D"/>
    <w:rsid w:val="1DA43ED6"/>
    <w:rsid w:val="1E334EC9"/>
    <w:rsid w:val="1E702BF6"/>
    <w:rsid w:val="1E714A4B"/>
    <w:rsid w:val="1E8F7C25"/>
    <w:rsid w:val="209C6A5D"/>
    <w:rsid w:val="212C5BFF"/>
    <w:rsid w:val="213B5E42"/>
    <w:rsid w:val="216B27F8"/>
    <w:rsid w:val="21DC663B"/>
    <w:rsid w:val="22977BDE"/>
    <w:rsid w:val="23F87B3C"/>
    <w:rsid w:val="24A930A1"/>
    <w:rsid w:val="24B10D8B"/>
    <w:rsid w:val="25117FED"/>
    <w:rsid w:val="2584425C"/>
    <w:rsid w:val="258F2500"/>
    <w:rsid w:val="26F01EE0"/>
    <w:rsid w:val="2902208A"/>
    <w:rsid w:val="290B651D"/>
    <w:rsid w:val="29693E94"/>
    <w:rsid w:val="2978584B"/>
    <w:rsid w:val="29A32A20"/>
    <w:rsid w:val="29FF65A7"/>
    <w:rsid w:val="2A0A3BD5"/>
    <w:rsid w:val="2A7C3754"/>
    <w:rsid w:val="2AE17A5A"/>
    <w:rsid w:val="2B0F4133"/>
    <w:rsid w:val="2B913ADE"/>
    <w:rsid w:val="2BC166B3"/>
    <w:rsid w:val="2BEC2B5B"/>
    <w:rsid w:val="2C1337D4"/>
    <w:rsid w:val="2C6A5BD9"/>
    <w:rsid w:val="2C785211"/>
    <w:rsid w:val="2D595FDB"/>
    <w:rsid w:val="2DB72422"/>
    <w:rsid w:val="2DDE62F4"/>
    <w:rsid w:val="2E6C583F"/>
    <w:rsid w:val="2F343EC3"/>
    <w:rsid w:val="2FA03AA3"/>
    <w:rsid w:val="2FDE6FE3"/>
    <w:rsid w:val="30F86842"/>
    <w:rsid w:val="30FC114A"/>
    <w:rsid w:val="31372F41"/>
    <w:rsid w:val="317177DA"/>
    <w:rsid w:val="31A22367"/>
    <w:rsid w:val="32736FAD"/>
    <w:rsid w:val="332F4325"/>
    <w:rsid w:val="33751688"/>
    <w:rsid w:val="34034EE6"/>
    <w:rsid w:val="34D64457"/>
    <w:rsid w:val="35672368"/>
    <w:rsid w:val="36D95D28"/>
    <w:rsid w:val="36E94158"/>
    <w:rsid w:val="3712711C"/>
    <w:rsid w:val="3821348C"/>
    <w:rsid w:val="39EE7A9E"/>
    <w:rsid w:val="3A573895"/>
    <w:rsid w:val="3BE64ED1"/>
    <w:rsid w:val="3C005D06"/>
    <w:rsid w:val="3CF555AF"/>
    <w:rsid w:val="3DB159B2"/>
    <w:rsid w:val="41F82483"/>
    <w:rsid w:val="421C0404"/>
    <w:rsid w:val="4344504E"/>
    <w:rsid w:val="4349130B"/>
    <w:rsid w:val="435B3CB1"/>
    <w:rsid w:val="439671DC"/>
    <w:rsid w:val="43FA3C0F"/>
    <w:rsid w:val="44B149D9"/>
    <w:rsid w:val="44E76B62"/>
    <w:rsid w:val="46932911"/>
    <w:rsid w:val="47440010"/>
    <w:rsid w:val="485F6737"/>
    <w:rsid w:val="49E479A5"/>
    <w:rsid w:val="4AEC3815"/>
    <w:rsid w:val="4B4A03F0"/>
    <w:rsid w:val="4BB943B0"/>
    <w:rsid w:val="4C004CF2"/>
    <w:rsid w:val="4CBB5F06"/>
    <w:rsid w:val="4CE4720A"/>
    <w:rsid w:val="4D331F40"/>
    <w:rsid w:val="4DAF2B48"/>
    <w:rsid w:val="4F0D5793"/>
    <w:rsid w:val="50A962F3"/>
    <w:rsid w:val="52C87523"/>
    <w:rsid w:val="53187698"/>
    <w:rsid w:val="53A27BFA"/>
    <w:rsid w:val="53E534E0"/>
    <w:rsid w:val="53FD41E2"/>
    <w:rsid w:val="55816518"/>
    <w:rsid w:val="55937A20"/>
    <w:rsid w:val="569A6507"/>
    <w:rsid w:val="56B85E24"/>
    <w:rsid w:val="56C61E97"/>
    <w:rsid w:val="58044C05"/>
    <w:rsid w:val="58A27F7A"/>
    <w:rsid w:val="59193799"/>
    <w:rsid w:val="59A4788C"/>
    <w:rsid w:val="5B6634E0"/>
    <w:rsid w:val="5B834092"/>
    <w:rsid w:val="5BB22BCA"/>
    <w:rsid w:val="5D240925"/>
    <w:rsid w:val="5D6477C6"/>
    <w:rsid w:val="5D742BDF"/>
    <w:rsid w:val="5E4A0A5D"/>
    <w:rsid w:val="5E7C1EAA"/>
    <w:rsid w:val="5E8F56A7"/>
    <w:rsid w:val="5EA172A1"/>
    <w:rsid w:val="617D3014"/>
    <w:rsid w:val="620A1069"/>
    <w:rsid w:val="638906B4"/>
    <w:rsid w:val="64B43358"/>
    <w:rsid w:val="656C3DE9"/>
    <w:rsid w:val="658D448B"/>
    <w:rsid w:val="67D338A4"/>
    <w:rsid w:val="683926A8"/>
    <w:rsid w:val="68937E38"/>
    <w:rsid w:val="690C441C"/>
    <w:rsid w:val="691536B1"/>
    <w:rsid w:val="69C648D7"/>
    <w:rsid w:val="6ACF4B26"/>
    <w:rsid w:val="6AF0004E"/>
    <w:rsid w:val="6B380848"/>
    <w:rsid w:val="6B3C7DBA"/>
    <w:rsid w:val="6B5C1D33"/>
    <w:rsid w:val="6B9C29D3"/>
    <w:rsid w:val="6C90660F"/>
    <w:rsid w:val="6CA36625"/>
    <w:rsid w:val="6CAE6A95"/>
    <w:rsid w:val="6E3E5713"/>
    <w:rsid w:val="6F8E1D5F"/>
    <w:rsid w:val="6FAA5C3A"/>
    <w:rsid w:val="6FAF37DE"/>
    <w:rsid w:val="6FCC7249"/>
    <w:rsid w:val="70E74DF7"/>
    <w:rsid w:val="73091DCE"/>
    <w:rsid w:val="755E43A0"/>
    <w:rsid w:val="75A10DA6"/>
    <w:rsid w:val="769A5D1D"/>
    <w:rsid w:val="773F65BF"/>
    <w:rsid w:val="77661107"/>
    <w:rsid w:val="77D959A0"/>
    <w:rsid w:val="77E2122B"/>
    <w:rsid w:val="78212811"/>
    <w:rsid w:val="78235906"/>
    <w:rsid w:val="78A21BA4"/>
    <w:rsid w:val="7957691A"/>
    <w:rsid w:val="79911640"/>
    <w:rsid w:val="79BC0A44"/>
    <w:rsid w:val="79D02741"/>
    <w:rsid w:val="7A2851C3"/>
    <w:rsid w:val="7ABA177F"/>
    <w:rsid w:val="7AC5645E"/>
    <w:rsid w:val="7B0145DD"/>
    <w:rsid w:val="7B0F7299"/>
    <w:rsid w:val="7B3229E7"/>
    <w:rsid w:val="7C105077"/>
    <w:rsid w:val="7C18217D"/>
    <w:rsid w:val="7CA02EEA"/>
    <w:rsid w:val="7D06181C"/>
    <w:rsid w:val="7E44676F"/>
    <w:rsid w:val="7E7159C0"/>
    <w:rsid w:val="7E7327BD"/>
    <w:rsid w:val="7E7A711F"/>
    <w:rsid w:val="7F261D6C"/>
    <w:rsid w:val="7F7804A1"/>
    <w:rsid w:val="7F8F6BFA"/>
    <w:rsid w:val="7F9C72C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pPr>
    <w:rPr>
      <w:rFonts w:ascii="宋体" w:hAnsi="宋体" w:eastAsia="宋体" w:cs="宋体"/>
      <w:bCs/>
      <w:kern w:val="2"/>
      <w:sz w:val="21"/>
      <w:szCs w:val="21"/>
      <w:lang w:val="en-US" w:eastAsia="zh-CN" w:bidi="ar-SA"/>
    </w:rPr>
  </w:style>
  <w:style w:type="paragraph" w:styleId="2">
    <w:name w:val="heading 4"/>
    <w:basedOn w:val="1"/>
    <w:next w:val="1"/>
    <w:link w:val="16"/>
    <w:qFormat/>
    <w:uiPriority w:val="0"/>
    <w:pPr>
      <w:keepNext/>
      <w:keepLines/>
      <w:adjustRightInd w:val="0"/>
      <w:spacing w:before="280" w:after="290" w:line="376" w:lineRule="auto"/>
      <w:ind w:firstLine="0" w:firstLineChars="0"/>
      <w:jc w:val="both"/>
      <w:outlineLvl w:val="3"/>
    </w:pPr>
    <w:rPr>
      <w:rFonts w:ascii="Arial" w:hAnsi="Arial" w:eastAsia="黑体" w:cs="Times New Roman"/>
      <w:b/>
      <w:sz w:val="28"/>
      <w:szCs w:val="28"/>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3"/>
    <w:qFormat/>
    <w:uiPriority w:val="99"/>
    <w:pPr>
      <w:tabs>
        <w:tab w:val="center" w:pos="4153"/>
        <w:tab w:val="right" w:pos="8306"/>
      </w:tabs>
      <w:snapToGrid w:val="0"/>
    </w:pPr>
    <w:rPr>
      <w:sz w:val="18"/>
      <w:szCs w:val="18"/>
    </w:rPr>
  </w:style>
  <w:style w:type="paragraph" w:styleId="4">
    <w:name w:val="header"/>
    <w:basedOn w:val="1"/>
    <w:link w:val="12"/>
    <w:qFormat/>
    <w:uiPriority w:val="0"/>
    <w:pPr>
      <w:tabs>
        <w:tab w:val="center" w:pos="4153"/>
        <w:tab w:val="right" w:pos="8306"/>
      </w:tabs>
      <w:snapToGrid w:val="0"/>
      <w:jc w:val="center"/>
    </w:pPr>
    <w:rPr>
      <w:sz w:val="18"/>
      <w:szCs w:val="18"/>
    </w:rPr>
  </w:style>
  <w:style w:type="paragraph" w:styleId="5">
    <w:name w:val="Normal (Web)"/>
    <w:basedOn w:val="1"/>
    <w:semiHidden/>
    <w:qFormat/>
    <w:uiPriority w:val="99"/>
    <w:pPr>
      <w:widowControl/>
      <w:spacing w:beforeAutospacing="1" w:afterAutospacing="1"/>
    </w:pPr>
    <w:rPr>
      <w:kern w:val="0"/>
      <w:sz w:val="24"/>
    </w:rPr>
  </w:style>
  <w:style w:type="paragraph" w:customStyle="1" w:styleId="8">
    <w:name w:val="段"/>
    <w:qFormat/>
    <w:uiPriority w:val="0"/>
    <w:pPr>
      <w:tabs>
        <w:tab w:val="center" w:pos="4201"/>
        <w:tab w:val="right" w:leader="dot" w:pos="9298"/>
      </w:tabs>
      <w:autoSpaceDE w:val="0"/>
      <w:autoSpaceDN w:val="0"/>
      <w:adjustRightInd w:val="0"/>
      <w:contextualSpacing/>
    </w:pPr>
    <w:rPr>
      <w:rFonts w:ascii="宋体" w:hAnsi="Times New Roman" w:eastAsia="宋体" w:cs="Times New Roman"/>
      <w:sz w:val="21"/>
      <w:lang w:val="en-US" w:eastAsia="zh-CN" w:bidi="ar-SA"/>
    </w:rPr>
  </w:style>
  <w:style w:type="paragraph" w:customStyle="1" w:styleId="9">
    <w:name w:val="标准文件_注："/>
    <w:next w:val="10"/>
    <w:qFormat/>
    <w:uiPriority w:val="0"/>
    <w:pPr>
      <w:widowControl w:val="0"/>
      <w:numPr>
        <w:ilvl w:val="0"/>
        <w:numId w:val="1"/>
      </w:numPr>
      <w:autoSpaceDE w:val="0"/>
      <w:autoSpaceDN w:val="0"/>
      <w:jc w:val="both"/>
    </w:pPr>
    <w:rPr>
      <w:rFonts w:ascii="宋体" w:hAnsi="Times New Roman" w:eastAsia="宋体" w:cs="Times New Roman"/>
      <w:sz w:val="18"/>
      <w:szCs w:val="18"/>
      <w:lang w:val="en-US" w:eastAsia="zh-CN" w:bidi="ar-SA"/>
    </w:rPr>
  </w:style>
  <w:style w:type="paragraph" w:customStyle="1" w:styleId="1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1">
    <w:name w:val="标准文件_段 Char"/>
    <w:basedOn w:val="6"/>
    <w:qFormat/>
    <w:uiPriority w:val="0"/>
    <w:rPr>
      <w:rFonts w:hint="eastAsia" w:ascii="宋体" w:hAnsi="Times New Roman" w:eastAsia="宋体" w:cs="宋体"/>
      <w:sz w:val="21"/>
    </w:rPr>
  </w:style>
  <w:style w:type="character" w:customStyle="1" w:styleId="12">
    <w:name w:val="页眉 字符"/>
    <w:basedOn w:val="6"/>
    <w:link w:val="4"/>
    <w:qFormat/>
    <w:uiPriority w:val="0"/>
    <w:rPr>
      <w:rFonts w:asciiTheme="minorHAnsi" w:hAnsiTheme="minorHAnsi" w:eastAsiaTheme="minorEastAsia" w:cstheme="minorBidi"/>
      <w:kern w:val="2"/>
      <w:sz w:val="18"/>
      <w:szCs w:val="18"/>
    </w:rPr>
  </w:style>
  <w:style w:type="character" w:customStyle="1" w:styleId="13">
    <w:name w:val="页脚 字符"/>
    <w:basedOn w:val="6"/>
    <w:link w:val="3"/>
    <w:qFormat/>
    <w:uiPriority w:val="99"/>
    <w:rPr>
      <w:rFonts w:asciiTheme="minorHAnsi" w:hAnsiTheme="minorHAnsi" w:eastAsiaTheme="minorEastAsia" w:cstheme="minorBidi"/>
      <w:kern w:val="2"/>
      <w:sz w:val="18"/>
      <w:szCs w:val="18"/>
    </w:rPr>
  </w:style>
  <w:style w:type="paragraph" w:customStyle="1" w:styleId="14">
    <w:name w:val="List Paragraph"/>
    <w:basedOn w:val="1"/>
    <w:qFormat/>
    <w:uiPriority w:val="34"/>
    <w:pPr>
      <w:widowControl/>
    </w:pPr>
    <w:rPr>
      <w:kern w:val="0"/>
      <w:sz w:val="24"/>
    </w:rPr>
  </w:style>
  <w:style w:type="paragraph" w:customStyle="1" w:styleId="15">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16">
    <w:name w:val="标题 4 字符"/>
    <w:basedOn w:val="6"/>
    <w:link w:val="2"/>
    <w:qFormat/>
    <w:uiPriority w:val="0"/>
    <w:rPr>
      <w:rFonts w:ascii="Arial" w:hAnsi="Arial" w:eastAsia="黑体" w:cs="Times New Roman"/>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4677</Words>
  <Characters>5353</Characters>
  <Lines>37</Lines>
  <Paragraphs>10</Paragraphs>
  <TotalTime>0</TotalTime>
  <ScaleCrop>false</ScaleCrop>
  <LinksUpToDate>false</LinksUpToDate>
  <CharactersWithSpaces>5466</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2024-12-04T06:14:00Z</dcterms:created>
  <dc:creator>殷文正</dc:creator>
  <cp:lastModifiedBy>王旭</cp:lastModifiedBy>
  <cp:lastPrinted>2024-02-22T08:11:00Z</cp:lastPrinted>
  <dcterms:modified xsi:type="dcterms:W3CDTF">2024-12-17T08:41:21Z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y fmtid="{D5CDD505-2E9C-101B-9397-08002B2CF9AE}" pid="3" name="ICV">
    <vt:lpwstr>0F0712AF7E83406ABC83F2EAAA0DA84F</vt:lpwstr>
  </property>
</Properties>
</file>