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framePr w:wrap="around"/>
        <w:rPr>
          <w:color w:val="auto"/>
        </w:rPr>
      </w:pPr>
      <w:bookmarkStart w:id="0" w:name="c3"/>
      <w:bookmarkEnd w:id="0"/>
      <w:r>
        <w:rPr>
          <w:color w:val="auto"/>
        </w:rPr>
        <w:t>DB</w:t>
      </w:r>
      <w:r>
        <w:rPr>
          <w:color w:val="auto"/>
        </w:rPr>
        <w:fldChar w:fldCharType="begin"/>
      </w:r>
      <w:r>
        <w:rPr>
          <w:color w:val="auto"/>
        </w:rPr>
        <w:instrText xml:space="preserve"> FORMTEXT </w:instrText>
      </w:r>
      <w:r>
        <w:rPr>
          <w:color w:val="auto"/>
        </w:rPr>
        <w:fldChar w:fldCharType="separate"/>
      </w:r>
      <w:r>
        <w:rPr>
          <w:rFonts w:hint="eastAsia"/>
          <w:color w:val="auto"/>
        </w:rPr>
        <w:t>23</w:t>
      </w:r>
      <w:r>
        <w:rPr>
          <w:color w:val="auto"/>
        </w:rPr>
        <w:fldChar w:fldCharType="end"/>
      </w:r>
    </w:p>
    <w:p>
      <w:pPr>
        <w:pStyle w:val="33"/>
        <w:framePr w:wrap="around"/>
        <w:rPr>
          <w:color w:val="auto"/>
        </w:rPr>
      </w:pPr>
      <w:bookmarkStart w:id="1" w:name="c4"/>
      <w:bookmarkEnd w:id="1"/>
      <w:r>
        <w:rPr>
          <w:color w:val="auto"/>
        </w:rPr>
        <w:fldChar w:fldCharType="begin"/>
      </w:r>
      <w:r>
        <w:rPr>
          <w:color w:val="auto"/>
        </w:rPr>
        <w:instrText xml:space="preserve"> FORMTEXT </w:instrText>
      </w:r>
      <w:r>
        <w:rPr>
          <w:color w:val="auto"/>
        </w:rPr>
        <w:fldChar w:fldCharType="separate"/>
      </w:r>
      <w:r>
        <w:rPr>
          <w:rFonts w:hint="eastAsia"/>
          <w:color w:val="auto"/>
        </w:rPr>
        <w:t>黑龙江省</w:t>
      </w:r>
      <w:r>
        <w:rPr>
          <w:color w:val="auto"/>
        </w:rPr>
        <w:fldChar w:fldCharType="end"/>
      </w:r>
      <w:r>
        <w:rPr>
          <w:rFonts w:hint="eastAsia"/>
          <w:color w:val="auto"/>
        </w:rPr>
        <w:t>地方标准</w:t>
      </w:r>
    </w:p>
    <w:p>
      <w:pPr>
        <w:pStyle w:val="22"/>
        <w:framePr w:wrap="around"/>
        <w:rPr>
          <w:rFonts w:hAnsi="黑体"/>
          <w:color w:val="auto"/>
        </w:rPr>
      </w:pPr>
      <w:bookmarkStart w:id="2" w:name="StdNo2"/>
      <w:bookmarkEnd w:id="2"/>
      <w:bookmarkStart w:id="3" w:name="StdNo0"/>
      <w:bookmarkEnd w:id="3"/>
      <w:r>
        <w:rPr>
          <w:rFonts w:hAnsi="黑体"/>
          <w:color w:val="auto"/>
        </w:rPr>
        <w:t>DB</w:t>
      </w:r>
      <w:r>
        <w:rPr>
          <w:rFonts w:ascii="Times New Roman"/>
          <w:color w:val="auto"/>
        </w:rPr>
        <w:t xml:space="preserve"> </w:t>
      </w:r>
      <w:r>
        <w:rPr>
          <w:color w:val="auto"/>
        </w:rPr>
        <w:fldChar w:fldCharType="begin"/>
      </w:r>
      <w:r>
        <w:rPr>
          <w:color w:val="auto"/>
        </w:rPr>
        <w:instrText xml:space="preserve"> FORMTEXT </w:instrText>
      </w:r>
      <w:r>
        <w:rPr>
          <w:color w:val="auto"/>
        </w:rPr>
        <w:fldChar w:fldCharType="separate"/>
      </w:r>
      <w:r>
        <w:rPr>
          <w:rFonts w:hint="eastAsia"/>
          <w:color w:val="auto"/>
        </w:rPr>
        <w:t>23</w:t>
      </w:r>
      <w:r>
        <w:rPr>
          <w:color w:val="auto"/>
        </w:rPr>
        <w:fldChar w:fldCharType="end"/>
      </w:r>
      <w:r>
        <w:rPr>
          <w:color w:val="auto"/>
        </w:rPr>
        <w:t>/T XXXX</w:t>
      </w:r>
      <w:r>
        <w:rPr>
          <w:rFonts w:hAnsi="黑体"/>
          <w:color w:val="auto"/>
        </w:rPr>
        <w:t>—XXXX</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21"/>
              <w:framePr w:wrap="around"/>
              <w:rPr>
                <w:color w:val="auto"/>
              </w:rPr>
            </w:pPr>
            <w:bookmarkStart w:id="4" w:name="DT"/>
            <w:bookmarkEnd w:id="4"/>
          </w:p>
          <w:p>
            <w:pPr>
              <w:pStyle w:val="21"/>
              <w:framePr w:wrap="around"/>
              <w:rPr>
                <w:color w:val="auto"/>
              </w:rPr>
            </w:pPr>
          </w:p>
        </w:tc>
      </w:tr>
    </w:tbl>
    <w:p>
      <w:pPr>
        <w:pStyle w:val="22"/>
        <w:framePr w:wrap="around"/>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-20320</wp:posOffset>
                </wp:positionH>
                <wp:positionV relativeFrom="paragraph">
                  <wp:posOffset>7620</wp:posOffset>
                </wp:positionV>
                <wp:extent cx="5867400" cy="0"/>
                <wp:effectExtent l="0" t="0" r="0" b="0"/>
                <wp:wrapNone/>
                <wp:docPr id="5" name="直接连接符 5"/>
                <wp:cNvGraphicFramePr/>
                <a:graphic xmlns:a="http://schemas.openxmlformats.org/drawingml/2006/main">
                  <a:graphicData uri="http://schemas.microsoft.com/office/word/2010/wordprocessingShape">
                    <wps:wsp>
                      <wps:cNvCnPr/>
                      <wps:spPr>
                        <a:xfrm>
                          <a:off x="994410" y="2468245"/>
                          <a:ext cx="586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pt;margin-top:0.6pt;height:0pt;width:462pt;z-index:251663360;mso-width-relative:page;mso-height-relative:page;" filled="f" stroked="t" coordsize="21600,21600" o:gfxdata="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zepD0wAAAAYBAAAPAAAAAAAAAAEAIAAAACIAAABkcnMvZG93bnJldi54&#10;bWxQSwECFAAUAAAACACHTuJAx9ePAf8BAADeAwAADgAAAAAAAAABACAAAAAiAQAAZHJzL2Uyb0Rv&#10;Yy54bWxQSwUGAAAAAAYABgBZAQAAkwUAAAAA&#10;">
                <v:fill on="f" focussize="0,0"/>
                <v:stroke color="#000000 [3200]" joinstyle="round"/>
                <v:imagedata o:title=""/>
                <o:lock v:ext="edit" aspectratio="f"/>
              </v:line>
            </w:pict>
          </mc:Fallback>
        </mc:AlternateContent>
      </w:r>
    </w:p>
    <w:p>
      <w:pPr>
        <w:pStyle w:val="22"/>
        <w:framePr w:wrap="around"/>
        <w:rPr>
          <w:color w:val="auto"/>
        </w:rPr>
      </w:pPr>
    </w:p>
    <w:p>
      <w:pPr>
        <w:pStyle w:val="19"/>
        <w:framePr w:wrap="around" w:hAnchor="page"/>
        <w:rPr>
          <w:rFonts w:ascii="黑体" w:hAnsi="黑体" w:eastAsia="黑体"/>
          <w:color w:val="auto"/>
          <w:szCs w:val="28"/>
        </w:rPr>
      </w:pPr>
      <w:r>
        <w:rPr>
          <w:rFonts w:ascii="黑体" w:hAnsi="黑体" w:eastAsia="黑体"/>
          <w:color w:val="auto"/>
          <w:szCs w:val="28"/>
        </w:rPr>
        <w:t>XXXX</w:t>
      </w:r>
      <w:r>
        <w:rPr>
          <w:rFonts w:hint="eastAsia" w:ascii="黑体" w:hAnsi="黑体" w:eastAsia="黑体"/>
          <w:color w:val="auto"/>
          <w:szCs w:val="28"/>
        </w:rPr>
        <w:t xml:space="preserve"> - </w:t>
      </w:r>
      <w:r>
        <w:rPr>
          <w:rFonts w:ascii="黑体" w:hAnsi="黑体" w:eastAsia="黑体"/>
          <w:color w:val="auto"/>
          <w:szCs w:val="28"/>
        </w:rPr>
        <w:t>XX</w:t>
      </w:r>
      <w:r>
        <w:rPr>
          <w:rFonts w:hint="eastAsia" w:ascii="黑体" w:hAnsi="黑体" w:eastAsia="黑体"/>
          <w:color w:val="auto"/>
          <w:szCs w:val="28"/>
        </w:rPr>
        <w:t xml:space="preserve"> -</w:t>
      </w:r>
      <w:r>
        <w:rPr>
          <w:rFonts w:ascii="黑体" w:hAnsi="黑体" w:eastAsia="黑体"/>
          <w:color w:val="auto"/>
          <w:szCs w:val="28"/>
        </w:rPr>
        <w:t>XX</w:t>
      </w:r>
      <w:r>
        <w:rPr>
          <w:rFonts w:hint="eastAsia" w:ascii="黑体" w:hAnsi="黑体" w:eastAsia="黑体"/>
          <w:color w:val="auto"/>
          <w:szCs w:val="28"/>
        </w:rPr>
        <w:t>发布</w:t>
      </w:r>
    </w:p>
    <w:p>
      <w:pPr>
        <w:pStyle w:val="26"/>
        <w:framePr w:wrap="around" w:hAnchor="page"/>
        <w:rPr>
          <w:rFonts w:ascii="黑体" w:hAnsi="黑体" w:eastAsia="黑体"/>
          <w:color w:val="auto"/>
          <w:szCs w:val="28"/>
        </w:rPr>
      </w:pPr>
      <w:r>
        <w:rPr>
          <w:rFonts w:ascii="黑体" w:hAnsi="黑体" w:eastAsia="黑体"/>
          <w:color w:val="auto"/>
          <w:szCs w:val="28"/>
        </w:rPr>
        <w:t>XXXX</w:t>
      </w:r>
      <w:r>
        <w:rPr>
          <w:rFonts w:hint="eastAsia" w:ascii="黑体" w:hAnsi="黑体" w:eastAsia="黑体"/>
          <w:color w:val="auto"/>
          <w:szCs w:val="28"/>
        </w:rPr>
        <w:t xml:space="preserve"> - </w:t>
      </w:r>
      <w:r>
        <w:rPr>
          <w:rFonts w:ascii="黑体" w:hAnsi="黑体" w:eastAsia="黑体"/>
          <w:color w:val="auto"/>
          <w:szCs w:val="28"/>
        </w:rPr>
        <w:t>XX</w:t>
      </w:r>
      <w:r>
        <w:rPr>
          <w:rFonts w:hint="eastAsia" w:ascii="黑体" w:hAnsi="黑体" w:eastAsia="黑体"/>
          <w:color w:val="auto"/>
          <w:szCs w:val="28"/>
        </w:rPr>
        <w:t xml:space="preserve"> - </w:t>
      </w:r>
      <w:r>
        <w:rPr>
          <w:rFonts w:ascii="黑体" w:hAnsi="黑体" w:eastAsia="黑体"/>
          <w:color w:val="auto"/>
          <w:szCs w:val="28"/>
        </w:rPr>
        <w:t>XX</w:t>
      </w:r>
      <w:r>
        <w:rPr>
          <w:rFonts w:hint="eastAsia" w:ascii="黑体" w:hAnsi="黑体" w:eastAsia="黑体"/>
          <w:color w:val="auto"/>
          <w:szCs w:val="28"/>
        </w:rPr>
        <w:t>实施</w:t>
      </w:r>
    </w:p>
    <w:p>
      <w:pPr>
        <w:pStyle w:val="28"/>
        <w:framePr w:wrap="around"/>
        <w:spacing w:line="240" w:lineRule="auto"/>
        <w:jc w:val="both"/>
        <w:rPr>
          <w:rFonts w:ascii="华文中宋" w:hAnsi="华文中宋" w:eastAsia="华文中宋"/>
          <w:color w:val="auto"/>
          <w:w w:val="100"/>
          <w:sz w:val="36"/>
          <w:szCs w:val="36"/>
        </w:rPr>
      </w:pPr>
      <w:r>
        <w:rPr>
          <w:rFonts w:ascii="华文中宋" w:hAnsi="华文中宋" w:eastAsia="华文中宋"/>
          <w:color w:val="auto"/>
          <w:w w:val="100"/>
          <w:sz w:val="36"/>
          <w:szCs w:val="36"/>
        </w:rPr>
        <mc:AlternateContent>
          <mc:Choice Requires="wps">
            <w:drawing>
              <wp:anchor distT="0" distB="0" distL="0" distR="0" simplePos="0" relativeHeight="251660288" behindDoc="1" locked="0" layoutInCell="1" allowOverlap="1">
                <wp:simplePos x="0" y="0"/>
                <wp:positionH relativeFrom="column">
                  <wp:posOffset>4419600</wp:posOffset>
                </wp:positionH>
                <wp:positionV relativeFrom="paragraph">
                  <wp:posOffset>-7429500</wp:posOffset>
                </wp:positionV>
                <wp:extent cx="1143000" cy="228600"/>
                <wp:effectExtent l="0" t="0" r="0" b="0"/>
                <wp:wrapNone/>
                <wp:docPr id="3" name="_x0000_s2055"/>
                <wp:cNvGraphicFramePr/>
                <a:graphic xmlns:a="http://schemas.openxmlformats.org/drawingml/2006/main">
                  <a:graphicData uri="http://schemas.microsoft.com/office/word/2010/wordprocessingShape">
                    <wps:wsp>
                      <wps:cNvSpPr/>
                      <wps:spPr>
                        <a:xfrm>
                          <a:off x="0" y="0"/>
                          <a:ext cx="1143000" cy="228600"/>
                        </a:xfrm>
                        <a:prstGeom prst="rect">
                          <a:avLst/>
                        </a:prstGeom>
                        <a:solidFill>
                          <a:prstClr val="white"/>
                        </a:solidFill>
                      </wps:spPr>
                      <wps:txbx>
                        <w:txbxContent>
                          <w:p/>
                          <w:p/>
                        </w:txbxContent>
                      </wps:txbx>
                      <wps:bodyPr rot="0" vert="horz" wrap="square" lIns="0" tIns="0" rIns="0" bIns="0" anchor="t" anchorCtr="0"/>
                    </wps:wsp>
                  </a:graphicData>
                </a:graphic>
              </wp:anchor>
            </w:drawing>
          </mc:Choice>
          <mc:Fallback>
            <w:pict>
              <v:rect id="_x0000_s2055" o:spid="_x0000_s1026" o:spt="1" style="position:absolute;left:0pt;margin-left:348pt;margin-top:-585pt;height:18pt;width:90pt;z-index:-251656192;mso-width-relative:page;mso-height-relative:page;" fillcolor="#FFFFFF" filled="t" stroked="f" coordsize="21600,21600" o:gfxdata="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HNq27ZAAAADwEAAA8AAAAAAAAAAQAgAAAAIgAAAGRy&#10;cy9kb3ducmV2LnhtbFBLAQIUABQAAAAIAIdO4kA3LTR4ywEAAKgDAAAOAAAAAAAAAAEAIAAAACgB&#10;AABkcnMvZTJvRG9jLnhtbFBLBQYAAAAABgAGAFkBAABlBQAAAAA=&#10;">
                <v:fill on="t" focussize="0,0"/>
                <v:stroke on="f"/>
                <v:imagedata o:title=""/>
                <o:lock v:ext="edit" aspectratio="f"/>
                <v:textbox inset="0mm,0mm,0mm,0mm">
                  <w:txbxContent>
                    <w:p/>
                    <w:p/>
                  </w:txbxContent>
                </v:textbox>
              </v:rect>
            </w:pict>
          </mc:Fallback>
        </mc:AlternateContent>
      </w:r>
      <w:r>
        <w:rPr>
          <w:rFonts w:ascii="华文中宋" w:hAnsi="华文中宋" w:eastAsia="华文中宋"/>
          <w:color w:val="auto"/>
          <w:w w:val="100"/>
          <w:sz w:val="36"/>
          <w:szCs w:val="36"/>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0</wp:posOffset>
                </wp:positionV>
                <wp:extent cx="6121400" cy="12700"/>
                <wp:effectExtent l="0" t="6350" r="12700" b="9525"/>
                <wp:wrapNone/>
                <wp:docPr id="4" name="_x0000_s2056"/>
                <wp:cNvGraphicFramePr/>
                <a:graphic xmlns:a="http://schemas.openxmlformats.org/drawingml/2006/main">
                  <a:graphicData uri="http://schemas.microsoft.com/office/word/2010/wordprocessingShape">
                    <wps:wsp>
                      <wps:cNvCnPr/>
                      <wps:spPr>
                        <a:xfrm>
                          <a:off x="-469900" y="-7023100"/>
                          <a:ext cx="6121400" cy="12700"/>
                        </a:xfrm>
                        <a:prstGeom prst="line">
                          <a:avLst/>
                        </a:prstGeom>
                        <a:ln w="12700">
                          <a:solidFill>
                            <a:prstClr val="white"/>
                          </a:solidFill>
                        </a:ln>
                      </wps:spPr>
                      <wps:bodyPr/>
                    </wps:wsp>
                  </a:graphicData>
                </a:graphic>
              </wp:anchor>
            </w:drawing>
          </mc:Choice>
          <mc:Fallback>
            <w:pict>
              <v:line id="_x0000_s2056" o:spid="_x0000_s1026" o:spt="20" style="position:absolute;left:0pt;margin-left:0pt;margin-top:0pt;height:1pt;width:482pt;z-index:251661312;mso-width-relative:page;mso-height-relative:page;" filled="f" stroked="t" coordsize="21600,21600" o:gfxdata="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641znTAAAAAwEA&#10;AA8AAAAAAAAAAQAgAAAAIgAAAGRycy9kb3ducmV2LnhtbFBLAQIUABQAAAAIAIdO4kBMYE5YrQEA&#10;AGEDAAAOAAAAAAAAAAEAIAAAACIBAABkcnMvZTJvRG9jLnhtbFBLBQYAAAAABgAGAFkBAABBBQAA&#10;AAA=&#10;">
                <v:fill on="f" focussize="0,0"/>
                <v:stroke weight="1pt" color="#FFFFFF" joinstyle="round"/>
                <v:imagedata o:title=""/>
                <o:lock v:ext="edit" aspectratio="f"/>
              </v:line>
            </w:pict>
          </mc:Fallback>
        </mc:AlternateContent>
      </w:r>
      <w:r>
        <w:rPr>
          <w:rFonts w:ascii="华文中宋" w:eastAsia="华文中宋"/>
          <w:color w:val="auto"/>
          <w:sz w:val="36"/>
          <w:szCs w:val="30"/>
        </w:rPr>
        <w:fldChar w:fldCharType="begin"/>
      </w:r>
      <w:r>
        <w:rPr>
          <w:rFonts w:ascii="华文中宋" w:eastAsia="华文中宋"/>
          <w:color w:val="auto"/>
          <w:sz w:val="36"/>
          <w:szCs w:val="30"/>
        </w:rPr>
        <w:instrText xml:space="preserve"> FORMTEXT </w:instrText>
      </w:r>
      <w:r>
        <w:rPr>
          <w:rFonts w:ascii="华文中宋" w:eastAsia="华文中宋"/>
          <w:color w:val="auto"/>
          <w:sz w:val="36"/>
          <w:szCs w:val="30"/>
        </w:rPr>
        <w:fldChar w:fldCharType="separate"/>
      </w:r>
      <w:r>
        <w:rPr>
          <w:rFonts w:hint="eastAsia" w:ascii="华文中宋" w:eastAsia="华文中宋"/>
          <w:color w:val="auto"/>
          <w:sz w:val="36"/>
          <w:szCs w:val="30"/>
        </w:rPr>
        <w:t>黑龙江省市场监督管理局</w:t>
      </w:r>
      <w:r>
        <w:rPr>
          <w:rFonts w:ascii="华文中宋" w:eastAsia="华文中宋"/>
          <w:color w:val="auto"/>
          <w:sz w:val="36"/>
          <w:szCs w:val="30"/>
        </w:rPr>
        <w:fldChar w:fldCharType="end"/>
      </w:r>
      <w:r>
        <w:rPr>
          <w:rFonts w:hint="eastAsia" w:eastAsia="华文中宋"/>
          <w:color w:val="auto"/>
        </w:rPr>
        <w:t xml:space="preserve">   </w:t>
      </w:r>
      <w:r>
        <w:rPr>
          <w:rStyle w:val="17"/>
          <w:rFonts w:hint="eastAsia"/>
          <w:color w:val="auto"/>
        </w:rPr>
        <w:t>发布</w:t>
      </w:r>
    </w:p>
    <w:p>
      <w:pPr>
        <w:pStyle w:val="18"/>
        <w:framePr w:wrap="around" w:vAnchor="page" w:hAnchor="page" w:x="1573" w:y="877"/>
        <w:rPr>
          <w:rFonts w:hint="default" w:hAnsi="黑体" w:eastAsia="黑体"/>
          <w:color w:val="auto"/>
          <w:lang w:val="en-US" w:eastAsia="zh-CN"/>
        </w:rPr>
      </w:pPr>
      <w:r>
        <w:rPr>
          <w:rFonts w:hAnsi="黑体"/>
          <w:color w:val="auto"/>
        </w:rPr>
        <w:t>ICS</w:t>
      </w:r>
      <w:r>
        <w:rPr>
          <w:rFonts w:hAnsi="Cambria Math" w:cs="Cambria Math"/>
          <w:b/>
          <w:color w:val="auto"/>
        </w:rPr>
        <w:t> </w:t>
      </w:r>
      <w:r>
        <w:rPr>
          <w:rFonts w:hAnsi="黑体" w:cs="Cambria Math"/>
          <w:b/>
          <w:color w:val="auto"/>
        </w:rPr>
        <w:t> </w:t>
      </w:r>
      <w:r>
        <w:rPr>
          <w:rFonts w:hint="eastAsia" w:hAnsi="黑体"/>
          <w:color w:val="auto"/>
          <w:lang w:val="en-US" w:eastAsia="zh-CN"/>
        </w:rPr>
        <w:t>65.020.01</w:t>
      </w:r>
    </w:p>
    <w:p>
      <w:pPr>
        <w:pStyle w:val="18"/>
        <w:framePr w:wrap="around" w:vAnchor="page" w:hAnchor="page" w:x="1573" w:y="877"/>
        <w:rPr>
          <w:rFonts w:hint="default" w:hAnsi="黑体" w:eastAsia="黑体"/>
          <w:color w:val="auto"/>
          <w:lang w:val="en-US" w:eastAsia="zh-CN"/>
        </w:rPr>
      </w:pPr>
      <w:r>
        <w:rPr>
          <w:rFonts w:hint="eastAsia" w:hAnsi="黑体"/>
          <w:color w:val="auto"/>
          <w:lang w:val="en-US" w:eastAsia="zh-CN"/>
        </w:rPr>
        <w:t>CCS B 90</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8"/>
              <w:framePr w:wrap="around" w:vAnchor="page" w:hAnchor="page" w:x="1573" w:y="877"/>
              <w:rPr>
                <w:color w:val="auto"/>
              </w:rPr>
            </w:pPr>
            <w:r>
              <w:rPr>
                <w:color w:val="auto"/>
              </w:rPr>
              <mc:AlternateContent>
                <mc:Choice Requires="wps">
                  <w:drawing>
                    <wp:anchor distT="0" distB="0" distL="0" distR="0" simplePos="0" relativeHeight="251664384" behindDoc="1" locked="0" layoutInCell="1" allowOverlap="1">
                      <wp:simplePos x="0" y="0"/>
                      <wp:positionH relativeFrom="column">
                        <wp:posOffset>-63500</wp:posOffset>
                      </wp:positionH>
                      <wp:positionV relativeFrom="paragraph">
                        <wp:posOffset>0</wp:posOffset>
                      </wp:positionV>
                      <wp:extent cx="863600" cy="203200"/>
                      <wp:effectExtent l="0" t="0" r="12700" b="6350"/>
                      <wp:wrapNone/>
                      <wp:docPr id="8" name="_x0000_s2051"/>
                      <wp:cNvGraphicFramePr/>
                      <a:graphic xmlns:a="http://schemas.openxmlformats.org/drawingml/2006/main">
                        <a:graphicData uri="http://schemas.microsoft.com/office/word/2010/wordprocessingShape">
                          <wps:wsp>
                            <wps:cNvSpPr/>
                            <wps:spPr>
                              <a:xfrm>
                                <a:off x="0" y="0"/>
                                <a:ext cx="863600" cy="203200"/>
                              </a:xfrm>
                              <a:prstGeom prst="rect">
                                <a:avLst/>
                              </a:prstGeom>
                              <a:solidFill>
                                <a:prstClr val="white"/>
                              </a:solidFill>
                            </wps:spPr>
                            <wps:txbx>
                              <w:txbxContent>
                                <w:p/>
                                <w:p/>
                              </w:txbxContent>
                            </wps:txbx>
                            <wps:bodyPr rot="0" vert="horz" wrap="square" lIns="0" tIns="0" rIns="0" bIns="0" anchor="t" anchorCtr="0"/>
                          </wps:wsp>
                        </a:graphicData>
                      </a:graphic>
                    </wp:anchor>
                  </w:drawing>
                </mc:Choice>
                <mc:Fallback>
                  <w:pict>
                    <v:rect id="_x0000_s2051" o:spid="_x0000_s1026" o:spt="1" style="position:absolute;left:0pt;margin-left:-5pt;margin-top:0pt;height:16pt;width:68pt;z-index:-251652096;mso-width-relative:page;mso-height-relative:page;" fillcolor="#FFFFFF" filled="t" stroked="f" coordsize="21600,21600" o:gfxdata="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1o7g3TAAAABwEAAA8AAAAAAAAAAQAgAAAAIgAAAGRycy9kb3du&#10;cmV2LnhtbFBLAQIUABQAAAAIAIdO4kBbJbEtywEAAKcDAAAOAAAAAAAAAAEAIAAAACIBAABkcnMv&#10;ZTJvRG9jLnhtbFBLBQYAAAAABgAGAFkBAABfBQAAAAA=&#10;">
                      <v:fill on="t" focussize="0,0"/>
                      <v:stroke on="f"/>
                      <v:imagedata o:title=""/>
                      <o:lock v:ext="edit" aspectratio="f"/>
                      <v:textbox inset="0mm,0mm,0mm,0mm">
                        <w:txbxContent>
                          <w:p/>
                          <w:p/>
                        </w:txbxContent>
                      </v:textbox>
                    </v:rect>
                  </w:pict>
                </mc:Fallback>
              </mc:AlternateContent>
            </w:r>
          </w:p>
        </w:tc>
      </w:tr>
    </w:tbl>
    <w:p>
      <w:pPr>
        <w:pStyle w:val="16"/>
        <w:framePr w:hSpace="180" w:vSpace="180" w:wrap="around" w:vAnchor="page" w:hAnchor="page" w:x="1573" w:y="877"/>
        <w:rPr>
          <w:color w:val="auto"/>
        </w:rPr>
      </w:pPr>
    </w:p>
    <w:p>
      <w:pPr>
        <w:framePr w:hSpace="180" w:vSpace="180" w:wrap="around" w:vAnchor="page" w:hAnchor="page" w:x="1573" w:y="877"/>
        <w:rPr>
          <w:color w:val="auto"/>
        </w:rPr>
      </w:pPr>
    </w:p>
    <w:p>
      <w:pPr>
        <w:rPr>
          <w:color w:val="auto"/>
        </w:rPr>
      </w:pPr>
    </w:p>
    <w:p>
      <w:pPr>
        <w:jc w:val="center"/>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52"/>
          <w:szCs w:val="52"/>
        </w:rPr>
        <w:t>大豆水肥一体</w:t>
      </w:r>
      <w:r>
        <w:rPr>
          <w:rFonts w:hint="eastAsia" w:ascii="方正小标宋_GBK" w:hAnsi="方正小标宋_GBK" w:eastAsia="方正小标宋_GBK" w:cs="方正小标宋_GBK"/>
          <w:color w:val="auto"/>
          <w:sz w:val="52"/>
          <w:szCs w:val="52"/>
          <w:lang w:eastAsia="zh-CN"/>
        </w:rPr>
        <w:t>化机械</w:t>
      </w:r>
      <w:r>
        <w:rPr>
          <w:rFonts w:hint="eastAsia" w:ascii="方正小标宋_GBK" w:hAnsi="方正小标宋_GBK" w:eastAsia="方正小标宋_GBK" w:cs="方正小标宋_GBK"/>
          <w:color w:val="auto"/>
          <w:sz w:val="52"/>
          <w:szCs w:val="52"/>
        </w:rPr>
        <w:t>栽培技术规范</w:t>
      </w:r>
    </w:p>
    <w:p>
      <w:pPr>
        <w:rPr>
          <w:color w:val="auto"/>
        </w:rPr>
      </w:pPr>
    </w:p>
    <w:p>
      <w:pPr>
        <w:rPr>
          <w:color w:val="auto"/>
        </w:rPr>
      </w:pPr>
    </w:p>
    <w:p>
      <w:pPr>
        <w:rPr>
          <w:color w:val="auto"/>
        </w:rPr>
      </w:pPr>
      <w:r>
        <w:rPr>
          <w:rFonts w:ascii="华文中宋" w:hAnsi="华文中宋" w:eastAsia="华文中宋"/>
          <w:color w:val="auto"/>
          <w:w w:val="100"/>
          <w:sz w:val="36"/>
          <w:szCs w:val="36"/>
        </w:rPr>
        <mc:AlternateContent>
          <mc:Choice Requires="wps">
            <w:drawing>
              <wp:anchor distT="0" distB="0" distL="0" distR="0" simplePos="0" relativeHeight="251659264" behindDoc="1" locked="0" layoutInCell="1" allowOverlap="1">
                <wp:simplePos x="0" y="0"/>
                <wp:positionH relativeFrom="column">
                  <wp:posOffset>667385</wp:posOffset>
                </wp:positionH>
                <wp:positionV relativeFrom="paragraph">
                  <wp:posOffset>287655</wp:posOffset>
                </wp:positionV>
                <wp:extent cx="4241165" cy="2247265"/>
                <wp:effectExtent l="0" t="0" r="6985" b="635"/>
                <wp:wrapNone/>
                <wp:docPr id="2" name="_x0000_s2054"/>
                <wp:cNvGraphicFramePr/>
                <a:graphic xmlns:a="http://schemas.openxmlformats.org/drawingml/2006/main">
                  <a:graphicData uri="http://schemas.microsoft.com/office/word/2010/wordprocessingShape">
                    <wps:wsp>
                      <wps:cNvSpPr/>
                      <wps:spPr>
                        <a:xfrm>
                          <a:off x="0" y="0"/>
                          <a:ext cx="4241165" cy="2247265"/>
                        </a:xfrm>
                        <a:prstGeom prst="rect">
                          <a:avLst/>
                        </a:prstGeom>
                        <a:solidFill>
                          <a:prstClr val="white"/>
                        </a:solidFill>
                      </wps:spPr>
                      <wps:txbx>
                        <w:txbxContent>
                          <w:p>
                            <w:pPr>
                              <w:jc w:val="left"/>
                            </w:pPr>
                          </w:p>
                          <w:p>
                            <w:pPr>
                              <w:pStyle w:val="31"/>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起草单位：黑龙江省农业机械化技术推广总站</w:t>
                            </w:r>
                          </w:p>
                          <w:p>
                            <w:pPr>
                              <w:pStyle w:val="30"/>
                              <w:keepNext w:val="0"/>
                              <w:keepLines w:val="0"/>
                              <w:pageBreakBefore w:val="0"/>
                              <w:widowControl w:val="0"/>
                              <w:kinsoku/>
                              <w:wordWrap/>
                              <w:overflowPunct/>
                              <w:topLinePunct w:val="0"/>
                              <w:autoSpaceDE/>
                              <w:autoSpaceDN/>
                              <w:bidi w:val="0"/>
                              <w:adjustRightInd/>
                              <w:snapToGrid/>
                              <w:spacing w:before="0" w:after="0" w:line="560" w:lineRule="exact"/>
                              <w:jc w:val="left"/>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联</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系</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人：张雅晴</w:t>
                            </w:r>
                          </w:p>
                          <w:p>
                            <w:pPr>
                              <w:pStyle w:val="30"/>
                              <w:keepNext w:val="0"/>
                              <w:keepLines w:val="0"/>
                              <w:pageBreakBefore w:val="0"/>
                              <w:widowControl w:val="0"/>
                              <w:kinsoku/>
                              <w:wordWrap/>
                              <w:overflowPunct/>
                              <w:topLinePunct w:val="0"/>
                              <w:autoSpaceDE/>
                              <w:autoSpaceDN/>
                              <w:bidi w:val="0"/>
                              <w:adjustRightInd/>
                              <w:snapToGrid/>
                              <w:spacing w:before="0" w:after="0" w:line="560" w:lineRule="exact"/>
                              <w:jc w:val="left"/>
                              <w:textAlignment w:val="center"/>
                              <w:rPr>
                                <w:rFonts w:hint="default" w:ascii="仿宋" w:hAnsi="仿宋" w:eastAsia="仿宋" w:cs="仿宋"/>
                                <w:sz w:val="32"/>
                                <w:szCs w:val="32"/>
                                <w:lang w:val="en-US" w:eastAsia="zh-CN"/>
                              </w:rPr>
                            </w:pPr>
                            <w:r>
                              <w:rPr>
                                <w:rFonts w:hint="eastAsia" w:ascii="仿宋" w:hAnsi="仿宋" w:eastAsia="仿宋" w:cs="仿宋"/>
                                <w:sz w:val="32"/>
                                <w:szCs w:val="32"/>
                                <w:lang w:eastAsia="zh-CN"/>
                              </w:rPr>
                              <w:t>联系电话：</w:t>
                            </w:r>
                            <w:r>
                              <w:rPr>
                                <w:rFonts w:hint="eastAsia" w:ascii="仿宋" w:hAnsi="仿宋" w:eastAsia="仿宋" w:cs="仿宋"/>
                                <w:sz w:val="32"/>
                                <w:szCs w:val="32"/>
                                <w:lang w:val="en-US" w:eastAsia="zh-CN"/>
                              </w:rPr>
                              <w:t>15545970555</w:t>
                            </w:r>
                          </w:p>
                          <w:p>
                            <w:pPr>
                              <w:jc w:val="left"/>
                              <w:rPr>
                                <w:rFonts w:hint="default"/>
                                <w:lang w:val="en-US"/>
                              </w:rPr>
                            </w:pPr>
                            <w:r>
                              <w:rPr>
                                <w:rFonts w:hint="eastAsia" w:ascii="仿宋" w:hAnsi="仿宋" w:eastAsia="仿宋" w:cs="仿宋"/>
                                <w:sz w:val="32"/>
                                <w:szCs w:val="32"/>
                                <w:lang w:val="en-US" w:eastAsia="zh-CN"/>
                              </w:rPr>
                              <w:t>邮    箱：yaqing0451@163.com</w:t>
                            </w:r>
                          </w:p>
                        </w:txbxContent>
                      </wps:txbx>
                      <wps:bodyPr rot="0" vert="horz" wrap="square" lIns="0" tIns="0" rIns="0" bIns="0" anchor="t" anchorCtr="0"/>
                    </wps:wsp>
                  </a:graphicData>
                </a:graphic>
              </wp:anchor>
            </w:drawing>
          </mc:Choice>
          <mc:Fallback>
            <w:pict>
              <v:rect id="_x0000_s2054" o:spid="_x0000_s1026" o:spt="1" style="position:absolute;left:0pt;margin-left:52.55pt;margin-top:22.65pt;height:176.95pt;width:333.95pt;z-index:-251657216;mso-width-relative:page;mso-height-relative:page;" fillcolor="#FFFFFF" filled="t" stroked="f" coordsize="21600,21600" o:gfxdata="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m8outYAAAAKAQAADwAAAAAAAAABACAAAAAiAAAAZHJz&#10;L2Rvd25yZXYueG1sUEsBAhQAFAAAAAgAh07iQEwUVPnNAQAAqQMAAA4AAAAAAAAAAQAgAAAAJQEA&#10;AGRycy9lMm9Eb2MueG1sUEsFBgAAAAAGAAYAWQEAAGQFAAAAAA==&#10;">
                <v:fill on="t" focussize="0,0"/>
                <v:stroke on="f"/>
                <v:imagedata o:title=""/>
                <o:lock v:ext="edit" aspectratio="f"/>
                <v:textbox inset="0mm,0mm,0mm,0mm">
                  <w:txbxContent>
                    <w:p>
                      <w:pPr>
                        <w:jc w:val="left"/>
                      </w:pPr>
                    </w:p>
                    <w:p>
                      <w:pPr>
                        <w:pStyle w:val="31"/>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起草单位：黑龙江省农业机械化技术推广总站</w:t>
                      </w:r>
                    </w:p>
                    <w:p>
                      <w:pPr>
                        <w:pStyle w:val="30"/>
                        <w:keepNext w:val="0"/>
                        <w:keepLines w:val="0"/>
                        <w:pageBreakBefore w:val="0"/>
                        <w:widowControl w:val="0"/>
                        <w:kinsoku/>
                        <w:wordWrap/>
                        <w:overflowPunct/>
                        <w:topLinePunct w:val="0"/>
                        <w:autoSpaceDE/>
                        <w:autoSpaceDN/>
                        <w:bidi w:val="0"/>
                        <w:adjustRightInd/>
                        <w:snapToGrid/>
                        <w:spacing w:before="0" w:after="0" w:line="560" w:lineRule="exact"/>
                        <w:jc w:val="left"/>
                        <w:textAlignment w:val="center"/>
                        <w:rPr>
                          <w:rFonts w:hint="eastAsia" w:ascii="仿宋" w:hAnsi="仿宋" w:eastAsia="仿宋" w:cs="仿宋"/>
                          <w:sz w:val="32"/>
                          <w:szCs w:val="32"/>
                          <w:lang w:eastAsia="zh-CN"/>
                        </w:rPr>
                      </w:pPr>
                      <w:r>
                        <w:rPr>
                          <w:rFonts w:hint="eastAsia" w:ascii="仿宋" w:hAnsi="仿宋" w:eastAsia="仿宋" w:cs="仿宋"/>
                          <w:sz w:val="32"/>
                          <w:szCs w:val="32"/>
                          <w:lang w:eastAsia="zh-CN"/>
                        </w:rPr>
                        <w:t>联</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系</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人：张雅晴</w:t>
                      </w:r>
                    </w:p>
                    <w:p>
                      <w:pPr>
                        <w:pStyle w:val="30"/>
                        <w:keepNext w:val="0"/>
                        <w:keepLines w:val="0"/>
                        <w:pageBreakBefore w:val="0"/>
                        <w:widowControl w:val="0"/>
                        <w:kinsoku/>
                        <w:wordWrap/>
                        <w:overflowPunct/>
                        <w:topLinePunct w:val="0"/>
                        <w:autoSpaceDE/>
                        <w:autoSpaceDN/>
                        <w:bidi w:val="0"/>
                        <w:adjustRightInd/>
                        <w:snapToGrid/>
                        <w:spacing w:before="0" w:after="0" w:line="560" w:lineRule="exact"/>
                        <w:jc w:val="left"/>
                        <w:textAlignment w:val="center"/>
                        <w:rPr>
                          <w:rFonts w:hint="default" w:ascii="仿宋" w:hAnsi="仿宋" w:eastAsia="仿宋" w:cs="仿宋"/>
                          <w:sz w:val="32"/>
                          <w:szCs w:val="32"/>
                          <w:lang w:val="en-US" w:eastAsia="zh-CN"/>
                        </w:rPr>
                      </w:pPr>
                      <w:r>
                        <w:rPr>
                          <w:rFonts w:hint="eastAsia" w:ascii="仿宋" w:hAnsi="仿宋" w:eastAsia="仿宋" w:cs="仿宋"/>
                          <w:sz w:val="32"/>
                          <w:szCs w:val="32"/>
                          <w:lang w:eastAsia="zh-CN"/>
                        </w:rPr>
                        <w:t>联系电话：</w:t>
                      </w:r>
                      <w:r>
                        <w:rPr>
                          <w:rFonts w:hint="eastAsia" w:ascii="仿宋" w:hAnsi="仿宋" w:eastAsia="仿宋" w:cs="仿宋"/>
                          <w:sz w:val="32"/>
                          <w:szCs w:val="32"/>
                          <w:lang w:val="en-US" w:eastAsia="zh-CN"/>
                        </w:rPr>
                        <w:t>15545970555</w:t>
                      </w:r>
                    </w:p>
                    <w:p>
                      <w:pPr>
                        <w:jc w:val="left"/>
                        <w:rPr>
                          <w:rFonts w:hint="default"/>
                          <w:lang w:val="en-US"/>
                        </w:rPr>
                      </w:pPr>
                      <w:r>
                        <w:rPr>
                          <w:rFonts w:hint="eastAsia" w:ascii="仿宋" w:hAnsi="仿宋" w:eastAsia="仿宋" w:cs="仿宋"/>
                          <w:sz w:val="32"/>
                          <w:szCs w:val="32"/>
                          <w:lang w:val="en-US" w:eastAsia="zh-CN"/>
                        </w:rPr>
                        <w:t>邮    箱：yaqing0451@163.com</w:t>
                      </w:r>
                    </w:p>
                  </w:txbxContent>
                </v:textbox>
              </v:rect>
            </w:pict>
          </mc:Fallback>
        </mc:AlternateContent>
      </w:r>
      <w:r>
        <w:rPr>
          <w:color w:val="auto"/>
        </w:rPr>
        <mc:AlternateContent>
          <mc:Choice Requires="wps">
            <w:drawing>
              <wp:anchor distT="0" distB="0" distL="114300" distR="114300" simplePos="0" relativeHeight="251662336" behindDoc="0" locked="1" layoutInCell="1" allowOverlap="1">
                <wp:simplePos x="0" y="0"/>
                <wp:positionH relativeFrom="column">
                  <wp:posOffset>-1270</wp:posOffset>
                </wp:positionH>
                <wp:positionV relativeFrom="page">
                  <wp:posOffset>9251950</wp:posOffset>
                </wp:positionV>
                <wp:extent cx="6120130" cy="0"/>
                <wp:effectExtent l="0" t="0" r="0" b="0"/>
                <wp:wrapNone/>
                <wp:docPr id="7"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0.1pt;margin-top:728.5pt;height:0pt;width:481.9pt;mso-position-vertical-relative:page;z-index:251662336;mso-width-relative:page;mso-height-relative:page;" filled="f" stroked="t" coordsize="21600,21600" o:gfxdata="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la74Z1gAAAAsBAAAPAAAA&#10;AAAAAAEAIAAAACIAAABkcnMvZG93bnJldi54bWxQSwECFAAUAAAACACHTuJA2eMT8N4BAADPAwAA&#10;DgAAAAAAAAABACAAAAAlAQAAZHJzL2Uyb0RvYy54bWxQSwUGAAAAAAYABgBZAQAAdQUAAAAA&#10;">
                <v:fill on="f" focussize="0,0"/>
                <v:stroke color="#000000" joinstyle="round"/>
                <v:imagedata o:title=""/>
                <o:lock v:ext="edit" aspectratio="f"/>
                <w10:anchorlock/>
              </v:line>
            </w:pict>
          </mc:Fallback>
        </mc:AlternateContent>
      </w:r>
    </w:p>
    <w:p>
      <w:pPr>
        <w:pStyle w:val="23"/>
        <w:framePr w:wrap="around" w:x="834"/>
        <w:rPr>
          <w:color w:val="auto"/>
          <w:sz w:val="56"/>
        </w:rPr>
      </w:pPr>
    </w:p>
    <w:p>
      <w:pPr>
        <w:pStyle w:val="38"/>
        <w:rPr>
          <w:color w:val="auto"/>
        </w:rPr>
      </w:pPr>
      <w:r>
        <w:rPr>
          <w:rFonts w:hint="eastAsia"/>
          <w:color w:val="auto"/>
        </w:rPr>
        <w:t>前   言</w:t>
      </w:r>
    </w:p>
    <w:p>
      <w:pPr>
        <w:pStyle w:val="16"/>
        <w:snapToGrid w:val="0"/>
        <w:spacing w:line="340" w:lineRule="exact"/>
        <w:rPr>
          <w:color w:val="auto"/>
        </w:rPr>
      </w:pPr>
      <w:r>
        <w:rPr>
          <w:rFonts w:hint="eastAsia"/>
          <w:color w:val="auto"/>
        </w:rPr>
        <w:t>本文件按照</w:t>
      </w:r>
      <w:r>
        <w:rPr>
          <w:rFonts w:hAnsi="宋体"/>
          <w:color w:val="auto"/>
        </w:rPr>
        <w:t>GB/T</w:t>
      </w:r>
      <w:r>
        <w:rPr>
          <w:rFonts w:hint="eastAsia" w:hAnsi="宋体"/>
          <w:color w:val="auto"/>
        </w:rPr>
        <w:t xml:space="preserve"> </w:t>
      </w:r>
      <w:r>
        <w:rPr>
          <w:rFonts w:hAnsi="宋体"/>
          <w:color w:val="auto"/>
        </w:rPr>
        <w:t>1.1</w:t>
      </w:r>
      <w:r>
        <w:rPr>
          <w:rFonts w:hint="eastAsia" w:hAnsi="宋体"/>
          <w:color w:val="auto"/>
        </w:rPr>
        <w:t>—</w:t>
      </w:r>
      <w:r>
        <w:rPr>
          <w:rFonts w:hAnsi="宋体"/>
          <w:color w:val="auto"/>
        </w:rPr>
        <w:t>2020</w:t>
      </w:r>
      <w:r>
        <w:rPr>
          <w:rFonts w:hint="eastAsia" w:hAnsi="宋体"/>
          <w:color w:val="auto"/>
        </w:rPr>
        <w:t>《标准化工作导则 第</w:t>
      </w:r>
      <w:r>
        <w:rPr>
          <w:rFonts w:hAnsi="宋体"/>
          <w:color w:val="auto"/>
        </w:rPr>
        <w:t>1</w:t>
      </w:r>
      <w:r>
        <w:rPr>
          <w:rFonts w:hint="eastAsia" w:hAnsi="宋体"/>
          <w:color w:val="auto"/>
        </w:rPr>
        <w:t>部分：标准化文件的结构和起草规则》</w:t>
      </w:r>
      <w:r>
        <w:rPr>
          <w:rFonts w:hint="eastAsia"/>
          <w:color w:val="auto"/>
        </w:rPr>
        <w:t>的规则起草。</w:t>
      </w:r>
    </w:p>
    <w:p>
      <w:pPr>
        <w:pStyle w:val="16"/>
        <w:snapToGrid w:val="0"/>
        <w:spacing w:line="340" w:lineRule="exact"/>
        <w:rPr>
          <w:color w:val="auto"/>
        </w:rPr>
      </w:pPr>
      <w:r>
        <w:rPr>
          <w:rFonts w:hint="eastAsia"/>
          <w:color w:val="auto"/>
        </w:rPr>
        <w:t>请注意本文件的某些内容可能涉及专利。本文件的发布机构不承担识别专利的责任。</w:t>
      </w:r>
    </w:p>
    <w:p>
      <w:pPr>
        <w:pStyle w:val="16"/>
        <w:snapToGrid w:val="0"/>
        <w:spacing w:line="340" w:lineRule="exact"/>
        <w:rPr>
          <w:color w:val="auto"/>
        </w:rPr>
      </w:pPr>
      <w:r>
        <w:rPr>
          <w:rFonts w:hint="eastAsia"/>
          <w:color w:val="auto"/>
        </w:rPr>
        <w:t>本</w:t>
      </w:r>
      <w:r>
        <w:rPr>
          <w:rFonts w:hint="eastAsia"/>
          <w:color w:val="auto"/>
          <w:lang w:eastAsia="zh-CN"/>
        </w:rPr>
        <w:t>文件</w:t>
      </w:r>
      <w:r>
        <w:rPr>
          <w:rFonts w:hint="eastAsia"/>
          <w:color w:val="auto"/>
        </w:rPr>
        <w:t>由黑龙江省农业农村厅提出</w:t>
      </w:r>
      <w:r>
        <w:rPr>
          <w:rFonts w:hint="eastAsia"/>
          <w:color w:val="auto"/>
          <w:lang w:eastAsia="zh-CN"/>
        </w:rPr>
        <w:t>并归口</w:t>
      </w:r>
      <w:r>
        <w:rPr>
          <w:rFonts w:hint="eastAsia"/>
          <w:color w:val="auto"/>
        </w:rPr>
        <w:t>。</w:t>
      </w:r>
    </w:p>
    <w:p>
      <w:pPr>
        <w:pStyle w:val="16"/>
        <w:snapToGrid w:val="0"/>
        <w:spacing w:line="340" w:lineRule="exact"/>
        <w:rPr>
          <w:rFonts w:hint="eastAsia"/>
          <w:color w:val="auto"/>
        </w:rPr>
      </w:pPr>
      <w:r>
        <w:rPr>
          <w:rFonts w:hint="eastAsia"/>
          <w:color w:val="auto"/>
        </w:rPr>
        <w:t>本</w:t>
      </w:r>
      <w:r>
        <w:rPr>
          <w:rFonts w:hint="eastAsia"/>
          <w:color w:val="auto"/>
          <w:lang w:eastAsia="zh-CN"/>
        </w:rPr>
        <w:t>文件</w:t>
      </w:r>
      <w:r>
        <w:rPr>
          <w:rFonts w:hint="eastAsia"/>
          <w:color w:val="auto"/>
        </w:rPr>
        <w:t>起草单位：黑龙江省农业机械化技术推广总站</w:t>
      </w:r>
    </w:p>
    <w:p>
      <w:pPr>
        <w:pStyle w:val="16"/>
        <w:snapToGrid w:val="0"/>
        <w:spacing w:line="340" w:lineRule="exact"/>
        <w:rPr>
          <w:color w:val="auto"/>
        </w:rPr>
      </w:pPr>
      <w:r>
        <w:rPr>
          <w:rFonts w:hint="eastAsia"/>
          <w:color w:val="auto"/>
        </w:rPr>
        <w:t>本</w:t>
      </w:r>
      <w:r>
        <w:rPr>
          <w:rFonts w:hint="eastAsia"/>
          <w:color w:val="auto"/>
          <w:lang w:eastAsia="zh-CN"/>
        </w:rPr>
        <w:t>文件</w:t>
      </w:r>
      <w:r>
        <w:rPr>
          <w:rFonts w:hint="eastAsia"/>
          <w:color w:val="auto"/>
        </w:rPr>
        <w:t>主要起草人：张雅晴</w:t>
      </w:r>
    </w:p>
    <w:p>
      <w:pPr>
        <w:pStyle w:val="34"/>
        <w:rPr>
          <w:color w:val="auto"/>
        </w:rPr>
        <w:sectPr>
          <w:headerReference r:id="rId3" w:type="default"/>
          <w:footerReference r:id="rId4" w:type="default"/>
          <w:pgSz w:w="11906" w:h="16838"/>
          <w:pgMar w:top="1701" w:right="1474" w:bottom="1701" w:left="1587" w:header="1418" w:footer="1134" w:gutter="0"/>
          <w:pgNumType w:fmt="upperRoman" w:start="1"/>
          <w:cols w:space="720" w:num="1"/>
          <w:docGrid w:type="lines" w:linePitch="312" w:charSpace="0"/>
        </w:sectPr>
      </w:pPr>
    </w:p>
    <w:p>
      <w:pPr>
        <w:pStyle w:val="39"/>
        <w:numPr>
          <w:ilvl w:val="0"/>
          <w:numId w:val="0"/>
        </w:numPr>
        <w:snapToGrid w:val="0"/>
        <w:spacing w:before="312" w:after="312" w:line="340" w:lineRule="exact"/>
        <w:jc w:val="center"/>
        <w:rPr>
          <w:color w:val="auto"/>
        </w:rPr>
      </w:pPr>
      <w:r>
        <w:rPr>
          <w:rFonts w:hint="eastAsia"/>
          <w:color w:val="auto"/>
          <w:sz w:val="32"/>
          <w:szCs w:val="32"/>
        </w:rPr>
        <w:t>大豆水肥一体</w:t>
      </w:r>
      <w:r>
        <w:rPr>
          <w:rFonts w:hint="eastAsia"/>
          <w:color w:val="auto"/>
          <w:sz w:val="32"/>
          <w:szCs w:val="32"/>
          <w:lang w:eastAsia="zh-CN"/>
        </w:rPr>
        <w:t>化机械</w:t>
      </w:r>
      <w:r>
        <w:rPr>
          <w:rFonts w:hint="eastAsia"/>
          <w:color w:val="auto"/>
          <w:sz w:val="32"/>
          <w:szCs w:val="32"/>
        </w:rPr>
        <w:t>栽培技术规范</w:t>
      </w:r>
    </w:p>
    <w:p>
      <w:pPr>
        <w:pStyle w:val="39"/>
        <w:numPr>
          <w:ilvl w:val="0"/>
          <w:numId w:val="0"/>
        </w:numPr>
        <w:snapToGrid w:val="0"/>
        <w:spacing w:before="312" w:after="312" w:line="340" w:lineRule="exact"/>
        <w:rPr>
          <w:color w:val="auto"/>
        </w:rPr>
      </w:pPr>
      <w:r>
        <w:rPr>
          <w:rFonts w:hint="eastAsia"/>
          <w:color w:val="auto"/>
        </w:rPr>
        <w:t>1  范围</w:t>
      </w:r>
    </w:p>
    <w:p>
      <w:pPr>
        <w:spacing w:line="340" w:lineRule="exact"/>
        <w:ind w:firstLine="420" w:firstLineChars="200"/>
        <w:rPr>
          <w:color w:val="auto"/>
        </w:rPr>
      </w:pPr>
      <w:r>
        <w:rPr>
          <w:rFonts w:hint="eastAsia"/>
          <w:color w:val="auto"/>
        </w:rPr>
        <w:t>本</w:t>
      </w:r>
      <w:r>
        <w:rPr>
          <w:rFonts w:hint="eastAsia"/>
          <w:color w:val="auto"/>
          <w:lang w:eastAsia="zh-CN"/>
        </w:rPr>
        <w:t>文件</w:t>
      </w:r>
      <w:r>
        <w:rPr>
          <w:rFonts w:hint="eastAsia"/>
          <w:color w:val="auto"/>
        </w:rPr>
        <w:t>规定了大豆水肥一体</w:t>
      </w:r>
      <w:r>
        <w:rPr>
          <w:rFonts w:hint="eastAsia"/>
          <w:color w:val="auto"/>
          <w:lang w:eastAsia="zh-CN"/>
        </w:rPr>
        <w:t>化机械</w:t>
      </w:r>
      <w:r>
        <w:rPr>
          <w:rFonts w:hint="eastAsia"/>
          <w:color w:val="auto"/>
        </w:rPr>
        <w:t>栽培技术</w:t>
      </w:r>
      <w:r>
        <w:rPr>
          <w:rFonts w:hint="eastAsia"/>
          <w:color w:val="auto"/>
          <w:szCs w:val="21"/>
        </w:rPr>
        <w:t>的术语和定义</w:t>
      </w:r>
      <w:r>
        <w:rPr>
          <w:rFonts w:hint="eastAsia"/>
          <w:color w:val="auto"/>
          <w:szCs w:val="21"/>
          <w:lang w:eastAsia="zh-CN"/>
        </w:rPr>
        <w:t>。</w:t>
      </w:r>
    </w:p>
    <w:p>
      <w:pPr>
        <w:spacing w:line="340" w:lineRule="exact"/>
        <w:ind w:firstLine="420" w:firstLineChars="200"/>
        <w:rPr>
          <w:color w:val="auto"/>
        </w:rPr>
      </w:pPr>
      <w:r>
        <w:rPr>
          <w:rFonts w:hint="eastAsia"/>
          <w:color w:val="auto"/>
        </w:rPr>
        <w:t>本</w:t>
      </w:r>
      <w:r>
        <w:rPr>
          <w:rFonts w:hint="eastAsia"/>
          <w:color w:val="auto"/>
          <w:lang w:eastAsia="zh-CN"/>
        </w:rPr>
        <w:t>文件</w:t>
      </w:r>
      <w:bookmarkStart w:id="5" w:name="_GoBack"/>
      <w:bookmarkEnd w:id="5"/>
      <w:r>
        <w:rPr>
          <w:rFonts w:hint="eastAsia"/>
          <w:color w:val="auto"/>
        </w:rPr>
        <w:t>适用于大豆水肥一体</w:t>
      </w:r>
      <w:r>
        <w:rPr>
          <w:rFonts w:hint="eastAsia"/>
          <w:color w:val="auto"/>
          <w:lang w:eastAsia="zh-CN"/>
        </w:rPr>
        <w:t>化机械</w:t>
      </w:r>
      <w:r>
        <w:rPr>
          <w:rFonts w:hint="eastAsia"/>
          <w:color w:val="auto"/>
        </w:rPr>
        <w:t>栽培技术</w:t>
      </w:r>
      <w:r>
        <w:rPr>
          <w:rFonts w:hint="eastAsia"/>
          <w:color w:val="auto"/>
          <w:lang w:eastAsia="zh-CN"/>
        </w:rPr>
        <w:t>生产</w:t>
      </w:r>
      <w:r>
        <w:rPr>
          <w:rFonts w:hint="eastAsia"/>
          <w:color w:val="auto"/>
        </w:rPr>
        <w:t>作业。</w:t>
      </w:r>
    </w:p>
    <w:p>
      <w:pPr>
        <w:pStyle w:val="39"/>
        <w:numPr>
          <w:ilvl w:val="0"/>
          <w:numId w:val="0"/>
        </w:numPr>
        <w:spacing w:before="312" w:after="312" w:line="340" w:lineRule="exact"/>
        <w:rPr>
          <w:color w:val="auto"/>
        </w:rPr>
      </w:pPr>
      <w:r>
        <w:rPr>
          <w:rFonts w:hint="eastAsia"/>
          <w:color w:val="auto"/>
        </w:rPr>
        <w:t xml:space="preserve">2 </w:t>
      </w:r>
      <w:r>
        <w:rPr>
          <w:color w:val="auto"/>
        </w:rPr>
        <w:t xml:space="preserve"> </w:t>
      </w:r>
      <w:r>
        <w:rPr>
          <w:rFonts w:hint="eastAsia"/>
          <w:color w:val="auto"/>
        </w:rPr>
        <w:t>规范性引用文件</w:t>
      </w:r>
    </w:p>
    <w:p>
      <w:pPr>
        <w:pStyle w:val="16"/>
        <w:spacing w:line="340" w:lineRule="exact"/>
        <w:rPr>
          <w:rFonts w:hAnsi="宋体"/>
          <w:color w:val="auto"/>
          <w:kern w:val="2"/>
          <w:szCs w:val="24"/>
        </w:rPr>
      </w:pPr>
      <w:r>
        <w:rPr>
          <w:rFonts w:hint="eastAsia" w:hAnsi="宋体"/>
          <w:color w:val="auto"/>
          <w:kern w:val="2"/>
          <w:szCs w:val="24"/>
        </w:rPr>
        <w:t>下列文件对于本文件的应用是必不可少的。凡是注日期的引用文件，仅注日期的版本适用于本文件。凡是不注日期的引用文件，其最新版本（包括所有的修改单）适用于本文件。</w:t>
      </w:r>
    </w:p>
    <w:p>
      <w:pPr>
        <w:spacing w:line="340" w:lineRule="exact"/>
        <w:ind w:firstLine="420" w:firstLineChars="200"/>
        <w:rPr>
          <w:rFonts w:ascii="宋体" w:hAnsi="宋体"/>
          <w:color w:val="auto"/>
        </w:rPr>
      </w:pPr>
      <w:r>
        <w:rPr>
          <w:rFonts w:hint="eastAsia" w:ascii="宋体" w:hAnsi="宋体"/>
          <w:color w:val="auto"/>
        </w:rPr>
        <w:t xml:space="preserve">GB </w:t>
      </w:r>
      <w:r>
        <w:rPr>
          <w:rFonts w:ascii="宋体" w:hAnsi="宋体"/>
          <w:color w:val="auto"/>
        </w:rPr>
        <w:t xml:space="preserve">  3095  </w:t>
      </w:r>
      <w:r>
        <w:rPr>
          <w:rFonts w:hint="eastAsia" w:ascii="宋体" w:hAnsi="宋体"/>
          <w:color w:val="auto"/>
        </w:rPr>
        <w:t>环境空气质量标准</w:t>
      </w:r>
    </w:p>
    <w:p>
      <w:pPr>
        <w:spacing w:line="340" w:lineRule="exact"/>
        <w:ind w:firstLine="420" w:firstLineChars="200"/>
        <w:rPr>
          <w:rFonts w:ascii="宋体" w:hAnsi="宋体"/>
          <w:color w:val="auto"/>
        </w:rPr>
      </w:pPr>
      <w:r>
        <w:rPr>
          <w:rFonts w:hint="eastAsia" w:ascii="宋体" w:hAnsi="宋体"/>
          <w:color w:val="auto"/>
        </w:rPr>
        <w:t xml:space="preserve">GB </w:t>
      </w:r>
      <w:r>
        <w:rPr>
          <w:rFonts w:ascii="宋体" w:hAnsi="宋体"/>
          <w:color w:val="auto"/>
        </w:rPr>
        <w:t xml:space="preserve">4404.2  </w:t>
      </w:r>
      <w:r>
        <w:rPr>
          <w:rFonts w:hint="eastAsia" w:ascii="宋体" w:hAnsi="宋体"/>
          <w:color w:val="auto"/>
        </w:rPr>
        <w:t xml:space="preserve">粮食作物种子 </w:t>
      </w:r>
      <w:r>
        <w:rPr>
          <w:rFonts w:ascii="宋体" w:hAnsi="宋体"/>
          <w:color w:val="auto"/>
        </w:rPr>
        <w:t xml:space="preserve"> </w:t>
      </w:r>
      <w:r>
        <w:rPr>
          <w:rFonts w:hint="eastAsia" w:ascii="宋体" w:hAnsi="宋体"/>
          <w:color w:val="auto"/>
        </w:rPr>
        <w:t>豆类</w:t>
      </w:r>
    </w:p>
    <w:p>
      <w:pPr>
        <w:spacing w:line="340" w:lineRule="exact"/>
        <w:ind w:firstLine="420" w:firstLineChars="200"/>
        <w:rPr>
          <w:rFonts w:ascii="宋体" w:hAnsi="宋体"/>
          <w:color w:val="auto"/>
        </w:rPr>
      </w:pPr>
      <w:r>
        <w:rPr>
          <w:rFonts w:hint="eastAsia" w:ascii="宋体" w:hAnsi="宋体"/>
          <w:color w:val="auto"/>
        </w:rPr>
        <w:t>G</w:t>
      </w:r>
      <w:r>
        <w:rPr>
          <w:rFonts w:ascii="宋体" w:hAnsi="宋体"/>
          <w:color w:val="auto"/>
        </w:rPr>
        <w:t xml:space="preserve">B   5084  </w:t>
      </w:r>
      <w:r>
        <w:rPr>
          <w:rFonts w:hint="eastAsia" w:ascii="宋体" w:hAnsi="宋体"/>
          <w:color w:val="auto"/>
        </w:rPr>
        <w:t>农田灌溉水质标准</w:t>
      </w:r>
    </w:p>
    <w:p>
      <w:pPr>
        <w:spacing w:line="340" w:lineRule="exact"/>
        <w:ind w:firstLine="420" w:firstLineChars="200"/>
        <w:rPr>
          <w:rFonts w:ascii="宋体" w:hAnsi="宋体"/>
          <w:color w:val="auto"/>
        </w:rPr>
      </w:pPr>
      <w:r>
        <w:rPr>
          <w:rFonts w:hint="eastAsia" w:ascii="宋体" w:hAnsi="宋体"/>
          <w:color w:val="auto"/>
        </w:rPr>
        <w:t>G</w:t>
      </w:r>
      <w:r>
        <w:rPr>
          <w:rFonts w:ascii="宋体" w:hAnsi="宋体"/>
          <w:color w:val="auto"/>
        </w:rPr>
        <w:t>B/T 8321  (</w:t>
      </w:r>
      <w:r>
        <w:rPr>
          <w:rFonts w:hint="eastAsia" w:ascii="宋体" w:hAnsi="宋体"/>
          <w:color w:val="auto"/>
        </w:rPr>
        <w:t>所有部分</w:t>
      </w:r>
      <w:r>
        <w:rPr>
          <w:rFonts w:ascii="宋体" w:hAnsi="宋体"/>
          <w:color w:val="auto"/>
        </w:rPr>
        <w:t>)</w:t>
      </w:r>
      <w:r>
        <w:rPr>
          <w:rFonts w:hint="eastAsia" w:ascii="宋体" w:hAnsi="宋体"/>
          <w:color w:val="auto"/>
        </w:rPr>
        <w:t>农药合理使用准则</w:t>
      </w:r>
    </w:p>
    <w:p>
      <w:pPr>
        <w:spacing w:line="340" w:lineRule="exact"/>
        <w:ind w:firstLine="420" w:firstLineChars="200"/>
        <w:rPr>
          <w:rFonts w:ascii="宋体" w:hAnsi="宋体"/>
          <w:color w:val="auto"/>
        </w:rPr>
      </w:pPr>
      <w:r>
        <w:rPr>
          <w:rFonts w:hint="eastAsia" w:ascii="宋体" w:hAnsi="宋体"/>
          <w:color w:val="auto"/>
        </w:rPr>
        <w:t xml:space="preserve">GB </w:t>
      </w:r>
      <w:r>
        <w:rPr>
          <w:rFonts w:ascii="宋体" w:hAnsi="宋体"/>
          <w:color w:val="auto"/>
        </w:rPr>
        <w:t xml:space="preserve"> 15618  </w:t>
      </w:r>
      <w:r>
        <w:rPr>
          <w:rFonts w:hint="eastAsia" w:ascii="宋体" w:hAnsi="宋体"/>
          <w:color w:val="auto"/>
        </w:rPr>
        <w:t>土壤环境质量 农用地土壤污染风险管控标准（试行）</w:t>
      </w:r>
    </w:p>
    <w:p>
      <w:pPr>
        <w:spacing w:line="340" w:lineRule="exact"/>
        <w:ind w:firstLine="420" w:firstLineChars="200"/>
        <w:rPr>
          <w:rFonts w:ascii="宋体" w:hAnsi="宋体"/>
          <w:color w:val="auto"/>
        </w:rPr>
      </w:pPr>
      <w:r>
        <w:rPr>
          <w:rFonts w:ascii="宋体" w:hAnsi="宋体"/>
          <w:color w:val="auto"/>
        </w:rPr>
        <w:t xml:space="preserve">GB/T 15671 </w:t>
      </w:r>
      <w:r>
        <w:rPr>
          <w:rFonts w:hint="eastAsia" w:ascii="宋体" w:hAnsi="宋体"/>
          <w:color w:val="auto"/>
        </w:rPr>
        <w:t>农作物薄膜包衣种子技术条件</w:t>
      </w:r>
    </w:p>
    <w:p>
      <w:pPr>
        <w:spacing w:line="340" w:lineRule="exact"/>
        <w:ind w:firstLine="420" w:firstLineChars="200"/>
        <w:rPr>
          <w:rFonts w:ascii="宋体" w:hAnsi="宋体"/>
          <w:color w:val="auto"/>
        </w:rPr>
      </w:pPr>
      <w:r>
        <w:rPr>
          <w:rFonts w:ascii="宋体" w:hAnsi="宋体"/>
          <w:color w:val="auto"/>
        </w:rPr>
        <w:t xml:space="preserve">GB/T 50485 </w:t>
      </w:r>
      <w:r>
        <w:rPr>
          <w:rFonts w:hint="eastAsia" w:ascii="宋体" w:hAnsi="宋体"/>
          <w:color w:val="auto"/>
        </w:rPr>
        <w:t>微灌工程技术规范</w:t>
      </w:r>
    </w:p>
    <w:p>
      <w:pPr>
        <w:spacing w:line="340" w:lineRule="exact"/>
        <w:ind w:firstLine="420" w:firstLineChars="200"/>
        <w:rPr>
          <w:rFonts w:ascii="宋体" w:hAnsi="宋体"/>
          <w:color w:val="auto"/>
        </w:rPr>
      </w:pPr>
      <w:r>
        <w:rPr>
          <w:rFonts w:hint="eastAsia" w:ascii="宋体" w:hAnsi="宋体"/>
          <w:color w:val="auto"/>
        </w:rPr>
        <w:t>N</w:t>
      </w:r>
      <w:r>
        <w:rPr>
          <w:rFonts w:ascii="宋体" w:hAnsi="宋体"/>
          <w:color w:val="auto"/>
        </w:rPr>
        <w:t xml:space="preserve">Y/T  495  </w:t>
      </w:r>
      <w:r>
        <w:rPr>
          <w:rFonts w:hint="eastAsia" w:ascii="宋体" w:hAnsi="宋体"/>
          <w:color w:val="auto"/>
        </w:rPr>
        <w:t>东北地区大豆生产技术规程</w:t>
      </w:r>
    </w:p>
    <w:p>
      <w:pPr>
        <w:spacing w:line="340" w:lineRule="exact"/>
        <w:ind w:firstLine="420" w:firstLineChars="200"/>
        <w:rPr>
          <w:rFonts w:ascii="宋体" w:hAnsi="宋体"/>
          <w:color w:val="auto"/>
        </w:rPr>
      </w:pPr>
      <w:r>
        <w:rPr>
          <w:rFonts w:hint="eastAsia" w:ascii="宋体" w:hAnsi="宋体"/>
          <w:color w:val="auto"/>
        </w:rPr>
        <w:t>N</w:t>
      </w:r>
      <w:r>
        <w:rPr>
          <w:rFonts w:ascii="宋体" w:hAnsi="宋体"/>
          <w:color w:val="auto"/>
        </w:rPr>
        <w:t xml:space="preserve">Y/T  496  </w:t>
      </w:r>
      <w:r>
        <w:rPr>
          <w:rFonts w:hint="eastAsia" w:ascii="宋体" w:hAnsi="宋体"/>
          <w:color w:val="auto"/>
        </w:rPr>
        <w:t xml:space="preserve">肥料合理使用准则 </w:t>
      </w:r>
      <w:r>
        <w:rPr>
          <w:rFonts w:ascii="宋体" w:hAnsi="宋体"/>
          <w:color w:val="auto"/>
        </w:rPr>
        <w:t xml:space="preserve"> </w:t>
      </w:r>
      <w:r>
        <w:rPr>
          <w:rFonts w:hint="eastAsia" w:ascii="宋体" w:hAnsi="宋体"/>
          <w:color w:val="auto"/>
        </w:rPr>
        <w:t>通则</w:t>
      </w:r>
    </w:p>
    <w:p>
      <w:pPr>
        <w:spacing w:line="340" w:lineRule="exact"/>
        <w:ind w:firstLine="420" w:firstLineChars="200"/>
        <w:rPr>
          <w:rFonts w:ascii="宋体" w:hAnsi="宋体"/>
          <w:color w:val="auto"/>
        </w:rPr>
      </w:pPr>
      <w:r>
        <w:rPr>
          <w:rFonts w:hint="eastAsia" w:ascii="宋体" w:hAnsi="宋体"/>
          <w:color w:val="auto"/>
        </w:rPr>
        <w:t xml:space="preserve">NY/T </w:t>
      </w:r>
      <w:r>
        <w:rPr>
          <w:rFonts w:ascii="宋体" w:hAnsi="宋体"/>
          <w:color w:val="auto"/>
        </w:rPr>
        <w:t xml:space="preserve">1276  </w:t>
      </w:r>
      <w:r>
        <w:rPr>
          <w:rFonts w:hint="eastAsia" w:ascii="宋体" w:hAnsi="宋体"/>
          <w:color w:val="auto"/>
        </w:rPr>
        <w:t xml:space="preserve">农药安全使用规范 </w:t>
      </w:r>
      <w:r>
        <w:rPr>
          <w:rFonts w:ascii="宋体" w:hAnsi="宋体"/>
          <w:color w:val="auto"/>
        </w:rPr>
        <w:t xml:space="preserve"> </w:t>
      </w:r>
      <w:r>
        <w:rPr>
          <w:rFonts w:hint="eastAsia" w:ascii="宋体" w:hAnsi="宋体"/>
          <w:color w:val="auto"/>
        </w:rPr>
        <w:t>总则</w:t>
      </w:r>
    </w:p>
    <w:p>
      <w:pPr>
        <w:spacing w:line="340" w:lineRule="exact"/>
        <w:ind w:firstLine="420" w:firstLineChars="200"/>
        <w:rPr>
          <w:rFonts w:ascii="宋体" w:hAnsi="宋体"/>
          <w:color w:val="auto"/>
        </w:rPr>
      </w:pPr>
      <w:r>
        <w:rPr>
          <w:rFonts w:hint="eastAsia" w:ascii="宋体" w:hAnsi="宋体"/>
          <w:color w:val="auto"/>
        </w:rPr>
        <w:t xml:space="preserve">NY/T </w:t>
      </w:r>
      <w:r>
        <w:rPr>
          <w:rFonts w:ascii="宋体" w:hAnsi="宋体"/>
          <w:color w:val="auto"/>
        </w:rPr>
        <w:t xml:space="preserve"> </w:t>
      </w:r>
      <w:r>
        <w:rPr>
          <w:rFonts w:hint="eastAsia" w:ascii="宋体" w:hAnsi="宋体"/>
          <w:color w:val="auto"/>
        </w:rPr>
        <w:t>499</w:t>
      </w:r>
      <w:r>
        <w:rPr>
          <w:rFonts w:ascii="宋体" w:hAnsi="宋体"/>
          <w:color w:val="auto"/>
        </w:rPr>
        <w:t xml:space="preserve"> </w:t>
      </w:r>
      <w:r>
        <w:rPr>
          <w:rFonts w:hint="eastAsia" w:ascii="宋体" w:hAnsi="宋体"/>
          <w:color w:val="auto"/>
        </w:rPr>
        <w:t xml:space="preserve"> 旋耕机 作业质量</w:t>
      </w:r>
    </w:p>
    <w:p>
      <w:pPr>
        <w:spacing w:line="340" w:lineRule="exact"/>
        <w:ind w:firstLine="420" w:firstLineChars="200"/>
        <w:rPr>
          <w:rFonts w:hint="eastAsia" w:ascii="宋体" w:hAnsi="宋体"/>
          <w:color w:val="auto"/>
        </w:rPr>
      </w:pPr>
      <w:r>
        <w:rPr>
          <w:rFonts w:hint="eastAsia" w:ascii="宋体" w:hAnsi="宋体"/>
          <w:color w:val="auto"/>
        </w:rPr>
        <w:t xml:space="preserve">NY/T </w:t>
      </w:r>
      <w:r>
        <w:rPr>
          <w:rFonts w:ascii="宋体" w:hAnsi="宋体"/>
          <w:color w:val="auto"/>
        </w:rPr>
        <w:t xml:space="preserve">2159  </w:t>
      </w:r>
      <w:r>
        <w:rPr>
          <w:rFonts w:hint="eastAsia" w:ascii="宋体" w:hAnsi="宋体"/>
          <w:color w:val="auto"/>
        </w:rPr>
        <w:t>大豆主要病害防治技术规程</w:t>
      </w:r>
    </w:p>
    <w:p>
      <w:pPr>
        <w:spacing w:line="340" w:lineRule="exact"/>
        <w:ind w:firstLine="420" w:firstLineChars="200"/>
        <w:rPr>
          <w:rFonts w:hint="eastAsia" w:hAnsi="宋体"/>
          <w:color w:val="auto"/>
          <w:szCs w:val="22"/>
          <w:lang w:val="en-US" w:eastAsia="zh-CN"/>
        </w:rPr>
      </w:pPr>
      <w:r>
        <w:rPr>
          <w:rFonts w:hint="eastAsia" w:hAnsi="宋体"/>
          <w:color w:val="auto"/>
          <w:szCs w:val="22"/>
          <w:lang w:val="en-US" w:eastAsia="zh-CN"/>
        </w:rPr>
        <w:t>N/T738-2020 大豆联合收割机作业质量</w:t>
      </w:r>
    </w:p>
    <w:p>
      <w:pPr>
        <w:pStyle w:val="39"/>
        <w:numPr>
          <w:ilvl w:val="0"/>
          <w:numId w:val="0"/>
        </w:numPr>
        <w:spacing w:before="156" w:after="156" w:line="340" w:lineRule="exact"/>
        <w:rPr>
          <w:color w:val="auto"/>
        </w:rPr>
      </w:pPr>
      <w:r>
        <w:rPr>
          <w:rFonts w:hint="eastAsia"/>
          <w:color w:val="auto"/>
        </w:rPr>
        <w:t xml:space="preserve">3 </w:t>
      </w:r>
      <w:r>
        <w:rPr>
          <w:color w:val="auto"/>
        </w:rPr>
        <w:t xml:space="preserve"> </w:t>
      </w:r>
      <w:r>
        <w:rPr>
          <w:rFonts w:hint="eastAsia"/>
          <w:color w:val="auto"/>
        </w:rPr>
        <w:t>术语和定义</w:t>
      </w:r>
    </w:p>
    <w:p>
      <w:pPr>
        <w:pStyle w:val="39"/>
        <w:numPr>
          <w:ilvl w:val="0"/>
          <w:numId w:val="0"/>
        </w:numPr>
        <w:spacing w:before="156" w:after="156" w:line="340" w:lineRule="exact"/>
        <w:rPr>
          <w:color w:val="auto"/>
        </w:rPr>
      </w:pPr>
      <w:r>
        <w:rPr>
          <w:rFonts w:hint="eastAsia"/>
          <w:color w:val="auto"/>
        </w:rPr>
        <w:t xml:space="preserve">   </w:t>
      </w:r>
      <w:r>
        <w:rPr>
          <w:rFonts w:hint="eastAsia" w:ascii="宋体" w:hAnsi="宋体" w:eastAsia="宋体"/>
          <w:color w:val="auto"/>
        </w:rPr>
        <w:t xml:space="preserve"> </w:t>
      </w:r>
      <w:r>
        <w:rPr>
          <w:rFonts w:hint="eastAsia" w:ascii="Times New Roman" w:eastAsia="宋体"/>
          <w:color w:val="auto"/>
          <w:kern w:val="2"/>
          <w:szCs w:val="24"/>
        </w:rPr>
        <w:t>下列术语和定义适用于本文件。</w:t>
      </w:r>
    </w:p>
    <w:p>
      <w:pPr>
        <w:pStyle w:val="16"/>
        <w:spacing w:before="156" w:after="156" w:line="340" w:lineRule="exact"/>
        <w:ind w:firstLine="0" w:firstLineChars="0"/>
        <w:rPr>
          <w:rFonts w:ascii="黑体" w:hAnsi="黑体" w:eastAsia="黑体"/>
          <w:color w:val="auto"/>
        </w:rPr>
      </w:pPr>
      <w:r>
        <w:rPr>
          <w:rFonts w:ascii="黑体" w:eastAsia="黑体"/>
          <w:color w:val="auto"/>
        </w:rPr>
        <w:t xml:space="preserve">3.1 </w:t>
      </w:r>
      <w:r>
        <w:rPr>
          <w:rFonts w:hint="eastAsia" w:ascii="黑体" w:hAnsi="黑体" w:eastAsia="黑体"/>
          <w:color w:val="auto"/>
        </w:rPr>
        <w:t>水肥一体化</w:t>
      </w:r>
    </w:p>
    <w:p>
      <w:pPr>
        <w:pStyle w:val="16"/>
        <w:spacing w:before="156" w:after="156" w:line="340" w:lineRule="exact"/>
        <w:ind w:firstLine="210" w:firstLineChars="100"/>
        <w:rPr>
          <w:color w:val="auto"/>
        </w:rPr>
      </w:pPr>
      <w:r>
        <w:rPr>
          <w:rFonts w:hint="eastAsia"/>
          <w:color w:val="auto"/>
        </w:rPr>
        <w:t xml:space="preserve">  采用浅埋滴灌专用播种机</w:t>
      </w:r>
      <w:r>
        <w:rPr>
          <w:rFonts w:hint="eastAsia" w:hAnsi="宋体"/>
          <w:color w:val="auto"/>
          <w:szCs w:val="21"/>
        </w:rPr>
        <w:t>借助压力灌溉系统（滴灌、微喷等），按照作物要求将配比好的氮磷钾加生物有机肥菌肥与灌溉水一起进行深施、准确地输送到作物根部土壤的水肥一体化种植技术。</w:t>
      </w:r>
    </w:p>
    <w:p>
      <w:pPr>
        <w:spacing w:before="156" w:after="156" w:line="340" w:lineRule="exact"/>
        <w:jc w:val="left"/>
        <w:rPr>
          <w:rFonts w:ascii="黑体" w:eastAsia="黑体"/>
          <w:color w:val="auto"/>
        </w:rPr>
      </w:pPr>
      <w:r>
        <w:rPr>
          <w:rFonts w:hint="eastAsia" w:ascii="黑体" w:eastAsia="黑体"/>
          <w:color w:val="auto"/>
        </w:rPr>
        <w:t xml:space="preserve">4 </w:t>
      </w:r>
      <w:r>
        <w:rPr>
          <w:rFonts w:ascii="黑体" w:eastAsia="黑体"/>
          <w:color w:val="auto"/>
        </w:rPr>
        <w:t xml:space="preserve"> </w:t>
      </w:r>
      <w:r>
        <w:rPr>
          <w:rFonts w:hint="eastAsia" w:ascii="黑体" w:eastAsia="黑体"/>
          <w:color w:val="auto"/>
        </w:rPr>
        <w:t>环境条件</w:t>
      </w:r>
    </w:p>
    <w:p>
      <w:pPr>
        <w:spacing w:before="156" w:after="156" w:line="340" w:lineRule="exact"/>
        <w:ind w:firstLine="420" w:firstLineChars="200"/>
        <w:jc w:val="left"/>
        <w:rPr>
          <w:rFonts w:ascii="宋体" w:hAnsi="宋体"/>
          <w:color w:val="auto"/>
        </w:rPr>
      </w:pPr>
      <w:r>
        <w:rPr>
          <w:rFonts w:hint="eastAsia" w:ascii="宋体" w:hAnsi="宋体"/>
          <w:color w:val="auto"/>
        </w:rPr>
        <w:t xml:space="preserve">土壤环境质量应符合GB </w:t>
      </w:r>
      <w:r>
        <w:rPr>
          <w:rFonts w:ascii="宋体" w:hAnsi="宋体"/>
          <w:color w:val="auto"/>
        </w:rPr>
        <w:t>15618</w:t>
      </w:r>
      <w:r>
        <w:rPr>
          <w:rFonts w:hint="eastAsia" w:ascii="宋体" w:hAnsi="宋体"/>
          <w:color w:val="auto"/>
        </w:rPr>
        <w:t xml:space="preserve">的规定，空气环境质量应符合GB </w:t>
      </w:r>
      <w:r>
        <w:rPr>
          <w:rFonts w:ascii="宋体" w:hAnsi="宋体"/>
          <w:color w:val="auto"/>
        </w:rPr>
        <w:t>3095</w:t>
      </w:r>
      <w:r>
        <w:rPr>
          <w:rFonts w:hint="eastAsia" w:ascii="宋体" w:hAnsi="宋体"/>
          <w:color w:val="auto"/>
        </w:rPr>
        <w:t xml:space="preserve">的规定，农田灌溉水质标准应符合GB </w:t>
      </w:r>
      <w:r>
        <w:rPr>
          <w:rFonts w:ascii="宋体" w:hAnsi="宋体"/>
          <w:color w:val="auto"/>
        </w:rPr>
        <w:t>5084</w:t>
      </w:r>
      <w:r>
        <w:rPr>
          <w:rFonts w:hint="eastAsia" w:ascii="宋体" w:hAnsi="宋体"/>
          <w:color w:val="auto"/>
        </w:rPr>
        <w:t>的规定。</w:t>
      </w:r>
    </w:p>
    <w:p>
      <w:pPr>
        <w:pStyle w:val="15"/>
        <w:numPr>
          <w:ilvl w:val="0"/>
          <w:numId w:val="0"/>
        </w:numPr>
        <w:spacing w:before="156" w:after="156" w:line="340" w:lineRule="exact"/>
        <w:rPr>
          <w:color w:val="auto"/>
        </w:rPr>
      </w:pPr>
      <w:r>
        <w:rPr>
          <w:rFonts w:hint="eastAsia"/>
          <w:color w:val="auto"/>
        </w:rPr>
        <w:t>5</w:t>
      </w:r>
      <w:r>
        <w:rPr>
          <w:color w:val="auto"/>
        </w:rPr>
        <w:t xml:space="preserve"> </w:t>
      </w:r>
      <w:r>
        <w:rPr>
          <w:rFonts w:hint="eastAsia"/>
          <w:color w:val="auto"/>
        </w:rPr>
        <w:t xml:space="preserve"> 选</w:t>
      </w:r>
      <w:r>
        <w:rPr>
          <w:rFonts w:hint="eastAsia"/>
          <w:color w:val="auto"/>
          <w:lang w:eastAsia="zh-CN"/>
        </w:rPr>
        <w:t>地</w:t>
      </w:r>
      <w:r>
        <w:rPr>
          <w:rFonts w:hint="eastAsia"/>
          <w:color w:val="auto"/>
        </w:rPr>
        <w:t>整地</w:t>
      </w:r>
    </w:p>
    <w:p>
      <w:pPr>
        <w:pStyle w:val="16"/>
        <w:spacing w:before="156" w:after="156" w:line="340" w:lineRule="exact"/>
        <w:ind w:firstLine="0" w:firstLineChars="0"/>
        <w:rPr>
          <w:rFonts w:hint="default" w:ascii="黑体" w:eastAsia="黑体"/>
          <w:color w:val="auto"/>
          <w:szCs w:val="21"/>
          <w:lang w:val="en-US"/>
        </w:rPr>
      </w:pPr>
      <w:r>
        <w:rPr>
          <w:rFonts w:hint="eastAsia" w:ascii="黑体" w:eastAsia="黑体"/>
          <w:color w:val="auto"/>
          <w:szCs w:val="21"/>
        </w:rPr>
        <w:t>5</w:t>
      </w:r>
      <w:r>
        <w:rPr>
          <w:rFonts w:ascii="黑体" w:eastAsia="黑体"/>
          <w:color w:val="auto"/>
          <w:szCs w:val="21"/>
        </w:rPr>
        <w:t xml:space="preserve">.1  </w:t>
      </w:r>
      <w:r>
        <w:rPr>
          <w:rFonts w:hint="eastAsia" w:ascii="黑体" w:eastAsia="黑体"/>
          <w:color w:val="auto"/>
          <w:szCs w:val="21"/>
          <w:lang w:val="en-US" w:eastAsia="zh-CN"/>
        </w:rPr>
        <w:t>地块选择</w:t>
      </w:r>
    </w:p>
    <w:p>
      <w:pPr>
        <w:pStyle w:val="16"/>
        <w:spacing w:before="156" w:after="156" w:line="340" w:lineRule="exact"/>
        <w:rPr>
          <w:rFonts w:ascii="Times New Roman"/>
          <w:color w:val="auto"/>
        </w:rPr>
      </w:pPr>
      <w:r>
        <w:rPr>
          <w:rFonts w:hint="eastAsia" w:ascii="Times New Roman"/>
          <w:color w:val="auto"/>
        </w:rPr>
        <w:t>地块</w:t>
      </w:r>
      <w:r>
        <w:rPr>
          <w:rFonts w:hint="eastAsia" w:ascii="Times New Roman"/>
          <w:color w:val="auto"/>
          <w:lang w:val="en-US" w:eastAsia="zh-CN"/>
        </w:rPr>
        <w:t>偏干旱且</w:t>
      </w:r>
      <w:r>
        <w:rPr>
          <w:rFonts w:hint="eastAsia" w:ascii="Times New Roman"/>
          <w:color w:val="auto"/>
        </w:rPr>
        <w:t>具有灌溉条件，地势平坦、土层深厚</w:t>
      </w:r>
      <w:r>
        <w:rPr>
          <w:rFonts w:hint="eastAsia" w:ascii="Times New Roman"/>
          <w:color w:val="auto"/>
          <w:lang w:eastAsia="zh-CN"/>
        </w:rPr>
        <w:t>、</w:t>
      </w:r>
      <w:r>
        <w:rPr>
          <w:rFonts w:hint="eastAsia" w:ascii="Times New Roman"/>
          <w:color w:val="auto"/>
        </w:rPr>
        <w:t>未喷施对大豆有残留药害的除草剂</w:t>
      </w:r>
      <w:r>
        <w:rPr>
          <w:rFonts w:hint="eastAsia" w:ascii="Times New Roman"/>
          <w:color w:val="auto"/>
          <w:lang w:eastAsia="zh-CN"/>
        </w:rPr>
        <w:t>，</w:t>
      </w:r>
      <w:r>
        <w:rPr>
          <w:rFonts w:hint="eastAsia" w:ascii="Times New Roman"/>
          <w:color w:val="auto"/>
        </w:rPr>
        <w:t>前茬宜选用非豆科作物茬口。</w:t>
      </w:r>
    </w:p>
    <w:p>
      <w:pPr>
        <w:pStyle w:val="16"/>
        <w:numPr>
          <w:ilvl w:val="0"/>
          <w:numId w:val="0"/>
        </w:numPr>
        <w:spacing w:before="156" w:after="156" w:line="340" w:lineRule="exact"/>
        <w:rPr>
          <w:rFonts w:hint="eastAsia" w:ascii="黑体" w:hAnsi="黑体" w:eastAsia="黑体" w:cs="黑体"/>
          <w:color w:val="auto"/>
          <w:szCs w:val="21"/>
        </w:rPr>
      </w:pPr>
      <w:r>
        <w:rPr>
          <w:rFonts w:hint="eastAsia" w:ascii="黑体" w:hAnsi="黑体" w:eastAsia="黑体" w:cs="黑体"/>
          <w:color w:val="auto"/>
          <w:szCs w:val="21"/>
          <w:lang w:val="en-US" w:eastAsia="zh-CN"/>
        </w:rPr>
        <w:t xml:space="preserve">5  </w:t>
      </w:r>
      <w:r>
        <w:rPr>
          <w:rFonts w:hint="eastAsia" w:ascii="黑体" w:hAnsi="黑体" w:eastAsia="黑体" w:cs="黑体"/>
          <w:color w:val="auto"/>
          <w:szCs w:val="21"/>
        </w:rPr>
        <w:t>整地</w:t>
      </w:r>
    </w:p>
    <w:p>
      <w:pPr>
        <w:pStyle w:val="16"/>
        <w:spacing w:before="156" w:after="156" w:line="340" w:lineRule="exact"/>
        <w:ind w:firstLine="0" w:firstLineChars="0"/>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5.1  翻耕整地</w:t>
      </w:r>
    </w:p>
    <w:p>
      <w:pPr>
        <w:pStyle w:val="16"/>
        <w:spacing w:before="156" w:after="156" w:line="340" w:lineRule="exact"/>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采用具有导航功能大马力拖拉机配套大型翻转犁进行翻耕作业，翻深30cm以上，要求深浅一致、扣垡严密、不重不漏、地表无秸秆残茬。再选用圆盘耙或重型耙进行耙地作业，耙深16-18cm，作业时与播种方向成30～45°夹角，耙深耙透，耙碎耢平，以作业2遍为宜。耙后进行起垄镇压作业，要求垄向笔直、垄体饱满，镇压后垄高18—22cm，达到待播状态。</w:t>
      </w:r>
    </w:p>
    <w:p>
      <w:pPr>
        <w:pStyle w:val="16"/>
        <w:numPr>
          <w:ilvl w:val="0"/>
          <w:numId w:val="0"/>
        </w:numPr>
        <w:spacing w:before="156" w:after="156" w:line="340" w:lineRule="exact"/>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5.2  耙混整地</w:t>
      </w:r>
    </w:p>
    <w:p>
      <w:pPr>
        <w:pStyle w:val="16"/>
        <w:spacing w:before="156" w:after="156" w:line="340" w:lineRule="exact"/>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采用具有导航功能大马力拖拉机配备松（耙）联合整地机或重型缺口灭茬耙进行耙茬整地作业，将秸秆及根茬粉碎并与土壤充分混拌，秸秆混埋的深度≧10cm，深松深度≧30cm。耙后进行起垄镇压作业，要求垄向笔直、垄体饱满，镇压后垄高18—22cm，达到待播状态。</w:t>
      </w:r>
    </w:p>
    <w:p>
      <w:pPr>
        <w:pStyle w:val="16"/>
        <w:numPr>
          <w:ilvl w:val="0"/>
          <w:numId w:val="0"/>
        </w:numPr>
        <w:spacing w:before="156" w:after="156" w:line="340" w:lineRule="exact"/>
        <w:rPr>
          <w:rFonts w:hint="eastAsia" w:ascii="黑体" w:hAnsi="黑体" w:eastAsia="黑体" w:cs="黑体"/>
          <w:color w:val="auto"/>
          <w:szCs w:val="21"/>
          <w:lang w:val="en-US" w:eastAsia="zh-CN"/>
        </w:rPr>
      </w:pPr>
      <w:r>
        <w:rPr>
          <w:rFonts w:hint="eastAsia" w:ascii="黑体" w:hAnsi="黑体" w:eastAsia="黑体" w:cs="黑体"/>
          <w:color w:val="auto"/>
          <w:szCs w:val="21"/>
          <w:lang w:val="en-US" w:eastAsia="zh-CN"/>
        </w:rPr>
        <w:t>5.3  保护性耕作</w:t>
      </w:r>
    </w:p>
    <w:p>
      <w:pPr>
        <w:pStyle w:val="16"/>
        <w:spacing w:before="156" w:after="156" w:line="340" w:lineRule="exact"/>
        <w:ind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播种前采用秸秆还田机进行一次秸秆和根茬粉碎作业，使其均匀分布在垄沟内。秸秆</w:t>
      </w:r>
      <w:r>
        <w:rPr>
          <w:rFonts w:hint="eastAsia" w:ascii="宋体" w:hAnsi="宋体" w:eastAsia="宋体" w:cs="宋体"/>
          <w:color w:val="auto"/>
          <w:szCs w:val="21"/>
        </w:rPr>
        <w:t>长度≤10cm，根茬高度≤10cm</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达到待播状态。</w:t>
      </w:r>
    </w:p>
    <w:p>
      <w:pPr>
        <w:pStyle w:val="14"/>
        <w:numPr>
          <w:ilvl w:val="0"/>
          <w:numId w:val="0"/>
        </w:numPr>
        <w:spacing w:before="156" w:after="156" w:line="340" w:lineRule="exact"/>
        <w:rPr>
          <w:rFonts w:ascii="黑体" w:hAnsi="黑体" w:eastAsia="黑体"/>
          <w:color w:val="auto"/>
        </w:rPr>
      </w:pPr>
      <w:r>
        <w:rPr>
          <w:rFonts w:hint="eastAsia" w:ascii="黑体" w:hAnsi="黑体" w:eastAsia="黑体"/>
          <w:color w:val="auto"/>
        </w:rPr>
        <w:t>6  选种及种子处理</w:t>
      </w:r>
    </w:p>
    <w:p>
      <w:pPr>
        <w:spacing w:before="156" w:after="156" w:line="340" w:lineRule="exact"/>
        <w:rPr>
          <w:rFonts w:ascii="黑体" w:hAnsi="黑体" w:eastAsia="黑体"/>
          <w:color w:val="auto"/>
        </w:rPr>
      </w:pPr>
      <w:r>
        <w:rPr>
          <w:rFonts w:hint="eastAsia" w:ascii="黑体" w:hAnsi="黑体" w:eastAsia="黑体"/>
          <w:color w:val="auto"/>
        </w:rPr>
        <w:t xml:space="preserve">6.1 </w:t>
      </w:r>
      <w:r>
        <w:rPr>
          <w:rFonts w:ascii="黑体" w:hAnsi="黑体" w:eastAsia="黑体"/>
          <w:color w:val="auto"/>
        </w:rPr>
        <w:t xml:space="preserve"> </w:t>
      </w:r>
      <w:r>
        <w:rPr>
          <w:rFonts w:hint="eastAsia" w:ascii="黑体" w:hAnsi="黑体" w:eastAsia="黑体"/>
          <w:color w:val="auto"/>
        </w:rPr>
        <w:t>选种</w:t>
      </w:r>
    </w:p>
    <w:p>
      <w:pPr>
        <w:spacing w:before="156" w:after="156" w:line="340" w:lineRule="exact"/>
        <w:ind w:firstLine="420" w:firstLineChars="200"/>
        <w:rPr>
          <w:color w:val="auto"/>
        </w:rPr>
      </w:pPr>
      <w:r>
        <w:rPr>
          <w:rFonts w:hint="eastAsia"/>
          <w:color w:val="auto"/>
        </w:rPr>
        <w:t>选择通过国家、黑龙江省审定的品种，应选择适宜当地生态条件、</w:t>
      </w:r>
      <w:r>
        <w:rPr>
          <w:rFonts w:ascii="Tahoma" w:hAnsi="Tahoma"/>
          <w:color w:val="auto"/>
          <w:szCs w:val="21"/>
          <w:shd w:val="clear" w:color="auto" w:fill="FFFFFF"/>
        </w:rPr>
        <w:t>高蛋白</w:t>
      </w:r>
      <w:r>
        <w:rPr>
          <w:rFonts w:hint="eastAsia" w:ascii="Tahoma" w:hAnsi="Tahoma"/>
          <w:color w:val="auto"/>
          <w:szCs w:val="21"/>
          <w:shd w:val="clear" w:color="auto" w:fill="FFFFFF"/>
        </w:rPr>
        <w:t>或</w:t>
      </w:r>
      <w:r>
        <w:rPr>
          <w:rFonts w:ascii="Tahoma" w:hAnsi="Tahoma"/>
          <w:color w:val="auto"/>
          <w:szCs w:val="21"/>
          <w:shd w:val="clear" w:color="auto" w:fill="FFFFFF"/>
        </w:rPr>
        <w:t>蛋白脂肪双高</w:t>
      </w:r>
      <w:r>
        <w:rPr>
          <w:rFonts w:hint="eastAsia" w:ascii="Tahoma" w:hAnsi="Tahoma"/>
          <w:color w:val="auto"/>
          <w:szCs w:val="21"/>
          <w:shd w:val="clear" w:color="auto" w:fill="FFFFFF"/>
        </w:rPr>
        <w:t>品种，</w:t>
      </w:r>
      <w:r>
        <w:rPr>
          <w:rFonts w:ascii="Tahoma" w:hAnsi="Tahoma"/>
          <w:color w:val="auto"/>
          <w:szCs w:val="21"/>
          <w:shd w:val="clear" w:color="auto" w:fill="FFFFFF"/>
        </w:rPr>
        <w:t>抗病性好、适合机械化收获</w:t>
      </w:r>
      <w:r>
        <w:rPr>
          <w:rFonts w:hint="eastAsia" w:ascii="Tahoma" w:hAnsi="Tahoma"/>
          <w:color w:val="auto"/>
          <w:szCs w:val="21"/>
          <w:shd w:val="clear" w:color="auto" w:fill="FFFFFF"/>
        </w:rPr>
        <w:t>，</w:t>
      </w:r>
      <w:r>
        <w:rPr>
          <w:rFonts w:hint="eastAsia"/>
          <w:color w:val="auto"/>
        </w:rPr>
        <w:t>不可越区种植</w:t>
      </w:r>
      <w:r>
        <w:rPr>
          <w:rFonts w:hint="eastAsia" w:ascii="宋体" w:hAnsi="宋体"/>
          <w:color w:val="auto"/>
        </w:rPr>
        <w:t>。种子质量应符合G</w:t>
      </w:r>
      <w:r>
        <w:rPr>
          <w:rFonts w:ascii="宋体" w:hAnsi="宋体"/>
          <w:color w:val="auto"/>
        </w:rPr>
        <w:t>B/T 15671</w:t>
      </w:r>
      <w:r>
        <w:rPr>
          <w:rFonts w:hint="eastAsia" w:ascii="宋体" w:hAnsi="宋体"/>
          <w:color w:val="auto"/>
        </w:rPr>
        <w:t>的要求。</w:t>
      </w:r>
    </w:p>
    <w:p>
      <w:pPr>
        <w:pStyle w:val="16"/>
        <w:spacing w:before="156" w:after="156" w:line="340" w:lineRule="exact"/>
        <w:ind w:firstLine="0" w:firstLineChars="0"/>
        <w:rPr>
          <w:rFonts w:ascii="黑体" w:hAnsi="黑体" w:eastAsia="黑体"/>
          <w:color w:val="auto"/>
        </w:rPr>
      </w:pPr>
      <w:r>
        <w:rPr>
          <w:rFonts w:hint="eastAsia" w:ascii="黑体" w:hAnsi="黑体" w:eastAsia="黑体"/>
          <w:color w:val="auto"/>
        </w:rPr>
        <w:t>6.2</w:t>
      </w:r>
      <w:r>
        <w:rPr>
          <w:rFonts w:ascii="黑体" w:hAnsi="黑体" w:eastAsia="黑体"/>
          <w:color w:val="auto"/>
        </w:rPr>
        <w:t xml:space="preserve"> </w:t>
      </w:r>
      <w:r>
        <w:rPr>
          <w:rFonts w:hint="eastAsia" w:ascii="黑体" w:hAnsi="黑体" w:eastAsia="黑体"/>
          <w:color w:val="auto"/>
        </w:rPr>
        <w:t xml:space="preserve"> 种子处理</w:t>
      </w:r>
    </w:p>
    <w:p>
      <w:pPr>
        <w:pStyle w:val="16"/>
        <w:spacing w:before="156" w:after="156" w:line="340" w:lineRule="exact"/>
        <w:ind w:firstLine="0" w:firstLineChars="0"/>
        <w:rPr>
          <w:rFonts w:ascii="黑体" w:hAnsi="黑体" w:eastAsia="黑体"/>
          <w:color w:val="auto"/>
        </w:rPr>
      </w:pPr>
      <w:r>
        <w:rPr>
          <w:rFonts w:ascii="黑体" w:hAnsi="黑体" w:eastAsia="黑体"/>
          <w:color w:val="auto"/>
        </w:rPr>
        <w:t xml:space="preserve"> </w:t>
      </w:r>
      <w:r>
        <w:rPr>
          <w:rFonts w:hAnsi="宋体"/>
          <w:color w:val="auto"/>
        </w:rPr>
        <w:t xml:space="preserve">   </w:t>
      </w:r>
      <w:r>
        <w:rPr>
          <w:rFonts w:hint="eastAsia" w:hAnsi="宋体"/>
          <w:color w:val="auto"/>
        </w:rPr>
        <w:t>播种前将精选种子进行种衣剂、钼酸铵包衣处理，种衣剂应符合G</w:t>
      </w:r>
      <w:r>
        <w:rPr>
          <w:rFonts w:hAnsi="宋体"/>
          <w:color w:val="auto"/>
        </w:rPr>
        <w:t>B/T 8321</w:t>
      </w:r>
      <w:r>
        <w:rPr>
          <w:rFonts w:hint="eastAsia" w:hAnsi="宋体"/>
          <w:color w:val="auto"/>
        </w:rPr>
        <w:t>和N</w:t>
      </w:r>
      <w:r>
        <w:rPr>
          <w:rFonts w:hAnsi="宋体"/>
          <w:color w:val="auto"/>
        </w:rPr>
        <w:t>Y/T 1276</w:t>
      </w:r>
      <w:r>
        <w:rPr>
          <w:rFonts w:hint="eastAsia" w:hAnsi="宋体"/>
          <w:color w:val="auto"/>
        </w:rPr>
        <w:t>的要求，包衣应符合G</w:t>
      </w:r>
      <w:r>
        <w:rPr>
          <w:rFonts w:hAnsi="宋体"/>
          <w:color w:val="auto"/>
        </w:rPr>
        <w:t>B/T15671</w:t>
      </w:r>
      <w:r>
        <w:rPr>
          <w:rFonts w:hint="eastAsia" w:hAnsi="宋体"/>
          <w:color w:val="auto"/>
        </w:rPr>
        <w:t>的要求。</w:t>
      </w:r>
    </w:p>
    <w:p>
      <w:pPr>
        <w:pStyle w:val="16"/>
        <w:snapToGrid w:val="0"/>
        <w:spacing w:before="156" w:after="156" w:line="340" w:lineRule="exact"/>
        <w:ind w:firstLine="0" w:firstLineChars="0"/>
        <w:rPr>
          <w:rFonts w:ascii="黑体" w:hAnsi="黑体" w:eastAsia="黑体"/>
          <w:color w:val="auto"/>
        </w:rPr>
      </w:pPr>
      <w:r>
        <w:rPr>
          <w:rFonts w:hint="eastAsia" w:ascii="黑体" w:hAnsi="黑体" w:eastAsia="黑体"/>
          <w:color w:val="auto"/>
        </w:rPr>
        <w:t>7</w:t>
      </w:r>
      <w:r>
        <w:rPr>
          <w:rFonts w:hint="eastAsia"/>
          <w:color w:val="auto"/>
        </w:rPr>
        <w:t xml:space="preserve">  </w:t>
      </w:r>
      <w:r>
        <w:rPr>
          <w:rFonts w:hint="eastAsia" w:ascii="黑体" w:hAnsi="黑体" w:eastAsia="黑体"/>
          <w:color w:val="auto"/>
        </w:rPr>
        <w:t xml:space="preserve">播种与设施配置 </w:t>
      </w:r>
    </w:p>
    <w:p>
      <w:pPr>
        <w:pStyle w:val="16"/>
        <w:snapToGrid w:val="0"/>
        <w:spacing w:before="156" w:after="156" w:line="340" w:lineRule="exact"/>
        <w:ind w:firstLine="0" w:firstLineChars="0"/>
        <w:rPr>
          <w:rFonts w:ascii="黑体" w:hAnsi="黑体" w:eastAsia="黑体"/>
          <w:color w:val="auto"/>
        </w:rPr>
      </w:pPr>
      <w:r>
        <w:rPr>
          <w:rFonts w:hint="eastAsia" w:ascii="黑体" w:hAnsi="黑体" w:eastAsia="黑体"/>
          <w:color w:val="auto"/>
        </w:rPr>
        <w:t>7</w:t>
      </w:r>
      <w:r>
        <w:rPr>
          <w:rFonts w:ascii="黑体" w:hAnsi="黑体" w:eastAsia="黑体"/>
          <w:color w:val="auto"/>
        </w:rPr>
        <w:t xml:space="preserve">.1  </w:t>
      </w:r>
      <w:r>
        <w:rPr>
          <w:rFonts w:hint="eastAsia" w:ascii="黑体" w:hAnsi="黑体" w:eastAsia="黑体"/>
          <w:color w:val="auto"/>
        </w:rPr>
        <w:t>播种</w:t>
      </w:r>
    </w:p>
    <w:p>
      <w:pPr>
        <w:pStyle w:val="16"/>
        <w:snapToGrid w:val="0"/>
        <w:spacing w:before="156" w:after="156" w:line="340" w:lineRule="exact"/>
        <w:ind w:firstLine="0" w:firstLineChars="0"/>
        <w:rPr>
          <w:rFonts w:hint="eastAsia" w:ascii="黑体" w:hAnsi="黑体" w:eastAsia="黑体"/>
          <w:color w:val="auto"/>
          <w:lang w:val="en-US" w:eastAsia="zh-CN"/>
        </w:rPr>
      </w:pPr>
      <w:r>
        <w:rPr>
          <w:rFonts w:hint="eastAsia" w:ascii="黑体" w:hAnsi="黑体" w:eastAsia="黑体"/>
          <w:color w:val="auto"/>
          <w:lang w:val="en-US" w:eastAsia="zh-CN"/>
        </w:rPr>
        <w:t>7.1.1  播种要求</w:t>
      </w:r>
    </w:p>
    <w:p>
      <w:pPr>
        <w:pStyle w:val="16"/>
        <w:spacing w:before="156" w:after="156" w:line="340" w:lineRule="exact"/>
        <w:ind w:firstLine="420" w:firstLineChars="200"/>
        <w:rPr>
          <w:rFonts w:hint="eastAsia" w:asciiTheme="minorHAnsi" w:hAnsiTheme="minorHAnsi" w:eastAsiaTheme="minorEastAsia" w:cstheme="minorBidi"/>
          <w:color w:val="auto"/>
          <w:kern w:val="2"/>
          <w:sz w:val="21"/>
          <w:szCs w:val="24"/>
          <w:lang w:val="en-US" w:eastAsia="zh-CN" w:bidi="ar-SA"/>
        </w:rPr>
      </w:pPr>
      <w:r>
        <w:rPr>
          <w:rFonts w:hint="eastAsia" w:asciiTheme="minorHAnsi" w:hAnsiTheme="minorHAnsi" w:eastAsiaTheme="minorEastAsia" w:cstheme="minorBidi"/>
          <w:color w:val="auto"/>
          <w:kern w:val="2"/>
          <w:sz w:val="21"/>
          <w:szCs w:val="24"/>
          <w:lang w:val="en-US" w:eastAsia="zh-CN" w:bidi="ar-SA"/>
        </w:rPr>
        <w:t>在耕层5—10厘米地温稳定通过8℃时即可播种。除了地温适宜外，还要结合土壤水分状况，做到因地制宜，灵活掌握，确保大豆播在适播期。根据品种特征特性、土壤条件等因素确定播种量，播前24小时拌根瘤菌。播种深度为镇压后3-4cm，做到精细播种、用种精量、下籽均匀、深浅一致、覆土严密。</w:t>
      </w:r>
    </w:p>
    <w:p>
      <w:pPr>
        <w:pStyle w:val="16"/>
        <w:spacing w:before="156" w:after="156" w:line="340" w:lineRule="exact"/>
        <w:ind w:firstLine="0" w:firstLineChars="0"/>
        <w:rPr>
          <w:rFonts w:hint="eastAsia" w:ascii="黑体" w:hAnsi="黑体" w:eastAsia="黑体"/>
          <w:color w:val="auto"/>
          <w:szCs w:val="20"/>
          <w:lang w:val="en-US" w:eastAsia="zh-CN"/>
        </w:rPr>
      </w:pPr>
      <w:r>
        <w:rPr>
          <w:rFonts w:hint="eastAsia" w:ascii="黑体" w:hAnsi="黑体" w:eastAsia="黑体"/>
          <w:color w:val="auto"/>
          <w:szCs w:val="20"/>
          <w:lang w:val="en-US" w:eastAsia="zh-CN"/>
        </w:rPr>
        <w:t>7.1.2  机械作业</w:t>
      </w:r>
    </w:p>
    <w:p>
      <w:pPr>
        <w:pStyle w:val="16"/>
        <w:spacing w:before="156" w:after="156" w:line="340" w:lineRule="exact"/>
        <w:ind w:firstLine="420" w:firstLineChars="200"/>
        <w:rPr>
          <w:rFonts w:hint="eastAsia" w:hAnsi="宋体"/>
          <w:color w:val="auto"/>
          <w:szCs w:val="21"/>
          <w:lang w:val="en-US" w:eastAsia="zh-CN"/>
        </w:rPr>
      </w:pPr>
      <w:r>
        <w:rPr>
          <w:rFonts w:hint="eastAsia" w:hAnsi="宋体"/>
          <w:color w:val="auto"/>
          <w:szCs w:val="21"/>
          <w:lang w:val="en-US" w:eastAsia="zh-CN"/>
        </w:rPr>
        <w:t>使用具有导航功能大马力拖拉机，配套大豆浅埋滴灌专用精量播种机或免耕播种机一次性完成播种、施肥、铺设滴灌带、镇压等作业。车速控制在5公里</w:t>
      </w:r>
      <w:r>
        <w:rPr>
          <w:rFonts w:hAnsi="宋体"/>
          <w:color w:val="auto"/>
        </w:rPr>
        <w:t>/</w:t>
      </w:r>
      <w:r>
        <w:rPr>
          <w:rFonts w:hint="eastAsia" w:hAnsi="宋体"/>
          <w:color w:val="auto"/>
          <w:lang w:eastAsia="zh-CN"/>
        </w:rPr>
        <w:t>小时</w:t>
      </w:r>
      <w:r>
        <w:rPr>
          <w:rFonts w:hint="eastAsia" w:hAnsi="宋体"/>
          <w:color w:val="auto"/>
          <w:lang w:eastAsia="zh-CN"/>
        </w:rPr>
        <w:t>。</w:t>
      </w:r>
      <w:r>
        <w:rPr>
          <w:rFonts w:hint="eastAsia" w:hAnsi="宋体"/>
          <w:color w:val="auto"/>
          <w:szCs w:val="21"/>
          <w:lang w:val="en-US" w:eastAsia="zh-CN"/>
        </w:rPr>
        <w:t>平作推荐35cm、40cm、43.5cm等行距，每两行铺一根滴灌管。垄作推荐110cm大垄种3或4行，垄高10-15cm，保证垄台宽度70cm以上，如果垄台宽度不到70cm则要降垄的高度。垄上2行模式，行距：40cm，在两行间铺一根滴灌带；垄上3行模式，行距：20cm，任意一个间铺一根滴灌带；垄上4行模式，大行距（中间）：25cm，小行距（两边）12.5cm,，在中间大行铺一根滴灌带。</w:t>
      </w:r>
    </w:p>
    <w:p>
      <w:pPr>
        <w:pStyle w:val="16"/>
        <w:spacing w:before="156" w:after="156" w:line="340" w:lineRule="exact"/>
        <w:ind w:firstLine="420" w:firstLineChars="200"/>
        <w:rPr>
          <w:rFonts w:hint="eastAsia" w:hAnsi="宋体"/>
          <w:color w:val="auto"/>
          <w:szCs w:val="21"/>
          <w:lang w:val="en-US" w:eastAsia="zh-CN"/>
        </w:rPr>
      </w:pPr>
      <w:r>
        <w:rPr>
          <w:rFonts w:hint="eastAsia" w:hAnsi="宋体"/>
          <w:color w:val="auto"/>
          <w:szCs w:val="21"/>
          <w:lang w:val="en-US" w:eastAsia="zh-CN"/>
        </w:rPr>
        <w:t>将传统的垄上双行改为垄上4行，采用宽窄行种植模式，小行距20-30厘米，大行距30-50厘米，小流量滴灌带宜铺设在窄行中间，大流量可铺设在宽行中间。</w:t>
      </w:r>
    </w:p>
    <w:p>
      <w:pPr>
        <w:pStyle w:val="16"/>
        <w:snapToGrid w:val="0"/>
        <w:spacing w:before="156" w:after="156" w:line="340" w:lineRule="exact"/>
        <w:ind w:firstLine="0" w:firstLineChars="0"/>
        <w:rPr>
          <w:rFonts w:hint="eastAsia" w:ascii="黑体" w:hAnsi="黑体" w:eastAsia="黑体"/>
          <w:color w:val="auto"/>
        </w:rPr>
      </w:pPr>
      <w:r>
        <w:rPr>
          <w:rFonts w:hint="eastAsia" w:ascii="黑体" w:hAnsi="黑体" w:eastAsia="黑体"/>
          <w:color w:val="auto"/>
        </w:rPr>
        <w:t>7.2  设施配置</w:t>
      </w:r>
    </w:p>
    <w:p>
      <w:pPr>
        <w:pStyle w:val="16"/>
        <w:spacing w:before="156" w:after="156" w:line="340" w:lineRule="exact"/>
        <w:ind w:firstLine="420" w:firstLineChars="200"/>
        <w:rPr>
          <w:rFonts w:hint="eastAsia" w:hAnsi="宋体"/>
          <w:color w:val="auto"/>
          <w:szCs w:val="21"/>
          <w:lang w:val="en-US" w:eastAsia="zh-CN"/>
        </w:rPr>
      </w:pPr>
      <w:r>
        <w:rPr>
          <w:rFonts w:hint="eastAsia" w:hAnsi="宋体"/>
          <w:color w:val="auto"/>
          <w:szCs w:val="21"/>
          <w:lang w:val="en-US" w:eastAsia="zh-CN"/>
        </w:rPr>
        <w:t>主要有水源、首部枢纽、输配水管网和滴灌管（带）组成。滴灌设备的规格和型号根据生产实际进行选择，滴灌灌水器出水量一般在1.0-2.5 升/小时之间。首部枢纽包括加压、过滤和灌溉施肥等设施设备。输水管包括干管、支管和毛管，播种后将毛管、支管、主管和首部连通，保证系统安全可靠。</w:t>
      </w:r>
    </w:p>
    <w:p>
      <w:pPr>
        <w:pStyle w:val="16"/>
        <w:snapToGrid w:val="0"/>
        <w:spacing w:before="156" w:after="156" w:line="340" w:lineRule="exact"/>
        <w:ind w:firstLine="0" w:firstLineChars="0"/>
        <w:rPr>
          <w:rFonts w:hint="eastAsia" w:ascii="黑体" w:hAnsi="黑体" w:eastAsia="黑体"/>
          <w:color w:val="auto"/>
          <w:lang w:val="en-US" w:eastAsia="zh-CN"/>
        </w:rPr>
      </w:pPr>
      <w:r>
        <w:rPr>
          <w:rFonts w:hint="eastAsia" w:ascii="黑体" w:hAnsi="黑体" w:eastAsia="黑体"/>
          <w:color w:val="auto"/>
        </w:rPr>
        <w:t xml:space="preserve">8  </w:t>
      </w:r>
      <w:r>
        <w:rPr>
          <w:rFonts w:hint="eastAsia" w:ascii="黑体" w:hAnsi="黑体" w:eastAsia="黑体"/>
          <w:color w:val="auto"/>
          <w:lang w:eastAsia="zh-CN"/>
        </w:rPr>
        <w:t>水肥协同调控</w:t>
      </w:r>
    </w:p>
    <w:p>
      <w:pPr>
        <w:pStyle w:val="16"/>
        <w:snapToGrid w:val="0"/>
        <w:spacing w:before="156" w:after="156" w:line="340" w:lineRule="exact"/>
        <w:ind w:firstLine="420" w:firstLineChars="200"/>
        <w:rPr>
          <w:rFonts w:hint="eastAsia" w:ascii="宋体" w:hAnsi="宋体"/>
          <w:color w:val="auto"/>
        </w:rPr>
      </w:pPr>
      <w:r>
        <w:rPr>
          <w:rFonts w:hint="eastAsia" w:ascii="宋体" w:hAnsi="宋体"/>
          <w:color w:val="auto"/>
        </w:rPr>
        <w:t>全生育期一般灌水3-6次，每次灌水量10-30方/亩。播种后可根据墒情状况滴灌出苗水，在分枝期、初花期、盛花期、结荚期和鼓粒期结合降雨情况灌水，滴灌时地表湿土边缘超过播种行5—10cm即可，勿过量灌溉。</w:t>
      </w:r>
      <w:r>
        <w:rPr>
          <w:rFonts w:hint="eastAsia" w:ascii="宋体" w:hAnsi="宋体"/>
          <w:color w:val="auto"/>
          <w:szCs w:val="22"/>
        </w:rPr>
        <w:t>农田灌溉水质符合</w:t>
      </w:r>
      <w:r>
        <w:rPr>
          <w:rFonts w:hint="eastAsia" w:ascii="宋体" w:hAnsi="宋体"/>
          <w:color w:val="auto"/>
        </w:rPr>
        <w:t>G</w:t>
      </w:r>
      <w:r>
        <w:rPr>
          <w:rFonts w:ascii="宋体" w:hAnsi="宋体"/>
          <w:color w:val="auto"/>
        </w:rPr>
        <w:t>B 5084</w:t>
      </w:r>
      <w:r>
        <w:rPr>
          <w:rFonts w:hint="eastAsia" w:ascii="宋体" w:hAnsi="宋体"/>
          <w:color w:val="auto"/>
        </w:rPr>
        <w:t>标准。</w:t>
      </w:r>
    </w:p>
    <w:p>
      <w:pPr>
        <w:pStyle w:val="16"/>
        <w:snapToGrid w:val="0"/>
        <w:spacing w:before="156" w:after="156" w:line="340" w:lineRule="exact"/>
        <w:ind w:firstLine="420" w:firstLineChars="200"/>
        <w:rPr>
          <w:rFonts w:hint="eastAsia" w:ascii="宋体" w:hAnsi="宋体"/>
          <w:color w:val="auto"/>
        </w:rPr>
      </w:pPr>
      <w:r>
        <w:rPr>
          <w:rFonts w:hint="eastAsia" w:ascii="宋体" w:hAnsi="宋体"/>
          <w:color w:val="auto"/>
        </w:rPr>
        <w:t>高产地块一般施用氮肥（N）3.5—4.5公斤/亩、磷肥（P2O5）4.5—5.5公斤/亩、钾肥（K2O）3—4公斤/亩，30%氮钾和70%的磷肥做底肥</w:t>
      </w:r>
      <w:r>
        <w:rPr>
          <w:rFonts w:hint="eastAsia" w:hAnsi="宋体"/>
          <w:color w:val="auto"/>
          <w:lang w:eastAsia="zh-CN"/>
        </w:rPr>
        <w:t>，</w:t>
      </w:r>
      <w:r>
        <w:rPr>
          <w:rFonts w:hint="eastAsia" w:hAnsi="宋体"/>
          <w:color w:val="auto"/>
          <w:szCs w:val="21"/>
          <w:shd w:val="clear" w:color="auto" w:fill="FFFFFF"/>
        </w:rPr>
        <w:t>肥料施于种侧5</w:t>
      </w:r>
      <w:r>
        <w:rPr>
          <w:rFonts w:hAnsi="宋体"/>
          <w:color w:val="auto"/>
          <w:szCs w:val="21"/>
          <w:shd w:val="clear" w:color="auto" w:fill="FFFFFF"/>
        </w:rPr>
        <w:t>cm</w:t>
      </w:r>
      <w:r>
        <w:rPr>
          <w:rFonts w:hint="eastAsia" w:hAnsi="宋体"/>
          <w:color w:val="auto"/>
          <w:szCs w:val="21"/>
          <w:shd w:val="clear" w:color="auto" w:fill="FFFFFF"/>
        </w:rPr>
        <w:t>深8cm处</w:t>
      </w:r>
      <w:r>
        <w:rPr>
          <w:rFonts w:hint="eastAsia" w:hAnsi="宋体"/>
          <w:color w:val="auto"/>
          <w:szCs w:val="21"/>
          <w:shd w:val="clear" w:color="auto" w:fill="FFFFFF"/>
          <w:lang w:eastAsia="zh-CN"/>
        </w:rPr>
        <w:t>；</w:t>
      </w:r>
      <w:r>
        <w:rPr>
          <w:rFonts w:hint="eastAsia" w:ascii="宋体" w:hAnsi="宋体"/>
          <w:color w:val="auto"/>
        </w:rPr>
        <w:t>70%氮钾和30%的磷肥于初花期至结荚期分别随水追施。可结合追肥，适当补施硼肥和钼肥等微量元素水溶肥。</w:t>
      </w:r>
      <w:r>
        <w:rPr>
          <w:rFonts w:hint="eastAsia" w:hAnsi="宋体"/>
          <w:color w:val="auto"/>
          <w:szCs w:val="21"/>
          <w:shd w:val="clear" w:color="auto" w:fill="FFFFFF"/>
        </w:rPr>
        <w:t>肥料的使用应符合N</w:t>
      </w:r>
      <w:r>
        <w:rPr>
          <w:rFonts w:hAnsi="宋体"/>
          <w:color w:val="auto"/>
          <w:szCs w:val="21"/>
          <w:shd w:val="clear" w:color="auto" w:fill="FFFFFF"/>
        </w:rPr>
        <w:t>Y/T496</w:t>
      </w:r>
      <w:r>
        <w:rPr>
          <w:rFonts w:hint="eastAsia" w:hAnsi="宋体"/>
          <w:color w:val="auto"/>
          <w:szCs w:val="21"/>
          <w:shd w:val="clear" w:color="auto" w:fill="FFFFFF"/>
        </w:rPr>
        <w:t>的要求</w:t>
      </w:r>
      <w:r>
        <w:rPr>
          <w:rFonts w:hint="eastAsia" w:hAnsi="宋体"/>
          <w:color w:val="auto"/>
          <w:szCs w:val="21"/>
          <w:shd w:val="clear" w:color="auto" w:fill="FFFFFF"/>
        </w:rPr>
        <w:t>。</w:t>
      </w:r>
    </w:p>
    <w:p>
      <w:pPr>
        <w:pStyle w:val="16"/>
        <w:snapToGrid w:val="0"/>
        <w:spacing w:before="156" w:after="156" w:line="340" w:lineRule="exact"/>
        <w:ind w:firstLine="0" w:firstLineChars="0"/>
        <w:rPr>
          <w:rFonts w:hint="eastAsia" w:ascii="黑体" w:hAnsi="黑体" w:eastAsia="黑体"/>
          <w:color w:val="auto"/>
          <w:szCs w:val="21"/>
          <w:shd w:val="clear" w:color="auto" w:fill="FFFFFF"/>
          <w:lang w:eastAsia="zh-CN"/>
        </w:rPr>
      </w:pPr>
      <w:r>
        <w:rPr>
          <w:rFonts w:hint="eastAsia" w:ascii="黑体" w:hAnsi="黑体" w:eastAsia="黑体"/>
          <w:color w:val="auto"/>
          <w:szCs w:val="21"/>
          <w:shd w:val="clear" w:color="auto" w:fill="FFFFFF"/>
          <w:lang w:val="en-US" w:eastAsia="zh-CN"/>
        </w:rPr>
        <w:t>9</w:t>
      </w:r>
      <w:r>
        <w:rPr>
          <w:rFonts w:hint="eastAsia" w:ascii="黑体" w:hAnsi="黑体" w:eastAsia="黑体"/>
          <w:color w:val="auto"/>
          <w:szCs w:val="21"/>
          <w:shd w:val="clear" w:color="auto" w:fill="FFFFFF"/>
        </w:rPr>
        <w:t xml:space="preserve">  </w:t>
      </w:r>
      <w:r>
        <w:rPr>
          <w:rFonts w:hint="eastAsia" w:ascii="黑体" w:hAnsi="黑体" w:eastAsia="黑体"/>
          <w:color w:val="auto"/>
          <w:szCs w:val="21"/>
          <w:shd w:val="clear" w:color="auto" w:fill="FFFFFF"/>
          <w:lang w:eastAsia="zh-CN"/>
        </w:rPr>
        <w:t>中耕管理</w:t>
      </w:r>
    </w:p>
    <w:p>
      <w:pPr>
        <w:pStyle w:val="16"/>
        <w:snapToGrid w:val="0"/>
        <w:spacing w:before="156" w:after="156" w:line="340" w:lineRule="exact"/>
        <w:ind w:firstLine="420" w:firstLineChars="200"/>
        <w:rPr>
          <w:rFonts w:hint="eastAsia" w:ascii="宋体" w:hAnsi="宋体"/>
          <w:color w:val="auto"/>
          <w:lang w:eastAsia="zh-CN"/>
        </w:rPr>
      </w:pPr>
      <w:r>
        <w:rPr>
          <w:rFonts w:ascii="宋体" w:hAnsi="宋体"/>
          <w:color w:val="auto"/>
        </w:rPr>
        <w:t>一般进行3次中耕作业。第一次在大豆出齐苗后及时垄沟深松，间隔10—15天进行第二次中耕，封垄前完成最后一次中耕，可选择双杆尺、起垄铧、挡土板，起到散土、灭草、培土作用。</w:t>
      </w:r>
    </w:p>
    <w:p>
      <w:pPr>
        <w:pStyle w:val="16"/>
        <w:snapToGrid w:val="0"/>
        <w:spacing w:before="156" w:after="156" w:line="340" w:lineRule="exact"/>
        <w:ind w:firstLine="0" w:firstLineChars="0"/>
        <w:rPr>
          <w:rFonts w:hint="eastAsia" w:ascii="黑体" w:hAnsi="黑体" w:eastAsia="黑体"/>
          <w:color w:val="auto"/>
          <w:szCs w:val="22"/>
        </w:rPr>
      </w:pPr>
      <w:r>
        <w:rPr>
          <w:rFonts w:hint="eastAsia" w:ascii="黑体" w:hAnsi="黑体" w:eastAsia="黑体"/>
          <w:color w:val="auto"/>
          <w:szCs w:val="22"/>
          <w:lang w:val="en-US" w:eastAsia="zh-CN"/>
        </w:rPr>
        <w:t>10</w:t>
      </w:r>
      <w:r>
        <w:rPr>
          <w:rFonts w:hint="eastAsia" w:ascii="黑体" w:hAnsi="黑体" w:eastAsia="黑体"/>
          <w:color w:val="auto"/>
          <w:szCs w:val="22"/>
        </w:rPr>
        <w:t xml:space="preserve">  病虫草害防治</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lang w:val="en-US" w:eastAsia="zh-CN"/>
        </w:rPr>
        <w:t>10</w:t>
      </w:r>
      <w:r>
        <w:rPr>
          <w:rFonts w:ascii="黑体" w:hAnsi="黑体" w:eastAsia="黑体"/>
          <w:color w:val="auto"/>
          <w:szCs w:val="22"/>
        </w:rPr>
        <w:t>.1</w:t>
      </w:r>
      <w:r>
        <w:rPr>
          <w:rFonts w:hint="eastAsia" w:ascii="黑体" w:hAnsi="黑体" w:eastAsia="黑体"/>
          <w:color w:val="auto"/>
          <w:szCs w:val="22"/>
        </w:rPr>
        <w:t xml:space="preserve"> </w:t>
      </w:r>
      <w:r>
        <w:rPr>
          <w:rFonts w:hint="eastAsia" w:ascii="黑体" w:hAnsi="黑体" w:eastAsia="黑体"/>
          <w:color w:val="auto"/>
          <w:szCs w:val="22"/>
          <w:lang w:val="en-US" w:eastAsia="zh-CN"/>
        </w:rPr>
        <w:t xml:space="preserve"> </w:t>
      </w:r>
      <w:r>
        <w:rPr>
          <w:rFonts w:hint="eastAsia" w:ascii="黑体" w:hAnsi="黑体" w:eastAsia="黑体"/>
          <w:color w:val="auto"/>
          <w:szCs w:val="22"/>
        </w:rPr>
        <w:t>防治原则</w:t>
      </w:r>
    </w:p>
    <w:p>
      <w:pPr>
        <w:pStyle w:val="16"/>
        <w:snapToGrid w:val="0"/>
        <w:spacing w:before="156" w:after="156" w:line="340" w:lineRule="exact"/>
        <w:ind w:firstLine="0" w:firstLineChars="0"/>
        <w:rPr>
          <w:rFonts w:hint="eastAsia" w:ascii="黑体" w:hAnsi="黑体" w:eastAsiaTheme="minorEastAsia"/>
          <w:color w:val="auto"/>
          <w:szCs w:val="22"/>
          <w:lang w:eastAsia="zh-CN"/>
        </w:rPr>
      </w:pPr>
      <w:r>
        <w:rPr>
          <w:rFonts w:hint="eastAsia" w:ascii="黑体" w:hAnsi="黑体" w:eastAsia="黑体"/>
          <w:color w:val="auto"/>
          <w:szCs w:val="22"/>
        </w:rPr>
        <w:t xml:space="preserve"> </w:t>
      </w:r>
      <w:r>
        <w:rPr>
          <w:rFonts w:ascii="黑体" w:hAnsi="黑体" w:eastAsia="黑体"/>
          <w:color w:val="auto"/>
          <w:szCs w:val="22"/>
        </w:rPr>
        <w:t xml:space="preserve">  </w:t>
      </w:r>
      <w:r>
        <w:rPr>
          <w:rFonts w:hAnsi="宋体"/>
          <w:color w:val="auto"/>
          <w:szCs w:val="22"/>
        </w:rPr>
        <w:t xml:space="preserve"> </w:t>
      </w:r>
      <w:r>
        <w:rPr>
          <w:rFonts w:hint="eastAsia" w:hAnsi="宋体"/>
          <w:color w:val="auto"/>
          <w:szCs w:val="22"/>
        </w:rPr>
        <w:t>坚持“预防为主，综合防治”的植保方针，以农业防治为基础，优先采用物理和生物防治技术，化学防治应使用高效、低毒、低残留农药品种，药剂选择和使用应符合G</w:t>
      </w:r>
      <w:r>
        <w:rPr>
          <w:rFonts w:hAnsi="宋体"/>
          <w:color w:val="auto"/>
          <w:szCs w:val="22"/>
        </w:rPr>
        <w:t>B/T 8321</w:t>
      </w:r>
      <w:r>
        <w:rPr>
          <w:rFonts w:hint="eastAsia" w:hAnsi="宋体"/>
          <w:color w:val="auto"/>
          <w:szCs w:val="22"/>
        </w:rPr>
        <w:t>和N</w:t>
      </w:r>
      <w:r>
        <w:rPr>
          <w:rFonts w:hAnsi="宋体"/>
          <w:color w:val="auto"/>
          <w:szCs w:val="22"/>
        </w:rPr>
        <w:t>Y/T 1276</w:t>
      </w:r>
      <w:r>
        <w:rPr>
          <w:rFonts w:hint="eastAsia" w:hAnsi="宋体"/>
          <w:color w:val="auto"/>
          <w:szCs w:val="22"/>
        </w:rPr>
        <w:t>的要求。</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lang w:val="en-US" w:eastAsia="zh-CN"/>
        </w:rPr>
        <w:t>10</w:t>
      </w:r>
      <w:r>
        <w:rPr>
          <w:rFonts w:ascii="黑体" w:hAnsi="黑体" w:eastAsia="黑体"/>
          <w:color w:val="auto"/>
          <w:szCs w:val="22"/>
        </w:rPr>
        <w:t>.2</w:t>
      </w:r>
      <w:r>
        <w:rPr>
          <w:rFonts w:hint="eastAsia" w:ascii="黑体" w:hAnsi="黑体" w:eastAsia="黑体"/>
          <w:color w:val="auto"/>
          <w:szCs w:val="22"/>
        </w:rPr>
        <w:t xml:space="preserve"> </w:t>
      </w:r>
      <w:r>
        <w:rPr>
          <w:rFonts w:hint="eastAsia" w:ascii="黑体" w:hAnsi="黑体" w:eastAsia="黑体"/>
          <w:color w:val="auto"/>
          <w:szCs w:val="22"/>
          <w:lang w:val="en-US" w:eastAsia="zh-CN"/>
        </w:rPr>
        <w:t xml:space="preserve"> </w:t>
      </w:r>
      <w:r>
        <w:rPr>
          <w:rFonts w:hint="eastAsia" w:ascii="黑体" w:hAnsi="黑体" w:eastAsia="黑体"/>
          <w:color w:val="auto"/>
          <w:szCs w:val="22"/>
        </w:rPr>
        <w:t>病害防治</w:t>
      </w:r>
    </w:p>
    <w:p>
      <w:pPr>
        <w:pStyle w:val="16"/>
        <w:snapToGrid w:val="0"/>
        <w:spacing w:before="156" w:after="156" w:line="340" w:lineRule="exact"/>
        <w:ind w:firstLineChars="0"/>
        <w:rPr>
          <w:rFonts w:hAnsi="宋体"/>
          <w:color w:val="auto"/>
          <w:szCs w:val="22"/>
        </w:rPr>
      </w:pPr>
      <w:r>
        <w:rPr>
          <w:rFonts w:hint="eastAsia" w:hAnsi="宋体"/>
          <w:color w:val="auto"/>
          <w:szCs w:val="22"/>
        </w:rPr>
        <w:t>大豆根腐病、菌核病等的防治技术可按N</w:t>
      </w:r>
      <w:r>
        <w:rPr>
          <w:rFonts w:hAnsi="宋体"/>
          <w:color w:val="auto"/>
          <w:szCs w:val="22"/>
        </w:rPr>
        <w:t>Y/T 2159</w:t>
      </w:r>
      <w:r>
        <w:rPr>
          <w:rFonts w:hint="eastAsia" w:hAnsi="宋体"/>
          <w:color w:val="auto"/>
          <w:szCs w:val="22"/>
        </w:rPr>
        <w:t>的要求进行。</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lang w:val="en-US" w:eastAsia="zh-CN"/>
        </w:rPr>
        <w:t>10</w:t>
      </w:r>
      <w:r>
        <w:rPr>
          <w:rFonts w:ascii="黑体" w:hAnsi="黑体" w:eastAsia="黑体"/>
          <w:color w:val="auto"/>
          <w:szCs w:val="22"/>
        </w:rPr>
        <w:t>.3</w:t>
      </w:r>
      <w:r>
        <w:rPr>
          <w:rFonts w:hint="eastAsia" w:ascii="黑体" w:hAnsi="黑体" w:eastAsia="黑体"/>
          <w:color w:val="auto"/>
          <w:szCs w:val="22"/>
        </w:rPr>
        <w:t xml:space="preserve"> </w:t>
      </w:r>
      <w:r>
        <w:rPr>
          <w:rFonts w:hint="eastAsia" w:ascii="黑体" w:hAnsi="黑体" w:eastAsia="黑体"/>
          <w:color w:val="auto"/>
          <w:szCs w:val="22"/>
          <w:lang w:val="en-US" w:eastAsia="zh-CN"/>
        </w:rPr>
        <w:t xml:space="preserve"> </w:t>
      </w:r>
      <w:r>
        <w:rPr>
          <w:rFonts w:hint="eastAsia" w:ascii="黑体" w:hAnsi="黑体" w:eastAsia="黑体"/>
          <w:color w:val="auto"/>
          <w:szCs w:val="22"/>
        </w:rPr>
        <w:t>虫害防治</w:t>
      </w:r>
    </w:p>
    <w:p>
      <w:pPr>
        <w:pStyle w:val="16"/>
        <w:snapToGrid w:val="0"/>
        <w:spacing w:before="156" w:after="156" w:line="340" w:lineRule="exact"/>
        <w:ind w:firstLine="0" w:firstLineChars="0"/>
        <w:rPr>
          <w:rFonts w:hAnsi="宋体"/>
          <w:color w:val="auto"/>
          <w:szCs w:val="22"/>
        </w:rPr>
      </w:pPr>
      <w:r>
        <w:rPr>
          <w:rFonts w:hint="eastAsia" w:hAnsi="宋体"/>
          <w:color w:val="auto"/>
          <w:szCs w:val="22"/>
        </w:rPr>
        <w:t xml:space="preserve"> </w:t>
      </w:r>
      <w:r>
        <w:rPr>
          <w:rFonts w:hAnsi="宋体"/>
          <w:color w:val="auto"/>
          <w:szCs w:val="22"/>
        </w:rPr>
        <w:t xml:space="preserve">   </w:t>
      </w:r>
      <w:r>
        <w:rPr>
          <w:rFonts w:hint="eastAsia" w:hAnsi="宋体"/>
          <w:color w:val="auto"/>
          <w:szCs w:val="22"/>
        </w:rPr>
        <w:t>大豆食心虫、大豆蚜虫等的防治技术可按N</w:t>
      </w:r>
      <w:r>
        <w:rPr>
          <w:rFonts w:hAnsi="宋体"/>
          <w:color w:val="auto"/>
          <w:szCs w:val="22"/>
        </w:rPr>
        <w:t>Y/T 495</w:t>
      </w:r>
      <w:r>
        <w:rPr>
          <w:rFonts w:hint="eastAsia" w:hAnsi="宋体"/>
          <w:color w:val="auto"/>
          <w:szCs w:val="22"/>
        </w:rPr>
        <w:t>的要求进行。</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lang w:val="en-US" w:eastAsia="zh-CN"/>
        </w:rPr>
        <w:t>10</w:t>
      </w:r>
      <w:r>
        <w:rPr>
          <w:rFonts w:ascii="黑体" w:hAnsi="黑体" w:eastAsia="黑体"/>
          <w:color w:val="auto"/>
          <w:szCs w:val="22"/>
        </w:rPr>
        <w:t xml:space="preserve">.4 </w:t>
      </w:r>
      <w:r>
        <w:rPr>
          <w:rFonts w:hint="eastAsia" w:ascii="黑体" w:hAnsi="黑体" w:eastAsia="黑体"/>
          <w:color w:val="auto"/>
          <w:szCs w:val="22"/>
          <w:lang w:val="en-US" w:eastAsia="zh-CN"/>
        </w:rPr>
        <w:t xml:space="preserve"> </w:t>
      </w:r>
      <w:r>
        <w:rPr>
          <w:rFonts w:hint="eastAsia" w:ascii="黑体" w:hAnsi="黑体" w:eastAsia="黑体"/>
          <w:color w:val="auto"/>
          <w:szCs w:val="22"/>
        </w:rPr>
        <w:t>草害防治</w:t>
      </w:r>
    </w:p>
    <w:p>
      <w:pPr>
        <w:pStyle w:val="16"/>
        <w:snapToGrid w:val="0"/>
        <w:spacing w:before="156" w:after="156" w:line="340" w:lineRule="exact"/>
        <w:ind w:firstLine="0" w:firstLineChars="0"/>
        <w:rPr>
          <w:rFonts w:hAnsi="宋体"/>
          <w:color w:val="auto"/>
          <w:szCs w:val="22"/>
        </w:rPr>
      </w:pPr>
      <w:r>
        <w:rPr>
          <w:rFonts w:hint="eastAsia" w:hAnsi="宋体"/>
          <w:color w:val="auto"/>
          <w:szCs w:val="22"/>
        </w:rPr>
        <w:t xml:space="preserve"> </w:t>
      </w:r>
      <w:r>
        <w:rPr>
          <w:rFonts w:hAnsi="宋体"/>
          <w:color w:val="auto"/>
          <w:szCs w:val="22"/>
        </w:rPr>
        <w:t xml:space="preserve">   </w:t>
      </w:r>
      <w:r>
        <w:rPr>
          <w:rFonts w:hint="eastAsia" w:hAnsi="宋体"/>
          <w:color w:val="auto"/>
          <w:szCs w:val="22"/>
        </w:rPr>
        <w:t>应选用高效、低毒、低残留对下茬作物安全的除草剂，宜采用播后封闭和苗期茎叶处理相结合的方式。</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rPr>
        <w:t>1</w:t>
      </w:r>
      <w:r>
        <w:rPr>
          <w:rFonts w:hint="eastAsia" w:ascii="黑体" w:hAnsi="黑体" w:eastAsia="黑体"/>
          <w:color w:val="auto"/>
          <w:szCs w:val="22"/>
          <w:lang w:val="en-US" w:eastAsia="zh-CN"/>
        </w:rPr>
        <w:t>1</w:t>
      </w:r>
      <w:r>
        <w:rPr>
          <w:rFonts w:ascii="黑体" w:hAnsi="黑体" w:eastAsia="黑体"/>
          <w:color w:val="auto"/>
          <w:szCs w:val="22"/>
        </w:rPr>
        <w:t xml:space="preserve">  </w:t>
      </w:r>
      <w:r>
        <w:rPr>
          <w:rFonts w:hint="eastAsia" w:ascii="黑体" w:hAnsi="黑体" w:eastAsia="黑体"/>
          <w:color w:val="auto"/>
          <w:szCs w:val="22"/>
        </w:rPr>
        <w:t>收获</w:t>
      </w:r>
    </w:p>
    <w:p>
      <w:pPr>
        <w:pStyle w:val="16"/>
        <w:snapToGrid w:val="0"/>
        <w:spacing w:before="156" w:after="156" w:line="340" w:lineRule="exact"/>
        <w:ind w:firstLine="0" w:firstLineChars="0"/>
        <w:rPr>
          <w:rFonts w:hint="default" w:hAnsi="宋体" w:eastAsiaTheme="minorEastAsia"/>
          <w:color w:val="auto"/>
          <w:szCs w:val="22"/>
          <w:lang w:val="en-US" w:eastAsia="zh-CN"/>
        </w:rPr>
      </w:pPr>
      <w:r>
        <w:rPr>
          <w:rFonts w:hint="eastAsia" w:hAnsi="宋体"/>
          <w:color w:val="auto"/>
          <w:szCs w:val="22"/>
        </w:rPr>
        <w:t xml:space="preserve"> </w:t>
      </w:r>
      <w:r>
        <w:rPr>
          <w:rFonts w:hAnsi="宋体"/>
          <w:color w:val="auto"/>
          <w:szCs w:val="22"/>
        </w:rPr>
        <w:t xml:space="preserve">   </w:t>
      </w:r>
      <w:r>
        <w:rPr>
          <w:rFonts w:hint="eastAsia" w:hAnsi="宋体"/>
          <w:color w:val="auto"/>
          <w:szCs w:val="22"/>
        </w:rPr>
        <w:t>在大豆叶全部脱落、茎杆黄枯、豆粒归圆时进行机械收获。</w:t>
      </w:r>
      <w:r>
        <w:rPr>
          <w:rFonts w:hint="eastAsia" w:hAnsi="宋体"/>
          <w:color w:val="auto"/>
          <w:szCs w:val="22"/>
          <w:lang w:val="en-US" w:eastAsia="zh-CN"/>
        </w:rPr>
        <w:t>大豆机械化收获作业应符合《N/Y738-2020大豆联合收割机作业质量》要求，使用大豆联合收割机直接收获。</w:t>
      </w:r>
    </w:p>
    <w:p>
      <w:pPr>
        <w:pStyle w:val="16"/>
        <w:snapToGrid w:val="0"/>
        <w:spacing w:before="156" w:after="156" w:line="340" w:lineRule="exact"/>
        <w:ind w:firstLine="0" w:firstLineChars="0"/>
        <w:rPr>
          <w:rFonts w:ascii="黑体" w:hAnsi="黑体" w:eastAsia="黑体"/>
          <w:color w:val="auto"/>
          <w:szCs w:val="22"/>
        </w:rPr>
      </w:pPr>
      <w:r>
        <w:rPr>
          <w:rFonts w:hint="eastAsia" w:ascii="黑体" w:hAnsi="黑体" w:eastAsia="黑体"/>
          <w:color w:val="auto"/>
          <w:szCs w:val="22"/>
        </w:rPr>
        <w:t>1</w:t>
      </w:r>
      <w:r>
        <w:rPr>
          <w:rFonts w:hint="eastAsia" w:ascii="黑体" w:hAnsi="黑体" w:eastAsia="黑体"/>
          <w:color w:val="auto"/>
          <w:szCs w:val="22"/>
          <w:lang w:val="en-US" w:eastAsia="zh-CN"/>
        </w:rPr>
        <w:t>2</w:t>
      </w:r>
      <w:r>
        <w:rPr>
          <w:rFonts w:ascii="黑体" w:hAnsi="黑体" w:eastAsia="黑体"/>
          <w:color w:val="auto"/>
          <w:szCs w:val="22"/>
        </w:rPr>
        <w:t xml:space="preserve"> </w:t>
      </w:r>
      <w:r>
        <w:rPr>
          <w:rFonts w:hint="eastAsia" w:ascii="黑体" w:hAnsi="黑体" w:eastAsia="黑体"/>
          <w:color w:val="auto"/>
          <w:szCs w:val="22"/>
          <w:lang w:val="en-US" w:eastAsia="zh-CN"/>
        </w:rPr>
        <w:t xml:space="preserve"> </w:t>
      </w:r>
      <w:r>
        <w:rPr>
          <w:rFonts w:hint="eastAsia" w:ascii="黑体" w:hAnsi="黑体" w:eastAsia="黑体"/>
          <w:color w:val="auto"/>
          <w:szCs w:val="22"/>
        </w:rPr>
        <w:t>田建档案</w:t>
      </w:r>
    </w:p>
    <w:p>
      <w:pPr>
        <w:pStyle w:val="16"/>
        <w:spacing w:before="156" w:after="156" w:line="340" w:lineRule="exact"/>
        <w:rPr>
          <w:rFonts w:hint="eastAsia" w:hAnsi="宋体"/>
          <w:color w:val="auto"/>
          <w:szCs w:val="21"/>
          <w:shd w:val="clear" w:color="auto" w:fill="FFFFFF"/>
        </w:rPr>
      </w:pPr>
      <w:r>
        <w:rPr>
          <w:rFonts w:hint="eastAsia" w:hAnsi="宋体"/>
          <w:color w:val="auto"/>
          <w:szCs w:val="21"/>
          <w:shd w:val="clear" w:color="auto" w:fill="FFFFFF"/>
        </w:rPr>
        <w:t>建立田间技术生产档案，内容包括选茬、整地、选种及种子处理、播种、设施配置、施肥、滴灌方法、病虫草害防治、收获等。</w:t>
      </w:r>
    </w:p>
    <w:p>
      <w:pPr>
        <w:pStyle w:val="16"/>
        <w:spacing w:before="156" w:after="156" w:line="340" w:lineRule="exact"/>
        <w:rPr>
          <w:rFonts w:hint="eastAsia" w:hAnsi="宋体"/>
          <w:color w:val="auto"/>
          <w:szCs w:val="21"/>
          <w:shd w:val="clear" w:color="auto" w:fill="FFFFFF"/>
          <w:lang w:eastAsia="zh-CN"/>
        </w:rPr>
      </w:pPr>
    </w:p>
    <w:p>
      <w:pPr>
        <w:pStyle w:val="14"/>
        <w:numPr>
          <w:ilvl w:val="0"/>
          <w:numId w:val="0"/>
        </w:numPr>
        <w:snapToGrid w:val="0"/>
        <w:spacing w:before="156" w:after="156" w:line="340" w:lineRule="exact"/>
        <w:rPr>
          <w:color w:val="auto"/>
          <w:kern w:val="2"/>
          <w:szCs w:val="24"/>
        </w:rPr>
      </w:pPr>
    </w:p>
    <w:sectPr>
      <w:footerReference r:id="rId5" w:type="default"/>
      <w:pgSz w:w="11906" w:h="16838"/>
      <w:pgMar w:top="1701" w:right="1474" w:bottom="1134" w:left="1587" w:header="1418" w:footer="113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4D34DD-8CA6-427F-8785-6B38FC6CF54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B0EB6C2E-5372-4E87-AA68-894BEB36D63A}"/>
  </w:font>
  <w:font w:name="华文中宋">
    <w:altName w:val="宋体"/>
    <w:panose1 w:val="02010600040101010101"/>
    <w:charset w:val="86"/>
    <w:family w:val="auto"/>
    <w:pitch w:val="default"/>
    <w:sig w:usb0="00000000" w:usb1="00000000" w:usb2="00000000" w:usb3="00000000" w:csb0="0004009F" w:csb1="DFD70000"/>
    <w:embedRegular r:id="rId3" w:fontKey="{442C40A1-A51D-4026-8AE8-5AEBFDBCA0EC}"/>
  </w:font>
  <w:font w:name="Cambria Math">
    <w:panose1 w:val="02040503050406030204"/>
    <w:charset w:val="00"/>
    <w:family w:val="roman"/>
    <w:pitch w:val="default"/>
    <w:sig w:usb0="E00002FF" w:usb1="420024FF" w:usb2="00000000" w:usb3="00000000" w:csb0="2000019F" w:csb1="00000000"/>
    <w:embedRegular r:id="rId4" w:fontKey="{03C691E6-ECB7-467D-A281-CC02E4F29598}"/>
  </w:font>
  <w:font w:name="方正小标宋_GBK">
    <w:panose1 w:val="03000509000000000000"/>
    <w:charset w:val="86"/>
    <w:family w:val="auto"/>
    <w:pitch w:val="default"/>
    <w:sig w:usb0="00000001" w:usb1="080E0000" w:usb2="00000000" w:usb3="00000000" w:csb0="00040000" w:csb1="00000000"/>
    <w:embedRegular r:id="rId5" w:fontKey="{05BB73BE-439D-4F79-95AA-5DD99328FC4B}"/>
  </w:font>
  <w:font w:name="Tahoma">
    <w:panose1 w:val="020B0604030504040204"/>
    <w:charset w:val="00"/>
    <w:family w:val="swiss"/>
    <w:pitch w:val="default"/>
    <w:sig w:usb0="E1002EFF" w:usb1="C000605B" w:usb2="00000029" w:usb3="00000000" w:csb0="200101FF" w:csb1="20280000"/>
    <w:embedRegular r:id="rId6" w:fontKey="{36B7718C-9B10-4F5F-AD2A-641AE31BA01A}"/>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embedRegular r:id="rId7" w:fontKey="{A9ADF609-C4CD-40D2-BAC0-1643CA842B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mc:AlternateContent>
        <mc:Choice Requires="wps">
          <w:drawing>
            <wp:anchor distT="0" distB="0" distL="0" distR="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_x0000_s1025"/>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pStyle w:val="37"/>
                          </w:pPr>
                          <w:r>
                            <w:fldChar w:fldCharType="begin"/>
                          </w:r>
                          <w:r>
                            <w:instrText xml:space="preserve"> PAGE  \* MERGEFORMAT </w:instrText>
                          </w:r>
                          <w:r>
                            <w:fldChar w:fldCharType="separate"/>
                          </w:r>
                          <w:r>
                            <w:t>II</w:t>
                          </w:r>
                          <w:r>
                            <w:fldChar w:fldCharType="end"/>
                          </w:r>
                        </w:p>
                        <w:p/>
                      </w:txbxContent>
                    </wps:txbx>
                    <wps:bodyPr rot="0" vert="horz" wrap="square" lIns="0" tIns="0" rIns="0" bIns="0" anchor="t" anchorCtr="0"/>
                  </wps:wsp>
                </a:graphicData>
              </a:graphic>
            </wp:anchor>
          </w:drawing>
        </mc:Choice>
        <mc:Fallback>
          <w:pict>
            <v:rect id="_x0000_s1025" o:spid="_x0000_s1026" o:spt="1" style="position:absolute;left:0pt;margin-top:0pt;height:144pt;width:144pt;mso-position-horizontal:right;mso-position-horizontal-relative:margin;z-index:251664384;mso-width-relative:page;mso-height-relative:page;" filled="f" stroked="f" coordsize="21600,21600" o:gfxdata="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FmtmPLTAAAA&#10;BQEAAA8AAAAAAAAAAQAgAAAAIgAAAGRycy9kb3ducmV2LnhtbFBLAQIUABQAAAAIAIdO4kBcJ8nv&#10;sAEAAHYDAAAOAAAAAAAAAAEAIAAAACIBAABkcnMvZTJvRG9jLnhtbFBLBQYAAAAABgAGAFkBAABE&#10;BQAAAAA=&#10;">
              <v:fill on="f" focussize="0,0"/>
              <v:stroke on="f"/>
              <v:imagedata o:title=""/>
              <o:lock v:ext="edit" aspectratio="f"/>
              <v:textbox inset="0mm,0mm,0mm,0mm">
                <w:txbxContent>
                  <w:p>
                    <w:pPr>
                      <w:pStyle w:val="37"/>
                    </w:pPr>
                    <w:r>
                      <w:fldChar w:fldCharType="begin"/>
                    </w:r>
                    <w:r>
                      <w:instrText xml:space="preserve"> PAGE  \* MERGEFORMAT </w:instrText>
                    </w:r>
                    <w:r>
                      <w:fldChar w:fldCharType="separate"/>
                    </w:r>
                    <w:r>
                      <w:t>II</w:t>
                    </w:r>
                    <w:r>
                      <w:fldChar w:fldCharType="end"/>
                    </w:r>
                  </w:p>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DB23/T XXXX</w:t>
    </w:r>
    <w:r>
      <w:rPr>
        <w:rFonts w:hint="eastAsia"/>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pStyle w:val="3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0" w:firstLine="0"/>
      </w:pPr>
      <w:rPr>
        <w:rFonts w:hint="eastAsia" w:ascii="黑体" w:hAnsi="Times New Roman" w:eastAsia="黑体"/>
        <w:b w:val="0"/>
        <w:bCs w:val="0"/>
        <w:i w:val="0"/>
        <w:iCs w:val="0"/>
        <w:vanish/>
        <w:spacing w:val="0"/>
        <w:ker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wMjhkN2RiNmQ1YTY5MTIyZTQwODY2OGVkODJhNGUifQ=="/>
    <w:docVar w:name="KSO_WPS_MARK_KEY" w:val="df09bf2a-6520-4b98-970b-36b00afcb55f"/>
  </w:docVars>
  <w:rsids>
    <w:rsidRoot w:val="008B032B"/>
    <w:rsid w:val="000E11ED"/>
    <w:rsid w:val="0011171E"/>
    <w:rsid w:val="00263667"/>
    <w:rsid w:val="005F679C"/>
    <w:rsid w:val="007B3C36"/>
    <w:rsid w:val="008B032B"/>
    <w:rsid w:val="00992FA6"/>
    <w:rsid w:val="009C276B"/>
    <w:rsid w:val="00B676EC"/>
    <w:rsid w:val="00B92181"/>
    <w:rsid w:val="00C7260B"/>
    <w:rsid w:val="00CE01D7"/>
    <w:rsid w:val="00CF4870"/>
    <w:rsid w:val="00E4701E"/>
    <w:rsid w:val="00E749F0"/>
    <w:rsid w:val="012F6DAD"/>
    <w:rsid w:val="028673CC"/>
    <w:rsid w:val="036773CB"/>
    <w:rsid w:val="043E1FEF"/>
    <w:rsid w:val="05784B43"/>
    <w:rsid w:val="069A568D"/>
    <w:rsid w:val="0AA96F34"/>
    <w:rsid w:val="0B49554C"/>
    <w:rsid w:val="0D7C6A10"/>
    <w:rsid w:val="11675632"/>
    <w:rsid w:val="14AA20B4"/>
    <w:rsid w:val="15FC6940"/>
    <w:rsid w:val="16D72F09"/>
    <w:rsid w:val="19EE2A43"/>
    <w:rsid w:val="1AD47382"/>
    <w:rsid w:val="1CCB706C"/>
    <w:rsid w:val="1D291377"/>
    <w:rsid w:val="1E5F5CBE"/>
    <w:rsid w:val="1F3233D2"/>
    <w:rsid w:val="2424583B"/>
    <w:rsid w:val="261A4BC0"/>
    <w:rsid w:val="26F61189"/>
    <w:rsid w:val="291F5DFE"/>
    <w:rsid w:val="293146FB"/>
    <w:rsid w:val="297939AC"/>
    <w:rsid w:val="29892612"/>
    <w:rsid w:val="2E36678D"/>
    <w:rsid w:val="2E7303CE"/>
    <w:rsid w:val="2F501D5E"/>
    <w:rsid w:val="2FC242FE"/>
    <w:rsid w:val="30AF6576"/>
    <w:rsid w:val="37543CB0"/>
    <w:rsid w:val="37F775F2"/>
    <w:rsid w:val="38995A4C"/>
    <w:rsid w:val="39C400BB"/>
    <w:rsid w:val="3A900388"/>
    <w:rsid w:val="3C6B7ACC"/>
    <w:rsid w:val="3D852F19"/>
    <w:rsid w:val="4253528A"/>
    <w:rsid w:val="444B4F44"/>
    <w:rsid w:val="44C7398A"/>
    <w:rsid w:val="49E1317B"/>
    <w:rsid w:val="4FD72128"/>
    <w:rsid w:val="54B13196"/>
    <w:rsid w:val="55D15D82"/>
    <w:rsid w:val="56835CE6"/>
    <w:rsid w:val="59C54887"/>
    <w:rsid w:val="59F46C89"/>
    <w:rsid w:val="5FC7084C"/>
    <w:rsid w:val="61212877"/>
    <w:rsid w:val="62ED7408"/>
    <w:rsid w:val="636060F6"/>
    <w:rsid w:val="653B3C30"/>
    <w:rsid w:val="6593581A"/>
    <w:rsid w:val="67F12E18"/>
    <w:rsid w:val="69981651"/>
    <w:rsid w:val="6AC07464"/>
    <w:rsid w:val="6E0E1EE1"/>
    <w:rsid w:val="70833C38"/>
    <w:rsid w:val="72253C9E"/>
    <w:rsid w:val="72442376"/>
    <w:rsid w:val="76D31F1A"/>
    <w:rsid w:val="79CE28CA"/>
    <w:rsid w:val="7F945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Calibri" w:hAnsi="Calibri"/>
      <w:szCs w:val="22"/>
    </w:rPr>
  </w:style>
  <w:style w:type="paragraph" w:styleId="3">
    <w:name w:val="footer"/>
    <w:basedOn w:val="1"/>
    <w:qFormat/>
    <w:uiPriority w:val="99"/>
    <w:pPr>
      <w:snapToGrid w:val="0"/>
      <w:ind w:right="210" w:rightChars="100"/>
      <w:jc w:val="right"/>
    </w:pPr>
    <w:rPr>
      <w:sz w:val="18"/>
      <w:szCs w:val="18"/>
    </w:rPr>
  </w:style>
  <w:style w:type="paragraph" w:styleId="4">
    <w:name w:val="header"/>
    <w:basedOn w:val="1"/>
    <w:link w:val="40"/>
    <w:qFormat/>
    <w:uiPriority w:val="0"/>
    <w:pPr>
      <w:tabs>
        <w:tab w:val="center" w:pos="4153"/>
        <w:tab w:val="right" w:pos="8306"/>
      </w:tabs>
      <w:snapToGrid w:val="0"/>
      <w:jc w:val="center"/>
    </w:pPr>
    <w:rPr>
      <w:sz w:val="18"/>
      <w:szCs w:val="18"/>
    </w:rPr>
  </w:style>
  <w:style w:type="character" w:customStyle="1" w:styleId="7">
    <w:name w:val="默认段落字体1"/>
    <w:qFormat/>
    <w:uiPriority w:val="0"/>
    <w:rPr>
      <w:rFonts w:ascii="Times New Roman" w:hAnsi="Times New Roman" w:eastAsia="宋体"/>
    </w:rPr>
  </w:style>
  <w:style w:type="table" w:customStyle="1" w:styleId="8">
    <w:name w:val="普通表格1"/>
    <w:qFormat/>
    <w:uiPriority w:val="0"/>
    <w:rPr>
      <w:rFonts w:ascii="Times New Roman" w:hAnsi="Times New Roman" w:eastAsia="宋体"/>
    </w:rPr>
    <w:tblPr>
      <w:tblCellMar>
        <w:top w:w="0" w:type="dxa"/>
        <w:left w:w="0" w:type="dxa"/>
        <w:bottom w:w="0" w:type="dxa"/>
        <w:right w:w="0" w:type="dxa"/>
      </w:tblCellMar>
    </w:tblPr>
  </w:style>
  <w:style w:type="paragraph" w:customStyle="1" w:styleId="9">
    <w:name w:val="页脚1"/>
    <w:basedOn w:val="1"/>
    <w:link w:val="10"/>
    <w:qFormat/>
    <w:uiPriority w:val="0"/>
    <w:pPr>
      <w:tabs>
        <w:tab w:val="center" w:pos="4153"/>
        <w:tab w:val="right" w:pos="8306"/>
      </w:tabs>
      <w:snapToGrid w:val="0"/>
      <w:jc w:val="left"/>
    </w:pPr>
    <w:rPr>
      <w:sz w:val="18"/>
      <w:szCs w:val="18"/>
    </w:rPr>
  </w:style>
  <w:style w:type="character" w:customStyle="1" w:styleId="10">
    <w:name w:val="页脚 字符"/>
    <w:link w:val="9"/>
    <w:qFormat/>
    <w:uiPriority w:val="0"/>
    <w:rPr>
      <w:rFonts w:ascii="Times New Roman" w:hAnsi="Times New Roman" w:eastAsia="宋体"/>
      <w:kern w:val="2"/>
      <w:sz w:val="18"/>
      <w:szCs w:val="18"/>
    </w:rPr>
  </w:style>
  <w:style w:type="paragraph" w:customStyle="1" w:styleId="11">
    <w:name w:val="页眉1"/>
    <w:basedOn w:val="1"/>
    <w:link w:val="12"/>
    <w:qFormat/>
    <w:uiPriority w:val="0"/>
    <w:pPr>
      <w:pBdr>
        <w:bottom w:val="single" w:color="000000" w:sz="6" w:space="1"/>
      </w:pBdr>
      <w:tabs>
        <w:tab w:val="center" w:pos="4153"/>
        <w:tab w:val="right" w:pos="8306"/>
      </w:tabs>
      <w:snapToGrid w:val="0"/>
      <w:jc w:val="center"/>
    </w:pPr>
    <w:rPr>
      <w:sz w:val="18"/>
      <w:szCs w:val="18"/>
    </w:rPr>
  </w:style>
  <w:style w:type="character" w:customStyle="1" w:styleId="12">
    <w:name w:val="页眉 字符"/>
    <w:link w:val="11"/>
    <w:qFormat/>
    <w:uiPriority w:val="0"/>
    <w:rPr>
      <w:rFonts w:ascii="Times New Roman" w:hAnsi="Times New Roman" w:eastAsia="宋体"/>
      <w:kern w:val="2"/>
      <w:sz w:val="18"/>
      <w:szCs w:val="18"/>
    </w:rPr>
  </w:style>
  <w:style w:type="character" w:customStyle="1" w:styleId="13">
    <w:name w:val="二级条标题 Char"/>
    <w:link w:val="14"/>
    <w:qFormat/>
    <w:uiPriority w:val="0"/>
    <w:rPr>
      <w:rFonts w:ascii="Times New Roman" w:hAnsi="Times New Roman" w:eastAsia="宋体"/>
      <w:sz w:val="21"/>
      <w:szCs w:val="21"/>
    </w:rPr>
  </w:style>
  <w:style w:type="paragraph" w:customStyle="1" w:styleId="14">
    <w:name w:val="二级条标题"/>
    <w:basedOn w:val="15"/>
    <w:link w:val="13"/>
    <w:qFormat/>
    <w:uiPriority w:val="0"/>
    <w:pPr>
      <w:spacing w:before="50" w:after="50"/>
      <w:outlineLvl w:val="3"/>
    </w:pPr>
    <w:rPr>
      <w:rFonts w:ascii="Times New Roman" w:hAnsi="Times New Roman" w:eastAsia="宋体"/>
    </w:rPr>
  </w:style>
  <w:style w:type="paragraph" w:customStyle="1" w:styleId="15">
    <w:name w:val="一级条标题"/>
    <w:qFormat/>
    <w:uiPriority w:val="0"/>
    <w:pPr>
      <w:numPr>
        <w:ilvl w:val="1"/>
        <w:numId w:val="1"/>
      </w:numPr>
      <w:outlineLvl w:val="2"/>
    </w:pPr>
    <w:rPr>
      <w:rFonts w:ascii="黑体" w:eastAsia="黑体" w:hAnsiTheme="minorHAnsi" w:cstheme="minorBidi"/>
      <w:sz w:val="21"/>
      <w:szCs w:val="21"/>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lang w:val="en-US" w:eastAsia="zh-CN" w:bidi="ar-SA"/>
    </w:rPr>
  </w:style>
  <w:style w:type="character" w:customStyle="1" w:styleId="17">
    <w:name w:val="发布"/>
    <w:qFormat/>
    <w:uiPriority w:val="0"/>
    <w:rPr>
      <w:rFonts w:ascii="黑体" w:hAnsi="Times New Roman" w:eastAsia="黑体"/>
      <w:spacing w:val="85"/>
      <w:w w:val="100"/>
      <w:position w:val="3"/>
      <w:sz w:val="28"/>
      <w:szCs w:val="28"/>
    </w:rPr>
  </w:style>
  <w:style w:type="paragraph" w:customStyle="1" w:styleId="18">
    <w:name w:val="文献分类号"/>
    <w:qFormat/>
    <w:uiPriority w:val="0"/>
    <w:pPr>
      <w:framePr w:hSpace="180" w:vSpace="180" w:wrap="around" w:vAnchor="margin" w:hAnchor="margin" w:y="1"/>
      <w:widowControl w:val="0"/>
    </w:pPr>
    <w:rPr>
      <w:rFonts w:ascii="黑体" w:eastAsia="黑体" w:hAnsiTheme="minorHAnsi" w:cstheme="minorBidi"/>
      <w:sz w:val="21"/>
      <w:szCs w:val="21"/>
      <w:lang w:val="en-US" w:eastAsia="zh-CN" w:bidi="ar-SA"/>
    </w:rPr>
  </w:style>
  <w:style w:type="paragraph" w:customStyle="1" w:styleId="19">
    <w:name w:val="其他发布日期"/>
    <w:basedOn w:val="20"/>
    <w:qFormat/>
    <w:uiPriority w:val="0"/>
    <w:pPr>
      <w:framePr w:wrap="around" w:vAnchor="page" w:hAnchor="text" w:x="1419"/>
    </w:pPr>
    <w:rPr>
      <w:rFonts w:ascii="Times New Roman" w:hAnsi="Times New Roman" w:eastAsia="宋体"/>
    </w:rPr>
  </w:style>
  <w:style w:type="paragraph" w:customStyle="1" w:styleId="20">
    <w:name w:val="发布日期"/>
    <w:qFormat/>
    <w:uiPriority w:val="0"/>
    <w:pPr>
      <w:framePr w:w="3997" w:h="471" w:vSpace="181" w:wrap="around" w:vAnchor="margin" w:hAnchor="page" w:x="7089" w:y="14097"/>
    </w:pPr>
    <w:rPr>
      <w:rFonts w:eastAsia="黑体" w:asciiTheme="minorHAnsi" w:hAnsiTheme="minorHAnsi" w:cstheme="minorBidi"/>
      <w:sz w:val="28"/>
      <w:lang w:val="en-US" w:eastAsia="zh-CN" w:bidi="ar-SA"/>
    </w:rPr>
  </w:style>
  <w:style w:type="paragraph" w:customStyle="1" w:styleId="21">
    <w:name w:val="封面标准代替信息"/>
    <w:qFormat/>
    <w:uiPriority w:val="0"/>
    <w:pPr>
      <w:framePr w:w="9140" w:h="1242" w:hSpace="284" w:wrap="around" w:vAnchor="page" w:hAnchor="page" w:x="1645" w:y="2910"/>
      <w:spacing w:before="57" w:line="280" w:lineRule="exact"/>
      <w:jc w:val="right"/>
    </w:pPr>
    <w:rPr>
      <w:rFonts w:ascii="宋体" w:hAnsiTheme="minorHAnsi" w:eastAsiaTheme="minorEastAsia" w:cstheme="minorBidi"/>
      <w:sz w:val="21"/>
      <w:szCs w:val="21"/>
      <w:lang w:val="en-US" w:eastAsia="zh-CN" w:bidi="ar-SA"/>
    </w:rPr>
  </w:style>
  <w:style w:type="paragraph" w:customStyle="1" w:styleId="22">
    <w:name w:val="封面标准号2"/>
    <w:qFormat/>
    <w:uiPriority w:val="0"/>
    <w:pPr>
      <w:framePr w:w="9140" w:h="1242" w:hSpace="284" w:wrap="around" w:vAnchor="page" w:hAnchor="page" w:x="1645" w:y="2910"/>
      <w:spacing w:before="357" w:line="280" w:lineRule="exact"/>
      <w:jc w:val="right"/>
    </w:pPr>
    <w:rPr>
      <w:rFonts w:ascii="黑体" w:eastAsia="黑体" w:hAnsiTheme="minorHAnsi" w:cstheme="minorBidi"/>
      <w:sz w:val="28"/>
      <w:szCs w:val="28"/>
      <w:lang w:val="en-US" w:eastAsia="zh-CN" w:bidi="ar-SA"/>
    </w:rPr>
  </w:style>
  <w:style w:type="paragraph" w:customStyle="1" w:styleId="23">
    <w:name w:val="封面标准名称"/>
    <w:qFormat/>
    <w:uiPriority w:val="0"/>
    <w:pPr>
      <w:framePr w:w="9639" w:h="6917" w:wrap="around" w:vAnchor="page" w:hAnchor="page" w:xAlign="center" w:y="6408"/>
      <w:widowControl w:val="0"/>
      <w:spacing w:line="680" w:lineRule="exact"/>
      <w:jc w:val="center"/>
    </w:pPr>
    <w:rPr>
      <w:rFonts w:ascii="黑体" w:eastAsia="黑体" w:hAnsiTheme="minorHAnsi" w:cstheme="minorBidi"/>
      <w:sz w:val="52"/>
      <w:lang w:val="en-US" w:eastAsia="zh-CN" w:bidi="ar-SA"/>
    </w:rPr>
  </w:style>
  <w:style w:type="paragraph" w:customStyle="1" w:styleId="24">
    <w:name w:val="标准标志"/>
    <w:qFormat/>
    <w:uiPriority w:val="0"/>
    <w:pPr>
      <w:framePr w:w="2546" w:h="1389" w:hSpace="181" w:vSpace="181" w:wrap="around" w:vAnchor="margin" w:hAnchor="margin" w:x="6522" w:y="398"/>
      <w:shd w:val="solid" w:color="FFFFFF" w:fill="FFFFFF"/>
      <w:spacing w:line="0" w:lineRule="atLeast"/>
      <w:jc w:val="right"/>
    </w:pPr>
    <w:rPr>
      <w:rFonts w:asciiTheme="minorHAnsi" w:hAnsiTheme="minorHAnsi" w:eastAsiaTheme="minorEastAsia" w:cstheme="minorBidi"/>
      <w:b/>
      <w:w w:val="170"/>
      <w:sz w:val="96"/>
      <w:szCs w:val="96"/>
      <w:lang w:val="en-US" w:eastAsia="zh-CN" w:bidi="ar-SA"/>
    </w:rPr>
  </w:style>
  <w:style w:type="paragraph" w:customStyle="1" w:styleId="25">
    <w:name w:val="其他标准标志"/>
    <w:basedOn w:val="24"/>
    <w:qFormat/>
    <w:uiPriority w:val="0"/>
    <w:pPr>
      <w:framePr w:w="6101" w:wrap="around" w:vAnchor="page" w:hAnchor="page" w:x="4673" w:y="942"/>
    </w:pPr>
    <w:rPr>
      <w:rFonts w:ascii="Times New Roman" w:hAnsi="Times New Roman" w:eastAsia="宋体"/>
      <w:w w:val="130"/>
    </w:rPr>
  </w:style>
  <w:style w:type="paragraph" w:customStyle="1" w:styleId="26">
    <w:name w:val="其他实施日期"/>
    <w:basedOn w:val="27"/>
    <w:qFormat/>
    <w:uiPriority w:val="0"/>
    <w:pPr>
      <w:framePr w:wrap="around"/>
    </w:pPr>
  </w:style>
  <w:style w:type="paragraph" w:customStyle="1" w:styleId="27">
    <w:name w:val="实施日期"/>
    <w:basedOn w:val="20"/>
    <w:qFormat/>
    <w:uiPriority w:val="0"/>
    <w:pPr>
      <w:framePr w:wrap="around" w:vAnchor="page" w:hAnchor="text"/>
      <w:jc w:val="right"/>
    </w:pPr>
    <w:rPr>
      <w:rFonts w:ascii="Times New Roman" w:hAnsi="Times New Roman" w:eastAsia="宋体"/>
    </w:rPr>
  </w:style>
  <w:style w:type="paragraph" w:customStyle="1" w:styleId="28">
    <w:name w:val="其他发布部门"/>
    <w:basedOn w:val="29"/>
    <w:qFormat/>
    <w:uiPriority w:val="0"/>
    <w:pPr>
      <w:framePr w:wrap="around" w:y="15310"/>
      <w:spacing w:line="0" w:lineRule="atLeast"/>
    </w:pPr>
    <w:rPr>
      <w:rFonts w:ascii="黑体" w:hAnsi="Times New Roman" w:eastAsia="黑体"/>
      <w:b w:val="0"/>
    </w:rPr>
  </w:style>
  <w:style w:type="paragraph" w:customStyle="1" w:styleId="29">
    <w:name w:val="发布部门"/>
    <w:qFormat/>
    <w:uiPriority w:val="0"/>
    <w:pPr>
      <w:framePr w:w="7938" w:h="1134" w:hSpace="125" w:vSpace="181" w:wrap="around" w:vAnchor="page" w:hAnchor="page" w:x="2150" w:y="14630"/>
      <w:jc w:val="center"/>
    </w:pPr>
    <w:rPr>
      <w:rFonts w:ascii="宋体" w:hAnsiTheme="minorHAnsi" w:eastAsiaTheme="minorEastAsia" w:cstheme="minorBidi"/>
      <w:b/>
      <w:spacing w:val="20"/>
      <w:w w:val="135"/>
      <w:sz w:val="28"/>
      <w:lang w:val="en-US" w:eastAsia="zh-CN" w:bidi="ar-SA"/>
    </w:rPr>
  </w:style>
  <w:style w:type="paragraph" w:customStyle="1" w:styleId="30">
    <w:name w:val="封面标准文稿类别"/>
    <w:basedOn w:val="31"/>
    <w:qFormat/>
    <w:uiPriority w:val="0"/>
    <w:pPr>
      <w:framePr w:wrap="around"/>
      <w:spacing w:after="160" w:line="240" w:lineRule="auto"/>
    </w:pPr>
    <w:rPr>
      <w:rFonts w:ascii="Times New Roman"/>
      <w:sz w:val="24"/>
    </w:rPr>
  </w:style>
  <w:style w:type="paragraph" w:customStyle="1" w:styleId="31">
    <w:name w:val="封面一致性程度标识"/>
    <w:basedOn w:val="32"/>
    <w:qFormat/>
    <w:uiPriority w:val="0"/>
    <w:pPr>
      <w:framePr w:wrap="around"/>
      <w:spacing w:before="440"/>
    </w:pPr>
    <w:rPr>
      <w:rFonts w:ascii="宋体"/>
    </w:rPr>
  </w:style>
  <w:style w:type="paragraph" w:customStyle="1" w:styleId="32">
    <w:name w:val="封面标准英文名称"/>
    <w:basedOn w:val="23"/>
    <w:qFormat/>
    <w:uiPriority w:val="0"/>
    <w:pPr>
      <w:framePr w:wrap="around"/>
      <w:spacing w:before="370" w:line="400" w:lineRule="exact"/>
    </w:pPr>
    <w:rPr>
      <w:rFonts w:ascii="Times New Roman" w:hAnsi="Times New Roman" w:eastAsia="宋体"/>
      <w:sz w:val="28"/>
      <w:szCs w:val="28"/>
    </w:rPr>
  </w:style>
  <w:style w:type="paragraph" w:customStyle="1" w:styleId="33">
    <w:name w:val="其他标准称谓"/>
    <w:qFormat/>
    <w:uiPriority w:val="0"/>
    <w:pPr>
      <w:framePr w:hSpace="181" w:vSpace="181" w:wrap="around" w:vAnchor="page" w:hAnchor="page" w:x="1419" w:y="2286"/>
      <w:spacing w:line="0" w:lineRule="atLeast"/>
      <w:jc w:val="distribute"/>
    </w:pPr>
    <w:rPr>
      <w:rFonts w:ascii="黑体" w:hAnsi="宋体" w:eastAsia="黑体" w:cstheme="minorBidi"/>
      <w:spacing w:val="-40"/>
      <w:sz w:val="48"/>
      <w:szCs w:val="52"/>
      <w:lang w:val="en-US" w:eastAsia="zh-CN" w:bidi="ar-SA"/>
    </w:rPr>
  </w:style>
  <w:style w:type="paragraph" w:customStyle="1" w:styleId="34">
    <w:name w:val="目次、标准名称标题"/>
    <w:basedOn w:val="1"/>
    <w:qFormat/>
    <w:uiPriority w:val="0"/>
    <w:pPr>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35">
    <w:name w:val="标准书眉_奇数页"/>
    <w:qFormat/>
    <w:uiPriority w:val="0"/>
    <w:pPr>
      <w:tabs>
        <w:tab w:val="center" w:pos="4154"/>
        <w:tab w:val="right" w:pos="8306"/>
      </w:tabs>
      <w:spacing w:after="220"/>
      <w:jc w:val="right"/>
    </w:pPr>
    <w:rPr>
      <w:rFonts w:ascii="黑体" w:eastAsia="黑体" w:hAnsiTheme="minorHAnsi" w:cstheme="minorBidi"/>
      <w:sz w:val="21"/>
      <w:szCs w:val="21"/>
      <w:lang w:val="en-US" w:eastAsia="zh-CN" w:bidi="ar-SA"/>
    </w:rPr>
  </w:style>
  <w:style w:type="paragraph" w:customStyle="1" w:styleId="36">
    <w:name w:val="封面标准文稿编辑信息"/>
    <w:basedOn w:val="30"/>
    <w:qFormat/>
    <w:uiPriority w:val="0"/>
    <w:pPr>
      <w:framePr w:wrap="around"/>
      <w:spacing w:before="180" w:line="180" w:lineRule="exact"/>
    </w:pPr>
    <w:rPr>
      <w:sz w:val="21"/>
    </w:rPr>
  </w:style>
  <w:style w:type="paragraph" w:customStyle="1" w:styleId="37">
    <w:name w:val="标准书脚_奇数页"/>
    <w:qFormat/>
    <w:uiPriority w:val="0"/>
    <w:pPr>
      <w:spacing w:before="120"/>
      <w:ind w:right="198"/>
      <w:jc w:val="right"/>
    </w:pPr>
    <w:rPr>
      <w:rFonts w:ascii="宋体" w:hAnsiTheme="minorHAnsi" w:eastAsiaTheme="minorEastAsia" w:cstheme="minorBidi"/>
      <w:sz w:val="18"/>
      <w:szCs w:val="18"/>
      <w:lang w:val="en-US" w:eastAsia="zh-CN" w:bidi="ar-SA"/>
    </w:rPr>
  </w:style>
  <w:style w:type="paragraph" w:customStyle="1" w:styleId="38">
    <w:name w:val="前言、引言标题"/>
    <w:qFormat/>
    <w:uiPriority w:val="0"/>
    <w:pPr>
      <w:shd w:val="clear" w:color="FFFFFF" w:fill="FFFFFF"/>
      <w:spacing w:before="640" w:after="560"/>
      <w:jc w:val="center"/>
      <w:outlineLvl w:val="0"/>
    </w:pPr>
    <w:rPr>
      <w:rFonts w:ascii="黑体" w:eastAsia="黑体" w:hAnsiTheme="minorHAnsi" w:cstheme="minorBidi"/>
      <w:sz w:val="32"/>
      <w:lang w:val="en-US" w:eastAsia="zh-CN" w:bidi="ar-SA"/>
    </w:rPr>
  </w:style>
  <w:style w:type="paragraph" w:customStyle="1" w:styleId="39">
    <w:name w:val="章标题"/>
    <w:qFormat/>
    <w:uiPriority w:val="0"/>
    <w:pPr>
      <w:numPr>
        <w:ilvl w:val="0"/>
        <w:numId w:val="1"/>
      </w:numPr>
      <w:jc w:val="both"/>
      <w:outlineLvl w:val="1"/>
    </w:pPr>
    <w:rPr>
      <w:rFonts w:ascii="黑体" w:eastAsia="黑体" w:hAnsiTheme="minorHAnsi" w:cstheme="minorBidi"/>
      <w:sz w:val="21"/>
      <w:lang w:val="en-US" w:eastAsia="zh-CN" w:bidi="ar-SA"/>
    </w:rPr>
  </w:style>
  <w:style w:type="character" w:customStyle="1" w:styleId="40">
    <w:name w:val="页眉 字符1"/>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2703</Words>
  <Characters>3104</Characters>
  <Lines>17</Lines>
  <Paragraphs>4</Paragraphs>
  <TotalTime>6</TotalTime>
  <ScaleCrop>false</ScaleCrop>
  <LinksUpToDate>false</LinksUpToDate>
  <CharactersWithSpaces>3273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2024-03-10T05:23:00Z</dcterms:created>
  <dc:creator>晴紫</dc:creator>
  <cp:lastModifiedBy>晴紫</cp:lastModifiedBy>
  <cp:lastPrinted>2023-12-26T01:48:00Z</cp:lastPrinted>
  <dcterms:modified xsi:type="dcterms:W3CDTF">2024-12-16T02:03:10Z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D1214E6AC53D41799D1D5ADA0BED070C</vt:lpwstr>
  </property>
</Properties>
</file>