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A01D0" w14:textId="334F339C" w:rsidR="00F451F1" w:rsidRDefault="004C629D">
      <w:pPr>
        <w:widowControl/>
        <w:autoSpaceDE w:val="0"/>
        <w:autoSpaceDN w:val="0"/>
        <w:spacing w:line="360" w:lineRule="auto"/>
        <w:jc w:val="center"/>
        <w:textAlignment w:val="bottom"/>
        <w:rPr>
          <w:rFonts w:ascii="Times New Roman" w:eastAsia="黑体" w:hAnsi="Times New Roman" w:cs="Times New Roman"/>
          <w:sz w:val="32"/>
          <w:szCs w:val="32"/>
        </w:rPr>
      </w:pPr>
      <w:r w:rsidRPr="004C629D">
        <w:rPr>
          <w:rFonts w:ascii="Times New Roman" w:eastAsia="黑体" w:hAnsi="Times New Roman" w:cs="Times New Roman" w:hint="eastAsia"/>
          <w:sz w:val="32"/>
          <w:szCs w:val="32"/>
        </w:rPr>
        <w:t>混合型饲料添加剂中解热镇痛类药物测定</w:t>
      </w:r>
      <w:r w:rsidR="00000000">
        <w:rPr>
          <w:rFonts w:ascii="Times New Roman" w:eastAsia="黑体" w:hAnsi="Times New Roman" w:cs="Times New Roman" w:hint="eastAsia"/>
          <w:sz w:val="32"/>
          <w:szCs w:val="32"/>
        </w:rPr>
        <w:t>技术规范</w:t>
      </w:r>
    </w:p>
    <w:p w14:paraId="42C25FD1" w14:textId="77777777" w:rsidR="00F451F1" w:rsidRDefault="00000000">
      <w:pPr>
        <w:widowControl/>
        <w:autoSpaceDE w:val="0"/>
        <w:autoSpaceDN w:val="0"/>
        <w:spacing w:line="360" w:lineRule="auto"/>
        <w:jc w:val="center"/>
        <w:textAlignment w:val="bottom"/>
        <w:rPr>
          <w:rFonts w:ascii="Times New Roman" w:eastAsia="黑体" w:hAnsi="Times New Roman" w:cs="Times New Roman"/>
          <w:sz w:val="32"/>
          <w:szCs w:val="32"/>
        </w:rPr>
      </w:pPr>
      <w:r>
        <w:rPr>
          <w:rFonts w:ascii="Times New Roman" w:eastAsia="黑体" w:hAnsi="Times New Roman" w:cs="Times New Roman" w:hint="eastAsia"/>
          <w:sz w:val="32"/>
          <w:szCs w:val="32"/>
        </w:rPr>
        <w:t>编制说明</w:t>
      </w:r>
    </w:p>
    <w:p w14:paraId="77A7B1B4" w14:textId="77777777" w:rsidR="00F451F1" w:rsidRDefault="00F451F1">
      <w:pPr>
        <w:widowControl/>
        <w:autoSpaceDE w:val="0"/>
        <w:autoSpaceDN w:val="0"/>
        <w:spacing w:line="360" w:lineRule="auto"/>
        <w:jc w:val="left"/>
        <w:textAlignment w:val="bottom"/>
        <w:rPr>
          <w:rFonts w:eastAsia="黑体"/>
          <w:sz w:val="32"/>
          <w:szCs w:val="32"/>
        </w:rPr>
      </w:pPr>
    </w:p>
    <w:p w14:paraId="34BCE093" w14:textId="77777777" w:rsidR="00F451F1" w:rsidRDefault="00000000">
      <w:pPr>
        <w:pStyle w:val="af5"/>
        <w:widowControl/>
        <w:numPr>
          <w:ilvl w:val="0"/>
          <w:numId w:val="3"/>
        </w:numPr>
        <w:autoSpaceDE w:val="0"/>
        <w:autoSpaceDN w:val="0"/>
        <w:spacing w:line="360" w:lineRule="auto"/>
        <w:ind w:firstLineChars="0"/>
        <w:jc w:val="left"/>
        <w:textAlignment w:val="bottom"/>
        <w:rPr>
          <w:rFonts w:eastAsia="黑体"/>
          <w:sz w:val="32"/>
          <w:szCs w:val="32"/>
        </w:rPr>
      </w:pPr>
      <w:r>
        <w:rPr>
          <w:rFonts w:eastAsia="黑体" w:hint="eastAsia"/>
          <w:sz w:val="32"/>
          <w:szCs w:val="32"/>
        </w:rPr>
        <w:t>标准制定工作简况</w:t>
      </w:r>
    </w:p>
    <w:p w14:paraId="198FEF83" w14:textId="77777777" w:rsidR="00F451F1" w:rsidRDefault="00000000">
      <w:pPr>
        <w:pStyle w:val="af5"/>
        <w:widowControl/>
        <w:numPr>
          <w:ilvl w:val="0"/>
          <w:numId w:val="4"/>
        </w:numPr>
        <w:autoSpaceDE w:val="0"/>
        <w:autoSpaceDN w:val="0"/>
        <w:spacing w:line="360" w:lineRule="auto"/>
        <w:ind w:firstLineChars="0"/>
        <w:jc w:val="left"/>
        <w:textAlignment w:val="bottom"/>
        <w:rPr>
          <w:rFonts w:eastAsia="黑体"/>
          <w:sz w:val="32"/>
          <w:szCs w:val="32"/>
        </w:rPr>
      </w:pPr>
      <w:r>
        <w:rPr>
          <w:rFonts w:eastAsia="黑体" w:hint="eastAsia"/>
          <w:sz w:val="32"/>
          <w:szCs w:val="32"/>
        </w:rPr>
        <w:t>任务来源</w:t>
      </w:r>
    </w:p>
    <w:p w14:paraId="67DFFA8D" w14:textId="4FBB6A68"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本标准任务来源于上海市市场监督管理局，由上海市动物疫病预防控制中心负责起草，按照《上海市地方标准管理办法》及编制</w:t>
      </w:r>
      <w:proofErr w:type="gramStart"/>
      <w:r>
        <w:rPr>
          <w:rFonts w:asciiTheme="minorEastAsia" w:hAnsiTheme="minorEastAsia" w:hint="eastAsia"/>
          <w:sz w:val="24"/>
          <w:szCs w:val="24"/>
        </w:rPr>
        <w:t>制</w:t>
      </w:r>
      <w:proofErr w:type="gramEnd"/>
      <w:r>
        <w:rPr>
          <w:rFonts w:asciiTheme="minorEastAsia" w:hAnsiTheme="minorEastAsia" w:hint="eastAsia"/>
          <w:sz w:val="24"/>
          <w:szCs w:val="24"/>
        </w:rPr>
        <w:t>修订程序开展工作。项目名称为《</w:t>
      </w:r>
      <w:r w:rsidR="00A36368" w:rsidRPr="00A36368">
        <w:rPr>
          <w:rFonts w:asciiTheme="minorEastAsia" w:hAnsiTheme="minorEastAsia" w:hint="eastAsia"/>
          <w:sz w:val="24"/>
          <w:szCs w:val="24"/>
        </w:rPr>
        <w:t>混合型饲料添加剂中解热镇痛类药物测定技术规范</w:t>
      </w:r>
      <w:r>
        <w:rPr>
          <w:rFonts w:asciiTheme="minorEastAsia" w:hAnsiTheme="minorEastAsia" w:hint="eastAsia"/>
          <w:sz w:val="24"/>
          <w:szCs w:val="24"/>
        </w:rPr>
        <w:t>》，本标准由上海市农业农村委员会提出，由上海市畜牧标准化技术委员会归口。</w:t>
      </w:r>
    </w:p>
    <w:p w14:paraId="6DE25E76" w14:textId="77777777" w:rsidR="00F451F1" w:rsidRDefault="00000000">
      <w:pPr>
        <w:pStyle w:val="af5"/>
        <w:widowControl/>
        <w:numPr>
          <w:ilvl w:val="0"/>
          <w:numId w:val="4"/>
        </w:numPr>
        <w:autoSpaceDE w:val="0"/>
        <w:autoSpaceDN w:val="0"/>
        <w:spacing w:line="360" w:lineRule="auto"/>
        <w:ind w:firstLineChars="0"/>
        <w:jc w:val="left"/>
        <w:textAlignment w:val="bottom"/>
        <w:rPr>
          <w:rFonts w:eastAsia="黑体"/>
          <w:sz w:val="32"/>
          <w:szCs w:val="32"/>
        </w:rPr>
      </w:pPr>
      <w:r>
        <w:rPr>
          <w:rFonts w:eastAsia="黑体" w:hint="eastAsia"/>
          <w:sz w:val="32"/>
          <w:szCs w:val="32"/>
        </w:rPr>
        <w:t>标准制定背景</w:t>
      </w:r>
    </w:p>
    <w:p w14:paraId="36A872FC"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近年来饲料中解热镇痛类药物非法添加现象屡禁不止，一方面由于我国过去是抗生素使用大国，长期以来解热镇痛类药物并没有像抗生素一样受到高度的关注，同时解热镇痛类药物的违法违规使用并没有引发重大的社会性食品安全事故。另一方面因解热镇痛类药物的治疗用药的特性，在食品安全领域并无相关的残留限量要求。因此，解热镇痛类药物的监管长期处于被动和缺失的状态。随着饲料“停抗”时代的开启，解热镇痛类药物在植物提取物等混合型饲料添加剂中以“替抗”为目的被大量添加，但目前并无相关的监测技术手段。</w:t>
      </w:r>
    </w:p>
    <w:p w14:paraId="04347B3A"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 xml:space="preserve">随着《上海市养殖业布局规划（2015-2040年）》的深入落实， 坚持“合理布局、控制总量、规模养殖”等原则，上海市畜牧业减量提质、转型发展迅速的特点明显。根据2020年1-10月统计，上海市饲料加工产品总产量105.4万吨，同比增长1.2%，本市总产值已达81.6亿元。其中饲料添加剂和混合型饲料添加剂加工产品总产量6.0万吨,同比增长40.9%，增速呈现强劲的势头。因此上海市饲料添加剂工业绿色、高质量发展要求不容忽视。 </w:t>
      </w:r>
    </w:p>
    <w:p w14:paraId="675D590C"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在畜牧业生产迅速发展的当下，本标准的建立可以有效填补混合型饲料添加剂中解热镇痛类药物的检测技术空白，有助于本市参与开展“三年行动方案”中重点关注品种的“控药残、治违禁”工作，全面了解本市混合型饲料添</w:t>
      </w:r>
      <w:r>
        <w:rPr>
          <w:rFonts w:asciiTheme="minorEastAsia" w:hAnsiTheme="minorEastAsia" w:hint="eastAsia"/>
          <w:sz w:val="24"/>
          <w:szCs w:val="24"/>
        </w:rPr>
        <w:lastRenderedPageBreak/>
        <w:t>加剂中解热镇痛类药物的风险情况，并以此作为推动全国“三年行动方案”的工作试点，以期进一步保障现代化农业建设和食品安全质量。</w:t>
      </w:r>
    </w:p>
    <w:p w14:paraId="5BD4EFD5" w14:textId="77777777" w:rsidR="00F451F1" w:rsidRDefault="00000000">
      <w:pPr>
        <w:widowControl/>
        <w:autoSpaceDE w:val="0"/>
        <w:autoSpaceDN w:val="0"/>
        <w:spacing w:line="360" w:lineRule="auto"/>
        <w:jc w:val="left"/>
        <w:textAlignment w:val="bottom"/>
        <w:rPr>
          <w:rFonts w:eastAsia="黑体"/>
          <w:sz w:val="32"/>
          <w:szCs w:val="32"/>
        </w:rPr>
      </w:pPr>
      <w:r>
        <w:rPr>
          <w:rFonts w:eastAsia="黑体" w:hint="eastAsia"/>
          <w:sz w:val="32"/>
          <w:szCs w:val="32"/>
        </w:rPr>
        <w:t>（三）主要工作过程</w:t>
      </w:r>
    </w:p>
    <w:p w14:paraId="2B593BA0" w14:textId="77777777" w:rsidR="00F451F1" w:rsidRDefault="00000000">
      <w:pPr>
        <w:pStyle w:val="af5"/>
        <w:widowControl/>
        <w:numPr>
          <w:ilvl w:val="0"/>
          <w:numId w:val="5"/>
        </w:numPr>
        <w:autoSpaceDE w:val="0"/>
        <w:autoSpaceDN w:val="0"/>
        <w:spacing w:line="360" w:lineRule="auto"/>
        <w:ind w:left="993" w:firstLineChars="0" w:hanging="426"/>
        <w:jc w:val="left"/>
        <w:textAlignment w:val="bottom"/>
        <w:rPr>
          <w:rFonts w:eastAsia="黑体"/>
          <w:sz w:val="32"/>
          <w:szCs w:val="32"/>
        </w:rPr>
      </w:pPr>
      <w:r>
        <w:rPr>
          <w:rFonts w:eastAsia="黑体" w:hint="eastAsia"/>
          <w:sz w:val="32"/>
          <w:szCs w:val="32"/>
        </w:rPr>
        <w:t>成立标准编制小组</w:t>
      </w:r>
    </w:p>
    <w:p w14:paraId="13515AAB" w14:textId="77777777" w:rsidR="00F451F1" w:rsidRDefault="00000000">
      <w:pPr>
        <w:widowControl/>
        <w:autoSpaceDE w:val="0"/>
        <w:autoSpaceDN w:val="0"/>
        <w:spacing w:line="360" w:lineRule="auto"/>
        <w:ind w:firstLineChars="200" w:firstLine="640"/>
        <w:jc w:val="left"/>
        <w:textAlignment w:val="bottom"/>
        <w:rPr>
          <w:rFonts w:asciiTheme="minorEastAsia" w:hAnsiTheme="minorEastAsia" w:hint="eastAsia"/>
          <w:sz w:val="24"/>
          <w:szCs w:val="24"/>
        </w:rPr>
      </w:pPr>
      <w:r>
        <w:rPr>
          <w:rFonts w:eastAsia="黑体" w:hint="eastAsia"/>
          <w:sz w:val="32"/>
          <w:szCs w:val="32"/>
        </w:rPr>
        <w:t xml:space="preserve">  </w:t>
      </w:r>
      <w:r>
        <w:rPr>
          <w:rFonts w:asciiTheme="minorEastAsia" w:hAnsiTheme="minorEastAsia" w:hint="eastAsia"/>
          <w:sz w:val="24"/>
          <w:szCs w:val="24"/>
        </w:rPr>
        <w:t>2021年12月，标准起草组成立，并举行了第一次工作会议，确定标准编制大纲。对该标准的具体工作进行了任务分工，确定了总体工作方案。落实人员与分工。</w:t>
      </w:r>
    </w:p>
    <w:p w14:paraId="206BA36F" w14:textId="77777777" w:rsidR="00F451F1" w:rsidRDefault="00000000">
      <w:pPr>
        <w:pStyle w:val="af5"/>
        <w:widowControl/>
        <w:numPr>
          <w:ilvl w:val="0"/>
          <w:numId w:val="5"/>
        </w:numPr>
        <w:autoSpaceDE w:val="0"/>
        <w:autoSpaceDN w:val="0"/>
        <w:spacing w:line="360" w:lineRule="auto"/>
        <w:ind w:left="993" w:firstLineChars="0" w:hanging="426"/>
        <w:jc w:val="left"/>
        <w:textAlignment w:val="bottom"/>
        <w:rPr>
          <w:rFonts w:eastAsia="黑体"/>
          <w:sz w:val="32"/>
          <w:szCs w:val="32"/>
        </w:rPr>
      </w:pPr>
      <w:r>
        <w:rPr>
          <w:rFonts w:eastAsia="黑体" w:hint="eastAsia"/>
          <w:sz w:val="32"/>
          <w:szCs w:val="32"/>
        </w:rPr>
        <w:t>查询国内外相关标准和文献资料</w:t>
      </w:r>
    </w:p>
    <w:p w14:paraId="7B8BA777"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sz w:val="24"/>
          <w:szCs w:val="24"/>
        </w:rPr>
        <w:t>20</w:t>
      </w:r>
      <w:r>
        <w:rPr>
          <w:rFonts w:asciiTheme="minorEastAsia" w:hAnsiTheme="minorEastAsia" w:hint="eastAsia"/>
          <w:sz w:val="24"/>
          <w:szCs w:val="24"/>
        </w:rPr>
        <w:t>22年1月～4月，本标准编制组成员查询和收集了国内外相关标准和文献资料，确立了建立标准的指导思想，制定了标准的技术路线，充分学习了相关标准中的术语定义内容。</w:t>
      </w:r>
    </w:p>
    <w:p w14:paraId="78FB4B5F" w14:textId="77777777" w:rsidR="00F451F1" w:rsidRDefault="00000000">
      <w:pPr>
        <w:pStyle w:val="af5"/>
        <w:widowControl/>
        <w:numPr>
          <w:ilvl w:val="0"/>
          <w:numId w:val="5"/>
        </w:numPr>
        <w:autoSpaceDE w:val="0"/>
        <w:autoSpaceDN w:val="0"/>
        <w:spacing w:line="360" w:lineRule="auto"/>
        <w:ind w:left="993" w:firstLineChars="0" w:hanging="426"/>
        <w:jc w:val="left"/>
        <w:textAlignment w:val="bottom"/>
        <w:rPr>
          <w:rFonts w:eastAsia="黑体"/>
          <w:sz w:val="32"/>
          <w:szCs w:val="32"/>
        </w:rPr>
      </w:pPr>
      <w:r>
        <w:rPr>
          <w:rFonts w:eastAsia="黑体" w:hint="eastAsia"/>
          <w:sz w:val="32"/>
          <w:szCs w:val="32"/>
        </w:rPr>
        <w:t>确定标准修订技术路线，主要内容</w:t>
      </w:r>
    </w:p>
    <w:p w14:paraId="455200CD"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sz w:val="24"/>
          <w:szCs w:val="24"/>
        </w:rPr>
        <w:t>202</w:t>
      </w:r>
      <w:r>
        <w:rPr>
          <w:rFonts w:asciiTheme="minorEastAsia" w:hAnsiTheme="minorEastAsia" w:hint="eastAsia"/>
          <w:sz w:val="24"/>
          <w:szCs w:val="24"/>
        </w:rPr>
        <w:t>2</w:t>
      </w:r>
      <w:r>
        <w:rPr>
          <w:rFonts w:asciiTheme="minorEastAsia" w:hAnsiTheme="minorEastAsia"/>
          <w:sz w:val="24"/>
          <w:szCs w:val="24"/>
        </w:rPr>
        <w:t>年</w:t>
      </w:r>
      <w:r>
        <w:rPr>
          <w:rFonts w:asciiTheme="minorEastAsia" w:hAnsiTheme="minorEastAsia" w:hint="eastAsia"/>
          <w:sz w:val="24"/>
          <w:szCs w:val="24"/>
        </w:rPr>
        <w:t>5月～7月，上海市兽药饲料所召开了标准开题论证会，会上标准编制组介绍了对国内外相关分析方法的研究，标准制定的技术路线和技术难点，以及拟开展的主要工作等内容。</w:t>
      </w:r>
    </w:p>
    <w:p w14:paraId="597B514E" w14:textId="77777777" w:rsidR="00F451F1" w:rsidRDefault="00000000">
      <w:pPr>
        <w:pStyle w:val="af5"/>
        <w:widowControl/>
        <w:numPr>
          <w:ilvl w:val="0"/>
          <w:numId w:val="5"/>
        </w:numPr>
        <w:autoSpaceDE w:val="0"/>
        <w:autoSpaceDN w:val="0"/>
        <w:spacing w:line="360" w:lineRule="auto"/>
        <w:ind w:left="993" w:firstLineChars="0" w:hanging="426"/>
        <w:jc w:val="left"/>
        <w:textAlignment w:val="bottom"/>
        <w:rPr>
          <w:rFonts w:eastAsia="黑体"/>
          <w:sz w:val="32"/>
          <w:szCs w:val="32"/>
        </w:rPr>
      </w:pPr>
      <w:r>
        <w:rPr>
          <w:rFonts w:eastAsia="黑体" w:hint="eastAsia"/>
          <w:sz w:val="32"/>
          <w:szCs w:val="32"/>
        </w:rPr>
        <w:t>编写标准征求意见稿</w:t>
      </w:r>
    </w:p>
    <w:p w14:paraId="0C691587"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在前期研究工作的基础上，2024年11月完成了《混合型饲料添加剂中对乙酰氨基酚、安乃近、氨基比林、安替比林四种解热镇痛类药物检测技术规范》标准文本及编制说明征求意见稿。</w:t>
      </w:r>
    </w:p>
    <w:p w14:paraId="794D116D" w14:textId="77777777" w:rsidR="00F451F1" w:rsidRDefault="00000000">
      <w:pPr>
        <w:pStyle w:val="af5"/>
        <w:widowControl/>
        <w:numPr>
          <w:ilvl w:val="0"/>
          <w:numId w:val="3"/>
        </w:numPr>
        <w:autoSpaceDE w:val="0"/>
        <w:autoSpaceDN w:val="0"/>
        <w:spacing w:line="360" w:lineRule="auto"/>
        <w:ind w:firstLineChars="0"/>
        <w:jc w:val="left"/>
        <w:textAlignment w:val="bottom"/>
        <w:rPr>
          <w:rFonts w:eastAsia="黑体"/>
          <w:sz w:val="32"/>
          <w:szCs w:val="32"/>
        </w:rPr>
      </w:pPr>
      <w:r>
        <w:rPr>
          <w:rFonts w:ascii="Times New Roman" w:eastAsia="黑体" w:hAnsi="Times New Roman" w:cs="Times New Roman"/>
          <w:sz w:val="30"/>
        </w:rPr>
        <w:t>标准编制原则和主要技术内容确定的依据</w:t>
      </w:r>
    </w:p>
    <w:p w14:paraId="55E311F6" w14:textId="77777777" w:rsidR="00F451F1" w:rsidRDefault="00000000">
      <w:pPr>
        <w:pStyle w:val="af5"/>
        <w:widowControl/>
        <w:numPr>
          <w:ilvl w:val="0"/>
          <w:numId w:val="6"/>
        </w:numPr>
        <w:autoSpaceDE w:val="0"/>
        <w:autoSpaceDN w:val="0"/>
        <w:spacing w:line="360" w:lineRule="auto"/>
        <w:ind w:firstLineChars="0"/>
        <w:jc w:val="left"/>
        <w:textAlignment w:val="bottom"/>
        <w:rPr>
          <w:rFonts w:ascii="Times New Roman" w:eastAsia="黑体" w:hAnsi="Times New Roman" w:cs="Times New Roman"/>
          <w:sz w:val="30"/>
        </w:rPr>
      </w:pPr>
      <w:r>
        <w:rPr>
          <w:rFonts w:ascii="Times New Roman" w:eastAsia="黑体" w:hAnsi="Times New Roman" w:cs="Times New Roman" w:hint="eastAsia"/>
          <w:sz w:val="30"/>
        </w:rPr>
        <w:t>标准编制原则</w:t>
      </w:r>
    </w:p>
    <w:p w14:paraId="596CA65C"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proofErr w:type="gramStart"/>
      <w:r>
        <w:rPr>
          <w:rFonts w:asciiTheme="minorEastAsia" w:hAnsiTheme="minorEastAsia" w:hint="eastAsia"/>
          <w:sz w:val="24"/>
          <w:szCs w:val="24"/>
        </w:rPr>
        <w:t>依据依据</w:t>
      </w:r>
      <w:proofErr w:type="gramEnd"/>
      <w:r>
        <w:rPr>
          <w:rFonts w:asciiTheme="minorEastAsia" w:hAnsiTheme="minorEastAsia"/>
          <w:sz w:val="24"/>
          <w:szCs w:val="24"/>
        </w:rPr>
        <w:t>GB/T 1.1—2020《标准化工作导则  第1部分：标准化文件的结构和起草规则》和</w:t>
      </w:r>
      <w:r>
        <w:rPr>
          <w:rFonts w:asciiTheme="minorEastAsia" w:hAnsiTheme="minorEastAsia" w:hint="eastAsia"/>
          <w:sz w:val="24"/>
          <w:szCs w:val="24"/>
        </w:rPr>
        <w:t>GB T 20001.5-2017 《标准编写规则 第5部分：规范标准》。</w:t>
      </w:r>
    </w:p>
    <w:p w14:paraId="33C62FFC" w14:textId="77777777" w:rsidR="00F451F1" w:rsidRDefault="00000000">
      <w:pPr>
        <w:pStyle w:val="af5"/>
        <w:widowControl/>
        <w:numPr>
          <w:ilvl w:val="0"/>
          <w:numId w:val="6"/>
        </w:numPr>
        <w:autoSpaceDE w:val="0"/>
        <w:autoSpaceDN w:val="0"/>
        <w:spacing w:line="360" w:lineRule="auto"/>
        <w:ind w:firstLineChars="0"/>
        <w:jc w:val="left"/>
        <w:textAlignment w:val="bottom"/>
        <w:rPr>
          <w:rFonts w:eastAsia="黑体"/>
          <w:sz w:val="28"/>
          <w:szCs w:val="28"/>
        </w:rPr>
      </w:pPr>
      <w:r>
        <w:rPr>
          <w:rFonts w:ascii="Times New Roman" w:eastAsia="黑体" w:hAnsi="Times New Roman" w:cs="Times New Roman" w:hint="eastAsia"/>
          <w:sz w:val="30"/>
        </w:rPr>
        <w:t>主要内容及其确定依据</w:t>
      </w:r>
    </w:p>
    <w:p w14:paraId="4D3F2FFC"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本次标准的内容主要分为三大部分：</w:t>
      </w:r>
    </w:p>
    <w:p w14:paraId="6DE1AB60"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lastRenderedPageBreak/>
        <w:t>第一部分：分析方法样品采集和制备要求的确定，主要参考了</w:t>
      </w:r>
      <w:r>
        <w:rPr>
          <w:rFonts w:ascii="微软雅黑" w:eastAsia="微软雅黑" w:hAnsi="微软雅黑" w:cs="微软雅黑"/>
          <w:color w:val="333333"/>
          <w:szCs w:val="21"/>
        </w:rPr>
        <w:t>GB/T 14699</w:t>
      </w:r>
      <w:r>
        <w:rPr>
          <w:rFonts w:asciiTheme="minorEastAsia" w:hAnsiTheme="minorEastAsia" w:hint="eastAsia"/>
          <w:sz w:val="24"/>
          <w:szCs w:val="24"/>
        </w:rPr>
        <w:t xml:space="preserve"> 以及</w:t>
      </w:r>
      <w:r>
        <w:rPr>
          <w:rFonts w:asciiTheme="minorEastAsia" w:hAnsiTheme="minorEastAsia"/>
          <w:sz w:val="24"/>
          <w:szCs w:val="24"/>
        </w:rPr>
        <w:t>GB/T 20195</w:t>
      </w:r>
      <w:r>
        <w:rPr>
          <w:rFonts w:asciiTheme="minorEastAsia" w:hAnsiTheme="minorEastAsia" w:hint="eastAsia"/>
          <w:sz w:val="24"/>
          <w:szCs w:val="24"/>
        </w:rPr>
        <w:t>规定的方法和程序进行采样。且本标准的采样对象只限于混合型饲料添加剂。</w:t>
      </w:r>
    </w:p>
    <w:p w14:paraId="7177AB90"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第二部分：</w:t>
      </w:r>
      <w:r>
        <w:rPr>
          <w:rFonts w:asciiTheme="minorEastAsia" w:hAnsiTheme="minorEastAsia"/>
          <w:sz w:val="24"/>
          <w:szCs w:val="24"/>
        </w:rPr>
        <w:t>分析方法试验研究</w:t>
      </w:r>
      <w:r>
        <w:rPr>
          <w:rFonts w:asciiTheme="minorEastAsia" w:hAnsiTheme="minorEastAsia" w:hint="eastAsia"/>
          <w:sz w:val="24"/>
          <w:szCs w:val="24"/>
        </w:rPr>
        <w:t>，包括样品前处理要求、所用仪器的一般要求，主要参考了农业农村部</w:t>
      </w:r>
      <w:r>
        <w:rPr>
          <w:rFonts w:asciiTheme="minorEastAsia" w:hAnsiTheme="minorEastAsia"/>
          <w:sz w:val="24"/>
          <w:szCs w:val="24"/>
        </w:rPr>
        <w:t>第289号公告</w:t>
      </w:r>
      <w:r>
        <w:rPr>
          <w:rFonts w:asciiTheme="minorEastAsia" w:hAnsiTheme="minorEastAsia" w:hint="eastAsia"/>
          <w:sz w:val="24"/>
          <w:szCs w:val="24"/>
        </w:rPr>
        <w:t>。</w:t>
      </w:r>
    </w:p>
    <w:p w14:paraId="34CF5DA0"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第三部分：</w:t>
      </w:r>
      <w:r>
        <w:rPr>
          <w:rFonts w:asciiTheme="minorEastAsia" w:hAnsiTheme="minorEastAsia"/>
          <w:sz w:val="24"/>
          <w:szCs w:val="24"/>
        </w:rPr>
        <w:t>分析</w:t>
      </w:r>
      <w:r>
        <w:rPr>
          <w:rFonts w:asciiTheme="minorEastAsia" w:hAnsiTheme="minorEastAsia" w:hint="eastAsia"/>
          <w:sz w:val="24"/>
          <w:szCs w:val="24"/>
        </w:rPr>
        <w:t>结果的判断，包括不同仪器的判定要求和定量要求，主要参考了农业农村部</w:t>
      </w:r>
      <w:r>
        <w:rPr>
          <w:rFonts w:asciiTheme="minorEastAsia" w:hAnsiTheme="minorEastAsia"/>
          <w:sz w:val="24"/>
          <w:szCs w:val="24"/>
        </w:rPr>
        <w:t>第289号公告和</w:t>
      </w:r>
      <w:r>
        <w:rPr>
          <w:rFonts w:asciiTheme="minorEastAsia" w:hAnsiTheme="minorEastAsia" w:hint="eastAsia"/>
          <w:sz w:val="24"/>
          <w:szCs w:val="24"/>
        </w:rPr>
        <w:t>农业农村部</w:t>
      </w:r>
      <w:r>
        <w:rPr>
          <w:rFonts w:asciiTheme="minorEastAsia" w:hAnsiTheme="minorEastAsia"/>
          <w:sz w:val="24"/>
          <w:szCs w:val="24"/>
        </w:rPr>
        <w:t>第312号公告</w:t>
      </w:r>
      <w:r>
        <w:rPr>
          <w:rFonts w:asciiTheme="minorEastAsia" w:hAnsiTheme="minorEastAsia" w:hint="eastAsia"/>
          <w:sz w:val="24"/>
          <w:szCs w:val="24"/>
        </w:rPr>
        <w:t>。</w:t>
      </w:r>
    </w:p>
    <w:p w14:paraId="5CA60C35"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以及以下列出的相关标准。</w:t>
      </w:r>
    </w:p>
    <w:p w14:paraId="551E5456"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sz w:val="24"/>
          <w:szCs w:val="24"/>
        </w:rPr>
        <w:t>GB/T 1.1－2020  标准化工作导则  第1部分：标准化文件的结构和起草规则</w:t>
      </w:r>
    </w:p>
    <w:p w14:paraId="7DF09ED0"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GB/T 20001.5-2017 标准编写规则 第5部分：规范标准</w:t>
      </w:r>
    </w:p>
    <w:p w14:paraId="79CE2C5B"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sz w:val="24"/>
          <w:szCs w:val="24"/>
        </w:rPr>
        <w:t>GB/T 27417－2017 合格评定 化学分析方法确认和验证指南</w:t>
      </w:r>
    </w:p>
    <w:p w14:paraId="1BC23F89"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sz w:val="24"/>
          <w:szCs w:val="24"/>
        </w:rPr>
        <w:t>GB/T 32465</w:t>
      </w:r>
      <w:r>
        <w:rPr>
          <w:rFonts w:asciiTheme="minorEastAsia" w:hAnsiTheme="minorEastAsia" w:hint="eastAsia"/>
          <w:sz w:val="24"/>
          <w:szCs w:val="24"/>
        </w:rPr>
        <w:t>－</w:t>
      </w:r>
      <w:r>
        <w:rPr>
          <w:rFonts w:asciiTheme="minorEastAsia" w:hAnsiTheme="minorEastAsia"/>
          <w:sz w:val="24"/>
          <w:szCs w:val="24"/>
        </w:rPr>
        <w:t>2015  化学分析方法验证确认和内部质量控制要求</w:t>
      </w:r>
    </w:p>
    <w:p w14:paraId="717A3C08" w14:textId="77777777" w:rsidR="00F451F1" w:rsidRDefault="00000000">
      <w:pPr>
        <w:widowControl/>
        <w:autoSpaceDE w:val="0"/>
        <w:autoSpaceDN w:val="0"/>
        <w:spacing w:line="360" w:lineRule="auto"/>
        <w:ind w:firstLineChars="200" w:firstLine="480"/>
        <w:jc w:val="left"/>
        <w:textAlignment w:val="bottom"/>
        <w:rPr>
          <w:rFonts w:ascii="Times New Roman" w:eastAsia="仿宋_GB2312" w:hAnsi="Times New Roman" w:cs="Times New Roman"/>
          <w:color w:val="000000" w:themeColor="text1"/>
          <w:sz w:val="24"/>
          <w:szCs w:val="24"/>
        </w:rPr>
      </w:pPr>
      <w:r>
        <w:rPr>
          <w:rFonts w:asciiTheme="minorEastAsia" w:hAnsiTheme="minorEastAsia"/>
          <w:sz w:val="24"/>
          <w:szCs w:val="24"/>
        </w:rPr>
        <w:t>GB/T 23182－2008  饲料中兽药及其他化学物检测试验规程</w:t>
      </w:r>
    </w:p>
    <w:p w14:paraId="060C31CE"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sz w:val="24"/>
          <w:szCs w:val="24"/>
        </w:rPr>
        <w:t>GB/T 32467</w:t>
      </w:r>
      <w:r>
        <w:rPr>
          <w:rFonts w:asciiTheme="minorEastAsia" w:hAnsiTheme="minorEastAsia" w:hint="eastAsia"/>
          <w:sz w:val="24"/>
          <w:szCs w:val="24"/>
        </w:rPr>
        <w:t>－</w:t>
      </w:r>
      <w:r>
        <w:rPr>
          <w:rFonts w:asciiTheme="minorEastAsia" w:hAnsiTheme="minorEastAsia"/>
          <w:sz w:val="24"/>
          <w:szCs w:val="24"/>
        </w:rPr>
        <w:t>2015  化学分析方法验证确认和内部质量控制  术语及定义</w:t>
      </w:r>
    </w:p>
    <w:p w14:paraId="1CDF66CF"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sz w:val="24"/>
          <w:szCs w:val="24"/>
        </w:rPr>
        <w:t>GB/T 33464</w:t>
      </w:r>
      <w:r>
        <w:rPr>
          <w:rFonts w:asciiTheme="minorEastAsia" w:hAnsiTheme="minorEastAsia" w:hint="eastAsia"/>
          <w:sz w:val="24"/>
          <w:szCs w:val="24"/>
        </w:rPr>
        <w:t>－</w:t>
      </w:r>
      <w:r>
        <w:rPr>
          <w:rFonts w:asciiTheme="minorEastAsia" w:hAnsiTheme="minorEastAsia"/>
          <w:sz w:val="24"/>
          <w:szCs w:val="24"/>
        </w:rPr>
        <w:t>2016  化学分析标准操作程序编写与使用指南</w:t>
      </w:r>
    </w:p>
    <w:p w14:paraId="4177C4CD"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sz w:val="24"/>
          <w:szCs w:val="24"/>
        </w:rPr>
        <w:t>GB/T 35655</w:t>
      </w:r>
      <w:r>
        <w:rPr>
          <w:rFonts w:asciiTheme="minorEastAsia" w:hAnsiTheme="minorEastAsia" w:hint="eastAsia"/>
          <w:sz w:val="24"/>
          <w:szCs w:val="24"/>
        </w:rPr>
        <w:t>－</w:t>
      </w:r>
      <w:r>
        <w:rPr>
          <w:rFonts w:asciiTheme="minorEastAsia" w:hAnsiTheme="minorEastAsia"/>
          <w:sz w:val="24"/>
          <w:szCs w:val="24"/>
        </w:rPr>
        <w:t>2017  化学分析方法验证确认和内部质量控制实施指南  色谱分析</w:t>
      </w:r>
    </w:p>
    <w:p w14:paraId="01BFEC72"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sz w:val="24"/>
          <w:szCs w:val="24"/>
        </w:rPr>
        <w:t>GB/T 35656</w:t>
      </w:r>
      <w:r>
        <w:rPr>
          <w:rFonts w:asciiTheme="minorEastAsia" w:hAnsiTheme="minorEastAsia" w:hint="eastAsia"/>
          <w:sz w:val="24"/>
          <w:szCs w:val="24"/>
        </w:rPr>
        <w:t>－</w:t>
      </w:r>
      <w:r>
        <w:rPr>
          <w:rFonts w:asciiTheme="minorEastAsia" w:hAnsiTheme="minorEastAsia"/>
          <w:sz w:val="24"/>
          <w:szCs w:val="24"/>
        </w:rPr>
        <w:t>2017  化学分析方法验证确认和内部质量控制实施指南  报告定性结果的方法</w:t>
      </w:r>
    </w:p>
    <w:p w14:paraId="1C5B07E4" w14:textId="77777777" w:rsidR="00F451F1" w:rsidRDefault="00000000">
      <w:pPr>
        <w:spacing w:before="280" w:after="160"/>
        <w:outlineLvl w:val="1"/>
        <w:rPr>
          <w:rFonts w:ascii="Times New Roman" w:eastAsia="黑体" w:hAnsi="Times New Roman" w:cs="Times New Roman"/>
          <w:sz w:val="24"/>
          <w:szCs w:val="24"/>
        </w:rPr>
      </w:pPr>
      <w:r>
        <w:rPr>
          <w:rFonts w:ascii="Times New Roman" w:eastAsia="黑体" w:hAnsi="Times New Roman" w:cs="Times New Roman" w:hint="eastAsia"/>
          <w:sz w:val="24"/>
          <w:szCs w:val="24"/>
        </w:rPr>
        <w:t>1</w:t>
      </w:r>
      <w:r>
        <w:rPr>
          <w:rFonts w:ascii="Times New Roman" w:eastAsia="黑体" w:hAnsi="Times New Roman" w:cs="Times New Roman"/>
          <w:sz w:val="24"/>
          <w:szCs w:val="24"/>
        </w:rPr>
        <w:t>）</w:t>
      </w:r>
      <w:bookmarkStart w:id="0" w:name="_Toc13862"/>
      <w:r>
        <w:rPr>
          <w:rFonts w:ascii="Times New Roman" w:eastAsia="黑体" w:hAnsi="Times New Roman" w:cs="Times New Roman"/>
          <w:sz w:val="24"/>
          <w:szCs w:val="24"/>
        </w:rPr>
        <w:t>术语与定义</w:t>
      </w:r>
      <w:bookmarkEnd w:id="0"/>
    </w:p>
    <w:p w14:paraId="58F078E6"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sz w:val="24"/>
          <w:szCs w:val="24"/>
        </w:rPr>
        <w:t>GB/T 27417-2017</w:t>
      </w:r>
      <w:r>
        <w:rPr>
          <w:rFonts w:asciiTheme="minorEastAsia" w:hAnsiTheme="minorEastAsia" w:hint="eastAsia"/>
          <w:sz w:val="24"/>
          <w:szCs w:val="24"/>
        </w:rPr>
        <w:t>（</w:t>
      </w:r>
      <w:r>
        <w:rPr>
          <w:rFonts w:asciiTheme="minorEastAsia" w:hAnsiTheme="minorEastAsia"/>
          <w:sz w:val="24"/>
          <w:szCs w:val="24"/>
        </w:rPr>
        <w:t>合格评定 化学分析方法确认和验证指南</w:t>
      </w:r>
      <w:r>
        <w:rPr>
          <w:rFonts w:asciiTheme="minorEastAsia" w:hAnsiTheme="minorEastAsia" w:hint="eastAsia"/>
          <w:sz w:val="24"/>
          <w:szCs w:val="24"/>
        </w:rPr>
        <w:t>）、GB/T 32467－2015（</w:t>
      </w:r>
      <w:r>
        <w:rPr>
          <w:rFonts w:asciiTheme="minorEastAsia" w:hAnsiTheme="minorEastAsia"/>
          <w:sz w:val="24"/>
          <w:szCs w:val="24"/>
        </w:rPr>
        <w:t>化学分析方法验证确认和内部质量控制要求</w:t>
      </w:r>
      <w:r>
        <w:rPr>
          <w:rFonts w:asciiTheme="minorEastAsia" w:hAnsiTheme="minorEastAsia" w:hint="eastAsia"/>
          <w:sz w:val="24"/>
          <w:szCs w:val="24"/>
        </w:rPr>
        <w:t>）中确立的术语和定义适用于本标准。</w:t>
      </w:r>
    </w:p>
    <w:p w14:paraId="5ADC7F12" w14:textId="77777777" w:rsidR="00F451F1" w:rsidRDefault="00000000">
      <w:pPr>
        <w:spacing w:before="280" w:after="160"/>
        <w:outlineLvl w:val="1"/>
        <w:rPr>
          <w:rFonts w:ascii="Times New Roman" w:eastAsia="黑体" w:hAnsi="Times New Roman" w:cs="Times New Roman"/>
          <w:sz w:val="24"/>
          <w:szCs w:val="24"/>
        </w:rPr>
      </w:pPr>
      <w:bookmarkStart w:id="1" w:name="_Toc19414"/>
      <w:r>
        <w:rPr>
          <w:rFonts w:ascii="Times New Roman" w:eastAsia="黑体" w:hAnsi="Times New Roman" w:cs="Times New Roman" w:hint="eastAsia"/>
          <w:sz w:val="24"/>
          <w:szCs w:val="24"/>
        </w:rPr>
        <w:t>2</w:t>
      </w:r>
      <w:r>
        <w:rPr>
          <w:rFonts w:ascii="Times New Roman" w:eastAsia="黑体" w:hAnsi="Times New Roman" w:cs="Times New Roman" w:hint="eastAsia"/>
          <w:sz w:val="24"/>
          <w:szCs w:val="24"/>
        </w:rPr>
        <w:t>）采样与样品制备</w:t>
      </w:r>
      <w:bookmarkEnd w:id="1"/>
    </w:p>
    <w:p w14:paraId="3E1B4D33" w14:textId="77777777" w:rsidR="00F451F1" w:rsidRDefault="00000000">
      <w:pPr>
        <w:pStyle w:val="af5"/>
        <w:numPr>
          <w:ilvl w:val="255"/>
          <w:numId w:val="0"/>
        </w:numPr>
        <w:spacing w:line="360" w:lineRule="auto"/>
        <w:ind w:firstLineChars="200" w:firstLine="480"/>
        <w:rPr>
          <w:rFonts w:ascii="Times New Roman" w:eastAsia="仿宋_GB2312" w:hAnsi="Times New Roman" w:cs="Times New Roman"/>
          <w:color w:val="000000" w:themeColor="text1"/>
          <w:sz w:val="24"/>
          <w:szCs w:val="24"/>
        </w:rPr>
      </w:pPr>
      <w:r>
        <w:rPr>
          <w:rFonts w:asciiTheme="minorEastAsia" w:hAnsiTheme="minorEastAsia" w:hint="eastAsia"/>
          <w:sz w:val="24"/>
          <w:szCs w:val="24"/>
        </w:rPr>
        <w:t>在实际检测过程中，主要依据样品的种类选取适宜的样品制备方式和前处理方式。样品采集制备流程与GB/T 14699以及</w:t>
      </w:r>
      <w:r>
        <w:rPr>
          <w:rFonts w:asciiTheme="minorEastAsia" w:hAnsiTheme="minorEastAsia"/>
          <w:sz w:val="24"/>
          <w:szCs w:val="24"/>
        </w:rPr>
        <w:t>GB/T 20195</w:t>
      </w:r>
      <w:proofErr w:type="gramStart"/>
      <w:r>
        <w:rPr>
          <w:rFonts w:asciiTheme="minorEastAsia" w:hAnsiTheme="minorEastAsia" w:hint="eastAsia"/>
          <w:sz w:val="24"/>
          <w:szCs w:val="24"/>
        </w:rPr>
        <w:t>两个</w:t>
      </w:r>
      <w:proofErr w:type="gramEnd"/>
      <w:r>
        <w:rPr>
          <w:rFonts w:asciiTheme="minorEastAsia" w:hAnsiTheme="minorEastAsia" w:hint="eastAsia"/>
          <w:sz w:val="24"/>
          <w:szCs w:val="24"/>
        </w:rPr>
        <w:t>标准中描述的相符合。</w:t>
      </w:r>
    </w:p>
    <w:p w14:paraId="4D9969C1" w14:textId="77777777" w:rsidR="00F451F1" w:rsidRDefault="00000000">
      <w:pPr>
        <w:spacing w:before="280" w:after="160"/>
        <w:outlineLvl w:val="1"/>
        <w:rPr>
          <w:rFonts w:ascii="Times New Roman" w:eastAsia="黑体" w:hAnsi="Times New Roman" w:cs="Times New Roman"/>
          <w:sz w:val="24"/>
          <w:szCs w:val="24"/>
        </w:rPr>
      </w:pPr>
      <w:bookmarkStart w:id="2" w:name="_Toc8463"/>
      <w:r>
        <w:rPr>
          <w:rFonts w:ascii="Times New Roman" w:eastAsia="黑体" w:hAnsi="Times New Roman" w:cs="Times New Roman" w:hint="eastAsia"/>
          <w:sz w:val="24"/>
          <w:szCs w:val="24"/>
        </w:rPr>
        <w:lastRenderedPageBreak/>
        <w:t>3</w:t>
      </w:r>
      <w:r>
        <w:rPr>
          <w:rFonts w:ascii="Times New Roman" w:eastAsia="黑体" w:hAnsi="Times New Roman" w:cs="Times New Roman" w:hint="eastAsia"/>
          <w:sz w:val="24"/>
          <w:szCs w:val="24"/>
        </w:rPr>
        <w:t>）</w:t>
      </w:r>
      <w:bookmarkEnd w:id="2"/>
      <w:r>
        <w:rPr>
          <w:rFonts w:ascii="Times New Roman" w:eastAsia="黑体" w:hAnsi="Times New Roman" w:cs="Times New Roman" w:hint="eastAsia"/>
          <w:sz w:val="24"/>
          <w:szCs w:val="24"/>
        </w:rPr>
        <w:t>样品前处理要求</w:t>
      </w:r>
    </w:p>
    <w:p w14:paraId="6AB6DC7C"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sz w:val="24"/>
          <w:szCs w:val="24"/>
        </w:rPr>
        <w:t>在选择前处理技术时，应综合考虑样本特性和目标化合物的物理化学特性，同时确保与液相色谱和</w:t>
      </w:r>
      <w:proofErr w:type="gramStart"/>
      <w:r>
        <w:rPr>
          <w:rFonts w:asciiTheme="minorEastAsia" w:hAnsiTheme="minorEastAsia"/>
          <w:sz w:val="24"/>
          <w:szCs w:val="24"/>
        </w:rPr>
        <w:t>质谱系</w:t>
      </w:r>
      <w:proofErr w:type="gramEnd"/>
      <w:r>
        <w:rPr>
          <w:rFonts w:asciiTheme="minorEastAsia" w:hAnsiTheme="minorEastAsia"/>
          <w:sz w:val="24"/>
          <w:szCs w:val="24"/>
        </w:rPr>
        <w:t>统的兼容性。本标准规定前处理程序通常包括提取、净化和富集/稀释等步骤。所选方法应与样本基质和目标化合物特性相适应，并确保最终样本</w:t>
      </w:r>
      <w:r>
        <w:rPr>
          <w:rFonts w:asciiTheme="minorEastAsia" w:hAnsiTheme="minorEastAsia" w:hint="eastAsia"/>
          <w:sz w:val="24"/>
          <w:szCs w:val="24"/>
        </w:rPr>
        <w:t>溶液</w:t>
      </w:r>
      <w:r>
        <w:rPr>
          <w:rFonts w:asciiTheme="minorEastAsia" w:hAnsiTheme="minorEastAsia"/>
          <w:sz w:val="24"/>
          <w:szCs w:val="24"/>
        </w:rPr>
        <w:t>与流动相兼容，避免色谱分离过程中出现结晶。原则上，应针对解热镇痛类药物的目标化合物，确保其完全提取并在</w:t>
      </w:r>
      <w:r>
        <w:rPr>
          <w:rFonts w:asciiTheme="minorEastAsia" w:hAnsiTheme="minorEastAsia" w:hint="eastAsia"/>
          <w:sz w:val="24"/>
          <w:szCs w:val="24"/>
        </w:rPr>
        <w:t>提取</w:t>
      </w:r>
      <w:r>
        <w:rPr>
          <w:rFonts w:asciiTheme="minorEastAsia" w:hAnsiTheme="minorEastAsia"/>
          <w:sz w:val="24"/>
          <w:szCs w:val="24"/>
        </w:rPr>
        <w:t>液和进样</w:t>
      </w:r>
      <w:r>
        <w:rPr>
          <w:rFonts w:asciiTheme="minorEastAsia" w:hAnsiTheme="minorEastAsia" w:hint="eastAsia"/>
          <w:sz w:val="24"/>
          <w:szCs w:val="24"/>
        </w:rPr>
        <w:t>溶液</w:t>
      </w:r>
      <w:r>
        <w:rPr>
          <w:rFonts w:asciiTheme="minorEastAsia" w:hAnsiTheme="minorEastAsia"/>
          <w:sz w:val="24"/>
          <w:szCs w:val="24"/>
        </w:rPr>
        <w:t>中保持稳定。</w:t>
      </w:r>
    </w:p>
    <w:p w14:paraId="43425628"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前处理参照了农业农村部第289号公告中的程序，且在长期的实际检测中，项目组摸索出了一套适用与解热镇痛类药物的重现性较好的前处理方法：</w:t>
      </w:r>
      <w:bookmarkStart w:id="3" w:name="_Hlk80736163"/>
      <w:r>
        <w:rPr>
          <w:rFonts w:asciiTheme="minorEastAsia" w:hAnsiTheme="minorEastAsia"/>
          <w:sz w:val="24"/>
          <w:szCs w:val="24"/>
        </w:rPr>
        <w:t>称取试样2 g（精确至0.01 g），于50 mL离心管中，准确加入25 mL甲醇，涡旋</w:t>
      </w:r>
      <w:r>
        <w:rPr>
          <w:rFonts w:asciiTheme="minorEastAsia" w:hAnsiTheme="minorEastAsia" w:hint="eastAsia"/>
          <w:sz w:val="24"/>
          <w:szCs w:val="24"/>
        </w:rPr>
        <w:t>1 min，</w:t>
      </w:r>
      <w:r>
        <w:rPr>
          <w:rFonts w:asciiTheme="minorEastAsia" w:hAnsiTheme="minorEastAsia"/>
          <w:sz w:val="24"/>
          <w:szCs w:val="24"/>
        </w:rPr>
        <w:t>振荡提取20 min，9000 r/min离心5 min，准确移取上清液</w:t>
      </w:r>
      <w:r>
        <w:rPr>
          <w:rFonts w:asciiTheme="minorEastAsia" w:hAnsiTheme="minorEastAsia" w:hint="eastAsia"/>
          <w:sz w:val="24"/>
          <w:szCs w:val="24"/>
        </w:rPr>
        <w:t>适量，用甲醇稀释至适宜浓度，混匀，过膜上液相。取上清液适量，用0.1 %甲酸溶液稀释为备用液，准备净化后上质谱。</w:t>
      </w:r>
    </w:p>
    <w:bookmarkEnd w:id="3"/>
    <w:p w14:paraId="5D1305E8"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质谱上机净化过程如下：依次用3 mL甲醇和3 mL水活化固相萃取小柱，取备用液全部过柱，用3 mL水淋洗，抽干小柱，用3 mL 5%氨水甲醇溶液洗脱，收集洗脱液于50 ℃下用氮气吹干，准确加入2.5 mL甲醇，涡旋溶解，</w:t>
      </w:r>
      <w:bookmarkStart w:id="4" w:name="_Hlk136074100"/>
      <w:r>
        <w:rPr>
          <w:rFonts w:asciiTheme="minorEastAsia" w:hAnsiTheme="minorEastAsia" w:hint="eastAsia"/>
          <w:sz w:val="24"/>
          <w:szCs w:val="24"/>
        </w:rPr>
        <w:t>过膜，待测。净化过程需全程避光操作。</w:t>
      </w:r>
      <w:bookmarkEnd w:id="4"/>
    </w:p>
    <w:p w14:paraId="52BC3FC9" w14:textId="77777777" w:rsidR="00F451F1" w:rsidRDefault="00000000">
      <w:pPr>
        <w:spacing w:before="280" w:after="160"/>
        <w:outlineLvl w:val="1"/>
        <w:rPr>
          <w:rFonts w:ascii="Times New Roman" w:eastAsia="黑体" w:hAnsi="Times New Roman" w:cs="Times New Roman"/>
          <w:sz w:val="24"/>
          <w:szCs w:val="24"/>
        </w:rPr>
      </w:pPr>
      <w:r>
        <w:rPr>
          <w:rFonts w:ascii="Times New Roman" w:eastAsia="黑体" w:hAnsi="Times New Roman" w:cs="Times New Roman" w:hint="eastAsia"/>
          <w:sz w:val="24"/>
          <w:szCs w:val="24"/>
        </w:rPr>
        <w:t>4</w:t>
      </w:r>
      <w:r>
        <w:rPr>
          <w:rFonts w:ascii="Times New Roman" w:eastAsia="黑体" w:hAnsi="Times New Roman" w:cs="Times New Roman" w:hint="eastAsia"/>
          <w:sz w:val="24"/>
          <w:szCs w:val="24"/>
        </w:rPr>
        <w:t>）仪器要求</w:t>
      </w:r>
    </w:p>
    <w:p w14:paraId="68BA6B88"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本标准基于高效液相色谱仪-二极管阵列检测器、高效液相色谱串联质谱仪的检测原理，规定了液相色谱和质谱仪器的基本要求。参照农业农村部第169号公告和农业农村部第289号公告。根据实际检测经验，项目组总结了一套适用于解热镇痛类药物的液相及液相串联质谱参考条件。</w:t>
      </w:r>
    </w:p>
    <w:p w14:paraId="0BBFE735" w14:textId="77777777" w:rsidR="00F451F1" w:rsidRDefault="00000000">
      <w:pPr>
        <w:widowControl/>
        <w:autoSpaceDE w:val="0"/>
        <w:autoSpaceDN w:val="0"/>
        <w:spacing w:line="360" w:lineRule="auto"/>
        <w:ind w:firstLineChars="200" w:firstLine="482"/>
        <w:jc w:val="left"/>
        <w:textAlignment w:val="bottom"/>
        <w:rPr>
          <w:rFonts w:asciiTheme="minorEastAsia" w:hAnsiTheme="minorEastAsia" w:hint="eastAsia"/>
          <w:b/>
          <w:bCs/>
          <w:sz w:val="24"/>
          <w:szCs w:val="24"/>
        </w:rPr>
      </w:pPr>
      <w:r>
        <w:rPr>
          <w:rFonts w:asciiTheme="minorEastAsia" w:hAnsiTheme="minorEastAsia" w:hint="eastAsia"/>
          <w:b/>
          <w:bCs/>
          <w:sz w:val="24"/>
          <w:szCs w:val="24"/>
        </w:rPr>
        <w:t>液相色谱参考条件：</w:t>
      </w:r>
    </w:p>
    <w:p w14:paraId="2A0E9D00" w14:textId="77777777" w:rsidR="00F451F1" w:rsidRDefault="00000000">
      <w:pPr>
        <w:pStyle w:val="af6"/>
        <w:ind w:left="360" w:firstLineChars="0" w:firstLine="0"/>
        <w:jc w:val="left"/>
        <w:rPr>
          <w:rFonts w:ascii="Times New Roman" w:hAnsi="Times New Roman"/>
        </w:rPr>
      </w:pPr>
      <w:r>
        <w:rPr>
          <w:rFonts w:ascii="Times New Roman" w:hAnsi="Times New Roman" w:hint="eastAsia"/>
        </w:rPr>
        <w:t>液相色谱参考条件如下：</w:t>
      </w:r>
    </w:p>
    <w:p w14:paraId="0DA9C16D" w14:textId="77777777" w:rsidR="00F451F1" w:rsidRDefault="00000000">
      <w:pPr>
        <w:pStyle w:val="a"/>
        <w:rPr>
          <w:rFonts w:ascii="Times New Roman"/>
        </w:rPr>
      </w:pPr>
      <w:r>
        <w:rPr>
          <w:rFonts w:ascii="Times New Roman"/>
        </w:rPr>
        <w:t>色谱柱：</w:t>
      </w:r>
      <w:r>
        <w:rPr>
          <w:rFonts w:ascii="Times New Roman"/>
        </w:rPr>
        <w:t>C</w:t>
      </w:r>
      <w:r>
        <w:rPr>
          <w:rFonts w:ascii="Times New Roman"/>
          <w:vertAlign w:val="subscript"/>
        </w:rPr>
        <w:t>18</w:t>
      </w:r>
      <w:r>
        <w:rPr>
          <w:rFonts w:ascii="Times New Roman"/>
        </w:rPr>
        <w:t>柱，柱长</w:t>
      </w:r>
      <w:r>
        <w:rPr>
          <w:rFonts w:ascii="Times New Roman"/>
        </w:rPr>
        <w:t>250 mm</w:t>
      </w:r>
      <w:r>
        <w:rPr>
          <w:rFonts w:ascii="Times New Roman"/>
        </w:rPr>
        <w:t>，内径</w:t>
      </w:r>
      <w:r>
        <w:rPr>
          <w:rFonts w:ascii="Times New Roman"/>
        </w:rPr>
        <w:t>4.6 mm</w:t>
      </w:r>
      <w:r>
        <w:rPr>
          <w:rFonts w:ascii="Times New Roman"/>
        </w:rPr>
        <w:t>，粒径</w:t>
      </w:r>
      <w:r>
        <w:rPr>
          <w:rFonts w:ascii="Times New Roman"/>
        </w:rPr>
        <w:t xml:space="preserve">5.0 </w:t>
      </w:r>
      <w:proofErr w:type="spellStart"/>
      <w:r>
        <w:rPr>
          <w:rFonts w:ascii="Times New Roman"/>
        </w:rPr>
        <w:t>μm</w:t>
      </w:r>
      <w:proofErr w:type="spellEnd"/>
      <w:r>
        <w:rPr>
          <w:rFonts w:ascii="Times New Roman"/>
        </w:rPr>
        <w:t>，或性能相当者；</w:t>
      </w:r>
    </w:p>
    <w:p w14:paraId="446E1D75" w14:textId="77777777" w:rsidR="00F451F1" w:rsidRDefault="00000000">
      <w:pPr>
        <w:pStyle w:val="a"/>
        <w:rPr>
          <w:rFonts w:ascii="Times New Roman"/>
        </w:rPr>
      </w:pPr>
      <w:r>
        <w:rPr>
          <w:rFonts w:ascii="Times New Roman"/>
        </w:rPr>
        <w:t>柱温：</w:t>
      </w:r>
      <w:r>
        <w:rPr>
          <w:rFonts w:ascii="Times New Roman"/>
        </w:rPr>
        <w:t>40 ℃</w:t>
      </w:r>
      <w:r>
        <w:rPr>
          <w:rFonts w:ascii="Times New Roman"/>
        </w:rPr>
        <w:t>；</w:t>
      </w:r>
    </w:p>
    <w:p w14:paraId="4F6CE772" w14:textId="77777777" w:rsidR="00F451F1" w:rsidRDefault="00000000">
      <w:pPr>
        <w:pStyle w:val="a"/>
        <w:rPr>
          <w:rFonts w:ascii="Times New Roman"/>
        </w:rPr>
      </w:pPr>
      <w:r>
        <w:rPr>
          <w:rFonts w:ascii="Times New Roman"/>
        </w:rPr>
        <w:t>检测波长：</w:t>
      </w:r>
      <w:r>
        <w:rPr>
          <w:rFonts w:ascii="Times New Roman"/>
        </w:rPr>
        <w:t>245 nm</w:t>
      </w:r>
      <w:r>
        <w:rPr>
          <w:rFonts w:ascii="Times New Roman" w:hint="eastAsia"/>
        </w:rPr>
        <w:t>；</w:t>
      </w:r>
    </w:p>
    <w:p w14:paraId="1FF7E75E" w14:textId="77777777" w:rsidR="00F451F1" w:rsidRDefault="00000000">
      <w:pPr>
        <w:pStyle w:val="a"/>
        <w:rPr>
          <w:rFonts w:ascii="Times New Roman"/>
        </w:rPr>
      </w:pPr>
      <w:r>
        <w:rPr>
          <w:rFonts w:ascii="Times New Roman"/>
        </w:rPr>
        <w:t>流速：</w:t>
      </w:r>
      <w:r>
        <w:rPr>
          <w:rFonts w:ascii="Times New Roman"/>
        </w:rPr>
        <w:t>1.0 mL/min</w:t>
      </w:r>
      <w:r>
        <w:rPr>
          <w:rFonts w:ascii="Times New Roman"/>
        </w:rPr>
        <w:t>；</w:t>
      </w:r>
    </w:p>
    <w:p w14:paraId="0473CAA8" w14:textId="77777777" w:rsidR="00F451F1" w:rsidRDefault="00000000">
      <w:pPr>
        <w:pStyle w:val="a"/>
        <w:rPr>
          <w:rFonts w:ascii="Times New Roman"/>
        </w:rPr>
      </w:pPr>
      <w:r>
        <w:rPr>
          <w:rFonts w:ascii="Times New Roman"/>
        </w:rPr>
        <w:t>进样量：</w:t>
      </w:r>
      <w:r>
        <w:rPr>
          <w:rFonts w:ascii="Times New Roman"/>
        </w:rPr>
        <w:t xml:space="preserve">20 </w:t>
      </w:r>
      <w:r>
        <w:rPr>
          <w:rFonts w:ascii="Times New Roman"/>
        </w:rPr>
        <w:sym w:font="Symbol" w:char="F06D"/>
      </w:r>
      <w:r>
        <w:rPr>
          <w:rFonts w:ascii="Times New Roman"/>
        </w:rPr>
        <w:t>L</w:t>
      </w:r>
      <w:r>
        <w:rPr>
          <w:rFonts w:ascii="Times New Roman"/>
        </w:rPr>
        <w:t>。</w:t>
      </w:r>
    </w:p>
    <w:p w14:paraId="49451A5B" w14:textId="77777777" w:rsidR="00F451F1" w:rsidRDefault="00000000">
      <w:pPr>
        <w:pStyle w:val="a"/>
        <w:rPr>
          <w:rFonts w:ascii="Times New Roman"/>
        </w:rPr>
      </w:pPr>
      <w:r>
        <w:rPr>
          <w:rFonts w:ascii="Times New Roman"/>
        </w:rPr>
        <w:t>流动相：</w:t>
      </w:r>
      <w:r>
        <w:rPr>
          <w:rFonts w:ascii="Times New Roman"/>
        </w:rPr>
        <w:t>A</w:t>
      </w:r>
      <w:r>
        <w:rPr>
          <w:rFonts w:ascii="Times New Roman"/>
        </w:rPr>
        <w:t>相为磷酸盐缓冲液（取磷酸氢二钠</w:t>
      </w:r>
      <w:r>
        <w:rPr>
          <w:rFonts w:ascii="Times New Roman"/>
        </w:rPr>
        <w:t>3.0 g</w:t>
      </w:r>
      <w:r>
        <w:rPr>
          <w:rFonts w:ascii="Times New Roman"/>
        </w:rPr>
        <w:t>，加水</w:t>
      </w:r>
      <w:r>
        <w:rPr>
          <w:rFonts w:ascii="Times New Roman"/>
        </w:rPr>
        <w:t>1000 mL</w:t>
      </w:r>
      <w:r>
        <w:rPr>
          <w:rFonts w:ascii="Times New Roman"/>
        </w:rPr>
        <w:t>，用磷酸调</w:t>
      </w:r>
      <w:r>
        <w:rPr>
          <w:rFonts w:ascii="Times New Roman"/>
        </w:rPr>
        <w:t>pH</w:t>
      </w:r>
      <w:r>
        <w:rPr>
          <w:rFonts w:ascii="Times New Roman"/>
        </w:rPr>
        <w:t>值至</w:t>
      </w:r>
      <w:r>
        <w:rPr>
          <w:rFonts w:ascii="Times New Roman"/>
        </w:rPr>
        <w:t>7.0</w:t>
      </w:r>
      <w:r>
        <w:rPr>
          <w:rFonts w:ascii="Times New Roman"/>
        </w:rPr>
        <w:t>），</w:t>
      </w:r>
      <w:r>
        <w:rPr>
          <w:rFonts w:ascii="Times New Roman"/>
        </w:rPr>
        <w:t>B</w:t>
      </w:r>
      <w:r>
        <w:rPr>
          <w:rFonts w:ascii="Times New Roman" w:hint="eastAsia"/>
        </w:rPr>
        <w:t>相为</w:t>
      </w:r>
      <w:r>
        <w:rPr>
          <w:rFonts w:ascii="Times New Roman"/>
        </w:rPr>
        <w:t>乙腈</w:t>
      </w:r>
      <w:r>
        <w:rPr>
          <w:rFonts w:ascii="Times New Roman" w:hint="eastAsia"/>
        </w:rPr>
        <w:t>，</w:t>
      </w:r>
      <w:r>
        <w:rPr>
          <w:rFonts w:ascii="Times New Roman"/>
        </w:rPr>
        <w:t>梯度洗脱程序</w:t>
      </w:r>
      <w:r>
        <w:rPr>
          <w:rFonts w:ascii="Times New Roman" w:hint="eastAsia"/>
        </w:rPr>
        <w:t>见表</w:t>
      </w:r>
      <w:r>
        <w:rPr>
          <w:rFonts w:ascii="Times New Roman"/>
        </w:rPr>
        <w:t>1</w:t>
      </w:r>
      <w:r>
        <w:rPr>
          <w:rFonts w:ascii="Times New Roman" w:hint="eastAsia"/>
        </w:rPr>
        <w:t>。</w:t>
      </w:r>
    </w:p>
    <w:p w14:paraId="7B10DE56" w14:textId="77777777" w:rsidR="00F451F1" w:rsidRDefault="00000000">
      <w:pPr>
        <w:pStyle w:val="af7"/>
        <w:numPr>
          <w:ilvl w:val="0"/>
          <w:numId w:val="7"/>
        </w:numPr>
        <w:spacing w:before="156" w:after="156"/>
      </w:pPr>
      <w:r>
        <w:lastRenderedPageBreak/>
        <w:t>梯度洗脱程序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1880"/>
        <w:gridCol w:w="2268"/>
      </w:tblGrid>
      <w:tr w:rsidR="00F451F1" w14:paraId="70F07AEA" w14:textId="77777777">
        <w:trPr>
          <w:jc w:val="center"/>
        </w:trPr>
        <w:tc>
          <w:tcPr>
            <w:tcW w:w="1914" w:type="dxa"/>
            <w:tcBorders>
              <w:top w:val="single" w:sz="12" w:space="0" w:color="auto"/>
              <w:left w:val="single" w:sz="12" w:space="0" w:color="auto"/>
              <w:bottom w:val="single" w:sz="12" w:space="0" w:color="auto"/>
            </w:tcBorders>
            <w:shd w:val="clear" w:color="auto" w:fill="auto"/>
          </w:tcPr>
          <w:p w14:paraId="512E7BCF" w14:textId="77777777" w:rsidR="00F451F1" w:rsidRDefault="00000000">
            <w:pPr>
              <w:pStyle w:val="af8"/>
              <w:widowControl w:val="0"/>
            </w:pPr>
            <w:r>
              <w:rPr>
                <w:rFonts w:hint="eastAsia"/>
              </w:rPr>
              <w:t>时间</w:t>
            </w:r>
          </w:p>
          <w:p w14:paraId="7F5083B2" w14:textId="77777777" w:rsidR="00F451F1" w:rsidRDefault="00000000">
            <w:pPr>
              <w:pStyle w:val="af8"/>
              <w:widowControl w:val="0"/>
            </w:pPr>
            <w:r>
              <w:t>min</w:t>
            </w:r>
          </w:p>
        </w:tc>
        <w:tc>
          <w:tcPr>
            <w:tcW w:w="1880" w:type="dxa"/>
            <w:tcBorders>
              <w:top w:val="single" w:sz="12" w:space="0" w:color="auto"/>
              <w:bottom w:val="single" w:sz="12" w:space="0" w:color="auto"/>
            </w:tcBorders>
            <w:shd w:val="clear" w:color="auto" w:fill="auto"/>
          </w:tcPr>
          <w:p w14:paraId="4ED93927" w14:textId="77777777" w:rsidR="00F451F1" w:rsidRDefault="00000000">
            <w:pPr>
              <w:pStyle w:val="af8"/>
              <w:widowControl w:val="0"/>
            </w:pPr>
            <w:r>
              <w:rPr>
                <w:rFonts w:hint="eastAsia"/>
              </w:rPr>
              <w:t>A相</w:t>
            </w:r>
          </w:p>
          <w:p w14:paraId="7E725FCF" w14:textId="77777777" w:rsidR="00F451F1" w:rsidRDefault="00000000">
            <w:pPr>
              <w:pStyle w:val="af8"/>
              <w:widowControl w:val="0"/>
            </w:pPr>
            <w:r>
              <w:rPr>
                <w:rFonts w:hint="eastAsia"/>
              </w:rPr>
              <w:t>%</w:t>
            </w:r>
          </w:p>
        </w:tc>
        <w:tc>
          <w:tcPr>
            <w:tcW w:w="2268" w:type="dxa"/>
            <w:tcBorders>
              <w:top w:val="single" w:sz="12" w:space="0" w:color="auto"/>
              <w:bottom w:val="single" w:sz="12" w:space="0" w:color="auto"/>
              <w:right w:val="single" w:sz="12" w:space="0" w:color="auto"/>
            </w:tcBorders>
            <w:shd w:val="clear" w:color="auto" w:fill="auto"/>
          </w:tcPr>
          <w:p w14:paraId="04D295D1" w14:textId="77777777" w:rsidR="00F451F1" w:rsidRDefault="00000000">
            <w:pPr>
              <w:pStyle w:val="af8"/>
              <w:widowControl w:val="0"/>
            </w:pPr>
            <w:r>
              <w:rPr>
                <w:rFonts w:hint="eastAsia"/>
              </w:rPr>
              <w:t>B相</w:t>
            </w:r>
          </w:p>
          <w:p w14:paraId="1DCA3218" w14:textId="77777777" w:rsidR="00F451F1" w:rsidRDefault="00000000">
            <w:pPr>
              <w:pStyle w:val="af8"/>
              <w:widowControl w:val="0"/>
            </w:pPr>
            <w:r>
              <w:rPr>
                <w:rFonts w:hint="eastAsia"/>
              </w:rPr>
              <w:t>%</w:t>
            </w:r>
          </w:p>
        </w:tc>
      </w:tr>
      <w:tr w:rsidR="00F451F1" w14:paraId="334E55A8" w14:textId="77777777">
        <w:trPr>
          <w:jc w:val="center"/>
        </w:trPr>
        <w:tc>
          <w:tcPr>
            <w:tcW w:w="1914" w:type="dxa"/>
            <w:tcBorders>
              <w:top w:val="single" w:sz="12" w:space="0" w:color="auto"/>
              <w:left w:val="single" w:sz="12" w:space="0" w:color="auto"/>
            </w:tcBorders>
            <w:shd w:val="clear" w:color="auto" w:fill="auto"/>
          </w:tcPr>
          <w:p w14:paraId="54A845B0" w14:textId="77777777" w:rsidR="00F451F1" w:rsidRDefault="00000000">
            <w:pPr>
              <w:pStyle w:val="af8"/>
              <w:widowControl w:val="0"/>
            </w:pPr>
            <w:r>
              <w:t>0</w:t>
            </w:r>
            <w:r>
              <w:rPr>
                <w:rFonts w:hint="eastAsia"/>
              </w:rPr>
              <w:t>.00</w:t>
            </w:r>
          </w:p>
        </w:tc>
        <w:tc>
          <w:tcPr>
            <w:tcW w:w="1880" w:type="dxa"/>
            <w:tcBorders>
              <w:top w:val="single" w:sz="12" w:space="0" w:color="auto"/>
            </w:tcBorders>
            <w:shd w:val="clear" w:color="auto" w:fill="auto"/>
          </w:tcPr>
          <w:p w14:paraId="56865351" w14:textId="77777777" w:rsidR="00F451F1" w:rsidRDefault="00000000">
            <w:pPr>
              <w:pStyle w:val="af8"/>
              <w:widowControl w:val="0"/>
            </w:pPr>
            <w:r>
              <w:t>87</w:t>
            </w:r>
          </w:p>
        </w:tc>
        <w:tc>
          <w:tcPr>
            <w:tcW w:w="2268" w:type="dxa"/>
            <w:tcBorders>
              <w:top w:val="single" w:sz="12" w:space="0" w:color="auto"/>
              <w:right w:val="single" w:sz="12" w:space="0" w:color="auto"/>
            </w:tcBorders>
            <w:shd w:val="clear" w:color="auto" w:fill="auto"/>
          </w:tcPr>
          <w:p w14:paraId="7A373738" w14:textId="77777777" w:rsidR="00F451F1" w:rsidRDefault="00000000">
            <w:pPr>
              <w:pStyle w:val="af8"/>
              <w:widowControl w:val="0"/>
            </w:pPr>
            <w:r>
              <w:t>13</w:t>
            </w:r>
          </w:p>
        </w:tc>
      </w:tr>
      <w:tr w:rsidR="00F451F1" w14:paraId="7B9EE77D" w14:textId="77777777">
        <w:trPr>
          <w:jc w:val="center"/>
        </w:trPr>
        <w:tc>
          <w:tcPr>
            <w:tcW w:w="1914" w:type="dxa"/>
            <w:tcBorders>
              <w:left w:val="single" w:sz="12" w:space="0" w:color="auto"/>
            </w:tcBorders>
            <w:shd w:val="clear" w:color="auto" w:fill="auto"/>
          </w:tcPr>
          <w:p w14:paraId="5F38E0AD" w14:textId="77777777" w:rsidR="00F451F1" w:rsidRDefault="00000000">
            <w:pPr>
              <w:pStyle w:val="af8"/>
              <w:widowControl w:val="0"/>
            </w:pPr>
            <w:r>
              <w:t>9</w:t>
            </w:r>
            <w:r>
              <w:rPr>
                <w:rFonts w:hint="eastAsia"/>
              </w:rPr>
              <w:t>.00</w:t>
            </w:r>
          </w:p>
        </w:tc>
        <w:tc>
          <w:tcPr>
            <w:tcW w:w="1880" w:type="dxa"/>
            <w:shd w:val="clear" w:color="auto" w:fill="auto"/>
          </w:tcPr>
          <w:p w14:paraId="2410341A" w14:textId="77777777" w:rsidR="00F451F1" w:rsidRDefault="00000000">
            <w:pPr>
              <w:pStyle w:val="af8"/>
              <w:widowControl w:val="0"/>
            </w:pPr>
            <w:r>
              <w:t>87</w:t>
            </w:r>
          </w:p>
        </w:tc>
        <w:tc>
          <w:tcPr>
            <w:tcW w:w="2268" w:type="dxa"/>
            <w:tcBorders>
              <w:right w:val="single" w:sz="12" w:space="0" w:color="auto"/>
            </w:tcBorders>
            <w:shd w:val="clear" w:color="auto" w:fill="auto"/>
          </w:tcPr>
          <w:p w14:paraId="1CAB8876" w14:textId="77777777" w:rsidR="00F451F1" w:rsidRDefault="00000000">
            <w:pPr>
              <w:pStyle w:val="af8"/>
              <w:widowControl w:val="0"/>
            </w:pPr>
            <w:r>
              <w:t>13</w:t>
            </w:r>
          </w:p>
        </w:tc>
      </w:tr>
      <w:tr w:rsidR="00F451F1" w14:paraId="280E94F9" w14:textId="77777777">
        <w:trPr>
          <w:jc w:val="center"/>
        </w:trPr>
        <w:tc>
          <w:tcPr>
            <w:tcW w:w="1914" w:type="dxa"/>
            <w:tcBorders>
              <w:left w:val="single" w:sz="12" w:space="0" w:color="auto"/>
            </w:tcBorders>
            <w:shd w:val="clear" w:color="auto" w:fill="auto"/>
          </w:tcPr>
          <w:p w14:paraId="1A239156" w14:textId="77777777" w:rsidR="00F451F1" w:rsidRDefault="00000000">
            <w:pPr>
              <w:pStyle w:val="af8"/>
              <w:widowControl w:val="0"/>
            </w:pPr>
            <w:r>
              <w:t>9</w:t>
            </w:r>
            <w:r>
              <w:rPr>
                <w:rFonts w:hint="eastAsia"/>
              </w:rPr>
              <w:t>.</w:t>
            </w:r>
            <w:r>
              <w:t>1</w:t>
            </w:r>
            <w:r>
              <w:rPr>
                <w:rFonts w:hint="eastAsia"/>
              </w:rPr>
              <w:t>0</w:t>
            </w:r>
          </w:p>
        </w:tc>
        <w:tc>
          <w:tcPr>
            <w:tcW w:w="1880" w:type="dxa"/>
            <w:shd w:val="clear" w:color="auto" w:fill="auto"/>
          </w:tcPr>
          <w:p w14:paraId="618B4B82" w14:textId="77777777" w:rsidR="00F451F1" w:rsidRDefault="00000000">
            <w:pPr>
              <w:pStyle w:val="af8"/>
              <w:widowControl w:val="0"/>
            </w:pPr>
            <w:r>
              <w:t>75</w:t>
            </w:r>
          </w:p>
        </w:tc>
        <w:tc>
          <w:tcPr>
            <w:tcW w:w="2268" w:type="dxa"/>
            <w:tcBorders>
              <w:right w:val="single" w:sz="12" w:space="0" w:color="auto"/>
            </w:tcBorders>
            <w:shd w:val="clear" w:color="auto" w:fill="auto"/>
          </w:tcPr>
          <w:p w14:paraId="37DCAE11" w14:textId="77777777" w:rsidR="00F451F1" w:rsidRDefault="00000000">
            <w:pPr>
              <w:pStyle w:val="af8"/>
              <w:widowControl w:val="0"/>
            </w:pPr>
            <w:r>
              <w:t>25</w:t>
            </w:r>
          </w:p>
        </w:tc>
      </w:tr>
      <w:tr w:rsidR="00F451F1" w14:paraId="28783548" w14:textId="77777777">
        <w:trPr>
          <w:jc w:val="center"/>
        </w:trPr>
        <w:tc>
          <w:tcPr>
            <w:tcW w:w="1914" w:type="dxa"/>
            <w:tcBorders>
              <w:left w:val="single" w:sz="12" w:space="0" w:color="auto"/>
            </w:tcBorders>
            <w:shd w:val="clear" w:color="auto" w:fill="auto"/>
          </w:tcPr>
          <w:p w14:paraId="5275E348" w14:textId="77777777" w:rsidR="00F451F1" w:rsidRDefault="00000000">
            <w:pPr>
              <w:pStyle w:val="af8"/>
              <w:widowControl w:val="0"/>
            </w:pPr>
            <w:r>
              <w:t>18</w:t>
            </w:r>
            <w:r>
              <w:rPr>
                <w:rFonts w:hint="eastAsia"/>
              </w:rPr>
              <w:t>.00</w:t>
            </w:r>
          </w:p>
        </w:tc>
        <w:tc>
          <w:tcPr>
            <w:tcW w:w="1880" w:type="dxa"/>
            <w:shd w:val="clear" w:color="auto" w:fill="auto"/>
          </w:tcPr>
          <w:p w14:paraId="0F9D1E4C" w14:textId="77777777" w:rsidR="00F451F1" w:rsidRDefault="00000000">
            <w:pPr>
              <w:pStyle w:val="af8"/>
              <w:widowControl w:val="0"/>
            </w:pPr>
            <w:r>
              <w:t>75</w:t>
            </w:r>
          </w:p>
        </w:tc>
        <w:tc>
          <w:tcPr>
            <w:tcW w:w="2268" w:type="dxa"/>
            <w:tcBorders>
              <w:right w:val="single" w:sz="12" w:space="0" w:color="auto"/>
            </w:tcBorders>
            <w:shd w:val="clear" w:color="auto" w:fill="auto"/>
          </w:tcPr>
          <w:p w14:paraId="199FF49F" w14:textId="77777777" w:rsidR="00F451F1" w:rsidRDefault="00000000">
            <w:pPr>
              <w:pStyle w:val="af8"/>
              <w:widowControl w:val="0"/>
            </w:pPr>
            <w:r>
              <w:t>25</w:t>
            </w:r>
          </w:p>
        </w:tc>
      </w:tr>
      <w:tr w:rsidR="00F451F1" w14:paraId="3A25E1F2" w14:textId="77777777">
        <w:trPr>
          <w:jc w:val="center"/>
        </w:trPr>
        <w:tc>
          <w:tcPr>
            <w:tcW w:w="1914" w:type="dxa"/>
            <w:tcBorders>
              <w:left w:val="single" w:sz="12" w:space="0" w:color="auto"/>
            </w:tcBorders>
            <w:shd w:val="clear" w:color="auto" w:fill="auto"/>
          </w:tcPr>
          <w:p w14:paraId="26A0C381" w14:textId="77777777" w:rsidR="00F451F1" w:rsidRDefault="00000000">
            <w:pPr>
              <w:pStyle w:val="af8"/>
              <w:widowControl w:val="0"/>
            </w:pPr>
            <w:r>
              <w:t>18</w:t>
            </w:r>
            <w:r>
              <w:rPr>
                <w:rFonts w:hint="eastAsia"/>
              </w:rPr>
              <w:t>.</w:t>
            </w:r>
            <w:r>
              <w:t>1</w:t>
            </w:r>
            <w:r>
              <w:rPr>
                <w:rFonts w:hint="eastAsia"/>
              </w:rPr>
              <w:t>0</w:t>
            </w:r>
          </w:p>
        </w:tc>
        <w:tc>
          <w:tcPr>
            <w:tcW w:w="1880" w:type="dxa"/>
            <w:shd w:val="clear" w:color="auto" w:fill="auto"/>
          </w:tcPr>
          <w:p w14:paraId="0078F61F" w14:textId="77777777" w:rsidR="00F451F1" w:rsidRDefault="00000000">
            <w:pPr>
              <w:pStyle w:val="af8"/>
              <w:widowControl w:val="0"/>
            </w:pPr>
            <w:r>
              <w:t>87</w:t>
            </w:r>
          </w:p>
        </w:tc>
        <w:tc>
          <w:tcPr>
            <w:tcW w:w="2268" w:type="dxa"/>
            <w:tcBorders>
              <w:right w:val="single" w:sz="12" w:space="0" w:color="auto"/>
            </w:tcBorders>
            <w:shd w:val="clear" w:color="auto" w:fill="auto"/>
          </w:tcPr>
          <w:p w14:paraId="3B86B6F6" w14:textId="77777777" w:rsidR="00F451F1" w:rsidRDefault="00000000">
            <w:pPr>
              <w:pStyle w:val="af8"/>
              <w:widowControl w:val="0"/>
            </w:pPr>
            <w:r>
              <w:t>13</w:t>
            </w:r>
          </w:p>
        </w:tc>
      </w:tr>
      <w:tr w:rsidR="00F451F1" w14:paraId="6A8AA5B8" w14:textId="77777777">
        <w:trPr>
          <w:jc w:val="center"/>
        </w:trPr>
        <w:tc>
          <w:tcPr>
            <w:tcW w:w="1914" w:type="dxa"/>
            <w:tcBorders>
              <w:left w:val="single" w:sz="12" w:space="0" w:color="auto"/>
              <w:bottom w:val="single" w:sz="12" w:space="0" w:color="auto"/>
            </w:tcBorders>
            <w:shd w:val="clear" w:color="auto" w:fill="auto"/>
          </w:tcPr>
          <w:p w14:paraId="5A59D967" w14:textId="77777777" w:rsidR="00F451F1" w:rsidRDefault="00000000">
            <w:pPr>
              <w:pStyle w:val="af8"/>
              <w:widowControl w:val="0"/>
            </w:pPr>
            <w:r>
              <w:t>30.0</w:t>
            </w:r>
            <w:r>
              <w:rPr>
                <w:rFonts w:hint="eastAsia"/>
              </w:rPr>
              <w:t>0</w:t>
            </w:r>
          </w:p>
        </w:tc>
        <w:tc>
          <w:tcPr>
            <w:tcW w:w="1880" w:type="dxa"/>
            <w:tcBorders>
              <w:bottom w:val="single" w:sz="12" w:space="0" w:color="auto"/>
            </w:tcBorders>
            <w:shd w:val="clear" w:color="auto" w:fill="auto"/>
          </w:tcPr>
          <w:p w14:paraId="43F6321D" w14:textId="77777777" w:rsidR="00F451F1" w:rsidRDefault="00000000">
            <w:pPr>
              <w:pStyle w:val="af8"/>
              <w:widowControl w:val="0"/>
            </w:pPr>
            <w:r>
              <w:t>87</w:t>
            </w:r>
          </w:p>
        </w:tc>
        <w:tc>
          <w:tcPr>
            <w:tcW w:w="2268" w:type="dxa"/>
            <w:tcBorders>
              <w:bottom w:val="single" w:sz="12" w:space="0" w:color="auto"/>
              <w:right w:val="single" w:sz="12" w:space="0" w:color="auto"/>
            </w:tcBorders>
            <w:shd w:val="clear" w:color="auto" w:fill="auto"/>
          </w:tcPr>
          <w:p w14:paraId="56ED5960" w14:textId="77777777" w:rsidR="00F451F1" w:rsidRDefault="00000000">
            <w:pPr>
              <w:pStyle w:val="af8"/>
              <w:widowControl w:val="0"/>
            </w:pPr>
            <w:r>
              <w:t>13</w:t>
            </w:r>
          </w:p>
        </w:tc>
      </w:tr>
    </w:tbl>
    <w:p w14:paraId="434D51EF" w14:textId="77777777" w:rsidR="00F451F1" w:rsidRDefault="00F451F1">
      <w:pPr>
        <w:widowControl/>
        <w:autoSpaceDE w:val="0"/>
        <w:autoSpaceDN w:val="0"/>
        <w:spacing w:line="360" w:lineRule="auto"/>
        <w:jc w:val="left"/>
        <w:textAlignment w:val="bottom"/>
        <w:rPr>
          <w:rFonts w:asciiTheme="minorEastAsia" w:hAnsiTheme="minorEastAsia" w:hint="eastAsia"/>
          <w:sz w:val="24"/>
          <w:szCs w:val="24"/>
        </w:rPr>
      </w:pPr>
    </w:p>
    <w:p w14:paraId="5512597B" w14:textId="77777777" w:rsidR="00F451F1" w:rsidRDefault="00000000">
      <w:pPr>
        <w:widowControl/>
        <w:autoSpaceDE w:val="0"/>
        <w:autoSpaceDN w:val="0"/>
        <w:spacing w:line="360" w:lineRule="auto"/>
        <w:ind w:firstLineChars="200" w:firstLine="482"/>
        <w:jc w:val="left"/>
        <w:textAlignment w:val="bottom"/>
        <w:rPr>
          <w:rFonts w:asciiTheme="minorEastAsia" w:hAnsiTheme="minorEastAsia" w:hint="eastAsia"/>
          <w:b/>
          <w:bCs/>
          <w:sz w:val="24"/>
          <w:szCs w:val="24"/>
        </w:rPr>
      </w:pPr>
      <w:r>
        <w:rPr>
          <w:rFonts w:asciiTheme="minorEastAsia" w:hAnsiTheme="minorEastAsia" w:hint="eastAsia"/>
          <w:b/>
          <w:bCs/>
          <w:sz w:val="24"/>
          <w:szCs w:val="24"/>
        </w:rPr>
        <w:t>液相色谱串联质谱参考条件：</w:t>
      </w:r>
    </w:p>
    <w:p w14:paraId="70477F25" w14:textId="77777777" w:rsidR="00F451F1" w:rsidRDefault="00000000">
      <w:pPr>
        <w:pStyle w:val="af6"/>
        <w:ind w:left="360" w:firstLineChars="0" w:firstLine="0"/>
        <w:jc w:val="left"/>
        <w:rPr>
          <w:rFonts w:ascii="Times New Roman" w:hAnsi="Times New Roman"/>
        </w:rPr>
      </w:pPr>
      <w:r>
        <w:rPr>
          <w:rFonts w:ascii="Times New Roman" w:hAnsi="Times New Roman" w:hint="eastAsia"/>
        </w:rPr>
        <w:t>液相色谱参考条件如下：</w:t>
      </w:r>
    </w:p>
    <w:p w14:paraId="01E58F7A" w14:textId="77777777" w:rsidR="00F451F1" w:rsidRDefault="00000000">
      <w:pPr>
        <w:pStyle w:val="a"/>
        <w:numPr>
          <w:ilvl w:val="0"/>
          <w:numId w:val="8"/>
        </w:numPr>
      </w:pPr>
      <w:r>
        <w:rPr>
          <w:rFonts w:hint="eastAsia"/>
        </w:rPr>
        <w:t>色谱柱：C</w:t>
      </w:r>
      <w:r>
        <w:rPr>
          <w:rFonts w:hint="eastAsia"/>
          <w:vertAlign w:val="subscript"/>
        </w:rPr>
        <w:t>18</w:t>
      </w:r>
      <w:r>
        <w:rPr>
          <w:rFonts w:hint="eastAsia"/>
        </w:rPr>
        <w:t>柱，柱长100 mm，内径2.1 mm，粒径1.7 μm，或性能相当者；</w:t>
      </w:r>
    </w:p>
    <w:p w14:paraId="5EBDF77C" w14:textId="77777777" w:rsidR="00F451F1" w:rsidRDefault="00000000">
      <w:pPr>
        <w:pStyle w:val="a"/>
        <w:numPr>
          <w:ilvl w:val="0"/>
          <w:numId w:val="0"/>
        </w:numPr>
        <w:ind w:left="851" w:hanging="426"/>
      </w:pPr>
      <w:r>
        <w:rPr>
          <w:rFonts w:hint="eastAsia"/>
        </w:rPr>
        <w:t>b）流动相：A相为0.1%甲酸溶液,B相为乙腈,梯度洗脱程序见表</w:t>
      </w:r>
      <w:r>
        <w:t>2</w:t>
      </w:r>
      <w:r>
        <w:rPr>
          <w:rFonts w:hint="eastAsia"/>
        </w:rPr>
        <w:t>；</w:t>
      </w:r>
    </w:p>
    <w:p w14:paraId="38CC4AC8" w14:textId="77777777" w:rsidR="00F451F1" w:rsidRDefault="00000000">
      <w:pPr>
        <w:pStyle w:val="a"/>
        <w:numPr>
          <w:ilvl w:val="0"/>
          <w:numId w:val="0"/>
        </w:numPr>
        <w:ind w:left="851" w:hanging="426"/>
      </w:pPr>
      <w:r>
        <w:rPr>
          <w:rFonts w:hint="eastAsia"/>
        </w:rPr>
        <w:t>c）柱温：35 ℃；</w:t>
      </w:r>
    </w:p>
    <w:p w14:paraId="105DB95E" w14:textId="77777777" w:rsidR="00F451F1" w:rsidRDefault="00000000">
      <w:pPr>
        <w:pStyle w:val="a"/>
        <w:numPr>
          <w:ilvl w:val="0"/>
          <w:numId w:val="0"/>
        </w:numPr>
        <w:ind w:left="851" w:hanging="426"/>
      </w:pPr>
      <w:r>
        <w:rPr>
          <w:rFonts w:hint="eastAsia"/>
        </w:rPr>
        <w:t>d）流速：0.3 mL/min；</w:t>
      </w:r>
    </w:p>
    <w:p w14:paraId="769D1566" w14:textId="77777777" w:rsidR="00F451F1" w:rsidRDefault="00000000">
      <w:pPr>
        <w:pStyle w:val="a"/>
        <w:numPr>
          <w:ilvl w:val="0"/>
          <w:numId w:val="0"/>
        </w:numPr>
        <w:ind w:left="851" w:hanging="426"/>
      </w:pPr>
      <w:r>
        <w:rPr>
          <w:rFonts w:hint="eastAsia"/>
        </w:rPr>
        <w:t xml:space="preserve">e）进样量：2 </w:t>
      </w:r>
      <w:proofErr w:type="spellStart"/>
      <w:r>
        <w:rPr>
          <w:rFonts w:ascii="Times New Roman"/>
        </w:rPr>
        <w:t>μ</w:t>
      </w:r>
      <w:r>
        <w:rPr>
          <w:rFonts w:hint="eastAsia"/>
        </w:rPr>
        <w:t>L</w:t>
      </w:r>
      <w:proofErr w:type="spellEnd"/>
      <w:r>
        <w:rPr>
          <w:rFonts w:hint="eastAsia"/>
        </w:rPr>
        <w:t>。</w:t>
      </w:r>
    </w:p>
    <w:p w14:paraId="034AEA7C" w14:textId="77777777" w:rsidR="00F451F1" w:rsidRDefault="00000000">
      <w:pPr>
        <w:pStyle w:val="af7"/>
        <w:numPr>
          <w:ilvl w:val="0"/>
          <w:numId w:val="7"/>
        </w:numPr>
        <w:spacing w:before="156" w:after="156"/>
      </w:pPr>
      <w:r>
        <w:rPr>
          <w:rFonts w:hint="eastAsia"/>
        </w:rPr>
        <w:t>梯度洗脱程序</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5"/>
        <w:gridCol w:w="1937"/>
        <w:gridCol w:w="2327"/>
      </w:tblGrid>
      <w:tr w:rsidR="00F451F1" w14:paraId="42F4A3BC" w14:textId="77777777">
        <w:trPr>
          <w:tblHeader/>
          <w:jc w:val="center"/>
        </w:trPr>
        <w:tc>
          <w:tcPr>
            <w:tcW w:w="1985" w:type="dxa"/>
            <w:tcBorders>
              <w:top w:val="single" w:sz="8" w:space="0" w:color="auto"/>
              <w:left w:val="single" w:sz="12" w:space="0" w:color="auto"/>
              <w:bottom w:val="single" w:sz="8" w:space="0" w:color="auto"/>
            </w:tcBorders>
            <w:shd w:val="clear" w:color="auto" w:fill="auto"/>
            <w:vAlign w:val="center"/>
          </w:tcPr>
          <w:p w14:paraId="6C125768" w14:textId="77777777" w:rsidR="00F451F1" w:rsidRDefault="00000000">
            <w:pPr>
              <w:pStyle w:val="af8"/>
              <w:widowControl w:val="0"/>
              <w:rPr>
                <w:rFonts w:hAnsi="宋体" w:hint="eastAsia"/>
              </w:rPr>
            </w:pPr>
            <w:r>
              <w:rPr>
                <w:rFonts w:hAnsi="宋体" w:hint="eastAsia"/>
              </w:rPr>
              <w:t>时间</w:t>
            </w:r>
            <w:r>
              <w:rPr>
                <w:rFonts w:hAnsi="宋体"/>
              </w:rPr>
              <w:t xml:space="preserve"> </w:t>
            </w:r>
          </w:p>
          <w:p w14:paraId="16B0321D" w14:textId="77777777" w:rsidR="00F451F1" w:rsidRDefault="00000000">
            <w:pPr>
              <w:pStyle w:val="af8"/>
              <w:widowControl w:val="0"/>
              <w:rPr>
                <w:rFonts w:hAnsi="宋体" w:hint="eastAsia"/>
              </w:rPr>
            </w:pPr>
            <w:r>
              <w:rPr>
                <w:rFonts w:hAnsi="宋体"/>
              </w:rPr>
              <w:t>min</w:t>
            </w:r>
          </w:p>
        </w:tc>
        <w:tc>
          <w:tcPr>
            <w:tcW w:w="1937" w:type="dxa"/>
            <w:tcBorders>
              <w:top w:val="single" w:sz="8" w:space="0" w:color="auto"/>
              <w:bottom w:val="single" w:sz="8" w:space="0" w:color="auto"/>
            </w:tcBorders>
            <w:shd w:val="clear" w:color="auto" w:fill="auto"/>
            <w:vAlign w:val="center"/>
          </w:tcPr>
          <w:p w14:paraId="007F3A5C" w14:textId="77777777" w:rsidR="00F451F1" w:rsidRDefault="00000000">
            <w:pPr>
              <w:pStyle w:val="af8"/>
              <w:widowControl w:val="0"/>
              <w:rPr>
                <w:rFonts w:hAnsi="宋体" w:hint="eastAsia"/>
              </w:rPr>
            </w:pPr>
            <w:r>
              <w:rPr>
                <w:rFonts w:hAnsi="宋体"/>
              </w:rPr>
              <w:t xml:space="preserve">A </w:t>
            </w:r>
            <w:r>
              <w:rPr>
                <w:rFonts w:hAnsi="宋体" w:hint="eastAsia"/>
              </w:rPr>
              <w:t>相</w:t>
            </w:r>
          </w:p>
          <w:p w14:paraId="2BEE9B43" w14:textId="77777777" w:rsidR="00F451F1" w:rsidRDefault="00000000">
            <w:pPr>
              <w:pStyle w:val="af8"/>
              <w:widowControl w:val="0"/>
              <w:rPr>
                <w:rFonts w:hAnsi="宋体" w:hint="eastAsia"/>
              </w:rPr>
            </w:pPr>
            <w:r>
              <w:rPr>
                <w:rFonts w:hAnsi="宋体"/>
              </w:rPr>
              <w:t>%</w:t>
            </w:r>
          </w:p>
        </w:tc>
        <w:tc>
          <w:tcPr>
            <w:tcW w:w="2327" w:type="dxa"/>
            <w:tcBorders>
              <w:top w:val="single" w:sz="8" w:space="0" w:color="auto"/>
              <w:bottom w:val="single" w:sz="8" w:space="0" w:color="auto"/>
              <w:right w:val="single" w:sz="12" w:space="0" w:color="auto"/>
            </w:tcBorders>
            <w:shd w:val="clear" w:color="auto" w:fill="auto"/>
            <w:vAlign w:val="center"/>
          </w:tcPr>
          <w:p w14:paraId="7BC729E3" w14:textId="77777777" w:rsidR="00F451F1" w:rsidRDefault="00000000">
            <w:pPr>
              <w:pStyle w:val="af8"/>
              <w:widowControl w:val="0"/>
              <w:rPr>
                <w:rFonts w:hAnsi="宋体" w:hint="eastAsia"/>
              </w:rPr>
            </w:pPr>
            <w:r>
              <w:rPr>
                <w:rFonts w:hAnsi="宋体"/>
              </w:rPr>
              <w:t xml:space="preserve">B </w:t>
            </w:r>
            <w:r>
              <w:rPr>
                <w:rFonts w:hAnsi="宋体" w:hint="eastAsia"/>
              </w:rPr>
              <w:t>相</w:t>
            </w:r>
          </w:p>
          <w:p w14:paraId="229ED8EC" w14:textId="77777777" w:rsidR="00F451F1" w:rsidRDefault="00000000">
            <w:pPr>
              <w:pStyle w:val="af8"/>
              <w:widowControl w:val="0"/>
              <w:rPr>
                <w:rFonts w:hAnsi="宋体" w:hint="eastAsia"/>
              </w:rPr>
            </w:pPr>
            <w:r>
              <w:rPr>
                <w:rFonts w:hAnsi="宋体"/>
              </w:rPr>
              <w:t>%</w:t>
            </w:r>
          </w:p>
        </w:tc>
      </w:tr>
      <w:tr w:rsidR="00F451F1" w14:paraId="2956DE69" w14:textId="77777777">
        <w:trPr>
          <w:jc w:val="center"/>
        </w:trPr>
        <w:tc>
          <w:tcPr>
            <w:tcW w:w="1985" w:type="dxa"/>
            <w:tcBorders>
              <w:top w:val="single" w:sz="8" w:space="0" w:color="auto"/>
              <w:left w:val="single" w:sz="12" w:space="0" w:color="auto"/>
            </w:tcBorders>
            <w:shd w:val="clear" w:color="auto" w:fill="auto"/>
          </w:tcPr>
          <w:p w14:paraId="3E3A4082" w14:textId="77777777" w:rsidR="00F451F1" w:rsidRDefault="00000000">
            <w:pPr>
              <w:pStyle w:val="af8"/>
              <w:widowControl w:val="0"/>
              <w:rPr>
                <w:rFonts w:hAnsi="宋体" w:hint="eastAsia"/>
              </w:rPr>
            </w:pPr>
            <w:r>
              <w:rPr>
                <w:rFonts w:hAnsi="宋体"/>
              </w:rPr>
              <w:t>0.00</w:t>
            </w:r>
          </w:p>
        </w:tc>
        <w:tc>
          <w:tcPr>
            <w:tcW w:w="1937" w:type="dxa"/>
            <w:tcBorders>
              <w:top w:val="single" w:sz="8" w:space="0" w:color="auto"/>
            </w:tcBorders>
            <w:shd w:val="clear" w:color="auto" w:fill="auto"/>
          </w:tcPr>
          <w:p w14:paraId="5BC99391" w14:textId="77777777" w:rsidR="00F451F1" w:rsidRDefault="00000000">
            <w:pPr>
              <w:pStyle w:val="af8"/>
              <w:widowControl w:val="0"/>
              <w:rPr>
                <w:rFonts w:hAnsi="宋体" w:hint="eastAsia"/>
              </w:rPr>
            </w:pPr>
            <w:r>
              <w:rPr>
                <w:rFonts w:hAnsi="宋体"/>
              </w:rPr>
              <w:t>90</w:t>
            </w:r>
          </w:p>
        </w:tc>
        <w:tc>
          <w:tcPr>
            <w:tcW w:w="2327" w:type="dxa"/>
            <w:tcBorders>
              <w:top w:val="single" w:sz="8" w:space="0" w:color="auto"/>
              <w:right w:val="single" w:sz="12" w:space="0" w:color="auto"/>
            </w:tcBorders>
            <w:shd w:val="clear" w:color="auto" w:fill="auto"/>
          </w:tcPr>
          <w:p w14:paraId="5F2F016F" w14:textId="77777777" w:rsidR="00F451F1" w:rsidRDefault="00000000">
            <w:pPr>
              <w:pStyle w:val="af8"/>
              <w:widowControl w:val="0"/>
              <w:rPr>
                <w:rFonts w:hAnsi="宋体" w:hint="eastAsia"/>
              </w:rPr>
            </w:pPr>
            <w:r>
              <w:rPr>
                <w:rFonts w:hAnsi="宋体"/>
              </w:rPr>
              <w:t>10</w:t>
            </w:r>
          </w:p>
        </w:tc>
      </w:tr>
      <w:tr w:rsidR="00F451F1" w14:paraId="4BD663D1" w14:textId="77777777">
        <w:trPr>
          <w:jc w:val="center"/>
        </w:trPr>
        <w:tc>
          <w:tcPr>
            <w:tcW w:w="1985" w:type="dxa"/>
            <w:tcBorders>
              <w:left w:val="single" w:sz="12" w:space="0" w:color="auto"/>
            </w:tcBorders>
            <w:shd w:val="clear" w:color="auto" w:fill="auto"/>
          </w:tcPr>
          <w:p w14:paraId="049F28E1" w14:textId="77777777" w:rsidR="00F451F1" w:rsidRDefault="00000000">
            <w:pPr>
              <w:pStyle w:val="af8"/>
              <w:widowControl w:val="0"/>
              <w:rPr>
                <w:rFonts w:hAnsi="宋体" w:hint="eastAsia"/>
              </w:rPr>
            </w:pPr>
            <w:r>
              <w:rPr>
                <w:rFonts w:hAnsi="宋体"/>
              </w:rPr>
              <w:t>2.50</w:t>
            </w:r>
          </w:p>
        </w:tc>
        <w:tc>
          <w:tcPr>
            <w:tcW w:w="1937" w:type="dxa"/>
            <w:shd w:val="clear" w:color="auto" w:fill="auto"/>
          </w:tcPr>
          <w:p w14:paraId="68F00532" w14:textId="77777777" w:rsidR="00F451F1" w:rsidRDefault="00000000">
            <w:pPr>
              <w:pStyle w:val="af8"/>
              <w:widowControl w:val="0"/>
              <w:rPr>
                <w:rFonts w:hAnsi="宋体" w:hint="eastAsia"/>
              </w:rPr>
            </w:pPr>
            <w:r>
              <w:rPr>
                <w:rFonts w:hAnsi="宋体"/>
              </w:rPr>
              <w:t>90</w:t>
            </w:r>
          </w:p>
        </w:tc>
        <w:tc>
          <w:tcPr>
            <w:tcW w:w="2327" w:type="dxa"/>
            <w:tcBorders>
              <w:right w:val="single" w:sz="12" w:space="0" w:color="auto"/>
            </w:tcBorders>
            <w:shd w:val="clear" w:color="auto" w:fill="auto"/>
          </w:tcPr>
          <w:p w14:paraId="5B04379D" w14:textId="77777777" w:rsidR="00F451F1" w:rsidRDefault="00000000">
            <w:pPr>
              <w:pStyle w:val="af8"/>
              <w:widowControl w:val="0"/>
              <w:rPr>
                <w:rFonts w:hAnsi="宋体" w:hint="eastAsia"/>
              </w:rPr>
            </w:pPr>
            <w:r>
              <w:rPr>
                <w:rFonts w:hAnsi="宋体"/>
              </w:rPr>
              <w:t>10</w:t>
            </w:r>
          </w:p>
        </w:tc>
      </w:tr>
      <w:tr w:rsidR="00F451F1" w14:paraId="73E87D8E" w14:textId="77777777">
        <w:trPr>
          <w:trHeight w:val="198"/>
          <w:jc w:val="center"/>
        </w:trPr>
        <w:tc>
          <w:tcPr>
            <w:tcW w:w="1985" w:type="dxa"/>
            <w:tcBorders>
              <w:left w:val="single" w:sz="12" w:space="0" w:color="auto"/>
            </w:tcBorders>
            <w:shd w:val="clear" w:color="auto" w:fill="auto"/>
          </w:tcPr>
          <w:p w14:paraId="7AC02456" w14:textId="77777777" w:rsidR="00F451F1" w:rsidRDefault="00000000">
            <w:pPr>
              <w:pStyle w:val="af8"/>
              <w:widowControl w:val="0"/>
              <w:rPr>
                <w:rFonts w:hAnsi="宋体" w:hint="eastAsia"/>
              </w:rPr>
            </w:pPr>
            <w:r>
              <w:rPr>
                <w:rFonts w:hAnsi="宋体"/>
              </w:rPr>
              <w:t>5.60</w:t>
            </w:r>
          </w:p>
        </w:tc>
        <w:tc>
          <w:tcPr>
            <w:tcW w:w="1937" w:type="dxa"/>
            <w:shd w:val="clear" w:color="auto" w:fill="auto"/>
          </w:tcPr>
          <w:p w14:paraId="383EE829" w14:textId="77777777" w:rsidR="00F451F1" w:rsidRDefault="00000000">
            <w:pPr>
              <w:pStyle w:val="af8"/>
              <w:widowControl w:val="0"/>
              <w:rPr>
                <w:rFonts w:hAnsi="宋体" w:hint="eastAsia"/>
              </w:rPr>
            </w:pPr>
            <w:r>
              <w:rPr>
                <w:rFonts w:hAnsi="宋体"/>
              </w:rPr>
              <w:t>10</w:t>
            </w:r>
          </w:p>
        </w:tc>
        <w:tc>
          <w:tcPr>
            <w:tcW w:w="2327" w:type="dxa"/>
            <w:tcBorders>
              <w:right w:val="single" w:sz="12" w:space="0" w:color="auto"/>
            </w:tcBorders>
            <w:shd w:val="clear" w:color="auto" w:fill="auto"/>
          </w:tcPr>
          <w:p w14:paraId="605D3C8B" w14:textId="77777777" w:rsidR="00F451F1" w:rsidRDefault="00000000">
            <w:pPr>
              <w:pStyle w:val="af8"/>
              <w:widowControl w:val="0"/>
              <w:rPr>
                <w:rFonts w:hAnsi="宋体" w:hint="eastAsia"/>
              </w:rPr>
            </w:pPr>
            <w:r>
              <w:rPr>
                <w:rFonts w:hAnsi="宋体"/>
              </w:rPr>
              <w:t>90</w:t>
            </w:r>
          </w:p>
        </w:tc>
      </w:tr>
      <w:tr w:rsidR="00F451F1" w14:paraId="5B635FAA" w14:textId="77777777">
        <w:trPr>
          <w:jc w:val="center"/>
        </w:trPr>
        <w:tc>
          <w:tcPr>
            <w:tcW w:w="1985" w:type="dxa"/>
            <w:tcBorders>
              <w:left w:val="single" w:sz="12" w:space="0" w:color="auto"/>
            </w:tcBorders>
            <w:shd w:val="clear" w:color="auto" w:fill="auto"/>
          </w:tcPr>
          <w:p w14:paraId="3925A15B" w14:textId="77777777" w:rsidR="00F451F1" w:rsidRDefault="00000000">
            <w:pPr>
              <w:pStyle w:val="af8"/>
              <w:widowControl w:val="0"/>
              <w:rPr>
                <w:rFonts w:hAnsi="宋体" w:hint="eastAsia"/>
              </w:rPr>
            </w:pPr>
            <w:r>
              <w:rPr>
                <w:rFonts w:hAnsi="宋体"/>
              </w:rPr>
              <w:t>6.50</w:t>
            </w:r>
          </w:p>
        </w:tc>
        <w:tc>
          <w:tcPr>
            <w:tcW w:w="1937" w:type="dxa"/>
            <w:shd w:val="clear" w:color="auto" w:fill="auto"/>
          </w:tcPr>
          <w:p w14:paraId="73ABE1C5" w14:textId="77777777" w:rsidR="00F451F1" w:rsidRDefault="00000000">
            <w:pPr>
              <w:pStyle w:val="af8"/>
              <w:widowControl w:val="0"/>
              <w:rPr>
                <w:rFonts w:hAnsi="宋体" w:hint="eastAsia"/>
              </w:rPr>
            </w:pPr>
            <w:r>
              <w:rPr>
                <w:rFonts w:hAnsi="宋体"/>
              </w:rPr>
              <w:t>10</w:t>
            </w:r>
          </w:p>
        </w:tc>
        <w:tc>
          <w:tcPr>
            <w:tcW w:w="2327" w:type="dxa"/>
            <w:tcBorders>
              <w:right w:val="single" w:sz="12" w:space="0" w:color="auto"/>
            </w:tcBorders>
            <w:shd w:val="clear" w:color="auto" w:fill="auto"/>
          </w:tcPr>
          <w:p w14:paraId="240127DF" w14:textId="77777777" w:rsidR="00F451F1" w:rsidRDefault="00000000">
            <w:pPr>
              <w:pStyle w:val="af8"/>
              <w:widowControl w:val="0"/>
              <w:rPr>
                <w:rFonts w:hAnsi="宋体" w:hint="eastAsia"/>
              </w:rPr>
            </w:pPr>
            <w:r>
              <w:rPr>
                <w:rFonts w:hAnsi="宋体"/>
              </w:rPr>
              <w:t>90</w:t>
            </w:r>
          </w:p>
        </w:tc>
      </w:tr>
      <w:tr w:rsidR="00F451F1" w14:paraId="7F0D9DF8" w14:textId="77777777">
        <w:trPr>
          <w:jc w:val="center"/>
        </w:trPr>
        <w:tc>
          <w:tcPr>
            <w:tcW w:w="1985" w:type="dxa"/>
            <w:tcBorders>
              <w:left w:val="single" w:sz="12" w:space="0" w:color="auto"/>
            </w:tcBorders>
            <w:shd w:val="clear" w:color="auto" w:fill="auto"/>
          </w:tcPr>
          <w:p w14:paraId="0E59EBCE" w14:textId="77777777" w:rsidR="00F451F1" w:rsidRDefault="00000000">
            <w:pPr>
              <w:pStyle w:val="af8"/>
              <w:widowControl w:val="0"/>
              <w:rPr>
                <w:rFonts w:hAnsi="宋体" w:hint="eastAsia"/>
              </w:rPr>
            </w:pPr>
            <w:r>
              <w:rPr>
                <w:rFonts w:hAnsi="宋体"/>
              </w:rPr>
              <w:t>6.60</w:t>
            </w:r>
          </w:p>
        </w:tc>
        <w:tc>
          <w:tcPr>
            <w:tcW w:w="1937" w:type="dxa"/>
            <w:shd w:val="clear" w:color="auto" w:fill="auto"/>
          </w:tcPr>
          <w:p w14:paraId="2AB7F8A8" w14:textId="77777777" w:rsidR="00F451F1" w:rsidRDefault="00000000">
            <w:pPr>
              <w:pStyle w:val="af8"/>
              <w:widowControl w:val="0"/>
              <w:rPr>
                <w:rFonts w:hAnsi="宋体" w:hint="eastAsia"/>
              </w:rPr>
            </w:pPr>
            <w:r>
              <w:rPr>
                <w:rFonts w:hAnsi="宋体"/>
              </w:rPr>
              <w:t>90</w:t>
            </w:r>
          </w:p>
        </w:tc>
        <w:tc>
          <w:tcPr>
            <w:tcW w:w="2327" w:type="dxa"/>
            <w:tcBorders>
              <w:right w:val="single" w:sz="12" w:space="0" w:color="auto"/>
            </w:tcBorders>
            <w:shd w:val="clear" w:color="auto" w:fill="auto"/>
          </w:tcPr>
          <w:p w14:paraId="6ECB0F0F" w14:textId="77777777" w:rsidR="00F451F1" w:rsidRDefault="00000000">
            <w:pPr>
              <w:pStyle w:val="af8"/>
              <w:widowControl w:val="0"/>
              <w:rPr>
                <w:rFonts w:hAnsi="宋体" w:hint="eastAsia"/>
              </w:rPr>
            </w:pPr>
            <w:r>
              <w:rPr>
                <w:rFonts w:hAnsi="宋体"/>
              </w:rPr>
              <w:t>10</w:t>
            </w:r>
          </w:p>
        </w:tc>
      </w:tr>
      <w:tr w:rsidR="00F451F1" w14:paraId="79EEE249" w14:textId="77777777">
        <w:trPr>
          <w:jc w:val="center"/>
        </w:trPr>
        <w:tc>
          <w:tcPr>
            <w:tcW w:w="1985" w:type="dxa"/>
            <w:tcBorders>
              <w:left w:val="single" w:sz="12" w:space="0" w:color="auto"/>
              <w:bottom w:val="single" w:sz="12" w:space="0" w:color="auto"/>
            </w:tcBorders>
            <w:shd w:val="clear" w:color="auto" w:fill="auto"/>
          </w:tcPr>
          <w:p w14:paraId="4872261C" w14:textId="77777777" w:rsidR="00F451F1" w:rsidRDefault="00000000">
            <w:pPr>
              <w:pStyle w:val="af8"/>
              <w:widowControl w:val="0"/>
              <w:rPr>
                <w:rFonts w:hAnsi="宋体" w:hint="eastAsia"/>
              </w:rPr>
            </w:pPr>
            <w:r>
              <w:rPr>
                <w:rFonts w:hAnsi="宋体"/>
              </w:rPr>
              <w:t>9.00</w:t>
            </w:r>
          </w:p>
        </w:tc>
        <w:tc>
          <w:tcPr>
            <w:tcW w:w="1937" w:type="dxa"/>
            <w:tcBorders>
              <w:bottom w:val="single" w:sz="12" w:space="0" w:color="auto"/>
            </w:tcBorders>
            <w:shd w:val="clear" w:color="auto" w:fill="auto"/>
          </w:tcPr>
          <w:p w14:paraId="5E2CD31E" w14:textId="77777777" w:rsidR="00F451F1" w:rsidRDefault="00000000">
            <w:pPr>
              <w:pStyle w:val="af8"/>
              <w:widowControl w:val="0"/>
              <w:rPr>
                <w:rFonts w:hAnsi="宋体" w:hint="eastAsia"/>
              </w:rPr>
            </w:pPr>
            <w:r>
              <w:rPr>
                <w:rFonts w:hAnsi="宋体"/>
              </w:rPr>
              <w:t>90</w:t>
            </w:r>
          </w:p>
        </w:tc>
        <w:tc>
          <w:tcPr>
            <w:tcW w:w="2327" w:type="dxa"/>
            <w:tcBorders>
              <w:bottom w:val="single" w:sz="12" w:space="0" w:color="auto"/>
              <w:right w:val="single" w:sz="12" w:space="0" w:color="auto"/>
            </w:tcBorders>
            <w:shd w:val="clear" w:color="auto" w:fill="auto"/>
          </w:tcPr>
          <w:p w14:paraId="78AC02A8" w14:textId="77777777" w:rsidR="00F451F1" w:rsidRDefault="00000000">
            <w:pPr>
              <w:pStyle w:val="af8"/>
              <w:widowControl w:val="0"/>
              <w:rPr>
                <w:rFonts w:hAnsi="宋体" w:hint="eastAsia"/>
              </w:rPr>
            </w:pPr>
            <w:r>
              <w:rPr>
                <w:rFonts w:hAnsi="宋体"/>
              </w:rPr>
              <w:t>10</w:t>
            </w:r>
          </w:p>
        </w:tc>
      </w:tr>
    </w:tbl>
    <w:p w14:paraId="36BEFA25" w14:textId="77777777" w:rsidR="00F451F1" w:rsidRDefault="00000000">
      <w:pPr>
        <w:pStyle w:val="af6"/>
        <w:ind w:left="360" w:firstLineChars="0" w:firstLine="0"/>
        <w:jc w:val="left"/>
        <w:rPr>
          <w:rFonts w:ascii="Times New Roman" w:hAnsi="Times New Roman"/>
          <w:b/>
          <w:bCs/>
        </w:rPr>
      </w:pPr>
      <w:r>
        <w:rPr>
          <w:rFonts w:ascii="Times New Roman" w:hAnsi="Times New Roman" w:hint="eastAsia"/>
          <w:b/>
          <w:bCs/>
        </w:rPr>
        <w:t>质谱参考条件</w:t>
      </w:r>
    </w:p>
    <w:p w14:paraId="578F3C26" w14:textId="77777777" w:rsidR="00F451F1" w:rsidRDefault="00000000">
      <w:pPr>
        <w:pStyle w:val="af9"/>
        <w:ind w:firstLine="420"/>
      </w:pPr>
      <w:r>
        <w:rPr>
          <w:rFonts w:hint="eastAsia"/>
        </w:rPr>
        <w:t>质谱参考条件如下：</w:t>
      </w:r>
    </w:p>
    <w:p w14:paraId="2D036E6C" w14:textId="77777777" w:rsidR="00F451F1" w:rsidRDefault="00000000">
      <w:pPr>
        <w:pStyle w:val="a"/>
        <w:numPr>
          <w:ilvl w:val="0"/>
          <w:numId w:val="9"/>
        </w:numPr>
      </w:pPr>
      <w:r>
        <w:rPr>
          <w:rFonts w:hint="eastAsia"/>
        </w:rPr>
        <w:t>电离方式：电喷雾电离，正离子模式（ESI</w:t>
      </w:r>
      <w:r>
        <w:rPr>
          <w:rFonts w:hint="eastAsia"/>
          <w:vertAlign w:val="superscript"/>
        </w:rPr>
        <w:t>+</w:t>
      </w:r>
      <w:r>
        <w:rPr>
          <w:rFonts w:hint="eastAsia"/>
        </w:rPr>
        <w:t>）；</w:t>
      </w:r>
    </w:p>
    <w:p w14:paraId="77AFFF4C" w14:textId="77777777" w:rsidR="00F451F1" w:rsidRDefault="00000000">
      <w:pPr>
        <w:pStyle w:val="a"/>
      </w:pPr>
      <w:r>
        <w:rPr>
          <w:rFonts w:hint="eastAsia"/>
        </w:rPr>
        <w:t>检测方式：多反应监测（MRM）；</w:t>
      </w:r>
    </w:p>
    <w:p w14:paraId="35E1ED30" w14:textId="77777777" w:rsidR="00F451F1" w:rsidRDefault="00000000">
      <w:pPr>
        <w:pStyle w:val="a"/>
      </w:pPr>
      <w:r>
        <w:rPr>
          <w:rFonts w:hint="eastAsia"/>
        </w:rPr>
        <w:t>脱溶剂气：800 L/</w:t>
      </w:r>
      <w:proofErr w:type="spellStart"/>
      <w:r>
        <w:rPr>
          <w:rFonts w:hint="eastAsia"/>
        </w:rPr>
        <w:t>Hr</w:t>
      </w:r>
      <w:proofErr w:type="spellEnd"/>
      <w:r>
        <w:rPr>
          <w:rFonts w:hint="eastAsia"/>
        </w:rPr>
        <w:t>；</w:t>
      </w:r>
    </w:p>
    <w:p w14:paraId="3755178A" w14:textId="77777777" w:rsidR="00F451F1" w:rsidRDefault="00000000">
      <w:pPr>
        <w:pStyle w:val="a"/>
      </w:pPr>
      <w:r>
        <w:rPr>
          <w:rFonts w:hint="eastAsia"/>
        </w:rPr>
        <w:t>反吹气：50 L/</w:t>
      </w:r>
      <w:proofErr w:type="spellStart"/>
      <w:r>
        <w:rPr>
          <w:rFonts w:hint="eastAsia"/>
        </w:rPr>
        <w:t>Hr</w:t>
      </w:r>
      <w:proofErr w:type="spellEnd"/>
      <w:r>
        <w:rPr>
          <w:rFonts w:hint="eastAsia"/>
        </w:rPr>
        <w:t>；</w:t>
      </w:r>
    </w:p>
    <w:p w14:paraId="5674DF73" w14:textId="77777777" w:rsidR="00F451F1" w:rsidRDefault="00000000">
      <w:pPr>
        <w:pStyle w:val="a"/>
      </w:pPr>
      <w:r>
        <w:rPr>
          <w:rFonts w:hint="eastAsia"/>
        </w:rPr>
        <w:t>雾化器温度：500 ℃；</w:t>
      </w:r>
    </w:p>
    <w:p w14:paraId="5CAD2235" w14:textId="77777777" w:rsidR="00F451F1" w:rsidRDefault="00000000">
      <w:pPr>
        <w:pStyle w:val="a"/>
      </w:pPr>
      <w:r>
        <w:rPr>
          <w:rFonts w:hint="eastAsia"/>
        </w:rPr>
        <w:t>电离电压：2.5 kV；</w:t>
      </w:r>
    </w:p>
    <w:p w14:paraId="79062683" w14:textId="77777777" w:rsidR="00F451F1" w:rsidRDefault="00000000">
      <w:pPr>
        <w:pStyle w:val="a"/>
      </w:pPr>
      <w:r>
        <w:rPr>
          <w:rFonts w:hint="eastAsia"/>
        </w:rPr>
        <w:t>离子源温度：150 ℃。</w:t>
      </w:r>
    </w:p>
    <w:p w14:paraId="392C40B7" w14:textId="77777777" w:rsidR="00F451F1" w:rsidRDefault="00000000">
      <w:pPr>
        <w:pStyle w:val="a"/>
      </w:pPr>
      <w:r>
        <w:rPr>
          <w:rFonts w:hint="eastAsia"/>
        </w:rPr>
        <w:t>多反应监测（MRM）离子对、锥孔电压及碰撞能量见表</w:t>
      </w:r>
      <w:r>
        <w:t>3</w:t>
      </w:r>
      <w:r>
        <w:rPr>
          <w:rFonts w:hint="eastAsia"/>
        </w:rPr>
        <w:t>。</w:t>
      </w:r>
    </w:p>
    <w:p w14:paraId="71BB88DD" w14:textId="77777777" w:rsidR="00F451F1" w:rsidRDefault="00000000">
      <w:pPr>
        <w:pStyle w:val="af7"/>
        <w:numPr>
          <w:ilvl w:val="0"/>
          <w:numId w:val="7"/>
        </w:numPr>
        <w:spacing w:before="156" w:after="156"/>
      </w:pPr>
      <w:r>
        <w:rPr>
          <w:rFonts w:hint="eastAsia"/>
        </w:rPr>
        <w:t>各目标物多反应监测（MRM）离子对、锥孔电压及碰撞能量参考值</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9"/>
        <w:gridCol w:w="1583"/>
        <w:gridCol w:w="1587"/>
        <w:gridCol w:w="1557"/>
        <w:gridCol w:w="1775"/>
      </w:tblGrid>
      <w:tr w:rsidR="00F451F1" w14:paraId="168F0AAE" w14:textId="77777777">
        <w:trPr>
          <w:trHeight w:val="570"/>
          <w:tblHeader/>
          <w:jc w:val="center"/>
        </w:trPr>
        <w:tc>
          <w:tcPr>
            <w:tcW w:w="1945" w:type="dxa"/>
            <w:tcBorders>
              <w:top w:val="single" w:sz="8" w:space="0" w:color="auto"/>
              <w:left w:val="single" w:sz="12" w:space="0" w:color="auto"/>
              <w:bottom w:val="single" w:sz="12" w:space="0" w:color="auto"/>
            </w:tcBorders>
            <w:shd w:val="clear" w:color="auto" w:fill="auto"/>
            <w:vAlign w:val="center"/>
          </w:tcPr>
          <w:p w14:paraId="427E8510" w14:textId="77777777" w:rsidR="00F451F1" w:rsidRDefault="00000000">
            <w:pPr>
              <w:pStyle w:val="af8"/>
              <w:widowControl w:val="0"/>
              <w:rPr>
                <w:rFonts w:hAnsi="宋体" w:hint="eastAsia"/>
                <w:szCs w:val="18"/>
              </w:rPr>
            </w:pPr>
            <w:r>
              <w:rPr>
                <w:rFonts w:hAnsi="宋体" w:hint="eastAsia"/>
                <w:szCs w:val="18"/>
              </w:rPr>
              <w:t>被测物名称</w:t>
            </w:r>
          </w:p>
        </w:tc>
        <w:tc>
          <w:tcPr>
            <w:tcW w:w="1701" w:type="dxa"/>
            <w:tcBorders>
              <w:top w:val="single" w:sz="8" w:space="0" w:color="auto"/>
              <w:bottom w:val="single" w:sz="12" w:space="0" w:color="auto"/>
            </w:tcBorders>
            <w:shd w:val="clear" w:color="auto" w:fill="auto"/>
            <w:vAlign w:val="center"/>
          </w:tcPr>
          <w:p w14:paraId="0AC39D8B" w14:textId="77777777" w:rsidR="00F451F1" w:rsidRDefault="00000000">
            <w:pPr>
              <w:pStyle w:val="af8"/>
              <w:widowControl w:val="0"/>
              <w:rPr>
                <w:rFonts w:hAnsi="宋体" w:hint="eastAsia"/>
                <w:szCs w:val="18"/>
              </w:rPr>
            </w:pPr>
            <w:r>
              <w:rPr>
                <w:rFonts w:hAnsi="宋体" w:hint="eastAsia"/>
                <w:szCs w:val="18"/>
              </w:rPr>
              <w:t>母离子</w:t>
            </w:r>
          </w:p>
          <w:p w14:paraId="0D7F9219" w14:textId="77777777" w:rsidR="00F451F1" w:rsidRDefault="00000000">
            <w:pPr>
              <w:pStyle w:val="af8"/>
              <w:widowControl w:val="0"/>
              <w:rPr>
                <w:rFonts w:hAnsi="宋体" w:hint="eastAsia"/>
                <w:szCs w:val="18"/>
              </w:rPr>
            </w:pPr>
            <w:r>
              <w:rPr>
                <w:rFonts w:hAnsi="宋体"/>
                <w:i/>
                <w:iCs/>
                <w:szCs w:val="18"/>
              </w:rPr>
              <w:t>m</w:t>
            </w:r>
            <w:r>
              <w:rPr>
                <w:rFonts w:hAnsi="宋体" w:hint="eastAsia"/>
                <w:szCs w:val="18"/>
              </w:rPr>
              <w:t>/</w:t>
            </w:r>
            <w:r>
              <w:rPr>
                <w:rFonts w:hAnsi="宋体" w:hint="eastAsia"/>
                <w:i/>
                <w:iCs/>
                <w:szCs w:val="18"/>
              </w:rPr>
              <w:t>z</w:t>
            </w:r>
          </w:p>
        </w:tc>
        <w:tc>
          <w:tcPr>
            <w:tcW w:w="1701" w:type="dxa"/>
            <w:tcBorders>
              <w:top w:val="single" w:sz="8" w:space="0" w:color="auto"/>
              <w:bottom w:val="single" w:sz="12" w:space="0" w:color="auto"/>
            </w:tcBorders>
            <w:shd w:val="clear" w:color="auto" w:fill="auto"/>
          </w:tcPr>
          <w:p w14:paraId="72149030" w14:textId="77777777" w:rsidR="00F451F1" w:rsidRDefault="00000000">
            <w:pPr>
              <w:pStyle w:val="af8"/>
              <w:widowControl w:val="0"/>
              <w:rPr>
                <w:rFonts w:hAnsi="宋体" w:hint="eastAsia"/>
                <w:szCs w:val="18"/>
              </w:rPr>
            </w:pPr>
            <w:r>
              <w:rPr>
                <w:rFonts w:hAnsi="宋体" w:hint="eastAsia"/>
                <w:szCs w:val="18"/>
              </w:rPr>
              <w:t>子离子</w:t>
            </w:r>
          </w:p>
          <w:p w14:paraId="19EC69BE" w14:textId="77777777" w:rsidR="00F451F1" w:rsidRDefault="00000000">
            <w:pPr>
              <w:pStyle w:val="af8"/>
              <w:widowControl w:val="0"/>
              <w:rPr>
                <w:rFonts w:hAnsi="宋体" w:hint="eastAsia"/>
                <w:szCs w:val="18"/>
              </w:rPr>
            </w:pPr>
            <w:r>
              <w:rPr>
                <w:rFonts w:hAnsi="宋体"/>
                <w:i/>
                <w:iCs/>
                <w:szCs w:val="18"/>
              </w:rPr>
              <w:t>m</w:t>
            </w:r>
            <w:r>
              <w:rPr>
                <w:rFonts w:hAnsi="宋体" w:hint="eastAsia"/>
                <w:szCs w:val="18"/>
              </w:rPr>
              <w:t>/</w:t>
            </w:r>
            <w:r>
              <w:rPr>
                <w:rFonts w:hAnsi="宋体" w:hint="eastAsia"/>
                <w:i/>
                <w:iCs/>
                <w:szCs w:val="18"/>
              </w:rPr>
              <w:t>z</w:t>
            </w:r>
          </w:p>
        </w:tc>
        <w:tc>
          <w:tcPr>
            <w:tcW w:w="1701" w:type="dxa"/>
            <w:tcBorders>
              <w:top w:val="single" w:sz="8" w:space="0" w:color="auto"/>
              <w:bottom w:val="single" w:sz="12" w:space="0" w:color="auto"/>
            </w:tcBorders>
            <w:shd w:val="clear" w:color="auto" w:fill="auto"/>
            <w:vAlign w:val="center"/>
          </w:tcPr>
          <w:p w14:paraId="1DA14B82" w14:textId="77777777" w:rsidR="00F451F1" w:rsidRDefault="00000000">
            <w:pPr>
              <w:pStyle w:val="af8"/>
              <w:widowControl w:val="0"/>
              <w:rPr>
                <w:rFonts w:hAnsi="宋体" w:hint="eastAsia"/>
                <w:szCs w:val="18"/>
              </w:rPr>
            </w:pPr>
            <w:r>
              <w:rPr>
                <w:rFonts w:hAnsi="宋体" w:hint="eastAsia"/>
                <w:szCs w:val="18"/>
              </w:rPr>
              <w:t>锥孔电压</w:t>
            </w:r>
          </w:p>
          <w:p w14:paraId="4FDA7784" w14:textId="77777777" w:rsidR="00F451F1" w:rsidRDefault="00000000">
            <w:pPr>
              <w:pStyle w:val="af8"/>
              <w:widowControl w:val="0"/>
              <w:rPr>
                <w:rFonts w:hAnsi="宋体" w:hint="eastAsia"/>
                <w:szCs w:val="18"/>
              </w:rPr>
            </w:pPr>
            <w:r>
              <w:rPr>
                <w:rFonts w:hAnsi="宋体" w:hint="eastAsia"/>
                <w:szCs w:val="18"/>
              </w:rPr>
              <w:t>V</w:t>
            </w:r>
          </w:p>
        </w:tc>
        <w:tc>
          <w:tcPr>
            <w:tcW w:w="1941" w:type="dxa"/>
            <w:tcBorders>
              <w:top w:val="single" w:sz="8" w:space="0" w:color="auto"/>
              <w:bottom w:val="single" w:sz="12" w:space="0" w:color="auto"/>
            </w:tcBorders>
            <w:shd w:val="clear" w:color="auto" w:fill="auto"/>
            <w:vAlign w:val="center"/>
          </w:tcPr>
          <w:p w14:paraId="0B27F320" w14:textId="77777777" w:rsidR="00F451F1" w:rsidRDefault="00000000">
            <w:pPr>
              <w:pStyle w:val="af8"/>
              <w:widowControl w:val="0"/>
              <w:rPr>
                <w:rFonts w:hAnsi="宋体" w:hint="eastAsia"/>
                <w:szCs w:val="18"/>
              </w:rPr>
            </w:pPr>
            <w:r>
              <w:rPr>
                <w:rFonts w:hAnsi="宋体" w:hint="eastAsia"/>
                <w:szCs w:val="18"/>
              </w:rPr>
              <w:t>碰撞能量</w:t>
            </w:r>
          </w:p>
          <w:p w14:paraId="16A6C2E2" w14:textId="77777777" w:rsidR="00F451F1" w:rsidRDefault="00000000">
            <w:pPr>
              <w:pStyle w:val="af8"/>
              <w:widowControl w:val="0"/>
              <w:rPr>
                <w:rFonts w:hAnsi="宋体" w:hint="eastAsia"/>
                <w:szCs w:val="18"/>
              </w:rPr>
            </w:pPr>
            <w:r>
              <w:rPr>
                <w:rFonts w:hAnsi="宋体" w:hint="eastAsia"/>
                <w:szCs w:val="18"/>
              </w:rPr>
              <w:t>eV</w:t>
            </w:r>
          </w:p>
        </w:tc>
      </w:tr>
      <w:tr w:rsidR="00F451F1" w14:paraId="481E67D8" w14:textId="77777777">
        <w:trPr>
          <w:trHeight w:val="271"/>
          <w:jc w:val="center"/>
        </w:trPr>
        <w:tc>
          <w:tcPr>
            <w:tcW w:w="1945" w:type="dxa"/>
            <w:vMerge w:val="restart"/>
            <w:tcBorders>
              <w:top w:val="single" w:sz="12" w:space="0" w:color="auto"/>
              <w:left w:val="single" w:sz="12" w:space="0" w:color="auto"/>
            </w:tcBorders>
            <w:shd w:val="clear" w:color="auto" w:fill="auto"/>
            <w:vAlign w:val="center"/>
          </w:tcPr>
          <w:p w14:paraId="08997FFE" w14:textId="77777777" w:rsidR="00F451F1" w:rsidRDefault="00000000">
            <w:pPr>
              <w:jc w:val="center"/>
              <w:rPr>
                <w:rFonts w:ascii="宋体" w:hAnsi="宋体" w:hint="eastAsia"/>
                <w:sz w:val="18"/>
                <w:szCs w:val="18"/>
              </w:rPr>
            </w:pPr>
            <w:r>
              <w:rPr>
                <w:rFonts w:ascii="宋体" w:hAnsi="宋体" w:hint="eastAsia"/>
                <w:sz w:val="18"/>
                <w:szCs w:val="18"/>
              </w:rPr>
              <w:t>对乙酰氨基</w:t>
            </w:r>
            <w:proofErr w:type="gramStart"/>
            <w:r>
              <w:rPr>
                <w:rFonts w:ascii="宋体" w:hAnsi="宋体" w:hint="eastAsia"/>
                <w:sz w:val="18"/>
                <w:szCs w:val="18"/>
              </w:rPr>
              <w:t>酚</w:t>
            </w:r>
            <w:proofErr w:type="gramEnd"/>
          </w:p>
        </w:tc>
        <w:tc>
          <w:tcPr>
            <w:tcW w:w="1701" w:type="dxa"/>
            <w:vMerge w:val="restart"/>
            <w:tcBorders>
              <w:top w:val="single" w:sz="12" w:space="0" w:color="auto"/>
            </w:tcBorders>
            <w:shd w:val="clear" w:color="auto" w:fill="auto"/>
            <w:vAlign w:val="center"/>
          </w:tcPr>
          <w:p w14:paraId="03CFF165" w14:textId="77777777" w:rsidR="00F451F1" w:rsidRDefault="00000000">
            <w:pPr>
              <w:pStyle w:val="af8"/>
              <w:widowControl w:val="0"/>
              <w:rPr>
                <w:rFonts w:hAnsi="宋体" w:hint="eastAsia"/>
                <w:szCs w:val="18"/>
              </w:rPr>
            </w:pPr>
            <w:r>
              <w:rPr>
                <w:rFonts w:hAnsi="宋体" w:hint="eastAsia"/>
                <w:szCs w:val="18"/>
              </w:rPr>
              <w:t>152</w:t>
            </w:r>
            <w:r>
              <w:rPr>
                <w:rFonts w:hAnsi="宋体"/>
                <w:szCs w:val="18"/>
              </w:rPr>
              <w:t>.0</w:t>
            </w:r>
          </w:p>
        </w:tc>
        <w:tc>
          <w:tcPr>
            <w:tcW w:w="1701" w:type="dxa"/>
            <w:tcBorders>
              <w:top w:val="single" w:sz="12" w:space="0" w:color="auto"/>
            </w:tcBorders>
            <w:shd w:val="clear" w:color="auto" w:fill="auto"/>
          </w:tcPr>
          <w:p w14:paraId="5B6C530E" w14:textId="77777777" w:rsidR="00F451F1" w:rsidRDefault="00000000">
            <w:pPr>
              <w:pStyle w:val="af8"/>
              <w:widowControl w:val="0"/>
              <w:rPr>
                <w:rFonts w:hAnsi="宋体" w:hint="eastAsia"/>
                <w:szCs w:val="18"/>
              </w:rPr>
            </w:pPr>
            <w:r>
              <w:rPr>
                <w:rFonts w:hAnsi="宋体" w:hint="eastAsia"/>
                <w:szCs w:val="18"/>
              </w:rPr>
              <w:t>93.0</w:t>
            </w:r>
          </w:p>
        </w:tc>
        <w:tc>
          <w:tcPr>
            <w:tcW w:w="1701" w:type="dxa"/>
            <w:tcBorders>
              <w:top w:val="single" w:sz="12" w:space="0" w:color="auto"/>
            </w:tcBorders>
            <w:shd w:val="clear" w:color="auto" w:fill="auto"/>
          </w:tcPr>
          <w:p w14:paraId="65BB3619" w14:textId="77777777" w:rsidR="00F451F1" w:rsidRDefault="00000000">
            <w:pPr>
              <w:pStyle w:val="af8"/>
              <w:widowControl w:val="0"/>
              <w:rPr>
                <w:rFonts w:hAnsi="宋体" w:hint="eastAsia"/>
                <w:szCs w:val="18"/>
              </w:rPr>
            </w:pPr>
            <w:r>
              <w:rPr>
                <w:rFonts w:hAnsi="宋体" w:hint="eastAsia"/>
                <w:szCs w:val="18"/>
              </w:rPr>
              <w:t>15</w:t>
            </w:r>
          </w:p>
        </w:tc>
        <w:tc>
          <w:tcPr>
            <w:tcW w:w="1941" w:type="dxa"/>
            <w:tcBorders>
              <w:top w:val="single" w:sz="12" w:space="0" w:color="auto"/>
            </w:tcBorders>
            <w:shd w:val="clear" w:color="auto" w:fill="auto"/>
          </w:tcPr>
          <w:p w14:paraId="5A173A24" w14:textId="77777777" w:rsidR="00F451F1" w:rsidRDefault="00000000">
            <w:pPr>
              <w:pStyle w:val="af8"/>
              <w:widowControl w:val="0"/>
              <w:rPr>
                <w:rFonts w:hAnsi="宋体" w:hint="eastAsia"/>
                <w:szCs w:val="18"/>
              </w:rPr>
            </w:pPr>
            <w:r>
              <w:rPr>
                <w:rFonts w:hAnsi="宋体" w:hint="eastAsia"/>
                <w:szCs w:val="18"/>
              </w:rPr>
              <w:t>20</w:t>
            </w:r>
          </w:p>
        </w:tc>
      </w:tr>
      <w:tr w:rsidR="00F451F1" w14:paraId="456C8E75" w14:textId="77777777">
        <w:trPr>
          <w:trHeight w:val="168"/>
          <w:jc w:val="center"/>
        </w:trPr>
        <w:tc>
          <w:tcPr>
            <w:tcW w:w="1945" w:type="dxa"/>
            <w:vMerge/>
            <w:tcBorders>
              <w:left w:val="single" w:sz="12" w:space="0" w:color="auto"/>
            </w:tcBorders>
            <w:shd w:val="clear" w:color="auto" w:fill="auto"/>
            <w:vAlign w:val="center"/>
          </w:tcPr>
          <w:p w14:paraId="5182B178" w14:textId="77777777" w:rsidR="00F451F1" w:rsidRDefault="00F451F1">
            <w:pPr>
              <w:jc w:val="center"/>
              <w:rPr>
                <w:rFonts w:ascii="宋体" w:hAnsi="宋体" w:hint="eastAsia"/>
                <w:sz w:val="18"/>
                <w:szCs w:val="18"/>
              </w:rPr>
            </w:pPr>
          </w:p>
        </w:tc>
        <w:tc>
          <w:tcPr>
            <w:tcW w:w="1701" w:type="dxa"/>
            <w:vMerge/>
            <w:shd w:val="clear" w:color="auto" w:fill="auto"/>
            <w:vAlign w:val="center"/>
          </w:tcPr>
          <w:p w14:paraId="1DDF26EE" w14:textId="77777777" w:rsidR="00F451F1" w:rsidRDefault="00F451F1">
            <w:pPr>
              <w:pStyle w:val="af8"/>
              <w:widowControl w:val="0"/>
              <w:rPr>
                <w:rFonts w:hAnsi="宋体" w:hint="eastAsia"/>
                <w:szCs w:val="18"/>
              </w:rPr>
            </w:pPr>
          </w:p>
        </w:tc>
        <w:tc>
          <w:tcPr>
            <w:tcW w:w="1701" w:type="dxa"/>
            <w:tcBorders>
              <w:top w:val="single" w:sz="12" w:space="0" w:color="auto"/>
            </w:tcBorders>
            <w:shd w:val="clear" w:color="auto" w:fill="auto"/>
          </w:tcPr>
          <w:p w14:paraId="14E5463D" w14:textId="77777777" w:rsidR="00F451F1" w:rsidRDefault="00000000">
            <w:pPr>
              <w:pStyle w:val="af8"/>
              <w:widowControl w:val="0"/>
              <w:rPr>
                <w:rFonts w:hAnsi="宋体" w:hint="eastAsia"/>
                <w:szCs w:val="18"/>
              </w:rPr>
            </w:pPr>
            <w:r>
              <w:rPr>
                <w:rFonts w:hAnsi="宋体" w:hint="eastAsia"/>
                <w:szCs w:val="18"/>
              </w:rPr>
              <w:t>110.0</w:t>
            </w:r>
            <w:r>
              <w:rPr>
                <w:rFonts w:hAnsi="宋体" w:hint="eastAsia"/>
                <w:szCs w:val="18"/>
                <w:vertAlign w:val="superscript"/>
              </w:rPr>
              <w:t>a</w:t>
            </w:r>
          </w:p>
        </w:tc>
        <w:tc>
          <w:tcPr>
            <w:tcW w:w="1701" w:type="dxa"/>
            <w:tcBorders>
              <w:top w:val="single" w:sz="12" w:space="0" w:color="auto"/>
            </w:tcBorders>
            <w:shd w:val="clear" w:color="auto" w:fill="auto"/>
          </w:tcPr>
          <w:p w14:paraId="3AC45A77" w14:textId="77777777" w:rsidR="00F451F1" w:rsidRDefault="00000000">
            <w:pPr>
              <w:pStyle w:val="af8"/>
              <w:widowControl w:val="0"/>
              <w:rPr>
                <w:rFonts w:hAnsi="宋体" w:hint="eastAsia"/>
                <w:szCs w:val="18"/>
              </w:rPr>
            </w:pPr>
            <w:r>
              <w:rPr>
                <w:rFonts w:hAnsi="宋体" w:hint="eastAsia"/>
                <w:szCs w:val="18"/>
              </w:rPr>
              <w:t>15</w:t>
            </w:r>
          </w:p>
        </w:tc>
        <w:tc>
          <w:tcPr>
            <w:tcW w:w="1941" w:type="dxa"/>
            <w:tcBorders>
              <w:top w:val="single" w:sz="12" w:space="0" w:color="auto"/>
            </w:tcBorders>
            <w:shd w:val="clear" w:color="auto" w:fill="auto"/>
          </w:tcPr>
          <w:p w14:paraId="19CF6BF0" w14:textId="77777777" w:rsidR="00F451F1" w:rsidRDefault="00000000">
            <w:pPr>
              <w:pStyle w:val="af8"/>
              <w:widowControl w:val="0"/>
              <w:rPr>
                <w:rFonts w:hAnsi="宋体" w:hint="eastAsia"/>
                <w:szCs w:val="18"/>
              </w:rPr>
            </w:pPr>
            <w:r>
              <w:rPr>
                <w:rFonts w:hAnsi="宋体"/>
                <w:szCs w:val="18"/>
              </w:rPr>
              <w:t>1</w:t>
            </w:r>
            <w:r>
              <w:rPr>
                <w:rFonts w:hAnsi="宋体" w:hint="eastAsia"/>
                <w:szCs w:val="18"/>
              </w:rPr>
              <w:t>2</w:t>
            </w:r>
          </w:p>
        </w:tc>
      </w:tr>
      <w:tr w:rsidR="00F451F1" w14:paraId="6914F3EF" w14:textId="77777777">
        <w:trPr>
          <w:trHeight w:val="271"/>
          <w:jc w:val="center"/>
        </w:trPr>
        <w:tc>
          <w:tcPr>
            <w:tcW w:w="1945" w:type="dxa"/>
            <w:vMerge w:val="restart"/>
            <w:tcBorders>
              <w:left w:val="single" w:sz="12" w:space="0" w:color="auto"/>
            </w:tcBorders>
            <w:shd w:val="clear" w:color="auto" w:fill="auto"/>
            <w:vAlign w:val="center"/>
          </w:tcPr>
          <w:p w14:paraId="70A20826" w14:textId="77777777" w:rsidR="00F451F1" w:rsidRDefault="00000000">
            <w:pPr>
              <w:jc w:val="center"/>
              <w:rPr>
                <w:rFonts w:ascii="宋体" w:hAnsi="宋体" w:hint="eastAsia"/>
                <w:sz w:val="18"/>
                <w:szCs w:val="18"/>
              </w:rPr>
            </w:pPr>
            <w:r>
              <w:rPr>
                <w:rFonts w:ascii="宋体" w:hAnsi="宋体" w:hint="eastAsia"/>
                <w:sz w:val="18"/>
                <w:szCs w:val="18"/>
              </w:rPr>
              <w:t>4-甲氨基安替比林</w:t>
            </w:r>
          </w:p>
        </w:tc>
        <w:tc>
          <w:tcPr>
            <w:tcW w:w="1701" w:type="dxa"/>
            <w:vMerge w:val="restart"/>
            <w:shd w:val="clear" w:color="auto" w:fill="auto"/>
            <w:vAlign w:val="center"/>
          </w:tcPr>
          <w:p w14:paraId="131F9E5B" w14:textId="77777777" w:rsidR="00F451F1" w:rsidRDefault="00000000">
            <w:pPr>
              <w:pStyle w:val="af8"/>
              <w:widowControl w:val="0"/>
              <w:rPr>
                <w:rFonts w:hAnsi="宋体" w:hint="eastAsia"/>
                <w:szCs w:val="18"/>
              </w:rPr>
            </w:pPr>
            <w:r>
              <w:rPr>
                <w:rFonts w:hAnsi="宋体" w:hint="eastAsia"/>
                <w:szCs w:val="18"/>
              </w:rPr>
              <w:t>218</w:t>
            </w:r>
            <w:r>
              <w:rPr>
                <w:rFonts w:hAnsi="宋体"/>
                <w:szCs w:val="18"/>
              </w:rPr>
              <w:t>.0</w:t>
            </w:r>
          </w:p>
        </w:tc>
        <w:tc>
          <w:tcPr>
            <w:tcW w:w="1701" w:type="dxa"/>
            <w:tcBorders>
              <w:bottom w:val="single" w:sz="8" w:space="0" w:color="auto"/>
            </w:tcBorders>
            <w:shd w:val="clear" w:color="auto" w:fill="auto"/>
          </w:tcPr>
          <w:p w14:paraId="3F0AC8F9" w14:textId="77777777" w:rsidR="00F451F1" w:rsidRDefault="00000000">
            <w:pPr>
              <w:pStyle w:val="af8"/>
              <w:widowControl w:val="0"/>
              <w:rPr>
                <w:rFonts w:hAnsi="宋体" w:hint="eastAsia"/>
                <w:szCs w:val="18"/>
              </w:rPr>
            </w:pPr>
            <w:r>
              <w:rPr>
                <w:rFonts w:hAnsi="宋体" w:hint="eastAsia"/>
                <w:szCs w:val="18"/>
              </w:rPr>
              <w:t>97.0</w:t>
            </w:r>
          </w:p>
        </w:tc>
        <w:tc>
          <w:tcPr>
            <w:tcW w:w="1701" w:type="dxa"/>
            <w:tcBorders>
              <w:bottom w:val="single" w:sz="8" w:space="0" w:color="auto"/>
            </w:tcBorders>
            <w:shd w:val="clear" w:color="auto" w:fill="auto"/>
          </w:tcPr>
          <w:p w14:paraId="1BCCCFFA" w14:textId="77777777" w:rsidR="00F451F1" w:rsidRDefault="00000000">
            <w:pPr>
              <w:pStyle w:val="af8"/>
              <w:widowControl w:val="0"/>
              <w:rPr>
                <w:rFonts w:hAnsi="宋体" w:hint="eastAsia"/>
                <w:szCs w:val="18"/>
              </w:rPr>
            </w:pPr>
            <w:r>
              <w:rPr>
                <w:rFonts w:hAnsi="宋体" w:hint="eastAsia"/>
                <w:szCs w:val="18"/>
              </w:rPr>
              <w:t>10</w:t>
            </w:r>
          </w:p>
        </w:tc>
        <w:tc>
          <w:tcPr>
            <w:tcW w:w="1941" w:type="dxa"/>
            <w:tcBorders>
              <w:bottom w:val="single" w:sz="8" w:space="0" w:color="auto"/>
            </w:tcBorders>
            <w:shd w:val="clear" w:color="auto" w:fill="auto"/>
          </w:tcPr>
          <w:p w14:paraId="1B53634B" w14:textId="77777777" w:rsidR="00F451F1" w:rsidRDefault="00000000">
            <w:pPr>
              <w:pStyle w:val="af8"/>
              <w:widowControl w:val="0"/>
              <w:rPr>
                <w:rFonts w:hAnsi="宋体" w:hint="eastAsia"/>
                <w:szCs w:val="18"/>
              </w:rPr>
            </w:pPr>
            <w:r>
              <w:rPr>
                <w:rFonts w:hAnsi="宋体" w:hint="eastAsia"/>
                <w:szCs w:val="18"/>
              </w:rPr>
              <w:t>20</w:t>
            </w:r>
          </w:p>
        </w:tc>
      </w:tr>
      <w:tr w:rsidR="00F451F1" w14:paraId="06C09C41" w14:textId="77777777">
        <w:trPr>
          <w:trHeight w:val="168"/>
          <w:jc w:val="center"/>
        </w:trPr>
        <w:tc>
          <w:tcPr>
            <w:tcW w:w="1945" w:type="dxa"/>
            <w:vMerge/>
            <w:tcBorders>
              <w:left w:val="single" w:sz="12" w:space="0" w:color="auto"/>
            </w:tcBorders>
            <w:shd w:val="clear" w:color="auto" w:fill="auto"/>
            <w:vAlign w:val="center"/>
          </w:tcPr>
          <w:p w14:paraId="63DF00CC" w14:textId="77777777" w:rsidR="00F451F1" w:rsidRDefault="00F451F1">
            <w:pPr>
              <w:jc w:val="center"/>
              <w:rPr>
                <w:rFonts w:ascii="宋体" w:hAnsi="宋体" w:hint="eastAsia"/>
                <w:sz w:val="18"/>
                <w:szCs w:val="18"/>
              </w:rPr>
            </w:pPr>
          </w:p>
        </w:tc>
        <w:tc>
          <w:tcPr>
            <w:tcW w:w="1701" w:type="dxa"/>
            <w:vMerge/>
            <w:tcBorders>
              <w:bottom w:val="single" w:sz="8" w:space="0" w:color="auto"/>
            </w:tcBorders>
            <w:shd w:val="clear" w:color="auto" w:fill="auto"/>
            <w:vAlign w:val="center"/>
          </w:tcPr>
          <w:p w14:paraId="7D2E7E4D" w14:textId="77777777" w:rsidR="00F451F1" w:rsidRDefault="00F451F1">
            <w:pPr>
              <w:pStyle w:val="af8"/>
              <w:widowControl w:val="0"/>
              <w:rPr>
                <w:rFonts w:hAnsi="宋体" w:hint="eastAsia"/>
                <w:szCs w:val="18"/>
              </w:rPr>
            </w:pPr>
          </w:p>
        </w:tc>
        <w:tc>
          <w:tcPr>
            <w:tcW w:w="1701" w:type="dxa"/>
            <w:tcBorders>
              <w:bottom w:val="single" w:sz="8" w:space="0" w:color="auto"/>
            </w:tcBorders>
            <w:shd w:val="clear" w:color="auto" w:fill="auto"/>
          </w:tcPr>
          <w:p w14:paraId="7BB05B43" w14:textId="77777777" w:rsidR="00F451F1" w:rsidRDefault="00000000">
            <w:pPr>
              <w:pStyle w:val="af8"/>
              <w:widowControl w:val="0"/>
              <w:rPr>
                <w:rFonts w:hAnsi="宋体" w:hint="eastAsia"/>
                <w:szCs w:val="18"/>
              </w:rPr>
            </w:pPr>
            <w:r>
              <w:rPr>
                <w:rFonts w:hAnsi="宋体" w:hint="eastAsia"/>
                <w:szCs w:val="18"/>
              </w:rPr>
              <w:t>56.0</w:t>
            </w:r>
            <w:r>
              <w:rPr>
                <w:rFonts w:hAnsi="宋体" w:hint="eastAsia"/>
                <w:szCs w:val="18"/>
                <w:vertAlign w:val="superscript"/>
              </w:rPr>
              <w:t>a</w:t>
            </w:r>
          </w:p>
        </w:tc>
        <w:tc>
          <w:tcPr>
            <w:tcW w:w="1701" w:type="dxa"/>
            <w:tcBorders>
              <w:bottom w:val="single" w:sz="8" w:space="0" w:color="auto"/>
            </w:tcBorders>
            <w:shd w:val="clear" w:color="auto" w:fill="auto"/>
          </w:tcPr>
          <w:p w14:paraId="37AA0CF4" w14:textId="77777777" w:rsidR="00F451F1" w:rsidRDefault="00000000">
            <w:pPr>
              <w:pStyle w:val="af8"/>
              <w:widowControl w:val="0"/>
              <w:rPr>
                <w:rFonts w:hAnsi="宋体" w:hint="eastAsia"/>
                <w:szCs w:val="18"/>
              </w:rPr>
            </w:pPr>
            <w:r>
              <w:rPr>
                <w:rFonts w:hAnsi="宋体" w:hint="eastAsia"/>
                <w:szCs w:val="18"/>
              </w:rPr>
              <w:t>10</w:t>
            </w:r>
          </w:p>
        </w:tc>
        <w:tc>
          <w:tcPr>
            <w:tcW w:w="1941" w:type="dxa"/>
            <w:tcBorders>
              <w:bottom w:val="single" w:sz="8" w:space="0" w:color="auto"/>
            </w:tcBorders>
            <w:shd w:val="clear" w:color="auto" w:fill="auto"/>
          </w:tcPr>
          <w:p w14:paraId="11BFD0F9" w14:textId="77777777" w:rsidR="00F451F1" w:rsidRDefault="00000000">
            <w:pPr>
              <w:pStyle w:val="af8"/>
              <w:widowControl w:val="0"/>
              <w:rPr>
                <w:rFonts w:hAnsi="宋体" w:hint="eastAsia"/>
                <w:szCs w:val="18"/>
              </w:rPr>
            </w:pPr>
            <w:r>
              <w:rPr>
                <w:rFonts w:hAnsi="宋体" w:hint="eastAsia"/>
                <w:szCs w:val="18"/>
              </w:rPr>
              <w:t>22</w:t>
            </w:r>
          </w:p>
        </w:tc>
      </w:tr>
      <w:tr w:rsidR="00F451F1" w14:paraId="7A03BB78" w14:textId="77777777">
        <w:trPr>
          <w:trHeight w:val="279"/>
          <w:jc w:val="center"/>
        </w:trPr>
        <w:tc>
          <w:tcPr>
            <w:tcW w:w="1945" w:type="dxa"/>
            <w:vMerge w:val="restart"/>
            <w:tcBorders>
              <w:left w:val="single" w:sz="12" w:space="0" w:color="auto"/>
            </w:tcBorders>
            <w:shd w:val="clear" w:color="auto" w:fill="auto"/>
            <w:vAlign w:val="center"/>
          </w:tcPr>
          <w:p w14:paraId="26371B25" w14:textId="77777777" w:rsidR="00F451F1" w:rsidRDefault="00000000">
            <w:pPr>
              <w:jc w:val="center"/>
              <w:rPr>
                <w:rFonts w:ascii="宋体" w:hAnsi="宋体" w:hint="eastAsia"/>
                <w:sz w:val="18"/>
                <w:szCs w:val="18"/>
              </w:rPr>
            </w:pPr>
            <w:r>
              <w:rPr>
                <w:rFonts w:ascii="宋体" w:hAnsi="宋体" w:hint="eastAsia"/>
                <w:sz w:val="18"/>
                <w:szCs w:val="18"/>
              </w:rPr>
              <w:t>氨基比林</w:t>
            </w:r>
          </w:p>
        </w:tc>
        <w:tc>
          <w:tcPr>
            <w:tcW w:w="1701" w:type="dxa"/>
            <w:vMerge w:val="restart"/>
            <w:shd w:val="clear" w:color="auto" w:fill="auto"/>
            <w:vAlign w:val="center"/>
          </w:tcPr>
          <w:p w14:paraId="2B191064" w14:textId="77777777" w:rsidR="00F451F1" w:rsidRDefault="00000000">
            <w:pPr>
              <w:pStyle w:val="af8"/>
              <w:widowControl w:val="0"/>
              <w:rPr>
                <w:rFonts w:hAnsi="宋体" w:hint="eastAsia"/>
                <w:szCs w:val="18"/>
              </w:rPr>
            </w:pPr>
            <w:r>
              <w:rPr>
                <w:rFonts w:hAnsi="宋体" w:hint="eastAsia"/>
                <w:szCs w:val="18"/>
              </w:rPr>
              <w:t>232</w:t>
            </w:r>
            <w:r>
              <w:rPr>
                <w:rFonts w:hAnsi="宋体"/>
                <w:szCs w:val="18"/>
              </w:rPr>
              <w:t>.0</w:t>
            </w:r>
          </w:p>
        </w:tc>
        <w:tc>
          <w:tcPr>
            <w:tcW w:w="1701" w:type="dxa"/>
            <w:tcBorders>
              <w:bottom w:val="single" w:sz="8" w:space="0" w:color="auto"/>
            </w:tcBorders>
            <w:shd w:val="clear" w:color="auto" w:fill="auto"/>
          </w:tcPr>
          <w:p w14:paraId="7B969DC6" w14:textId="77777777" w:rsidR="00F451F1" w:rsidRDefault="00000000">
            <w:pPr>
              <w:pStyle w:val="af8"/>
              <w:widowControl w:val="0"/>
              <w:rPr>
                <w:rFonts w:hAnsi="宋体" w:hint="eastAsia"/>
                <w:szCs w:val="18"/>
              </w:rPr>
            </w:pPr>
            <w:r>
              <w:rPr>
                <w:rFonts w:hAnsi="宋体" w:hint="eastAsia"/>
                <w:szCs w:val="18"/>
              </w:rPr>
              <w:t>113.0</w:t>
            </w:r>
          </w:p>
        </w:tc>
        <w:tc>
          <w:tcPr>
            <w:tcW w:w="1701" w:type="dxa"/>
            <w:tcBorders>
              <w:bottom w:val="single" w:sz="8" w:space="0" w:color="auto"/>
            </w:tcBorders>
            <w:shd w:val="clear" w:color="auto" w:fill="auto"/>
          </w:tcPr>
          <w:p w14:paraId="5C2F9FC7" w14:textId="77777777" w:rsidR="00F451F1" w:rsidRDefault="00000000">
            <w:pPr>
              <w:pStyle w:val="af8"/>
              <w:widowControl w:val="0"/>
              <w:rPr>
                <w:rFonts w:hAnsi="宋体" w:hint="eastAsia"/>
                <w:szCs w:val="18"/>
              </w:rPr>
            </w:pPr>
            <w:r>
              <w:rPr>
                <w:rFonts w:hAnsi="宋体" w:hint="eastAsia"/>
                <w:szCs w:val="18"/>
              </w:rPr>
              <w:t>10</w:t>
            </w:r>
          </w:p>
        </w:tc>
        <w:tc>
          <w:tcPr>
            <w:tcW w:w="1941" w:type="dxa"/>
            <w:tcBorders>
              <w:bottom w:val="single" w:sz="8" w:space="0" w:color="auto"/>
            </w:tcBorders>
            <w:shd w:val="clear" w:color="auto" w:fill="auto"/>
          </w:tcPr>
          <w:p w14:paraId="2A117008" w14:textId="77777777" w:rsidR="00F451F1" w:rsidRDefault="00000000">
            <w:pPr>
              <w:pStyle w:val="af8"/>
              <w:widowControl w:val="0"/>
              <w:rPr>
                <w:rFonts w:hAnsi="宋体" w:hint="eastAsia"/>
                <w:szCs w:val="18"/>
              </w:rPr>
            </w:pPr>
            <w:r>
              <w:rPr>
                <w:rFonts w:hAnsi="宋体" w:hint="eastAsia"/>
                <w:szCs w:val="18"/>
              </w:rPr>
              <w:t>15</w:t>
            </w:r>
          </w:p>
        </w:tc>
      </w:tr>
      <w:tr w:rsidR="00F451F1" w14:paraId="40530BD8" w14:textId="77777777">
        <w:trPr>
          <w:trHeight w:val="168"/>
          <w:jc w:val="center"/>
        </w:trPr>
        <w:tc>
          <w:tcPr>
            <w:tcW w:w="1945" w:type="dxa"/>
            <w:vMerge/>
            <w:tcBorders>
              <w:left w:val="single" w:sz="12" w:space="0" w:color="auto"/>
              <w:bottom w:val="single" w:sz="12" w:space="0" w:color="auto"/>
            </w:tcBorders>
            <w:shd w:val="clear" w:color="auto" w:fill="auto"/>
            <w:vAlign w:val="center"/>
          </w:tcPr>
          <w:p w14:paraId="7C3BDF41" w14:textId="77777777" w:rsidR="00F451F1" w:rsidRDefault="00F451F1">
            <w:pPr>
              <w:jc w:val="center"/>
              <w:rPr>
                <w:rFonts w:ascii="宋体" w:hAnsi="宋体" w:hint="eastAsia"/>
                <w:sz w:val="18"/>
                <w:szCs w:val="18"/>
              </w:rPr>
            </w:pPr>
          </w:p>
        </w:tc>
        <w:tc>
          <w:tcPr>
            <w:tcW w:w="1701" w:type="dxa"/>
            <w:vMerge/>
            <w:tcBorders>
              <w:bottom w:val="single" w:sz="12" w:space="0" w:color="auto"/>
            </w:tcBorders>
            <w:shd w:val="clear" w:color="auto" w:fill="auto"/>
            <w:vAlign w:val="center"/>
          </w:tcPr>
          <w:p w14:paraId="1FF0B9C6" w14:textId="77777777" w:rsidR="00F451F1" w:rsidRDefault="00F451F1">
            <w:pPr>
              <w:pStyle w:val="af8"/>
              <w:widowControl w:val="0"/>
              <w:rPr>
                <w:rFonts w:hAnsi="宋体" w:hint="eastAsia"/>
                <w:szCs w:val="18"/>
              </w:rPr>
            </w:pPr>
          </w:p>
        </w:tc>
        <w:tc>
          <w:tcPr>
            <w:tcW w:w="1701" w:type="dxa"/>
            <w:tcBorders>
              <w:bottom w:val="single" w:sz="12" w:space="0" w:color="auto"/>
            </w:tcBorders>
            <w:shd w:val="clear" w:color="auto" w:fill="auto"/>
          </w:tcPr>
          <w:p w14:paraId="7113AFD4" w14:textId="77777777" w:rsidR="00F451F1" w:rsidRDefault="00000000">
            <w:pPr>
              <w:pStyle w:val="af8"/>
              <w:widowControl w:val="0"/>
              <w:rPr>
                <w:rFonts w:hAnsi="宋体" w:hint="eastAsia"/>
                <w:szCs w:val="18"/>
              </w:rPr>
            </w:pPr>
            <w:r>
              <w:rPr>
                <w:rFonts w:hAnsi="宋体" w:hint="eastAsia"/>
                <w:szCs w:val="18"/>
              </w:rPr>
              <w:t>187.0</w:t>
            </w:r>
            <w:r>
              <w:rPr>
                <w:rFonts w:hAnsi="宋体" w:hint="eastAsia"/>
                <w:szCs w:val="18"/>
                <w:vertAlign w:val="superscript"/>
              </w:rPr>
              <w:t>a</w:t>
            </w:r>
          </w:p>
        </w:tc>
        <w:tc>
          <w:tcPr>
            <w:tcW w:w="1701" w:type="dxa"/>
            <w:tcBorders>
              <w:bottom w:val="single" w:sz="12" w:space="0" w:color="auto"/>
            </w:tcBorders>
            <w:shd w:val="clear" w:color="auto" w:fill="auto"/>
          </w:tcPr>
          <w:p w14:paraId="1B4D3C1F" w14:textId="77777777" w:rsidR="00F451F1" w:rsidRDefault="00000000">
            <w:pPr>
              <w:pStyle w:val="af8"/>
              <w:widowControl w:val="0"/>
              <w:rPr>
                <w:rFonts w:hAnsi="宋体" w:hint="eastAsia"/>
                <w:szCs w:val="18"/>
              </w:rPr>
            </w:pPr>
            <w:r>
              <w:rPr>
                <w:rFonts w:hAnsi="宋体" w:hint="eastAsia"/>
                <w:szCs w:val="18"/>
              </w:rPr>
              <w:t>10</w:t>
            </w:r>
          </w:p>
        </w:tc>
        <w:tc>
          <w:tcPr>
            <w:tcW w:w="1941" w:type="dxa"/>
            <w:tcBorders>
              <w:bottom w:val="single" w:sz="12" w:space="0" w:color="auto"/>
            </w:tcBorders>
            <w:shd w:val="clear" w:color="auto" w:fill="auto"/>
          </w:tcPr>
          <w:p w14:paraId="7D083E82" w14:textId="77777777" w:rsidR="00F451F1" w:rsidRDefault="00000000">
            <w:pPr>
              <w:pStyle w:val="af8"/>
              <w:widowControl w:val="0"/>
              <w:rPr>
                <w:rFonts w:hAnsi="宋体" w:hint="eastAsia"/>
                <w:szCs w:val="18"/>
              </w:rPr>
            </w:pPr>
            <w:r>
              <w:rPr>
                <w:rFonts w:hAnsi="宋体" w:hint="eastAsia"/>
                <w:szCs w:val="18"/>
              </w:rPr>
              <w:t>12</w:t>
            </w:r>
          </w:p>
        </w:tc>
      </w:tr>
      <w:tr w:rsidR="00F451F1" w14:paraId="304E6745" w14:textId="77777777">
        <w:trPr>
          <w:trHeight w:val="279"/>
          <w:jc w:val="center"/>
        </w:trPr>
        <w:tc>
          <w:tcPr>
            <w:tcW w:w="1945" w:type="dxa"/>
            <w:vMerge w:val="restart"/>
            <w:tcBorders>
              <w:left w:val="single" w:sz="12" w:space="0" w:color="auto"/>
            </w:tcBorders>
            <w:shd w:val="clear" w:color="auto" w:fill="auto"/>
            <w:vAlign w:val="center"/>
          </w:tcPr>
          <w:p w14:paraId="4CFA38CE" w14:textId="77777777" w:rsidR="00F451F1" w:rsidRDefault="00000000">
            <w:pPr>
              <w:jc w:val="center"/>
              <w:rPr>
                <w:rFonts w:ascii="宋体" w:hAnsi="宋体" w:hint="eastAsia"/>
                <w:sz w:val="18"/>
                <w:szCs w:val="18"/>
              </w:rPr>
            </w:pPr>
            <w:r>
              <w:rPr>
                <w:rFonts w:ascii="宋体" w:hAnsi="宋体" w:hint="eastAsia"/>
                <w:sz w:val="18"/>
                <w:szCs w:val="18"/>
              </w:rPr>
              <w:lastRenderedPageBreak/>
              <w:t>安替比林</w:t>
            </w:r>
          </w:p>
        </w:tc>
        <w:tc>
          <w:tcPr>
            <w:tcW w:w="1701" w:type="dxa"/>
            <w:vMerge w:val="restart"/>
            <w:shd w:val="clear" w:color="auto" w:fill="auto"/>
            <w:vAlign w:val="center"/>
          </w:tcPr>
          <w:p w14:paraId="366220C9" w14:textId="77777777" w:rsidR="00F451F1" w:rsidRDefault="00000000">
            <w:pPr>
              <w:pStyle w:val="af8"/>
              <w:widowControl w:val="0"/>
              <w:rPr>
                <w:rFonts w:hAnsi="宋体" w:hint="eastAsia"/>
                <w:szCs w:val="18"/>
              </w:rPr>
            </w:pPr>
            <w:r>
              <w:rPr>
                <w:rFonts w:hAnsi="宋体" w:hint="eastAsia"/>
                <w:szCs w:val="18"/>
              </w:rPr>
              <w:t>189</w:t>
            </w:r>
            <w:r>
              <w:rPr>
                <w:rFonts w:hAnsi="宋体"/>
                <w:szCs w:val="18"/>
              </w:rPr>
              <w:t>.0</w:t>
            </w:r>
          </w:p>
        </w:tc>
        <w:tc>
          <w:tcPr>
            <w:tcW w:w="1701" w:type="dxa"/>
            <w:shd w:val="clear" w:color="auto" w:fill="auto"/>
          </w:tcPr>
          <w:p w14:paraId="6D9092B6" w14:textId="77777777" w:rsidR="00F451F1" w:rsidRDefault="00000000">
            <w:pPr>
              <w:pStyle w:val="af8"/>
              <w:widowControl w:val="0"/>
              <w:rPr>
                <w:rFonts w:hAnsi="宋体" w:hint="eastAsia"/>
                <w:szCs w:val="18"/>
              </w:rPr>
            </w:pPr>
            <w:r>
              <w:rPr>
                <w:rFonts w:hAnsi="宋体" w:hint="eastAsia"/>
                <w:szCs w:val="18"/>
              </w:rPr>
              <w:t>104.0</w:t>
            </w:r>
          </w:p>
        </w:tc>
        <w:tc>
          <w:tcPr>
            <w:tcW w:w="1701" w:type="dxa"/>
            <w:shd w:val="clear" w:color="auto" w:fill="auto"/>
          </w:tcPr>
          <w:p w14:paraId="5E594C32" w14:textId="77777777" w:rsidR="00F451F1" w:rsidRDefault="00000000">
            <w:pPr>
              <w:pStyle w:val="af8"/>
              <w:widowControl w:val="0"/>
              <w:rPr>
                <w:rFonts w:hAnsi="宋体" w:hint="eastAsia"/>
                <w:szCs w:val="18"/>
              </w:rPr>
            </w:pPr>
            <w:r>
              <w:rPr>
                <w:rFonts w:hAnsi="宋体" w:hint="eastAsia"/>
                <w:szCs w:val="18"/>
              </w:rPr>
              <w:t>15</w:t>
            </w:r>
          </w:p>
        </w:tc>
        <w:tc>
          <w:tcPr>
            <w:tcW w:w="1941" w:type="dxa"/>
            <w:shd w:val="clear" w:color="auto" w:fill="auto"/>
          </w:tcPr>
          <w:p w14:paraId="22CD1293" w14:textId="77777777" w:rsidR="00F451F1" w:rsidRDefault="00000000">
            <w:pPr>
              <w:pStyle w:val="af8"/>
              <w:widowControl w:val="0"/>
              <w:rPr>
                <w:rFonts w:hAnsi="宋体" w:hint="eastAsia"/>
                <w:szCs w:val="18"/>
              </w:rPr>
            </w:pPr>
            <w:r>
              <w:rPr>
                <w:rFonts w:hAnsi="宋体" w:hint="eastAsia"/>
                <w:szCs w:val="18"/>
              </w:rPr>
              <w:t>12</w:t>
            </w:r>
          </w:p>
        </w:tc>
      </w:tr>
      <w:tr w:rsidR="00F451F1" w14:paraId="3E88191D" w14:textId="77777777">
        <w:trPr>
          <w:trHeight w:val="168"/>
          <w:jc w:val="center"/>
        </w:trPr>
        <w:tc>
          <w:tcPr>
            <w:tcW w:w="1945" w:type="dxa"/>
            <w:vMerge/>
            <w:tcBorders>
              <w:left w:val="single" w:sz="12" w:space="0" w:color="auto"/>
            </w:tcBorders>
            <w:shd w:val="clear" w:color="auto" w:fill="auto"/>
            <w:vAlign w:val="center"/>
          </w:tcPr>
          <w:p w14:paraId="4ADCA20D" w14:textId="77777777" w:rsidR="00F451F1" w:rsidRDefault="00F451F1">
            <w:pPr>
              <w:jc w:val="center"/>
              <w:rPr>
                <w:rFonts w:ascii="宋体" w:hAnsi="宋体" w:hint="eastAsia"/>
                <w:sz w:val="18"/>
                <w:szCs w:val="18"/>
              </w:rPr>
            </w:pPr>
          </w:p>
        </w:tc>
        <w:tc>
          <w:tcPr>
            <w:tcW w:w="1701" w:type="dxa"/>
            <w:vMerge/>
            <w:shd w:val="clear" w:color="auto" w:fill="auto"/>
          </w:tcPr>
          <w:p w14:paraId="0D419A5A" w14:textId="77777777" w:rsidR="00F451F1" w:rsidRDefault="00F451F1">
            <w:pPr>
              <w:pStyle w:val="af8"/>
              <w:widowControl w:val="0"/>
              <w:rPr>
                <w:rFonts w:hAnsi="宋体" w:hint="eastAsia"/>
                <w:szCs w:val="18"/>
              </w:rPr>
            </w:pPr>
          </w:p>
        </w:tc>
        <w:tc>
          <w:tcPr>
            <w:tcW w:w="1701" w:type="dxa"/>
            <w:shd w:val="clear" w:color="auto" w:fill="auto"/>
          </w:tcPr>
          <w:p w14:paraId="28CB2911" w14:textId="77777777" w:rsidR="00F451F1" w:rsidRDefault="00000000">
            <w:pPr>
              <w:pStyle w:val="af8"/>
              <w:widowControl w:val="0"/>
              <w:rPr>
                <w:rFonts w:hAnsi="宋体" w:hint="eastAsia"/>
                <w:szCs w:val="18"/>
              </w:rPr>
            </w:pPr>
            <w:r>
              <w:rPr>
                <w:rFonts w:hAnsi="宋体" w:hint="eastAsia"/>
                <w:szCs w:val="18"/>
              </w:rPr>
              <w:t>131.0</w:t>
            </w:r>
            <w:r>
              <w:rPr>
                <w:rFonts w:hAnsi="宋体" w:hint="eastAsia"/>
                <w:szCs w:val="18"/>
                <w:vertAlign w:val="superscript"/>
              </w:rPr>
              <w:t>a</w:t>
            </w:r>
          </w:p>
        </w:tc>
        <w:tc>
          <w:tcPr>
            <w:tcW w:w="1701" w:type="dxa"/>
            <w:shd w:val="clear" w:color="auto" w:fill="auto"/>
          </w:tcPr>
          <w:p w14:paraId="14F337C3" w14:textId="77777777" w:rsidR="00F451F1" w:rsidRDefault="00000000">
            <w:pPr>
              <w:pStyle w:val="af8"/>
              <w:widowControl w:val="0"/>
              <w:rPr>
                <w:rFonts w:hAnsi="宋体" w:hint="eastAsia"/>
                <w:szCs w:val="18"/>
              </w:rPr>
            </w:pPr>
            <w:r>
              <w:rPr>
                <w:rFonts w:hAnsi="宋体" w:hint="eastAsia"/>
                <w:szCs w:val="18"/>
              </w:rPr>
              <w:t>15</w:t>
            </w:r>
          </w:p>
        </w:tc>
        <w:tc>
          <w:tcPr>
            <w:tcW w:w="1941" w:type="dxa"/>
            <w:shd w:val="clear" w:color="auto" w:fill="auto"/>
          </w:tcPr>
          <w:p w14:paraId="51AEEB5C" w14:textId="77777777" w:rsidR="00F451F1" w:rsidRDefault="00000000">
            <w:pPr>
              <w:pStyle w:val="af8"/>
              <w:widowControl w:val="0"/>
              <w:rPr>
                <w:rFonts w:hAnsi="宋体" w:hint="eastAsia"/>
                <w:szCs w:val="18"/>
              </w:rPr>
            </w:pPr>
            <w:r>
              <w:rPr>
                <w:rFonts w:hAnsi="宋体" w:hint="eastAsia"/>
                <w:szCs w:val="18"/>
              </w:rPr>
              <w:t>12</w:t>
            </w:r>
          </w:p>
        </w:tc>
      </w:tr>
      <w:tr w:rsidR="00F451F1" w14:paraId="392AF322" w14:textId="77777777">
        <w:trPr>
          <w:trHeight w:val="271"/>
          <w:jc w:val="center"/>
        </w:trPr>
        <w:tc>
          <w:tcPr>
            <w:tcW w:w="8989" w:type="dxa"/>
            <w:gridSpan w:val="5"/>
            <w:tcBorders>
              <w:left w:val="single" w:sz="12" w:space="0" w:color="auto"/>
              <w:bottom w:val="single" w:sz="12" w:space="0" w:color="auto"/>
            </w:tcBorders>
            <w:shd w:val="clear" w:color="auto" w:fill="auto"/>
            <w:vAlign w:val="center"/>
          </w:tcPr>
          <w:p w14:paraId="06384E92" w14:textId="77777777" w:rsidR="00F451F1" w:rsidRDefault="00000000">
            <w:pPr>
              <w:pStyle w:val="af8"/>
              <w:widowControl w:val="0"/>
              <w:ind w:firstLineChars="100" w:firstLine="180"/>
              <w:jc w:val="left"/>
              <w:rPr>
                <w:rFonts w:hAnsi="宋体" w:hint="eastAsia"/>
                <w:szCs w:val="18"/>
              </w:rPr>
            </w:pPr>
            <w:r>
              <w:rPr>
                <w:rFonts w:hAnsi="宋体" w:hint="eastAsia"/>
                <w:szCs w:val="18"/>
                <w:vertAlign w:val="superscript"/>
              </w:rPr>
              <w:t>a</w:t>
            </w:r>
            <w:r>
              <w:rPr>
                <w:rFonts w:hAnsi="宋体" w:hint="eastAsia"/>
                <w:szCs w:val="18"/>
              </w:rPr>
              <w:t>为定量离子</w:t>
            </w:r>
          </w:p>
        </w:tc>
      </w:tr>
    </w:tbl>
    <w:p w14:paraId="47E33E36" w14:textId="77777777" w:rsidR="00F451F1" w:rsidRDefault="00000000">
      <w:pPr>
        <w:spacing w:before="280" w:after="160"/>
        <w:outlineLvl w:val="1"/>
        <w:rPr>
          <w:rFonts w:ascii="Times New Roman" w:eastAsia="黑体" w:hAnsi="Times New Roman" w:cs="Times New Roman"/>
          <w:sz w:val="24"/>
          <w:szCs w:val="24"/>
        </w:rPr>
      </w:pPr>
      <w:r>
        <w:rPr>
          <w:rFonts w:ascii="Times New Roman" w:eastAsia="黑体" w:hAnsi="Times New Roman" w:cs="Times New Roman" w:hint="eastAsia"/>
          <w:sz w:val="24"/>
          <w:szCs w:val="24"/>
        </w:rPr>
        <w:t>5</w:t>
      </w:r>
      <w:r>
        <w:rPr>
          <w:rFonts w:ascii="Times New Roman" w:eastAsia="黑体" w:hAnsi="Times New Roman" w:cs="Times New Roman" w:hint="eastAsia"/>
          <w:sz w:val="24"/>
          <w:szCs w:val="24"/>
        </w:rPr>
        <w:t>）结果判定要求</w:t>
      </w:r>
    </w:p>
    <w:p w14:paraId="100D242E"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本部分主要针对解热镇痛类物质</w:t>
      </w:r>
      <w:r>
        <w:rPr>
          <w:rFonts w:asciiTheme="minorEastAsia" w:hAnsiTheme="minorEastAsia"/>
          <w:sz w:val="24"/>
          <w:szCs w:val="24"/>
        </w:rPr>
        <w:t>识别和确证的重要性</w:t>
      </w:r>
      <w:r>
        <w:rPr>
          <w:rFonts w:asciiTheme="minorEastAsia" w:hAnsiTheme="minorEastAsia" w:hint="eastAsia"/>
          <w:sz w:val="24"/>
          <w:szCs w:val="24"/>
        </w:rPr>
        <w:t>以及</w:t>
      </w:r>
      <w:r>
        <w:rPr>
          <w:rFonts w:asciiTheme="minorEastAsia" w:hAnsiTheme="minorEastAsia"/>
          <w:sz w:val="24"/>
          <w:szCs w:val="24"/>
        </w:rPr>
        <w:t>对色谱和质谱的测定要求</w:t>
      </w:r>
      <w:r>
        <w:rPr>
          <w:rFonts w:asciiTheme="minorEastAsia" w:hAnsiTheme="minorEastAsia" w:hint="eastAsia"/>
          <w:sz w:val="24"/>
          <w:szCs w:val="24"/>
        </w:rPr>
        <w:t>专门做了相应规范。主要参考了欧盟有关食品饲料中农药残留测定质控和确认要求、国内标准如农业农村部第289号公告中规定的“试样溶液中待测物的保留时间应与浓度相近的标准溶液中待测物的保留时间一致，其相对偏差LC不大于±2.5%”以及农业农村部第312号公告的相应要求。并在定量部分给出了具体计算公式。</w:t>
      </w:r>
    </w:p>
    <w:p w14:paraId="153D680D"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无</w:t>
      </w:r>
    </w:p>
    <w:p w14:paraId="00A4CBA1" w14:textId="77777777" w:rsidR="00F451F1" w:rsidRDefault="00000000">
      <w:pPr>
        <w:pStyle w:val="af5"/>
        <w:widowControl/>
        <w:numPr>
          <w:ilvl w:val="0"/>
          <w:numId w:val="3"/>
        </w:numPr>
        <w:autoSpaceDE w:val="0"/>
        <w:autoSpaceDN w:val="0"/>
        <w:spacing w:line="360" w:lineRule="auto"/>
        <w:ind w:firstLineChars="0"/>
        <w:jc w:val="left"/>
        <w:textAlignment w:val="bottom"/>
        <w:rPr>
          <w:rFonts w:ascii="Times New Roman" w:eastAsia="黑体" w:hAnsi="Times New Roman" w:cs="Times New Roman"/>
          <w:sz w:val="30"/>
        </w:rPr>
      </w:pPr>
      <w:r>
        <w:rPr>
          <w:rFonts w:ascii="Times New Roman" w:eastAsia="黑体" w:hAnsi="Times New Roman" w:cs="Times New Roman" w:hint="eastAsia"/>
          <w:sz w:val="30"/>
        </w:rPr>
        <w:t>与国际、国外同类标准技术内容的对比情况</w:t>
      </w:r>
    </w:p>
    <w:p w14:paraId="764AA208" w14:textId="77777777" w:rsidR="00F451F1" w:rsidRDefault="00000000">
      <w:pPr>
        <w:adjustRightInd w:val="0"/>
        <w:snapToGrid w:val="0"/>
        <w:spacing w:line="400" w:lineRule="exact"/>
        <w:ind w:rightChars="50" w:right="105" w:firstLineChars="200" w:firstLine="480"/>
        <w:rPr>
          <w:rFonts w:ascii="宋体" w:hAnsi="宋体" w:hint="eastAsia"/>
          <w:sz w:val="24"/>
          <w:szCs w:val="24"/>
        </w:rPr>
      </w:pPr>
      <w:r>
        <w:rPr>
          <w:rFonts w:ascii="宋体" w:hAnsi="宋体" w:hint="eastAsia"/>
          <w:sz w:val="24"/>
          <w:szCs w:val="24"/>
        </w:rPr>
        <w:t xml:space="preserve">在我国，根据GB 31650-2019《食品中兽药最大残留限量》中明确规定安乃近在动物性组织中的残留限量为100 </w:t>
      </w:r>
      <w:proofErr w:type="spellStart"/>
      <w:r>
        <w:rPr>
          <w:rFonts w:ascii="Times New Roman" w:hAnsi="Times New Roman" w:cs="Times New Roman"/>
          <w:sz w:val="24"/>
          <w:szCs w:val="24"/>
        </w:rPr>
        <w:t>μg</w:t>
      </w:r>
      <w:proofErr w:type="spellEnd"/>
      <w:r>
        <w:rPr>
          <w:rFonts w:ascii="Times New Roman" w:hAnsi="Times New Roman" w:cs="Times New Roman"/>
          <w:sz w:val="24"/>
          <w:szCs w:val="24"/>
        </w:rPr>
        <w:t>/kg</w:t>
      </w:r>
      <w:r>
        <w:rPr>
          <w:rFonts w:ascii="宋体" w:hAnsi="宋体" w:hint="eastAsia"/>
          <w:sz w:val="24"/>
          <w:szCs w:val="24"/>
        </w:rPr>
        <w:t xml:space="preserve">，在奶中的残留限量为50 </w:t>
      </w:r>
      <w:proofErr w:type="spellStart"/>
      <w:r>
        <w:rPr>
          <w:rFonts w:ascii="Times New Roman" w:hAnsi="Times New Roman" w:cs="Times New Roman"/>
          <w:sz w:val="24"/>
          <w:szCs w:val="24"/>
        </w:rPr>
        <w:t>μg</w:t>
      </w:r>
      <w:proofErr w:type="spellEnd"/>
      <w:r>
        <w:rPr>
          <w:rFonts w:ascii="Times New Roman" w:hAnsi="Times New Roman" w:cs="Times New Roman"/>
          <w:sz w:val="24"/>
          <w:szCs w:val="24"/>
        </w:rPr>
        <w:t>/kg</w:t>
      </w:r>
      <w:r>
        <w:rPr>
          <w:rFonts w:ascii="宋体" w:hAnsi="宋体" w:hint="eastAsia"/>
          <w:sz w:val="24"/>
          <w:szCs w:val="24"/>
        </w:rPr>
        <w:t>；对乙酰氨基</w:t>
      </w:r>
      <w:proofErr w:type="gramStart"/>
      <w:r>
        <w:rPr>
          <w:rFonts w:ascii="宋体" w:hAnsi="宋体" w:hint="eastAsia"/>
          <w:sz w:val="24"/>
          <w:szCs w:val="24"/>
        </w:rPr>
        <w:t>酚</w:t>
      </w:r>
      <w:proofErr w:type="gramEnd"/>
      <w:r>
        <w:rPr>
          <w:rFonts w:ascii="宋体" w:hAnsi="宋体" w:hint="eastAsia"/>
          <w:sz w:val="24"/>
          <w:szCs w:val="24"/>
        </w:rPr>
        <w:t>仅适用于猪的口服用兽药。</w:t>
      </w:r>
    </w:p>
    <w:p w14:paraId="2836FAE7" w14:textId="77777777" w:rsidR="00F451F1" w:rsidRDefault="00000000">
      <w:pPr>
        <w:adjustRightInd w:val="0"/>
        <w:snapToGrid w:val="0"/>
        <w:spacing w:line="400" w:lineRule="exact"/>
        <w:ind w:rightChars="50" w:right="105" w:firstLineChars="200" w:firstLine="480"/>
        <w:rPr>
          <w:rFonts w:ascii="宋体" w:hAnsi="宋体" w:hint="eastAsia"/>
          <w:sz w:val="24"/>
          <w:szCs w:val="24"/>
        </w:rPr>
      </w:pPr>
      <w:r>
        <w:rPr>
          <w:rFonts w:ascii="宋体" w:hAnsi="宋体" w:hint="eastAsia"/>
          <w:sz w:val="24"/>
          <w:szCs w:val="24"/>
        </w:rPr>
        <w:t>目前我国针对解热镇痛类药物的研究及监管多集中于中成药的非法添加、兽药的非法添加等。在现有检测技术规范中，农业部第2448号公告规定了黄芪多糖注射液中非法添加解热镇痛类、抗病毒类、抗生素类、氟</w:t>
      </w:r>
      <w:proofErr w:type="gramStart"/>
      <w:r>
        <w:rPr>
          <w:rFonts w:ascii="宋体" w:hAnsi="宋体" w:hint="eastAsia"/>
          <w:sz w:val="24"/>
          <w:szCs w:val="24"/>
        </w:rPr>
        <w:t>喹</w:t>
      </w:r>
      <w:proofErr w:type="gramEnd"/>
      <w:r>
        <w:rPr>
          <w:rFonts w:ascii="宋体" w:hAnsi="宋体" w:hint="eastAsia"/>
          <w:sz w:val="24"/>
          <w:szCs w:val="24"/>
        </w:rPr>
        <w:t>酮类等11种化学药物（物质）检查方法；以及阿莫西林可溶性粉中非法添加解热镇痛类药物的检查方法。同时《中华人民共和国兽药典》2020年版对安乃近、对乙酰氨基</w:t>
      </w:r>
      <w:proofErr w:type="gramStart"/>
      <w:r>
        <w:rPr>
          <w:rFonts w:ascii="宋体" w:hAnsi="宋体" w:hint="eastAsia"/>
          <w:sz w:val="24"/>
          <w:szCs w:val="24"/>
        </w:rPr>
        <w:t>酚</w:t>
      </w:r>
      <w:proofErr w:type="gramEnd"/>
      <w:r>
        <w:rPr>
          <w:rFonts w:ascii="宋体" w:hAnsi="宋体" w:hint="eastAsia"/>
          <w:sz w:val="24"/>
          <w:szCs w:val="24"/>
        </w:rPr>
        <w:t>、安替比林、氨基比林均有收载，并规定采用高效液相色谱法、滴定法、紫外—可见分光光度法对以上药物进行含量测定或有关物质检查。</w:t>
      </w:r>
    </w:p>
    <w:p w14:paraId="60443C45" w14:textId="77777777" w:rsidR="00F451F1" w:rsidRDefault="00000000">
      <w:pPr>
        <w:adjustRightInd w:val="0"/>
        <w:snapToGrid w:val="0"/>
        <w:spacing w:line="400" w:lineRule="exact"/>
        <w:ind w:rightChars="50" w:right="105" w:firstLineChars="200" w:firstLine="480"/>
        <w:rPr>
          <w:rFonts w:ascii="宋体" w:hAnsi="宋体" w:hint="eastAsia"/>
          <w:sz w:val="24"/>
          <w:szCs w:val="24"/>
        </w:rPr>
      </w:pPr>
      <w:r>
        <w:rPr>
          <w:rFonts w:ascii="宋体" w:hAnsi="宋体" w:hint="eastAsia"/>
          <w:sz w:val="24"/>
          <w:szCs w:val="24"/>
        </w:rPr>
        <w:t>安乃近作为解热镇痛类的代表药物早在70年代已被禁止用于食源性动物，目前已被30多个国家禁用。欧盟对安乃近在牛奶及食源性动物组织均设定了严格的限量要求。美国环境保护署（EPA）在1694号方法（Pharmaceuticals and Personal Care Products in Water, Soil, Sediment, and Biosolids by HPLC/MS/MS (2007)）中也涵盖了对乙酰氨基</w:t>
      </w:r>
      <w:proofErr w:type="gramStart"/>
      <w:r>
        <w:rPr>
          <w:rFonts w:ascii="宋体" w:hAnsi="宋体" w:hint="eastAsia"/>
          <w:sz w:val="24"/>
          <w:szCs w:val="24"/>
        </w:rPr>
        <w:t>酚</w:t>
      </w:r>
      <w:proofErr w:type="gramEnd"/>
      <w:r>
        <w:rPr>
          <w:rFonts w:ascii="宋体" w:hAnsi="宋体" w:hint="eastAsia"/>
          <w:sz w:val="24"/>
          <w:szCs w:val="24"/>
        </w:rPr>
        <w:t>的检测。</w:t>
      </w:r>
    </w:p>
    <w:p w14:paraId="34C9006E" w14:textId="77777777" w:rsidR="00F451F1" w:rsidRDefault="00000000">
      <w:pPr>
        <w:widowControl/>
        <w:autoSpaceDE w:val="0"/>
        <w:autoSpaceDN w:val="0"/>
        <w:spacing w:line="360" w:lineRule="auto"/>
        <w:ind w:firstLineChars="200" w:firstLine="480"/>
        <w:jc w:val="left"/>
        <w:textAlignment w:val="bottom"/>
        <w:rPr>
          <w:rFonts w:ascii="宋体" w:hAnsi="宋体" w:hint="eastAsia"/>
          <w:sz w:val="24"/>
          <w:szCs w:val="24"/>
        </w:rPr>
      </w:pPr>
      <w:r>
        <w:rPr>
          <w:rFonts w:ascii="宋体" w:hAnsi="宋体" w:hint="eastAsia"/>
          <w:sz w:val="24"/>
          <w:szCs w:val="24"/>
        </w:rPr>
        <w:t>但是，国内外对饲料中解热镇痛类药物的检测方法少有文献报道，混合型饲料添加剂中的解热镇痛类药物检测方法和技术标准更是近乎空白，饲料行业中解热镇痛类药物的标准化检测技术有效供给不足。</w:t>
      </w:r>
    </w:p>
    <w:p w14:paraId="1E223BE1" w14:textId="77777777" w:rsidR="00F451F1" w:rsidRDefault="00000000">
      <w:pPr>
        <w:pStyle w:val="ad"/>
        <w:jc w:val="center"/>
      </w:pPr>
      <w:bookmarkStart w:id="5" w:name="_Ref277321107"/>
      <w:r>
        <w:rPr>
          <w:rFonts w:ascii="Times New Roman" w:hAnsi="Times New Roman" w:hint="eastAsia"/>
          <w:sz w:val="21"/>
          <w:szCs w:val="21"/>
        </w:rPr>
        <w:t>表</w:t>
      </w:r>
      <w:bookmarkEnd w:id="5"/>
      <w:r>
        <w:rPr>
          <w:rFonts w:ascii="Times New Roman" w:hAnsi="Times New Roman" w:hint="eastAsia"/>
          <w:sz w:val="21"/>
          <w:szCs w:val="21"/>
        </w:rPr>
        <w:t xml:space="preserve">2  </w:t>
      </w:r>
      <w:r>
        <w:rPr>
          <w:rFonts w:ascii="Times New Roman" w:hAnsi="Times New Roman" w:hint="eastAsia"/>
          <w:sz w:val="21"/>
          <w:szCs w:val="21"/>
        </w:rPr>
        <w:t>国内外相关标准文献分析方法汇总表</w:t>
      </w:r>
    </w:p>
    <w:tbl>
      <w:tblPr>
        <w:tblW w:w="8736"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90"/>
        <w:gridCol w:w="1917"/>
        <w:gridCol w:w="2167"/>
        <w:gridCol w:w="1162"/>
      </w:tblGrid>
      <w:tr w:rsidR="00F451F1" w14:paraId="7E478228" w14:textId="77777777">
        <w:trPr>
          <w:trHeight w:val="216"/>
        </w:trPr>
        <w:tc>
          <w:tcPr>
            <w:tcW w:w="3490" w:type="dxa"/>
            <w:tcBorders>
              <w:top w:val="single" w:sz="12" w:space="0" w:color="auto"/>
              <w:left w:val="single" w:sz="12" w:space="0" w:color="auto"/>
              <w:right w:val="single" w:sz="4" w:space="0" w:color="auto"/>
            </w:tcBorders>
            <w:vAlign w:val="center"/>
          </w:tcPr>
          <w:p w14:paraId="225FD7E5" w14:textId="77777777" w:rsidR="00F451F1" w:rsidRDefault="00000000">
            <w:pPr>
              <w:ind w:firstLineChars="100" w:firstLine="200"/>
              <w:jc w:val="center"/>
              <w:rPr>
                <w:rFonts w:ascii="Times New Roman" w:eastAsia="仿宋_GB2312" w:hAnsi="Times New Roman"/>
                <w:sz w:val="20"/>
                <w:szCs w:val="21"/>
              </w:rPr>
            </w:pPr>
            <w:r>
              <w:rPr>
                <w:rFonts w:ascii="Times New Roman" w:eastAsia="仿宋_GB2312" w:hAnsi="Times New Roman"/>
                <w:sz w:val="20"/>
                <w:szCs w:val="21"/>
              </w:rPr>
              <w:lastRenderedPageBreak/>
              <w:t>标准名称</w:t>
            </w:r>
          </w:p>
        </w:tc>
        <w:tc>
          <w:tcPr>
            <w:tcW w:w="1917" w:type="dxa"/>
            <w:tcBorders>
              <w:top w:val="single" w:sz="12" w:space="0" w:color="auto"/>
              <w:left w:val="single" w:sz="4" w:space="0" w:color="auto"/>
              <w:right w:val="single" w:sz="4" w:space="0" w:color="auto"/>
            </w:tcBorders>
            <w:vAlign w:val="center"/>
          </w:tcPr>
          <w:p w14:paraId="51EA25A9" w14:textId="77777777" w:rsidR="00F451F1" w:rsidRDefault="00000000">
            <w:pPr>
              <w:jc w:val="center"/>
              <w:rPr>
                <w:rFonts w:ascii="Times New Roman" w:eastAsia="仿宋_GB2312" w:hAnsi="Times New Roman"/>
                <w:sz w:val="20"/>
                <w:szCs w:val="21"/>
              </w:rPr>
            </w:pPr>
            <w:r>
              <w:rPr>
                <w:rFonts w:ascii="Times New Roman" w:eastAsia="仿宋_GB2312" w:hAnsi="Times New Roman"/>
                <w:sz w:val="20"/>
                <w:szCs w:val="21"/>
              </w:rPr>
              <w:t>测定方法</w:t>
            </w:r>
          </w:p>
        </w:tc>
        <w:tc>
          <w:tcPr>
            <w:tcW w:w="2167" w:type="dxa"/>
            <w:tcBorders>
              <w:top w:val="single" w:sz="12" w:space="0" w:color="auto"/>
              <w:left w:val="single" w:sz="4" w:space="0" w:color="auto"/>
              <w:right w:val="single" w:sz="4" w:space="0" w:color="auto"/>
            </w:tcBorders>
          </w:tcPr>
          <w:p w14:paraId="1EB3AA73" w14:textId="77777777" w:rsidR="00F451F1" w:rsidRDefault="00000000">
            <w:pPr>
              <w:jc w:val="center"/>
              <w:rPr>
                <w:rFonts w:ascii="Times New Roman" w:eastAsia="仿宋_GB2312" w:hAnsi="Times New Roman"/>
                <w:sz w:val="20"/>
                <w:szCs w:val="21"/>
              </w:rPr>
            </w:pPr>
            <w:r>
              <w:rPr>
                <w:rFonts w:ascii="Times New Roman" w:eastAsia="仿宋_GB2312" w:hAnsi="Times New Roman" w:hint="eastAsia"/>
                <w:sz w:val="20"/>
                <w:szCs w:val="21"/>
              </w:rPr>
              <w:t>检测条件</w:t>
            </w:r>
          </w:p>
        </w:tc>
        <w:tc>
          <w:tcPr>
            <w:tcW w:w="1162" w:type="dxa"/>
            <w:tcBorders>
              <w:top w:val="single" w:sz="12" w:space="0" w:color="auto"/>
              <w:left w:val="single" w:sz="4" w:space="0" w:color="auto"/>
              <w:right w:val="single" w:sz="12" w:space="0" w:color="auto"/>
            </w:tcBorders>
            <w:vAlign w:val="center"/>
          </w:tcPr>
          <w:p w14:paraId="6D9EC063" w14:textId="77777777" w:rsidR="00F451F1" w:rsidRDefault="00000000">
            <w:pPr>
              <w:jc w:val="center"/>
              <w:rPr>
                <w:rFonts w:ascii="Times New Roman" w:eastAsia="仿宋_GB2312" w:hAnsi="Times New Roman"/>
                <w:sz w:val="20"/>
                <w:szCs w:val="21"/>
              </w:rPr>
            </w:pPr>
            <w:r>
              <w:rPr>
                <w:rFonts w:ascii="Times New Roman" w:eastAsia="仿宋_GB2312" w:hAnsi="Times New Roman"/>
                <w:sz w:val="20"/>
                <w:szCs w:val="21"/>
              </w:rPr>
              <w:t>适用范围</w:t>
            </w:r>
          </w:p>
        </w:tc>
      </w:tr>
      <w:tr w:rsidR="00F451F1" w14:paraId="1B271094" w14:textId="77777777">
        <w:trPr>
          <w:trHeight w:val="521"/>
        </w:trPr>
        <w:tc>
          <w:tcPr>
            <w:tcW w:w="3490" w:type="dxa"/>
            <w:tcBorders>
              <w:left w:val="single" w:sz="12" w:space="0" w:color="auto"/>
              <w:bottom w:val="single" w:sz="4" w:space="0" w:color="auto"/>
              <w:right w:val="single" w:sz="4" w:space="0" w:color="auto"/>
            </w:tcBorders>
            <w:vAlign w:val="center"/>
          </w:tcPr>
          <w:p w14:paraId="185943D3" w14:textId="77777777" w:rsidR="00F451F1" w:rsidRDefault="00000000">
            <w:pPr>
              <w:autoSpaceDE w:val="0"/>
              <w:autoSpaceDN w:val="0"/>
              <w:adjustRightInd w:val="0"/>
              <w:rPr>
                <w:rFonts w:ascii="Times New Roman" w:hAnsi="Times New Roman"/>
                <w:sz w:val="20"/>
                <w:szCs w:val="21"/>
                <w:highlight w:val="yellow"/>
              </w:rPr>
            </w:pPr>
            <w:r>
              <w:rPr>
                <w:rFonts w:ascii="Times New Roman" w:hAnsi="Times New Roman"/>
                <w:sz w:val="20"/>
                <w:szCs w:val="21"/>
              </w:rPr>
              <w:t>EPA 1694</w:t>
            </w:r>
            <w:r>
              <w:rPr>
                <w:rFonts w:ascii="Times New Roman" w:hAnsi="Times New Roman" w:hint="eastAsia"/>
                <w:sz w:val="20"/>
                <w:szCs w:val="21"/>
              </w:rPr>
              <w:t>:</w:t>
            </w:r>
            <w:r>
              <w:rPr>
                <w:rFonts w:ascii="Times New Roman" w:hAnsi="Times New Roman" w:hint="eastAsia"/>
                <w:sz w:val="20"/>
                <w:szCs w:val="21"/>
              </w:rPr>
              <w:t>《</w:t>
            </w:r>
            <w:r>
              <w:rPr>
                <w:rFonts w:ascii="Times New Roman" w:hAnsi="Times New Roman"/>
                <w:sz w:val="20"/>
                <w:szCs w:val="21"/>
              </w:rPr>
              <w:t>Pharmaceuticals and Personal Care Products in Water, Soil, Sediment, and Biosolids by HPLC/MS/MS (2007)</w:t>
            </w:r>
            <w:r>
              <w:rPr>
                <w:rFonts w:ascii="Times New Roman" w:hAnsi="Times New Roman" w:hint="eastAsia"/>
                <w:sz w:val="20"/>
                <w:szCs w:val="21"/>
              </w:rPr>
              <w:t>》</w:t>
            </w:r>
            <w:r>
              <w:rPr>
                <w:rFonts w:ascii="Times New Roman" w:hAnsi="Times New Roman"/>
                <w:sz w:val="20"/>
                <w:szCs w:val="21"/>
              </w:rPr>
              <w:t xml:space="preserve"> </w:t>
            </w:r>
          </w:p>
        </w:tc>
        <w:tc>
          <w:tcPr>
            <w:tcW w:w="1917" w:type="dxa"/>
            <w:tcBorders>
              <w:left w:val="single" w:sz="4" w:space="0" w:color="auto"/>
              <w:bottom w:val="single" w:sz="4" w:space="0" w:color="auto"/>
              <w:right w:val="single" w:sz="4" w:space="0" w:color="auto"/>
            </w:tcBorders>
            <w:vAlign w:val="center"/>
          </w:tcPr>
          <w:p w14:paraId="338BC2E8" w14:textId="77777777" w:rsidR="00F451F1" w:rsidRDefault="00000000">
            <w:pPr>
              <w:jc w:val="center"/>
              <w:rPr>
                <w:rFonts w:ascii="Times New Roman" w:hAnsi="Times New Roman"/>
                <w:sz w:val="20"/>
                <w:szCs w:val="21"/>
              </w:rPr>
            </w:pPr>
            <w:r>
              <w:rPr>
                <w:rFonts w:ascii="Times New Roman" w:hAnsi="Times New Roman" w:hint="eastAsia"/>
                <w:sz w:val="20"/>
                <w:szCs w:val="21"/>
              </w:rPr>
              <w:t>液相色谱</w:t>
            </w:r>
            <w:r>
              <w:rPr>
                <w:rFonts w:ascii="Times New Roman" w:hAnsi="Times New Roman" w:hint="eastAsia"/>
                <w:sz w:val="20"/>
                <w:szCs w:val="21"/>
              </w:rPr>
              <w:t>-</w:t>
            </w:r>
            <w:r>
              <w:rPr>
                <w:rFonts w:ascii="Times New Roman" w:hAnsi="Times New Roman" w:hint="eastAsia"/>
                <w:sz w:val="20"/>
                <w:szCs w:val="21"/>
              </w:rPr>
              <w:t>串联质谱法</w:t>
            </w:r>
          </w:p>
        </w:tc>
        <w:tc>
          <w:tcPr>
            <w:tcW w:w="2167" w:type="dxa"/>
            <w:tcBorders>
              <w:left w:val="single" w:sz="4" w:space="0" w:color="auto"/>
              <w:bottom w:val="single" w:sz="4" w:space="0" w:color="auto"/>
              <w:right w:val="single" w:sz="4" w:space="0" w:color="auto"/>
            </w:tcBorders>
          </w:tcPr>
          <w:p w14:paraId="13C0FC2D" w14:textId="77777777" w:rsidR="00F451F1" w:rsidRDefault="00000000">
            <w:pPr>
              <w:jc w:val="center"/>
              <w:rPr>
                <w:rFonts w:ascii="Times New Roman" w:hAnsi="Times New Roman"/>
                <w:sz w:val="20"/>
                <w:szCs w:val="21"/>
              </w:rPr>
            </w:pPr>
            <w:r>
              <w:rPr>
                <w:rFonts w:ascii="Times New Roman" w:hAnsi="Times New Roman" w:hint="eastAsia"/>
                <w:sz w:val="20"/>
                <w:szCs w:val="21"/>
              </w:rPr>
              <w:t>酸性提取，电喷雾正离子化（</w:t>
            </w:r>
            <w:r>
              <w:rPr>
                <w:rFonts w:ascii="Times New Roman" w:hAnsi="Times New Roman" w:hint="eastAsia"/>
                <w:sz w:val="20"/>
                <w:szCs w:val="21"/>
              </w:rPr>
              <w:t>E</w:t>
            </w:r>
            <w:r>
              <w:rPr>
                <w:rFonts w:ascii="Times New Roman" w:hAnsi="Times New Roman"/>
                <w:sz w:val="20"/>
                <w:szCs w:val="21"/>
              </w:rPr>
              <w:t>SI</w:t>
            </w:r>
            <w:r>
              <w:rPr>
                <w:rFonts w:ascii="Times New Roman" w:hAnsi="Times New Roman" w:hint="eastAsia"/>
                <w:sz w:val="20"/>
                <w:szCs w:val="21"/>
              </w:rPr>
              <w:t>+</w:t>
            </w:r>
            <w:r>
              <w:rPr>
                <w:rFonts w:ascii="Times New Roman" w:hAnsi="Times New Roman" w:hint="eastAsia"/>
                <w:sz w:val="20"/>
                <w:szCs w:val="21"/>
              </w:rPr>
              <w:t>）</w:t>
            </w:r>
          </w:p>
          <w:p w14:paraId="6D96FF2B" w14:textId="77777777" w:rsidR="00F451F1" w:rsidRDefault="00000000">
            <w:pPr>
              <w:jc w:val="center"/>
              <w:rPr>
                <w:rFonts w:ascii="Times New Roman" w:hAnsi="Times New Roman"/>
                <w:sz w:val="20"/>
                <w:szCs w:val="21"/>
              </w:rPr>
            </w:pPr>
            <w:r>
              <w:rPr>
                <w:rFonts w:ascii="Times New Roman" w:hAnsi="Times New Roman" w:hint="eastAsia"/>
                <w:sz w:val="20"/>
                <w:szCs w:val="21"/>
              </w:rPr>
              <w:t>流动相：乙腈</w:t>
            </w:r>
            <w:r>
              <w:rPr>
                <w:rFonts w:ascii="Times New Roman" w:hAnsi="Times New Roman" w:hint="eastAsia"/>
                <w:sz w:val="20"/>
                <w:szCs w:val="21"/>
              </w:rPr>
              <w:t>-0</w:t>
            </w:r>
            <w:r>
              <w:rPr>
                <w:rFonts w:ascii="Times New Roman" w:hAnsi="Times New Roman"/>
                <w:sz w:val="20"/>
                <w:szCs w:val="21"/>
              </w:rPr>
              <w:t>.1</w:t>
            </w:r>
            <w:r>
              <w:rPr>
                <w:rFonts w:ascii="Times New Roman" w:hAnsi="Times New Roman" w:hint="eastAsia"/>
                <w:sz w:val="20"/>
                <w:szCs w:val="21"/>
              </w:rPr>
              <w:t>%</w:t>
            </w:r>
            <w:r>
              <w:rPr>
                <w:rFonts w:ascii="Times New Roman" w:hAnsi="Times New Roman" w:hint="eastAsia"/>
                <w:sz w:val="20"/>
                <w:szCs w:val="21"/>
              </w:rPr>
              <w:t>的甲酸水溶液（</w:t>
            </w:r>
            <w:r>
              <w:rPr>
                <w:rFonts w:ascii="Times New Roman" w:hAnsi="Times New Roman" w:hint="eastAsia"/>
                <w:sz w:val="20"/>
                <w:szCs w:val="21"/>
              </w:rPr>
              <w:t>1:</w:t>
            </w:r>
            <w:r>
              <w:rPr>
                <w:rFonts w:ascii="Times New Roman" w:hAnsi="Times New Roman"/>
                <w:sz w:val="20"/>
                <w:szCs w:val="21"/>
              </w:rPr>
              <w:t>9</w:t>
            </w:r>
            <w:r>
              <w:rPr>
                <w:rFonts w:ascii="Times New Roman" w:hAnsi="Times New Roman" w:hint="eastAsia"/>
                <w:sz w:val="20"/>
                <w:szCs w:val="21"/>
              </w:rPr>
              <w:t>）梯度</w:t>
            </w:r>
          </w:p>
        </w:tc>
        <w:tc>
          <w:tcPr>
            <w:tcW w:w="1162" w:type="dxa"/>
            <w:tcBorders>
              <w:left w:val="single" w:sz="4" w:space="0" w:color="auto"/>
              <w:bottom w:val="single" w:sz="4" w:space="0" w:color="auto"/>
              <w:right w:val="single" w:sz="12" w:space="0" w:color="auto"/>
            </w:tcBorders>
            <w:vAlign w:val="center"/>
          </w:tcPr>
          <w:p w14:paraId="54C816FF" w14:textId="77777777" w:rsidR="00F451F1" w:rsidRDefault="00000000">
            <w:pPr>
              <w:jc w:val="center"/>
              <w:rPr>
                <w:rFonts w:ascii="Times New Roman" w:hAnsi="Times New Roman"/>
                <w:sz w:val="20"/>
                <w:szCs w:val="21"/>
              </w:rPr>
            </w:pPr>
            <w:r>
              <w:rPr>
                <w:rFonts w:ascii="Times New Roman" w:hAnsi="Times New Roman" w:hint="eastAsia"/>
                <w:sz w:val="20"/>
                <w:szCs w:val="21"/>
              </w:rPr>
              <w:t>水</w:t>
            </w:r>
          </w:p>
        </w:tc>
      </w:tr>
      <w:tr w:rsidR="00F451F1" w14:paraId="1E52ED56" w14:textId="77777777">
        <w:trPr>
          <w:trHeight w:val="521"/>
        </w:trPr>
        <w:tc>
          <w:tcPr>
            <w:tcW w:w="3490" w:type="dxa"/>
            <w:tcBorders>
              <w:left w:val="single" w:sz="12" w:space="0" w:color="auto"/>
              <w:bottom w:val="single" w:sz="4" w:space="0" w:color="auto"/>
              <w:right w:val="single" w:sz="4" w:space="0" w:color="auto"/>
            </w:tcBorders>
            <w:vAlign w:val="center"/>
          </w:tcPr>
          <w:p w14:paraId="44B3AC5F" w14:textId="77777777" w:rsidR="00F451F1" w:rsidRDefault="00000000">
            <w:pPr>
              <w:autoSpaceDE w:val="0"/>
              <w:autoSpaceDN w:val="0"/>
              <w:adjustRightInd w:val="0"/>
              <w:rPr>
                <w:rFonts w:ascii="Times New Roman" w:hAnsi="Times New Roman"/>
                <w:sz w:val="20"/>
                <w:szCs w:val="21"/>
              </w:rPr>
            </w:pPr>
            <w:r>
              <w:rPr>
                <w:rFonts w:ascii="Times New Roman" w:hAnsi="Times New Roman" w:hint="eastAsia"/>
                <w:kern w:val="0"/>
                <w:sz w:val="20"/>
                <w:szCs w:val="21"/>
              </w:rPr>
              <w:t>《中华人民共和国兽药典》一部</w:t>
            </w:r>
          </w:p>
        </w:tc>
        <w:tc>
          <w:tcPr>
            <w:tcW w:w="1917" w:type="dxa"/>
            <w:tcBorders>
              <w:left w:val="single" w:sz="4" w:space="0" w:color="auto"/>
              <w:bottom w:val="single" w:sz="4" w:space="0" w:color="auto"/>
              <w:right w:val="single" w:sz="4" w:space="0" w:color="auto"/>
            </w:tcBorders>
            <w:vAlign w:val="center"/>
          </w:tcPr>
          <w:p w14:paraId="3BE8919A" w14:textId="77777777" w:rsidR="00F451F1" w:rsidRDefault="00000000">
            <w:pPr>
              <w:jc w:val="center"/>
              <w:rPr>
                <w:rFonts w:ascii="Times New Roman" w:hAnsi="Times New Roman"/>
                <w:sz w:val="20"/>
                <w:szCs w:val="21"/>
              </w:rPr>
            </w:pPr>
            <w:r>
              <w:rPr>
                <w:rFonts w:ascii="Times New Roman" w:hAnsi="Times New Roman" w:hint="eastAsia"/>
                <w:kern w:val="0"/>
                <w:sz w:val="20"/>
                <w:szCs w:val="21"/>
              </w:rPr>
              <w:t>液相色谱、紫外分光光度法、容量法</w:t>
            </w:r>
          </w:p>
        </w:tc>
        <w:tc>
          <w:tcPr>
            <w:tcW w:w="2167" w:type="dxa"/>
            <w:tcBorders>
              <w:left w:val="single" w:sz="4" w:space="0" w:color="auto"/>
              <w:bottom w:val="single" w:sz="4" w:space="0" w:color="auto"/>
              <w:right w:val="single" w:sz="4" w:space="0" w:color="auto"/>
            </w:tcBorders>
          </w:tcPr>
          <w:p w14:paraId="642699A9" w14:textId="77777777" w:rsidR="00F451F1" w:rsidRDefault="00000000">
            <w:pPr>
              <w:jc w:val="center"/>
              <w:rPr>
                <w:rFonts w:ascii="Times New Roman" w:hAnsi="Times New Roman"/>
                <w:sz w:val="20"/>
                <w:szCs w:val="21"/>
              </w:rPr>
            </w:pPr>
            <w:r>
              <w:rPr>
                <w:rFonts w:ascii="Times New Roman" w:hAnsi="Times New Roman" w:hint="eastAsia"/>
                <w:sz w:val="20"/>
                <w:szCs w:val="21"/>
              </w:rPr>
              <w:t>甲醇：水（</w:t>
            </w:r>
            <w:r>
              <w:rPr>
                <w:rFonts w:ascii="Times New Roman" w:hAnsi="Times New Roman" w:hint="eastAsia"/>
                <w:sz w:val="20"/>
                <w:szCs w:val="21"/>
              </w:rPr>
              <w:t>4</w:t>
            </w:r>
            <w:r>
              <w:rPr>
                <w:rFonts w:ascii="Times New Roman" w:hAnsi="Times New Roman"/>
                <w:sz w:val="20"/>
                <w:szCs w:val="21"/>
              </w:rPr>
              <w:t>0</w:t>
            </w:r>
            <w:r>
              <w:rPr>
                <w:rFonts w:ascii="Times New Roman" w:hAnsi="Times New Roman" w:hint="eastAsia"/>
                <w:sz w:val="20"/>
                <w:szCs w:val="21"/>
              </w:rPr>
              <w:t>:</w:t>
            </w:r>
            <w:r>
              <w:rPr>
                <w:rFonts w:ascii="Times New Roman" w:hAnsi="Times New Roman"/>
                <w:sz w:val="20"/>
                <w:szCs w:val="21"/>
              </w:rPr>
              <w:t>60</w:t>
            </w:r>
            <w:r>
              <w:rPr>
                <w:rFonts w:ascii="Times New Roman" w:hAnsi="Times New Roman" w:hint="eastAsia"/>
                <w:sz w:val="20"/>
                <w:szCs w:val="21"/>
              </w:rPr>
              <w:t>）</w:t>
            </w:r>
          </w:p>
          <w:p w14:paraId="37E1C4A2" w14:textId="77777777" w:rsidR="00F451F1" w:rsidRDefault="00000000">
            <w:pPr>
              <w:jc w:val="center"/>
              <w:rPr>
                <w:rFonts w:ascii="Times New Roman" w:hAnsi="Times New Roman"/>
                <w:sz w:val="20"/>
                <w:szCs w:val="21"/>
              </w:rPr>
            </w:pPr>
            <w:r>
              <w:rPr>
                <w:rFonts w:ascii="Times New Roman" w:hAnsi="Times New Roman" w:hint="eastAsia"/>
                <w:sz w:val="20"/>
                <w:szCs w:val="21"/>
              </w:rPr>
              <w:t>检测波长</w:t>
            </w:r>
            <w:r>
              <w:rPr>
                <w:rFonts w:ascii="Times New Roman" w:hAnsi="Times New Roman" w:hint="eastAsia"/>
                <w:sz w:val="20"/>
                <w:szCs w:val="21"/>
              </w:rPr>
              <w:t>2</w:t>
            </w:r>
            <w:r>
              <w:rPr>
                <w:rFonts w:ascii="Times New Roman" w:hAnsi="Times New Roman"/>
                <w:sz w:val="20"/>
                <w:szCs w:val="21"/>
              </w:rPr>
              <w:t>41</w:t>
            </w:r>
          </w:p>
          <w:p w14:paraId="6B414554" w14:textId="77777777" w:rsidR="00F451F1" w:rsidRDefault="00F451F1">
            <w:pPr>
              <w:jc w:val="center"/>
              <w:rPr>
                <w:rFonts w:ascii="Times New Roman" w:hAnsi="Times New Roman"/>
                <w:sz w:val="20"/>
                <w:szCs w:val="21"/>
              </w:rPr>
            </w:pPr>
          </w:p>
        </w:tc>
        <w:tc>
          <w:tcPr>
            <w:tcW w:w="1162" w:type="dxa"/>
            <w:tcBorders>
              <w:left w:val="single" w:sz="4" w:space="0" w:color="auto"/>
              <w:bottom w:val="single" w:sz="4" w:space="0" w:color="auto"/>
              <w:right w:val="single" w:sz="12" w:space="0" w:color="auto"/>
            </w:tcBorders>
            <w:vAlign w:val="center"/>
          </w:tcPr>
          <w:p w14:paraId="420D967C" w14:textId="77777777" w:rsidR="00F451F1" w:rsidRDefault="00000000">
            <w:pPr>
              <w:jc w:val="center"/>
              <w:rPr>
                <w:rFonts w:ascii="Times New Roman" w:hAnsi="Times New Roman"/>
                <w:sz w:val="20"/>
                <w:szCs w:val="21"/>
              </w:rPr>
            </w:pPr>
            <w:r>
              <w:rPr>
                <w:rFonts w:ascii="Times New Roman" w:hAnsi="Times New Roman" w:hint="eastAsia"/>
                <w:kern w:val="0"/>
                <w:sz w:val="20"/>
                <w:szCs w:val="21"/>
              </w:rPr>
              <w:t>兽药</w:t>
            </w:r>
          </w:p>
        </w:tc>
      </w:tr>
      <w:tr w:rsidR="00F451F1" w14:paraId="5E1C6B8B" w14:textId="77777777">
        <w:trPr>
          <w:trHeight w:val="817"/>
        </w:trPr>
        <w:tc>
          <w:tcPr>
            <w:tcW w:w="3490" w:type="dxa"/>
            <w:tcBorders>
              <w:top w:val="single" w:sz="4" w:space="0" w:color="auto"/>
              <w:left w:val="single" w:sz="12" w:space="0" w:color="auto"/>
              <w:bottom w:val="single" w:sz="4" w:space="0" w:color="auto"/>
              <w:right w:val="single" w:sz="4" w:space="0" w:color="auto"/>
            </w:tcBorders>
            <w:vAlign w:val="center"/>
          </w:tcPr>
          <w:p w14:paraId="6E67D15C" w14:textId="77777777" w:rsidR="00F451F1" w:rsidRDefault="00000000">
            <w:pPr>
              <w:autoSpaceDE w:val="0"/>
              <w:autoSpaceDN w:val="0"/>
              <w:adjustRightInd w:val="0"/>
              <w:rPr>
                <w:rFonts w:ascii="Times New Roman" w:hAnsi="Times New Roman"/>
                <w:kern w:val="0"/>
                <w:sz w:val="20"/>
                <w:szCs w:val="21"/>
              </w:rPr>
            </w:pPr>
            <w:r>
              <w:rPr>
                <w:rFonts w:ascii="Times New Roman" w:hAnsi="Times New Roman"/>
                <w:kern w:val="0"/>
                <w:sz w:val="20"/>
                <w:szCs w:val="21"/>
              </w:rPr>
              <w:t xml:space="preserve">BJS 201713 </w:t>
            </w:r>
            <w:r>
              <w:rPr>
                <w:rFonts w:ascii="Times New Roman" w:hAnsi="Times New Roman" w:hint="eastAsia"/>
                <w:kern w:val="0"/>
                <w:sz w:val="20"/>
                <w:szCs w:val="21"/>
              </w:rPr>
              <w:t>饮料、茶叶及相关制品中对乙酰氨基</w:t>
            </w:r>
            <w:proofErr w:type="gramStart"/>
            <w:r>
              <w:rPr>
                <w:rFonts w:ascii="Times New Roman" w:hAnsi="Times New Roman" w:hint="eastAsia"/>
                <w:kern w:val="0"/>
                <w:sz w:val="20"/>
                <w:szCs w:val="21"/>
              </w:rPr>
              <w:t>酚</w:t>
            </w:r>
            <w:proofErr w:type="gramEnd"/>
            <w:r>
              <w:rPr>
                <w:rFonts w:ascii="Times New Roman" w:hAnsi="Times New Roman" w:hint="eastAsia"/>
                <w:kern w:val="0"/>
                <w:sz w:val="20"/>
                <w:szCs w:val="21"/>
              </w:rPr>
              <w:t>等</w:t>
            </w:r>
            <w:r>
              <w:rPr>
                <w:rFonts w:ascii="Times New Roman" w:hAnsi="Times New Roman" w:hint="eastAsia"/>
                <w:kern w:val="0"/>
                <w:sz w:val="20"/>
                <w:szCs w:val="21"/>
              </w:rPr>
              <w:t xml:space="preserve">59 </w:t>
            </w:r>
            <w:r>
              <w:rPr>
                <w:rFonts w:ascii="Times New Roman" w:hAnsi="Times New Roman" w:hint="eastAsia"/>
                <w:kern w:val="0"/>
                <w:sz w:val="20"/>
                <w:szCs w:val="21"/>
              </w:rPr>
              <w:t>种化合物的测定</w:t>
            </w:r>
          </w:p>
        </w:tc>
        <w:tc>
          <w:tcPr>
            <w:tcW w:w="1917" w:type="dxa"/>
            <w:tcBorders>
              <w:top w:val="single" w:sz="4" w:space="0" w:color="auto"/>
              <w:left w:val="single" w:sz="4" w:space="0" w:color="auto"/>
              <w:bottom w:val="single" w:sz="4" w:space="0" w:color="auto"/>
              <w:right w:val="single" w:sz="4" w:space="0" w:color="auto"/>
            </w:tcBorders>
            <w:vAlign w:val="center"/>
          </w:tcPr>
          <w:p w14:paraId="1FD79D73" w14:textId="77777777" w:rsidR="00F451F1" w:rsidRDefault="00000000">
            <w:pPr>
              <w:jc w:val="center"/>
              <w:rPr>
                <w:rFonts w:ascii="Times New Roman" w:hAnsi="Times New Roman"/>
                <w:sz w:val="20"/>
                <w:szCs w:val="21"/>
              </w:rPr>
            </w:pPr>
            <w:r>
              <w:rPr>
                <w:rFonts w:ascii="Times New Roman" w:hAnsi="Times New Roman" w:hint="eastAsia"/>
                <w:sz w:val="20"/>
                <w:szCs w:val="21"/>
              </w:rPr>
              <w:t>液相色谱</w:t>
            </w:r>
            <w:r>
              <w:rPr>
                <w:rFonts w:ascii="Times New Roman" w:hAnsi="Times New Roman" w:hint="eastAsia"/>
                <w:sz w:val="20"/>
                <w:szCs w:val="21"/>
              </w:rPr>
              <w:t>-</w:t>
            </w:r>
            <w:r>
              <w:rPr>
                <w:rFonts w:ascii="Times New Roman" w:hAnsi="Times New Roman" w:hint="eastAsia"/>
                <w:sz w:val="20"/>
                <w:szCs w:val="21"/>
              </w:rPr>
              <w:t>串联质谱法</w:t>
            </w:r>
          </w:p>
        </w:tc>
        <w:tc>
          <w:tcPr>
            <w:tcW w:w="2167" w:type="dxa"/>
            <w:tcBorders>
              <w:top w:val="single" w:sz="4" w:space="0" w:color="auto"/>
              <w:left w:val="single" w:sz="4" w:space="0" w:color="auto"/>
              <w:bottom w:val="single" w:sz="4" w:space="0" w:color="auto"/>
              <w:right w:val="single" w:sz="4" w:space="0" w:color="auto"/>
            </w:tcBorders>
          </w:tcPr>
          <w:p w14:paraId="2DC01554" w14:textId="77777777" w:rsidR="00F451F1" w:rsidRDefault="00000000">
            <w:pPr>
              <w:jc w:val="center"/>
              <w:rPr>
                <w:rFonts w:ascii="Times New Roman" w:hAnsi="Times New Roman"/>
                <w:sz w:val="20"/>
                <w:szCs w:val="21"/>
              </w:rPr>
            </w:pPr>
            <w:r>
              <w:rPr>
                <w:rFonts w:ascii="Times New Roman" w:hAnsi="Times New Roman" w:hint="eastAsia"/>
                <w:kern w:val="0"/>
                <w:sz w:val="20"/>
                <w:szCs w:val="21"/>
              </w:rPr>
              <w:t>甲醇或</w:t>
            </w:r>
            <w:r>
              <w:rPr>
                <w:rFonts w:ascii="Times New Roman" w:hAnsi="Times New Roman" w:hint="eastAsia"/>
                <w:kern w:val="0"/>
                <w:sz w:val="20"/>
                <w:szCs w:val="21"/>
              </w:rPr>
              <w:t>0</w:t>
            </w:r>
            <w:r>
              <w:rPr>
                <w:rFonts w:ascii="Times New Roman" w:hAnsi="Times New Roman"/>
                <w:kern w:val="0"/>
                <w:sz w:val="20"/>
                <w:szCs w:val="21"/>
              </w:rPr>
              <w:t>.1</w:t>
            </w:r>
            <w:r>
              <w:rPr>
                <w:rFonts w:ascii="Times New Roman" w:hAnsi="Times New Roman" w:hint="eastAsia"/>
                <w:kern w:val="0"/>
                <w:sz w:val="20"/>
                <w:szCs w:val="21"/>
              </w:rPr>
              <w:t>%</w:t>
            </w:r>
            <w:r>
              <w:rPr>
                <w:rFonts w:ascii="Times New Roman" w:hAnsi="Times New Roman" w:hint="eastAsia"/>
                <w:kern w:val="0"/>
                <w:sz w:val="20"/>
                <w:szCs w:val="21"/>
              </w:rPr>
              <w:t>甲酸甲醇提取</w:t>
            </w:r>
          </w:p>
          <w:p w14:paraId="3CFEF51B" w14:textId="77777777" w:rsidR="00F451F1" w:rsidRDefault="00000000">
            <w:pPr>
              <w:jc w:val="center"/>
              <w:rPr>
                <w:rFonts w:ascii="Times New Roman" w:hAnsi="Times New Roman"/>
                <w:kern w:val="0"/>
                <w:sz w:val="20"/>
                <w:szCs w:val="21"/>
              </w:rPr>
            </w:pPr>
            <w:r>
              <w:rPr>
                <w:rFonts w:ascii="Times New Roman" w:hAnsi="Times New Roman" w:hint="eastAsia"/>
                <w:sz w:val="20"/>
                <w:szCs w:val="21"/>
              </w:rPr>
              <w:t>流动相：</w:t>
            </w:r>
            <w:r>
              <w:rPr>
                <w:rFonts w:ascii="Times New Roman" w:hAnsi="Times New Roman" w:hint="eastAsia"/>
                <w:sz w:val="20"/>
                <w:szCs w:val="21"/>
              </w:rPr>
              <w:t xml:space="preserve">5 mmol/L </w:t>
            </w:r>
            <w:r>
              <w:rPr>
                <w:rFonts w:ascii="Times New Roman" w:hAnsi="Times New Roman" w:hint="eastAsia"/>
                <w:sz w:val="20"/>
                <w:szCs w:val="21"/>
              </w:rPr>
              <w:t>甲酸</w:t>
            </w:r>
            <w:proofErr w:type="gramStart"/>
            <w:r>
              <w:rPr>
                <w:rFonts w:ascii="Times New Roman" w:hAnsi="Times New Roman" w:hint="eastAsia"/>
                <w:sz w:val="20"/>
                <w:szCs w:val="21"/>
              </w:rPr>
              <w:t>铵</w:t>
            </w:r>
            <w:proofErr w:type="gramEnd"/>
            <w:r>
              <w:rPr>
                <w:rFonts w:ascii="Times New Roman" w:hAnsi="Times New Roman" w:hint="eastAsia"/>
                <w:sz w:val="20"/>
                <w:szCs w:val="21"/>
              </w:rPr>
              <w:t>溶液（含</w:t>
            </w:r>
            <w:r>
              <w:rPr>
                <w:rFonts w:ascii="Times New Roman" w:hAnsi="Times New Roman" w:hint="eastAsia"/>
                <w:sz w:val="20"/>
                <w:szCs w:val="21"/>
              </w:rPr>
              <w:t xml:space="preserve"> 0.1%</w:t>
            </w:r>
            <w:r>
              <w:rPr>
                <w:rFonts w:ascii="Times New Roman" w:hAnsi="Times New Roman" w:hint="eastAsia"/>
                <w:sz w:val="20"/>
                <w:szCs w:val="21"/>
              </w:rPr>
              <w:t>的甲酸）</w:t>
            </w:r>
            <w:r>
              <w:rPr>
                <w:rFonts w:ascii="Times New Roman" w:hAnsi="Times New Roman" w:hint="eastAsia"/>
                <w:sz w:val="20"/>
                <w:szCs w:val="21"/>
              </w:rPr>
              <w:t>- 0.1%</w:t>
            </w:r>
            <w:r>
              <w:rPr>
                <w:rFonts w:ascii="Times New Roman" w:hAnsi="Times New Roman" w:hint="eastAsia"/>
                <w:sz w:val="20"/>
                <w:szCs w:val="21"/>
              </w:rPr>
              <w:t>甲酸乙腈，梯度</w:t>
            </w:r>
          </w:p>
        </w:tc>
        <w:tc>
          <w:tcPr>
            <w:tcW w:w="1162" w:type="dxa"/>
            <w:tcBorders>
              <w:top w:val="single" w:sz="4" w:space="0" w:color="auto"/>
              <w:left w:val="single" w:sz="4" w:space="0" w:color="auto"/>
              <w:bottom w:val="single" w:sz="4" w:space="0" w:color="auto"/>
              <w:right w:val="single" w:sz="12" w:space="0" w:color="auto"/>
            </w:tcBorders>
            <w:vAlign w:val="center"/>
          </w:tcPr>
          <w:p w14:paraId="1C0DF27D"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饮料、茶叶及相关</w:t>
            </w:r>
            <w:r>
              <w:rPr>
                <w:rFonts w:ascii="Times New Roman" w:hAnsi="Times New Roman" w:hint="eastAsia"/>
                <w:kern w:val="0"/>
                <w:sz w:val="20"/>
                <w:szCs w:val="21"/>
              </w:rPr>
              <w:t xml:space="preserve"> </w:t>
            </w:r>
            <w:r>
              <w:rPr>
                <w:rFonts w:ascii="Times New Roman" w:hAnsi="Times New Roman" w:hint="eastAsia"/>
                <w:kern w:val="0"/>
                <w:sz w:val="20"/>
                <w:szCs w:val="21"/>
              </w:rPr>
              <w:t>制品</w:t>
            </w:r>
          </w:p>
        </w:tc>
      </w:tr>
      <w:tr w:rsidR="00F451F1" w14:paraId="47A206DC" w14:textId="77777777">
        <w:trPr>
          <w:trHeight w:val="609"/>
        </w:trPr>
        <w:tc>
          <w:tcPr>
            <w:tcW w:w="3490" w:type="dxa"/>
            <w:tcBorders>
              <w:top w:val="single" w:sz="4" w:space="0" w:color="auto"/>
              <w:left w:val="single" w:sz="12" w:space="0" w:color="auto"/>
              <w:bottom w:val="single" w:sz="4" w:space="0" w:color="auto"/>
              <w:right w:val="single" w:sz="4" w:space="0" w:color="auto"/>
            </w:tcBorders>
            <w:vAlign w:val="center"/>
          </w:tcPr>
          <w:p w14:paraId="03568DF0" w14:textId="77777777" w:rsidR="00F451F1" w:rsidRDefault="00000000">
            <w:pPr>
              <w:autoSpaceDE w:val="0"/>
              <w:autoSpaceDN w:val="0"/>
              <w:adjustRightInd w:val="0"/>
              <w:rPr>
                <w:rFonts w:ascii="Times New Roman" w:hAnsi="Times New Roman"/>
                <w:kern w:val="0"/>
                <w:sz w:val="20"/>
                <w:szCs w:val="21"/>
              </w:rPr>
            </w:pPr>
            <w:r>
              <w:rPr>
                <w:rFonts w:ascii="Times New Roman" w:hAnsi="Times New Roman" w:hint="eastAsia"/>
                <w:kern w:val="0"/>
                <w:sz w:val="20"/>
                <w:szCs w:val="21"/>
              </w:rPr>
              <w:t>D</w:t>
            </w:r>
            <w:r>
              <w:rPr>
                <w:rFonts w:ascii="Times New Roman" w:hAnsi="Times New Roman"/>
                <w:kern w:val="0"/>
                <w:sz w:val="20"/>
                <w:szCs w:val="21"/>
              </w:rPr>
              <w:t xml:space="preserve">B65/T 3951-2016 </w:t>
            </w:r>
            <w:r>
              <w:rPr>
                <w:rFonts w:ascii="Times New Roman" w:hAnsi="Times New Roman" w:hint="eastAsia"/>
                <w:kern w:val="0"/>
                <w:sz w:val="20"/>
                <w:szCs w:val="21"/>
              </w:rPr>
              <w:t>水质多种药物残留的测定</w:t>
            </w:r>
            <w:r>
              <w:rPr>
                <w:rFonts w:ascii="Times New Roman" w:hAnsi="Times New Roman" w:hint="eastAsia"/>
                <w:kern w:val="0"/>
                <w:sz w:val="20"/>
                <w:szCs w:val="21"/>
              </w:rPr>
              <w:t xml:space="preserve"> </w:t>
            </w:r>
            <w:r>
              <w:rPr>
                <w:rFonts w:ascii="Times New Roman" w:hAnsi="Times New Roman" w:hint="eastAsia"/>
                <w:kern w:val="0"/>
                <w:sz w:val="20"/>
                <w:szCs w:val="21"/>
              </w:rPr>
              <w:t>液相色谱串联质谱法</w:t>
            </w:r>
          </w:p>
        </w:tc>
        <w:tc>
          <w:tcPr>
            <w:tcW w:w="1917" w:type="dxa"/>
            <w:tcBorders>
              <w:top w:val="single" w:sz="4" w:space="0" w:color="auto"/>
              <w:left w:val="single" w:sz="4" w:space="0" w:color="auto"/>
              <w:bottom w:val="single" w:sz="4" w:space="0" w:color="auto"/>
              <w:right w:val="single" w:sz="4" w:space="0" w:color="auto"/>
            </w:tcBorders>
            <w:vAlign w:val="center"/>
          </w:tcPr>
          <w:p w14:paraId="2A8FECE2" w14:textId="77777777" w:rsidR="00F451F1" w:rsidRDefault="00000000">
            <w:pPr>
              <w:jc w:val="center"/>
              <w:rPr>
                <w:rFonts w:ascii="Times New Roman" w:hAnsi="Times New Roman"/>
                <w:sz w:val="20"/>
                <w:szCs w:val="21"/>
              </w:rPr>
            </w:pPr>
            <w:r>
              <w:rPr>
                <w:rFonts w:ascii="Times New Roman" w:hAnsi="Times New Roman" w:hint="eastAsia"/>
                <w:sz w:val="20"/>
                <w:szCs w:val="21"/>
              </w:rPr>
              <w:t>液相色谱</w:t>
            </w:r>
            <w:r>
              <w:rPr>
                <w:rFonts w:ascii="Times New Roman" w:hAnsi="Times New Roman" w:hint="eastAsia"/>
                <w:sz w:val="20"/>
                <w:szCs w:val="21"/>
              </w:rPr>
              <w:t>-</w:t>
            </w:r>
            <w:r>
              <w:rPr>
                <w:rFonts w:ascii="Times New Roman" w:hAnsi="Times New Roman" w:hint="eastAsia"/>
                <w:sz w:val="20"/>
                <w:szCs w:val="21"/>
              </w:rPr>
              <w:t>串联质谱法</w:t>
            </w:r>
          </w:p>
        </w:tc>
        <w:tc>
          <w:tcPr>
            <w:tcW w:w="2167" w:type="dxa"/>
            <w:tcBorders>
              <w:top w:val="single" w:sz="4" w:space="0" w:color="auto"/>
              <w:left w:val="single" w:sz="4" w:space="0" w:color="auto"/>
              <w:bottom w:val="single" w:sz="4" w:space="0" w:color="auto"/>
              <w:right w:val="single" w:sz="4" w:space="0" w:color="auto"/>
            </w:tcBorders>
          </w:tcPr>
          <w:p w14:paraId="6E7F5285"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流动相：乙腈</w:t>
            </w:r>
            <w:r>
              <w:rPr>
                <w:rFonts w:ascii="Times New Roman" w:hAnsi="Times New Roman" w:hint="eastAsia"/>
                <w:kern w:val="0"/>
                <w:sz w:val="20"/>
                <w:szCs w:val="21"/>
              </w:rPr>
              <w:t>-</w:t>
            </w:r>
            <w:r>
              <w:rPr>
                <w:rFonts w:ascii="Times New Roman" w:hAnsi="Times New Roman"/>
                <w:kern w:val="0"/>
                <w:sz w:val="20"/>
                <w:szCs w:val="21"/>
              </w:rPr>
              <w:t xml:space="preserve">2 </w:t>
            </w:r>
            <w:r>
              <w:rPr>
                <w:rFonts w:ascii="Times New Roman" w:hAnsi="Times New Roman" w:hint="eastAsia"/>
                <w:kern w:val="0"/>
                <w:sz w:val="20"/>
                <w:szCs w:val="21"/>
              </w:rPr>
              <w:t>m</w:t>
            </w:r>
            <w:r>
              <w:rPr>
                <w:rFonts w:ascii="Times New Roman" w:hAnsi="Times New Roman"/>
                <w:kern w:val="0"/>
                <w:sz w:val="20"/>
                <w:szCs w:val="21"/>
              </w:rPr>
              <w:t>M</w:t>
            </w:r>
            <w:r>
              <w:rPr>
                <w:rFonts w:ascii="Times New Roman" w:hAnsi="Times New Roman" w:hint="eastAsia"/>
                <w:kern w:val="0"/>
                <w:sz w:val="20"/>
                <w:szCs w:val="21"/>
              </w:rPr>
              <w:t>乙酸铵（</w:t>
            </w:r>
            <w:r>
              <w:rPr>
                <w:rFonts w:ascii="Times New Roman" w:hAnsi="Times New Roman" w:hint="eastAsia"/>
                <w:kern w:val="0"/>
                <w:sz w:val="20"/>
                <w:szCs w:val="21"/>
              </w:rPr>
              <w:t>p</w:t>
            </w:r>
            <w:r>
              <w:rPr>
                <w:rFonts w:ascii="Times New Roman" w:hAnsi="Times New Roman"/>
                <w:kern w:val="0"/>
                <w:sz w:val="20"/>
                <w:szCs w:val="21"/>
              </w:rPr>
              <w:t>H3.2</w:t>
            </w:r>
            <w:r>
              <w:rPr>
                <w:rFonts w:ascii="Times New Roman" w:hAnsi="Times New Roman" w:hint="eastAsia"/>
                <w:kern w:val="0"/>
                <w:sz w:val="20"/>
                <w:szCs w:val="21"/>
              </w:rPr>
              <w:t>）</w:t>
            </w:r>
          </w:p>
        </w:tc>
        <w:tc>
          <w:tcPr>
            <w:tcW w:w="1162" w:type="dxa"/>
            <w:tcBorders>
              <w:top w:val="single" w:sz="4" w:space="0" w:color="auto"/>
              <w:left w:val="single" w:sz="4" w:space="0" w:color="auto"/>
              <w:bottom w:val="single" w:sz="4" w:space="0" w:color="auto"/>
              <w:right w:val="single" w:sz="12" w:space="0" w:color="auto"/>
            </w:tcBorders>
            <w:vAlign w:val="center"/>
          </w:tcPr>
          <w:p w14:paraId="258DAFE7"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水</w:t>
            </w:r>
          </w:p>
        </w:tc>
      </w:tr>
      <w:tr w:rsidR="00F451F1" w14:paraId="6F5DCD51" w14:textId="77777777">
        <w:trPr>
          <w:trHeight w:val="731"/>
        </w:trPr>
        <w:tc>
          <w:tcPr>
            <w:tcW w:w="3490" w:type="dxa"/>
            <w:tcBorders>
              <w:top w:val="single" w:sz="4" w:space="0" w:color="auto"/>
              <w:left w:val="single" w:sz="12" w:space="0" w:color="auto"/>
              <w:bottom w:val="single" w:sz="4" w:space="0" w:color="auto"/>
              <w:right w:val="single" w:sz="4" w:space="0" w:color="auto"/>
            </w:tcBorders>
            <w:vAlign w:val="center"/>
          </w:tcPr>
          <w:p w14:paraId="2DEE0CE0" w14:textId="77777777" w:rsidR="00F451F1" w:rsidRDefault="00000000">
            <w:pPr>
              <w:autoSpaceDE w:val="0"/>
              <w:autoSpaceDN w:val="0"/>
              <w:adjustRightInd w:val="0"/>
              <w:rPr>
                <w:rFonts w:ascii="Times New Roman" w:hAnsi="Times New Roman"/>
                <w:kern w:val="0"/>
                <w:sz w:val="20"/>
                <w:szCs w:val="21"/>
              </w:rPr>
            </w:pPr>
            <w:r>
              <w:rPr>
                <w:rFonts w:ascii="Times New Roman" w:hAnsi="Times New Roman" w:hint="eastAsia"/>
                <w:kern w:val="0"/>
                <w:sz w:val="20"/>
                <w:szCs w:val="21"/>
              </w:rPr>
              <w:t>G</w:t>
            </w:r>
            <w:r>
              <w:rPr>
                <w:rFonts w:ascii="Times New Roman" w:hAnsi="Times New Roman"/>
                <w:kern w:val="0"/>
                <w:sz w:val="20"/>
                <w:szCs w:val="21"/>
              </w:rPr>
              <w:t xml:space="preserve">B/T  20747-2006 </w:t>
            </w:r>
            <w:r>
              <w:rPr>
                <w:rFonts w:ascii="Times New Roman" w:hAnsi="Times New Roman" w:hint="eastAsia"/>
                <w:kern w:val="0"/>
                <w:sz w:val="20"/>
                <w:szCs w:val="21"/>
              </w:rPr>
              <w:t>牛和猪肌肉中安乃近代谢物残留量的测定</w:t>
            </w:r>
            <w:r>
              <w:rPr>
                <w:rFonts w:ascii="Times New Roman" w:hAnsi="Times New Roman" w:hint="eastAsia"/>
                <w:kern w:val="0"/>
                <w:sz w:val="20"/>
                <w:szCs w:val="21"/>
              </w:rPr>
              <w:t xml:space="preserve"> </w:t>
            </w:r>
            <w:r>
              <w:rPr>
                <w:rFonts w:ascii="Times New Roman" w:hAnsi="Times New Roman" w:hint="eastAsia"/>
                <w:kern w:val="0"/>
                <w:sz w:val="20"/>
                <w:szCs w:val="21"/>
              </w:rPr>
              <w:t>液相色谱</w:t>
            </w:r>
            <w:r>
              <w:rPr>
                <w:rFonts w:ascii="Times New Roman" w:hAnsi="Times New Roman" w:hint="eastAsia"/>
                <w:kern w:val="0"/>
                <w:sz w:val="20"/>
                <w:szCs w:val="21"/>
              </w:rPr>
              <w:t>-</w:t>
            </w:r>
            <w:r>
              <w:rPr>
                <w:rFonts w:ascii="Times New Roman" w:hAnsi="Times New Roman" w:hint="eastAsia"/>
                <w:kern w:val="0"/>
                <w:sz w:val="20"/>
                <w:szCs w:val="21"/>
              </w:rPr>
              <w:t>紫外检测法和液相色谱</w:t>
            </w:r>
            <w:r>
              <w:rPr>
                <w:rFonts w:ascii="Times New Roman" w:hAnsi="Times New Roman" w:hint="eastAsia"/>
                <w:kern w:val="0"/>
                <w:sz w:val="20"/>
                <w:szCs w:val="21"/>
              </w:rPr>
              <w:t>-</w:t>
            </w:r>
            <w:r>
              <w:rPr>
                <w:rFonts w:ascii="Times New Roman" w:hAnsi="Times New Roman" w:hint="eastAsia"/>
                <w:kern w:val="0"/>
                <w:sz w:val="20"/>
                <w:szCs w:val="21"/>
              </w:rPr>
              <w:t>串联质谱法</w:t>
            </w:r>
          </w:p>
        </w:tc>
        <w:tc>
          <w:tcPr>
            <w:tcW w:w="1917" w:type="dxa"/>
            <w:tcBorders>
              <w:top w:val="single" w:sz="4" w:space="0" w:color="auto"/>
              <w:left w:val="single" w:sz="4" w:space="0" w:color="auto"/>
              <w:bottom w:val="single" w:sz="4" w:space="0" w:color="auto"/>
              <w:right w:val="single" w:sz="4" w:space="0" w:color="auto"/>
            </w:tcBorders>
            <w:vAlign w:val="center"/>
          </w:tcPr>
          <w:p w14:paraId="2070B6E2" w14:textId="77777777" w:rsidR="00F451F1" w:rsidRDefault="00000000">
            <w:pPr>
              <w:jc w:val="center"/>
              <w:rPr>
                <w:rFonts w:ascii="Times New Roman" w:hAnsi="Times New Roman"/>
                <w:sz w:val="20"/>
                <w:szCs w:val="21"/>
              </w:rPr>
            </w:pPr>
            <w:r>
              <w:rPr>
                <w:rFonts w:ascii="Times New Roman" w:hAnsi="Times New Roman" w:hint="eastAsia"/>
                <w:kern w:val="0"/>
                <w:sz w:val="20"/>
                <w:szCs w:val="21"/>
              </w:rPr>
              <w:t>液相色谱、液相色谱</w:t>
            </w:r>
            <w:r>
              <w:rPr>
                <w:rFonts w:ascii="Times New Roman" w:hAnsi="Times New Roman" w:hint="eastAsia"/>
                <w:kern w:val="0"/>
                <w:sz w:val="20"/>
                <w:szCs w:val="21"/>
              </w:rPr>
              <w:t>-</w:t>
            </w:r>
            <w:r>
              <w:rPr>
                <w:rFonts w:ascii="Times New Roman" w:hAnsi="Times New Roman" w:hint="eastAsia"/>
                <w:kern w:val="0"/>
                <w:sz w:val="20"/>
                <w:szCs w:val="21"/>
              </w:rPr>
              <w:t>串联质谱法</w:t>
            </w:r>
          </w:p>
        </w:tc>
        <w:tc>
          <w:tcPr>
            <w:tcW w:w="2167" w:type="dxa"/>
            <w:tcBorders>
              <w:top w:val="single" w:sz="4" w:space="0" w:color="auto"/>
              <w:left w:val="single" w:sz="4" w:space="0" w:color="auto"/>
              <w:bottom w:val="single" w:sz="4" w:space="0" w:color="auto"/>
              <w:right w:val="single" w:sz="4" w:space="0" w:color="auto"/>
            </w:tcBorders>
          </w:tcPr>
          <w:p w14:paraId="1F24B6D9"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硫酸钠溶液提取</w:t>
            </w:r>
          </w:p>
          <w:p w14:paraId="5E8765E4"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液相流动相：水</w:t>
            </w:r>
            <w:r>
              <w:rPr>
                <w:rFonts w:ascii="Times New Roman" w:hAnsi="Times New Roman" w:hint="eastAsia"/>
                <w:kern w:val="0"/>
                <w:sz w:val="20"/>
                <w:szCs w:val="21"/>
              </w:rPr>
              <w:t>-</w:t>
            </w:r>
            <w:r>
              <w:rPr>
                <w:rFonts w:ascii="Times New Roman" w:hAnsi="Times New Roman" w:hint="eastAsia"/>
                <w:kern w:val="0"/>
                <w:sz w:val="20"/>
                <w:szCs w:val="21"/>
              </w:rPr>
              <w:t>甲醇，梯度</w:t>
            </w:r>
          </w:p>
          <w:p w14:paraId="0B5CCB7A"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质谱流动相：</w:t>
            </w:r>
            <w:r>
              <w:rPr>
                <w:rFonts w:ascii="Times New Roman" w:hAnsi="Times New Roman" w:hint="eastAsia"/>
                <w:sz w:val="20"/>
                <w:szCs w:val="21"/>
              </w:rPr>
              <w:t xml:space="preserve">5 mmol/L </w:t>
            </w:r>
            <w:r>
              <w:rPr>
                <w:rFonts w:ascii="Times New Roman" w:hAnsi="Times New Roman" w:hint="eastAsia"/>
                <w:sz w:val="20"/>
                <w:szCs w:val="21"/>
              </w:rPr>
              <w:t>乙酸</w:t>
            </w:r>
            <w:proofErr w:type="gramStart"/>
            <w:r>
              <w:rPr>
                <w:rFonts w:ascii="Times New Roman" w:hAnsi="Times New Roman" w:hint="eastAsia"/>
                <w:sz w:val="20"/>
                <w:szCs w:val="21"/>
              </w:rPr>
              <w:t>铵</w:t>
            </w:r>
            <w:proofErr w:type="gramEnd"/>
            <w:r>
              <w:rPr>
                <w:rFonts w:ascii="Times New Roman" w:hAnsi="Times New Roman" w:hint="eastAsia"/>
                <w:sz w:val="20"/>
                <w:szCs w:val="21"/>
              </w:rPr>
              <w:t>溶液（</w:t>
            </w:r>
            <w:r>
              <w:rPr>
                <w:rFonts w:ascii="Times New Roman" w:hAnsi="Times New Roman" w:hint="eastAsia"/>
                <w:sz w:val="20"/>
                <w:szCs w:val="21"/>
              </w:rPr>
              <w:t>p</w:t>
            </w:r>
            <w:r>
              <w:rPr>
                <w:rFonts w:ascii="Times New Roman" w:hAnsi="Times New Roman"/>
                <w:sz w:val="20"/>
                <w:szCs w:val="21"/>
              </w:rPr>
              <w:t>H4.5</w:t>
            </w:r>
            <w:r>
              <w:rPr>
                <w:rFonts w:ascii="Times New Roman" w:hAnsi="Times New Roman" w:hint="eastAsia"/>
                <w:sz w:val="20"/>
                <w:szCs w:val="21"/>
              </w:rPr>
              <w:t>）</w:t>
            </w:r>
            <w:r>
              <w:rPr>
                <w:rFonts w:ascii="Times New Roman" w:hAnsi="Times New Roman" w:hint="eastAsia"/>
                <w:sz w:val="20"/>
                <w:szCs w:val="21"/>
              </w:rPr>
              <w:t>-</w:t>
            </w:r>
            <w:r>
              <w:rPr>
                <w:rFonts w:ascii="Times New Roman" w:hAnsi="Times New Roman" w:hint="eastAsia"/>
                <w:sz w:val="20"/>
                <w:szCs w:val="21"/>
              </w:rPr>
              <w:t>乙腈，梯度</w:t>
            </w:r>
          </w:p>
        </w:tc>
        <w:tc>
          <w:tcPr>
            <w:tcW w:w="1162" w:type="dxa"/>
            <w:tcBorders>
              <w:top w:val="single" w:sz="4" w:space="0" w:color="auto"/>
              <w:left w:val="single" w:sz="4" w:space="0" w:color="auto"/>
              <w:bottom w:val="single" w:sz="4" w:space="0" w:color="auto"/>
              <w:right w:val="single" w:sz="12" w:space="0" w:color="auto"/>
            </w:tcBorders>
            <w:vAlign w:val="center"/>
          </w:tcPr>
          <w:p w14:paraId="01F6AD2A"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牛和猪肌肉</w:t>
            </w:r>
          </w:p>
        </w:tc>
      </w:tr>
      <w:tr w:rsidR="00F451F1" w14:paraId="52B70232" w14:textId="77777777">
        <w:trPr>
          <w:trHeight w:val="595"/>
        </w:trPr>
        <w:tc>
          <w:tcPr>
            <w:tcW w:w="3490" w:type="dxa"/>
            <w:tcBorders>
              <w:top w:val="single" w:sz="4" w:space="0" w:color="auto"/>
              <w:left w:val="single" w:sz="12" w:space="0" w:color="auto"/>
              <w:bottom w:val="single" w:sz="4" w:space="0" w:color="auto"/>
              <w:right w:val="single" w:sz="4" w:space="0" w:color="auto"/>
            </w:tcBorders>
            <w:vAlign w:val="center"/>
          </w:tcPr>
          <w:p w14:paraId="7C9A8AF2" w14:textId="77777777" w:rsidR="00F451F1" w:rsidRDefault="00000000">
            <w:pPr>
              <w:autoSpaceDE w:val="0"/>
              <w:autoSpaceDN w:val="0"/>
              <w:adjustRightInd w:val="0"/>
              <w:rPr>
                <w:rFonts w:ascii="Times New Roman" w:hAnsi="Times New Roman"/>
                <w:kern w:val="0"/>
                <w:sz w:val="20"/>
                <w:szCs w:val="21"/>
              </w:rPr>
            </w:pPr>
            <w:r>
              <w:rPr>
                <w:rFonts w:ascii="Times New Roman" w:hAnsi="Times New Roman" w:hint="eastAsia"/>
                <w:kern w:val="0"/>
                <w:sz w:val="20"/>
                <w:szCs w:val="21"/>
              </w:rPr>
              <w:t>G</w:t>
            </w:r>
            <w:r>
              <w:rPr>
                <w:rFonts w:ascii="Times New Roman" w:hAnsi="Times New Roman"/>
                <w:kern w:val="0"/>
                <w:sz w:val="20"/>
                <w:szCs w:val="21"/>
              </w:rPr>
              <w:t xml:space="preserve">B/T 22971-2008 </w:t>
            </w:r>
            <w:r>
              <w:rPr>
                <w:rFonts w:ascii="Times New Roman" w:hAnsi="Times New Roman" w:hint="eastAsia"/>
                <w:kern w:val="0"/>
                <w:sz w:val="20"/>
                <w:szCs w:val="21"/>
              </w:rPr>
              <w:t>牛奶和奶粉中安乃近代谢物残留量的测定</w:t>
            </w:r>
            <w:r>
              <w:rPr>
                <w:rFonts w:ascii="Times New Roman" w:hAnsi="Times New Roman" w:hint="eastAsia"/>
                <w:kern w:val="0"/>
                <w:sz w:val="20"/>
                <w:szCs w:val="21"/>
              </w:rPr>
              <w:t xml:space="preserve"> </w:t>
            </w:r>
            <w:r>
              <w:rPr>
                <w:rFonts w:ascii="Times New Roman" w:hAnsi="Times New Roman" w:hint="eastAsia"/>
                <w:kern w:val="0"/>
                <w:sz w:val="20"/>
                <w:szCs w:val="21"/>
              </w:rPr>
              <w:t>液相色谱</w:t>
            </w:r>
            <w:r>
              <w:rPr>
                <w:rFonts w:ascii="Times New Roman" w:hAnsi="Times New Roman" w:hint="eastAsia"/>
                <w:kern w:val="0"/>
                <w:sz w:val="20"/>
                <w:szCs w:val="21"/>
              </w:rPr>
              <w:t>-</w:t>
            </w:r>
            <w:r>
              <w:rPr>
                <w:rFonts w:ascii="Times New Roman" w:hAnsi="Times New Roman" w:hint="eastAsia"/>
                <w:kern w:val="0"/>
                <w:sz w:val="20"/>
                <w:szCs w:val="21"/>
              </w:rPr>
              <w:t>串联质谱法</w:t>
            </w:r>
          </w:p>
        </w:tc>
        <w:tc>
          <w:tcPr>
            <w:tcW w:w="1917" w:type="dxa"/>
            <w:tcBorders>
              <w:top w:val="single" w:sz="4" w:space="0" w:color="auto"/>
              <w:left w:val="single" w:sz="4" w:space="0" w:color="auto"/>
              <w:bottom w:val="single" w:sz="4" w:space="0" w:color="auto"/>
              <w:right w:val="single" w:sz="4" w:space="0" w:color="auto"/>
            </w:tcBorders>
            <w:vAlign w:val="center"/>
          </w:tcPr>
          <w:p w14:paraId="4FD153AF" w14:textId="77777777" w:rsidR="00F451F1" w:rsidRDefault="00000000">
            <w:pPr>
              <w:jc w:val="center"/>
              <w:rPr>
                <w:rFonts w:ascii="Times New Roman" w:hAnsi="Times New Roman"/>
                <w:kern w:val="0"/>
                <w:sz w:val="20"/>
                <w:szCs w:val="21"/>
              </w:rPr>
            </w:pPr>
            <w:r>
              <w:rPr>
                <w:rFonts w:ascii="Times New Roman" w:hAnsi="Times New Roman" w:hint="eastAsia"/>
                <w:sz w:val="20"/>
                <w:szCs w:val="21"/>
              </w:rPr>
              <w:t>液相色谱</w:t>
            </w:r>
            <w:r>
              <w:rPr>
                <w:rFonts w:ascii="Times New Roman" w:hAnsi="Times New Roman" w:hint="eastAsia"/>
                <w:sz w:val="20"/>
                <w:szCs w:val="21"/>
              </w:rPr>
              <w:t>-</w:t>
            </w:r>
            <w:r>
              <w:rPr>
                <w:rFonts w:ascii="Times New Roman" w:hAnsi="Times New Roman" w:hint="eastAsia"/>
                <w:sz w:val="20"/>
                <w:szCs w:val="21"/>
              </w:rPr>
              <w:t>串联质谱法</w:t>
            </w:r>
          </w:p>
        </w:tc>
        <w:tc>
          <w:tcPr>
            <w:tcW w:w="2167" w:type="dxa"/>
            <w:tcBorders>
              <w:top w:val="single" w:sz="4" w:space="0" w:color="auto"/>
              <w:left w:val="single" w:sz="4" w:space="0" w:color="auto"/>
              <w:bottom w:val="single" w:sz="4" w:space="0" w:color="auto"/>
              <w:right w:val="single" w:sz="4" w:space="0" w:color="auto"/>
            </w:tcBorders>
          </w:tcPr>
          <w:p w14:paraId="2C843E76"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流动相：</w:t>
            </w:r>
            <w:r>
              <w:rPr>
                <w:rFonts w:ascii="Times New Roman" w:hAnsi="Times New Roman" w:hint="eastAsia"/>
                <w:sz w:val="20"/>
                <w:szCs w:val="21"/>
              </w:rPr>
              <w:t xml:space="preserve">5 mmol/L </w:t>
            </w:r>
            <w:r>
              <w:rPr>
                <w:rFonts w:ascii="Times New Roman" w:hAnsi="Times New Roman" w:hint="eastAsia"/>
                <w:sz w:val="20"/>
                <w:szCs w:val="21"/>
              </w:rPr>
              <w:t>乙酸</w:t>
            </w:r>
            <w:proofErr w:type="gramStart"/>
            <w:r>
              <w:rPr>
                <w:rFonts w:ascii="Times New Roman" w:hAnsi="Times New Roman" w:hint="eastAsia"/>
                <w:sz w:val="20"/>
                <w:szCs w:val="21"/>
              </w:rPr>
              <w:t>铵</w:t>
            </w:r>
            <w:proofErr w:type="gramEnd"/>
            <w:r>
              <w:rPr>
                <w:rFonts w:ascii="Times New Roman" w:hAnsi="Times New Roman" w:hint="eastAsia"/>
                <w:sz w:val="20"/>
                <w:szCs w:val="21"/>
              </w:rPr>
              <w:t>溶液（</w:t>
            </w:r>
            <w:r>
              <w:rPr>
                <w:rFonts w:ascii="Times New Roman" w:hAnsi="Times New Roman" w:hint="eastAsia"/>
                <w:sz w:val="20"/>
                <w:szCs w:val="21"/>
              </w:rPr>
              <w:t>p</w:t>
            </w:r>
            <w:r>
              <w:rPr>
                <w:rFonts w:ascii="Times New Roman" w:hAnsi="Times New Roman"/>
                <w:sz w:val="20"/>
                <w:szCs w:val="21"/>
              </w:rPr>
              <w:t>H3.0</w:t>
            </w:r>
            <w:r>
              <w:rPr>
                <w:rFonts w:ascii="Times New Roman" w:hAnsi="Times New Roman" w:hint="eastAsia"/>
                <w:sz w:val="20"/>
                <w:szCs w:val="21"/>
              </w:rPr>
              <w:t>）</w:t>
            </w:r>
            <w:r>
              <w:rPr>
                <w:rFonts w:ascii="Times New Roman" w:hAnsi="Times New Roman" w:hint="eastAsia"/>
                <w:sz w:val="20"/>
                <w:szCs w:val="21"/>
              </w:rPr>
              <w:t>-</w:t>
            </w:r>
            <w:r>
              <w:rPr>
                <w:rFonts w:ascii="Times New Roman" w:hAnsi="Times New Roman" w:hint="eastAsia"/>
                <w:sz w:val="20"/>
                <w:szCs w:val="21"/>
              </w:rPr>
              <w:t>甲醇，梯度</w:t>
            </w:r>
          </w:p>
        </w:tc>
        <w:tc>
          <w:tcPr>
            <w:tcW w:w="1162" w:type="dxa"/>
            <w:tcBorders>
              <w:top w:val="single" w:sz="4" w:space="0" w:color="auto"/>
              <w:left w:val="single" w:sz="4" w:space="0" w:color="auto"/>
              <w:bottom w:val="single" w:sz="4" w:space="0" w:color="auto"/>
              <w:right w:val="single" w:sz="12" w:space="0" w:color="auto"/>
            </w:tcBorders>
            <w:vAlign w:val="center"/>
          </w:tcPr>
          <w:p w14:paraId="685CFF32"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牛奶、奶粉</w:t>
            </w:r>
          </w:p>
        </w:tc>
      </w:tr>
      <w:tr w:rsidR="00F451F1" w14:paraId="46EF6A2C" w14:textId="77777777">
        <w:trPr>
          <w:trHeight w:val="625"/>
        </w:trPr>
        <w:tc>
          <w:tcPr>
            <w:tcW w:w="3490" w:type="dxa"/>
            <w:tcBorders>
              <w:top w:val="single" w:sz="4" w:space="0" w:color="auto"/>
              <w:left w:val="single" w:sz="12" w:space="0" w:color="auto"/>
              <w:bottom w:val="single" w:sz="4" w:space="0" w:color="auto"/>
              <w:right w:val="single" w:sz="4" w:space="0" w:color="auto"/>
            </w:tcBorders>
            <w:vAlign w:val="center"/>
          </w:tcPr>
          <w:p w14:paraId="51DC1A9E" w14:textId="77777777" w:rsidR="00F451F1" w:rsidRDefault="00000000">
            <w:pPr>
              <w:autoSpaceDE w:val="0"/>
              <w:autoSpaceDN w:val="0"/>
              <w:adjustRightInd w:val="0"/>
              <w:rPr>
                <w:rFonts w:ascii="Times New Roman" w:hAnsi="Times New Roman"/>
                <w:kern w:val="0"/>
                <w:sz w:val="20"/>
                <w:szCs w:val="21"/>
              </w:rPr>
            </w:pPr>
            <w:r>
              <w:rPr>
                <w:rFonts w:ascii="Times New Roman" w:hAnsi="Times New Roman" w:hint="eastAsia"/>
                <w:kern w:val="0"/>
                <w:sz w:val="20"/>
                <w:szCs w:val="21"/>
              </w:rPr>
              <w:t>农业农村部第</w:t>
            </w:r>
            <w:r>
              <w:rPr>
                <w:rFonts w:ascii="Times New Roman" w:hAnsi="Times New Roman" w:hint="eastAsia"/>
                <w:kern w:val="0"/>
                <w:sz w:val="20"/>
                <w:szCs w:val="21"/>
              </w:rPr>
              <w:t>2</w:t>
            </w:r>
            <w:r>
              <w:rPr>
                <w:rFonts w:ascii="Times New Roman" w:hAnsi="Times New Roman"/>
                <w:kern w:val="0"/>
                <w:sz w:val="20"/>
                <w:szCs w:val="21"/>
              </w:rPr>
              <w:t>333</w:t>
            </w:r>
            <w:r>
              <w:rPr>
                <w:rFonts w:ascii="Times New Roman" w:hAnsi="Times New Roman" w:hint="eastAsia"/>
                <w:kern w:val="0"/>
                <w:sz w:val="20"/>
                <w:szCs w:val="21"/>
              </w:rPr>
              <w:t>号公告</w:t>
            </w:r>
            <w:r>
              <w:rPr>
                <w:rFonts w:ascii="Times New Roman" w:hAnsi="Times New Roman" w:hint="eastAsia"/>
                <w:kern w:val="0"/>
                <w:sz w:val="20"/>
                <w:szCs w:val="21"/>
              </w:rPr>
              <w:t xml:space="preserve"> </w:t>
            </w:r>
            <w:r>
              <w:rPr>
                <w:rFonts w:ascii="Times New Roman" w:hAnsi="Times New Roman" w:hint="eastAsia"/>
                <w:kern w:val="0"/>
                <w:sz w:val="20"/>
                <w:szCs w:val="21"/>
              </w:rPr>
              <w:t>《扶正解毒散中非法添加茶碱、安乃近检查方法》、《黄连解毒散中非法添加对乙酰氨基酚、盐酸溴己新检查方法》</w:t>
            </w:r>
          </w:p>
        </w:tc>
        <w:tc>
          <w:tcPr>
            <w:tcW w:w="1917" w:type="dxa"/>
            <w:tcBorders>
              <w:top w:val="single" w:sz="4" w:space="0" w:color="auto"/>
              <w:left w:val="single" w:sz="4" w:space="0" w:color="auto"/>
              <w:bottom w:val="single" w:sz="4" w:space="0" w:color="auto"/>
              <w:right w:val="single" w:sz="4" w:space="0" w:color="auto"/>
            </w:tcBorders>
            <w:vAlign w:val="center"/>
          </w:tcPr>
          <w:p w14:paraId="03F6132B"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液相色谱</w:t>
            </w:r>
          </w:p>
        </w:tc>
        <w:tc>
          <w:tcPr>
            <w:tcW w:w="2167" w:type="dxa"/>
            <w:tcBorders>
              <w:top w:val="single" w:sz="4" w:space="0" w:color="auto"/>
              <w:left w:val="single" w:sz="4" w:space="0" w:color="auto"/>
              <w:bottom w:val="single" w:sz="4" w:space="0" w:color="auto"/>
              <w:right w:val="single" w:sz="4" w:space="0" w:color="auto"/>
            </w:tcBorders>
          </w:tcPr>
          <w:p w14:paraId="1249FE17" w14:textId="77777777" w:rsidR="00F451F1" w:rsidRDefault="00000000">
            <w:pPr>
              <w:jc w:val="center"/>
              <w:rPr>
                <w:rFonts w:ascii="Times New Roman" w:hAnsi="Times New Roman"/>
                <w:sz w:val="20"/>
                <w:szCs w:val="21"/>
              </w:rPr>
            </w:pPr>
            <w:r>
              <w:rPr>
                <w:rFonts w:ascii="Times New Roman" w:hAnsi="Times New Roman" w:hint="eastAsia"/>
                <w:kern w:val="0"/>
                <w:sz w:val="20"/>
                <w:szCs w:val="21"/>
              </w:rPr>
              <w:t>流动相：</w:t>
            </w:r>
            <w:r>
              <w:rPr>
                <w:rFonts w:ascii="Times New Roman" w:hAnsi="Times New Roman" w:hint="eastAsia"/>
                <w:sz w:val="20"/>
                <w:szCs w:val="21"/>
              </w:rPr>
              <w:t>磷酸二氢钠溶液（</w:t>
            </w:r>
            <w:r>
              <w:rPr>
                <w:rFonts w:ascii="Times New Roman" w:hAnsi="Times New Roman" w:hint="eastAsia"/>
                <w:sz w:val="20"/>
                <w:szCs w:val="21"/>
              </w:rPr>
              <w:t>p</w:t>
            </w:r>
            <w:r>
              <w:rPr>
                <w:rFonts w:ascii="Times New Roman" w:hAnsi="Times New Roman"/>
                <w:sz w:val="20"/>
                <w:szCs w:val="21"/>
              </w:rPr>
              <w:t>H7.0</w:t>
            </w:r>
            <w:r>
              <w:rPr>
                <w:rFonts w:ascii="Times New Roman" w:hAnsi="Times New Roman" w:hint="eastAsia"/>
                <w:sz w:val="20"/>
                <w:szCs w:val="21"/>
              </w:rPr>
              <w:t>）</w:t>
            </w:r>
            <w:r>
              <w:rPr>
                <w:rFonts w:ascii="Times New Roman" w:hAnsi="Times New Roman" w:hint="eastAsia"/>
                <w:sz w:val="20"/>
                <w:szCs w:val="21"/>
              </w:rPr>
              <w:t>-</w:t>
            </w:r>
            <w:r>
              <w:rPr>
                <w:rFonts w:ascii="Times New Roman" w:hAnsi="Times New Roman" w:hint="eastAsia"/>
                <w:sz w:val="20"/>
                <w:szCs w:val="21"/>
              </w:rPr>
              <w:t>甲醇（</w:t>
            </w:r>
            <w:r>
              <w:rPr>
                <w:rFonts w:ascii="Times New Roman" w:hAnsi="Times New Roman" w:hint="eastAsia"/>
                <w:sz w:val="20"/>
                <w:szCs w:val="21"/>
              </w:rPr>
              <w:t>7</w:t>
            </w:r>
            <w:r>
              <w:rPr>
                <w:rFonts w:ascii="Times New Roman" w:hAnsi="Times New Roman"/>
                <w:sz w:val="20"/>
                <w:szCs w:val="21"/>
              </w:rPr>
              <w:t>0</w:t>
            </w:r>
            <w:r>
              <w:rPr>
                <w:rFonts w:ascii="Times New Roman" w:hAnsi="Times New Roman" w:hint="eastAsia"/>
                <w:sz w:val="20"/>
                <w:szCs w:val="21"/>
              </w:rPr>
              <w:t>:</w:t>
            </w:r>
            <w:r>
              <w:rPr>
                <w:rFonts w:ascii="Times New Roman" w:hAnsi="Times New Roman"/>
                <w:sz w:val="20"/>
                <w:szCs w:val="21"/>
              </w:rPr>
              <w:t>30</w:t>
            </w:r>
            <w:r>
              <w:rPr>
                <w:rFonts w:ascii="Times New Roman" w:hAnsi="Times New Roman" w:hint="eastAsia"/>
                <w:sz w:val="20"/>
                <w:szCs w:val="21"/>
              </w:rPr>
              <w:t>）</w:t>
            </w:r>
          </w:p>
          <w:p w14:paraId="3BA564F0" w14:textId="77777777" w:rsidR="00F451F1" w:rsidRDefault="00000000">
            <w:pPr>
              <w:jc w:val="center"/>
              <w:rPr>
                <w:rFonts w:ascii="Times New Roman" w:hAnsi="Times New Roman"/>
                <w:kern w:val="0"/>
                <w:sz w:val="20"/>
                <w:szCs w:val="21"/>
              </w:rPr>
            </w:pPr>
            <w:r>
              <w:rPr>
                <w:rFonts w:ascii="Times New Roman" w:hAnsi="Times New Roman" w:hint="eastAsia"/>
                <w:sz w:val="20"/>
                <w:szCs w:val="21"/>
              </w:rPr>
              <w:t>检测波长</w:t>
            </w:r>
            <w:r>
              <w:rPr>
                <w:rFonts w:ascii="Times New Roman" w:hAnsi="Times New Roman" w:hint="eastAsia"/>
                <w:sz w:val="20"/>
                <w:szCs w:val="21"/>
              </w:rPr>
              <w:t>2</w:t>
            </w:r>
            <w:r>
              <w:rPr>
                <w:rFonts w:ascii="Times New Roman" w:hAnsi="Times New Roman"/>
                <w:sz w:val="20"/>
                <w:szCs w:val="21"/>
              </w:rPr>
              <w:t>70</w:t>
            </w:r>
          </w:p>
        </w:tc>
        <w:tc>
          <w:tcPr>
            <w:tcW w:w="1162" w:type="dxa"/>
            <w:tcBorders>
              <w:top w:val="single" w:sz="4" w:space="0" w:color="auto"/>
              <w:left w:val="single" w:sz="4" w:space="0" w:color="auto"/>
              <w:bottom w:val="single" w:sz="4" w:space="0" w:color="auto"/>
              <w:right w:val="single" w:sz="12" w:space="0" w:color="auto"/>
            </w:tcBorders>
            <w:vAlign w:val="center"/>
          </w:tcPr>
          <w:p w14:paraId="531E27F3"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兽药</w:t>
            </w:r>
          </w:p>
        </w:tc>
      </w:tr>
      <w:tr w:rsidR="00F451F1" w14:paraId="0ABC97EE" w14:textId="77777777">
        <w:trPr>
          <w:trHeight w:val="625"/>
        </w:trPr>
        <w:tc>
          <w:tcPr>
            <w:tcW w:w="3490" w:type="dxa"/>
            <w:tcBorders>
              <w:top w:val="single" w:sz="4" w:space="0" w:color="auto"/>
              <w:left w:val="single" w:sz="12" w:space="0" w:color="auto"/>
              <w:bottom w:val="single" w:sz="4" w:space="0" w:color="auto"/>
              <w:right w:val="single" w:sz="4" w:space="0" w:color="auto"/>
            </w:tcBorders>
            <w:vAlign w:val="center"/>
          </w:tcPr>
          <w:p w14:paraId="69C8EC1B" w14:textId="77777777" w:rsidR="00F451F1" w:rsidRDefault="00000000">
            <w:pPr>
              <w:autoSpaceDE w:val="0"/>
              <w:autoSpaceDN w:val="0"/>
              <w:adjustRightInd w:val="0"/>
              <w:rPr>
                <w:rFonts w:ascii="Times New Roman" w:hAnsi="Times New Roman"/>
                <w:kern w:val="0"/>
                <w:sz w:val="20"/>
                <w:szCs w:val="21"/>
              </w:rPr>
            </w:pPr>
            <w:r>
              <w:rPr>
                <w:rFonts w:ascii="Times New Roman" w:hAnsi="Times New Roman" w:hint="eastAsia"/>
                <w:kern w:val="0"/>
                <w:sz w:val="20"/>
                <w:szCs w:val="21"/>
              </w:rPr>
              <w:t>农业农村部第</w:t>
            </w:r>
            <w:r>
              <w:rPr>
                <w:rFonts w:ascii="Times New Roman" w:hAnsi="Times New Roman" w:hint="eastAsia"/>
                <w:kern w:val="0"/>
                <w:sz w:val="20"/>
                <w:szCs w:val="21"/>
              </w:rPr>
              <w:t>2</w:t>
            </w:r>
            <w:r>
              <w:rPr>
                <w:rFonts w:ascii="Times New Roman" w:hAnsi="Times New Roman"/>
                <w:kern w:val="0"/>
                <w:sz w:val="20"/>
                <w:szCs w:val="21"/>
              </w:rPr>
              <w:t>448</w:t>
            </w:r>
            <w:r>
              <w:rPr>
                <w:rFonts w:ascii="Times New Roman" w:hAnsi="Times New Roman" w:hint="eastAsia"/>
                <w:kern w:val="0"/>
                <w:sz w:val="20"/>
                <w:szCs w:val="21"/>
              </w:rPr>
              <w:t>号公告《黄芪多糖注射液中非法添加解热镇痛类、抗病毒类、抗生素类、氟喹诺酮类等</w:t>
            </w:r>
            <w:r>
              <w:rPr>
                <w:rFonts w:ascii="Times New Roman" w:hAnsi="Times New Roman" w:hint="eastAsia"/>
                <w:kern w:val="0"/>
                <w:sz w:val="20"/>
                <w:szCs w:val="21"/>
              </w:rPr>
              <w:t>1</w:t>
            </w:r>
            <w:r>
              <w:rPr>
                <w:rFonts w:ascii="Times New Roman" w:hAnsi="Times New Roman"/>
                <w:kern w:val="0"/>
                <w:sz w:val="20"/>
                <w:szCs w:val="21"/>
              </w:rPr>
              <w:t>1</w:t>
            </w:r>
            <w:r>
              <w:rPr>
                <w:rFonts w:ascii="Times New Roman" w:hAnsi="Times New Roman" w:hint="eastAsia"/>
                <w:kern w:val="0"/>
                <w:sz w:val="20"/>
                <w:szCs w:val="21"/>
              </w:rPr>
              <w:t>种化学药物（物质）检查方法》、《阿莫西林可溶性粉中非法添加解热镇痛类药物检查方法》</w:t>
            </w:r>
          </w:p>
        </w:tc>
        <w:tc>
          <w:tcPr>
            <w:tcW w:w="1917" w:type="dxa"/>
            <w:tcBorders>
              <w:top w:val="single" w:sz="4" w:space="0" w:color="auto"/>
              <w:left w:val="single" w:sz="4" w:space="0" w:color="auto"/>
              <w:bottom w:val="single" w:sz="4" w:space="0" w:color="auto"/>
              <w:right w:val="single" w:sz="4" w:space="0" w:color="auto"/>
            </w:tcBorders>
            <w:vAlign w:val="center"/>
          </w:tcPr>
          <w:p w14:paraId="5C16A4A5"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液相色谱</w:t>
            </w:r>
          </w:p>
        </w:tc>
        <w:tc>
          <w:tcPr>
            <w:tcW w:w="2167" w:type="dxa"/>
            <w:tcBorders>
              <w:top w:val="single" w:sz="4" w:space="0" w:color="auto"/>
              <w:left w:val="single" w:sz="4" w:space="0" w:color="auto"/>
              <w:bottom w:val="single" w:sz="4" w:space="0" w:color="auto"/>
              <w:right w:val="single" w:sz="4" w:space="0" w:color="auto"/>
            </w:tcBorders>
          </w:tcPr>
          <w:p w14:paraId="6BB729CD" w14:textId="77777777" w:rsidR="00F451F1" w:rsidRDefault="00000000">
            <w:pPr>
              <w:jc w:val="center"/>
              <w:rPr>
                <w:rFonts w:ascii="Times New Roman" w:hAnsi="Times New Roman"/>
                <w:sz w:val="20"/>
                <w:szCs w:val="21"/>
              </w:rPr>
            </w:pPr>
            <w:r>
              <w:rPr>
                <w:rFonts w:ascii="Times New Roman" w:hAnsi="Times New Roman" w:hint="eastAsia"/>
                <w:kern w:val="0"/>
                <w:sz w:val="20"/>
                <w:szCs w:val="21"/>
              </w:rPr>
              <w:t>流动相：</w:t>
            </w:r>
            <w:r>
              <w:rPr>
                <w:rFonts w:ascii="Times New Roman" w:hAnsi="Times New Roman" w:hint="eastAsia"/>
                <w:sz w:val="20"/>
                <w:szCs w:val="21"/>
              </w:rPr>
              <w:t>磷酸二氢钠溶液（</w:t>
            </w:r>
            <w:r>
              <w:rPr>
                <w:rFonts w:ascii="Times New Roman" w:hAnsi="Times New Roman" w:hint="eastAsia"/>
                <w:sz w:val="20"/>
                <w:szCs w:val="21"/>
              </w:rPr>
              <w:t>p</w:t>
            </w:r>
            <w:r>
              <w:rPr>
                <w:rFonts w:ascii="Times New Roman" w:hAnsi="Times New Roman"/>
                <w:sz w:val="20"/>
                <w:szCs w:val="21"/>
              </w:rPr>
              <w:t>H7.0</w:t>
            </w:r>
            <w:r>
              <w:rPr>
                <w:rFonts w:ascii="Times New Roman" w:hAnsi="Times New Roman" w:hint="eastAsia"/>
                <w:sz w:val="20"/>
                <w:szCs w:val="21"/>
              </w:rPr>
              <w:t>）</w:t>
            </w:r>
            <w:r>
              <w:rPr>
                <w:rFonts w:ascii="Times New Roman" w:hAnsi="Times New Roman" w:hint="eastAsia"/>
                <w:sz w:val="20"/>
                <w:szCs w:val="21"/>
              </w:rPr>
              <w:t>-</w:t>
            </w:r>
            <w:r>
              <w:rPr>
                <w:rFonts w:ascii="Times New Roman" w:hAnsi="Times New Roman" w:hint="eastAsia"/>
                <w:sz w:val="20"/>
                <w:szCs w:val="21"/>
              </w:rPr>
              <w:t>乙腈（</w:t>
            </w:r>
            <w:r>
              <w:rPr>
                <w:rFonts w:ascii="Times New Roman" w:hAnsi="Times New Roman" w:hint="eastAsia"/>
                <w:sz w:val="20"/>
                <w:szCs w:val="21"/>
              </w:rPr>
              <w:t>8</w:t>
            </w:r>
            <w:r>
              <w:rPr>
                <w:rFonts w:ascii="Times New Roman" w:hAnsi="Times New Roman"/>
                <w:sz w:val="20"/>
                <w:szCs w:val="21"/>
              </w:rPr>
              <w:t>4</w:t>
            </w:r>
            <w:r>
              <w:rPr>
                <w:rFonts w:ascii="Times New Roman" w:hAnsi="Times New Roman" w:hint="eastAsia"/>
                <w:sz w:val="20"/>
                <w:szCs w:val="21"/>
              </w:rPr>
              <w:t>:</w:t>
            </w:r>
            <w:r>
              <w:rPr>
                <w:rFonts w:ascii="Times New Roman" w:hAnsi="Times New Roman"/>
                <w:sz w:val="20"/>
                <w:szCs w:val="21"/>
              </w:rPr>
              <w:t>16</w:t>
            </w:r>
            <w:r>
              <w:rPr>
                <w:rFonts w:ascii="Times New Roman" w:hAnsi="Times New Roman" w:hint="eastAsia"/>
                <w:sz w:val="20"/>
                <w:szCs w:val="21"/>
              </w:rPr>
              <w:t>）梯度</w:t>
            </w:r>
          </w:p>
          <w:p w14:paraId="6CCB91D5" w14:textId="77777777" w:rsidR="00F451F1" w:rsidRDefault="00000000">
            <w:pPr>
              <w:jc w:val="center"/>
              <w:rPr>
                <w:rFonts w:ascii="Times New Roman" w:hAnsi="Times New Roman"/>
                <w:kern w:val="0"/>
                <w:sz w:val="20"/>
                <w:szCs w:val="21"/>
              </w:rPr>
            </w:pPr>
            <w:r>
              <w:rPr>
                <w:rFonts w:ascii="Times New Roman" w:hAnsi="Times New Roman" w:hint="eastAsia"/>
                <w:sz w:val="20"/>
                <w:szCs w:val="21"/>
              </w:rPr>
              <w:t>检测波长</w:t>
            </w:r>
            <w:r>
              <w:rPr>
                <w:rFonts w:ascii="Times New Roman" w:hAnsi="Times New Roman"/>
                <w:sz w:val="20"/>
                <w:szCs w:val="21"/>
              </w:rPr>
              <w:t>229</w:t>
            </w:r>
          </w:p>
        </w:tc>
        <w:tc>
          <w:tcPr>
            <w:tcW w:w="1162" w:type="dxa"/>
            <w:tcBorders>
              <w:top w:val="single" w:sz="4" w:space="0" w:color="auto"/>
              <w:left w:val="single" w:sz="4" w:space="0" w:color="auto"/>
              <w:bottom w:val="single" w:sz="4" w:space="0" w:color="auto"/>
              <w:right w:val="single" w:sz="12" w:space="0" w:color="auto"/>
            </w:tcBorders>
            <w:vAlign w:val="center"/>
          </w:tcPr>
          <w:p w14:paraId="58A69C07" w14:textId="77777777" w:rsidR="00F451F1" w:rsidRDefault="00000000">
            <w:pPr>
              <w:jc w:val="center"/>
              <w:rPr>
                <w:rFonts w:ascii="Times New Roman" w:hAnsi="Times New Roman"/>
                <w:kern w:val="0"/>
                <w:sz w:val="20"/>
                <w:szCs w:val="21"/>
              </w:rPr>
            </w:pPr>
            <w:r>
              <w:rPr>
                <w:rFonts w:ascii="Times New Roman" w:hAnsi="Times New Roman" w:hint="eastAsia"/>
                <w:kern w:val="0"/>
                <w:sz w:val="20"/>
                <w:szCs w:val="21"/>
              </w:rPr>
              <w:t>兽药</w:t>
            </w:r>
          </w:p>
        </w:tc>
      </w:tr>
    </w:tbl>
    <w:p w14:paraId="38AD779B" w14:textId="77777777" w:rsidR="00F451F1" w:rsidRDefault="00000000">
      <w:pPr>
        <w:pStyle w:val="af5"/>
        <w:widowControl/>
        <w:numPr>
          <w:ilvl w:val="0"/>
          <w:numId w:val="3"/>
        </w:numPr>
        <w:autoSpaceDE w:val="0"/>
        <w:autoSpaceDN w:val="0"/>
        <w:spacing w:line="360" w:lineRule="auto"/>
        <w:ind w:firstLineChars="0"/>
        <w:jc w:val="left"/>
        <w:textAlignment w:val="bottom"/>
        <w:rPr>
          <w:rFonts w:ascii="Times New Roman" w:eastAsia="黑体" w:hAnsi="Times New Roman" w:cs="Times New Roman"/>
          <w:sz w:val="30"/>
        </w:rPr>
      </w:pPr>
      <w:r>
        <w:rPr>
          <w:rFonts w:ascii="Times New Roman" w:eastAsia="黑体" w:hAnsi="Times New Roman" w:cs="Times New Roman" w:hint="eastAsia"/>
          <w:sz w:val="30"/>
        </w:rPr>
        <w:t>采标情况，以及是否合</w:t>
      </w:r>
      <w:proofErr w:type="gramStart"/>
      <w:r>
        <w:rPr>
          <w:rFonts w:ascii="Times New Roman" w:eastAsia="黑体" w:hAnsi="Times New Roman" w:cs="Times New Roman" w:hint="eastAsia"/>
          <w:sz w:val="30"/>
        </w:rPr>
        <w:t>规</w:t>
      </w:r>
      <w:proofErr w:type="gramEnd"/>
      <w:r>
        <w:rPr>
          <w:rFonts w:ascii="Times New Roman" w:eastAsia="黑体" w:hAnsi="Times New Roman" w:cs="Times New Roman" w:hint="eastAsia"/>
          <w:sz w:val="30"/>
        </w:rPr>
        <w:t>引用或采用国际国外标准</w:t>
      </w:r>
    </w:p>
    <w:p w14:paraId="13EED0F8"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无</w:t>
      </w:r>
    </w:p>
    <w:p w14:paraId="794B5B26" w14:textId="77777777" w:rsidR="00F451F1" w:rsidRDefault="00000000">
      <w:pPr>
        <w:pStyle w:val="af5"/>
        <w:widowControl/>
        <w:numPr>
          <w:ilvl w:val="0"/>
          <w:numId w:val="3"/>
        </w:numPr>
        <w:autoSpaceDE w:val="0"/>
        <w:autoSpaceDN w:val="0"/>
        <w:spacing w:line="360" w:lineRule="auto"/>
        <w:ind w:firstLineChars="0"/>
        <w:jc w:val="left"/>
        <w:textAlignment w:val="bottom"/>
        <w:rPr>
          <w:rFonts w:ascii="Times New Roman" w:eastAsia="黑体" w:hAnsi="Times New Roman" w:cs="Times New Roman"/>
          <w:sz w:val="30"/>
        </w:rPr>
      </w:pPr>
      <w:r>
        <w:rPr>
          <w:rFonts w:ascii="Times New Roman" w:eastAsia="黑体" w:hAnsi="Times New Roman" w:cs="Times New Roman" w:hint="eastAsia"/>
          <w:sz w:val="30"/>
        </w:rPr>
        <w:t>与有关法律、法规的关系</w:t>
      </w:r>
    </w:p>
    <w:p w14:paraId="7974DC8A"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无</w:t>
      </w:r>
    </w:p>
    <w:p w14:paraId="2819262C" w14:textId="77777777" w:rsidR="00F451F1" w:rsidRDefault="00000000">
      <w:pPr>
        <w:pStyle w:val="af5"/>
        <w:widowControl/>
        <w:numPr>
          <w:ilvl w:val="0"/>
          <w:numId w:val="3"/>
        </w:numPr>
        <w:autoSpaceDE w:val="0"/>
        <w:autoSpaceDN w:val="0"/>
        <w:spacing w:line="360" w:lineRule="auto"/>
        <w:ind w:firstLineChars="0"/>
        <w:jc w:val="left"/>
        <w:textAlignment w:val="bottom"/>
        <w:rPr>
          <w:rFonts w:ascii="Times New Roman" w:eastAsia="黑体" w:hAnsi="Times New Roman" w:cs="Times New Roman"/>
          <w:sz w:val="30"/>
        </w:rPr>
      </w:pPr>
      <w:r>
        <w:rPr>
          <w:rFonts w:ascii="Times New Roman" w:eastAsia="黑体" w:hAnsi="Times New Roman" w:cs="Times New Roman" w:hint="eastAsia"/>
          <w:sz w:val="30"/>
        </w:rPr>
        <w:t>重大分歧意见的处理经过和依据</w:t>
      </w:r>
    </w:p>
    <w:p w14:paraId="1469A4FA" w14:textId="77777777" w:rsidR="00F451F1" w:rsidRDefault="00000000">
      <w:pPr>
        <w:widowControl/>
        <w:autoSpaceDE w:val="0"/>
        <w:autoSpaceDN w:val="0"/>
        <w:spacing w:line="360" w:lineRule="auto"/>
        <w:ind w:firstLineChars="100" w:firstLine="300"/>
        <w:jc w:val="left"/>
        <w:textAlignment w:val="bottom"/>
        <w:rPr>
          <w:rFonts w:ascii="Times New Roman" w:eastAsia="黑体" w:hAnsi="Times New Roman" w:cs="Times New Roman"/>
          <w:sz w:val="30"/>
        </w:rPr>
      </w:pPr>
      <w:r>
        <w:rPr>
          <w:rFonts w:ascii="Times New Roman" w:eastAsia="黑体" w:hAnsi="Times New Roman" w:cs="Times New Roman" w:hint="eastAsia"/>
          <w:sz w:val="30"/>
        </w:rPr>
        <w:t>无</w:t>
      </w:r>
    </w:p>
    <w:p w14:paraId="3C09CB19" w14:textId="77777777" w:rsidR="00F451F1" w:rsidRDefault="00000000">
      <w:pPr>
        <w:pStyle w:val="af5"/>
        <w:widowControl/>
        <w:numPr>
          <w:ilvl w:val="0"/>
          <w:numId w:val="3"/>
        </w:numPr>
        <w:autoSpaceDE w:val="0"/>
        <w:autoSpaceDN w:val="0"/>
        <w:spacing w:line="360" w:lineRule="auto"/>
        <w:ind w:firstLineChars="0"/>
        <w:jc w:val="left"/>
        <w:textAlignment w:val="bottom"/>
        <w:rPr>
          <w:rFonts w:ascii="Times New Roman" w:eastAsia="黑体" w:hAnsi="Times New Roman" w:cs="Times New Roman"/>
          <w:sz w:val="30"/>
        </w:rPr>
      </w:pPr>
      <w:r>
        <w:rPr>
          <w:rFonts w:ascii="Times New Roman" w:eastAsia="黑体" w:hAnsi="Times New Roman" w:cs="Times New Roman" w:hint="eastAsia"/>
          <w:sz w:val="30"/>
        </w:rPr>
        <w:t>涉及专利的有关说明</w:t>
      </w:r>
    </w:p>
    <w:p w14:paraId="363CCAB6" w14:textId="77777777" w:rsidR="00F451F1" w:rsidRDefault="00000000">
      <w:pPr>
        <w:pStyle w:val="af5"/>
        <w:widowControl/>
        <w:autoSpaceDE w:val="0"/>
        <w:autoSpaceDN w:val="0"/>
        <w:spacing w:line="360" w:lineRule="auto"/>
        <w:ind w:left="720" w:firstLineChars="0" w:firstLine="0"/>
        <w:jc w:val="left"/>
        <w:textAlignment w:val="bottom"/>
        <w:rPr>
          <w:rFonts w:ascii="Times New Roman" w:eastAsia="黑体" w:hAnsi="Times New Roman" w:cs="Times New Roman"/>
          <w:sz w:val="30"/>
        </w:rPr>
      </w:pPr>
      <w:r>
        <w:rPr>
          <w:rFonts w:asciiTheme="minorEastAsia" w:hAnsiTheme="minorEastAsia"/>
          <w:sz w:val="24"/>
          <w:szCs w:val="24"/>
        </w:rPr>
        <w:lastRenderedPageBreak/>
        <w:t>本文件没有涉及任何专利。</w:t>
      </w:r>
    </w:p>
    <w:p w14:paraId="1E8A3DDD" w14:textId="77777777" w:rsidR="00F451F1" w:rsidRDefault="00000000">
      <w:pPr>
        <w:pStyle w:val="af5"/>
        <w:widowControl/>
        <w:numPr>
          <w:ilvl w:val="0"/>
          <w:numId w:val="3"/>
        </w:numPr>
        <w:autoSpaceDE w:val="0"/>
        <w:autoSpaceDN w:val="0"/>
        <w:spacing w:line="360" w:lineRule="auto"/>
        <w:ind w:firstLineChars="0"/>
        <w:jc w:val="left"/>
        <w:textAlignment w:val="bottom"/>
        <w:rPr>
          <w:rFonts w:ascii="Times New Roman" w:eastAsia="黑体" w:hAnsi="Times New Roman" w:cs="Times New Roman"/>
          <w:sz w:val="30"/>
        </w:rPr>
      </w:pPr>
      <w:r>
        <w:rPr>
          <w:rFonts w:ascii="Times New Roman" w:eastAsia="黑体" w:hAnsi="Times New Roman" w:cs="Times New Roman" w:hint="eastAsia"/>
          <w:sz w:val="30"/>
        </w:rPr>
        <w:t>贯彻国家标准的要求，以及组织措施、技术措施、过渡期和实施日期的建议等措施建议</w:t>
      </w:r>
    </w:p>
    <w:p w14:paraId="38F625D3" w14:textId="77777777" w:rsidR="00F451F1" w:rsidRDefault="00000000">
      <w:pPr>
        <w:pStyle w:val="af5"/>
        <w:widowControl/>
        <w:autoSpaceDE w:val="0"/>
        <w:autoSpaceDN w:val="0"/>
        <w:spacing w:line="360" w:lineRule="auto"/>
        <w:ind w:left="720" w:firstLineChars="0" w:firstLine="0"/>
        <w:jc w:val="left"/>
        <w:textAlignment w:val="bottom"/>
        <w:rPr>
          <w:rFonts w:ascii="Times New Roman" w:eastAsia="黑体" w:hAnsi="Times New Roman" w:cs="Times New Roman"/>
          <w:sz w:val="30"/>
        </w:rPr>
      </w:pPr>
      <w:r>
        <w:rPr>
          <w:rFonts w:ascii="Times New Roman" w:eastAsia="黑体" w:hAnsi="Times New Roman" w:cs="Times New Roman" w:hint="eastAsia"/>
          <w:sz w:val="30"/>
        </w:rPr>
        <w:t>无</w:t>
      </w:r>
    </w:p>
    <w:p w14:paraId="04235209" w14:textId="77777777" w:rsidR="00F451F1" w:rsidRDefault="00000000">
      <w:pPr>
        <w:pStyle w:val="af5"/>
        <w:widowControl/>
        <w:numPr>
          <w:ilvl w:val="0"/>
          <w:numId w:val="3"/>
        </w:numPr>
        <w:autoSpaceDE w:val="0"/>
        <w:autoSpaceDN w:val="0"/>
        <w:spacing w:line="360" w:lineRule="auto"/>
        <w:ind w:firstLineChars="0"/>
        <w:jc w:val="left"/>
        <w:textAlignment w:val="bottom"/>
        <w:rPr>
          <w:rFonts w:ascii="Times New Roman" w:eastAsia="黑体" w:hAnsi="Times New Roman" w:cs="Times New Roman"/>
          <w:sz w:val="30"/>
        </w:rPr>
      </w:pPr>
      <w:r>
        <w:rPr>
          <w:rFonts w:ascii="Times New Roman" w:eastAsia="黑体" w:hAnsi="Times New Roman" w:cs="Times New Roman" w:hint="eastAsia"/>
          <w:sz w:val="30"/>
        </w:rPr>
        <w:t>其他应当说明的事项</w:t>
      </w:r>
    </w:p>
    <w:p w14:paraId="7A8C89CB" w14:textId="77777777" w:rsidR="00F451F1" w:rsidRDefault="00000000">
      <w:pPr>
        <w:widowControl/>
        <w:autoSpaceDE w:val="0"/>
        <w:autoSpaceDN w:val="0"/>
        <w:spacing w:line="360" w:lineRule="auto"/>
        <w:ind w:firstLineChars="200" w:firstLine="480"/>
        <w:jc w:val="left"/>
        <w:textAlignment w:val="bottom"/>
        <w:rPr>
          <w:rFonts w:asciiTheme="minorEastAsia" w:hAnsiTheme="minorEastAsia" w:hint="eastAsia"/>
          <w:sz w:val="24"/>
          <w:szCs w:val="24"/>
        </w:rPr>
      </w:pPr>
      <w:r>
        <w:rPr>
          <w:rFonts w:asciiTheme="minorEastAsia" w:hAnsiTheme="minorEastAsia" w:hint="eastAsia"/>
          <w:sz w:val="24"/>
          <w:szCs w:val="24"/>
        </w:rPr>
        <w:t>无</w:t>
      </w:r>
    </w:p>
    <w:p w14:paraId="4F69B6F4" w14:textId="77777777" w:rsidR="00F451F1" w:rsidRDefault="00F451F1">
      <w:pPr>
        <w:pStyle w:val="af5"/>
        <w:widowControl/>
        <w:autoSpaceDE w:val="0"/>
        <w:autoSpaceDN w:val="0"/>
        <w:spacing w:line="360" w:lineRule="auto"/>
        <w:ind w:left="720" w:firstLineChars="0" w:firstLine="0"/>
        <w:jc w:val="left"/>
        <w:textAlignment w:val="bottom"/>
        <w:rPr>
          <w:rFonts w:eastAsia="黑体"/>
          <w:sz w:val="32"/>
          <w:szCs w:val="32"/>
        </w:rPr>
      </w:pPr>
    </w:p>
    <w:p w14:paraId="6DE32D25" w14:textId="77777777" w:rsidR="00F451F1" w:rsidRDefault="00F451F1">
      <w:pPr>
        <w:widowControl/>
        <w:autoSpaceDE w:val="0"/>
        <w:autoSpaceDN w:val="0"/>
        <w:spacing w:line="360" w:lineRule="auto"/>
        <w:jc w:val="left"/>
        <w:textAlignment w:val="bottom"/>
        <w:rPr>
          <w:rFonts w:eastAsia="黑体"/>
          <w:sz w:val="32"/>
          <w:szCs w:val="32"/>
        </w:rPr>
      </w:pPr>
    </w:p>
    <w:p w14:paraId="76000112" w14:textId="77777777" w:rsidR="00F451F1" w:rsidRDefault="00F451F1"/>
    <w:sectPr w:rsidR="00F451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C4516" w14:textId="77777777" w:rsidR="00FA7128" w:rsidRDefault="00FA7128" w:rsidP="002626C1">
      <w:r>
        <w:separator/>
      </w:r>
    </w:p>
  </w:endnote>
  <w:endnote w:type="continuationSeparator" w:id="0">
    <w:p w14:paraId="1A6367A8" w14:textId="77777777" w:rsidR="00FA7128" w:rsidRDefault="00FA7128" w:rsidP="0026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4BC2E6" w14:textId="77777777" w:rsidR="00FA7128" w:rsidRDefault="00FA7128" w:rsidP="002626C1">
      <w:r>
        <w:separator/>
      </w:r>
    </w:p>
  </w:footnote>
  <w:footnote w:type="continuationSeparator" w:id="0">
    <w:p w14:paraId="14806DEF" w14:textId="77777777" w:rsidR="00FA7128" w:rsidRDefault="00FA7128" w:rsidP="00262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7F0377"/>
    <w:multiLevelType w:val="multilevel"/>
    <w:tmpl w:val="3D7F0377"/>
    <w:lvl w:ilvl="0">
      <w:start w:val="1"/>
      <w:numFmt w:val="japaneseCounting"/>
      <w:lvlText w:val="（%1）"/>
      <w:lvlJc w:val="left"/>
      <w:pPr>
        <w:ind w:left="1800" w:hanging="1080"/>
      </w:pPr>
      <w:rPr>
        <w:rFonts w:hint="default"/>
      </w:r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1" w15:restartNumberingAfterBreak="0">
    <w:nsid w:val="430F6B4F"/>
    <w:multiLevelType w:val="multilevel"/>
    <w:tmpl w:val="430F6B4F"/>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47BA7434"/>
    <w:multiLevelType w:val="multilevel"/>
    <w:tmpl w:val="47BA7434"/>
    <w:lvl w:ilvl="0">
      <w:start w:val="1"/>
      <w:numFmt w:val="lowerLetter"/>
      <w:lvlText w:val="%1）"/>
      <w:lvlJc w:val="left"/>
      <w:pPr>
        <w:ind w:left="785" w:hanging="360"/>
      </w:pPr>
      <w:rPr>
        <w:rFonts w:hint="default"/>
      </w:r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4" w15:restartNumberingAfterBreak="0">
    <w:nsid w:val="646260FA"/>
    <w:multiLevelType w:val="multilevel"/>
    <w:tmpl w:val="646260FA"/>
    <w:lvl w:ilvl="0">
      <w:start w:val="1"/>
      <w:numFmt w:val="decimal"/>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5" w15:restartNumberingAfterBreak="0">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284" w:firstLine="0"/>
      </w:pPr>
      <w:rPr>
        <w:rFonts w:ascii="黑体" w:eastAsia="黑体" w:hint="eastAsia"/>
        <w:b w:val="0"/>
        <w:i w:val="0"/>
        <w:sz w:val="21"/>
      </w:rPr>
    </w:lvl>
    <w:lvl w:ilvl="4">
      <w:start w:val="1"/>
      <w:numFmt w:val="decimal"/>
      <w:pStyle w:val="a6"/>
      <w:suff w:val="nothing"/>
      <w:lvlText w:val="%1%2.%3.%4.%5　"/>
      <w:lvlJc w:val="left"/>
      <w:pPr>
        <w:ind w:left="1418"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72A9083D"/>
    <w:multiLevelType w:val="multilevel"/>
    <w:tmpl w:val="72A9083D"/>
    <w:lvl w:ilvl="0">
      <w:start w:val="1"/>
      <w:numFmt w:val="japaneseCounting"/>
      <w:lvlText w:val="（%1）"/>
      <w:lvlJc w:val="left"/>
      <w:pPr>
        <w:ind w:left="1800" w:hanging="1080"/>
      </w:pPr>
      <w:rPr>
        <w:rFonts w:hint="default"/>
      </w:rPr>
    </w:lvl>
    <w:lvl w:ilvl="1">
      <w:start w:val="1"/>
      <w:numFmt w:val="lowerLetter"/>
      <w:lvlText w:val="%2)"/>
      <w:lvlJc w:val="left"/>
      <w:pPr>
        <w:ind w:left="1600" w:hanging="440"/>
      </w:pPr>
    </w:lvl>
    <w:lvl w:ilvl="2">
      <w:start w:val="1"/>
      <w:numFmt w:val="lowerRoman"/>
      <w:lvlText w:val="%3."/>
      <w:lvlJc w:val="right"/>
      <w:pPr>
        <w:ind w:left="2040" w:hanging="440"/>
      </w:pPr>
    </w:lvl>
    <w:lvl w:ilvl="3">
      <w:start w:val="1"/>
      <w:numFmt w:val="decimal"/>
      <w:lvlText w:val="%4."/>
      <w:lvlJc w:val="left"/>
      <w:pPr>
        <w:ind w:left="2480" w:hanging="440"/>
      </w:pPr>
    </w:lvl>
    <w:lvl w:ilvl="4">
      <w:start w:val="1"/>
      <w:numFmt w:val="lowerLetter"/>
      <w:lvlText w:val="%5)"/>
      <w:lvlJc w:val="left"/>
      <w:pPr>
        <w:ind w:left="2920" w:hanging="440"/>
      </w:pPr>
    </w:lvl>
    <w:lvl w:ilvl="5">
      <w:start w:val="1"/>
      <w:numFmt w:val="lowerRoman"/>
      <w:lvlText w:val="%6."/>
      <w:lvlJc w:val="right"/>
      <w:pPr>
        <w:ind w:left="3360" w:hanging="440"/>
      </w:pPr>
    </w:lvl>
    <w:lvl w:ilvl="6">
      <w:start w:val="1"/>
      <w:numFmt w:val="decimal"/>
      <w:lvlText w:val="%7."/>
      <w:lvlJc w:val="left"/>
      <w:pPr>
        <w:ind w:left="3800" w:hanging="440"/>
      </w:pPr>
    </w:lvl>
    <w:lvl w:ilvl="7">
      <w:start w:val="1"/>
      <w:numFmt w:val="lowerLetter"/>
      <w:lvlText w:val="%8)"/>
      <w:lvlJc w:val="left"/>
      <w:pPr>
        <w:ind w:left="4240" w:hanging="440"/>
      </w:pPr>
    </w:lvl>
    <w:lvl w:ilvl="8">
      <w:start w:val="1"/>
      <w:numFmt w:val="lowerRoman"/>
      <w:lvlText w:val="%9."/>
      <w:lvlJc w:val="right"/>
      <w:pPr>
        <w:ind w:left="4680" w:hanging="440"/>
      </w:pPr>
    </w:lvl>
  </w:abstractNum>
  <w:abstractNum w:abstractNumId="7" w15:restartNumberingAfterBreak="0">
    <w:nsid w:val="751C154D"/>
    <w:multiLevelType w:val="multilevel"/>
    <w:tmpl w:val="751C154D"/>
    <w:lvl w:ilvl="0">
      <w:start w:val="1"/>
      <w:numFmt w:val="decimal"/>
      <w:lvlText w:val="%1."/>
      <w:lvlJc w:val="left"/>
      <w:pPr>
        <w:ind w:left="1364" w:hanging="108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num w:numId="1" w16cid:durableId="579411409">
    <w:abstractNumId w:val="2"/>
  </w:num>
  <w:num w:numId="2" w16cid:durableId="1638680644">
    <w:abstractNumId w:val="5"/>
  </w:num>
  <w:num w:numId="3" w16cid:durableId="448085631">
    <w:abstractNumId w:val="1"/>
  </w:num>
  <w:num w:numId="4" w16cid:durableId="1281762079">
    <w:abstractNumId w:val="0"/>
  </w:num>
  <w:num w:numId="5" w16cid:durableId="1845702981">
    <w:abstractNumId w:val="7"/>
  </w:num>
  <w:num w:numId="6" w16cid:durableId="249387992">
    <w:abstractNumId w:val="6"/>
  </w:num>
  <w:num w:numId="7" w16cid:durableId="859078103">
    <w:abstractNumId w:val="4"/>
  </w:num>
  <w:num w:numId="8" w16cid:durableId="1800683811">
    <w:abstractNumId w:val="3"/>
  </w:num>
  <w:num w:numId="9" w16cid:durableId="21381376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M4NGM5NzBhYjMyNmI5Mjk0MTM5YTg2NjkyMWNiNWYifQ=="/>
  </w:docVars>
  <w:rsids>
    <w:rsidRoot w:val="00352815"/>
    <w:rsid w:val="00003E23"/>
    <w:rsid w:val="00007525"/>
    <w:rsid w:val="00024D63"/>
    <w:rsid w:val="0005202E"/>
    <w:rsid w:val="00052631"/>
    <w:rsid w:val="000608DA"/>
    <w:rsid w:val="0006717B"/>
    <w:rsid w:val="00073C67"/>
    <w:rsid w:val="000A6AA8"/>
    <w:rsid w:val="000B4A0F"/>
    <w:rsid w:val="000C6E3F"/>
    <w:rsid w:val="000D4E7F"/>
    <w:rsid w:val="000D6047"/>
    <w:rsid w:val="000E0123"/>
    <w:rsid w:val="000F1869"/>
    <w:rsid w:val="00105196"/>
    <w:rsid w:val="00132109"/>
    <w:rsid w:val="001465EE"/>
    <w:rsid w:val="0015402B"/>
    <w:rsid w:val="0017741E"/>
    <w:rsid w:val="001820DB"/>
    <w:rsid w:val="001B4C33"/>
    <w:rsid w:val="001C2A1B"/>
    <w:rsid w:val="001D755E"/>
    <w:rsid w:val="001E0DD5"/>
    <w:rsid w:val="001E6363"/>
    <w:rsid w:val="001F38CF"/>
    <w:rsid w:val="001F3BDF"/>
    <w:rsid w:val="00203ABF"/>
    <w:rsid w:val="002243CB"/>
    <w:rsid w:val="0022609F"/>
    <w:rsid w:val="00245165"/>
    <w:rsid w:val="002526FF"/>
    <w:rsid w:val="002626C1"/>
    <w:rsid w:val="00265888"/>
    <w:rsid w:val="002673AB"/>
    <w:rsid w:val="00295FE5"/>
    <w:rsid w:val="002B3958"/>
    <w:rsid w:val="002C0E49"/>
    <w:rsid w:val="002D5A04"/>
    <w:rsid w:val="002D795A"/>
    <w:rsid w:val="00306DDD"/>
    <w:rsid w:val="00307E71"/>
    <w:rsid w:val="00312FDE"/>
    <w:rsid w:val="003166E4"/>
    <w:rsid w:val="00332C73"/>
    <w:rsid w:val="0034059C"/>
    <w:rsid w:val="00352815"/>
    <w:rsid w:val="00361312"/>
    <w:rsid w:val="003716E2"/>
    <w:rsid w:val="00377CD0"/>
    <w:rsid w:val="003903C1"/>
    <w:rsid w:val="00392B68"/>
    <w:rsid w:val="00396825"/>
    <w:rsid w:val="003C3E49"/>
    <w:rsid w:val="003D3398"/>
    <w:rsid w:val="003D50B6"/>
    <w:rsid w:val="003E1D39"/>
    <w:rsid w:val="003F5CC3"/>
    <w:rsid w:val="00415856"/>
    <w:rsid w:val="00422D85"/>
    <w:rsid w:val="00424C16"/>
    <w:rsid w:val="00430498"/>
    <w:rsid w:val="004409E7"/>
    <w:rsid w:val="004617BE"/>
    <w:rsid w:val="004620A5"/>
    <w:rsid w:val="00476597"/>
    <w:rsid w:val="00482208"/>
    <w:rsid w:val="0049449E"/>
    <w:rsid w:val="004C629D"/>
    <w:rsid w:val="004F27B1"/>
    <w:rsid w:val="00520433"/>
    <w:rsid w:val="00560D59"/>
    <w:rsid w:val="0056418B"/>
    <w:rsid w:val="00574142"/>
    <w:rsid w:val="00576057"/>
    <w:rsid w:val="00576CC4"/>
    <w:rsid w:val="005771E0"/>
    <w:rsid w:val="00577899"/>
    <w:rsid w:val="00590B03"/>
    <w:rsid w:val="005A177E"/>
    <w:rsid w:val="005D0751"/>
    <w:rsid w:val="005D28E4"/>
    <w:rsid w:val="005F72AD"/>
    <w:rsid w:val="0063196F"/>
    <w:rsid w:val="00657D2B"/>
    <w:rsid w:val="006666F9"/>
    <w:rsid w:val="006746F1"/>
    <w:rsid w:val="006960DF"/>
    <w:rsid w:val="006B43CB"/>
    <w:rsid w:val="006C1662"/>
    <w:rsid w:val="006D133A"/>
    <w:rsid w:val="006E4AAF"/>
    <w:rsid w:val="006E5714"/>
    <w:rsid w:val="006F5D99"/>
    <w:rsid w:val="007003C3"/>
    <w:rsid w:val="00702048"/>
    <w:rsid w:val="00724A4A"/>
    <w:rsid w:val="00727493"/>
    <w:rsid w:val="00727DD9"/>
    <w:rsid w:val="00761794"/>
    <w:rsid w:val="00790F45"/>
    <w:rsid w:val="007E2BE6"/>
    <w:rsid w:val="00802050"/>
    <w:rsid w:val="00813536"/>
    <w:rsid w:val="00816EC4"/>
    <w:rsid w:val="00821EB1"/>
    <w:rsid w:val="00836D24"/>
    <w:rsid w:val="00885101"/>
    <w:rsid w:val="008A2D6B"/>
    <w:rsid w:val="008D11BC"/>
    <w:rsid w:val="008D6F8D"/>
    <w:rsid w:val="008F0381"/>
    <w:rsid w:val="00902C10"/>
    <w:rsid w:val="0093129F"/>
    <w:rsid w:val="009417F0"/>
    <w:rsid w:val="009457FF"/>
    <w:rsid w:val="00970E1C"/>
    <w:rsid w:val="00991F71"/>
    <w:rsid w:val="009A278A"/>
    <w:rsid w:val="009A53C4"/>
    <w:rsid w:val="009B75CF"/>
    <w:rsid w:val="009C605A"/>
    <w:rsid w:val="009D29C8"/>
    <w:rsid w:val="009F0203"/>
    <w:rsid w:val="00A02437"/>
    <w:rsid w:val="00A04754"/>
    <w:rsid w:val="00A11B75"/>
    <w:rsid w:val="00A13187"/>
    <w:rsid w:val="00A20C90"/>
    <w:rsid w:val="00A3172A"/>
    <w:rsid w:val="00A35215"/>
    <w:rsid w:val="00A36368"/>
    <w:rsid w:val="00A42C37"/>
    <w:rsid w:val="00A602B6"/>
    <w:rsid w:val="00AB77C0"/>
    <w:rsid w:val="00AC7678"/>
    <w:rsid w:val="00AE3B5E"/>
    <w:rsid w:val="00AE466A"/>
    <w:rsid w:val="00AF6BF0"/>
    <w:rsid w:val="00B0247C"/>
    <w:rsid w:val="00B03655"/>
    <w:rsid w:val="00B04A41"/>
    <w:rsid w:val="00B111A3"/>
    <w:rsid w:val="00B16520"/>
    <w:rsid w:val="00B30814"/>
    <w:rsid w:val="00B54061"/>
    <w:rsid w:val="00B65534"/>
    <w:rsid w:val="00B711B5"/>
    <w:rsid w:val="00B828FD"/>
    <w:rsid w:val="00B9658C"/>
    <w:rsid w:val="00BA1FAE"/>
    <w:rsid w:val="00BA558F"/>
    <w:rsid w:val="00BE7016"/>
    <w:rsid w:val="00C0115C"/>
    <w:rsid w:val="00C17D14"/>
    <w:rsid w:val="00C25B96"/>
    <w:rsid w:val="00C55B9A"/>
    <w:rsid w:val="00C56EFF"/>
    <w:rsid w:val="00C66843"/>
    <w:rsid w:val="00C7393E"/>
    <w:rsid w:val="00CA69A2"/>
    <w:rsid w:val="00CB4F2D"/>
    <w:rsid w:val="00CE7A58"/>
    <w:rsid w:val="00CF1EAC"/>
    <w:rsid w:val="00CF3B32"/>
    <w:rsid w:val="00D075EA"/>
    <w:rsid w:val="00D07BF1"/>
    <w:rsid w:val="00D11A93"/>
    <w:rsid w:val="00D52A2D"/>
    <w:rsid w:val="00D62243"/>
    <w:rsid w:val="00D64704"/>
    <w:rsid w:val="00D725C9"/>
    <w:rsid w:val="00D877ED"/>
    <w:rsid w:val="00D93017"/>
    <w:rsid w:val="00DB0666"/>
    <w:rsid w:val="00DB710A"/>
    <w:rsid w:val="00DD34C6"/>
    <w:rsid w:val="00DE1E00"/>
    <w:rsid w:val="00DE2350"/>
    <w:rsid w:val="00DE7DA1"/>
    <w:rsid w:val="00DF0EAA"/>
    <w:rsid w:val="00DF159C"/>
    <w:rsid w:val="00E10344"/>
    <w:rsid w:val="00E149A8"/>
    <w:rsid w:val="00E21625"/>
    <w:rsid w:val="00E4597A"/>
    <w:rsid w:val="00E60D7A"/>
    <w:rsid w:val="00E66903"/>
    <w:rsid w:val="00EB1B76"/>
    <w:rsid w:val="00ED0C2D"/>
    <w:rsid w:val="00EF083C"/>
    <w:rsid w:val="00EF1276"/>
    <w:rsid w:val="00EF756B"/>
    <w:rsid w:val="00F20D48"/>
    <w:rsid w:val="00F2700F"/>
    <w:rsid w:val="00F328D2"/>
    <w:rsid w:val="00F36D36"/>
    <w:rsid w:val="00F451F1"/>
    <w:rsid w:val="00F6388A"/>
    <w:rsid w:val="00F6621D"/>
    <w:rsid w:val="00F72383"/>
    <w:rsid w:val="00F77AE6"/>
    <w:rsid w:val="00F77D02"/>
    <w:rsid w:val="00F85817"/>
    <w:rsid w:val="00F96777"/>
    <w:rsid w:val="00FA043F"/>
    <w:rsid w:val="00FA7128"/>
    <w:rsid w:val="00FC3298"/>
    <w:rsid w:val="00FD34FB"/>
    <w:rsid w:val="62071EEE"/>
    <w:rsid w:val="72EB3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BFF44"/>
  <w15:docId w15:val="{08C51515-FFB4-412B-ACD4-0B0D0A98F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9"/>
    <w:next w:val="a9"/>
    <w:uiPriority w:val="9"/>
    <w:qFormat/>
    <w:pPr>
      <w:keepNext/>
      <w:keepLines/>
      <w:spacing w:before="340" w:after="330" w:line="578" w:lineRule="auto"/>
      <w:outlineLvl w:val="0"/>
    </w:pPr>
    <w:rPr>
      <w:rFonts w:ascii="Times New Roman" w:eastAsia="仿宋" w:hAnsi="Times New Roman"/>
      <w:b/>
      <w:bCs/>
      <w:kern w:val="44"/>
      <w:sz w:val="28"/>
      <w:szCs w:val="44"/>
      <w:lang w:val="zh-CN"/>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caption"/>
    <w:basedOn w:val="a9"/>
    <w:next w:val="a9"/>
    <w:uiPriority w:val="35"/>
    <w:qFormat/>
    <w:pPr>
      <w:spacing w:line="360" w:lineRule="auto"/>
    </w:pPr>
    <w:rPr>
      <w:rFonts w:ascii="Cambria" w:eastAsia="黑体" w:hAnsi="Cambria" w:cs="Times New Roman"/>
      <w:sz w:val="20"/>
      <w:szCs w:val="20"/>
    </w:rPr>
  </w:style>
  <w:style w:type="paragraph" w:styleId="ae">
    <w:name w:val="annotation text"/>
    <w:basedOn w:val="a9"/>
    <w:uiPriority w:val="99"/>
    <w:semiHidden/>
    <w:unhideWhenUsed/>
    <w:qFormat/>
    <w:pPr>
      <w:jc w:val="left"/>
    </w:pPr>
  </w:style>
  <w:style w:type="paragraph" w:styleId="af">
    <w:name w:val="footer"/>
    <w:basedOn w:val="a9"/>
    <w:link w:val="af0"/>
    <w:uiPriority w:val="99"/>
    <w:unhideWhenUsed/>
    <w:qFormat/>
    <w:pPr>
      <w:tabs>
        <w:tab w:val="center" w:pos="4153"/>
        <w:tab w:val="right" w:pos="8306"/>
      </w:tabs>
      <w:snapToGrid w:val="0"/>
      <w:jc w:val="left"/>
    </w:pPr>
    <w:rPr>
      <w:sz w:val="18"/>
      <w:szCs w:val="18"/>
    </w:rPr>
  </w:style>
  <w:style w:type="paragraph" w:styleId="af1">
    <w:name w:val="header"/>
    <w:basedOn w:val="a9"/>
    <w:link w:val="af2"/>
    <w:uiPriority w:val="99"/>
    <w:unhideWhenUsed/>
    <w:qFormat/>
    <w:pPr>
      <w:tabs>
        <w:tab w:val="center" w:pos="4153"/>
        <w:tab w:val="right" w:pos="8306"/>
      </w:tabs>
      <w:snapToGrid w:val="0"/>
      <w:jc w:val="center"/>
    </w:pPr>
    <w:rPr>
      <w:sz w:val="18"/>
      <w:szCs w:val="18"/>
    </w:rPr>
  </w:style>
  <w:style w:type="table" w:styleId="af3">
    <w:name w:val="Table Grid"/>
    <w:basedOn w:val="ab"/>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a"/>
    <w:uiPriority w:val="99"/>
    <w:semiHidden/>
    <w:unhideWhenUsed/>
    <w:qFormat/>
    <w:rPr>
      <w:sz w:val="21"/>
      <w:szCs w:val="21"/>
    </w:rPr>
  </w:style>
  <w:style w:type="paragraph" w:styleId="af5">
    <w:name w:val="List Paragraph"/>
    <w:basedOn w:val="a9"/>
    <w:uiPriority w:val="99"/>
    <w:qFormat/>
    <w:pPr>
      <w:ind w:firstLineChars="200" w:firstLine="420"/>
    </w:pPr>
  </w:style>
  <w:style w:type="paragraph" w:customStyle="1" w:styleId="2">
    <w:name w:val="样式2"/>
    <w:basedOn w:val="a9"/>
    <w:qFormat/>
    <w:pPr>
      <w:spacing w:line="360" w:lineRule="auto"/>
    </w:pPr>
    <w:rPr>
      <w:rFonts w:ascii="宋体" w:eastAsia="宋体" w:hAnsi="宋体" w:cs="Times New Roman"/>
      <w:sz w:val="24"/>
    </w:rPr>
  </w:style>
  <w:style w:type="character" w:customStyle="1" w:styleId="af2">
    <w:name w:val="页眉 字符"/>
    <w:basedOn w:val="aa"/>
    <w:link w:val="af1"/>
    <w:uiPriority w:val="99"/>
    <w:qFormat/>
    <w:rPr>
      <w:sz w:val="18"/>
      <w:szCs w:val="18"/>
      <w14:ligatures w14:val="none"/>
    </w:rPr>
  </w:style>
  <w:style w:type="character" w:customStyle="1" w:styleId="af0">
    <w:name w:val="页脚 字符"/>
    <w:basedOn w:val="aa"/>
    <w:link w:val="af"/>
    <w:uiPriority w:val="99"/>
    <w:qFormat/>
    <w:rPr>
      <w:sz w:val="18"/>
      <w:szCs w:val="18"/>
      <w14:ligatures w14:val="none"/>
    </w:rPr>
  </w:style>
  <w:style w:type="paragraph" w:customStyle="1" w:styleId="af6">
    <w:name w:val="段"/>
    <w:link w:val="Char"/>
    <w:uiPriority w:val="99"/>
    <w:qFormat/>
    <w:pPr>
      <w:autoSpaceDE w:val="0"/>
      <w:autoSpaceDN w:val="0"/>
      <w:ind w:firstLineChars="200" w:firstLine="200"/>
      <w:jc w:val="both"/>
    </w:pPr>
    <w:rPr>
      <w:rFonts w:ascii="宋体" w:hAnsi="Calibri"/>
      <w:sz w:val="21"/>
    </w:rPr>
  </w:style>
  <w:style w:type="character" w:customStyle="1" w:styleId="Char">
    <w:name w:val="段 Char"/>
    <w:link w:val="af6"/>
    <w:qFormat/>
    <w:rPr>
      <w:rFonts w:ascii="宋体" w:eastAsia="宋体" w:hAnsi="Calibri" w:cs="Times New Roman"/>
      <w:kern w:val="0"/>
      <w:szCs w:val="20"/>
      <w14:ligatures w14:val="none"/>
    </w:rPr>
  </w:style>
  <w:style w:type="paragraph" w:customStyle="1" w:styleId="a0">
    <w:name w:val="标准文件_数字编号列项（二级）"/>
    <w:qFormat/>
    <w:pPr>
      <w:numPr>
        <w:ilvl w:val="1"/>
        <w:numId w:val="1"/>
      </w:numPr>
      <w:jc w:val="both"/>
    </w:pPr>
    <w:rPr>
      <w:rFonts w:ascii="宋体"/>
      <w:sz w:val="21"/>
    </w:rPr>
  </w:style>
  <w:style w:type="paragraph" w:customStyle="1" w:styleId="a1">
    <w:name w:val="标准文件_编号列项（三级）"/>
    <w:qFormat/>
    <w:pPr>
      <w:numPr>
        <w:ilvl w:val="2"/>
        <w:numId w:val="1"/>
      </w:numPr>
    </w:pPr>
    <w:rPr>
      <w:rFonts w:ascii="宋体"/>
      <w:sz w:val="21"/>
    </w:rPr>
  </w:style>
  <w:style w:type="paragraph" w:customStyle="1" w:styleId="a">
    <w:name w:val="标准文件_字母编号列项（一级）"/>
    <w:qFormat/>
    <w:pPr>
      <w:numPr>
        <w:numId w:val="1"/>
      </w:numPr>
      <w:jc w:val="both"/>
    </w:pPr>
    <w:rPr>
      <w:rFonts w:ascii="宋体"/>
      <w:sz w:val="21"/>
    </w:rPr>
  </w:style>
  <w:style w:type="paragraph" w:customStyle="1" w:styleId="af7">
    <w:name w:val="标准文件_正文表标题"/>
    <w:next w:val="a9"/>
    <w:qFormat/>
    <w:pPr>
      <w:tabs>
        <w:tab w:val="left" w:pos="0"/>
      </w:tabs>
      <w:spacing w:beforeLines="50" w:afterLines="50"/>
      <w:jc w:val="center"/>
    </w:pPr>
    <w:rPr>
      <w:rFonts w:ascii="黑体" w:eastAsia="黑体"/>
      <w:sz w:val="21"/>
    </w:rPr>
  </w:style>
  <w:style w:type="paragraph" w:customStyle="1" w:styleId="af8">
    <w:name w:val="标准文件_表格"/>
    <w:basedOn w:val="a9"/>
    <w:qFormat/>
    <w:pPr>
      <w:widowControl/>
      <w:autoSpaceDE w:val="0"/>
      <w:autoSpaceDN w:val="0"/>
      <w:jc w:val="center"/>
    </w:pPr>
    <w:rPr>
      <w:rFonts w:ascii="宋体" w:eastAsia="宋体" w:hAnsi="Times New Roman" w:cs="Times New Roman"/>
      <w:kern w:val="0"/>
      <w:sz w:val="18"/>
      <w:szCs w:val="20"/>
    </w:rPr>
  </w:style>
  <w:style w:type="paragraph" w:customStyle="1" w:styleId="af9">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9"/>
    <w:qFormat/>
    <w:rPr>
      <w:rFonts w:ascii="宋体" w:eastAsia="宋体" w:hAnsi="Times New Roman" w:cs="Times New Roman"/>
      <w:kern w:val="0"/>
      <w:szCs w:val="20"/>
      <w14:ligatures w14:val="none"/>
    </w:rPr>
  </w:style>
  <w:style w:type="paragraph" w:customStyle="1" w:styleId="a5">
    <w:name w:val="标准文件_二级条标题"/>
    <w:next w:val="af9"/>
    <w:qFormat/>
    <w:pPr>
      <w:widowControl w:val="0"/>
      <w:numPr>
        <w:ilvl w:val="3"/>
        <w:numId w:val="2"/>
      </w:numPr>
      <w:spacing w:beforeLines="50" w:afterLines="50"/>
      <w:jc w:val="both"/>
      <w:outlineLvl w:val="2"/>
    </w:pPr>
    <w:rPr>
      <w:rFonts w:ascii="黑体" w:eastAsia="黑体"/>
      <w:sz w:val="21"/>
    </w:rPr>
  </w:style>
  <w:style w:type="paragraph" w:customStyle="1" w:styleId="a6">
    <w:name w:val="标准文件_三级条标题"/>
    <w:basedOn w:val="a5"/>
    <w:next w:val="af9"/>
    <w:qFormat/>
    <w:pPr>
      <w:widowControl/>
      <w:numPr>
        <w:ilvl w:val="4"/>
      </w:numPr>
      <w:outlineLvl w:val="3"/>
    </w:pPr>
  </w:style>
  <w:style w:type="paragraph" w:customStyle="1" w:styleId="a7">
    <w:name w:val="标准文件_四级条标题"/>
    <w:next w:val="af9"/>
    <w:qFormat/>
    <w:pPr>
      <w:widowControl w:val="0"/>
      <w:numPr>
        <w:ilvl w:val="5"/>
        <w:numId w:val="2"/>
      </w:numPr>
      <w:spacing w:beforeLines="50" w:afterLines="50"/>
      <w:jc w:val="both"/>
      <w:outlineLvl w:val="4"/>
    </w:pPr>
    <w:rPr>
      <w:rFonts w:ascii="黑体" w:eastAsia="黑体"/>
      <w:sz w:val="21"/>
    </w:rPr>
  </w:style>
  <w:style w:type="paragraph" w:customStyle="1" w:styleId="a8">
    <w:name w:val="标准文件_五级条标题"/>
    <w:next w:val="af9"/>
    <w:qFormat/>
    <w:pPr>
      <w:widowControl w:val="0"/>
      <w:numPr>
        <w:ilvl w:val="6"/>
        <w:numId w:val="2"/>
      </w:numPr>
      <w:spacing w:beforeLines="50" w:afterLines="50"/>
      <w:jc w:val="both"/>
      <w:outlineLvl w:val="5"/>
    </w:pPr>
    <w:rPr>
      <w:rFonts w:ascii="黑体" w:eastAsia="黑体"/>
      <w:sz w:val="21"/>
    </w:rPr>
  </w:style>
  <w:style w:type="paragraph" w:customStyle="1" w:styleId="a3">
    <w:name w:val="标准文件_章标题"/>
    <w:next w:val="af9"/>
    <w:qFormat/>
    <w:pPr>
      <w:numPr>
        <w:ilvl w:val="1"/>
        <w:numId w:val="2"/>
      </w:numPr>
      <w:spacing w:beforeLines="100" w:afterLines="100"/>
      <w:jc w:val="both"/>
      <w:outlineLvl w:val="0"/>
    </w:pPr>
    <w:rPr>
      <w:rFonts w:ascii="黑体" w:eastAsia="黑体"/>
      <w:sz w:val="21"/>
    </w:rPr>
  </w:style>
  <w:style w:type="paragraph" w:customStyle="1" w:styleId="a4">
    <w:name w:val="标准文件_一级条标题"/>
    <w:basedOn w:val="a3"/>
    <w:next w:val="af9"/>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sz w:val="32"/>
    </w:rPr>
  </w:style>
  <w:style w:type="paragraph" w:customStyle="1" w:styleId="10">
    <w:name w:val="修订1"/>
    <w:hidden/>
    <w:uiPriority w:val="99"/>
    <w:unhideWhenUsed/>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A1C55-02DF-4963-9D6E-D1AC267E3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836</Words>
  <Characters>4766</Characters>
  <Application>Microsoft Office Word</Application>
  <DocSecurity>0</DocSecurity>
  <Lines>39</Lines>
  <Paragraphs>11</Paragraphs>
  <ScaleCrop>false</ScaleCrop>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 xu</dc:creator>
  <cp:lastModifiedBy>Huang Ann</cp:lastModifiedBy>
  <cp:revision>9</cp:revision>
  <dcterms:created xsi:type="dcterms:W3CDTF">2024-12-03T02:48:00Z</dcterms:created>
  <dcterms:modified xsi:type="dcterms:W3CDTF">2024-12-23T14:58:00Z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249A3CE242FE4756A9146D77CDEB4E8B_13</vt:lpwstr>
  </property>
</Properties>
</file>