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34"/>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艾蒿栽培技术规程</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regulation </w:t>
      </w:r>
      <w:r>
        <w:rPr>
          <w:rFonts w:hint="eastAsia" w:ascii="黑体" w:hAnsi="黑体" w:eastAsia="黑体"/>
          <w:szCs w:val="28"/>
        </w:rPr>
        <w:t>of</w:t>
      </w:r>
      <w:r>
        <w:rPr>
          <w:rFonts w:ascii="黑体" w:hAnsi="黑体" w:eastAsia="黑体"/>
          <w:szCs w:val="28"/>
        </w:rPr>
        <w:t xml:space="preserve"> </w:t>
      </w:r>
      <w:r>
        <w:rPr>
          <w:rFonts w:hint="eastAsia" w:ascii="黑体" w:hAnsi="黑体" w:eastAsia="黑体"/>
          <w:szCs w:val="28"/>
        </w:rPr>
        <w:t>cultivation</w:t>
      </w:r>
      <w:r>
        <w:rPr>
          <w:rFonts w:ascii="黑体" w:hAnsi="黑体" w:eastAsia="黑体"/>
          <w:szCs w:val="28"/>
        </w:rPr>
        <w:t xml:space="preserve"> for Artemisia argyi</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（本草案完成时间：2024.11.07）</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180623873"/>
      <w:bookmarkStart w:id="23" w:name="_Toc180623919"/>
      <w:bookmarkStart w:id="24" w:name="_Toc180623803"/>
      <w:bookmarkStart w:id="25" w:name="_Toc180624115"/>
      <w:bookmarkStart w:id="26" w:name="_Toc180623990"/>
      <w:bookmarkStart w:id="27" w:name="_Toc180623896"/>
      <w:bookmarkStart w:id="28" w:name="_Toc180623850"/>
      <w:bookmarkStart w:id="29" w:name="_Toc180707634"/>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"_Toc181914960" </w:instrText>
      </w:r>
      <w:r>
        <w:fldChar w:fldCharType="separate"/>
      </w:r>
      <w:r>
        <w:rPr>
          <w:rStyle w:val="31"/>
        </w:rPr>
        <w:t>前言</w:t>
      </w:r>
      <w:r>
        <w:tab/>
      </w:r>
      <w:r>
        <w:fldChar w:fldCharType="begin"/>
      </w:r>
      <w:r>
        <w:instrText xml:space="preserve"> PAGEREF _Toc181914960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"_Toc181914961" </w:instrText>
      </w:r>
      <w:r>
        <w:fldChar w:fldCharType="separate"/>
      </w:r>
      <w:r>
        <w:rPr>
          <w:rStyle w:val="31"/>
        </w:rPr>
        <w:t>1  范围</w:t>
      </w:r>
      <w:r>
        <w:tab/>
      </w:r>
      <w:r>
        <w:fldChar w:fldCharType="begin"/>
      </w:r>
      <w:r>
        <w:instrText xml:space="preserve"> PAGEREF _Toc181914961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"_Toc181914962" </w:instrText>
      </w:r>
      <w:r>
        <w:fldChar w:fldCharType="separate"/>
      </w:r>
      <w:r>
        <w:rPr>
          <w:rStyle w:val="31"/>
        </w:rPr>
        <w:t>2  规范性引用文件</w:t>
      </w:r>
      <w:r>
        <w:tab/>
      </w:r>
      <w:r>
        <w:fldChar w:fldCharType="begin"/>
      </w:r>
      <w:r>
        <w:instrText xml:space="preserve"> PAGEREF _Toc181914962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"_Toc181914963" </w:instrText>
      </w:r>
      <w:r>
        <w:fldChar w:fldCharType="separate"/>
      </w:r>
      <w:r>
        <w:rPr>
          <w:rStyle w:val="31"/>
        </w:rPr>
        <w:t>3  术语和定义</w:t>
      </w:r>
      <w:r>
        <w:tab/>
      </w:r>
      <w:r>
        <w:fldChar w:fldCharType="begin"/>
      </w:r>
      <w:r>
        <w:instrText xml:space="preserve"> PAGEREF _Toc181914963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"_Toc181914964" </w:instrText>
      </w:r>
      <w:r>
        <w:fldChar w:fldCharType="separate"/>
      </w:r>
      <w:r>
        <w:rPr>
          <w:rStyle w:val="31"/>
        </w:rPr>
        <w:t>4  基地建设</w:t>
      </w:r>
      <w:r>
        <w:tab/>
      </w:r>
      <w:r>
        <w:fldChar w:fldCharType="begin"/>
      </w:r>
      <w:r>
        <w:instrText xml:space="preserve"> PAGEREF _Toc181914964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"_Toc181914965" </w:instrText>
      </w:r>
      <w:r>
        <w:fldChar w:fldCharType="separate"/>
      </w:r>
      <w:r>
        <w:rPr>
          <w:rStyle w:val="31"/>
        </w:rPr>
        <w:t>5  栽种</w:t>
      </w:r>
      <w:r>
        <w:tab/>
      </w:r>
      <w:r>
        <w:fldChar w:fldCharType="begin"/>
      </w:r>
      <w:r>
        <w:instrText xml:space="preserve"> PAGEREF _Toc181914965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"_Toc181914966" </w:instrText>
      </w:r>
      <w:r>
        <w:fldChar w:fldCharType="separate"/>
      </w:r>
      <w:r>
        <w:rPr>
          <w:rStyle w:val="31"/>
        </w:rPr>
        <w:t>6  田间管理</w:t>
      </w:r>
      <w:r>
        <w:tab/>
      </w:r>
      <w:r>
        <w:fldChar w:fldCharType="begin"/>
      </w:r>
      <w:r>
        <w:instrText xml:space="preserve"> PAGEREF _Toc181914966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"_Toc181914967" </w:instrText>
      </w:r>
      <w:r>
        <w:fldChar w:fldCharType="separate"/>
      </w:r>
      <w:r>
        <w:rPr>
          <w:rStyle w:val="31"/>
        </w:rPr>
        <w:t>7  病虫害防治</w:t>
      </w:r>
      <w:r>
        <w:tab/>
      </w:r>
      <w:r>
        <w:fldChar w:fldCharType="begin"/>
      </w:r>
      <w:r>
        <w:instrText xml:space="preserve"> PAGEREF _Toc181914967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"_Toc181914968" </w:instrText>
      </w:r>
      <w:r>
        <w:fldChar w:fldCharType="separate"/>
      </w:r>
      <w:r>
        <w:rPr>
          <w:rStyle w:val="31"/>
        </w:rPr>
        <w:t>8  采收</w:t>
      </w:r>
      <w:r>
        <w:tab/>
      </w:r>
      <w:r>
        <w:fldChar w:fldCharType="begin"/>
      </w:r>
      <w:r>
        <w:instrText xml:space="preserve"> PAGEREF _Toc181914968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"_Toc181914969" </w:instrText>
      </w:r>
      <w:r>
        <w:fldChar w:fldCharType="separate"/>
      </w:r>
      <w:r>
        <w:rPr>
          <w:rStyle w:val="31"/>
        </w:rPr>
        <w:t>9  包装和储存</w:t>
      </w:r>
      <w:r>
        <w:tab/>
      </w:r>
      <w:r>
        <w:fldChar w:fldCharType="begin"/>
      </w:r>
      <w:r>
        <w:instrText xml:space="preserve"> PAGEREF _Toc181914969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"_Toc181914970" </w:instrText>
      </w:r>
      <w:r>
        <w:fldChar w:fldCharType="separate"/>
      </w:r>
      <w:r>
        <w:rPr>
          <w:rStyle w:val="31"/>
        </w:rPr>
        <w:t>10  田间档案</w:t>
      </w:r>
      <w:r>
        <w:tab/>
      </w:r>
      <w:r>
        <w:fldChar w:fldCharType="begin"/>
      </w:r>
      <w:r>
        <w:instrText xml:space="preserve"> PAGEREF _Toc181914970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"_Toc181914971" </w:instrText>
      </w:r>
      <w:r>
        <w:fldChar w:fldCharType="separate"/>
      </w:r>
      <w:r>
        <w:rPr>
          <w:rStyle w:val="31"/>
        </w:rPr>
        <w:t>参考文献</w:t>
      </w:r>
      <w:r>
        <w:tab/>
      </w:r>
      <w:r>
        <w:fldChar w:fldCharType="begin"/>
      </w:r>
      <w:r>
        <w:instrText xml:space="preserve"> PAGEREF _Toc181914971 \h </w:instrText>
      </w:r>
      <w:r>
        <w:fldChar w:fldCharType="separate"/>
      </w:r>
      <w:r>
        <w:t>6</w:t>
      </w:r>
      <w:r>
        <w:fldChar w:fldCharType="end"/>
      </w:r>
      <w:r>
        <w:fldChar w:fldCharType="end"/>
      </w:r>
    </w:p>
    <w:p>
      <w:pPr>
        <w:pStyle w:val="92"/>
        <w:spacing w:after="468"/>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before="900" w:after="468"/>
      </w:pPr>
      <w:bookmarkStart w:id="30" w:name="_Toc181914960"/>
      <w:bookmarkStart w:id="31" w:name="BookMark2"/>
      <w:r>
        <w:rPr>
          <w:spacing w:val="320"/>
        </w:rPr>
        <w:t>前</w:t>
      </w:r>
      <w:r>
        <w:t>言</w:t>
      </w:r>
      <w:bookmarkEnd w:id="22"/>
      <w:bookmarkEnd w:id="23"/>
      <w:bookmarkEnd w:id="24"/>
      <w:bookmarkEnd w:id="25"/>
      <w:bookmarkEnd w:id="26"/>
      <w:bookmarkEnd w:id="27"/>
      <w:bookmarkEnd w:id="28"/>
      <w:bookmarkEnd w:id="29"/>
      <w:bookmarkEnd w:id="30"/>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请注意本文件的某些内容可能涉及专利。本文件的发布机构不承担识别这些专利的责任。</w:t>
      </w:r>
    </w:p>
    <w:p>
      <w:pPr>
        <w:pStyle w:val="57"/>
        <w:ind w:firstLine="420"/>
      </w:pPr>
      <w:r>
        <w:rPr>
          <w:rFonts w:hint="eastAsia"/>
        </w:rPr>
        <w:t>本标准由</w:t>
      </w:r>
      <w:r>
        <w:rPr>
          <w:rFonts w:hint="eastAsia"/>
          <w:lang w:eastAsia="zh-CN"/>
        </w:rPr>
        <w:t>湖</w:t>
      </w:r>
      <w:r>
        <w:rPr>
          <w:rFonts w:hint="eastAsia"/>
        </w:rPr>
        <w:t>南省农业农村厅提出。</w:t>
      </w:r>
      <w:bookmarkStart w:id="193" w:name="_GoBack"/>
      <w:bookmarkEnd w:id="193"/>
    </w:p>
    <w:p>
      <w:pPr>
        <w:pStyle w:val="57"/>
        <w:ind w:firstLine="420"/>
      </w:pPr>
      <w:r>
        <w:rPr>
          <w:rFonts w:hint="eastAsia"/>
        </w:rPr>
        <w:t>本标准由湖南省农业标准化技术委员会归口。</w:t>
      </w:r>
    </w:p>
    <w:p>
      <w:pPr>
        <w:pStyle w:val="57"/>
        <w:ind w:firstLine="420"/>
      </w:pPr>
      <w:r>
        <w:rPr>
          <w:rFonts w:hint="eastAsia"/>
        </w:rPr>
        <w:t>本标准起草单位：湖南人文科技学院、新化辉妹子农业开发有限公司、娄底市农业科学研究所、湖南省农业科学院、娄底市科技信息中心</w:t>
      </w:r>
    </w:p>
    <w:p>
      <w:pPr>
        <w:pStyle w:val="57"/>
        <w:ind w:firstLine="420"/>
      </w:pPr>
      <w:r>
        <w:rPr>
          <w:rFonts w:hint="eastAsia"/>
        </w:rPr>
        <w:t>本标准主要起草人：陈致印、罗朝辉、朱友鹏、黄静、黄皓森、杨岚琪、唐海鹰、龚意辉、聂琼、张志雄</w:t>
      </w:r>
    </w:p>
    <w:p>
      <w:pPr>
        <w:pStyle w:val="57"/>
        <w:ind w:firstLine="420"/>
      </w:pP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31"/>
    <w:p>
      <w:pPr>
        <w:spacing w:line="20" w:lineRule="exact"/>
        <w:jc w:val="center"/>
        <w:rPr>
          <w:rFonts w:ascii="黑体" w:hAnsi="黑体" w:eastAsia="黑体"/>
          <w:sz w:val="32"/>
          <w:szCs w:val="32"/>
        </w:rPr>
      </w:pPr>
      <w:bookmarkStart w:id="32" w:name="BookMark4"/>
    </w:p>
    <w:p>
      <w:pPr>
        <w:spacing w:line="20" w:lineRule="exact"/>
        <w:jc w:val="center"/>
        <w:rPr>
          <w:rFonts w:ascii="黑体" w:hAnsi="黑体" w:eastAsia="黑体"/>
          <w:sz w:val="32"/>
          <w:szCs w:val="32"/>
        </w:rPr>
      </w:pPr>
    </w:p>
    <w:sdt>
      <w:sdtPr>
        <w:tag w:val="NEW_STAND_NAME"/>
        <w:id w:val="595910757"/>
        <w:lock w:val="sdtLocked"/>
        <w:placeholder>
          <w:docPart w:val="DACC13A1A6B74D07846A0B51C973FD4A"/>
        </w:placeholder>
      </w:sdtPr>
      <w:sdtContent>
        <w:p>
          <w:pPr>
            <w:pStyle w:val="178"/>
            <w:spacing w:before="3" w:beforeLines="1" w:after="686" w:afterLines="220"/>
          </w:pPr>
          <w:bookmarkStart w:id="33" w:name="NEW_STAND_NAME"/>
          <w:r>
            <w:rPr>
              <w:rFonts w:hint="eastAsia"/>
            </w:rPr>
            <w:t>艾蒿栽培技术规程</w:t>
          </w:r>
        </w:p>
      </w:sdtContent>
    </w:sdt>
    <w:bookmarkEnd w:id="33"/>
    <w:p>
      <w:pPr>
        <w:pStyle w:val="105"/>
        <w:spacing w:before="312" w:after="312"/>
      </w:pPr>
      <w:bookmarkStart w:id="34" w:name="_Toc180624116"/>
      <w:bookmarkStart w:id="35" w:name="_Toc97191423"/>
      <w:bookmarkStart w:id="36" w:name="_Toc180623804"/>
      <w:bookmarkStart w:id="37" w:name="_Toc180623851"/>
      <w:bookmarkStart w:id="38" w:name="_Toc180623874"/>
      <w:bookmarkStart w:id="39" w:name="_Toc26718930"/>
      <w:bookmarkStart w:id="40" w:name="_Toc26986771"/>
      <w:bookmarkStart w:id="41" w:name="_Toc26648465"/>
      <w:bookmarkStart w:id="42" w:name="_Toc24884218"/>
      <w:bookmarkStart w:id="43" w:name="_Toc17233333"/>
      <w:bookmarkStart w:id="44" w:name="_Toc24884211"/>
      <w:bookmarkStart w:id="45" w:name="_Toc26986530"/>
      <w:bookmarkStart w:id="46" w:name="_Toc180623920"/>
      <w:bookmarkStart w:id="47" w:name="_Toc17233325"/>
      <w:bookmarkStart w:id="48" w:name="_Toc180623897"/>
      <w:bookmarkStart w:id="49" w:name="_Toc180623991"/>
      <w:bookmarkStart w:id="50" w:name="_Toc180707635"/>
      <w:bookmarkStart w:id="51" w:name="_Toc181914961"/>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57"/>
        <w:ind w:firstLine="420"/>
      </w:pPr>
      <w:bookmarkStart w:id="52" w:name="_Toc17233334"/>
      <w:bookmarkStart w:id="53" w:name="_Toc24884212"/>
      <w:bookmarkStart w:id="54" w:name="_Toc26648466"/>
      <w:bookmarkStart w:id="55" w:name="_Toc24884219"/>
      <w:bookmarkStart w:id="56" w:name="_Toc17233326"/>
      <w:r>
        <w:rPr>
          <w:rFonts w:hint="eastAsia"/>
        </w:rPr>
        <w:t>本标准规定了艾蒿（</w:t>
      </w:r>
      <w:r>
        <w:rPr>
          <w:i/>
          <w:iCs/>
        </w:rPr>
        <w:t>Artemisia argyi</w:t>
      </w:r>
      <w:r>
        <w:rPr>
          <w:rFonts w:hint="eastAsia"/>
        </w:rPr>
        <w:t>）的术语和定义、基地建设、栽种、田间管理、病虫害防治、采收、包装和储存等各项技术要求。</w:t>
      </w:r>
    </w:p>
    <w:p>
      <w:pPr>
        <w:pStyle w:val="57"/>
        <w:ind w:firstLine="420"/>
      </w:pPr>
      <w:r>
        <w:rPr>
          <w:rFonts w:hint="eastAsia"/>
        </w:rPr>
        <w:t>本标准适用于湖南省境内艾蒿栽培。</w:t>
      </w:r>
    </w:p>
    <w:p>
      <w:pPr>
        <w:pStyle w:val="105"/>
        <w:spacing w:before="312" w:after="312"/>
      </w:pPr>
      <w:bookmarkStart w:id="57" w:name="_Toc180623921"/>
      <w:bookmarkStart w:id="58" w:name="_Toc180623898"/>
      <w:bookmarkStart w:id="59" w:name="_Toc180623852"/>
      <w:bookmarkStart w:id="60" w:name="_Toc97191424"/>
      <w:bookmarkStart w:id="61" w:name="_Toc180707636"/>
      <w:bookmarkStart w:id="62" w:name="_Toc26986772"/>
      <w:bookmarkStart w:id="63" w:name="_Toc180623992"/>
      <w:bookmarkStart w:id="64" w:name="_Toc26718931"/>
      <w:bookmarkStart w:id="65" w:name="_Toc26986531"/>
      <w:bookmarkStart w:id="66" w:name="_Toc180623805"/>
      <w:bookmarkStart w:id="67" w:name="_Toc180624117"/>
      <w:bookmarkStart w:id="68" w:name="_Toc180623875"/>
      <w:bookmarkStart w:id="69" w:name="_Toc181914962"/>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A075E03D13764A41A83A2496E1482E2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t>GB 3095 环境</w:t>
      </w:r>
      <w:r>
        <w:rPr>
          <w:rFonts w:hint="eastAsia"/>
        </w:rPr>
        <w:t>空气</w:t>
      </w:r>
      <w:r>
        <w:t>质量标准</w:t>
      </w:r>
    </w:p>
    <w:p>
      <w:pPr>
        <w:pStyle w:val="57"/>
        <w:ind w:firstLine="420"/>
      </w:pPr>
      <w:r>
        <w:t>GB 5084 农田灌溉水质标准</w:t>
      </w:r>
    </w:p>
    <w:p>
      <w:pPr>
        <w:pStyle w:val="57"/>
        <w:ind w:firstLine="420"/>
      </w:pPr>
      <w:r>
        <w:t>GB 15618 土壤环境质量 农用地土壤污染风险管控标准</w:t>
      </w:r>
    </w:p>
    <w:p>
      <w:pPr>
        <w:pStyle w:val="57"/>
        <w:ind w:firstLine="420"/>
      </w:pPr>
      <w:r>
        <w:t>GB/T 8321.</w:t>
      </w:r>
      <w:r>
        <w:rPr>
          <w:rFonts w:hint="eastAsia"/>
        </w:rPr>
        <w:t>10</w:t>
      </w:r>
      <w:r>
        <w:t xml:space="preserve"> 农药合理使用准则</w:t>
      </w:r>
      <w:r>
        <w:rPr>
          <w:rFonts w:hint="eastAsia"/>
        </w:rPr>
        <w:t>（十）</w:t>
      </w:r>
    </w:p>
    <w:p>
      <w:pPr>
        <w:pStyle w:val="57"/>
        <w:ind w:firstLine="420"/>
      </w:pPr>
      <w:r>
        <w:t>NY/T 496</w:t>
      </w:r>
      <w:r>
        <w:rPr>
          <w:rFonts w:hint="eastAsia"/>
        </w:rPr>
        <w:t xml:space="preserve"> </w:t>
      </w:r>
      <w:r>
        <w:t>肥料合理使用准则</w:t>
      </w:r>
      <w:r>
        <w:rPr>
          <w:rFonts w:hint="eastAsia"/>
        </w:rPr>
        <w:t xml:space="preserve"> </w:t>
      </w:r>
      <w:r>
        <w:t>通则</w:t>
      </w:r>
    </w:p>
    <w:p>
      <w:pPr>
        <w:pStyle w:val="57"/>
        <w:ind w:firstLine="420"/>
        <w:rPr>
          <w:rFonts w:hAnsi="宋体"/>
        </w:rPr>
      </w:pPr>
      <w:r>
        <w:fldChar w:fldCharType="begin"/>
      </w:r>
      <w:r>
        <w:instrText xml:space="preserve"> HYPERLINK "https://www.doc88.com/p-77047197534013.html" \t "_blank" </w:instrText>
      </w:r>
      <w:r>
        <w:fldChar w:fldCharType="separate"/>
      </w:r>
      <w:r>
        <w:t>NY/T</w:t>
      </w:r>
      <w:r>
        <w:rPr>
          <w:rStyle w:val="31"/>
          <w:rFonts w:hAnsi="宋体"/>
        </w:rPr>
        <w:t xml:space="preserve"> 1868</w:t>
      </w:r>
      <w:r>
        <w:rPr>
          <w:rStyle w:val="31"/>
          <w:rFonts w:hint="eastAsia" w:hAnsi="宋体"/>
        </w:rPr>
        <w:t xml:space="preserve"> </w:t>
      </w:r>
      <w:r>
        <w:rPr>
          <w:rStyle w:val="31"/>
          <w:rFonts w:hAnsi="宋体"/>
        </w:rPr>
        <w:t>肥料合理使用准则</w:t>
      </w:r>
      <w:r>
        <w:rPr>
          <w:rStyle w:val="31"/>
          <w:rFonts w:hAnsi="宋体"/>
        </w:rPr>
        <w:fldChar w:fldCharType="end"/>
      </w:r>
      <w:r>
        <w:rPr>
          <w:rFonts w:hint="eastAsia" w:hAnsi="宋体"/>
        </w:rPr>
        <w:t xml:space="preserve"> 有机肥料</w:t>
      </w:r>
    </w:p>
    <w:p>
      <w:pPr>
        <w:pStyle w:val="57"/>
        <w:ind w:firstLine="420"/>
      </w:pPr>
      <w:r>
        <w:rPr>
          <w:rFonts w:hint="eastAsia"/>
        </w:rPr>
        <w:t>NY/T 1276 农药安全使用规范 总则</w:t>
      </w:r>
    </w:p>
    <w:p>
      <w:pPr>
        <w:pStyle w:val="57"/>
        <w:ind w:firstLine="420"/>
      </w:pPr>
      <w:r>
        <w:t>NY/T 5010</w:t>
      </w:r>
      <w:r>
        <w:rPr>
          <w:rFonts w:hint="eastAsia"/>
        </w:rPr>
        <w:t xml:space="preserve"> </w:t>
      </w:r>
      <w:r>
        <w:t>无公害农产品 种植业产地环境条件</w:t>
      </w:r>
    </w:p>
    <w:p>
      <w:pPr>
        <w:pStyle w:val="57"/>
        <w:ind w:firstLine="420"/>
        <w:rPr>
          <w:rFonts w:hAnsi="宋体"/>
        </w:rPr>
      </w:pPr>
      <w:r>
        <w:rPr>
          <w:rFonts w:hint="eastAsia" w:hAnsi="宋体"/>
        </w:rPr>
        <w:t>SB/T 11182 中药材包装技术规范</w:t>
      </w:r>
    </w:p>
    <w:p>
      <w:pPr>
        <w:pStyle w:val="105"/>
        <w:spacing w:before="312" w:after="312"/>
        <w:rPr>
          <w:szCs w:val="21"/>
        </w:rPr>
      </w:pPr>
      <w:bookmarkStart w:id="70" w:name="_Toc180623899"/>
      <w:bookmarkStart w:id="71" w:name="_Toc180623876"/>
      <w:bookmarkStart w:id="72" w:name="_Toc180623853"/>
      <w:bookmarkStart w:id="73" w:name="_Toc180623806"/>
      <w:bookmarkStart w:id="74" w:name="_Toc97191425"/>
      <w:bookmarkStart w:id="75" w:name="_Toc180623922"/>
      <w:bookmarkStart w:id="76" w:name="_Toc180623993"/>
      <w:bookmarkStart w:id="77" w:name="_Toc180624118"/>
      <w:bookmarkStart w:id="78" w:name="_Toc180707637"/>
      <w:bookmarkStart w:id="79" w:name="_Toc181914963"/>
      <w:r>
        <w:rPr>
          <w:rFonts w:hint="eastAsia"/>
          <w:szCs w:val="21"/>
        </w:rPr>
        <w:t>术语和定义</w:t>
      </w:r>
      <w:bookmarkEnd w:id="70"/>
      <w:bookmarkEnd w:id="71"/>
      <w:bookmarkEnd w:id="72"/>
      <w:bookmarkEnd w:id="73"/>
      <w:bookmarkEnd w:id="74"/>
      <w:bookmarkEnd w:id="75"/>
      <w:bookmarkEnd w:id="76"/>
      <w:bookmarkEnd w:id="77"/>
      <w:bookmarkEnd w:id="78"/>
      <w:bookmarkEnd w:id="79"/>
    </w:p>
    <w:sdt>
      <w:sdtPr>
        <w:id w:val="-1909835108"/>
        <w:placeholder>
          <w:docPart w:val="413B496652864AF68AFF019C3370E54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80" w:name="_Toc26986532"/>
          <w:bookmarkEnd w:id="80"/>
          <w:r>
            <w:t>下列术语和定义适用于本文件。</w:t>
          </w:r>
        </w:p>
      </w:sdtContent>
    </w:sdt>
    <w:p>
      <w:pPr>
        <w:pStyle w:val="106"/>
        <w:spacing w:before="156" w:after="156"/>
      </w:pPr>
      <w:bookmarkStart w:id="81" w:name="_Toc180624119"/>
      <w:bookmarkStart w:id="82" w:name="_Toc180623900"/>
      <w:bookmarkStart w:id="83" w:name="_Toc180623994"/>
      <w:bookmarkStart w:id="84" w:name="_Toc180623923"/>
      <w:bookmarkStart w:id="85" w:name="_Toc180623877"/>
      <w:bookmarkStart w:id="86" w:name="_Toc180623854"/>
      <w:bookmarkStart w:id="87" w:name="_Toc180623807"/>
    </w:p>
    <w:p>
      <w:pPr>
        <w:pStyle w:val="57"/>
        <w:ind w:firstLine="420"/>
      </w:pPr>
      <w:r>
        <w:rPr>
          <w:rFonts w:hint="eastAsia" w:ascii="黑体" w:hAnsi="黑体" w:eastAsia="黑体"/>
        </w:rPr>
        <w:t>艾蒿 Artemisia argyi</w:t>
      </w:r>
    </w:p>
    <w:p>
      <w:pPr>
        <w:pStyle w:val="57"/>
        <w:ind w:firstLine="420"/>
      </w:pPr>
      <w:r>
        <w:rPr>
          <w:rFonts w:hint="eastAsia"/>
        </w:rPr>
        <w:t>别名包括萧茅、冰台、遏草、香艾等，属于菊科蒿属，是一种多年生草本或略成半灌木状的植物。</w:t>
      </w:r>
    </w:p>
    <w:p>
      <w:pPr>
        <w:pStyle w:val="57"/>
        <w:ind w:firstLine="0" w:firstLineChars="0"/>
      </w:pPr>
      <w:r>
        <w:rPr>
          <w:rFonts w:hint="eastAsia"/>
        </w:rPr>
        <w:t>它的叶子呈羽状分裂，表面绿色，叶厚纸质背面密被灰白色短绒毛，具有浓烈的香气和独特的药用价值。</w:t>
      </w:r>
    </w:p>
    <w:p>
      <w:pPr>
        <w:pStyle w:val="106"/>
        <w:spacing w:before="156" w:after="156"/>
        <w:ind w:left="0"/>
      </w:pPr>
    </w:p>
    <w:p>
      <w:pPr>
        <w:pStyle w:val="57"/>
        <w:ind w:firstLine="420"/>
        <w:rPr>
          <w:rFonts w:ascii="黑体" w:hAnsi="黑体" w:eastAsia="黑体"/>
        </w:rPr>
      </w:pPr>
      <w:r>
        <w:rPr>
          <w:rFonts w:hint="eastAsia" w:ascii="黑体" w:hAnsi="黑体" w:eastAsia="黑体"/>
        </w:rPr>
        <w:t xml:space="preserve">根状茎 </w:t>
      </w:r>
      <w:r>
        <w:rPr>
          <w:rFonts w:ascii="黑体" w:hAnsi="黑体" w:eastAsia="黑体"/>
        </w:rPr>
        <w:t>R</w:t>
      </w:r>
      <w:r>
        <w:rPr>
          <w:rFonts w:hint="eastAsia" w:ascii="黑体" w:hAnsi="黑体" w:eastAsia="黑体"/>
        </w:rPr>
        <w:t>hizomes</w:t>
      </w:r>
    </w:p>
    <w:p>
      <w:pPr>
        <w:pStyle w:val="57"/>
        <w:ind w:firstLine="420"/>
      </w:pPr>
      <w:r>
        <w:rPr>
          <w:rFonts w:hint="eastAsia"/>
        </w:rPr>
        <w:t>也称为根茎，属于地下茎类型，是多年生植物的一种特殊变态茎，具有横生的肉质茎，明显的节和节间，先端生有顶芽，节上通常有退化的鳞片叶与腋芽，并常生有不定根，能长出根和芽，其中一些芽发育成新的地上部分（茎和叶），而其他芽则可以形成新的根状茎，常用作无性繁殖材料。</w:t>
      </w:r>
    </w:p>
    <w:p>
      <w:pPr>
        <w:pStyle w:val="105"/>
        <w:spacing w:before="312" w:after="312"/>
        <w:rPr>
          <w:szCs w:val="21"/>
        </w:rPr>
      </w:pPr>
      <w:bookmarkStart w:id="88" w:name="_Toc180707638"/>
      <w:bookmarkStart w:id="89" w:name="_Toc181914964"/>
      <w:r>
        <w:rPr>
          <w:rFonts w:hint="eastAsia"/>
          <w:szCs w:val="21"/>
        </w:rPr>
        <w:t>基地建设</w:t>
      </w:r>
      <w:bookmarkEnd w:id="81"/>
      <w:bookmarkEnd w:id="82"/>
      <w:bookmarkEnd w:id="83"/>
      <w:bookmarkEnd w:id="84"/>
      <w:bookmarkEnd w:id="85"/>
      <w:bookmarkEnd w:id="86"/>
      <w:bookmarkEnd w:id="87"/>
      <w:bookmarkEnd w:id="88"/>
      <w:bookmarkEnd w:id="89"/>
      <w:bookmarkStart w:id="90" w:name="_Toc180623808"/>
      <w:bookmarkStart w:id="91" w:name="_Toc180623855"/>
      <w:bookmarkStart w:id="92" w:name="_Toc180623878"/>
      <w:bookmarkStart w:id="93" w:name="_Toc180623901"/>
      <w:bookmarkStart w:id="94" w:name="_Toc180623924"/>
    </w:p>
    <w:p>
      <w:pPr>
        <w:pStyle w:val="106"/>
        <w:spacing w:before="156" w:after="156"/>
      </w:pPr>
      <w:r>
        <w:rPr>
          <w:rFonts w:hint="eastAsia"/>
        </w:rPr>
        <w:t>产地环境</w:t>
      </w:r>
      <w:bookmarkEnd w:id="90"/>
      <w:bookmarkEnd w:id="91"/>
      <w:bookmarkEnd w:id="92"/>
      <w:bookmarkEnd w:id="93"/>
      <w:bookmarkEnd w:id="94"/>
    </w:p>
    <w:p>
      <w:pPr>
        <w:pStyle w:val="57"/>
        <w:ind w:firstLine="420"/>
      </w:pPr>
      <w:r>
        <w:rPr>
          <w:rFonts w:hint="eastAsia"/>
        </w:rPr>
        <w:t>环境空气质量应符合GB 3095的规定，土壤环境质量应符合GB 15618的规定，灌溉水质量应符合GB 5084的规定。</w:t>
      </w:r>
    </w:p>
    <w:p>
      <w:pPr>
        <w:pStyle w:val="106"/>
        <w:spacing w:before="156" w:after="156"/>
      </w:pPr>
      <w:r>
        <w:rPr>
          <w:rFonts w:hint="eastAsia"/>
        </w:rPr>
        <w:t>选地</w:t>
      </w:r>
    </w:p>
    <w:p>
      <w:pPr>
        <w:pStyle w:val="57"/>
        <w:ind w:firstLine="440"/>
      </w:pPr>
      <w:r>
        <w:rPr>
          <w:rStyle w:val="232"/>
          <w:rFonts w:hint="default"/>
        </w:rPr>
        <w:t>选择距交通干道 200 m 以上或设有防尘林带的田块。土质为砂质壤土为佳，以土层深厚，土质肥沃，土壤疏松，排水良好的平地或 20°以下缓坡砂质壤土为宜。种植地突的环境</w:t>
      </w:r>
      <w:r>
        <w:rPr>
          <w:rFonts w:hint="eastAsia"/>
        </w:rPr>
        <w:t>符合</w:t>
      </w:r>
      <w:r>
        <w:t>NY/T 5010</w:t>
      </w:r>
      <w:r>
        <w:rPr>
          <w:rFonts w:hint="eastAsia"/>
        </w:rPr>
        <w:t>。</w:t>
      </w:r>
    </w:p>
    <w:p>
      <w:pPr>
        <w:pStyle w:val="106"/>
        <w:spacing w:before="156" w:after="156"/>
      </w:pPr>
      <w:bookmarkStart w:id="95" w:name="_Toc180623811"/>
      <w:bookmarkStart w:id="96" w:name="_Toc180623858"/>
      <w:bookmarkStart w:id="97" w:name="_Toc180623881"/>
      <w:bookmarkStart w:id="98" w:name="_Toc180623904"/>
      <w:bookmarkStart w:id="99" w:name="_Toc180623927"/>
      <w:bookmarkStart w:id="100" w:name="_Toc180623997"/>
      <w:r>
        <w:rPr>
          <w:rFonts w:hint="eastAsia"/>
        </w:rPr>
        <w:t>整地</w:t>
      </w:r>
      <w:bookmarkEnd w:id="95"/>
      <w:bookmarkEnd w:id="96"/>
      <w:bookmarkEnd w:id="97"/>
      <w:bookmarkEnd w:id="98"/>
      <w:bookmarkEnd w:id="99"/>
      <w:bookmarkEnd w:id="100"/>
    </w:p>
    <w:p>
      <w:pPr>
        <w:pStyle w:val="66"/>
        <w:spacing w:before="156" w:after="156"/>
      </w:pPr>
      <w:r>
        <w:rPr>
          <w:rFonts w:hint="eastAsia"/>
        </w:rPr>
        <w:t>深耕细耙</w:t>
      </w:r>
    </w:p>
    <w:p>
      <w:pPr>
        <w:pStyle w:val="165"/>
      </w:pPr>
      <w:r>
        <w:rPr>
          <w:rFonts w:hint="eastAsia"/>
        </w:rPr>
        <w:t>进行深翻30</w:t>
      </w:r>
      <w:r>
        <w:t xml:space="preserve"> </w:t>
      </w:r>
      <w:r>
        <w:rPr>
          <w:rFonts w:hint="eastAsia"/>
        </w:rPr>
        <w:t>cm，清除根茬和杂物，施入施基肥。</w:t>
      </w:r>
    </w:p>
    <w:p>
      <w:pPr>
        <w:pStyle w:val="165"/>
      </w:pPr>
      <w:r>
        <w:rPr>
          <w:rFonts w:hint="eastAsia"/>
        </w:rPr>
        <w:t>施基肥应符合NY/T 496和NY/T 1868的规定，不应使用重金属含量超标的有机肥料、矿质肥料以及城市生活垃圾、污泥。</w:t>
      </w:r>
    </w:p>
    <w:p>
      <w:pPr>
        <w:pStyle w:val="66"/>
        <w:spacing w:before="156" w:after="156"/>
      </w:pPr>
      <w:r>
        <w:rPr>
          <w:rFonts w:hint="eastAsia"/>
        </w:rPr>
        <w:t>土壤处理</w:t>
      </w:r>
    </w:p>
    <w:p>
      <w:pPr>
        <w:pStyle w:val="57"/>
        <w:ind w:firstLine="630" w:firstLineChars="300"/>
      </w:pPr>
      <w:r>
        <w:rPr>
          <w:rFonts w:hint="eastAsia"/>
        </w:rPr>
        <w:t>土壤应耙碎，晒田3d～5d。</w:t>
      </w:r>
    </w:p>
    <w:p>
      <w:pPr>
        <w:pStyle w:val="106"/>
        <w:spacing w:before="156" w:after="156"/>
      </w:pPr>
      <w:r>
        <w:rPr>
          <w:rFonts w:hint="eastAsia"/>
        </w:rPr>
        <w:t>作</w:t>
      </w:r>
      <w:r>
        <w:t>畦</w:t>
      </w:r>
    </w:p>
    <w:p>
      <w:pPr>
        <w:pStyle w:val="166"/>
      </w:pPr>
      <w:r>
        <w:rPr>
          <w:rFonts w:hint="eastAsia"/>
        </w:rPr>
        <w:t>艾畦地面应平整，确保水分分布均匀。</w:t>
      </w:r>
    </w:p>
    <w:p>
      <w:pPr>
        <w:pStyle w:val="166"/>
      </w:pPr>
      <w:r>
        <w:rPr>
          <w:rFonts w:hint="eastAsia"/>
        </w:rPr>
        <w:t>清除根状茎或块茎的野生植物，确保艾蒿健康生长。</w:t>
      </w:r>
    </w:p>
    <w:p>
      <w:pPr>
        <w:pStyle w:val="166"/>
      </w:pPr>
      <w:r>
        <w:rPr>
          <w:rFonts w:hint="eastAsia"/>
        </w:rPr>
        <w:t>畦宽为1</w:t>
      </w:r>
      <w:r>
        <w:t xml:space="preserve"> </w:t>
      </w:r>
      <w:r>
        <w:rPr>
          <w:rFonts w:hint="eastAsia"/>
        </w:rPr>
        <w:t>m～1.5</w:t>
      </w:r>
      <w:r>
        <w:t xml:space="preserve"> </w:t>
      </w:r>
      <w:r>
        <w:rPr>
          <w:rFonts w:hint="eastAsia"/>
        </w:rPr>
        <w:t>m，高25</w:t>
      </w:r>
      <w:r>
        <w:t xml:space="preserve"> </w:t>
      </w:r>
      <w:r>
        <w:rPr>
          <w:rFonts w:hint="eastAsia"/>
        </w:rPr>
        <w:t>cm，间距30</w:t>
      </w:r>
      <w:r>
        <w:t xml:space="preserve"> </w:t>
      </w:r>
      <w:r>
        <w:rPr>
          <w:rFonts w:hint="eastAsia"/>
        </w:rPr>
        <w:t>cm，</w:t>
      </w:r>
    </w:p>
    <w:p>
      <w:pPr>
        <w:pStyle w:val="105"/>
        <w:spacing w:before="312" w:after="312"/>
        <w:rPr>
          <w:szCs w:val="21"/>
        </w:rPr>
      </w:pPr>
      <w:bookmarkStart w:id="101" w:name="_Toc181914965"/>
      <w:bookmarkStart w:id="102" w:name="_Toc180623812"/>
      <w:bookmarkStart w:id="103" w:name="_Toc180623859"/>
      <w:bookmarkStart w:id="104" w:name="_Toc180623882"/>
      <w:bookmarkStart w:id="105" w:name="_Toc180623905"/>
      <w:bookmarkStart w:id="106" w:name="_Toc180623928"/>
      <w:bookmarkStart w:id="107" w:name="_Toc180623998"/>
      <w:bookmarkStart w:id="108" w:name="_Toc180624120"/>
      <w:r>
        <w:rPr>
          <w:rFonts w:hint="eastAsia"/>
          <w:szCs w:val="21"/>
        </w:rPr>
        <w:t>栽种</w:t>
      </w:r>
      <w:bookmarkEnd w:id="101"/>
    </w:p>
    <w:p>
      <w:pPr>
        <w:pStyle w:val="106"/>
        <w:spacing w:before="156" w:after="156"/>
      </w:pPr>
      <w:r>
        <w:rPr>
          <w:rFonts w:hint="eastAsia"/>
        </w:rPr>
        <w:t>种子选用与处理</w:t>
      </w:r>
    </w:p>
    <w:p>
      <w:pPr>
        <w:pStyle w:val="66"/>
        <w:spacing w:before="156" w:after="156"/>
      </w:pPr>
      <w:r>
        <w:rPr>
          <w:rFonts w:hint="eastAsia"/>
        </w:rPr>
        <w:t>种子选用</w:t>
      </w:r>
    </w:p>
    <w:p>
      <w:pPr>
        <w:pStyle w:val="57"/>
        <w:ind w:firstLine="420"/>
      </w:pPr>
      <w:r>
        <w:t>当瘦果呈浅黄绿色时，将成熟的种子带种穗剪下，放在通风处阴干，脱粒、过筛、簸去杂质，装入 布袋于干燥通风处室温储藏，防虫鼠害及霉变。</w:t>
      </w:r>
    </w:p>
    <w:p>
      <w:pPr>
        <w:pStyle w:val="66"/>
        <w:spacing w:before="156" w:after="156"/>
      </w:pPr>
      <w:r>
        <w:rPr>
          <w:rFonts w:hint="eastAsia"/>
        </w:rPr>
        <w:t>种子处理</w:t>
      </w:r>
    </w:p>
    <w:p>
      <w:pPr>
        <w:pStyle w:val="57"/>
        <w:ind w:firstLine="420"/>
      </w:pPr>
      <w:r>
        <w:rPr>
          <w:rFonts w:hint="eastAsia"/>
        </w:rPr>
        <w:t>在播种前1</w:t>
      </w:r>
      <w:r>
        <w:t xml:space="preserve"> </w:t>
      </w:r>
      <w:r>
        <w:rPr>
          <w:rFonts w:hint="eastAsia"/>
        </w:rPr>
        <w:t>d～2</w:t>
      </w:r>
      <w:r>
        <w:t xml:space="preserve"> </w:t>
      </w:r>
      <w:r>
        <w:rPr>
          <w:rFonts w:hint="eastAsia"/>
        </w:rPr>
        <w:t>d将种子放入35℃的温水中浸泡12</w:t>
      </w:r>
      <w:r>
        <w:t xml:space="preserve"> </w:t>
      </w:r>
      <w:r>
        <w:rPr>
          <w:rFonts w:hint="eastAsia"/>
        </w:rPr>
        <w:t>h，随后将初步浸泡过的种子转移到40℃～50℃的温水中浸泡8</w:t>
      </w:r>
      <w:r>
        <w:t xml:space="preserve"> </w:t>
      </w:r>
      <w:r>
        <w:rPr>
          <w:rFonts w:hint="eastAsia"/>
        </w:rPr>
        <w:t>h～12</w:t>
      </w:r>
      <w:r>
        <w:t xml:space="preserve"> </w:t>
      </w:r>
      <w:r>
        <w:rPr>
          <w:rFonts w:hint="eastAsia"/>
        </w:rPr>
        <w:t>h。浸泡时边搅拌边捞出浮在水面上的瘪籽和杂质，保留沉底的饱满种子，浸泡完成后，将饱满的种子捞出，控干多余的水分，备用于播种。</w:t>
      </w:r>
    </w:p>
    <w:p>
      <w:pPr>
        <w:pStyle w:val="106"/>
        <w:spacing w:before="156" w:after="156"/>
      </w:pPr>
      <w:r>
        <w:rPr>
          <w:rFonts w:hint="eastAsia"/>
        </w:rPr>
        <w:t>种子栽种</w:t>
      </w:r>
    </w:p>
    <w:p>
      <w:pPr>
        <w:pStyle w:val="66"/>
        <w:spacing w:before="156" w:after="156"/>
      </w:pPr>
      <w:r>
        <w:rPr>
          <w:rFonts w:hint="eastAsia"/>
        </w:rPr>
        <w:t>播种</w:t>
      </w:r>
    </w:p>
    <w:p>
      <w:pPr>
        <w:pStyle w:val="57"/>
        <w:ind w:firstLine="420"/>
      </w:pPr>
      <w:r>
        <w:rPr>
          <w:rFonts w:hint="eastAsia"/>
        </w:rPr>
        <w:t>在春季气温稳定于10℃～15℃时进行播种。将种子与少许细沙拌匀，选择撒播或条播，播种后轻微耙平。每亩用种量为50</w:t>
      </w:r>
      <w:r>
        <w:t xml:space="preserve"> </w:t>
      </w:r>
      <w:r>
        <w:rPr>
          <w:rFonts w:hint="eastAsia"/>
        </w:rPr>
        <w:t>g～85</w:t>
      </w:r>
      <w:r>
        <w:t xml:space="preserve"> </w:t>
      </w:r>
      <w:r>
        <w:rPr>
          <w:rFonts w:hint="eastAsia"/>
        </w:rPr>
        <w:t>g，覆上细土以盖住种子，并适量喷水，出苗后进行间苗和补苗。</w:t>
      </w:r>
    </w:p>
    <w:p>
      <w:pPr>
        <w:pStyle w:val="66"/>
        <w:spacing w:before="156" w:after="156"/>
      </w:pPr>
      <w:r>
        <w:rPr>
          <w:rFonts w:hint="eastAsia"/>
        </w:rPr>
        <w:t>移栽</w:t>
      </w:r>
    </w:p>
    <w:p>
      <w:pPr>
        <w:pStyle w:val="57"/>
        <w:ind w:firstLine="420"/>
      </w:pPr>
      <w:r>
        <w:rPr>
          <w:rFonts w:hint="eastAsia"/>
        </w:rPr>
        <w:t>苗高10</w:t>
      </w:r>
      <w:r>
        <w:t xml:space="preserve"> </w:t>
      </w:r>
      <w:r>
        <w:rPr>
          <w:rFonts w:hint="eastAsia"/>
        </w:rPr>
        <w:t>cm～15</w:t>
      </w:r>
      <w:r>
        <w:t xml:space="preserve"> </w:t>
      </w:r>
      <w:r>
        <w:rPr>
          <w:rFonts w:hint="eastAsia"/>
        </w:rPr>
        <w:t>cm时，在5月上中旬进行移栽。按行距40</w:t>
      </w:r>
      <w:r>
        <w:t xml:space="preserve"> </w:t>
      </w:r>
      <w:r>
        <w:rPr>
          <w:rFonts w:hint="eastAsia"/>
        </w:rPr>
        <w:t>cm～50</w:t>
      </w:r>
      <w:r>
        <w:t xml:space="preserve"> </w:t>
      </w:r>
      <w:r>
        <w:rPr>
          <w:rFonts w:hint="eastAsia"/>
        </w:rPr>
        <w:t>cm、株距20</w:t>
      </w:r>
      <w:r>
        <w:t xml:space="preserve"> </w:t>
      </w:r>
      <w:r>
        <w:rPr>
          <w:rFonts w:hint="eastAsia"/>
        </w:rPr>
        <w:t>cm～30</w:t>
      </w:r>
      <w:r>
        <w:t xml:space="preserve"> </w:t>
      </w:r>
      <w:r>
        <w:rPr>
          <w:rFonts w:hint="eastAsia"/>
        </w:rPr>
        <w:t>cm横向开沟栽植，沟深5</w:t>
      </w:r>
      <w:r>
        <w:t xml:space="preserve"> </w:t>
      </w:r>
      <w:r>
        <w:rPr>
          <w:rFonts w:hint="eastAsia"/>
        </w:rPr>
        <w:t>cm～8</w:t>
      </w:r>
      <w:r>
        <w:t xml:space="preserve"> </w:t>
      </w:r>
      <w:r>
        <w:rPr>
          <w:rFonts w:hint="eastAsia"/>
        </w:rPr>
        <w:t>cm，覆土至根颈部并压实，随即浇足定根水。</w:t>
      </w:r>
    </w:p>
    <w:p>
      <w:pPr>
        <w:pStyle w:val="106"/>
        <w:spacing w:before="156" w:after="156"/>
      </w:pPr>
      <w:r>
        <w:rPr>
          <w:rFonts w:hint="eastAsia"/>
        </w:rPr>
        <w:t>根状茎栽种</w:t>
      </w:r>
    </w:p>
    <w:p>
      <w:pPr>
        <w:pStyle w:val="57"/>
        <w:ind w:firstLine="420"/>
      </w:pPr>
      <w:r>
        <w:rPr>
          <w:rFonts w:hint="eastAsia"/>
        </w:rPr>
        <w:t>早春芽苞萌动前（2月中旬），挖取多年生地下根茎。选取肥嫩根状茎，切成10</w:t>
      </w:r>
      <w:r>
        <w:t xml:space="preserve"> </w:t>
      </w:r>
      <w:r>
        <w:rPr>
          <w:rFonts w:hint="eastAsia"/>
        </w:rPr>
        <w:t>cm～12</w:t>
      </w:r>
      <w:r>
        <w:t xml:space="preserve"> </w:t>
      </w:r>
      <w:r>
        <w:rPr>
          <w:rFonts w:hint="eastAsia"/>
        </w:rPr>
        <w:t>cm长的段，晾晒5</w:t>
      </w:r>
      <w:r>
        <w:t xml:space="preserve"> </w:t>
      </w:r>
      <w:r>
        <w:rPr>
          <w:rFonts w:hint="eastAsia"/>
        </w:rPr>
        <w:t>h～6</w:t>
      </w:r>
      <w:r>
        <w:t xml:space="preserve"> </w:t>
      </w:r>
      <w:r>
        <w:rPr>
          <w:rFonts w:hint="eastAsia"/>
        </w:rPr>
        <w:t>h。按行距40</w:t>
      </w:r>
      <w:r>
        <w:t xml:space="preserve"> </w:t>
      </w:r>
      <w:r>
        <w:rPr>
          <w:rFonts w:hint="eastAsia"/>
        </w:rPr>
        <w:t>cm～50</w:t>
      </w:r>
      <w:r>
        <w:t xml:space="preserve"> </w:t>
      </w:r>
      <w:r>
        <w:rPr>
          <w:rFonts w:hint="eastAsia"/>
        </w:rPr>
        <w:t>cm、株距20</w:t>
      </w:r>
      <w:r>
        <w:t xml:space="preserve"> </w:t>
      </w:r>
      <w:r>
        <w:rPr>
          <w:rFonts w:hint="eastAsia"/>
        </w:rPr>
        <w:t>cm～30</w:t>
      </w:r>
      <w:r>
        <w:t xml:space="preserve"> </w:t>
      </w:r>
      <w:r>
        <w:rPr>
          <w:rFonts w:hint="eastAsia"/>
        </w:rPr>
        <w:t>cm开沟，平铺栽植，然后覆土盖严并浇透水。宜选择阴雨天进行。</w:t>
      </w:r>
    </w:p>
    <w:p>
      <w:pPr>
        <w:pStyle w:val="106"/>
        <w:spacing w:before="156" w:after="156"/>
      </w:pPr>
      <w:r>
        <w:rPr>
          <w:rFonts w:hint="eastAsia"/>
        </w:rPr>
        <w:t>扦插栽种</w:t>
      </w:r>
    </w:p>
    <w:p>
      <w:pPr>
        <w:pStyle w:val="57"/>
        <w:ind w:firstLine="420"/>
      </w:pPr>
      <w:r>
        <w:rPr>
          <w:rFonts w:hint="eastAsia"/>
        </w:rPr>
        <w:t>在5月下旬至6月，从生长健壮的植株上剪取枝条，去除上部幼嫩茎尖和下部老化茎，剪成长10</w:t>
      </w:r>
      <w:r>
        <w:t xml:space="preserve"> </w:t>
      </w:r>
      <w:r>
        <w:rPr>
          <w:rFonts w:hint="eastAsia"/>
        </w:rPr>
        <w:t>cm～15</w:t>
      </w:r>
      <w:r>
        <w:t xml:space="preserve"> </w:t>
      </w:r>
      <w:r>
        <w:rPr>
          <w:rFonts w:hint="eastAsia"/>
        </w:rPr>
        <w:t>cm的插条。上端保留2片～3片叶，下端剪成斜面。扦插时按行距30</w:t>
      </w:r>
      <w:r>
        <w:t xml:space="preserve"> </w:t>
      </w:r>
      <w:r>
        <w:rPr>
          <w:rFonts w:hint="eastAsia"/>
        </w:rPr>
        <w:t>cm～50</w:t>
      </w:r>
      <w:r>
        <w:t xml:space="preserve"> </w:t>
      </w:r>
      <w:r>
        <w:rPr>
          <w:rFonts w:hint="eastAsia"/>
        </w:rPr>
        <w:t>cm开沟，插条按株距3</w:t>
      </w:r>
      <w:r>
        <w:t xml:space="preserve"> </w:t>
      </w:r>
      <w:r>
        <w:rPr>
          <w:rFonts w:hint="eastAsia"/>
        </w:rPr>
        <w:t>cm～4</w:t>
      </w:r>
      <w:r>
        <w:t xml:space="preserve"> </w:t>
      </w:r>
      <w:r>
        <w:rPr>
          <w:rFonts w:hint="eastAsia"/>
        </w:rPr>
        <w:t>cm放置于沟内，培土约10</w:t>
      </w:r>
      <w:r>
        <w:t xml:space="preserve"> </w:t>
      </w:r>
      <w:r>
        <w:rPr>
          <w:rFonts w:hint="eastAsia"/>
        </w:rPr>
        <w:t>cm，浇透水后保持土壤湿润。</w:t>
      </w:r>
    </w:p>
    <w:p>
      <w:pPr>
        <w:pStyle w:val="106"/>
        <w:spacing w:before="156" w:after="156"/>
      </w:pPr>
      <w:r>
        <w:rPr>
          <w:rFonts w:hint="eastAsia"/>
        </w:rPr>
        <w:t>分株栽种</w:t>
      </w:r>
    </w:p>
    <w:p>
      <w:pPr>
        <w:pStyle w:val="57"/>
        <w:ind w:firstLine="420"/>
      </w:pPr>
      <w:r>
        <w:rPr>
          <w:rFonts w:hint="eastAsia"/>
        </w:rPr>
        <w:t>于4月～5月，挖掘株丛，将其分成单株。按行距30</w:t>
      </w:r>
      <w:r>
        <w:t xml:space="preserve"> </w:t>
      </w:r>
      <w:r>
        <w:rPr>
          <w:rFonts w:hint="eastAsia"/>
        </w:rPr>
        <w:t>cm～50</w:t>
      </w:r>
      <w:r>
        <w:t xml:space="preserve"> </w:t>
      </w:r>
      <w:r>
        <w:rPr>
          <w:rFonts w:hint="eastAsia"/>
        </w:rPr>
        <w:t>cm、株距20</w:t>
      </w:r>
      <w:r>
        <w:t xml:space="preserve"> </w:t>
      </w:r>
      <w:r>
        <w:rPr>
          <w:rFonts w:hint="eastAsia"/>
        </w:rPr>
        <w:t>cm～30</w:t>
      </w:r>
      <w:r>
        <w:t xml:space="preserve"> </w:t>
      </w:r>
      <w:r>
        <w:rPr>
          <w:rFonts w:hint="eastAsia"/>
        </w:rPr>
        <w:t>cm进行栽植。</w:t>
      </w:r>
    </w:p>
    <w:bookmarkEnd w:id="102"/>
    <w:bookmarkEnd w:id="103"/>
    <w:bookmarkEnd w:id="104"/>
    <w:bookmarkEnd w:id="105"/>
    <w:bookmarkEnd w:id="106"/>
    <w:bookmarkEnd w:id="107"/>
    <w:bookmarkEnd w:id="108"/>
    <w:p>
      <w:pPr>
        <w:pStyle w:val="105"/>
        <w:spacing w:before="312" w:after="312"/>
        <w:rPr>
          <w:szCs w:val="21"/>
        </w:rPr>
      </w:pPr>
      <w:bookmarkStart w:id="109" w:name="_Toc180623813"/>
      <w:bookmarkStart w:id="110" w:name="_Toc180623860"/>
      <w:bookmarkStart w:id="111" w:name="_Toc180623883"/>
      <w:bookmarkStart w:id="112" w:name="_Toc180623906"/>
      <w:bookmarkStart w:id="113" w:name="_Toc180623929"/>
      <w:bookmarkStart w:id="114" w:name="_Toc180623999"/>
      <w:bookmarkStart w:id="115" w:name="_Toc180624121"/>
      <w:bookmarkStart w:id="116" w:name="_Toc180707640"/>
      <w:bookmarkStart w:id="117" w:name="_Toc181914966"/>
      <w:r>
        <w:rPr>
          <w:rFonts w:hint="eastAsia"/>
          <w:szCs w:val="21"/>
        </w:rPr>
        <w:t>田间管理</w:t>
      </w:r>
      <w:bookmarkEnd w:id="109"/>
      <w:bookmarkEnd w:id="110"/>
      <w:bookmarkEnd w:id="111"/>
      <w:bookmarkEnd w:id="112"/>
      <w:bookmarkEnd w:id="113"/>
      <w:bookmarkEnd w:id="114"/>
      <w:bookmarkEnd w:id="115"/>
      <w:bookmarkEnd w:id="116"/>
      <w:bookmarkEnd w:id="117"/>
    </w:p>
    <w:p>
      <w:pPr>
        <w:pStyle w:val="106"/>
        <w:spacing w:before="156" w:after="156"/>
      </w:pPr>
      <w:r>
        <w:rPr>
          <w:rFonts w:hint="eastAsia"/>
        </w:rPr>
        <w:t>水分管理</w:t>
      </w:r>
    </w:p>
    <w:p>
      <w:pPr>
        <w:pStyle w:val="57"/>
        <w:ind w:firstLine="420"/>
      </w:pPr>
      <w:r>
        <w:rPr>
          <w:rFonts w:hint="eastAsia"/>
        </w:rPr>
        <w:t>播种后，保持土壤湿润。出苗后如遇干旱，需及时灌溉；雨季应注意开沟排水。</w:t>
      </w:r>
    </w:p>
    <w:p>
      <w:pPr>
        <w:pStyle w:val="106"/>
        <w:spacing w:before="156" w:after="156"/>
      </w:pPr>
      <w:r>
        <w:rPr>
          <w:rFonts w:hint="eastAsia"/>
        </w:rPr>
        <w:t>追肥</w:t>
      </w:r>
    </w:p>
    <w:p>
      <w:pPr>
        <w:pStyle w:val="57"/>
        <w:ind w:firstLine="420"/>
      </w:pPr>
      <w:r>
        <w:rPr>
          <w:rFonts w:hint="eastAsia"/>
        </w:rPr>
        <w:t>第一年整地时每亩施入腐熟有机肥3000</w:t>
      </w:r>
      <w:r>
        <w:t xml:space="preserve"> </w:t>
      </w:r>
      <w:r>
        <w:rPr>
          <w:rFonts w:hint="eastAsia"/>
        </w:rPr>
        <w:t>kg～4000</w:t>
      </w:r>
      <w:r>
        <w:t xml:space="preserve"> </w:t>
      </w:r>
      <w:r>
        <w:rPr>
          <w:rFonts w:hint="eastAsia"/>
        </w:rPr>
        <w:t>kg，磷酸二铵10 kg作为底肥。第二年早春返青时每亩施入腐熟有机肥1500</w:t>
      </w:r>
      <w:r>
        <w:t xml:space="preserve"> </w:t>
      </w:r>
      <w:r>
        <w:rPr>
          <w:rFonts w:hint="eastAsia"/>
        </w:rPr>
        <w:t>kg～2000</w:t>
      </w:r>
      <w:r>
        <w:t xml:space="preserve"> </w:t>
      </w:r>
      <w:r>
        <w:rPr>
          <w:rFonts w:hint="eastAsia"/>
        </w:rPr>
        <w:t>kg或撒施30 kg三元复合肥。采收后每亩追施1000 kg腐熟有机肥。</w:t>
      </w:r>
    </w:p>
    <w:p>
      <w:pPr>
        <w:pStyle w:val="106"/>
        <w:spacing w:before="156" w:after="156"/>
      </w:pPr>
      <w:r>
        <w:rPr>
          <w:rFonts w:hint="eastAsia"/>
        </w:rPr>
        <w:t>除草</w:t>
      </w:r>
    </w:p>
    <w:p>
      <w:pPr>
        <w:pStyle w:val="57"/>
        <w:ind w:firstLine="420"/>
      </w:pPr>
      <w:r>
        <w:rPr>
          <w:rFonts w:hint="eastAsia"/>
        </w:rPr>
        <w:t>苗期应见草即除，生长期结合中耕及时除草。在苗高5</w:t>
      </w:r>
      <w:r>
        <w:t xml:space="preserve"> </w:t>
      </w:r>
      <w:r>
        <w:rPr>
          <w:rFonts w:hint="eastAsia"/>
        </w:rPr>
        <w:t>cm～6 cm时进行定苗和间苗，保持株距6</w:t>
      </w:r>
      <w:r>
        <w:t xml:space="preserve"> </w:t>
      </w:r>
      <w:r>
        <w:rPr>
          <w:rFonts w:hint="eastAsia"/>
        </w:rPr>
        <w:t>cm～8 cm。</w:t>
      </w:r>
    </w:p>
    <w:p>
      <w:pPr>
        <w:pStyle w:val="106"/>
        <w:spacing w:before="156" w:after="156"/>
      </w:pPr>
      <w:r>
        <w:rPr>
          <w:rFonts w:hint="eastAsia"/>
        </w:rPr>
        <w:t>疏根</w:t>
      </w:r>
    </w:p>
    <w:p>
      <w:pPr>
        <w:pStyle w:val="57"/>
        <w:ind w:firstLine="420"/>
      </w:pPr>
      <w:r>
        <w:rPr>
          <w:rFonts w:hint="eastAsia"/>
        </w:rPr>
        <w:t>种植3年后的地块，采收后通过翻地深度1</w:t>
      </w:r>
      <w:r>
        <w:t xml:space="preserve">5 </w:t>
      </w:r>
      <w:r>
        <w:rPr>
          <w:rFonts w:hint="eastAsia"/>
        </w:rPr>
        <w:t>cm左右，疏除过密的茎基与地下根茎，同时作为新种植地块的种根（根茎）之用。</w:t>
      </w:r>
    </w:p>
    <w:p>
      <w:pPr>
        <w:pStyle w:val="105"/>
        <w:spacing w:before="312" w:after="312"/>
        <w:rPr>
          <w:szCs w:val="21"/>
        </w:rPr>
      </w:pPr>
      <w:bookmarkStart w:id="118" w:name="_Toc180623814"/>
      <w:bookmarkStart w:id="119" w:name="_Toc180623861"/>
      <w:bookmarkStart w:id="120" w:name="_Toc180623884"/>
      <w:bookmarkStart w:id="121" w:name="_Toc180623907"/>
      <w:bookmarkStart w:id="122" w:name="_Toc180623930"/>
      <w:bookmarkStart w:id="123" w:name="_Toc180624000"/>
      <w:bookmarkStart w:id="124" w:name="_Toc180624122"/>
      <w:bookmarkStart w:id="125" w:name="_Toc180707641"/>
      <w:bookmarkStart w:id="126" w:name="_Toc181914967"/>
      <w:r>
        <w:rPr>
          <w:rFonts w:hint="eastAsia"/>
          <w:szCs w:val="21"/>
        </w:rPr>
        <w:t>病虫害防治</w:t>
      </w:r>
      <w:bookmarkEnd w:id="118"/>
      <w:bookmarkEnd w:id="119"/>
      <w:bookmarkEnd w:id="120"/>
      <w:bookmarkEnd w:id="121"/>
      <w:bookmarkEnd w:id="122"/>
      <w:bookmarkEnd w:id="123"/>
      <w:bookmarkEnd w:id="124"/>
      <w:bookmarkEnd w:id="125"/>
      <w:bookmarkEnd w:id="126"/>
    </w:p>
    <w:p>
      <w:pPr>
        <w:pStyle w:val="106"/>
        <w:spacing w:before="156" w:after="156"/>
      </w:pPr>
      <w:r>
        <w:rPr>
          <w:rFonts w:hint="eastAsia"/>
        </w:rPr>
        <w:t>防治原则</w:t>
      </w:r>
    </w:p>
    <w:p>
      <w:pPr>
        <w:pStyle w:val="57"/>
        <w:ind w:firstLine="420"/>
      </w:pPr>
      <w:r>
        <w:rPr>
          <w:rFonts w:hint="eastAsia"/>
        </w:rPr>
        <w:t>病虫害防治要坚持“预防为主，综合防治”的原则，及时监测和处理。农药使用应符合GB/T 8321</w:t>
      </w:r>
      <w:r>
        <w:t>.10</w:t>
      </w:r>
      <w:r>
        <w:rPr>
          <w:rFonts w:hint="eastAsia"/>
        </w:rPr>
        <w:t>和 NY/T 1276的要求。</w:t>
      </w:r>
    </w:p>
    <w:p>
      <w:pPr>
        <w:pStyle w:val="106"/>
        <w:spacing w:before="156" w:after="156"/>
      </w:pPr>
      <w:r>
        <w:rPr>
          <w:rFonts w:hint="eastAsia"/>
        </w:rPr>
        <w:t>防治方法</w:t>
      </w:r>
    </w:p>
    <w:p>
      <w:pPr>
        <w:pStyle w:val="66"/>
        <w:spacing w:before="156" w:after="156"/>
      </w:pPr>
      <w:r>
        <w:rPr>
          <w:rFonts w:hint="eastAsia"/>
        </w:rPr>
        <w:t>农业防治</w:t>
      </w:r>
    </w:p>
    <w:p>
      <w:pPr>
        <w:pStyle w:val="165"/>
      </w:pPr>
      <w:r>
        <w:t>大田移栽时选用无病虫害的健壮根茎或种苗。</w:t>
      </w:r>
    </w:p>
    <w:p>
      <w:pPr>
        <w:pStyle w:val="165"/>
      </w:pPr>
      <w:r>
        <w:t>种植前清除残余的枝叶及杂草，防治虫卵。</w:t>
      </w:r>
    </w:p>
    <w:p>
      <w:pPr>
        <w:pStyle w:val="165"/>
      </w:pPr>
      <w:r>
        <w:t>种植过程中，采取疏苗、雨天及时排水、增加田间通风透光条件、补施有机肥及适施磷钾肥等管理措施，增强植株抗病能力</w:t>
      </w:r>
      <w:r>
        <w:rPr>
          <w:rFonts w:hint="eastAsia"/>
        </w:rPr>
        <w:t>,</w:t>
      </w:r>
      <w:r>
        <w:t>发现病害植株及时拔除，集中烧毁，病穴用生石灰消毒</w:t>
      </w:r>
      <w:r>
        <w:rPr>
          <w:rFonts w:hint="eastAsia"/>
        </w:rPr>
        <w:t>。</w:t>
      </w:r>
    </w:p>
    <w:p>
      <w:pPr>
        <w:pStyle w:val="165"/>
      </w:pPr>
      <w:r>
        <w:t>采收后及时清除残枝败叶并深埋，降低病虫来源</w:t>
      </w:r>
      <w:r>
        <w:rPr>
          <w:rFonts w:hint="eastAsia"/>
        </w:rPr>
        <w:t>，</w:t>
      </w:r>
      <w:r>
        <w:t>冬季深翻土壤，阻止虫卵在土中越冬。</w:t>
      </w:r>
    </w:p>
    <w:p>
      <w:pPr>
        <w:pStyle w:val="66"/>
        <w:spacing w:before="156" w:after="156"/>
      </w:pPr>
      <w:r>
        <w:rPr>
          <w:rFonts w:hint="eastAsia"/>
        </w:rPr>
        <w:t>物理防治</w:t>
      </w:r>
    </w:p>
    <w:p>
      <w:pPr>
        <w:pStyle w:val="165"/>
      </w:pPr>
      <w:r>
        <w:t>3月中下旬至6月蚜虫发生期，设置黄色粘虫板（黄板）诱杀蚜虫，每667 m²设20个</w:t>
      </w:r>
      <w:r>
        <w:rPr>
          <w:rFonts w:hint="eastAsia"/>
        </w:rPr>
        <w:t>～</w:t>
      </w:r>
      <w:r>
        <w:t>25个，固定于高出植株10cm</w:t>
      </w:r>
      <w:r>
        <w:rPr>
          <w:rFonts w:hint="eastAsia"/>
        </w:rPr>
        <w:t>～</w:t>
      </w:r>
      <w:r>
        <w:t>20 cm处。每667 m²使用25块</w:t>
      </w:r>
      <w:r>
        <w:rPr>
          <w:rFonts w:hint="eastAsia"/>
        </w:rPr>
        <w:t>～</w:t>
      </w:r>
      <w:r>
        <w:t>30块粘虫板或每0.70 hm²</w:t>
      </w:r>
      <w:r>
        <w:rPr>
          <w:rFonts w:hint="eastAsia"/>
        </w:rPr>
        <w:t>～</w:t>
      </w:r>
      <w:r>
        <w:t>1.0 hm²使用1盏诱虫灯防虫防治蚜虫。</w:t>
      </w:r>
    </w:p>
    <w:p>
      <w:pPr>
        <w:pStyle w:val="165"/>
      </w:pPr>
      <w:r>
        <w:t>4月下旬至8月，每间隔100 m</w:t>
      </w:r>
      <w:r>
        <w:rPr>
          <w:rFonts w:hint="eastAsia"/>
        </w:rPr>
        <w:t>～</w:t>
      </w:r>
      <w:r>
        <w:t>120 m使用</w:t>
      </w:r>
      <w:r>
        <w:rPr>
          <w:rFonts w:hint="eastAsia"/>
        </w:rPr>
        <w:t>1盏</w:t>
      </w:r>
      <w:r>
        <w:t>频振式杀虫灯诱杀害虫。</w:t>
      </w:r>
    </w:p>
    <w:p>
      <w:pPr>
        <w:pStyle w:val="66"/>
        <w:spacing w:before="156" w:after="156"/>
      </w:pPr>
      <w:r>
        <w:rPr>
          <w:rFonts w:hint="eastAsia"/>
        </w:rPr>
        <w:t>化学防治</w:t>
      </w:r>
    </w:p>
    <w:p>
      <w:pPr>
        <w:pStyle w:val="57"/>
        <w:ind w:firstLine="420"/>
        <w:rPr>
          <w:rFonts w:hAnsi="宋体"/>
        </w:rPr>
      </w:pPr>
      <w:r>
        <w:rPr>
          <w:rFonts w:hint="eastAsia"/>
        </w:rPr>
        <w:t>病害主要有白粉病、灰霉病、根腐病等，虫害主要有蚜虫、红蜘蛛等。蚜虫、红蜘蛛等害虫，可选用符合有关农药管理规定的农药进行防治。不使用国家禁用的农药品种。</w:t>
      </w:r>
      <w:r>
        <w:rPr>
          <w:rFonts w:hAnsi="宋体"/>
        </w:rPr>
        <w:t>艾蒿病虫害症状及防治方法</w:t>
      </w:r>
      <w:r>
        <w:rPr>
          <w:rFonts w:hint="eastAsia" w:hAnsi="宋体"/>
        </w:rPr>
        <w:t>见</w:t>
      </w:r>
      <w:r>
        <w:rPr>
          <w:rFonts w:hint="eastAsia"/>
        </w:rPr>
        <w:t>表1</w:t>
      </w:r>
      <w:r>
        <w:rPr>
          <w:rFonts w:hAnsi="宋体"/>
        </w:rPr>
        <w:t>。</w:t>
      </w:r>
    </w:p>
    <w:p>
      <w:pPr>
        <w:pStyle w:val="113"/>
        <w:spacing w:before="156" w:after="156"/>
      </w:pPr>
      <w:r>
        <w:rPr>
          <w:rFonts w:hint="eastAsia"/>
        </w:rPr>
        <w:t>艾蒿病虫害症状及防治方法</w:t>
      </w:r>
    </w:p>
    <w:tbl>
      <w:tblPr>
        <w:tblStyle w:val="34"/>
        <w:tblW w:w="920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87"/>
        <w:gridCol w:w="347"/>
        <w:gridCol w:w="1057"/>
        <w:gridCol w:w="2906"/>
        <w:gridCol w:w="46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634" w:type="dxa"/>
            <w:gridSpan w:val="2"/>
            <w:tcBorders>
              <w:top w:val="single" w:color="auto" w:sz="8" w:space="0"/>
              <w:bottom w:val="single" w:color="auto" w:sz="8" w:space="0"/>
            </w:tcBorders>
            <w:shd w:val="clear" w:color="auto" w:fill="auto"/>
            <w:vAlign w:val="center"/>
          </w:tcPr>
          <w:p>
            <w:pPr>
              <w:pStyle w:val="179"/>
            </w:pPr>
            <w:r>
              <w:rPr>
                <w:b/>
                <w:bCs/>
              </w:rPr>
              <w:t>种类</w:t>
            </w:r>
          </w:p>
        </w:tc>
        <w:tc>
          <w:tcPr>
            <w:tcW w:w="1057" w:type="dxa"/>
            <w:tcBorders>
              <w:top w:val="single" w:color="auto" w:sz="8" w:space="0"/>
              <w:bottom w:val="single" w:color="auto" w:sz="8" w:space="0"/>
            </w:tcBorders>
            <w:shd w:val="clear" w:color="auto" w:fill="auto"/>
            <w:vAlign w:val="center"/>
          </w:tcPr>
          <w:p>
            <w:pPr>
              <w:pStyle w:val="179"/>
            </w:pPr>
            <w:r>
              <w:rPr>
                <w:rFonts w:hint="eastAsia"/>
                <w:b/>
                <w:bCs/>
              </w:rPr>
              <w:t>发病部位</w:t>
            </w:r>
          </w:p>
        </w:tc>
        <w:tc>
          <w:tcPr>
            <w:tcW w:w="2906" w:type="dxa"/>
            <w:tcBorders>
              <w:top w:val="single" w:color="auto" w:sz="8" w:space="0"/>
              <w:bottom w:val="single" w:color="auto" w:sz="8" w:space="0"/>
            </w:tcBorders>
            <w:shd w:val="clear" w:color="auto" w:fill="auto"/>
            <w:vAlign w:val="center"/>
          </w:tcPr>
          <w:p>
            <w:pPr>
              <w:pStyle w:val="179"/>
            </w:pPr>
            <w:r>
              <w:rPr>
                <w:rFonts w:hint="eastAsia"/>
                <w:b/>
                <w:bCs/>
              </w:rPr>
              <w:t>发病症状</w:t>
            </w:r>
          </w:p>
        </w:tc>
        <w:tc>
          <w:tcPr>
            <w:tcW w:w="4607" w:type="dxa"/>
            <w:tcBorders>
              <w:top w:val="single" w:color="auto" w:sz="8" w:space="0"/>
              <w:bottom w:val="single" w:color="auto" w:sz="8" w:space="0"/>
            </w:tcBorders>
          </w:tcPr>
          <w:p>
            <w:pPr>
              <w:pStyle w:val="179"/>
              <w:rPr>
                <w:b/>
                <w:bCs/>
              </w:rPr>
            </w:pPr>
            <w:r>
              <w:rPr>
                <w:b/>
                <w:bCs/>
              </w:rPr>
              <w:t>防治方法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7" w:type="dxa"/>
            <w:vMerge w:val="restart"/>
            <w:tcBorders>
              <w:top w:val="single" w:color="auto" w:sz="8" w:space="0"/>
            </w:tcBorders>
            <w:shd w:val="clear" w:color="auto" w:fill="auto"/>
            <w:vAlign w:val="center"/>
          </w:tcPr>
          <w:p>
            <w:pPr>
              <w:pStyle w:val="179"/>
            </w:pPr>
            <w:r>
              <w:t>病害</w:t>
            </w:r>
          </w:p>
        </w:tc>
        <w:tc>
          <w:tcPr>
            <w:tcW w:w="347" w:type="dxa"/>
            <w:tcBorders>
              <w:top w:val="single" w:color="auto" w:sz="8" w:space="0"/>
              <w:bottom w:val="single" w:color="auto" w:sz="4" w:space="0"/>
            </w:tcBorders>
            <w:shd w:val="clear" w:color="auto" w:fill="auto"/>
            <w:vAlign w:val="center"/>
          </w:tcPr>
          <w:p>
            <w:pPr>
              <w:pStyle w:val="179"/>
            </w:pPr>
            <w:r>
              <w:t>白粉病</w:t>
            </w:r>
          </w:p>
        </w:tc>
        <w:tc>
          <w:tcPr>
            <w:tcW w:w="1057" w:type="dxa"/>
            <w:tcBorders>
              <w:top w:val="single" w:color="auto" w:sz="8" w:space="0"/>
              <w:bottom w:val="single" w:color="auto" w:sz="4" w:space="0"/>
            </w:tcBorders>
            <w:shd w:val="clear" w:color="auto" w:fill="auto"/>
            <w:vAlign w:val="center"/>
          </w:tcPr>
          <w:p>
            <w:pPr>
              <w:pStyle w:val="179"/>
              <w:jc w:val="left"/>
            </w:pPr>
            <w:r>
              <w:t>叶片</w:t>
            </w:r>
            <w:r>
              <w:rPr>
                <w:rFonts w:hint="eastAsia"/>
              </w:rPr>
              <w:t>、叶柄、茎部</w:t>
            </w:r>
          </w:p>
        </w:tc>
        <w:tc>
          <w:tcPr>
            <w:tcW w:w="2906" w:type="dxa"/>
            <w:tcBorders>
              <w:top w:val="single" w:color="auto" w:sz="8" w:space="0"/>
              <w:bottom w:val="single" w:color="auto" w:sz="4" w:space="0"/>
            </w:tcBorders>
            <w:shd w:val="clear" w:color="auto" w:fill="auto"/>
            <w:vAlign w:val="center"/>
          </w:tcPr>
          <w:p>
            <w:pPr>
              <w:pStyle w:val="179"/>
              <w:jc w:val="left"/>
            </w:pPr>
            <w:r>
              <w:rPr>
                <w:rFonts w:hint="eastAsia"/>
              </w:rPr>
              <w:t>叶片及叶柄上生褪绿色斑，随后病斑上着生白色粉状物。随后，白色霉斑变为灰色，在病斑上生出成堆的黄褐色小粒，最后小粒变成黑色。</w:t>
            </w:r>
          </w:p>
        </w:tc>
        <w:tc>
          <w:tcPr>
            <w:tcW w:w="4607" w:type="dxa"/>
            <w:tcBorders>
              <w:top w:val="single" w:color="auto" w:sz="8" w:space="0"/>
              <w:bottom w:val="single" w:color="auto" w:sz="4" w:space="0"/>
            </w:tcBorders>
          </w:tcPr>
          <w:p>
            <w:pPr>
              <w:pStyle w:val="179"/>
              <w:jc w:val="left"/>
            </w:pPr>
            <w:r>
              <w:t>秋季清除病残体，集中销毁，减少田间侵染源。发病初用78%波尔·锰锌可湿性粉剂500倍液或10%苯醚甲环唑水分散粒剂3000倍液+75%百菌清可湿性粉剂600倍液等叶面喷施，连续用药2次～3次，间隔8 d～10 d。可采用15%三唑酮可湿性粉剂1500倍液或25%嘧菌酯悬浮剂1500倍液～2500倍液，或10%醚甲环唑水分散粒剂3000倍液等交替对茎叶喷雾，连续用药2次～3次，每次间隔8 d～10 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7" w:type="dxa"/>
            <w:vMerge w:val="continue"/>
            <w:shd w:val="clear" w:color="auto" w:fill="auto"/>
            <w:vAlign w:val="center"/>
          </w:tcPr>
          <w:p>
            <w:pPr>
              <w:pStyle w:val="179"/>
            </w:pPr>
          </w:p>
        </w:tc>
        <w:tc>
          <w:tcPr>
            <w:tcW w:w="347" w:type="dxa"/>
            <w:tcBorders>
              <w:top w:val="single" w:color="auto" w:sz="4" w:space="0"/>
              <w:bottom w:val="single" w:color="auto" w:sz="4" w:space="0"/>
            </w:tcBorders>
            <w:shd w:val="clear" w:color="auto" w:fill="auto"/>
            <w:vAlign w:val="center"/>
          </w:tcPr>
          <w:p>
            <w:pPr>
              <w:pStyle w:val="179"/>
            </w:pPr>
            <w:r>
              <w:rPr>
                <w:rFonts w:hint="eastAsia"/>
              </w:rPr>
              <w:t>灰霉病</w:t>
            </w:r>
          </w:p>
        </w:tc>
        <w:tc>
          <w:tcPr>
            <w:tcW w:w="1057" w:type="dxa"/>
            <w:tcBorders>
              <w:top w:val="single" w:color="auto" w:sz="4" w:space="0"/>
              <w:bottom w:val="single" w:color="auto" w:sz="4" w:space="0"/>
            </w:tcBorders>
            <w:shd w:val="clear" w:color="auto" w:fill="auto"/>
            <w:vAlign w:val="center"/>
          </w:tcPr>
          <w:p>
            <w:pPr>
              <w:pStyle w:val="179"/>
              <w:jc w:val="left"/>
            </w:pPr>
            <w:r>
              <w:rPr>
                <w:rFonts w:hint="eastAsia"/>
              </w:rPr>
              <w:t>叶片和茎部</w:t>
            </w:r>
          </w:p>
        </w:tc>
        <w:tc>
          <w:tcPr>
            <w:tcW w:w="2906" w:type="dxa"/>
            <w:tcBorders>
              <w:top w:val="single" w:color="auto" w:sz="4" w:space="0"/>
              <w:bottom w:val="single" w:color="auto" w:sz="4" w:space="0"/>
            </w:tcBorders>
            <w:shd w:val="clear" w:color="auto" w:fill="auto"/>
            <w:vAlign w:val="center"/>
          </w:tcPr>
          <w:p>
            <w:pPr>
              <w:pStyle w:val="179"/>
              <w:jc w:val="left"/>
            </w:pPr>
            <w:r>
              <w:rPr>
                <w:rFonts w:hint="eastAsia"/>
              </w:rPr>
              <w:t>从叶尖向基部呈“V”形扩展，病斑呈黄褐色，有深褐色轮纹产生。茎部受害后，产生水渍状病斑，病部密生灰色霉层，可散出灰色粉末物质，病株极易倒伏和枯死。</w:t>
            </w:r>
          </w:p>
        </w:tc>
        <w:tc>
          <w:tcPr>
            <w:tcW w:w="4607" w:type="dxa"/>
            <w:tcBorders>
              <w:top w:val="single" w:color="auto" w:sz="4" w:space="0"/>
              <w:bottom w:val="single" w:color="auto" w:sz="4" w:space="0"/>
            </w:tcBorders>
          </w:tcPr>
          <w:p>
            <w:pPr>
              <w:pStyle w:val="179"/>
              <w:jc w:val="left"/>
            </w:pPr>
            <w:r>
              <w:rPr>
                <w:rFonts w:hint="eastAsia"/>
              </w:rPr>
              <w:t>发病初期，可使用50%异菌脲可湿性粉剂1</w:t>
            </w:r>
            <w:r>
              <w:t>000</w:t>
            </w:r>
            <w:r>
              <w:rPr>
                <w:rFonts w:hint="eastAsia"/>
              </w:rPr>
              <w:t>倍液</w:t>
            </w:r>
            <w:r>
              <w:t>～</w:t>
            </w:r>
            <w:r>
              <w:rPr>
                <w:rFonts w:hint="eastAsia"/>
              </w:rPr>
              <w:t>1</w:t>
            </w:r>
            <w:r>
              <w:t>500</w:t>
            </w:r>
            <w:r>
              <w:rPr>
                <w:rFonts w:hint="eastAsia"/>
              </w:rPr>
              <w:t>倍液，用量为66</w:t>
            </w:r>
            <w:r>
              <w:t>～</w:t>
            </w:r>
            <w:r>
              <w:rPr>
                <w:rFonts w:hint="eastAsia"/>
              </w:rPr>
              <w:t>100</w:t>
            </w:r>
            <w:r>
              <w:t xml:space="preserve"> </w:t>
            </w:r>
            <w:r>
              <w:rPr>
                <w:rFonts w:hint="eastAsia"/>
              </w:rPr>
              <w:t>m</w:t>
            </w:r>
            <w:r>
              <w:t>L</w:t>
            </w:r>
            <w:r>
              <w:rPr>
                <w:rFonts w:hint="eastAsia"/>
              </w:rPr>
              <w:t>/亩，兑水50</w:t>
            </w:r>
            <w:r>
              <w:t xml:space="preserve"> </w:t>
            </w:r>
            <w:r>
              <w:rPr>
                <w:rFonts w:hint="eastAsia"/>
              </w:rPr>
              <w:t>kg喷雾；或5</w:t>
            </w:r>
            <w:r>
              <w:t>0%</w:t>
            </w:r>
            <w:r>
              <w:rPr>
                <w:rFonts w:hint="eastAsia"/>
              </w:rPr>
              <w:t>农利灵干悬浮剂溶液1</w:t>
            </w:r>
            <w:r>
              <w:t>000</w:t>
            </w:r>
            <w:r>
              <w:rPr>
                <w:rFonts w:hint="eastAsia"/>
              </w:rPr>
              <w:t>倍液，用量为1</w:t>
            </w:r>
            <w:r>
              <w:t xml:space="preserve">00 </w:t>
            </w:r>
            <w:r>
              <w:rPr>
                <w:rFonts w:hint="eastAsia"/>
              </w:rPr>
              <w:t>g</w:t>
            </w:r>
            <w:r>
              <w:t>/</w:t>
            </w:r>
            <w:r>
              <w:rPr>
                <w:rFonts w:hint="eastAsia"/>
              </w:rPr>
              <w:t>亩</w:t>
            </w:r>
            <w:r>
              <w:t>,</w:t>
            </w:r>
            <w:r>
              <w:rPr>
                <w:rFonts w:hint="eastAsia"/>
              </w:rPr>
              <w:t>兑水5</w:t>
            </w:r>
            <w:r>
              <w:t xml:space="preserve">0 </w:t>
            </w:r>
            <w:r>
              <w:rPr>
                <w:rFonts w:hint="eastAsia"/>
              </w:rPr>
              <w:t>kg喷雾。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7" w:type="dxa"/>
            <w:vMerge w:val="continue"/>
            <w:tcBorders>
              <w:bottom w:val="single" w:color="auto" w:sz="4" w:space="0"/>
            </w:tcBorders>
            <w:shd w:val="clear" w:color="auto" w:fill="auto"/>
            <w:vAlign w:val="center"/>
          </w:tcPr>
          <w:p>
            <w:pPr>
              <w:pStyle w:val="179"/>
            </w:pPr>
          </w:p>
        </w:tc>
        <w:tc>
          <w:tcPr>
            <w:tcW w:w="347" w:type="dxa"/>
            <w:tcBorders>
              <w:top w:val="single" w:color="auto" w:sz="4" w:space="0"/>
              <w:bottom w:val="single" w:color="auto" w:sz="4" w:space="0"/>
            </w:tcBorders>
            <w:shd w:val="clear" w:color="auto" w:fill="auto"/>
            <w:vAlign w:val="center"/>
          </w:tcPr>
          <w:p>
            <w:pPr>
              <w:pStyle w:val="179"/>
            </w:pPr>
            <w:r>
              <w:rPr>
                <w:rFonts w:hint="eastAsia"/>
              </w:rPr>
              <w:t>根腐病</w:t>
            </w:r>
          </w:p>
        </w:tc>
        <w:tc>
          <w:tcPr>
            <w:tcW w:w="1057" w:type="dxa"/>
            <w:tcBorders>
              <w:top w:val="single" w:color="auto" w:sz="4" w:space="0"/>
              <w:bottom w:val="single" w:color="auto" w:sz="4" w:space="0"/>
            </w:tcBorders>
            <w:shd w:val="clear" w:color="auto" w:fill="auto"/>
            <w:vAlign w:val="center"/>
          </w:tcPr>
          <w:p>
            <w:pPr>
              <w:pStyle w:val="179"/>
              <w:jc w:val="left"/>
            </w:pPr>
            <w:r>
              <w:rPr>
                <w:rFonts w:hint="eastAsia"/>
              </w:rPr>
              <w:t>根部</w:t>
            </w:r>
          </w:p>
        </w:tc>
        <w:tc>
          <w:tcPr>
            <w:tcW w:w="2906" w:type="dxa"/>
            <w:tcBorders>
              <w:top w:val="single" w:color="auto" w:sz="4" w:space="0"/>
              <w:bottom w:val="single" w:color="auto" w:sz="4" w:space="0"/>
            </w:tcBorders>
            <w:shd w:val="clear" w:color="auto" w:fill="auto"/>
            <w:vAlign w:val="center"/>
          </w:tcPr>
          <w:p>
            <w:pPr>
              <w:pStyle w:val="179"/>
              <w:jc w:val="left"/>
            </w:pPr>
            <w:r>
              <w:rPr>
                <w:rFonts w:hint="eastAsia"/>
              </w:rPr>
              <w:t>植株下半部的叶片开始变黄干旱，逐渐根茎腐烂，茎基部出现黑色或褐色的病斑，稍凹陷，并逐渐腐烂，最后植株倒伏枯死。</w:t>
            </w:r>
          </w:p>
        </w:tc>
        <w:tc>
          <w:tcPr>
            <w:tcW w:w="4607" w:type="dxa"/>
            <w:tcBorders>
              <w:top w:val="single" w:color="auto" w:sz="4" w:space="0"/>
              <w:bottom w:val="single" w:color="auto" w:sz="4" w:space="0"/>
            </w:tcBorders>
          </w:tcPr>
          <w:p>
            <w:pPr>
              <w:pStyle w:val="179"/>
              <w:jc w:val="left"/>
            </w:pPr>
            <w:r>
              <w:rPr>
                <w:rFonts w:hint="eastAsia"/>
              </w:rPr>
              <w:t>在发病时，采用70%代森锰锌与95%精制恶霉灵按1:1的比例配成1000倍液进行喷洒；或者70%代森锰锌与50%多菌灵按2:1的比例混合，然后稀释至1000～1200倍液喷淋植株，每隔7～10天喷一次，连续喷3～4次。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7" w:type="dxa"/>
            <w:tcBorders>
              <w:top w:val="single" w:color="auto" w:sz="4" w:space="0"/>
              <w:bottom w:val="single" w:color="auto" w:sz="12" w:space="0"/>
            </w:tcBorders>
            <w:shd w:val="clear" w:color="auto" w:fill="auto"/>
            <w:vAlign w:val="center"/>
          </w:tcPr>
          <w:p>
            <w:pPr>
              <w:pStyle w:val="179"/>
            </w:pPr>
            <w:r>
              <w:t>虫害</w:t>
            </w:r>
          </w:p>
        </w:tc>
        <w:tc>
          <w:tcPr>
            <w:tcW w:w="347" w:type="dxa"/>
            <w:tcBorders>
              <w:top w:val="single" w:color="auto" w:sz="4" w:space="0"/>
              <w:bottom w:val="single" w:color="auto" w:sz="12" w:space="0"/>
            </w:tcBorders>
            <w:shd w:val="clear" w:color="auto" w:fill="auto"/>
            <w:vAlign w:val="center"/>
          </w:tcPr>
          <w:p>
            <w:pPr>
              <w:pStyle w:val="179"/>
            </w:pPr>
            <w:r>
              <w:t>蚜虫</w:t>
            </w:r>
          </w:p>
        </w:tc>
        <w:tc>
          <w:tcPr>
            <w:tcW w:w="1057" w:type="dxa"/>
            <w:tcBorders>
              <w:top w:val="single" w:color="auto" w:sz="4" w:space="0"/>
              <w:bottom w:val="single" w:color="auto" w:sz="12" w:space="0"/>
            </w:tcBorders>
            <w:shd w:val="clear" w:color="auto" w:fill="auto"/>
            <w:vAlign w:val="center"/>
          </w:tcPr>
          <w:p>
            <w:pPr>
              <w:pStyle w:val="179"/>
              <w:jc w:val="left"/>
            </w:pPr>
            <w:r>
              <w:t>新芽、嫩叶</w:t>
            </w:r>
          </w:p>
        </w:tc>
        <w:tc>
          <w:tcPr>
            <w:tcW w:w="2906" w:type="dxa"/>
            <w:tcBorders>
              <w:top w:val="single" w:color="auto" w:sz="4" w:space="0"/>
              <w:bottom w:val="single" w:color="auto" w:sz="12" w:space="0"/>
            </w:tcBorders>
            <w:shd w:val="clear" w:color="auto" w:fill="auto"/>
            <w:vAlign w:val="center"/>
          </w:tcPr>
          <w:p>
            <w:pPr>
              <w:pStyle w:val="179"/>
              <w:jc w:val="left"/>
            </w:pPr>
            <w:r>
              <w:rPr>
                <w:rFonts w:hint="eastAsia"/>
              </w:rPr>
              <w:t>会造成叶片卷曲、皱缩、畸形，蜜露污染，影响光合作用，植株矮小，严重时植株死亡。</w:t>
            </w:r>
          </w:p>
        </w:tc>
        <w:tc>
          <w:tcPr>
            <w:tcW w:w="4607" w:type="dxa"/>
            <w:tcBorders>
              <w:top w:val="single" w:color="auto" w:sz="4" w:space="0"/>
              <w:bottom w:val="single" w:color="auto" w:sz="12" w:space="0"/>
            </w:tcBorders>
          </w:tcPr>
          <w:p>
            <w:pPr>
              <w:pStyle w:val="179"/>
              <w:jc w:val="left"/>
            </w:pPr>
            <w:r>
              <w:rPr>
                <w:rFonts w:hint="eastAsia"/>
              </w:rPr>
              <w:t>用10%吡虫啉可湿粉剂1000倍液或1%苦参碱可溶液剂500～600倍液或5%氟虫腈悬乳剂800倍液喷雾防治，隔周一次，连续2次。</w:t>
            </w:r>
          </w:p>
        </w:tc>
      </w:tr>
    </w:tbl>
    <w:p>
      <w:pPr>
        <w:pStyle w:val="105"/>
        <w:spacing w:before="312" w:after="312"/>
        <w:rPr>
          <w:szCs w:val="21"/>
        </w:rPr>
      </w:pPr>
      <w:bookmarkStart w:id="127" w:name="_Toc181914968"/>
      <w:bookmarkStart w:id="128" w:name="_Toc180707642"/>
      <w:bookmarkStart w:id="129" w:name="_Toc180624123"/>
      <w:bookmarkStart w:id="130" w:name="_Toc180624001"/>
      <w:bookmarkStart w:id="131" w:name="_Toc180623931"/>
      <w:bookmarkStart w:id="132" w:name="_Toc180623908"/>
      <w:bookmarkStart w:id="133" w:name="_Toc180623885"/>
      <w:bookmarkStart w:id="134" w:name="_Toc180623862"/>
      <w:bookmarkStart w:id="135" w:name="_Toc180623815"/>
      <w:r>
        <w:rPr>
          <w:rFonts w:hint="eastAsia"/>
          <w:szCs w:val="21"/>
        </w:rPr>
        <w:t>采收</w:t>
      </w:r>
      <w:bookmarkEnd w:id="127"/>
      <w:bookmarkEnd w:id="128"/>
      <w:bookmarkEnd w:id="129"/>
      <w:bookmarkEnd w:id="130"/>
      <w:bookmarkEnd w:id="131"/>
      <w:bookmarkEnd w:id="132"/>
      <w:bookmarkEnd w:id="133"/>
      <w:bookmarkEnd w:id="134"/>
      <w:bookmarkEnd w:id="135"/>
    </w:p>
    <w:p>
      <w:pPr>
        <w:pStyle w:val="106"/>
        <w:spacing w:before="156" w:after="156"/>
      </w:pPr>
      <w:bookmarkStart w:id="136" w:name="_Toc180624002"/>
      <w:bookmarkStart w:id="137" w:name="_Toc180623932"/>
      <w:bookmarkStart w:id="138" w:name="_Toc180623909"/>
      <w:bookmarkStart w:id="139" w:name="_Toc180623886"/>
      <w:bookmarkStart w:id="140" w:name="_Toc180623863"/>
      <w:bookmarkStart w:id="141" w:name="_Toc180623816"/>
      <w:r>
        <w:rPr>
          <w:rFonts w:hint="eastAsia"/>
        </w:rPr>
        <w:t>时间</w:t>
      </w:r>
      <w:bookmarkEnd w:id="136"/>
      <w:bookmarkEnd w:id="137"/>
      <w:bookmarkEnd w:id="138"/>
      <w:bookmarkEnd w:id="139"/>
      <w:bookmarkEnd w:id="140"/>
      <w:bookmarkEnd w:id="141"/>
    </w:p>
    <w:p>
      <w:pPr>
        <w:pStyle w:val="57"/>
        <w:ind w:firstLine="420"/>
      </w:pPr>
      <w:r>
        <w:rPr>
          <w:rFonts w:hint="eastAsia"/>
        </w:rPr>
        <w:t>艾蒿</w:t>
      </w:r>
      <w:r>
        <w:t>一年可收获1茬</w:t>
      </w:r>
      <w:r>
        <w:rPr>
          <w:rFonts w:ascii="Times New Roman"/>
        </w:rPr>
        <w:t>~</w:t>
      </w:r>
      <w:r>
        <w:t>2茬。药用和灸用，</w:t>
      </w:r>
      <w:r>
        <w:rPr>
          <w:rFonts w:hint="eastAsia"/>
        </w:rPr>
        <w:t>宜</w:t>
      </w:r>
      <w:r>
        <w:t>每年采收1茬</w:t>
      </w:r>
      <w:r>
        <w:rPr>
          <w:rFonts w:hint="eastAsia"/>
        </w:rPr>
        <w:t>～</w:t>
      </w:r>
      <w:r>
        <w:t>2茬。收获1茬的</w:t>
      </w:r>
      <w:r>
        <w:rPr>
          <w:rFonts w:hint="eastAsia"/>
        </w:rPr>
        <w:t>艾蒿</w:t>
      </w:r>
      <w:r>
        <w:t>宜在6月上旬采收；收获2茬的，第一茬应在5月中下旬，第二茬在7月下旬至9月上中旬进行。</w:t>
      </w:r>
    </w:p>
    <w:p>
      <w:pPr>
        <w:pStyle w:val="106"/>
        <w:spacing w:before="156" w:after="156"/>
      </w:pPr>
      <w:bookmarkStart w:id="142" w:name="_Toc180623817"/>
      <w:bookmarkStart w:id="143" w:name="_Toc180624003"/>
      <w:bookmarkStart w:id="144" w:name="_Toc180623933"/>
      <w:bookmarkStart w:id="145" w:name="_Toc180623910"/>
      <w:bookmarkStart w:id="146" w:name="_Toc180623887"/>
      <w:bookmarkStart w:id="147" w:name="_Toc180623864"/>
      <w:r>
        <w:rPr>
          <w:rFonts w:hint="eastAsia"/>
        </w:rPr>
        <w:t>方法</w:t>
      </w:r>
      <w:bookmarkEnd w:id="142"/>
      <w:bookmarkEnd w:id="143"/>
      <w:bookmarkEnd w:id="144"/>
      <w:bookmarkEnd w:id="145"/>
      <w:bookmarkEnd w:id="146"/>
      <w:bookmarkEnd w:id="147"/>
    </w:p>
    <w:p>
      <w:pPr>
        <w:pStyle w:val="57"/>
        <w:ind w:firstLine="420"/>
      </w:pPr>
      <w:r>
        <w:rPr>
          <w:rFonts w:hint="eastAsia"/>
        </w:rPr>
        <w:t>每茬应在主茎尚未分出侧枝及未开花时，晴天用镰刀贴地或近地收割，</w:t>
      </w:r>
      <w:r>
        <w:t>采收完毕后</w:t>
      </w:r>
      <w:r>
        <w:rPr>
          <w:rFonts w:hint="eastAsia"/>
        </w:rPr>
        <w:t>就地摘取鲜叶；较平坦地块可用机械采割，或用脱叶机于田间脱取鲜叶。</w:t>
      </w:r>
    </w:p>
    <w:p>
      <w:pPr>
        <w:pStyle w:val="106"/>
        <w:spacing w:before="156" w:after="156"/>
      </w:pPr>
      <w:bookmarkStart w:id="148" w:name="_Toc180624004"/>
      <w:bookmarkStart w:id="149" w:name="_Toc180623934"/>
      <w:bookmarkStart w:id="150" w:name="_Toc180623911"/>
      <w:bookmarkStart w:id="151" w:name="_Toc180623888"/>
      <w:bookmarkStart w:id="152" w:name="_Toc180623865"/>
      <w:bookmarkStart w:id="153" w:name="_Toc180623818"/>
      <w:r>
        <w:rPr>
          <w:rFonts w:hint="eastAsia"/>
        </w:rPr>
        <w:t>晾晒</w:t>
      </w:r>
      <w:bookmarkEnd w:id="148"/>
      <w:bookmarkEnd w:id="149"/>
      <w:bookmarkEnd w:id="150"/>
      <w:bookmarkEnd w:id="151"/>
      <w:bookmarkEnd w:id="152"/>
      <w:bookmarkEnd w:id="153"/>
    </w:p>
    <w:p>
      <w:pPr>
        <w:pStyle w:val="57"/>
        <w:ind w:firstLine="420"/>
      </w:pPr>
      <w:r>
        <w:t>将脱取的鲜艾蒿摊薄晾晒在洁净水泥地面，不可堆放</w:t>
      </w:r>
      <w:r>
        <w:rPr>
          <w:rFonts w:hint="eastAsia"/>
        </w:rPr>
        <w:t>；</w:t>
      </w:r>
      <w:r>
        <w:t>阴天或雨天置于干燥室内晾干，每隔1 d</w:t>
      </w:r>
      <w:r>
        <w:rPr>
          <w:rFonts w:ascii="Times New Roman"/>
        </w:rPr>
        <w:t>~</w:t>
      </w:r>
      <w:r>
        <w:t xml:space="preserve">2 </w:t>
      </w:r>
      <w:r>
        <w:rPr>
          <w:rFonts w:hint="eastAsia"/>
        </w:rPr>
        <w:t>d</w:t>
      </w:r>
      <w:r>
        <w:t>翻动</w:t>
      </w:r>
      <w:r>
        <w:rPr>
          <w:rFonts w:hint="eastAsia"/>
        </w:rPr>
        <w:t>1</w:t>
      </w:r>
      <w:r>
        <w:t xml:space="preserve">次，至七成干后每4 </w:t>
      </w:r>
      <w:r>
        <w:rPr>
          <w:rFonts w:ascii="Times New Roman"/>
        </w:rPr>
        <w:t>d~</w:t>
      </w:r>
      <w:r>
        <w:t xml:space="preserve">7 </w:t>
      </w:r>
      <w:r>
        <w:rPr>
          <w:rFonts w:hint="eastAsia"/>
        </w:rPr>
        <w:t>d</w:t>
      </w:r>
      <w:r>
        <w:t>翻动</w:t>
      </w:r>
      <w:r>
        <w:rPr>
          <w:rFonts w:hint="eastAsia"/>
        </w:rPr>
        <w:t>1</w:t>
      </w:r>
      <w:r>
        <w:t>次。</w:t>
      </w:r>
    </w:p>
    <w:p>
      <w:pPr>
        <w:pStyle w:val="106"/>
        <w:spacing w:before="156" w:after="156"/>
      </w:pPr>
      <w:r>
        <w:rPr>
          <w:rFonts w:hint="eastAsia"/>
        </w:rPr>
        <w:t>脱叶</w:t>
      </w:r>
    </w:p>
    <w:p>
      <w:pPr>
        <w:pStyle w:val="57"/>
        <w:ind w:firstLine="420"/>
      </w:pPr>
      <w:r>
        <w:t>干燥后，除去杂物。根据需求可用脱叶机脱叶或人工摘叶。对于全株使用的，不需脱叶，只需清除杂物即可。</w:t>
      </w:r>
    </w:p>
    <w:p>
      <w:pPr>
        <w:pStyle w:val="105"/>
        <w:spacing w:before="312" w:after="312"/>
        <w:rPr>
          <w:szCs w:val="21"/>
        </w:rPr>
      </w:pPr>
      <w:bookmarkStart w:id="154" w:name="_Toc180623867"/>
      <w:bookmarkStart w:id="155" w:name="_Toc180623820"/>
      <w:bookmarkStart w:id="156" w:name="_Toc180623890"/>
      <w:bookmarkStart w:id="157" w:name="_Toc180623913"/>
      <w:bookmarkStart w:id="158" w:name="_Toc180623936"/>
      <w:bookmarkStart w:id="159" w:name="_Toc180624006"/>
      <w:bookmarkStart w:id="160" w:name="_Toc180624124"/>
      <w:bookmarkStart w:id="161" w:name="_Toc180707643"/>
      <w:bookmarkStart w:id="162" w:name="_Toc181914969"/>
      <w:r>
        <w:rPr>
          <w:rFonts w:hint="eastAsia"/>
          <w:szCs w:val="21"/>
        </w:rPr>
        <w:t>包装和储存</w:t>
      </w:r>
      <w:bookmarkEnd w:id="154"/>
      <w:bookmarkEnd w:id="155"/>
      <w:bookmarkEnd w:id="156"/>
      <w:bookmarkEnd w:id="157"/>
      <w:bookmarkEnd w:id="158"/>
      <w:bookmarkEnd w:id="159"/>
      <w:bookmarkEnd w:id="160"/>
      <w:bookmarkEnd w:id="161"/>
      <w:bookmarkEnd w:id="162"/>
    </w:p>
    <w:p>
      <w:pPr>
        <w:pStyle w:val="106"/>
        <w:spacing w:before="156" w:after="156"/>
      </w:pPr>
      <w:bookmarkStart w:id="163" w:name="_Toc180623821"/>
      <w:bookmarkStart w:id="164" w:name="_Toc180623868"/>
      <w:bookmarkStart w:id="165" w:name="_Toc180623891"/>
      <w:bookmarkStart w:id="166" w:name="_Toc180623914"/>
      <w:bookmarkStart w:id="167" w:name="_Toc180623937"/>
      <w:bookmarkStart w:id="168" w:name="_Toc180624007"/>
      <w:r>
        <w:rPr>
          <w:rFonts w:hint="eastAsia"/>
        </w:rPr>
        <w:t>包装</w:t>
      </w:r>
      <w:bookmarkEnd w:id="163"/>
      <w:bookmarkEnd w:id="164"/>
      <w:bookmarkEnd w:id="165"/>
      <w:bookmarkEnd w:id="166"/>
      <w:bookmarkEnd w:id="167"/>
      <w:bookmarkEnd w:id="168"/>
    </w:p>
    <w:p>
      <w:pPr>
        <w:pStyle w:val="166"/>
      </w:pPr>
      <w:r>
        <w:rPr>
          <w:rFonts w:hint="eastAsia"/>
        </w:rPr>
        <w:t>干燥后的艾蒿应在晴天进行人工或机械打包，确保包装紧实且捆扎牢固，大小均匀，包装应符合SB/T 11182的标准要求。</w:t>
      </w:r>
    </w:p>
    <w:p>
      <w:pPr>
        <w:pStyle w:val="166"/>
      </w:pPr>
      <w:r>
        <w:rPr>
          <w:rFonts w:hint="eastAsia"/>
        </w:rPr>
        <w:t>包装上应附有标签，注明产品名称、产地、净重、批号、生产日期和生产单位等信息。</w:t>
      </w:r>
    </w:p>
    <w:p>
      <w:pPr>
        <w:pStyle w:val="106"/>
        <w:spacing w:before="156" w:after="156"/>
      </w:pPr>
      <w:r>
        <w:rPr>
          <w:rFonts w:hint="eastAsia"/>
        </w:rPr>
        <w:t>贮存</w:t>
      </w:r>
    </w:p>
    <w:p>
      <w:pPr>
        <w:pStyle w:val="57"/>
        <w:ind w:firstLine="420"/>
      </w:pPr>
      <w:r>
        <w:t>贮存于</w:t>
      </w:r>
      <w:r>
        <w:rPr>
          <w:rFonts w:hint="eastAsia"/>
        </w:rPr>
        <w:t>干燥、清洁、阴凉、通风、无异味的专用仓库，堆垛底部应有地架或油毡，保持离地及离墙20 cm以上。注意防潮防火，一旦发现有受潮霉变迹象，应及时剔除或翻晒处理；库房杜绝一切火源隐患，配备安全防火设备设施。</w:t>
      </w:r>
    </w:p>
    <w:p>
      <w:pPr>
        <w:pStyle w:val="105"/>
        <w:spacing w:before="312" w:after="312"/>
        <w:rPr>
          <w:szCs w:val="21"/>
        </w:rPr>
      </w:pPr>
      <w:bookmarkStart w:id="169" w:name="_Toc180623823"/>
      <w:bookmarkStart w:id="170" w:name="_Toc180623870"/>
      <w:bookmarkStart w:id="171" w:name="_Toc180623893"/>
      <w:bookmarkStart w:id="172" w:name="_Toc180623916"/>
      <w:bookmarkStart w:id="173" w:name="_Toc180623939"/>
      <w:bookmarkStart w:id="174" w:name="_Toc180624009"/>
      <w:bookmarkStart w:id="175" w:name="_Toc180624125"/>
      <w:bookmarkStart w:id="176" w:name="_Toc180707644"/>
      <w:bookmarkStart w:id="177" w:name="_Toc181914970"/>
      <w:r>
        <w:rPr>
          <w:rFonts w:hint="eastAsia"/>
          <w:szCs w:val="21"/>
        </w:rPr>
        <w:t>田间档案</w:t>
      </w:r>
      <w:bookmarkEnd w:id="169"/>
      <w:bookmarkEnd w:id="170"/>
      <w:bookmarkEnd w:id="171"/>
      <w:bookmarkEnd w:id="172"/>
      <w:bookmarkEnd w:id="173"/>
      <w:bookmarkEnd w:id="174"/>
      <w:bookmarkEnd w:id="175"/>
      <w:bookmarkEnd w:id="176"/>
      <w:bookmarkEnd w:id="177"/>
    </w:p>
    <w:p>
      <w:pPr>
        <w:pStyle w:val="106"/>
        <w:spacing w:before="156" w:after="156"/>
      </w:pPr>
      <w:bookmarkStart w:id="178" w:name="_Toc180623824"/>
      <w:bookmarkStart w:id="179" w:name="_Toc180623871"/>
      <w:bookmarkStart w:id="180" w:name="_Toc180623894"/>
      <w:bookmarkStart w:id="181" w:name="_Toc180623917"/>
      <w:bookmarkStart w:id="182" w:name="_Toc180623940"/>
      <w:bookmarkStart w:id="183" w:name="_Toc180624010"/>
      <w:r>
        <w:rPr>
          <w:rFonts w:hint="eastAsia"/>
        </w:rPr>
        <w:t>投入品使用</w:t>
      </w:r>
      <w:bookmarkEnd w:id="178"/>
      <w:bookmarkEnd w:id="179"/>
      <w:bookmarkEnd w:id="180"/>
      <w:bookmarkEnd w:id="181"/>
      <w:bookmarkEnd w:id="182"/>
      <w:bookmarkEnd w:id="183"/>
    </w:p>
    <w:p>
      <w:pPr>
        <w:pStyle w:val="57"/>
        <w:ind w:firstLine="420"/>
      </w:pPr>
      <w:r>
        <w:rPr>
          <w:rFonts w:hint="eastAsia"/>
        </w:rPr>
        <w:t>对主要投入品的品名、种类、来源，使用日期、用量、方法和效果等逐项如实登记。</w:t>
      </w:r>
    </w:p>
    <w:p>
      <w:pPr>
        <w:pStyle w:val="113"/>
        <w:spacing w:before="156" w:after="156"/>
      </w:pPr>
      <w:r>
        <w:rPr>
          <w:rFonts w:hint="eastAsia"/>
        </w:rPr>
        <w:t>田间档案</w:t>
      </w:r>
    </w:p>
    <w:tbl>
      <w:tblPr>
        <w:tblStyle w:val="34"/>
        <w:tblW w:w="933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73"/>
        <w:gridCol w:w="282"/>
        <w:gridCol w:w="708"/>
        <w:gridCol w:w="425"/>
        <w:gridCol w:w="294"/>
        <w:gridCol w:w="1982"/>
        <w:gridCol w:w="1133"/>
        <w:gridCol w:w="142"/>
        <w:gridCol w:w="1133"/>
        <w:gridCol w:w="165"/>
        <w:gridCol w:w="857"/>
        <w:gridCol w:w="991"/>
        <w:gridCol w:w="9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688" w:type="dxa"/>
            <w:gridSpan w:val="4"/>
            <w:tcBorders>
              <w:top w:val="single" w:color="auto" w:sz="12" w:space="0"/>
              <w:left w:val="single" w:color="auto" w:sz="6" w:space="0"/>
              <w:bottom w:val="single" w:color="auto" w:sz="6" w:space="0"/>
              <w:right w:val="single" w:color="auto" w:sz="6" w:space="0"/>
            </w:tcBorders>
            <w:shd w:val="clear" w:color="auto" w:fill="auto"/>
            <w:vAlign w:val="center"/>
          </w:tcPr>
          <w:p>
            <w:pPr>
              <w:pStyle w:val="179"/>
            </w:pPr>
            <w:r>
              <w:rPr>
                <w:rFonts w:hint="eastAsia"/>
              </w:rPr>
              <w:t>项目区</w:t>
            </w:r>
          </w:p>
        </w:tc>
        <w:tc>
          <w:tcPr>
            <w:tcW w:w="4849" w:type="dxa"/>
            <w:gridSpan w:val="6"/>
            <w:tcBorders>
              <w:top w:val="single" w:color="auto" w:sz="12" w:space="0"/>
              <w:left w:val="single" w:color="auto" w:sz="6" w:space="0"/>
              <w:bottom w:val="single" w:color="auto" w:sz="6" w:space="0"/>
              <w:right w:val="single" w:color="auto" w:sz="6" w:space="0"/>
            </w:tcBorders>
            <w:shd w:val="clear" w:color="auto" w:fill="auto"/>
            <w:vAlign w:val="center"/>
          </w:tcPr>
          <w:p>
            <w:pPr>
              <w:pStyle w:val="179"/>
            </w:pPr>
          </w:p>
        </w:tc>
        <w:tc>
          <w:tcPr>
            <w:tcW w:w="857" w:type="dxa"/>
            <w:tcBorders>
              <w:top w:val="single" w:color="auto" w:sz="12" w:space="0"/>
              <w:left w:val="single" w:color="auto" w:sz="6" w:space="0"/>
              <w:bottom w:val="single" w:color="auto" w:sz="6" w:space="0"/>
              <w:right w:val="single" w:color="auto" w:sz="6" w:space="0"/>
            </w:tcBorders>
            <w:shd w:val="clear" w:color="auto" w:fill="auto"/>
            <w:vAlign w:val="center"/>
          </w:tcPr>
          <w:p>
            <w:pPr>
              <w:pStyle w:val="179"/>
            </w:pPr>
            <w:r>
              <w:rPr>
                <w:rFonts w:hint="eastAsia"/>
              </w:rPr>
              <w:t>亩数</w:t>
            </w:r>
          </w:p>
        </w:tc>
        <w:tc>
          <w:tcPr>
            <w:tcW w:w="1937" w:type="dxa"/>
            <w:gridSpan w:val="2"/>
            <w:tcBorders>
              <w:top w:val="single" w:color="auto" w:sz="12" w:space="0"/>
              <w:left w:val="single" w:color="auto" w:sz="6" w:space="0"/>
              <w:bottom w:val="single" w:color="auto" w:sz="6"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7394" w:type="dxa"/>
            <w:gridSpan w:val="11"/>
            <w:tcBorders>
              <w:top w:val="single" w:color="auto" w:sz="6" w:space="0"/>
            </w:tcBorders>
            <w:shd w:val="clear" w:color="auto" w:fill="auto"/>
            <w:vAlign w:val="center"/>
          </w:tcPr>
          <w:p>
            <w:pPr>
              <w:pStyle w:val="179"/>
            </w:pPr>
            <w:r>
              <w:rPr>
                <w:rFonts w:hint="eastAsia"/>
              </w:rPr>
              <w:t>操作内容</w:t>
            </w:r>
          </w:p>
        </w:tc>
        <w:tc>
          <w:tcPr>
            <w:tcW w:w="991" w:type="dxa"/>
            <w:tcBorders>
              <w:top w:val="single" w:color="auto" w:sz="6" w:space="0"/>
            </w:tcBorders>
            <w:shd w:val="clear" w:color="auto" w:fill="auto"/>
            <w:vAlign w:val="center"/>
          </w:tcPr>
          <w:p>
            <w:pPr>
              <w:pStyle w:val="179"/>
            </w:pPr>
            <w:r>
              <w:rPr>
                <w:rFonts w:hint="eastAsia"/>
              </w:rPr>
              <w:t>操作人员</w:t>
            </w:r>
          </w:p>
        </w:tc>
        <w:tc>
          <w:tcPr>
            <w:tcW w:w="946" w:type="dxa"/>
            <w:tcBorders>
              <w:top w:val="single" w:color="auto" w:sz="6" w:space="0"/>
            </w:tcBorders>
            <w:shd w:val="clear" w:color="auto" w:fill="auto"/>
            <w:vAlign w:val="center"/>
          </w:tcPr>
          <w:p>
            <w:pPr>
              <w:pStyle w:val="179"/>
            </w:pPr>
            <w:r>
              <w:rPr>
                <w:rFonts w:hint="eastAsia"/>
              </w:rPr>
              <w:t>复核人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restart"/>
            <w:shd w:val="clear" w:color="auto" w:fill="auto"/>
            <w:vAlign w:val="center"/>
          </w:tcPr>
          <w:p>
            <w:pPr>
              <w:pStyle w:val="179"/>
            </w:pPr>
            <w:r>
              <w:rPr>
                <w:rFonts w:hint="eastAsia"/>
              </w:rPr>
              <w:t>田地准备</w:t>
            </w:r>
          </w:p>
        </w:tc>
        <w:tc>
          <w:tcPr>
            <w:tcW w:w="282" w:type="dxa"/>
            <w:vMerge w:val="restart"/>
            <w:shd w:val="clear" w:color="auto" w:fill="auto"/>
            <w:vAlign w:val="center"/>
          </w:tcPr>
          <w:p>
            <w:pPr>
              <w:pStyle w:val="179"/>
            </w:pPr>
            <w:r>
              <w:rPr>
                <w:rFonts w:hint="eastAsia"/>
              </w:rPr>
              <w:t>整地</w:t>
            </w:r>
          </w:p>
        </w:tc>
        <w:tc>
          <w:tcPr>
            <w:tcW w:w="1133" w:type="dxa"/>
            <w:gridSpan w:val="2"/>
            <w:shd w:val="clear" w:color="auto" w:fill="auto"/>
            <w:vAlign w:val="center"/>
          </w:tcPr>
          <w:p>
            <w:pPr>
              <w:pStyle w:val="179"/>
            </w:pPr>
            <w:r>
              <w:rPr>
                <w:rFonts w:hint="eastAsia"/>
              </w:rPr>
              <w:t>整地方式</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翻地深度</w:t>
            </w:r>
          </w:p>
        </w:tc>
        <w:tc>
          <w:tcPr>
            <w:tcW w:w="2297" w:type="dxa"/>
            <w:gridSpan w:val="4"/>
            <w:shd w:val="clear" w:color="auto" w:fill="auto"/>
            <w:vAlign w:val="center"/>
          </w:tcPr>
          <w:p>
            <w:pPr>
              <w:pStyle w:val="179"/>
            </w:pPr>
          </w:p>
        </w:tc>
        <w:tc>
          <w:tcPr>
            <w:tcW w:w="991" w:type="dxa"/>
            <w:vMerge w:val="restart"/>
            <w:shd w:val="clear" w:color="auto" w:fill="auto"/>
            <w:vAlign w:val="center"/>
          </w:tcPr>
          <w:p>
            <w:pPr>
              <w:pStyle w:val="179"/>
            </w:pPr>
          </w:p>
        </w:tc>
        <w:tc>
          <w:tcPr>
            <w:tcW w:w="946" w:type="dxa"/>
            <w:vMerge w:val="restart"/>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垄宽</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垄间距</w:t>
            </w:r>
          </w:p>
        </w:tc>
        <w:tc>
          <w:tcPr>
            <w:tcW w:w="2297" w:type="dxa"/>
            <w:gridSpan w:val="4"/>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土壤处理</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整地时间</w:t>
            </w:r>
          </w:p>
        </w:tc>
        <w:tc>
          <w:tcPr>
            <w:tcW w:w="2297" w:type="dxa"/>
            <w:gridSpan w:val="4"/>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shd w:val="clear" w:color="auto" w:fill="auto"/>
            <w:vAlign w:val="center"/>
          </w:tcPr>
          <w:p>
            <w:pPr>
              <w:pStyle w:val="179"/>
            </w:pPr>
          </w:p>
        </w:tc>
        <w:tc>
          <w:tcPr>
            <w:tcW w:w="282" w:type="dxa"/>
            <w:vMerge w:val="restart"/>
            <w:shd w:val="clear" w:color="auto" w:fill="auto"/>
            <w:vAlign w:val="center"/>
          </w:tcPr>
          <w:p>
            <w:pPr>
              <w:pStyle w:val="179"/>
            </w:pPr>
            <w:r>
              <w:rPr>
                <w:rFonts w:hint="eastAsia"/>
              </w:rPr>
              <w:t>基肥</w:t>
            </w:r>
          </w:p>
        </w:tc>
        <w:tc>
          <w:tcPr>
            <w:tcW w:w="1133" w:type="dxa"/>
            <w:gridSpan w:val="2"/>
            <w:shd w:val="clear" w:color="auto" w:fill="auto"/>
            <w:vAlign w:val="center"/>
          </w:tcPr>
          <w:p>
            <w:pPr>
              <w:pStyle w:val="179"/>
            </w:pPr>
            <w:r>
              <w:rPr>
                <w:rFonts w:hint="eastAsia"/>
              </w:rPr>
              <w:t>基肥种类</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亩施肥量</w:t>
            </w:r>
          </w:p>
        </w:tc>
        <w:tc>
          <w:tcPr>
            <w:tcW w:w="2297" w:type="dxa"/>
            <w:gridSpan w:val="4"/>
            <w:shd w:val="clear" w:color="auto" w:fill="auto"/>
            <w:vAlign w:val="center"/>
          </w:tcPr>
          <w:p>
            <w:pPr>
              <w:pStyle w:val="179"/>
            </w:pPr>
          </w:p>
        </w:tc>
        <w:tc>
          <w:tcPr>
            <w:tcW w:w="991" w:type="dxa"/>
            <w:vMerge w:val="restart"/>
            <w:shd w:val="clear" w:color="auto" w:fill="auto"/>
            <w:vAlign w:val="center"/>
          </w:tcPr>
          <w:p>
            <w:pPr>
              <w:pStyle w:val="179"/>
            </w:pPr>
          </w:p>
        </w:tc>
        <w:tc>
          <w:tcPr>
            <w:tcW w:w="946" w:type="dxa"/>
            <w:vMerge w:val="restart"/>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施肥时间</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施肥总量</w:t>
            </w:r>
          </w:p>
        </w:tc>
        <w:tc>
          <w:tcPr>
            <w:tcW w:w="2297" w:type="dxa"/>
            <w:gridSpan w:val="4"/>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肥料批号</w:t>
            </w:r>
          </w:p>
        </w:tc>
        <w:tc>
          <w:tcPr>
            <w:tcW w:w="5706" w:type="dxa"/>
            <w:gridSpan w:val="7"/>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restart"/>
            <w:shd w:val="clear" w:color="auto" w:fill="auto"/>
            <w:vAlign w:val="center"/>
          </w:tcPr>
          <w:p>
            <w:pPr>
              <w:pStyle w:val="179"/>
            </w:pPr>
            <w:r>
              <w:rPr>
                <w:rFonts w:hint="eastAsia"/>
              </w:rPr>
              <w:t>移栽</w:t>
            </w:r>
          </w:p>
        </w:tc>
        <w:tc>
          <w:tcPr>
            <w:tcW w:w="282" w:type="dxa"/>
            <w:vMerge w:val="restart"/>
            <w:shd w:val="clear" w:color="auto" w:fill="auto"/>
            <w:vAlign w:val="center"/>
          </w:tcPr>
          <w:p>
            <w:pPr>
              <w:pStyle w:val="179"/>
            </w:pPr>
            <w:r>
              <w:rPr>
                <w:rFonts w:hint="eastAsia"/>
              </w:rPr>
              <w:t>移栽</w:t>
            </w:r>
          </w:p>
        </w:tc>
        <w:tc>
          <w:tcPr>
            <w:tcW w:w="1133" w:type="dxa"/>
            <w:gridSpan w:val="2"/>
            <w:shd w:val="clear" w:color="auto" w:fill="auto"/>
            <w:vAlign w:val="center"/>
          </w:tcPr>
          <w:p>
            <w:pPr>
              <w:pStyle w:val="179"/>
            </w:pPr>
            <w:r>
              <w:rPr>
                <w:rFonts w:hint="eastAsia"/>
              </w:rPr>
              <w:t>移栽方法</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移栽时间</w:t>
            </w:r>
          </w:p>
        </w:tc>
        <w:tc>
          <w:tcPr>
            <w:tcW w:w="2297" w:type="dxa"/>
            <w:gridSpan w:val="4"/>
            <w:shd w:val="clear" w:color="auto" w:fill="auto"/>
            <w:vAlign w:val="center"/>
          </w:tcPr>
          <w:p>
            <w:pPr>
              <w:pStyle w:val="179"/>
            </w:pPr>
          </w:p>
        </w:tc>
        <w:tc>
          <w:tcPr>
            <w:tcW w:w="991" w:type="dxa"/>
            <w:vMerge w:val="restart"/>
            <w:shd w:val="clear" w:color="auto" w:fill="auto"/>
            <w:vAlign w:val="center"/>
          </w:tcPr>
          <w:p>
            <w:pPr>
              <w:pStyle w:val="179"/>
            </w:pPr>
          </w:p>
        </w:tc>
        <w:tc>
          <w:tcPr>
            <w:tcW w:w="946" w:type="dxa"/>
            <w:vMerge w:val="restart"/>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亩移栽量</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株间距</w:t>
            </w:r>
          </w:p>
        </w:tc>
        <w:tc>
          <w:tcPr>
            <w:tcW w:w="2297" w:type="dxa"/>
            <w:gridSpan w:val="4"/>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种苗处理</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种苗批号</w:t>
            </w:r>
          </w:p>
        </w:tc>
        <w:tc>
          <w:tcPr>
            <w:tcW w:w="2297" w:type="dxa"/>
            <w:gridSpan w:val="4"/>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bottom w:val="single" w:color="auto" w:sz="4" w:space="0"/>
            </w:tcBorders>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灌溉方式</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灌溉时间</w:t>
            </w:r>
          </w:p>
        </w:tc>
        <w:tc>
          <w:tcPr>
            <w:tcW w:w="2297" w:type="dxa"/>
            <w:gridSpan w:val="4"/>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restart"/>
            <w:tcBorders>
              <w:top w:val="single" w:color="auto" w:sz="4" w:space="0"/>
              <w:bottom w:val="single" w:color="auto" w:sz="12" w:space="0"/>
            </w:tcBorders>
            <w:shd w:val="clear" w:color="auto" w:fill="auto"/>
            <w:vAlign w:val="center"/>
          </w:tcPr>
          <w:p>
            <w:pPr>
              <w:pStyle w:val="179"/>
            </w:pPr>
            <w:r>
              <w:rPr>
                <w:rFonts w:hint="eastAsia"/>
              </w:rPr>
              <w:t>田间管理</w:t>
            </w:r>
          </w:p>
        </w:tc>
        <w:tc>
          <w:tcPr>
            <w:tcW w:w="282" w:type="dxa"/>
            <w:shd w:val="clear" w:color="auto" w:fill="auto"/>
            <w:vAlign w:val="center"/>
          </w:tcPr>
          <w:p>
            <w:pPr>
              <w:pStyle w:val="179"/>
            </w:pPr>
            <w:r>
              <w:rPr>
                <w:rFonts w:hint="eastAsia"/>
              </w:rPr>
              <w:t>打顶</w:t>
            </w:r>
          </w:p>
        </w:tc>
        <w:tc>
          <w:tcPr>
            <w:tcW w:w="1133" w:type="dxa"/>
            <w:gridSpan w:val="2"/>
            <w:shd w:val="clear" w:color="auto" w:fill="auto"/>
            <w:vAlign w:val="center"/>
          </w:tcPr>
          <w:p>
            <w:pPr>
              <w:pStyle w:val="179"/>
            </w:pPr>
            <w:r>
              <w:rPr>
                <w:rFonts w:hint="eastAsia"/>
              </w:rPr>
              <w:t>打顶方式</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打顶时间</w:t>
            </w:r>
          </w:p>
        </w:tc>
        <w:tc>
          <w:tcPr>
            <w:tcW w:w="2297" w:type="dxa"/>
            <w:gridSpan w:val="4"/>
            <w:shd w:val="clear" w:color="auto" w:fill="auto"/>
            <w:vAlign w:val="center"/>
          </w:tcPr>
          <w:p>
            <w:pPr>
              <w:pStyle w:val="179"/>
            </w:pPr>
          </w:p>
        </w:tc>
        <w:tc>
          <w:tcPr>
            <w:tcW w:w="991" w:type="dxa"/>
            <w:shd w:val="clear" w:color="auto" w:fill="auto"/>
            <w:vAlign w:val="center"/>
          </w:tcPr>
          <w:p>
            <w:pPr>
              <w:pStyle w:val="179"/>
            </w:pPr>
          </w:p>
        </w:tc>
        <w:tc>
          <w:tcPr>
            <w:tcW w:w="946" w:type="dxa"/>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restart"/>
            <w:shd w:val="clear" w:color="auto" w:fill="auto"/>
            <w:vAlign w:val="center"/>
          </w:tcPr>
          <w:p>
            <w:pPr>
              <w:pStyle w:val="179"/>
            </w:pPr>
            <w:r>
              <w:rPr>
                <w:rFonts w:hint="eastAsia"/>
              </w:rPr>
              <w:t>除草</w:t>
            </w:r>
          </w:p>
        </w:tc>
        <w:tc>
          <w:tcPr>
            <w:tcW w:w="1133" w:type="dxa"/>
            <w:gridSpan w:val="2"/>
            <w:shd w:val="clear" w:color="auto" w:fill="auto"/>
            <w:vAlign w:val="center"/>
          </w:tcPr>
          <w:p>
            <w:pPr>
              <w:pStyle w:val="179"/>
            </w:pPr>
            <w:r>
              <w:rPr>
                <w:rFonts w:hint="eastAsia"/>
              </w:rPr>
              <w:t>除草方式</w:t>
            </w:r>
          </w:p>
        </w:tc>
        <w:tc>
          <w:tcPr>
            <w:tcW w:w="2276" w:type="dxa"/>
            <w:gridSpan w:val="2"/>
            <w:shd w:val="clear" w:color="auto" w:fill="auto"/>
            <w:vAlign w:val="center"/>
          </w:tcPr>
          <w:p>
            <w:pPr>
              <w:pStyle w:val="179"/>
            </w:pPr>
          </w:p>
        </w:tc>
        <w:tc>
          <w:tcPr>
            <w:tcW w:w="1133" w:type="dxa"/>
            <w:shd w:val="clear" w:color="auto" w:fill="auto"/>
            <w:vAlign w:val="center"/>
          </w:tcPr>
          <w:p>
            <w:pPr>
              <w:pStyle w:val="179"/>
            </w:pPr>
          </w:p>
        </w:tc>
        <w:tc>
          <w:tcPr>
            <w:tcW w:w="2297" w:type="dxa"/>
            <w:gridSpan w:val="4"/>
            <w:shd w:val="clear" w:color="auto" w:fill="auto"/>
            <w:vAlign w:val="center"/>
          </w:tcPr>
          <w:p>
            <w:pPr>
              <w:pStyle w:val="179"/>
            </w:pPr>
          </w:p>
        </w:tc>
        <w:tc>
          <w:tcPr>
            <w:tcW w:w="991" w:type="dxa"/>
            <w:vMerge w:val="restart"/>
            <w:shd w:val="clear" w:color="auto" w:fill="auto"/>
            <w:vAlign w:val="center"/>
          </w:tcPr>
          <w:p>
            <w:pPr>
              <w:pStyle w:val="179"/>
            </w:pPr>
          </w:p>
        </w:tc>
        <w:tc>
          <w:tcPr>
            <w:tcW w:w="946" w:type="dxa"/>
            <w:vMerge w:val="restart"/>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第一遍</w:t>
            </w:r>
          </w:p>
        </w:tc>
        <w:tc>
          <w:tcPr>
            <w:tcW w:w="2276" w:type="dxa"/>
            <w:gridSpan w:val="2"/>
            <w:shd w:val="clear" w:color="auto" w:fill="auto"/>
            <w:vAlign w:val="center"/>
          </w:tcPr>
          <w:p>
            <w:pPr>
              <w:pStyle w:val="179"/>
            </w:pPr>
          </w:p>
        </w:tc>
        <w:tc>
          <w:tcPr>
            <w:tcW w:w="1133" w:type="dxa"/>
            <w:shd w:val="clear" w:color="auto" w:fill="auto"/>
            <w:vAlign w:val="center"/>
          </w:tcPr>
          <w:p>
            <w:pPr>
              <w:pStyle w:val="179"/>
            </w:pPr>
          </w:p>
        </w:tc>
        <w:tc>
          <w:tcPr>
            <w:tcW w:w="2297" w:type="dxa"/>
            <w:gridSpan w:val="4"/>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continue"/>
            <w:shd w:val="clear" w:color="auto" w:fill="auto"/>
            <w:vAlign w:val="center"/>
          </w:tcPr>
          <w:p>
            <w:pPr>
              <w:pStyle w:val="179"/>
            </w:pPr>
          </w:p>
        </w:tc>
        <w:tc>
          <w:tcPr>
            <w:tcW w:w="1133" w:type="dxa"/>
            <w:gridSpan w:val="2"/>
            <w:shd w:val="clear" w:color="auto" w:fill="auto"/>
            <w:vAlign w:val="center"/>
          </w:tcPr>
          <w:p>
            <w:pPr>
              <w:pStyle w:val="179"/>
            </w:pPr>
            <w:r>
              <w:rPr>
                <w:rFonts w:hint="eastAsia"/>
              </w:rPr>
              <w:t>第二遍</w:t>
            </w:r>
          </w:p>
        </w:tc>
        <w:tc>
          <w:tcPr>
            <w:tcW w:w="2276" w:type="dxa"/>
            <w:gridSpan w:val="2"/>
            <w:shd w:val="clear" w:color="auto" w:fill="auto"/>
            <w:vAlign w:val="center"/>
          </w:tcPr>
          <w:p>
            <w:pPr>
              <w:pStyle w:val="179"/>
            </w:pPr>
          </w:p>
        </w:tc>
        <w:tc>
          <w:tcPr>
            <w:tcW w:w="1133" w:type="dxa"/>
            <w:shd w:val="clear" w:color="auto" w:fill="auto"/>
            <w:vAlign w:val="center"/>
          </w:tcPr>
          <w:p>
            <w:pPr>
              <w:pStyle w:val="179"/>
            </w:pPr>
          </w:p>
        </w:tc>
        <w:tc>
          <w:tcPr>
            <w:tcW w:w="2297" w:type="dxa"/>
            <w:gridSpan w:val="4"/>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restart"/>
            <w:shd w:val="clear" w:color="auto" w:fill="auto"/>
            <w:vAlign w:val="center"/>
          </w:tcPr>
          <w:p>
            <w:pPr>
              <w:pStyle w:val="179"/>
            </w:pPr>
            <w:r>
              <w:rPr>
                <w:rFonts w:hint="eastAsia"/>
              </w:rPr>
              <w:t>病虫害防治</w:t>
            </w:r>
          </w:p>
        </w:tc>
        <w:tc>
          <w:tcPr>
            <w:tcW w:w="708" w:type="dxa"/>
            <w:shd w:val="clear" w:color="auto" w:fill="auto"/>
            <w:vAlign w:val="center"/>
          </w:tcPr>
          <w:p>
            <w:pPr>
              <w:pStyle w:val="179"/>
            </w:pPr>
            <w:r>
              <w:rPr>
                <w:rFonts w:hint="eastAsia"/>
              </w:rPr>
              <w:t>病虫害名称</w:t>
            </w:r>
          </w:p>
        </w:tc>
        <w:tc>
          <w:tcPr>
            <w:tcW w:w="719" w:type="dxa"/>
            <w:gridSpan w:val="2"/>
            <w:shd w:val="clear" w:color="auto" w:fill="auto"/>
            <w:vAlign w:val="center"/>
          </w:tcPr>
          <w:p>
            <w:pPr>
              <w:pStyle w:val="179"/>
            </w:pPr>
            <w:r>
              <w:rPr>
                <w:rFonts w:hint="eastAsia"/>
              </w:rPr>
              <w:t>病虫害程度</w:t>
            </w:r>
          </w:p>
        </w:tc>
        <w:tc>
          <w:tcPr>
            <w:tcW w:w="1982" w:type="dxa"/>
            <w:shd w:val="clear" w:color="auto" w:fill="auto"/>
            <w:vAlign w:val="center"/>
          </w:tcPr>
          <w:p>
            <w:pPr>
              <w:pStyle w:val="179"/>
            </w:pPr>
            <w:r>
              <w:rPr>
                <w:rFonts w:hint="eastAsia"/>
              </w:rPr>
              <w:t>农药名称及用量</w:t>
            </w:r>
          </w:p>
        </w:tc>
        <w:tc>
          <w:tcPr>
            <w:tcW w:w="1275" w:type="dxa"/>
            <w:gridSpan w:val="2"/>
            <w:shd w:val="clear" w:color="auto" w:fill="auto"/>
            <w:vAlign w:val="center"/>
          </w:tcPr>
          <w:p>
            <w:pPr>
              <w:pStyle w:val="179"/>
            </w:pPr>
            <w:r>
              <w:rPr>
                <w:rFonts w:hint="eastAsia"/>
              </w:rPr>
              <w:t>防治措施</w:t>
            </w:r>
          </w:p>
        </w:tc>
        <w:tc>
          <w:tcPr>
            <w:tcW w:w="1133" w:type="dxa"/>
            <w:shd w:val="clear" w:color="auto" w:fill="auto"/>
            <w:vAlign w:val="center"/>
          </w:tcPr>
          <w:p>
            <w:pPr>
              <w:pStyle w:val="179"/>
            </w:pPr>
            <w:r>
              <w:rPr>
                <w:rFonts w:hint="eastAsia"/>
              </w:rPr>
              <w:t>防治时间</w:t>
            </w:r>
          </w:p>
        </w:tc>
        <w:tc>
          <w:tcPr>
            <w:tcW w:w="1022" w:type="dxa"/>
            <w:gridSpan w:val="2"/>
            <w:shd w:val="clear" w:color="auto" w:fill="auto"/>
            <w:vAlign w:val="center"/>
          </w:tcPr>
          <w:p>
            <w:pPr>
              <w:pStyle w:val="179"/>
            </w:pPr>
            <w:r>
              <w:rPr>
                <w:rFonts w:hint="eastAsia"/>
              </w:rPr>
              <w:t>农药批号</w:t>
            </w:r>
          </w:p>
        </w:tc>
        <w:tc>
          <w:tcPr>
            <w:tcW w:w="991" w:type="dxa"/>
            <w:vMerge w:val="restart"/>
            <w:shd w:val="clear" w:color="auto" w:fill="auto"/>
            <w:vAlign w:val="center"/>
          </w:tcPr>
          <w:p>
            <w:pPr>
              <w:pStyle w:val="179"/>
            </w:pPr>
          </w:p>
        </w:tc>
        <w:tc>
          <w:tcPr>
            <w:tcW w:w="946" w:type="dxa"/>
            <w:vMerge w:val="restart"/>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continue"/>
            <w:shd w:val="clear" w:color="auto" w:fill="auto"/>
            <w:vAlign w:val="center"/>
          </w:tcPr>
          <w:p>
            <w:pPr>
              <w:pStyle w:val="179"/>
            </w:pPr>
          </w:p>
        </w:tc>
        <w:tc>
          <w:tcPr>
            <w:tcW w:w="708" w:type="dxa"/>
            <w:shd w:val="clear" w:color="auto" w:fill="auto"/>
            <w:vAlign w:val="center"/>
          </w:tcPr>
          <w:p>
            <w:pPr>
              <w:pStyle w:val="179"/>
            </w:pPr>
          </w:p>
        </w:tc>
        <w:tc>
          <w:tcPr>
            <w:tcW w:w="719" w:type="dxa"/>
            <w:gridSpan w:val="2"/>
            <w:shd w:val="clear" w:color="auto" w:fill="auto"/>
            <w:vAlign w:val="center"/>
          </w:tcPr>
          <w:p>
            <w:pPr>
              <w:pStyle w:val="179"/>
            </w:pPr>
          </w:p>
        </w:tc>
        <w:tc>
          <w:tcPr>
            <w:tcW w:w="1982" w:type="dxa"/>
            <w:shd w:val="clear" w:color="auto" w:fill="auto"/>
            <w:vAlign w:val="center"/>
          </w:tcPr>
          <w:p>
            <w:pPr>
              <w:pStyle w:val="179"/>
            </w:pPr>
          </w:p>
        </w:tc>
        <w:tc>
          <w:tcPr>
            <w:tcW w:w="1275" w:type="dxa"/>
            <w:gridSpan w:val="2"/>
            <w:shd w:val="clear" w:color="auto" w:fill="auto"/>
            <w:vAlign w:val="center"/>
          </w:tcPr>
          <w:p>
            <w:pPr>
              <w:pStyle w:val="179"/>
            </w:pPr>
          </w:p>
        </w:tc>
        <w:tc>
          <w:tcPr>
            <w:tcW w:w="1133" w:type="dxa"/>
            <w:shd w:val="clear" w:color="auto" w:fill="auto"/>
            <w:vAlign w:val="center"/>
          </w:tcPr>
          <w:p>
            <w:pPr>
              <w:pStyle w:val="179"/>
            </w:pPr>
          </w:p>
        </w:tc>
        <w:tc>
          <w:tcPr>
            <w:tcW w:w="1022" w:type="dxa"/>
            <w:gridSpan w:val="2"/>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continue"/>
            <w:shd w:val="clear" w:color="auto" w:fill="auto"/>
            <w:vAlign w:val="center"/>
          </w:tcPr>
          <w:p>
            <w:pPr>
              <w:pStyle w:val="179"/>
            </w:pPr>
          </w:p>
        </w:tc>
        <w:tc>
          <w:tcPr>
            <w:tcW w:w="708" w:type="dxa"/>
            <w:shd w:val="clear" w:color="auto" w:fill="auto"/>
            <w:vAlign w:val="center"/>
          </w:tcPr>
          <w:p>
            <w:pPr>
              <w:pStyle w:val="179"/>
            </w:pPr>
          </w:p>
        </w:tc>
        <w:tc>
          <w:tcPr>
            <w:tcW w:w="719" w:type="dxa"/>
            <w:gridSpan w:val="2"/>
            <w:shd w:val="clear" w:color="auto" w:fill="auto"/>
            <w:vAlign w:val="center"/>
          </w:tcPr>
          <w:p>
            <w:pPr>
              <w:pStyle w:val="179"/>
            </w:pPr>
          </w:p>
        </w:tc>
        <w:tc>
          <w:tcPr>
            <w:tcW w:w="1982" w:type="dxa"/>
            <w:shd w:val="clear" w:color="auto" w:fill="auto"/>
            <w:vAlign w:val="center"/>
          </w:tcPr>
          <w:p>
            <w:pPr>
              <w:pStyle w:val="179"/>
            </w:pPr>
          </w:p>
        </w:tc>
        <w:tc>
          <w:tcPr>
            <w:tcW w:w="1275" w:type="dxa"/>
            <w:gridSpan w:val="2"/>
            <w:shd w:val="clear" w:color="auto" w:fill="auto"/>
            <w:vAlign w:val="center"/>
          </w:tcPr>
          <w:p>
            <w:pPr>
              <w:pStyle w:val="179"/>
            </w:pPr>
          </w:p>
        </w:tc>
        <w:tc>
          <w:tcPr>
            <w:tcW w:w="1133" w:type="dxa"/>
            <w:shd w:val="clear" w:color="auto" w:fill="auto"/>
            <w:vAlign w:val="center"/>
          </w:tcPr>
          <w:p>
            <w:pPr>
              <w:pStyle w:val="179"/>
            </w:pPr>
          </w:p>
        </w:tc>
        <w:tc>
          <w:tcPr>
            <w:tcW w:w="1022" w:type="dxa"/>
            <w:gridSpan w:val="2"/>
            <w:shd w:val="clear" w:color="auto" w:fill="auto"/>
            <w:vAlign w:val="center"/>
          </w:tcPr>
          <w:p>
            <w:pPr>
              <w:pStyle w:val="179"/>
            </w:pPr>
          </w:p>
        </w:tc>
        <w:tc>
          <w:tcPr>
            <w:tcW w:w="991" w:type="dxa"/>
            <w:vMerge w:val="continue"/>
            <w:shd w:val="clear" w:color="auto" w:fill="auto"/>
            <w:vAlign w:val="center"/>
          </w:tcPr>
          <w:p>
            <w:pPr>
              <w:pStyle w:val="179"/>
            </w:pPr>
          </w:p>
        </w:tc>
        <w:tc>
          <w:tcPr>
            <w:tcW w:w="946"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continue"/>
            <w:tcBorders>
              <w:bottom w:val="single" w:color="auto" w:sz="4" w:space="0"/>
            </w:tcBorders>
            <w:shd w:val="clear" w:color="auto" w:fill="auto"/>
            <w:vAlign w:val="center"/>
          </w:tcPr>
          <w:p>
            <w:pPr>
              <w:pStyle w:val="179"/>
            </w:pPr>
          </w:p>
        </w:tc>
        <w:tc>
          <w:tcPr>
            <w:tcW w:w="708" w:type="dxa"/>
            <w:shd w:val="clear" w:color="auto" w:fill="auto"/>
            <w:vAlign w:val="center"/>
          </w:tcPr>
          <w:p>
            <w:pPr>
              <w:pStyle w:val="179"/>
            </w:pPr>
          </w:p>
        </w:tc>
        <w:tc>
          <w:tcPr>
            <w:tcW w:w="719" w:type="dxa"/>
            <w:gridSpan w:val="2"/>
            <w:shd w:val="clear" w:color="auto" w:fill="auto"/>
            <w:vAlign w:val="center"/>
          </w:tcPr>
          <w:p>
            <w:pPr>
              <w:pStyle w:val="179"/>
            </w:pPr>
          </w:p>
        </w:tc>
        <w:tc>
          <w:tcPr>
            <w:tcW w:w="1982" w:type="dxa"/>
            <w:shd w:val="clear" w:color="auto" w:fill="auto"/>
            <w:vAlign w:val="center"/>
          </w:tcPr>
          <w:p>
            <w:pPr>
              <w:pStyle w:val="179"/>
            </w:pPr>
          </w:p>
        </w:tc>
        <w:tc>
          <w:tcPr>
            <w:tcW w:w="1275" w:type="dxa"/>
            <w:gridSpan w:val="2"/>
            <w:shd w:val="clear" w:color="auto" w:fill="auto"/>
            <w:vAlign w:val="center"/>
          </w:tcPr>
          <w:p>
            <w:pPr>
              <w:pStyle w:val="179"/>
            </w:pPr>
          </w:p>
        </w:tc>
        <w:tc>
          <w:tcPr>
            <w:tcW w:w="1133" w:type="dxa"/>
            <w:shd w:val="clear" w:color="auto" w:fill="auto"/>
            <w:vAlign w:val="center"/>
          </w:tcPr>
          <w:p>
            <w:pPr>
              <w:pStyle w:val="179"/>
            </w:pPr>
          </w:p>
        </w:tc>
        <w:tc>
          <w:tcPr>
            <w:tcW w:w="1022" w:type="dxa"/>
            <w:gridSpan w:val="2"/>
            <w:shd w:val="clear" w:color="auto" w:fill="auto"/>
            <w:vAlign w:val="center"/>
          </w:tcPr>
          <w:p>
            <w:pPr>
              <w:pStyle w:val="179"/>
            </w:pPr>
          </w:p>
        </w:tc>
        <w:tc>
          <w:tcPr>
            <w:tcW w:w="991" w:type="dxa"/>
            <w:vMerge w:val="continue"/>
            <w:tcBorders>
              <w:bottom w:val="single" w:color="auto" w:sz="4" w:space="0"/>
            </w:tcBorders>
            <w:shd w:val="clear" w:color="auto" w:fill="auto"/>
            <w:vAlign w:val="center"/>
          </w:tcPr>
          <w:p>
            <w:pPr>
              <w:pStyle w:val="179"/>
            </w:pPr>
          </w:p>
        </w:tc>
        <w:tc>
          <w:tcPr>
            <w:tcW w:w="946" w:type="dxa"/>
            <w:vMerge w:val="continue"/>
            <w:tcBorders>
              <w:bottom w:val="single" w:color="auto" w:sz="4"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restart"/>
            <w:tcBorders>
              <w:top w:val="single" w:color="auto" w:sz="4" w:space="0"/>
              <w:bottom w:val="single" w:color="auto" w:sz="12" w:space="0"/>
            </w:tcBorders>
            <w:shd w:val="clear" w:color="auto" w:fill="auto"/>
            <w:vAlign w:val="center"/>
          </w:tcPr>
          <w:p>
            <w:pPr>
              <w:pStyle w:val="179"/>
            </w:pPr>
            <w:r>
              <w:rPr>
                <w:rFonts w:hint="eastAsia"/>
              </w:rPr>
              <w:t>追肥</w:t>
            </w:r>
          </w:p>
        </w:tc>
        <w:tc>
          <w:tcPr>
            <w:tcW w:w="1133" w:type="dxa"/>
            <w:gridSpan w:val="2"/>
            <w:shd w:val="clear" w:color="auto" w:fill="auto"/>
            <w:vAlign w:val="center"/>
          </w:tcPr>
          <w:p>
            <w:pPr>
              <w:pStyle w:val="179"/>
            </w:pPr>
            <w:r>
              <w:rPr>
                <w:rFonts w:hint="eastAsia"/>
              </w:rPr>
              <w:t>肥料名称</w:t>
            </w:r>
          </w:p>
        </w:tc>
        <w:tc>
          <w:tcPr>
            <w:tcW w:w="2276" w:type="dxa"/>
            <w:gridSpan w:val="2"/>
            <w:shd w:val="clear" w:color="auto" w:fill="auto"/>
            <w:vAlign w:val="center"/>
          </w:tcPr>
          <w:p>
            <w:pPr>
              <w:pStyle w:val="179"/>
            </w:pPr>
          </w:p>
        </w:tc>
        <w:tc>
          <w:tcPr>
            <w:tcW w:w="1133" w:type="dxa"/>
            <w:shd w:val="clear" w:color="auto" w:fill="auto"/>
            <w:vAlign w:val="center"/>
          </w:tcPr>
          <w:p>
            <w:pPr>
              <w:pStyle w:val="179"/>
            </w:pPr>
            <w:r>
              <w:rPr>
                <w:rFonts w:hint="eastAsia"/>
              </w:rPr>
              <w:t>亩追肥量</w:t>
            </w:r>
          </w:p>
        </w:tc>
        <w:tc>
          <w:tcPr>
            <w:tcW w:w="2297" w:type="dxa"/>
            <w:gridSpan w:val="4"/>
            <w:shd w:val="clear" w:color="auto" w:fill="auto"/>
            <w:vAlign w:val="center"/>
          </w:tcPr>
          <w:p>
            <w:pPr>
              <w:pStyle w:val="179"/>
            </w:pPr>
          </w:p>
        </w:tc>
        <w:tc>
          <w:tcPr>
            <w:tcW w:w="991" w:type="dxa"/>
            <w:vMerge w:val="restart"/>
            <w:tcBorders>
              <w:top w:val="single" w:color="auto" w:sz="4" w:space="0"/>
              <w:bottom w:val="single" w:color="auto" w:sz="12" w:space="0"/>
            </w:tcBorders>
            <w:shd w:val="clear" w:color="auto" w:fill="auto"/>
            <w:vAlign w:val="center"/>
          </w:tcPr>
          <w:p>
            <w:pPr>
              <w:pStyle w:val="179"/>
            </w:pPr>
          </w:p>
        </w:tc>
        <w:tc>
          <w:tcPr>
            <w:tcW w:w="946" w:type="dxa"/>
            <w:vMerge w:val="restart"/>
            <w:tcBorders>
              <w:top w:val="single" w:color="auto" w:sz="4" w:space="0"/>
              <w:bottom w:val="single" w:color="auto" w:sz="12"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continue"/>
            <w:tcBorders>
              <w:top w:val="single" w:color="auto" w:sz="4" w:space="0"/>
              <w:bottom w:val="single" w:color="auto" w:sz="12" w:space="0"/>
            </w:tcBorders>
            <w:shd w:val="clear" w:color="auto" w:fill="auto"/>
            <w:vAlign w:val="center"/>
          </w:tcPr>
          <w:p>
            <w:pPr>
              <w:pStyle w:val="179"/>
            </w:pPr>
          </w:p>
        </w:tc>
        <w:tc>
          <w:tcPr>
            <w:tcW w:w="1133" w:type="dxa"/>
            <w:gridSpan w:val="2"/>
            <w:tcBorders>
              <w:bottom w:val="single" w:color="auto" w:sz="4" w:space="0"/>
            </w:tcBorders>
            <w:shd w:val="clear" w:color="auto" w:fill="auto"/>
            <w:vAlign w:val="center"/>
          </w:tcPr>
          <w:p>
            <w:pPr>
              <w:pStyle w:val="179"/>
            </w:pPr>
            <w:r>
              <w:rPr>
                <w:rFonts w:hint="eastAsia"/>
              </w:rPr>
              <w:t>追肥时间</w:t>
            </w:r>
          </w:p>
        </w:tc>
        <w:tc>
          <w:tcPr>
            <w:tcW w:w="2276" w:type="dxa"/>
            <w:gridSpan w:val="2"/>
            <w:tcBorders>
              <w:bottom w:val="single" w:color="auto" w:sz="4" w:space="0"/>
            </w:tcBorders>
            <w:shd w:val="clear" w:color="auto" w:fill="auto"/>
            <w:vAlign w:val="center"/>
          </w:tcPr>
          <w:p>
            <w:pPr>
              <w:pStyle w:val="179"/>
            </w:pPr>
          </w:p>
        </w:tc>
        <w:tc>
          <w:tcPr>
            <w:tcW w:w="1133" w:type="dxa"/>
            <w:tcBorders>
              <w:bottom w:val="single" w:color="auto" w:sz="4" w:space="0"/>
            </w:tcBorders>
            <w:shd w:val="clear" w:color="auto" w:fill="auto"/>
            <w:vAlign w:val="center"/>
          </w:tcPr>
          <w:p>
            <w:pPr>
              <w:pStyle w:val="179"/>
            </w:pPr>
            <w:r>
              <w:rPr>
                <w:rFonts w:hint="eastAsia"/>
              </w:rPr>
              <w:t>总施肥量</w:t>
            </w:r>
          </w:p>
        </w:tc>
        <w:tc>
          <w:tcPr>
            <w:tcW w:w="2297" w:type="dxa"/>
            <w:gridSpan w:val="4"/>
            <w:tcBorders>
              <w:bottom w:val="single" w:color="auto" w:sz="4" w:space="0"/>
            </w:tcBorders>
            <w:shd w:val="clear" w:color="auto" w:fill="auto"/>
            <w:vAlign w:val="center"/>
          </w:tcPr>
          <w:p>
            <w:pPr>
              <w:pStyle w:val="179"/>
            </w:pPr>
          </w:p>
        </w:tc>
        <w:tc>
          <w:tcPr>
            <w:tcW w:w="991" w:type="dxa"/>
            <w:vMerge w:val="continue"/>
            <w:tcBorders>
              <w:top w:val="single" w:color="auto" w:sz="4" w:space="0"/>
              <w:bottom w:val="single" w:color="auto" w:sz="12" w:space="0"/>
            </w:tcBorders>
            <w:shd w:val="clear" w:color="auto" w:fill="auto"/>
            <w:vAlign w:val="center"/>
          </w:tcPr>
          <w:p>
            <w:pPr>
              <w:pStyle w:val="179"/>
            </w:pPr>
          </w:p>
        </w:tc>
        <w:tc>
          <w:tcPr>
            <w:tcW w:w="946" w:type="dxa"/>
            <w:vMerge w:val="continue"/>
            <w:tcBorders>
              <w:top w:val="single" w:color="auto" w:sz="4" w:space="0"/>
              <w:bottom w:val="single" w:color="auto" w:sz="12" w:space="0"/>
            </w:tcBorders>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73" w:type="dxa"/>
            <w:vMerge w:val="continue"/>
            <w:tcBorders>
              <w:top w:val="single" w:color="auto" w:sz="4" w:space="0"/>
              <w:bottom w:val="single" w:color="auto" w:sz="12" w:space="0"/>
            </w:tcBorders>
            <w:shd w:val="clear" w:color="auto" w:fill="auto"/>
            <w:vAlign w:val="center"/>
          </w:tcPr>
          <w:p>
            <w:pPr>
              <w:pStyle w:val="179"/>
            </w:pPr>
          </w:p>
        </w:tc>
        <w:tc>
          <w:tcPr>
            <w:tcW w:w="282" w:type="dxa"/>
            <w:vMerge w:val="continue"/>
            <w:tcBorders>
              <w:top w:val="single" w:color="auto" w:sz="4" w:space="0"/>
              <w:bottom w:val="single" w:color="auto" w:sz="12" w:space="0"/>
            </w:tcBorders>
            <w:shd w:val="clear" w:color="auto" w:fill="auto"/>
            <w:vAlign w:val="center"/>
          </w:tcPr>
          <w:p>
            <w:pPr>
              <w:pStyle w:val="179"/>
            </w:pPr>
          </w:p>
        </w:tc>
        <w:tc>
          <w:tcPr>
            <w:tcW w:w="1133" w:type="dxa"/>
            <w:gridSpan w:val="2"/>
            <w:tcBorders>
              <w:top w:val="single" w:color="auto" w:sz="4" w:space="0"/>
              <w:bottom w:val="single" w:color="auto" w:sz="12" w:space="0"/>
            </w:tcBorders>
            <w:shd w:val="clear" w:color="auto" w:fill="auto"/>
            <w:vAlign w:val="center"/>
          </w:tcPr>
          <w:p>
            <w:pPr>
              <w:pStyle w:val="179"/>
            </w:pPr>
            <w:r>
              <w:rPr>
                <w:rFonts w:hint="eastAsia"/>
              </w:rPr>
              <w:t>肥料批号</w:t>
            </w:r>
          </w:p>
        </w:tc>
        <w:tc>
          <w:tcPr>
            <w:tcW w:w="5706" w:type="dxa"/>
            <w:gridSpan w:val="7"/>
            <w:tcBorders>
              <w:top w:val="single" w:color="auto" w:sz="4" w:space="0"/>
              <w:bottom w:val="single" w:color="auto" w:sz="12" w:space="0"/>
            </w:tcBorders>
            <w:shd w:val="clear" w:color="auto" w:fill="auto"/>
            <w:vAlign w:val="center"/>
          </w:tcPr>
          <w:p>
            <w:pPr>
              <w:pStyle w:val="179"/>
            </w:pPr>
          </w:p>
        </w:tc>
        <w:tc>
          <w:tcPr>
            <w:tcW w:w="991" w:type="dxa"/>
            <w:vMerge w:val="continue"/>
            <w:tcBorders>
              <w:top w:val="single" w:color="auto" w:sz="4" w:space="0"/>
              <w:bottom w:val="single" w:color="auto" w:sz="12" w:space="0"/>
            </w:tcBorders>
            <w:shd w:val="clear" w:color="auto" w:fill="auto"/>
            <w:vAlign w:val="center"/>
          </w:tcPr>
          <w:p>
            <w:pPr>
              <w:pStyle w:val="179"/>
            </w:pPr>
          </w:p>
        </w:tc>
        <w:tc>
          <w:tcPr>
            <w:tcW w:w="946" w:type="dxa"/>
            <w:vMerge w:val="continue"/>
            <w:tcBorders>
              <w:top w:val="single" w:color="auto" w:sz="4" w:space="0"/>
              <w:bottom w:val="single" w:color="auto" w:sz="12" w:space="0"/>
            </w:tcBorders>
            <w:shd w:val="clear" w:color="auto" w:fill="auto"/>
            <w:vAlign w:val="center"/>
          </w:tcPr>
          <w:p>
            <w:pPr>
              <w:pStyle w:val="179"/>
            </w:pPr>
          </w:p>
        </w:tc>
      </w:tr>
    </w:tbl>
    <w:p>
      <w:pPr>
        <w:pStyle w:val="57"/>
        <w:ind w:firstLine="420"/>
      </w:pPr>
    </w:p>
    <w:p>
      <w:pPr>
        <w:pStyle w:val="106"/>
        <w:spacing w:before="156" w:after="156"/>
      </w:pPr>
      <w:bookmarkStart w:id="184" w:name="_Toc180624011"/>
      <w:bookmarkStart w:id="185" w:name="_Toc180623918"/>
      <w:bookmarkStart w:id="186" w:name="_Toc180623941"/>
      <w:bookmarkStart w:id="187" w:name="_Toc180623895"/>
      <w:bookmarkStart w:id="188" w:name="_Toc180623872"/>
      <w:bookmarkStart w:id="189" w:name="_Toc180623825"/>
      <w:r>
        <w:rPr>
          <w:rFonts w:hint="eastAsia"/>
        </w:rPr>
        <w:t>采收管理</w:t>
      </w:r>
      <w:bookmarkEnd w:id="184"/>
      <w:bookmarkEnd w:id="185"/>
      <w:bookmarkEnd w:id="186"/>
      <w:bookmarkEnd w:id="187"/>
      <w:bookmarkEnd w:id="188"/>
      <w:bookmarkEnd w:id="189"/>
    </w:p>
    <w:p>
      <w:pPr>
        <w:pStyle w:val="57"/>
        <w:ind w:firstLine="420"/>
      </w:pPr>
      <w:r>
        <w:rPr>
          <w:rFonts w:hint="eastAsia"/>
        </w:rPr>
        <w:t>对采收时间、地块、水分、入库时间、采收人、批次编号等逐项如实登记。</w:t>
      </w:r>
    </w:p>
    <w:p>
      <w:pPr>
        <w:pStyle w:val="113"/>
        <w:spacing w:before="156" w:after="156"/>
      </w:pPr>
      <w:r>
        <w:rPr>
          <w:rFonts w:hint="eastAsia"/>
        </w:rPr>
        <w:t>采收档案</w:t>
      </w:r>
    </w:p>
    <w:tbl>
      <w:tblPr>
        <w:tblStyle w:val="34"/>
        <w:tblW w:w="72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708"/>
        <w:gridCol w:w="709"/>
        <w:gridCol w:w="1134"/>
        <w:gridCol w:w="992"/>
        <w:gridCol w:w="851"/>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09"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序号</w:t>
            </w:r>
          </w:p>
        </w:tc>
        <w:tc>
          <w:tcPr>
            <w:tcW w:w="709"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采收日期</w:t>
            </w:r>
          </w:p>
        </w:tc>
        <w:tc>
          <w:tcPr>
            <w:tcW w:w="709"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采收地点</w:t>
            </w:r>
          </w:p>
        </w:tc>
        <w:tc>
          <w:tcPr>
            <w:tcW w:w="708"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采收工具</w:t>
            </w:r>
          </w:p>
        </w:tc>
        <w:tc>
          <w:tcPr>
            <w:tcW w:w="709"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采收人员</w:t>
            </w:r>
          </w:p>
        </w:tc>
        <w:tc>
          <w:tcPr>
            <w:tcW w:w="1134"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艾蒿数量/重量（kg）</w:t>
            </w:r>
          </w:p>
        </w:tc>
        <w:tc>
          <w:tcPr>
            <w:tcW w:w="992"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采收后处理方式</w:t>
            </w:r>
          </w:p>
        </w:tc>
        <w:tc>
          <w:tcPr>
            <w:tcW w:w="851"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负责人</w:t>
            </w:r>
          </w:p>
        </w:tc>
        <w:tc>
          <w:tcPr>
            <w:tcW w:w="709" w:type="dxa"/>
            <w:tcBorders>
              <w:top w:val="single" w:color="auto" w:sz="12" w:space="0"/>
              <w:left w:val="nil"/>
              <w:bottom w:val="single" w:color="auto" w:sz="4" w:space="0"/>
              <w:right w:val="nil"/>
            </w:tcBorders>
            <w:vAlign w:val="center"/>
          </w:tcPr>
          <w:p>
            <w:pPr>
              <w:pStyle w:val="57"/>
              <w:ind w:firstLine="0" w:firstLineChars="0"/>
              <w:jc w:val="left"/>
              <w:rPr>
                <w:sz w:val="18"/>
                <w:szCs w:val="18"/>
              </w:rPr>
            </w:pPr>
            <w:r>
              <w:rPr>
                <w:rFonts w:hint="eastAsia"/>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09" w:type="dxa"/>
            <w:tcBorders>
              <w:top w:val="single" w:color="auto" w:sz="4" w:space="0"/>
            </w:tcBorders>
          </w:tcPr>
          <w:p>
            <w:pPr>
              <w:pStyle w:val="57"/>
              <w:ind w:firstLine="0" w:firstLineChars="0"/>
            </w:pPr>
          </w:p>
        </w:tc>
        <w:tc>
          <w:tcPr>
            <w:tcW w:w="709" w:type="dxa"/>
            <w:tcBorders>
              <w:top w:val="single" w:color="auto" w:sz="4" w:space="0"/>
            </w:tcBorders>
          </w:tcPr>
          <w:p>
            <w:pPr>
              <w:pStyle w:val="57"/>
              <w:ind w:firstLine="0" w:firstLineChars="0"/>
            </w:pPr>
          </w:p>
        </w:tc>
        <w:tc>
          <w:tcPr>
            <w:tcW w:w="709" w:type="dxa"/>
            <w:tcBorders>
              <w:top w:val="single" w:color="auto" w:sz="4" w:space="0"/>
            </w:tcBorders>
          </w:tcPr>
          <w:p>
            <w:pPr>
              <w:pStyle w:val="57"/>
              <w:ind w:firstLine="0" w:firstLineChars="0"/>
            </w:pPr>
          </w:p>
        </w:tc>
        <w:tc>
          <w:tcPr>
            <w:tcW w:w="708" w:type="dxa"/>
            <w:tcBorders>
              <w:top w:val="single" w:color="auto" w:sz="4" w:space="0"/>
            </w:tcBorders>
          </w:tcPr>
          <w:p>
            <w:pPr>
              <w:pStyle w:val="57"/>
              <w:ind w:firstLine="0" w:firstLineChars="0"/>
            </w:pPr>
          </w:p>
        </w:tc>
        <w:tc>
          <w:tcPr>
            <w:tcW w:w="709" w:type="dxa"/>
            <w:tcBorders>
              <w:top w:val="single" w:color="auto" w:sz="4" w:space="0"/>
            </w:tcBorders>
          </w:tcPr>
          <w:p>
            <w:pPr>
              <w:pStyle w:val="57"/>
              <w:ind w:firstLine="0" w:firstLineChars="0"/>
            </w:pPr>
          </w:p>
        </w:tc>
        <w:tc>
          <w:tcPr>
            <w:tcW w:w="1134" w:type="dxa"/>
            <w:tcBorders>
              <w:top w:val="single" w:color="auto" w:sz="4" w:space="0"/>
            </w:tcBorders>
          </w:tcPr>
          <w:p>
            <w:pPr>
              <w:pStyle w:val="57"/>
              <w:ind w:firstLine="0" w:firstLineChars="0"/>
            </w:pPr>
          </w:p>
        </w:tc>
        <w:tc>
          <w:tcPr>
            <w:tcW w:w="992" w:type="dxa"/>
            <w:tcBorders>
              <w:top w:val="single" w:color="auto" w:sz="4" w:space="0"/>
            </w:tcBorders>
          </w:tcPr>
          <w:p>
            <w:pPr>
              <w:pStyle w:val="57"/>
              <w:ind w:firstLine="0" w:firstLineChars="0"/>
            </w:pPr>
          </w:p>
        </w:tc>
        <w:tc>
          <w:tcPr>
            <w:tcW w:w="851" w:type="dxa"/>
            <w:tcBorders>
              <w:top w:val="single" w:color="auto" w:sz="4" w:space="0"/>
            </w:tcBorders>
          </w:tcPr>
          <w:p>
            <w:pPr>
              <w:pStyle w:val="57"/>
              <w:ind w:firstLine="0" w:firstLineChars="0"/>
            </w:pPr>
          </w:p>
        </w:tc>
        <w:tc>
          <w:tcPr>
            <w:tcW w:w="709" w:type="dxa"/>
            <w:tcBorders>
              <w:top w:val="single" w:color="auto" w:sz="4" w:space="0"/>
            </w:tcBorders>
          </w:tcPr>
          <w:p>
            <w:pPr>
              <w:pStyle w:val="57"/>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09" w:type="dxa"/>
            <w:tcBorders>
              <w:bottom w:val="single" w:color="auto" w:sz="4" w:space="0"/>
            </w:tcBorders>
          </w:tcPr>
          <w:p>
            <w:pPr>
              <w:pStyle w:val="57"/>
              <w:ind w:firstLine="0" w:firstLineChars="0"/>
            </w:pPr>
          </w:p>
        </w:tc>
        <w:tc>
          <w:tcPr>
            <w:tcW w:w="709" w:type="dxa"/>
            <w:tcBorders>
              <w:bottom w:val="single" w:color="auto" w:sz="4" w:space="0"/>
            </w:tcBorders>
          </w:tcPr>
          <w:p>
            <w:pPr>
              <w:pStyle w:val="57"/>
              <w:ind w:firstLine="0" w:firstLineChars="0"/>
            </w:pPr>
          </w:p>
        </w:tc>
        <w:tc>
          <w:tcPr>
            <w:tcW w:w="709" w:type="dxa"/>
            <w:tcBorders>
              <w:bottom w:val="single" w:color="auto" w:sz="4" w:space="0"/>
            </w:tcBorders>
          </w:tcPr>
          <w:p>
            <w:pPr>
              <w:pStyle w:val="57"/>
              <w:ind w:firstLine="0" w:firstLineChars="0"/>
            </w:pPr>
          </w:p>
        </w:tc>
        <w:tc>
          <w:tcPr>
            <w:tcW w:w="708" w:type="dxa"/>
            <w:tcBorders>
              <w:bottom w:val="single" w:color="auto" w:sz="4" w:space="0"/>
            </w:tcBorders>
          </w:tcPr>
          <w:p>
            <w:pPr>
              <w:pStyle w:val="57"/>
              <w:ind w:firstLine="0" w:firstLineChars="0"/>
            </w:pPr>
          </w:p>
        </w:tc>
        <w:tc>
          <w:tcPr>
            <w:tcW w:w="709" w:type="dxa"/>
            <w:tcBorders>
              <w:bottom w:val="single" w:color="auto" w:sz="4" w:space="0"/>
            </w:tcBorders>
          </w:tcPr>
          <w:p>
            <w:pPr>
              <w:pStyle w:val="57"/>
              <w:ind w:firstLine="0" w:firstLineChars="0"/>
            </w:pPr>
          </w:p>
        </w:tc>
        <w:tc>
          <w:tcPr>
            <w:tcW w:w="1134" w:type="dxa"/>
            <w:tcBorders>
              <w:bottom w:val="single" w:color="auto" w:sz="4" w:space="0"/>
            </w:tcBorders>
          </w:tcPr>
          <w:p>
            <w:pPr>
              <w:pStyle w:val="57"/>
              <w:ind w:firstLine="0" w:firstLineChars="0"/>
            </w:pPr>
          </w:p>
        </w:tc>
        <w:tc>
          <w:tcPr>
            <w:tcW w:w="992" w:type="dxa"/>
            <w:tcBorders>
              <w:bottom w:val="single" w:color="auto" w:sz="4" w:space="0"/>
            </w:tcBorders>
          </w:tcPr>
          <w:p>
            <w:pPr>
              <w:pStyle w:val="57"/>
              <w:ind w:firstLine="0" w:firstLineChars="0"/>
            </w:pPr>
          </w:p>
        </w:tc>
        <w:tc>
          <w:tcPr>
            <w:tcW w:w="851" w:type="dxa"/>
            <w:tcBorders>
              <w:bottom w:val="single" w:color="auto" w:sz="4" w:space="0"/>
            </w:tcBorders>
          </w:tcPr>
          <w:p>
            <w:pPr>
              <w:pStyle w:val="57"/>
              <w:ind w:firstLine="0" w:firstLineChars="0"/>
            </w:pPr>
          </w:p>
        </w:tc>
        <w:tc>
          <w:tcPr>
            <w:tcW w:w="709" w:type="dxa"/>
            <w:tcBorders>
              <w:bottom w:val="single" w:color="auto" w:sz="4" w:space="0"/>
            </w:tcBorders>
          </w:tcPr>
          <w:p>
            <w:pPr>
              <w:pStyle w:val="57"/>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09" w:type="dxa"/>
            <w:tcBorders>
              <w:bottom w:val="single" w:color="auto" w:sz="12" w:space="0"/>
            </w:tcBorders>
          </w:tcPr>
          <w:p>
            <w:pPr>
              <w:pStyle w:val="57"/>
              <w:ind w:firstLine="0" w:firstLineChars="0"/>
            </w:pPr>
          </w:p>
        </w:tc>
        <w:tc>
          <w:tcPr>
            <w:tcW w:w="709" w:type="dxa"/>
            <w:tcBorders>
              <w:bottom w:val="single" w:color="auto" w:sz="12" w:space="0"/>
            </w:tcBorders>
          </w:tcPr>
          <w:p>
            <w:pPr>
              <w:pStyle w:val="57"/>
              <w:ind w:firstLine="0" w:firstLineChars="0"/>
            </w:pPr>
          </w:p>
        </w:tc>
        <w:tc>
          <w:tcPr>
            <w:tcW w:w="709" w:type="dxa"/>
            <w:tcBorders>
              <w:bottom w:val="single" w:color="auto" w:sz="12" w:space="0"/>
            </w:tcBorders>
          </w:tcPr>
          <w:p>
            <w:pPr>
              <w:pStyle w:val="57"/>
              <w:ind w:firstLine="0" w:firstLineChars="0"/>
            </w:pPr>
          </w:p>
        </w:tc>
        <w:tc>
          <w:tcPr>
            <w:tcW w:w="708" w:type="dxa"/>
            <w:tcBorders>
              <w:bottom w:val="single" w:color="auto" w:sz="12" w:space="0"/>
            </w:tcBorders>
          </w:tcPr>
          <w:p>
            <w:pPr>
              <w:pStyle w:val="57"/>
              <w:ind w:firstLine="0" w:firstLineChars="0"/>
            </w:pPr>
          </w:p>
        </w:tc>
        <w:tc>
          <w:tcPr>
            <w:tcW w:w="709" w:type="dxa"/>
            <w:tcBorders>
              <w:bottom w:val="single" w:color="auto" w:sz="12" w:space="0"/>
            </w:tcBorders>
          </w:tcPr>
          <w:p>
            <w:pPr>
              <w:pStyle w:val="57"/>
              <w:ind w:firstLine="0" w:firstLineChars="0"/>
            </w:pPr>
          </w:p>
        </w:tc>
        <w:tc>
          <w:tcPr>
            <w:tcW w:w="1134" w:type="dxa"/>
            <w:tcBorders>
              <w:bottom w:val="single" w:color="auto" w:sz="12" w:space="0"/>
            </w:tcBorders>
          </w:tcPr>
          <w:p>
            <w:pPr>
              <w:pStyle w:val="57"/>
              <w:ind w:firstLine="0" w:firstLineChars="0"/>
            </w:pPr>
          </w:p>
        </w:tc>
        <w:tc>
          <w:tcPr>
            <w:tcW w:w="992" w:type="dxa"/>
            <w:tcBorders>
              <w:bottom w:val="single" w:color="auto" w:sz="12" w:space="0"/>
            </w:tcBorders>
          </w:tcPr>
          <w:p>
            <w:pPr>
              <w:pStyle w:val="57"/>
              <w:ind w:firstLine="0" w:firstLineChars="0"/>
            </w:pPr>
          </w:p>
        </w:tc>
        <w:tc>
          <w:tcPr>
            <w:tcW w:w="851" w:type="dxa"/>
            <w:tcBorders>
              <w:bottom w:val="single" w:color="auto" w:sz="12" w:space="0"/>
            </w:tcBorders>
          </w:tcPr>
          <w:p>
            <w:pPr>
              <w:pStyle w:val="57"/>
              <w:ind w:firstLine="0" w:firstLineChars="0"/>
            </w:pPr>
          </w:p>
        </w:tc>
        <w:tc>
          <w:tcPr>
            <w:tcW w:w="709" w:type="dxa"/>
            <w:tcBorders>
              <w:bottom w:val="single" w:color="auto" w:sz="12" w:space="0"/>
            </w:tcBorders>
          </w:tcPr>
          <w:p>
            <w:pPr>
              <w:pStyle w:val="57"/>
              <w:ind w:firstLine="0" w:firstLineChars="0"/>
            </w:pPr>
          </w:p>
        </w:tc>
      </w:tr>
    </w:tbl>
    <w:p>
      <w:pPr>
        <w:pStyle w:val="57"/>
        <w:ind w:firstLine="420"/>
      </w:pPr>
    </w:p>
    <w:bookmarkEnd w:id="32"/>
    <w:p>
      <w:pPr>
        <w:pStyle w:val="57"/>
        <w:ind w:firstLine="420"/>
        <w:sectPr>
          <w:pgSz w:w="11906" w:h="16838"/>
          <w:pgMar w:top="1928" w:right="1134" w:bottom="1134" w:left="1134" w:header="1418" w:footer="1134" w:gutter="284"/>
          <w:pgNumType w:start="1"/>
          <w:cols w:space="425" w:num="1"/>
          <w:formProt w:val="0"/>
          <w:docGrid w:type="lines" w:linePitch="312" w:charSpace="0"/>
        </w:sectPr>
      </w:pPr>
      <w:bookmarkStart w:id="190" w:name="BookMark6"/>
    </w:p>
    <w:p>
      <w:pPr>
        <w:pStyle w:val="64"/>
        <w:spacing w:after="156"/>
      </w:pPr>
      <w:bookmarkStart w:id="191" w:name="_Toc180707645"/>
      <w:bookmarkStart w:id="192" w:name="_Toc181914971"/>
      <w:r>
        <w:rPr>
          <w:rFonts w:hint="eastAsia"/>
          <w:spacing w:val="105"/>
        </w:rPr>
        <w:t>参考文</w:t>
      </w:r>
      <w:r>
        <w:rPr>
          <w:rFonts w:hint="eastAsia"/>
        </w:rPr>
        <w:t>献</w:t>
      </w:r>
      <w:bookmarkEnd w:id="191"/>
      <w:bookmarkEnd w:id="192"/>
    </w:p>
    <w:p>
      <w:pPr>
        <w:pStyle w:val="57"/>
        <w:ind w:firstLine="420"/>
      </w:pPr>
      <w:r>
        <w:rPr>
          <w:rFonts w:hint="eastAsia"/>
        </w:rPr>
        <w:t>[1]龚军,钟林光,任旻琼,等.艾蒿高产栽培技术初探[J].农村经济与科技,2018,29(16):21.</w:t>
      </w:r>
    </w:p>
    <w:p>
      <w:pPr>
        <w:pStyle w:val="57"/>
        <w:ind w:firstLine="420"/>
      </w:pPr>
      <w:r>
        <w:rPr>
          <w:rFonts w:hint="eastAsia"/>
        </w:rPr>
        <w:t>[2]岳瑾</w:t>
      </w:r>
      <w:r>
        <w:t>,</w:t>
      </w:r>
      <w:r>
        <w:rPr>
          <w:rFonts w:hint="eastAsia"/>
        </w:rPr>
        <w:t>周春江,魏海英,等.食用艾蒿植物学性状和栽培技术研究[J].农业科技通讯,2019,(08):337+404.</w:t>
      </w:r>
    </w:p>
    <w:p>
      <w:pPr>
        <w:pStyle w:val="57"/>
        <w:ind w:firstLine="420"/>
      </w:pPr>
      <w:r>
        <w:rPr>
          <w:rFonts w:hint="eastAsia"/>
        </w:rPr>
        <w:t>[3]刘婷,徐存宇.艾蒿栽培技术简介[J].新农业,2017,(06):36.</w:t>
      </w:r>
    </w:p>
    <w:p>
      <w:pPr>
        <w:pStyle w:val="57"/>
        <w:ind w:firstLine="420"/>
      </w:pPr>
      <w:r>
        <w:rPr>
          <w:rFonts w:hint="eastAsia"/>
        </w:rPr>
        <w:t>[4]岳瑾,周春江,杨建国,等.我国艾蒿的种植与开发利用现状[J].农业科技通讯,2018,(09):230-231.</w:t>
      </w:r>
      <w:bookmarkEnd w:id="190"/>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4394"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Psk5lXCgwUNMyWJPElvM59dMuwMJTC6eDrenRWyWvMZn6MDd5ljTJvxR2QqWMYlHnjraCAs6MNkh6Sbarv1IRA==" w:salt="bOPiTyFsNCQHMlpjF4PHB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EF9"/>
    <w:rsid w:val="0000040A"/>
    <w:rsid w:val="00000A94"/>
    <w:rsid w:val="00001972"/>
    <w:rsid w:val="00001D9A"/>
    <w:rsid w:val="00007B3A"/>
    <w:rsid w:val="000107E0"/>
    <w:rsid w:val="0001160D"/>
    <w:rsid w:val="00011FDE"/>
    <w:rsid w:val="00012FFD"/>
    <w:rsid w:val="00014162"/>
    <w:rsid w:val="00014340"/>
    <w:rsid w:val="00016A9C"/>
    <w:rsid w:val="00020BA9"/>
    <w:rsid w:val="0002134E"/>
    <w:rsid w:val="00022184"/>
    <w:rsid w:val="00022762"/>
    <w:rsid w:val="000238E0"/>
    <w:rsid w:val="000249DB"/>
    <w:rsid w:val="0002595E"/>
    <w:rsid w:val="00026E8E"/>
    <w:rsid w:val="000303C3"/>
    <w:rsid w:val="000331D3"/>
    <w:rsid w:val="000346A5"/>
    <w:rsid w:val="000359C3"/>
    <w:rsid w:val="00035A7D"/>
    <w:rsid w:val="000365ED"/>
    <w:rsid w:val="0004249A"/>
    <w:rsid w:val="00043282"/>
    <w:rsid w:val="00044286"/>
    <w:rsid w:val="0004497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690"/>
    <w:rsid w:val="00067F1E"/>
    <w:rsid w:val="00071CC0"/>
    <w:rsid w:val="00073C8C"/>
    <w:rsid w:val="00077B64"/>
    <w:rsid w:val="00080A1C"/>
    <w:rsid w:val="00082317"/>
    <w:rsid w:val="00083D2C"/>
    <w:rsid w:val="00085B8F"/>
    <w:rsid w:val="00086AA1"/>
    <w:rsid w:val="000876A6"/>
    <w:rsid w:val="00087A77"/>
    <w:rsid w:val="00090CA6"/>
    <w:rsid w:val="00092B8A"/>
    <w:rsid w:val="00092FB0"/>
    <w:rsid w:val="000934C5"/>
    <w:rsid w:val="00093D25"/>
    <w:rsid w:val="00093DAB"/>
    <w:rsid w:val="00094C9B"/>
    <w:rsid w:val="00094D73"/>
    <w:rsid w:val="00096D63"/>
    <w:rsid w:val="000A0B60"/>
    <w:rsid w:val="000A0EB8"/>
    <w:rsid w:val="000A19FC"/>
    <w:rsid w:val="000A296B"/>
    <w:rsid w:val="000A56FC"/>
    <w:rsid w:val="000A579D"/>
    <w:rsid w:val="000A7311"/>
    <w:rsid w:val="000B060F"/>
    <w:rsid w:val="000B1592"/>
    <w:rsid w:val="000B1AE4"/>
    <w:rsid w:val="000B1FF2"/>
    <w:rsid w:val="000B3CDA"/>
    <w:rsid w:val="000B6A0B"/>
    <w:rsid w:val="000C07EB"/>
    <w:rsid w:val="000C0F6C"/>
    <w:rsid w:val="000C11DB"/>
    <w:rsid w:val="000C1492"/>
    <w:rsid w:val="000C2FBD"/>
    <w:rsid w:val="000C4B41"/>
    <w:rsid w:val="000C57D6"/>
    <w:rsid w:val="000C6362"/>
    <w:rsid w:val="000C7666"/>
    <w:rsid w:val="000D0A9C"/>
    <w:rsid w:val="000D1795"/>
    <w:rsid w:val="000D329A"/>
    <w:rsid w:val="000D4B9C"/>
    <w:rsid w:val="000D4EB6"/>
    <w:rsid w:val="000D5C67"/>
    <w:rsid w:val="000D753B"/>
    <w:rsid w:val="000E0E73"/>
    <w:rsid w:val="000E1A46"/>
    <w:rsid w:val="000E4C9E"/>
    <w:rsid w:val="000E6FD7"/>
    <w:rsid w:val="000F06E1"/>
    <w:rsid w:val="000F0E3C"/>
    <w:rsid w:val="000F19D5"/>
    <w:rsid w:val="000F2322"/>
    <w:rsid w:val="000F4AEA"/>
    <w:rsid w:val="000F633F"/>
    <w:rsid w:val="000F67E9"/>
    <w:rsid w:val="00104926"/>
    <w:rsid w:val="0010752B"/>
    <w:rsid w:val="0011222A"/>
    <w:rsid w:val="00113B1E"/>
    <w:rsid w:val="0011472E"/>
    <w:rsid w:val="0011711C"/>
    <w:rsid w:val="0012059C"/>
    <w:rsid w:val="00124E4F"/>
    <w:rsid w:val="00125A9B"/>
    <w:rsid w:val="001260B7"/>
    <w:rsid w:val="001265CB"/>
    <w:rsid w:val="00127033"/>
    <w:rsid w:val="001321C6"/>
    <w:rsid w:val="001325C4"/>
    <w:rsid w:val="00133010"/>
    <w:rsid w:val="001338EE"/>
    <w:rsid w:val="00133AAE"/>
    <w:rsid w:val="00135323"/>
    <w:rsid w:val="001356C4"/>
    <w:rsid w:val="00141114"/>
    <w:rsid w:val="00142969"/>
    <w:rsid w:val="001446C2"/>
    <w:rsid w:val="001457E7"/>
    <w:rsid w:val="00145D9D"/>
    <w:rsid w:val="00146388"/>
    <w:rsid w:val="00146D79"/>
    <w:rsid w:val="00151C9C"/>
    <w:rsid w:val="00152594"/>
    <w:rsid w:val="001529E5"/>
    <w:rsid w:val="00153359"/>
    <w:rsid w:val="00153C7E"/>
    <w:rsid w:val="00156B25"/>
    <w:rsid w:val="00156E1A"/>
    <w:rsid w:val="00157894"/>
    <w:rsid w:val="00157B55"/>
    <w:rsid w:val="00160BBC"/>
    <w:rsid w:val="001642FA"/>
    <w:rsid w:val="001649EB"/>
    <w:rsid w:val="00164BAF"/>
    <w:rsid w:val="00164FA8"/>
    <w:rsid w:val="00165065"/>
    <w:rsid w:val="00165434"/>
    <w:rsid w:val="0016580B"/>
    <w:rsid w:val="00165F49"/>
    <w:rsid w:val="00166B88"/>
    <w:rsid w:val="0016770A"/>
    <w:rsid w:val="00167EF2"/>
    <w:rsid w:val="00170804"/>
    <w:rsid w:val="001708E9"/>
    <w:rsid w:val="0017340B"/>
    <w:rsid w:val="00173FB1"/>
    <w:rsid w:val="00176A75"/>
    <w:rsid w:val="00176DFD"/>
    <w:rsid w:val="001852C9"/>
    <w:rsid w:val="00190087"/>
    <w:rsid w:val="0019023C"/>
    <w:rsid w:val="001913C4"/>
    <w:rsid w:val="00192A95"/>
    <w:rsid w:val="00192AD9"/>
    <w:rsid w:val="0019348F"/>
    <w:rsid w:val="00193A07"/>
    <w:rsid w:val="00194C95"/>
    <w:rsid w:val="00195C34"/>
    <w:rsid w:val="00196EF5"/>
    <w:rsid w:val="001A1A53"/>
    <w:rsid w:val="001A234A"/>
    <w:rsid w:val="001A2D3F"/>
    <w:rsid w:val="001A4CF3"/>
    <w:rsid w:val="001B06E8"/>
    <w:rsid w:val="001B71D0"/>
    <w:rsid w:val="001B71EE"/>
    <w:rsid w:val="001C04A8"/>
    <w:rsid w:val="001C07C1"/>
    <w:rsid w:val="001C2C03"/>
    <w:rsid w:val="001C2E4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B01"/>
    <w:rsid w:val="001F2508"/>
    <w:rsid w:val="001F4816"/>
    <w:rsid w:val="001F4EE9"/>
    <w:rsid w:val="001F69B4"/>
    <w:rsid w:val="001F77C7"/>
    <w:rsid w:val="00200183"/>
    <w:rsid w:val="00200333"/>
    <w:rsid w:val="0020107D"/>
    <w:rsid w:val="00202302"/>
    <w:rsid w:val="00202AA4"/>
    <w:rsid w:val="002031F7"/>
    <w:rsid w:val="002040E6"/>
    <w:rsid w:val="0020527B"/>
    <w:rsid w:val="00205F2C"/>
    <w:rsid w:val="00207E73"/>
    <w:rsid w:val="00210B15"/>
    <w:rsid w:val="002142EA"/>
    <w:rsid w:val="002204BB"/>
    <w:rsid w:val="00221B79"/>
    <w:rsid w:val="00221C6B"/>
    <w:rsid w:val="002253A1"/>
    <w:rsid w:val="00225B09"/>
    <w:rsid w:val="00225CF8"/>
    <w:rsid w:val="0022794E"/>
    <w:rsid w:val="00233D64"/>
    <w:rsid w:val="00234338"/>
    <w:rsid w:val="0023482A"/>
    <w:rsid w:val="002359CB"/>
    <w:rsid w:val="00243540"/>
    <w:rsid w:val="0024497B"/>
    <w:rsid w:val="0024515B"/>
    <w:rsid w:val="00246021"/>
    <w:rsid w:val="0024666E"/>
    <w:rsid w:val="00246B47"/>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EF7"/>
    <w:rsid w:val="002A1260"/>
    <w:rsid w:val="002A1589"/>
    <w:rsid w:val="002A1608"/>
    <w:rsid w:val="002A25DC"/>
    <w:rsid w:val="002A3AAB"/>
    <w:rsid w:val="002A4CEA"/>
    <w:rsid w:val="002A5977"/>
    <w:rsid w:val="002A5A13"/>
    <w:rsid w:val="002A6C3E"/>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EDB"/>
    <w:rsid w:val="002F5A3E"/>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820"/>
    <w:rsid w:val="00336C64"/>
    <w:rsid w:val="00337162"/>
    <w:rsid w:val="0034194F"/>
    <w:rsid w:val="00344605"/>
    <w:rsid w:val="003474AA"/>
    <w:rsid w:val="00350D1D"/>
    <w:rsid w:val="00352C83"/>
    <w:rsid w:val="003576C2"/>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D7D"/>
    <w:rsid w:val="003820E9"/>
    <w:rsid w:val="00382DE7"/>
    <w:rsid w:val="00384401"/>
    <w:rsid w:val="00384FFC"/>
    <w:rsid w:val="003872FC"/>
    <w:rsid w:val="003875C8"/>
    <w:rsid w:val="00387ADC"/>
    <w:rsid w:val="00390020"/>
    <w:rsid w:val="003903D6"/>
    <w:rsid w:val="00390EE6"/>
    <w:rsid w:val="0039118F"/>
    <w:rsid w:val="00392AD7"/>
    <w:rsid w:val="003938D9"/>
    <w:rsid w:val="00394091"/>
    <w:rsid w:val="00394376"/>
    <w:rsid w:val="003943FF"/>
    <w:rsid w:val="00395700"/>
    <w:rsid w:val="003974EB"/>
    <w:rsid w:val="00397CC5"/>
    <w:rsid w:val="003A1582"/>
    <w:rsid w:val="003A21C5"/>
    <w:rsid w:val="003A4077"/>
    <w:rsid w:val="003B09AD"/>
    <w:rsid w:val="003B1F18"/>
    <w:rsid w:val="003B208A"/>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AA3"/>
    <w:rsid w:val="00400E72"/>
    <w:rsid w:val="00401400"/>
    <w:rsid w:val="00404869"/>
    <w:rsid w:val="00405884"/>
    <w:rsid w:val="00407D39"/>
    <w:rsid w:val="004100F9"/>
    <w:rsid w:val="0041477A"/>
    <w:rsid w:val="00415584"/>
    <w:rsid w:val="004167A3"/>
    <w:rsid w:val="00424D5B"/>
    <w:rsid w:val="00432DAA"/>
    <w:rsid w:val="00434305"/>
    <w:rsid w:val="00435DF7"/>
    <w:rsid w:val="0044083F"/>
    <w:rsid w:val="00441AE7"/>
    <w:rsid w:val="00445574"/>
    <w:rsid w:val="00445FF9"/>
    <w:rsid w:val="004467FB"/>
    <w:rsid w:val="00452D6B"/>
    <w:rsid w:val="00453E9C"/>
    <w:rsid w:val="00454484"/>
    <w:rsid w:val="0045517B"/>
    <w:rsid w:val="00461AD8"/>
    <w:rsid w:val="00463B77"/>
    <w:rsid w:val="00463C7B"/>
    <w:rsid w:val="004644A6"/>
    <w:rsid w:val="004659BD"/>
    <w:rsid w:val="00470775"/>
    <w:rsid w:val="004746B1"/>
    <w:rsid w:val="0047583F"/>
    <w:rsid w:val="00475DE8"/>
    <w:rsid w:val="0047751D"/>
    <w:rsid w:val="00481C44"/>
    <w:rsid w:val="00484936"/>
    <w:rsid w:val="00485C89"/>
    <w:rsid w:val="00486BE3"/>
    <w:rsid w:val="004905E4"/>
    <w:rsid w:val="00490A89"/>
    <w:rsid w:val="00490AB4"/>
    <w:rsid w:val="00492F02"/>
    <w:rsid w:val="004939AE"/>
    <w:rsid w:val="004A12DF"/>
    <w:rsid w:val="004A17E6"/>
    <w:rsid w:val="004A1BA8"/>
    <w:rsid w:val="004A32D3"/>
    <w:rsid w:val="004A3365"/>
    <w:rsid w:val="004A4B57"/>
    <w:rsid w:val="004A63FA"/>
    <w:rsid w:val="004B022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86D"/>
    <w:rsid w:val="004E127B"/>
    <w:rsid w:val="004E1C0A"/>
    <w:rsid w:val="004E2B06"/>
    <w:rsid w:val="004E30C5"/>
    <w:rsid w:val="004E498C"/>
    <w:rsid w:val="004E4AA5"/>
    <w:rsid w:val="004E4AEE"/>
    <w:rsid w:val="004E59E3"/>
    <w:rsid w:val="004E67C0"/>
    <w:rsid w:val="004F1498"/>
    <w:rsid w:val="004F391A"/>
    <w:rsid w:val="004F3CFB"/>
    <w:rsid w:val="004F6456"/>
    <w:rsid w:val="004F696E"/>
    <w:rsid w:val="004F6C71"/>
    <w:rsid w:val="00501139"/>
    <w:rsid w:val="0050363E"/>
    <w:rsid w:val="005039BC"/>
    <w:rsid w:val="00504005"/>
    <w:rsid w:val="005043BB"/>
    <w:rsid w:val="00504A3D"/>
    <w:rsid w:val="00505767"/>
    <w:rsid w:val="005073F0"/>
    <w:rsid w:val="005104E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63D"/>
    <w:rsid w:val="00543BDA"/>
    <w:rsid w:val="005441CC"/>
    <w:rsid w:val="005479DA"/>
    <w:rsid w:val="00547BCC"/>
    <w:rsid w:val="00547ECA"/>
    <w:rsid w:val="0055013B"/>
    <w:rsid w:val="0055120E"/>
    <w:rsid w:val="00551F6F"/>
    <w:rsid w:val="00554CD9"/>
    <w:rsid w:val="00555044"/>
    <w:rsid w:val="00561475"/>
    <w:rsid w:val="0056487B"/>
    <w:rsid w:val="00564FB9"/>
    <w:rsid w:val="005672F7"/>
    <w:rsid w:val="00573D9E"/>
    <w:rsid w:val="005801E3"/>
    <w:rsid w:val="00580A70"/>
    <w:rsid w:val="00581802"/>
    <w:rsid w:val="005836A8"/>
    <w:rsid w:val="0058409C"/>
    <w:rsid w:val="00584262"/>
    <w:rsid w:val="00586630"/>
    <w:rsid w:val="00587ADD"/>
    <w:rsid w:val="00591E27"/>
    <w:rsid w:val="00594E27"/>
    <w:rsid w:val="00596160"/>
    <w:rsid w:val="005966E2"/>
    <w:rsid w:val="00597007"/>
    <w:rsid w:val="005A0966"/>
    <w:rsid w:val="005A11B7"/>
    <w:rsid w:val="005A260B"/>
    <w:rsid w:val="005A2E7E"/>
    <w:rsid w:val="005A4A1B"/>
    <w:rsid w:val="005A7830"/>
    <w:rsid w:val="005A7FCE"/>
    <w:rsid w:val="005B0F3F"/>
    <w:rsid w:val="005B4903"/>
    <w:rsid w:val="005B51CE"/>
    <w:rsid w:val="005B5885"/>
    <w:rsid w:val="005B5CD7"/>
    <w:rsid w:val="005B6CF6"/>
    <w:rsid w:val="005B7422"/>
    <w:rsid w:val="005C29B8"/>
    <w:rsid w:val="005C2A3D"/>
    <w:rsid w:val="005C4FBF"/>
    <w:rsid w:val="005C5F21"/>
    <w:rsid w:val="005C7156"/>
    <w:rsid w:val="005D0C75"/>
    <w:rsid w:val="005D4171"/>
    <w:rsid w:val="005D58A3"/>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A96"/>
    <w:rsid w:val="00632182"/>
    <w:rsid w:val="00632AE0"/>
    <w:rsid w:val="00633C17"/>
    <w:rsid w:val="00634D9E"/>
    <w:rsid w:val="006356D2"/>
    <w:rsid w:val="00636E3E"/>
    <w:rsid w:val="006379F7"/>
    <w:rsid w:val="00637E4D"/>
    <w:rsid w:val="00640620"/>
    <w:rsid w:val="00641A1F"/>
    <w:rsid w:val="00643A1D"/>
    <w:rsid w:val="00643BBE"/>
    <w:rsid w:val="00645904"/>
    <w:rsid w:val="00651ACB"/>
    <w:rsid w:val="00651C47"/>
    <w:rsid w:val="00652AB2"/>
    <w:rsid w:val="00652D8A"/>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CFB"/>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CB8"/>
    <w:rsid w:val="006D6593"/>
    <w:rsid w:val="006E23EA"/>
    <w:rsid w:val="006F03A8"/>
    <w:rsid w:val="006F2ACA"/>
    <w:rsid w:val="006F2ADC"/>
    <w:rsid w:val="006F2BFE"/>
    <w:rsid w:val="006F31E9"/>
    <w:rsid w:val="006F6284"/>
    <w:rsid w:val="007002C5"/>
    <w:rsid w:val="00704387"/>
    <w:rsid w:val="00707669"/>
    <w:rsid w:val="00711CBA"/>
    <w:rsid w:val="00711FAE"/>
    <w:rsid w:val="00711FB5"/>
    <w:rsid w:val="00712A01"/>
    <w:rsid w:val="00714F58"/>
    <w:rsid w:val="00716EFE"/>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B2D"/>
    <w:rsid w:val="00765879"/>
    <w:rsid w:val="00765C43"/>
    <w:rsid w:val="00765EFB"/>
    <w:rsid w:val="007671CA"/>
    <w:rsid w:val="00767C61"/>
    <w:rsid w:val="0077008A"/>
    <w:rsid w:val="00773C1F"/>
    <w:rsid w:val="00774DA4"/>
    <w:rsid w:val="00776599"/>
    <w:rsid w:val="0078114B"/>
    <w:rsid w:val="007812AE"/>
    <w:rsid w:val="00781366"/>
    <w:rsid w:val="00781DD2"/>
    <w:rsid w:val="00783ECF"/>
    <w:rsid w:val="0078413A"/>
    <w:rsid w:val="007959E8"/>
    <w:rsid w:val="00795E9C"/>
    <w:rsid w:val="007A0521"/>
    <w:rsid w:val="007A06B3"/>
    <w:rsid w:val="007A2E12"/>
    <w:rsid w:val="007A3475"/>
    <w:rsid w:val="007A41C8"/>
    <w:rsid w:val="007A54CE"/>
    <w:rsid w:val="007A6FD9"/>
    <w:rsid w:val="007A7FFA"/>
    <w:rsid w:val="007B04EB"/>
    <w:rsid w:val="007B0D4F"/>
    <w:rsid w:val="007B1E9C"/>
    <w:rsid w:val="007B5A3D"/>
    <w:rsid w:val="007B5B95"/>
    <w:rsid w:val="007B68EA"/>
    <w:rsid w:val="007B7453"/>
    <w:rsid w:val="007C1E8B"/>
    <w:rsid w:val="007C2D89"/>
    <w:rsid w:val="007C3566"/>
    <w:rsid w:val="007C4593"/>
    <w:rsid w:val="007C5309"/>
    <w:rsid w:val="007C6069"/>
    <w:rsid w:val="007D06C4"/>
    <w:rsid w:val="007D1352"/>
    <w:rsid w:val="007D2508"/>
    <w:rsid w:val="007D346A"/>
    <w:rsid w:val="007D618D"/>
    <w:rsid w:val="007D6518"/>
    <w:rsid w:val="007D76BD"/>
    <w:rsid w:val="007E0BB5"/>
    <w:rsid w:val="007E0BF1"/>
    <w:rsid w:val="007E5A75"/>
    <w:rsid w:val="007F0ED8"/>
    <w:rsid w:val="007F0F63"/>
    <w:rsid w:val="007F75CE"/>
    <w:rsid w:val="008013A4"/>
    <w:rsid w:val="008027CE"/>
    <w:rsid w:val="00802F42"/>
    <w:rsid w:val="00804383"/>
    <w:rsid w:val="00804BB7"/>
    <w:rsid w:val="00804D41"/>
    <w:rsid w:val="00810257"/>
    <w:rsid w:val="008104F5"/>
    <w:rsid w:val="00810C64"/>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0A9"/>
    <w:rsid w:val="00843C13"/>
    <w:rsid w:val="008454F8"/>
    <w:rsid w:val="008503F3"/>
    <w:rsid w:val="0085173A"/>
    <w:rsid w:val="00856316"/>
    <w:rsid w:val="00857602"/>
    <w:rsid w:val="008603CE"/>
    <w:rsid w:val="008620FC"/>
    <w:rsid w:val="008627A5"/>
    <w:rsid w:val="00863E05"/>
    <w:rsid w:val="0086547C"/>
    <w:rsid w:val="00865ACA"/>
    <w:rsid w:val="00865D28"/>
    <w:rsid w:val="00865F85"/>
    <w:rsid w:val="00867C10"/>
    <w:rsid w:val="00870439"/>
    <w:rsid w:val="00870DA1"/>
    <w:rsid w:val="00883F93"/>
    <w:rsid w:val="00884DB3"/>
    <w:rsid w:val="00885A9D"/>
    <w:rsid w:val="008864F6"/>
    <w:rsid w:val="00886B9E"/>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D"/>
    <w:rsid w:val="008C475E"/>
    <w:rsid w:val="008C619A"/>
    <w:rsid w:val="008C65CA"/>
    <w:rsid w:val="008D0CE8"/>
    <w:rsid w:val="008D2D1D"/>
    <w:rsid w:val="008D453D"/>
    <w:rsid w:val="008D53AD"/>
    <w:rsid w:val="008D562B"/>
    <w:rsid w:val="008D5733"/>
    <w:rsid w:val="008D622B"/>
    <w:rsid w:val="008D666C"/>
    <w:rsid w:val="008D7B54"/>
    <w:rsid w:val="008E0C9D"/>
    <w:rsid w:val="008E0EF9"/>
    <w:rsid w:val="008E1648"/>
    <w:rsid w:val="008E1B3E"/>
    <w:rsid w:val="008E2319"/>
    <w:rsid w:val="008E4BB6"/>
    <w:rsid w:val="008E5518"/>
    <w:rsid w:val="008E6A84"/>
    <w:rsid w:val="008E7114"/>
    <w:rsid w:val="008F0CDC"/>
    <w:rsid w:val="008F17A3"/>
    <w:rsid w:val="008F1ED3"/>
    <w:rsid w:val="008F23A5"/>
    <w:rsid w:val="008F4C29"/>
    <w:rsid w:val="008F70BD"/>
    <w:rsid w:val="008F788F"/>
    <w:rsid w:val="008F7EA2"/>
    <w:rsid w:val="00902722"/>
    <w:rsid w:val="009027BC"/>
    <w:rsid w:val="00904169"/>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5E63"/>
    <w:rsid w:val="009610DC"/>
    <w:rsid w:val="00961490"/>
    <w:rsid w:val="0096381A"/>
    <w:rsid w:val="00965E04"/>
    <w:rsid w:val="00966AF9"/>
    <w:rsid w:val="009674AD"/>
    <w:rsid w:val="009678CE"/>
    <w:rsid w:val="00970CDC"/>
    <w:rsid w:val="009712F9"/>
    <w:rsid w:val="009725F4"/>
    <w:rsid w:val="00974981"/>
    <w:rsid w:val="00977010"/>
    <w:rsid w:val="00977D02"/>
    <w:rsid w:val="009809BB"/>
    <w:rsid w:val="0098364B"/>
    <w:rsid w:val="009911AF"/>
    <w:rsid w:val="00991875"/>
    <w:rsid w:val="00991F92"/>
    <w:rsid w:val="00992985"/>
    <w:rsid w:val="00993889"/>
    <w:rsid w:val="0099551B"/>
    <w:rsid w:val="00997590"/>
    <w:rsid w:val="00997BF1"/>
    <w:rsid w:val="009A089C"/>
    <w:rsid w:val="009A118E"/>
    <w:rsid w:val="009A21CD"/>
    <w:rsid w:val="009A278C"/>
    <w:rsid w:val="009A2BC2"/>
    <w:rsid w:val="009A42C1"/>
    <w:rsid w:val="009A5429"/>
    <w:rsid w:val="009A72AD"/>
    <w:rsid w:val="009B09E0"/>
    <w:rsid w:val="009B0BC5"/>
    <w:rsid w:val="009B0DE7"/>
    <w:rsid w:val="009B1247"/>
    <w:rsid w:val="009B46F9"/>
    <w:rsid w:val="009B47B5"/>
    <w:rsid w:val="009B6029"/>
    <w:rsid w:val="009B6971"/>
    <w:rsid w:val="009C27F1"/>
    <w:rsid w:val="009C3152"/>
    <w:rsid w:val="009C3DF6"/>
    <w:rsid w:val="009C4CFA"/>
    <w:rsid w:val="009C5070"/>
    <w:rsid w:val="009D112C"/>
    <w:rsid w:val="009D3BEF"/>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899"/>
    <w:rsid w:val="00A2271D"/>
    <w:rsid w:val="00A237D5"/>
    <w:rsid w:val="00A30EFC"/>
    <w:rsid w:val="00A31984"/>
    <w:rsid w:val="00A31DA8"/>
    <w:rsid w:val="00A32D73"/>
    <w:rsid w:val="00A3367B"/>
    <w:rsid w:val="00A3597D"/>
    <w:rsid w:val="00A35A5F"/>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9FF"/>
    <w:rsid w:val="00A77CCB"/>
    <w:rsid w:val="00A805BD"/>
    <w:rsid w:val="00A83D8D"/>
    <w:rsid w:val="00A8446B"/>
    <w:rsid w:val="00A8473F"/>
    <w:rsid w:val="00A862D6"/>
    <w:rsid w:val="00A8715E"/>
    <w:rsid w:val="00A90971"/>
    <w:rsid w:val="00A9295B"/>
    <w:rsid w:val="00A93B09"/>
    <w:rsid w:val="00A94247"/>
    <w:rsid w:val="00A952D7"/>
    <w:rsid w:val="00A963F7"/>
    <w:rsid w:val="00A96AD8"/>
    <w:rsid w:val="00AA052C"/>
    <w:rsid w:val="00AA1E45"/>
    <w:rsid w:val="00AA4286"/>
    <w:rsid w:val="00AA456B"/>
    <w:rsid w:val="00AA57F5"/>
    <w:rsid w:val="00AA636E"/>
    <w:rsid w:val="00AA672E"/>
    <w:rsid w:val="00AA6EC9"/>
    <w:rsid w:val="00AB0538"/>
    <w:rsid w:val="00AB41D5"/>
    <w:rsid w:val="00AB54D9"/>
    <w:rsid w:val="00AB6309"/>
    <w:rsid w:val="00AB6C5F"/>
    <w:rsid w:val="00AB7129"/>
    <w:rsid w:val="00AC0B1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19F"/>
    <w:rsid w:val="00AF47C5"/>
    <w:rsid w:val="00AF5398"/>
    <w:rsid w:val="00B0094B"/>
    <w:rsid w:val="00B049AF"/>
    <w:rsid w:val="00B04A78"/>
    <w:rsid w:val="00B07242"/>
    <w:rsid w:val="00B10135"/>
    <w:rsid w:val="00B10534"/>
    <w:rsid w:val="00B113DB"/>
    <w:rsid w:val="00B11D8A"/>
    <w:rsid w:val="00B12981"/>
    <w:rsid w:val="00B147DD"/>
    <w:rsid w:val="00B156FD"/>
    <w:rsid w:val="00B20476"/>
    <w:rsid w:val="00B21F61"/>
    <w:rsid w:val="00B261F1"/>
    <w:rsid w:val="00B265BC"/>
    <w:rsid w:val="00B26828"/>
    <w:rsid w:val="00B30ADA"/>
    <w:rsid w:val="00B31FB1"/>
    <w:rsid w:val="00B33952"/>
    <w:rsid w:val="00B33C5E"/>
    <w:rsid w:val="00B342F4"/>
    <w:rsid w:val="00B34369"/>
    <w:rsid w:val="00B34DC2"/>
    <w:rsid w:val="00B378E5"/>
    <w:rsid w:val="00B40216"/>
    <w:rsid w:val="00B4346D"/>
    <w:rsid w:val="00B440F4"/>
    <w:rsid w:val="00B447A5"/>
    <w:rsid w:val="00B4654C"/>
    <w:rsid w:val="00B46AF0"/>
    <w:rsid w:val="00B47293"/>
    <w:rsid w:val="00B50E50"/>
    <w:rsid w:val="00B52120"/>
    <w:rsid w:val="00B52811"/>
    <w:rsid w:val="00B54ABC"/>
    <w:rsid w:val="00B54DDE"/>
    <w:rsid w:val="00B56FBE"/>
    <w:rsid w:val="00B60ACF"/>
    <w:rsid w:val="00B62B58"/>
    <w:rsid w:val="00B65149"/>
    <w:rsid w:val="00B66567"/>
    <w:rsid w:val="00B66F52"/>
    <w:rsid w:val="00B66FE5"/>
    <w:rsid w:val="00B72880"/>
    <w:rsid w:val="00B758BF"/>
    <w:rsid w:val="00B7751E"/>
    <w:rsid w:val="00B77EC8"/>
    <w:rsid w:val="00B800A4"/>
    <w:rsid w:val="00B827A6"/>
    <w:rsid w:val="00B831CE"/>
    <w:rsid w:val="00B84398"/>
    <w:rsid w:val="00B86677"/>
    <w:rsid w:val="00B87131"/>
    <w:rsid w:val="00B9321A"/>
    <w:rsid w:val="00B939B1"/>
    <w:rsid w:val="00B96D40"/>
    <w:rsid w:val="00B97386"/>
    <w:rsid w:val="00BA263B"/>
    <w:rsid w:val="00BA2C99"/>
    <w:rsid w:val="00BA42B2"/>
    <w:rsid w:val="00BA58D4"/>
    <w:rsid w:val="00BA5B9E"/>
    <w:rsid w:val="00BA7C9A"/>
    <w:rsid w:val="00BB203B"/>
    <w:rsid w:val="00BB5F8F"/>
    <w:rsid w:val="00BB657A"/>
    <w:rsid w:val="00BC1A4E"/>
    <w:rsid w:val="00BC369F"/>
    <w:rsid w:val="00BC4790"/>
    <w:rsid w:val="00BC5DC7"/>
    <w:rsid w:val="00BC6B8B"/>
    <w:rsid w:val="00BC73D8"/>
    <w:rsid w:val="00BD52D7"/>
    <w:rsid w:val="00BD5AD2"/>
    <w:rsid w:val="00BE22F3"/>
    <w:rsid w:val="00BE5B52"/>
    <w:rsid w:val="00BE7B8D"/>
    <w:rsid w:val="00BF0993"/>
    <w:rsid w:val="00BF10A9"/>
    <w:rsid w:val="00BF1703"/>
    <w:rsid w:val="00BF2017"/>
    <w:rsid w:val="00BF231C"/>
    <w:rsid w:val="00BF454F"/>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27A89"/>
    <w:rsid w:val="00C30B86"/>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BE6"/>
    <w:rsid w:val="00C80982"/>
    <w:rsid w:val="00C80CB8"/>
    <w:rsid w:val="00C819F8"/>
    <w:rsid w:val="00C8248C"/>
    <w:rsid w:val="00C84E33"/>
    <w:rsid w:val="00C8566C"/>
    <w:rsid w:val="00C86D6F"/>
    <w:rsid w:val="00C905FC"/>
    <w:rsid w:val="00C910AA"/>
    <w:rsid w:val="00C92D03"/>
    <w:rsid w:val="00C9319C"/>
    <w:rsid w:val="00C93FB1"/>
    <w:rsid w:val="00C9435D"/>
    <w:rsid w:val="00C94DF2"/>
    <w:rsid w:val="00C96741"/>
    <w:rsid w:val="00CA2D1B"/>
    <w:rsid w:val="00CA375D"/>
    <w:rsid w:val="00CA3871"/>
    <w:rsid w:val="00CA662A"/>
    <w:rsid w:val="00CA7AFD"/>
    <w:rsid w:val="00CA7C3C"/>
    <w:rsid w:val="00CB0189"/>
    <w:rsid w:val="00CB0BA2"/>
    <w:rsid w:val="00CB1A42"/>
    <w:rsid w:val="00CB1B0C"/>
    <w:rsid w:val="00CB2C0B"/>
    <w:rsid w:val="00CB517D"/>
    <w:rsid w:val="00CB654E"/>
    <w:rsid w:val="00CC038D"/>
    <w:rsid w:val="00CC08DB"/>
    <w:rsid w:val="00CC39FF"/>
    <w:rsid w:val="00CC3C2F"/>
    <w:rsid w:val="00CC3E18"/>
    <w:rsid w:val="00CC4AC8"/>
    <w:rsid w:val="00CC5233"/>
    <w:rsid w:val="00CC5DE6"/>
    <w:rsid w:val="00CC6E4E"/>
    <w:rsid w:val="00CC6FE8"/>
    <w:rsid w:val="00CC7202"/>
    <w:rsid w:val="00CD2808"/>
    <w:rsid w:val="00CD28BF"/>
    <w:rsid w:val="00CD4092"/>
    <w:rsid w:val="00CD4A20"/>
    <w:rsid w:val="00CD50A1"/>
    <w:rsid w:val="00CD519E"/>
    <w:rsid w:val="00CD561D"/>
    <w:rsid w:val="00CD57AF"/>
    <w:rsid w:val="00CE0C4F"/>
    <w:rsid w:val="00CE30EA"/>
    <w:rsid w:val="00CE3E5C"/>
    <w:rsid w:val="00CF0258"/>
    <w:rsid w:val="00CF048A"/>
    <w:rsid w:val="00CF155A"/>
    <w:rsid w:val="00CF2947"/>
    <w:rsid w:val="00CF686F"/>
    <w:rsid w:val="00CF6E60"/>
    <w:rsid w:val="00CF7BCA"/>
    <w:rsid w:val="00CF7C1C"/>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6CFE"/>
    <w:rsid w:val="00D4162B"/>
    <w:rsid w:val="00D44144"/>
    <w:rsid w:val="00D4514F"/>
    <w:rsid w:val="00D451E2"/>
    <w:rsid w:val="00D45E89"/>
    <w:rsid w:val="00D45E8D"/>
    <w:rsid w:val="00D466AE"/>
    <w:rsid w:val="00D4734F"/>
    <w:rsid w:val="00D51BF3"/>
    <w:rsid w:val="00D66846"/>
    <w:rsid w:val="00D6699F"/>
    <w:rsid w:val="00D66D8B"/>
    <w:rsid w:val="00D675FB"/>
    <w:rsid w:val="00D71F25"/>
    <w:rsid w:val="00D72A9C"/>
    <w:rsid w:val="00D77031"/>
    <w:rsid w:val="00D84941"/>
    <w:rsid w:val="00D84FA1"/>
    <w:rsid w:val="00D851F0"/>
    <w:rsid w:val="00D86DB7"/>
    <w:rsid w:val="00D926D0"/>
    <w:rsid w:val="00D93030"/>
    <w:rsid w:val="00D93C71"/>
    <w:rsid w:val="00D94CA3"/>
    <w:rsid w:val="00D950E1"/>
    <w:rsid w:val="00D952A6"/>
    <w:rsid w:val="00D97F99"/>
    <w:rsid w:val="00DA1E08"/>
    <w:rsid w:val="00DA24F8"/>
    <w:rsid w:val="00DA28E8"/>
    <w:rsid w:val="00DA2C5B"/>
    <w:rsid w:val="00DA38D3"/>
    <w:rsid w:val="00DA3932"/>
    <w:rsid w:val="00DA3AFC"/>
    <w:rsid w:val="00DA5191"/>
    <w:rsid w:val="00DA5E50"/>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527"/>
    <w:rsid w:val="00DE6E81"/>
    <w:rsid w:val="00DE703F"/>
    <w:rsid w:val="00DE7595"/>
    <w:rsid w:val="00DF1961"/>
    <w:rsid w:val="00DF44DE"/>
    <w:rsid w:val="00DF59D6"/>
    <w:rsid w:val="00DF5F11"/>
    <w:rsid w:val="00E01138"/>
    <w:rsid w:val="00E016C5"/>
    <w:rsid w:val="00E02DFB"/>
    <w:rsid w:val="00E030F9"/>
    <w:rsid w:val="00E0311A"/>
    <w:rsid w:val="00E03138"/>
    <w:rsid w:val="00E06404"/>
    <w:rsid w:val="00E065D2"/>
    <w:rsid w:val="00E11A85"/>
    <w:rsid w:val="00E12495"/>
    <w:rsid w:val="00E15CCD"/>
    <w:rsid w:val="00E202EF"/>
    <w:rsid w:val="00E210B5"/>
    <w:rsid w:val="00E23D99"/>
    <w:rsid w:val="00E242FD"/>
    <w:rsid w:val="00E2552F"/>
    <w:rsid w:val="00E3137A"/>
    <w:rsid w:val="00E327EB"/>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5E7"/>
    <w:rsid w:val="00E60C63"/>
    <w:rsid w:val="00E62FF9"/>
    <w:rsid w:val="00E63495"/>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EED"/>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CAD"/>
    <w:rsid w:val="00F03E76"/>
    <w:rsid w:val="00F06D37"/>
    <w:rsid w:val="00F07B9D"/>
    <w:rsid w:val="00F11586"/>
    <w:rsid w:val="00F1183B"/>
    <w:rsid w:val="00F11C9F"/>
    <w:rsid w:val="00F12263"/>
    <w:rsid w:val="00F1409D"/>
    <w:rsid w:val="00F14214"/>
    <w:rsid w:val="00F157A9"/>
    <w:rsid w:val="00F15C5B"/>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3BA"/>
    <w:rsid w:val="00F65893"/>
    <w:rsid w:val="00F66A4A"/>
    <w:rsid w:val="00F71E22"/>
    <w:rsid w:val="00F72142"/>
    <w:rsid w:val="00F72AE7"/>
    <w:rsid w:val="00F761EA"/>
    <w:rsid w:val="00F81141"/>
    <w:rsid w:val="00F833BA"/>
    <w:rsid w:val="00F84FD0"/>
    <w:rsid w:val="00F859A8"/>
    <w:rsid w:val="00F86D87"/>
    <w:rsid w:val="00F90C37"/>
    <w:rsid w:val="00F9108B"/>
    <w:rsid w:val="00F91349"/>
    <w:rsid w:val="00F93A8A"/>
    <w:rsid w:val="00F95248"/>
    <w:rsid w:val="00F956A9"/>
    <w:rsid w:val="00F963ED"/>
    <w:rsid w:val="00F966CF"/>
    <w:rsid w:val="00F96CAE"/>
    <w:rsid w:val="00F97C99"/>
    <w:rsid w:val="00FA0E9C"/>
    <w:rsid w:val="00FA4DAC"/>
    <w:rsid w:val="00FA662D"/>
    <w:rsid w:val="00FA73B1"/>
    <w:rsid w:val="00FB0CB9"/>
    <w:rsid w:val="00FB231D"/>
    <w:rsid w:val="00FB355A"/>
    <w:rsid w:val="00FB45F1"/>
    <w:rsid w:val="00FB4A72"/>
    <w:rsid w:val="00FB54E8"/>
    <w:rsid w:val="00FB7054"/>
    <w:rsid w:val="00FC17B7"/>
    <w:rsid w:val="00FC2CB7"/>
    <w:rsid w:val="00FC4090"/>
    <w:rsid w:val="00FC55B4"/>
    <w:rsid w:val="00FD00E6"/>
    <w:rsid w:val="00FD09A1"/>
    <w:rsid w:val="00FD2A7C"/>
    <w:rsid w:val="00FD59EB"/>
    <w:rsid w:val="00FD7299"/>
    <w:rsid w:val="00FE14B1"/>
    <w:rsid w:val="00FE1FBE"/>
    <w:rsid w:val="00FE3901"/>
    <w:rsid w:val="00FE39D3"/>
    <w:rsid w:val="00FE4BCE"/>
    <w:rsid w:val="00FE54AE"/>
    <w:rsid w:val="00FE576A"/>
    <w:rsid w:val="00FE7E79"/>
    <w:rsid w:val="00FF3E7D"/>
    <w:rsid w:val="00FF5B99"/>
    <w:rsid w:val="00FF730C"/>
    <w:rsid w:val="00FF73F4"/>
    <w:rsid w:val="00FF7CE4"/>
    <w:rsid w:val="00FF7E39"/>
    <w:rsid w:val="46FC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7">
    <w:name w:val="Default Paragraph Font"/>
    <w:unhideWhenUsed/>
    <w:uiPriority w:val="1"/>
  </w:style>
  <w:style w:type="table" w:default="1" w:styleId="33">
    <w:name w:val="Normal Table"/>
    <w:unhideWhenUsed/>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unhideWhenUsed/>
    <w:uiPriority w:val="99"/>
    <w:rPr>
      <w:sz w:val="18"/>
      <w:szCs w:val="18"/>
    </w:rPr>
  </w:style>
  <w:style w:type="paragraph" w:styleId="17">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Normal (Web)"/>
    <w:basedOn w:val="1"/>
    <w:unhideWhenUsed/>
    <w:uiPriority w:val="99"/>
    <w:rPr>
      <w:rFonts w:ascii="Times New Roman" w:hAnsi="Times New Roman"/>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character" w:styleId="28">
    <w:name w:val="Strong"/>
    <w:qFormat/>
    <w:uiPriority w:val="22"/>
    <w:rPr>
      <w:b/>
      <w:bCs/>
    </w:rPr>
  </w:style>
  <w:style w:type="character" w:styleId="29">
    <w:name w:val="page number"/>
    <w:qFormat/>
    <w:uiPriority w:val="0"/>
    <w:rPr>
      <w:rFonts w:ascii="宋体" w:hAnsi="Times New Roman" w:eastAsia="宋体"/>
      <w:sz w:val="18"/>
    </w:rPr>
  </w:style>
  <w:style w:type="character" w:styleId="30">
    <w:name w:val="Emphasis"/>
    <w:qFormat/>
    <w:uiPriority w:val="20"/>
    <w:rPr>
      <w:i/>
      <w:iCs/>
    </w:rPr>
  </w:style>
  <w:style w:type="character" w:styleId="31">
    <w:name w:val="Hyperlink"/>
    <w:uiPriority w:val="99"/>
    <w:rPr>
      <w:rFonts w:ascii="宋体" w:hAnsi="Times New Roman" w:eastAsia="宋体"/>
      <w:color w:val="auto"/>
      <w:spacing w:val="0"/>
      <w:w w:val="100"/>
      <w:position w:val="0"/>
      <w:sz w:val="21"/>
      <w:u w:val="none"/>
      <w:vertAlign w:val="baseline"/>
    </w:rPr>
  </w:style>
  <w:style w:type="character" w:styleId="32">
    <w:name w:val="footnote reference"/>
    <w:semiHidden/>
    <w:uiPriority w:val="0"/>
    <w:rPr>
      <w:rFonts w:ascii="宋体" w:hAnsi="宋体" w:eastAsia="宋体" w:cs="Times New Roman"/>
      <w:spacing w:val="0"/>
      <w:sz w:val="18"/>
      <w:vertAlign w:val="superscript"/>
    </w:rPr>
  </w:style>
  <w:style w:type="table" w:styleId="34">
    <w:name w:val="Table Grid"/>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link w:val="2"/>
    <w:uiPriority w:val="0"/>
    <w:rPr>
      <w:b/>
      <w:bCs/>
      <w:kern w:val="44"/>
      <w:sz w:val="44"/>
      <w:szCs w:val="44"/>
    </w:rPr>
  </w:style>
  <w:style w:type="character" w:customStyle="1" w:styleId="36">
    <w:name w:val="标题 2 字符"/>
    <w:link w:val="3"/>
    <w:uiPriority w:val="0"/>
    <w:rPr>
      <w:rFonts w:ascii="Arial" w:hAnsi="Arial" w:eastAsia="黑体"/>
      <w:b/>
      <w:bCs/>
      <w:kern w:val="2"/>
      <w:sz w:val="32"/>
      <w:szCs w:val="32"/>
    </w:rPr>
  </w:style>
  <w:style w:type="character" w:customStyle="1" w:styleId="37">
    <w:name w:val="标题 3 字符"/>
    <w:link w:val="4"/>
    <w:uiPriority w:val="0"/>
    <w:rPr>
      <w:b/>
      <w:bCs/>
      <w:kern w:val="2"/>
      <w:sz w:val="32"/>
      <w:szCs w:val="32"/>
    </w:rPr>
  </w:style>
  <w:style w:type="character" w:customStyle="1" w:styleId="38">
    <w:name w:val="标题 4 字符"/>
    <w:link w:val="5"/>
    <w:uiPriority w:val="0"/>
    <w:rPr>
      <w:rFonts w:ascii="Arial" w:hAnsi="Arial" w:eastAsia="黑体"/>
      <w:b/>
      <w:bCs/>
      <w:kern w:val="2"/>
      <w:sz w:val="28"/>
      <w:szCs w:val="28"/>
    </w:rPr>
  </w:style>
  <w:style w:type="character" w:customStyle="1" w:styleId="39">
    <w:name w:val="标题 5 字符"/>
    <w:link w:val="6"/>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uiPriority w:val="0"/>
    <w:rPr>
      <w:b/>
      <w:bCs/>
      <w:kern w:val="2"/>
      <w:sz w:val="24"/>
      <w:szCs w:val="24"/>
    </w:rPr>
  </w:style>
  <w:style w:type="character" w:customStyle="1" w:styleId="42">
    <w:name w:val="标题 8 字符"/>
    <w:link w:val="9"/>
    <w:uiPriority w:val="0"/>
    <w:rPr>
      <w:rFonts w:ascii="Arial" w:hAnsi="Arial" w:eastAsia="黑体"/>
      <w:kern w:val="2"/>
      <w:sz w:val="24"/>
      <w:szCs w:val="24"/>
    </w:rPr>
  </w:style>
  <w:style w:type="character" w:customStyle="1" w:styleId="43">
    <w:name w:val="标题 9 字符"/>
    <w:link w:val="10"/>
    <w:uiPriority w:val="0"/>
    <w:rPr>
      <w:rFonts w:ascii="Arial" w:hAnsi="Arial" w:eastAsia="黑体"/>
      <w:kern w:val="2"/>
      <w:sz w:val="21"/>
      <w:szCs w:val="21"/>
    </w:rPr>
  </w:style>
  <w:style w:type="character" w:customStyle="1" w:styleId="44">
    <w:name w:val="页眉 字符"/>
    <w:link w:val="18"/>
    <w:uiPriority w:val="99"/>
    <w:rPr>
      <w:kern w:val="2"/>
      <w:sz w:val="18"/>
      <w:szCs w:val="18"/>
    </w:rPr>
  </w:style>
  <w:style w:type="character" w:customStyle="1" w:styleId="45">
    <w:name w:val="页脚 字符"/>
    <w:link w:val="17"/>
    <w:uiPriority w:val="99"/>
    <w:rPr>
      <w:rFonts w:ascii="宋体"/>
      <w:kern w:val="2"/>
      <w:sz w:val="18"/>
      <w:szCs w:val="18"/>
    </w:rPr>
  </w:style>
  <w:style w:type="character" w:customStyle="1" w:styleId="46">
    <w:name w:val="批注框文本 字符"/>
    <w:link w:val="16"/>
    <w:semiHidden/>
    <w:uiPriority w:val="99"/>
    <w:rPr>
      <w:kern w:val="2"/>
      <w:sz w:val="18"/>
      <w:szCs w:val="18"/>
    </w:rPr>
  </w:style>
  <w:style w:type="paragraph" w:customStyle="1" w:styleId="47">
    <w:name w:val="Quote"/>
    <w:basedOn w:val="1"/>
    <w:next w:val="1"/>
    <w:link w:val="48"/>
    <w:qFormat/>
    <w:uiPriority w:val="29"/>
    <w:rPr>
      <w:i/>
      <w:iCs/>
      <w:color w:val="000000"/>
    </w:rPr>
  </w:style>
  <w:style w:type="character" w:customStyle="1" w:styleId="48">
    <w:name w:val="引用 字符"/>
    <w:link w:val="47"/>
    <w:uiPriority w:val="29"/>
    <w:rPr>
      <w:i/>
      <w:iCs/>
      <w:color w:val="000000"/>
      <w:kern w:val="2"/>
      <w:sz w:val="21"/>
      <w:szCs w:val="21"/>
    </w:rPr>
  </w:style>
  <w:style w:type="character" w:customStyle="1" w:styleId="49">
    <w:name w:val="标题 字符"/>
    <w:link w:val="26"/>
    <w:uiPriority w:val="0"/>
    <w:rPr>
      <w:rFonts w:ascii="Arial" w:hAnsi="Arial" w:cs="Arial"/>
      <w:b/>
      <w:bCs/>
      <w:kern w:val="2"/>
      <w:sz w:val="32"/>
      <w:szCs w:val="32"/>
    </w:rPr>
  </w:style>
  <w:style w:type="paragraph" w:customStyle="1" w:styleId="50">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uiPriority w:val="0"/>
    <w:pPr>
      <w:ind w:left="198"/>
    </w:pPr>
    <w:rPr>
      <w:rFonts w:ascii="宋体" w:hAnsi="Times New Roman" w:eastAsia="宋体" w:cs="Times New Roman"/>
      <w:sz w:val="18"/>
      <w:lang w:val="en-US" w:eastAsia="zh-CN" w:bidi="ar-SA"/>
    </w:rPr>
  </w:style>
  <w:style w:type="paragraph" w:customStyle="1" w:styleId="53">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uiPriority w:val="0"/>
    <w:rPr>
      <w:kern w:val="2"/>
      <w:sz w:val="21"/>
      <w:szCs w:val="21"/>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ind w:left="0" w:firstLine="0"/>
    </w:pPr>
  </w:style>
  <w:style w:type="paragraph" w:customStyle="1" w:styleId="92">
    <w:name w:val="标准文件_目录标题"/>
    <w:basedOn w:val="1"/>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customStyle="1" w:styleId="187">
    <w:name w:val="Placeholder Text"/>
    <w:basedOn w:val="27"/>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7"/>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7"/>
    <w:uiPriority w:val="0"/>
    <w:rPr>
      <w:rFonts w:ascii="黑体" w:eastAsia="黑体"/>
      <w:spacing w:val="85"/>
      <w:w w:val="100"/>
      <w:position w:val="3"/>
      <w:sz w:val="28"/>
      <w:szCs w:val="28"/>
    </w:rPr>
  </w:style>
  <w:style w:type="character" w:customStyle="1" w:styleId="231">
    <w:name w:val="未处理的提及1"/>
    <w:basedOn w:val="27"/>
    <w:unhideWhenUsed/>
    <w:uiPriority w:val="99"/>
    <w:rPr>
      <w:color w:val="605E5C"/>
      <w:shd w:val="clear" w:color="auto" w:fill="E1DFDD"/>
    </w:rPr>
  </w:style>
  <w:style w:type="character" w:customStyle="1" w:styleId="232">
    <w:name w:val="fontstyle01"/>
    <w:basedOn w:val="27"/>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ACC13A1A6B74D07846A0B51C973FD4A"/>
        <w:style w:val=""/>
        <w:category>
          <w:name w:val="常规"/>
          <w:gallery w:val="placeholder"/>
        </w:category>
        <w:types>
          <w:type w:val="bbPlcHdr"/>
        </w:types>
        <w:behaviors>
          <w:behavior w:val="content"/>
        </w:behaviors>
        <w:description w:val=""/>
        <w:guid w:val="{E9F25232-F24A-453F-9587-0AA61BB11E1A}"/>
      </w:docPartPr>
      <w:docPartBody>
        <w:p>
          <w:pPr>
            <w:pStyle w:val="5"/>
          </w:pPr>
          <w:r>
            <w:rPr>
              <w:rStyle w:val="4"/>
              <w:rFonts w:hint="eastAsia"/>
            </w:rPr>
            <w:t>单击或点击此处输入文字。</w:t>
          </w:r>
        </w:p>
      </w:docPartBody>
    </w:docPart>
    <w:docPart>
      <w:docPartPr>
        <w:name w:val="A075E03D13764A41A83A2496E1482E27"/>
        <w:style w:val=""/>
        <w:category>
          <w:name w:val="常规"/>
          <w:gallery w:val="placeholder"/>
        </w:category>
        <w:types>
          <w:type w:val="bbPlcHdr"/>
        </w:types>
        <w:behaviors>
          <w:behavior w:val="content"/>
        </w:behaviors>
        <w:description w:val=""/>
        <w:guid w:val="{4F5425F4-C71C-4317-9961-4979725789FF}"/>
      </w:docPartPr>
      <w:docPartBody>
        <w:p>
          <w:pPr>
            <w:pStyle w:val="6"/>
          </w:pPr>
          <w:r>
            <w:rPr>
              <w:rStyle w:val="4"/>
              <w:rFonts w:hint="eastAsia"/>
            </w:rPr>
            <w:t>选择一项。</w:t>
          </w:r>
        </w:p>
      </w:docPartBody>
    </w:docPart>
    <w:docPart>
      <w:docPartPr>
        <w:name w:val="413B496652864AF68AFF019C3370E54D"/>
        <w:style w:val=""/>
        <w:category>
          <w:name w:val="常规"/>
          <w:gallery w:val="placeholder"/>
        </w:category>
        <w:types>
          <w:type w:val="bbPlcHdr"/>
        </w:types>
        <w:behaviors>
          <w:behavior w:val="content"/>
        </w:behaviors>
        <w:description w:val=""/>
        <w:guid w:val="{DD25B226-112B-4BE1-819A-DFF3BB91F91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9BF"/>
    <w:rsid w:val="000001B2"/>
    <w:rsid w:val="0001250F"/>
    <w:rsid w:val="000760AA"/>
    <w:rsid w:val="000E1A46"/>
    <w:rsid w:val="00156CEF"/>
    <w:rsid w:val="00160BBC"/>
    <w:rsid w:val="00290956"/>
    <w:rsid w:val="00377879"/>
    <w:rsid w:val="00401019"/>
    <w:rsid w:val="004100F9"/>
    <w:rsid w:val="00473B4C"/>
    <w:rsid w:val="00592450"/>
    <w:rsid w:val="00652D8A"/>
    <w:rsid w:val="00734B68"/>
    <w:rsid w:val="007430C8"/>
    <w:rsid w:val="0075100E"/>
    <w:rsid w:val="0086547C"/>
    <w:rsid w:val="00870A6C"/>
    <w:rsid w:val="008E6807"/>
    <w:rsid w:val="009B47B5"/>
    <w:rsid w:val="00A75780"/>
    <w:rsid w:val="00A974DC"/>
    <w:rsid w:val="00AC0B19"/>
    <w:rsid w:val="00AF2604"/>
    <w:rsid w:val="00B64ABA"/>
    <w:rsid w:val="00B86754"/>
    <w:rsid w:val="00BD69BF"/>
    <w:rsid w:val="00BF5F2D"/>
    <w:rsid w:val="00C16E47"/>
    <w:rsid w:val="00C30B86"/>
    <w:rsid w:val="00C93FB1"/>
    <w:rsid w:val="00CA3871"/>
    <w:rsid w:val="00DF59D6"/>
    <w:rsid w:val="00F15C5B"/>
    <w:rsid w:val="00F74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unhideWhenUsed/>
    <w:qFormat/>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character" w:customStyle="1" w:styleId="4">
    <w:name w:val="Placeholder Text"/>
    <w:basedOn w:val="2"/>
    <w:semiHidden/>
    <w:uiPriority w:val="99"/>
    <w:rPr>
      <w:color w:val="808080"/>
    </w:rPr>
  </w:style>
  <w:style w:type="paragraph" w:customStyle="1" w:styleId="5">
    <w:name w:val="DACC13A1A6B74D07846A0B51C973FD4A"/>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075E03D13764A41A83A2496E1482E27"/>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13B496652864AF68AFF019C3370E54D"/>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D600D8-66D7-46A7-989B-25BFF6BE00B5}">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946</Words>
  <Characters>5398</Characters>
  <Lines>44</Lines>
  <Paragraphs>12</Paragraphs>
  <TotalTime>364</TotalTime>
  <ScaleCrop>false</ScaleCrop>
  <LinksUpToDate>false</LinksUpToDate>
  <CharactersWithSpaces>6332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2024-12-04T21:46:00Z</dcterms:created>
  <dc:creator>朱友鹏</dc:creator>
  <dc:description>&lt;config cover="true" show_menu="true" version="1.0.0" doctype="SDKXY"&gt;_x000d_
&lt;/config&gt;</dc:description>
  <cp:lastModifiedBy>admin</cp:lastModifiedBy>
  <cp:lastPrinted>2020-08-30T10:00:00Z</cp:lastPrinted>
  <dcterms:modified xsi:type="dcterms:W3CDTF">2024-12-25T06:55:04Z</dcterms:modified>
  <dc:title>地方标准</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2052-10.8.0.6423</vt:lpwstr>
  </property>
</Properties>
</file>