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4D5AB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5E7E1CB4">
            <w:pPr>
              <w:pStyle w:val="19"/>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6458FC65">
            <w:pPr>
              <w:pStyle w:val="19"/>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xml:space="preserve"> </w:t>
            </w:r>
            <w:r>
              <w:rPr>
                <w:rFonts w:ascii="黑体" w:hAnsi="黑体" w:eastAsia="黑体"/>
                <w:sz w:val="21"/>
                <w:szCs w:val="21"/>
              </w:rPr>
              <w:fldChar w:fldCharType="end"/>
            </w:r>
            <w:bookmarkEnd w:id="0"/>
          </w:p>
        </w:tc>
      </w:tr>
      <w:tr w14:paraId="24B48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7C0B0FF">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1C19792E">
            <w:pPr>
              <w:pStyle w:val="19"/>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9"/>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73D9377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4184B207">
            <w:pPr>
              <w:pStyle w:val="53"/>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14</w:t>
            </w:r>
            <w:r>
              <w:fldChar w:fldCharType="end"/>
            </w:r>
            <w:bookmarkEnd w:id="3"/>
          </w:p>
        </w:tc>
      </w:tr>
    </w:tbl>
    <w:p w14:paraId="0F3F1852">
      <w:pPr>
        <w:pStyle w:val="54"/>
        <w:framePr w:w="9639" w:h="624" w:hRule="exact" w:hSpace="181" w:vSpace="181"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山西省</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742B6228">
      <w:pPr>
        <w:pStyle w:val="199"/>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t>14</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14:paraId="1E1A1833">
      <w:pPr>
        <w:pStyle w:val="200"/>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6AF08A0F">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294B3AC1">
      <w:pPr>
        <w:pStyle w:val="54"/>
        <w:framePr w:w="9639" w:h="6976" w:hRule="exact" w:hSpace="0" w:vSpace="0" w:hAnchor="page" w:y="6408"/>
        <w:jc w:val="center"/>
        <w:rPr>
          <w:rFonts w:ascii="黑体" w:hAnsi="黑体" w:eastAsia="黑体"/>
          <w:b w:val="0"/>
          <w:bCs w:val="0"/>
          <w:w w:val="100"/>
        </w:rPr>
      </w:pPr>
    </w:p>
    <w:p w14:paraId="7EC4E6FC">
      <w:pPr>
        <w:pStyle w:val="201"/>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柴胡趁鲜</w:t>
      </w:r>
      <w:r>
        <w:rPr>
          <w:rFonts w:hint="eastAsia"/>
          <w:lang w:eastAsia="zh-CN"/>
        </w:rPr>
        <w:t>切制</w:t>
      </w:r>
      <w:r>
        <w:t xml:space="preserve">技术规程  </w:t>
      </w:r>
      <w:r>
        <w:fldChar w:fldCharType="end"/>
      </w:r>
      <w:bookmarkEnd w:id="9"/>
    </w:p>
    <w:p w14:paraId="54B60283">
      <w:pPr>
        <w:framePr w:w="9639" w:h="6974" w:hRule="exact" w:wrap="around" w:vAnchor="page" w:hAnchor="page" w:x="1419" w:y="6408" w:anchorLock="1"/>
        <w:ind w:left="-1418"/>
      </w:pPr>
    </w:p>
    <w:p w14:paraId="0B09D797">
      <w:pPr>
        <w:pStyle w:val="129"/>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10"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点击此处添加标准名称的英文译名</w:t>
      </w:r>
      <w:r>
        <w:rPr>
          <w:rFonts w:ascii="黑体" w:hAnsi="黑体" w:eastAsia="黑体"/>
          <w:szCs w:val="28"/>
        </w:rPr>
        <w:fldChar w:fldCharType="end"/>
      </w:r>
      <w:bookmarkEnd w:id="10"/>
    </w:p>
    <w:p w14:paraId="59B0FE71">
      <w:pPr>
        <w:framePr w:w="9639" w:h="6974" w:hRule="exact" w:wrap="around" w:vAnchor="page" w:hAnchor="page" w:x="1419" w:y="6408" w:anchorLock="1"/>
        <w:spacing w:line="760" w:lineRule="exact"/>
        <w:ind w:left="-1418"/>
      </w:pPr>
    </w:p>
    <w:p w14:paraId="492DD0EF">
      <w:pPr>
        <w:pStyle w:val="129"/>
        <w:framePr w:w="9639" w:h="6974" w:hRule="exact" w:wrap="around" w:vAnchor="page" w:hAnchor="page" w:x="1419" w:y="6408" w:anchorLock="1"/>
        <w:textAlignment w:val="bottom"/>
        <w:rPr>
          <w:rFonts w:eastAsia="黑体"/>
          <w:szCs w:val="28"/>
        </w:rPr>
      </w:pPr>
    </w:p>
    <w:p w14:paraId="5D17DF67">
      <w:pPr>
        <w:pStyle w:val="12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51544B5">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rPr>
        <w:t>（本草案完成时间：2</w:t>
      </w:r>
      <w:r>
        <w:rPr>
          <w:sz w:val="21"/>
          <w:szCs w:val="28"/>
        </w:rPr>
        <w:t>02</w:t>
      </w:r>
      <w:r>
        <w:rPr>
          <w:rFonts w:hint="eastAsia"/>
          <w:sz w:val="21"/>
          <w:szCs w:val="28"/>
        </w:rPr>
        <w:t>4年</w:t>
      </w:r>
      <w:r>
        <w:rPr>
          <w:rFonts w:hint="eastAsia"/>
          <w:sz w:val="21"/>
          <w:szCs w:val="28"/>
          <w:lang w:val="en-US" w:eastAsia="zh-CN"/>
        </w:rPr>
        <w:t>9</w:t>
      </w:r>
      <w:r>
        <w:rPr>
          <w:rFonts w:hint="eastAsia"/>
          <w:sz w:val="21"/>
          <w:szCs w:val="28"/>
        </w:rPr>
        <w:t>月</w:t>
      </w:r>
      <w:r>
        <w:rPr>
          <w:rFonts w:hint="eastAsia"/>
          <w:sz w:val="21"/>
          <w:szCs w:val="28"/>
          <w:lang w:val="en-US" w:eastAsia="zh-CN"/>
        </w:rPr>
        <w:t>18</w:t>
      </w:r>
      <w:r>
        <w:rPr>
          <w:rFonts w:hint="eastAsia"/>
          <w:sz w:val="21"/>
          <w:szCs w:val="28"/>
        </w:rPr>
        <w:t>日）</w:t>
      </w:r>
      <w:r>
        <w:rPr>
          <w:sz w:val="21"/>
          <w:szCs w:val="28"/>
        </w:rPr>
        <w:fldChar w:fldCharType="end"/>
      </w:r>
      <w:bookmarkEnd w:id="12"/>
    </w:p>
    <w:p w14:paraId="0254377D">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180AFC3">
      <w:pPr>
        <w:pStyle w:val="197"/>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E42326A">
      <w:pPr>
        <w:pStyle w:val="198"/>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441C64CB">
      <w:pPr>
        <w:pStyle w:val="155"/>
        <w:framePr w:h="584" w:hRule="exact" w:hSpace="181" w:vSpace="181"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山西省市场监督管理局</w:t>
      </w:r>
      <w:r>
        <w:rPr>
          <w:rFonts w:hAnsi="黑体"/>
          <w:w w:val="100"/>
          <w:sz w:val="28"/>
        </w:rPr>
        <w:fldChar w:fldCharType="end"/>
      </w:r>
      <w:bookmarkEnd w:id="20"/>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0C4FC427">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90C3C5A">
      <w:pPr>
        <w:pStyle w:val="95"/>
        <w:spacing w:after="468"/>
      </w:pPr>
      <w:bookmarkStart w:id="21" w:name="BookMark1"/>
      <w:bookmarkStart w:id="22" w:name="_Toc144916959"/>
      <w:bookmarkStart w:id="23" w:name="_Toc144916588"/>
      <w:r>
        <w:rPr>
          <w:rFonts w:hint="eastAsia"/>
          <w:spacing w:val="320"/>
        </w:rPr>
        <w:t>目</w:t>
      </w:r>
      <w:r>
        <w:rPr>
          <w:rFonts w:hint="eastAsia"/>
        </w:rPr>
        <w:t>次</w:t>
      </w:r>
    </w:p>
    <w:p w14:paraId="0AEB6859">
      <w:pPr>
        <w:pStyle w:val="20"/>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"_Toc180658321" </w:instrText>
      </w:r>
      <w:r>
        <w:fldChar w:fldCharType="separate"/>
      </w:r>
      <w:r>
        <w:rPr>
          <w:rStyle w:val="34"/>
          <w:rFonts w:hint="eastAsia"/>
          <w:spacing w:val="320"/>
        </w:rPr>
        <w:t>前</w:t>
      </w:r>
      <w:r>
        <w:rPr>
          <w:rStyle w:val="34"/>
          <w:rFonts w:hint="eastAsia"/>
        </w:rPr>
        <w:t>言</w:t>
      </w:r>
      <w:r>
        <w:tab/>
      </w:r>
      <w:r>
        <w:fldChar w:fldCharType="begin"/>
      </w:r>
      <w:r>
        <w:instrText xml:space="preserve"> PAGEREF _Toc180658321 \h </w:instrText>
      </w:r>
      <w:r>
        <w:fldChar w:fldCharType="separate"/>
      </w:r>
      <w:r>
        <w:t>II</w:t>
      </w:r>
      <w:r>
        <w:fldChar w:fldCharType="end"/>
      </w:r>
      <w:r>
        <w:fldChar w:fldCharType="end"/>
      </w:r>
    </w:p>
    <w:p w14:paraId="6A53DEA7">
      <w:pPr>
        <w:pStyle w:val="20"/>
        <w:tabs>
          <w:tab w:val="right" w:leader="dot" w:pos="9344"/>
        </w:tabs>
        <w:rPr>
          <w:rFonts w:asciiTheme="minorHAnsi" w:hAnsiTheme="minorHAnsi" w:eastAsiaTheme="minorEastAsia" w:cstheme="minorBidi"/>
          <w:szCs w:val="22"/>
        </w:rPr>
      </w:pPr>
      <w:r>
        <w:fldChar w:fldCharType="begin"/>
      </w:r>
      <w:r>
        <w:instrText xml:space="preserve"> HYPERLINK \l "_Toc180658322" </w:instrText>
      </w:r>
      <w:r>
        <w:fldChar w:fldCharType="separate"/>
      </w:r>
      <w:r>
        <w:rPr>
          <w:rStyle w:val="34"/>
        </w:rPr>
        <w:t>1</w:t>
      </w:r>
      <w:r>
        <w:rPr>
          <w:rStyle w:val="34"/>
          <w:rFonts w:hint="eastAsia"/>
        </w:rPr>
        <w:t xml:space="preserve"> 范围</w:t>
      </w:r>
      <w:r>
        <w:tab/>
      </w:r>
      <w:r>
        <w:fldChar w:fldCharType="begin"/>
      </w:r>
      <w:r>
        <w:instrText xml:space="preserve"> PAGEREF _Toc180658322 \h </w:instrText>
      </w:r>
      <w:r>
        <w:fldChar w:fldCharType="separate"/>
      </w:r>
      <w:r>
        <w:t>1</w:t>
      </w:r>
      <w:r>
        <w:fldChar w:fldCharType="end"/>
      </w:r>
      <w:r>
        <w:fldChar w:fldCharType="end"/>
      </w:r>
    </w:p>
    <w:p w14:paraId="6E1C0E99">
      <w:pPr>
        <w:pStyle w:val="20"/>
        <w:tabs>
          <w:tab w:val="right" w:leader="dot" w:pos="9344"/>
        </w:tabs>
        <w:rPr>
          <w:rFonts w:asciiTheme="minorHAnsi" w:hAnsiTheme="minorHAnsi" w:eastAsiaTheme="minorEastAsia" w:cstheme="minorBidi"/>
          <w:szCs w:val="22"/>
        </w:rPr>
      </w:pPr>
      <w:r>
        <w:fldChar w:fldCharType="begin"/>
      </w:r>
      <w:r>
        <w:instrText xml:space="preserve"> HYPERLINK \l "_Toc180658323" </w:instrText>
      </w:r>
      <w:r>
        <w:fldChar w:fldCharType="separate"/>
      </w:r>
      <w:r>
        <w:rPr>
          <w:rStyle w:val="34"/>
        </w:rPr>
        <w:t>2</w:t>
      </w:r>
      <w:r>
        <w:rPr>
          <w:rStyle w:val="34"/>
          <w:rFonts w:hint="eastAsia"/>
        </w:rPr>
        <w:t xml:space="preserve"> 规范性引用文件</w:t>
      </w:r>
      <w:r>
        <w:tab/>
      </w:r>
      <w:r>
        <w:fldChar w:fldCharType="begin"/>
      </w:r>
      <w:r>
        <w:instrText xml:space="preserve"> PAGEREF _Toc180658323 \h </w:instrText>
      </w:r>
      <w:r>
        <w:fldChar w:fldCharType="separate"/>
      </w:r>
      <w:r>
        <w:t>1</w:t>
      </w:r>
      <w:r>
        <w:fldChar w:fldCharType="end"/>
      </w:r>
      <w:r>
        <w:fldChar w:fldCharType="end"/>
      </w:r>
    </w:p>
    <w:p w14:paraId="674839C7">
      <w:pPr>
        <w:pStyle w:val="20"/>
        <w:tabs>
          <w:tab w:val="right" w:leader="dot" w:pos="9344"/>
        </w:tabs>
        <w:rPr>
          <w:rFonts w:asciiTheme="minorHAnsi" w:hAnsiTheme="minorHAnsi" w:eastAsiaTheme="minorEastAsia" w:cstheme="minorBidi"/>
          <w:szCs w:val="22"/>
        </w:rPr>
      </w:pPr>
      <w:r>
        <w:fldChar w:fldCharType="begin"/>
      </w:r>
      <w:r>
        <w:instrText xml:space="preserve"> HYPERLINK \l "_Toc180658324" </w:instrText>
      </w:r>
      <w:r>
        <w:fldChar w:fldCharType="separate"/>
      </w:r>
      <w:r>
        <w:rPr>
          <w:rStyle w:val="34"/>
        </w:rPr>
        <w:t>3</w:t>
      </w:r>
      <w:r>
        <w:rPr>
          <w:rStyle w:val="34"/>
          <w:rFonts w:hint="eastAsia"/>
        </w:rPr>
        <w:t xml:space="preserve"> 术语和定义</w:t>
      </w:r>
      <w:r>
        <w:tab/>
      </w:r>
      <w:r>
        <w:fldChar w:fldCharType="begin"/>
      </w:r>
      <w:r>
        <w:instrText xml:space="preserve"> PAGEREF _Toc180658324 \h </w:instrText>
      </w:r>
      <w:r>
        <w:fldChar w:fldCharType="separate"/>
      </w:r>
      <w:r>
        <w:t>1</w:t>
      </w:r>
      <w:r>
        <w:fldChar w:fldCharType="end"/>
      </w:r>
      <w:r>
        <w:fldChar w:fldCharType="end"/>
      </w:r>
    </w:p>
    <w:p w14:paraId="70401C81">
      <w:pPr>
        <w:pStyle w:val="20"/>
        <w:tabs>
          <w:tab w:val="right" w:leader="dot" w:pos="9344"/>
        </w:tabs>
        <w:rPr>
          <w:rFonts w:asciiTheme="minorHAnsi" w:hAnsiTheme="minorHAnsi" w:eastAsiaTheme="minorEastAsia" w:cstheme="minorBidi"/>
          <w:szCs w:val="22"/>
        </w:rPr>
      </w:pPr>
      <w:r>
        <w:fldChar w:fldCharType="begin"/>
      </w:r>
      <w:r>
        <w:instrText xml:space="preserve"> HYPERLINK \l "_Toc180658325" </w:instrText>
      </w:r>
      <w:r>
        <w:fldChar w:fldCharType="separate"/>
      </w:r>
      <w:r>
        <w:rPr>
          <w:rStyle w:val="34"/>
        </w:rPr>
        <w:t>4</w:t>
      </w:r>
      <w:r>
        <w:rPr>
          <w:rStyle w:val="34"/>
          <w:rFonts w:hint="eastAsia"/>
        </w:rPr>
        <w:t xml:space="preserve"> 采收</w:t>
      </w:r>
      <w:r>
        <w:tab/>
      </w:r>
      <w:r>
        <w:rPr>
          <w:rFonts w:hint="eastAsia"/>
          <w:lang w:val="en-US" w:eastAsia="zh-CN"/>
        </w:rPr>
        <w:t>2</w:t>
      </w:r>
      <w:r>
        <w:fldChar w:fldCharType="end"/>
      </w:r>
    </w:p>
    <w:p w14:paraId="352B206D">
      <w:pPr>
        <w:pStyle w:val="20"/>
        <w:tabs>
          <w:tab w:val="right" w:leader="dot" w:pos="9344"/>
        </w:tabs>
        <w:rPr>
          <w:rFonts w:asciiTheme="minorHAnsi" w:hAnsiTheme="minorHAnsi" w:eastAsiaTheme="minorEastAsia" w:cstheme="minorBidi"/>
          <w:szCs w:val="22"/>
        </w:rPr>
      </w:pPr>
      <w:r>
        <w:fldChar w:fldCharType="begin"/>
      </w:r>
      <w:r>
        <w:instrText xml:space="preserve"> HYPERLINK \l "_Toc180658326" </w:instrText>
      </w:r>
      <w:r>
        <w:fldChar w:fldCharType="separate"/>
      </w:r>
      <w:r>
        <w:rPr>
          <w:rStyle w:val="34"/>
        </w:rPr>
        <w:t>5</w:t>
      </w:r>
      <w:r>
        <w:rPr>
          <w:rStyle w:val="34"/>
          <w:rFonts w:hint="eastAsia"/>
        </w:rPr>
        <w:t xml:space="preserve"> 趁鲜加工</w:t>
      </w:r>
      <w:r>
        <w:tab/>
      </w:r>
      <w:r>
        <w:fldChar w:fldCharType="begin"/>
      </w:r>
      <w:r>
        <w:instrText xml:space="preserve"> PAGEREF _Toc180658326 \h </w:instrText>
      </w:r>
      <w:r>
        <w:fldChar w:fldCharType="separate"/>
      </w:r>
      <w:r>
        <w:t>2</w:t>
      </w:r>
      <w:r>
        <w:fldChar w:fldCharType="end"/>
      </w:r>
      <w:r>
        <w:fldChar w:fldCharType="end"/>
      </w:r>
    </w:p>
    <w:p w14:paraId="6E07F627">
      <w:pPr>
        <w:pStyle w:val="20"/>
        <w:tabs>
          <w:tab w:val="right" w:leader="dot" w:pos="9344"/>
        </w:tabs>
        <w:rPr>
          <w:rFonts w:asciiTheme="minorHAnsi" w:hAnsiTheme="minorHAnsi" w:eastAsiaTheme="minorEastAsia" w:cstheme="minorBidi"/>
          <w:szCs w:val="22"/>
        </w:rPr>
      </w:pPr>
      <w:r>
        <w:fldChar w:fldCharType="begin"/>
      </w:r>
      <w:r>
        <w:instrText xml:space="preserve"> HYPERLINK \l "_Toc180658327" </w:instrText>
      </w:r>
      <w:r>
        <w:fldChar w:fldCharType="separate"/>
      </w:r>
      <w:r>
        <w:rPr>
          <w:rStyle w:val="34"/>
        </w:rPr>
        <w:t>6</w:t>
      </w:r>
      <w:r>
        <w:rPr>
          <w:rStyle w:val="34"/>
          <w:rFonts w:hint="eastAsia"/>
        </w:rPr>
        <w:t xml:space="preserve"> 质量标准</w:t>
      </w:r>
      <w:r>
        <w:tab/>
      </w:r>
      <w:r>
        <w:rPr>
          <w:rFonts w:hint="eastAsia"/>
          <w:lang w:val="en-US" w:eastAsia="zh-CN"/>
        </w:rPr>
        <w:t>3</w:t>
      </w:r>
      <w:r>
        <w:fldChar w:fldCharType="end"/>
      </w:r>
    </w:p>
    <w:p w14:paraId="28EE9939">
      <w:pPr>
        <w:pStyle w:val="20"/>
        <w:tabs>
          <w:tab w:val="right" w:leader="dot" w:pos="9344"/>
        </w:tabs>
        <w:rPr>
          <w:rFonts w:asciiTheme="minorHAnsi" w:hAnsiTheme="minorHAnsi" w:eastAsiaTheme="minorEastAsia" w:cstheme="minorBidi"/>
          <w:szCs w:val="22"/>
        </w:rPr>
      </w:pPr>
      <w:r>
        <w:fldChar w:fldCharType="begin"/>
      </w:r>
      <w:r>
        <w:instrText xml:space="preserve"> HYPERLINK \l "_Toc180658328" </w:instrText>
      </w:r>
      <w:r>
        <w:fldChar w:fldCharType="separate"/>
      </w:r>
      <w:r>
        <w:rPr>
          <w:rStyle w:val="34"/>
        </w:rPr>
        <w:t>7</w:t>
      </w:r>
      <w:r>
        <w:rPr>
          <w:rStyle w:val="34"/>
          <w:rFonts w:hint="eastAsia"/>
        </w:rPr>
        <w:t xml:space="preserve"> 包装和标签</w:t>
      </w:r>
      <w:r>
        <w:tab/>
      </w:r>
      <w:r>
        <w:rPr>
          <w:rFonts w:hint="eastAsia"/>
          <w:lang w:val="en-US" w:eastAsia="zh-CN"/>
        </w:rPr>
        <w:t>3</w:t>
      </w:r>
      <w:r>
        <w:fldChar w:fldCharType="end"/>
      </w:r>
    </w:p>
    <w:p w14:paraId="2915644C">
      <w:pPr>
        <w:pStyle w:val="20"/>
        <w:tabs>
          <w:tab w:val="right" w:leader="dot" w:pos="9344"/>
        </w:tabs>
        <w:rPr>
          <w:rFonts w:asciiTheme="minorHAnsi" w:hAnsiTheme="minorHAnsi" w:eastAsiaTheme="minorEastAsia" w:cstheme="minorBidi"/>
          <w:szCs w:val="22"/>
        </w:rPr>
      </w:pPr>
      <w:r>
        <w:fldChar w:fldCharType="begin"/>
      </w:r>
      <w:r>
        <w:instrText xml:space="preserve"> HYPERLINK \l "_Toc180658329" </w:instrText>
      </w:r>
      <w:r>
        <w:fldChar w:fldCharType="separate"/>
      </w:r>
      <w:r>
        <w:rPr>
          <w:rStyle w:val="34"/>
        </w:rPr>
        <w:t>8</w:t>
      </w:r>
      <w:r>
        <w:rPr>
          <w:rStyle w:val="34"/>
          <w:rFonts w:hint="eastAsia"/>
        </w:rPr>
        <w:t xml:space="preserve"> 贮藏</w:t>
      </w:r>
      <w:r>
        <w:tab/>
      </w:r>
      <w:r>
        <w:fldChar w:fldCharType="begin"/>
      </w:r>
      <w:r>
        <w:instrText xml:space="preserve"> PAGEREF _Toc180658329 \h </w:instrText>
      </w:r>
      <w:r>
        <w:fldChar w:fldCharType="separate"/>
      </w:r>
      <w:r>
        <w:t>3</w:t>
      </w:r>
      <w:r>
        <w:fldChar w:fldCharType="end"/>
      </w:r>
      <w:r>
        <w:fldChar w:fldCharType="end"/>
      </w:r>
    </w:p>
    <w:p w14:paraId="1F214BEA">
      <w:pPr>
        <w:pStyle w:val="20"/>
        <w:tabs>
          <w:tab w:val="right" w:leader="dot" w:pos="9344"/>
        </w:tabs>
        <w:rPr>
          <w:rFonts w:asciiTheme="minorHAnsi" w:hAnsiTheme="minorHAnsi" w:eastAsiaTheme="minorEastAsia" w:cstheme="minorBidi"/>
          <w:szCs w:val="22"/>
        </w:rPr>
      </w:pPr>
      <w:r>
        <w:fldChar w:fldCharType="begin"/>
      </w:r>
      <w:r>
        <w:instrText xml:space="preserve"> HYPERLINK \l "_Toc180658330" </w:instrText>
      </w:r>
      <w:r>
        <w:fldChar w:fldCharType="separate"/>
      </w:r>
      <w:r>
        <w:rPr>
          <w:rStyle w:val="34"/>
          <w:rFonts w:hint="eastAsia"/>
          <w:spacing w:val="100"/>
        </w:rPr>
        <w:t>附录A</w:t>
      </w:r>
      <w:r>
        <w:tab/>
      </w:r>
      <w:r>
        <w:fldChar w:fldCharType="begin"/>
      </w:r>
      <w:r>
        <w:instrText xml:space="preserve"> PAGEREF _Toc180658330 \h </w:instrText>
      </w:r>
      <w:r>
        <w:fldChar w:fldCharType="separate"/>
      </w:r>
      <w:r>
        <w:t>4</w:t>
      </w:r>
      <w:r>
        <w:fldChar w:fldCharType="end"/>
      </w:r>
      <w:r>
        <w:fldChar w:fldCharType="end"/>
      </w:r>
    </w:p>
    <w:p w14:paraId="5633F463">
      <w:pPr>
        <w:pStyle w:val="95"/>
        <w:spacing w:after="468"/>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type="lines" w:linePitch="312" w:charSpace="0"/>
        </w:sectPr>
      </w:pPr>
      <w:r>
        <w:fldChar w:fldCharType="end"/>
      </w:r>
    </w:p>
    <w:bookmarkEnd w:id="21"/>
    <w:p w14:paraId="6400AB04">
      <w:pPr>
        <w:pStyle w:val="93"/>
        <w:spacing w:before="900" w:after="468"/>
      </w:pPr>
      <w:bookmarkStart w:id="24" w:name="_Toc184153053"/>
      <w:bookmarkStart w:id="25" w:name="_Toc169014679"/>
      <w:bookmarkStart w:id="26" w:name="BookMark2"/>
      <w:r>
        <w:rPr>
          <w:spacing w:val="320"/>
        </w:rPr>
        <w:t>前</w:t>
      </w:r>
      <w:r>
        <w:t>言</w:t>
      </w:r>
      <w:bookmarkEnd w:id="22"/>
      <w:bookmarkEnd w:id="23"/>
      <w:bookmarkEnd w:id="24"/>
      <w:bookmarkEnd w:id="25"/>
    </w:p>
    <w:p w14:paraId="1309745B">
      <w:pPr>
        <w:pStyle w:val="4"/>
        <w:widowControl/>
        <w:spacing w:beforeAutospacing="0" w:afterAutospacing="0" w:line="500" w:lineRule="exact"/>
        <w:ind w:firstLine="420" w:firstLineChars="200"/>
        <w:rPr>
          <w:rFonts w:ascii="Times New Roman" w:hAnsi="Times New Roman" w:eastAsia="宋体"/>
          <w:sz w:val="21"/>
          <w:szCs w:val="21"/>
        </w:rPr>
      </w:pPr>
      <w:r>
        <w:rPr>
          <w:rFonts w:ascii="Times New Roman" w:hAnsi="Times New Roman" w:eastAsia="宋体"/>
          <w:sz w:val="21"/>
          <w:szCs w:val="21"/>
        </w:rPr>
        <w:t>本文件按照GB/T 1.1-2020《标准化工作导则  第1部分︰标准化文件的结构和起草规则》的规定起草。</w:t>
      </w:r>
    </w:p>
    <w:p w14:paraId="2302736E">
      <w:pPr>
        <w:pStyle w:val="4"/>
        <w:widowControl/>
        <w:spacing w:beforeAutospacing="0" w:afterAutospacing="0" w:line="500" w:lineRule="exact"/>
        <w:ind w:firstLine="420" w:firstLineChars="200"/>
        <w:rPr>
          <w:rFonts w:ascii="Times New Roman" w:hAnsi="Times New Roman" w:eastAsia="宋体"/>
          <w:sz w:val="21"/>
          <w:szCs w:val="21"/>
        </w:rPr>
      </w:pPr>
      <w:r>
        <w:rPr>
          <w:rFonts w:ascii="Times New Roman" w:hAnsi="Times New Roman" w:eastAsia="宋体"/>
          <w:sz w:val="21"/>
          <w:szCs w:val="21"/>
        </w:rPr>
        <w:t>请注意本文件的某些内容可能涉及专利。本文件的发布机构不承担识别专利的责任。</w:t>
      </w:r>
    </w:p>
    <w:p w14:paraId="3A599E4D">
      <w:pPr>
        <w:pStyle w:val="4"/>
        <w:widowControl/>
        <w:spacing w:beforeAutospacing="0" w:afterAutospacing="0" w:line="500" w:lineRule="exact"/>
        <w:ind w:firstLine="420" w:firstLineChars="200"/>
        <w:rPr>
          <w:rFonts w:ascii="Times New Roman" w:hAnsi="Times New Roman" w:eastAsia="宋体"/>
          <w:sz w:val="21"/>
          <w:szCs w:val="21"/>
        </w:rPr>
      </w:pPr>
      <w:r>
        <w:rPr>
          <w:rFonts w:ascii="Times New Roman" w:hAnsi="Times New Roman" w:eastAsia="宋体"/>
          <w:sz w:val="21"/>
          <w:szCs w:val="21"/>
        </w:rPr>
        <w:t>本文件由山西省药品监督管理局提出并监督实施。</w:t>
      </w:r>
    </w:p>
    <w:p w14:paraId="750534F7">
      <w:pPr>
        <w:pStyle w:val="4"/>
        <w:keepNext w:val="0"/>
        <w:keepLines w:val="0"/>
        <w:pageBreakBefore w:val="0"/>
        <w:widowControl/>
        <w:kinsoku/>
        <w:wordWrap/>
        <w:overflowPunct/>
        <w:topLinePunct w:val="0"/>
        <w:autoSpaceDE/>
        <w:autoSpaceDN/>
        <w:bidi w:val="0"/>
        <w:adjustRightInd w:val="0"/>
        <w:spacing w:beforeAutospacing="0" w:afterAutospacing="0" w:line="360" w:lineRule="auto"/>
        <w:ind w:firstLine="420" w:firstLineChars="200"/>
        <w:textAlignment w:val="auto"/>
        <w:rPr>
          <w:rFonts w:ascii="Times New Roman" w:hAnsi="Times New Roman" w:eastAsia="宋体"/>
          <w:sz w:val="21"/>
          <w:szCs w:val="21"/>
        </w:rPr>
      </w:pPr>
      <w:r>
        <w:rPr>
          <w:rFonts w:ascii="Times New Roman" w:hAnsi="Times New Roman" w:eastAsia="宋体"/>
          <w:sz w:val="21"/>
          <w:szCs w:val="21"/>
        </w:rPr>
        <w:t>本文件由山西省药品质量管理标准化技术委员会归口。</w:t>
      </w:r>
    </w:p>
    <w:p w14:paraId="4FD38E68">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Times New Roman" w:hAnsi="Times New Roman"/>
          <w:sz w:val="21"/>
          <w:szCs w:val="21"/>
          <w:lang w:val="en-US" w:eastAsia="zh-CN"/>
        </w:rPr>
      </w:pPr>
      <w:r>
        <w:rPr>
          <w:rFonts w:ascii="Times New Roman" w:hAnsi="Times New Roman" w:eastAsia="宋体"/>
          <w:sz w:val="21"/>
          <w:szCs w:val="21"/>
        </w:rPr>
        <w:t>本</w:t>
      </w:r>
      <w:r>
        <w:rPr>
          <w:rFonts w:hint="eastAsia" w:ascii="Times New Roman" w:hAnsi="Times New Roman"/>
          <w:sz w:val="21"/>
          <w:szCs w:val="21"/>
          <w:lang w:eastAsia="zh-CN"/>
        </w:rPr>
        <w:t>文件</w:t>
      </w:r>
      <w:r>
        <w:rPr>
          <w:rFonts w:ascii="Times New Roman" w:hAnsi="Times New Roman" w:eastAsia="宋体"/>
          <w:sz w:val="21"/>
          <w:szCs w:val="21"/>
        </w:rPr>
        <w:t>起草单位︰</w:t>
      </w:r>
      <w:r>
        <w:rPr>
          <w:rFonts w:hint="eastAsia" w:ascii="Times New Roman" w:hAnsi="Times New Roman"/>
          <w:sz w:val="21"/>
          <w:szCs w:val="21"/>
          <w:lang w:val="en-US" w:eastAsia="zh-CN"/>
        </w:rPr>
        <w:t>山西锦烁生物医药科技有限公司，五寨正和堂药业有限公司 ，安徽百岁堂中药饮片有限公司，山西广馨生物科技有限公司，山西万和堂药业有限公司、山西德济药业有限公司</w:t>
      </w:r>
    </w:p>
    <w:p w14:paraId="50B358B2">
      <w:pPr>
        <w:pStyle w:val="4"/>
        <w:keepNext w:val="0"/>
        <w:keepLines w:val="0"/>
        <w:pageBreakBefore w:val="0"/>
        <w:widowControl/>
        <w:kinsoku/>
        <w:wordWrap/>
        <w:overflowPunct/>
        <w:topLinePunct w:val="0"/>
        <w:autoSpaceDE/>
        <w:autoSpaceDN/>
        <w:bidi w:val="0"/>
        <w:adjustRightInd w:val="0"/>
        <w:spacing w:beforeAutospacing="0" w:afterAutospacing="0" w:line="360" w:lineRule="auto"/>
        <w:ind w:firstLine="420" w:firstLineChars="200"/>
        <w:textAlignment w:val="auto"/>
        <w:rPr>
          <w:rFonts w:hint="default" w:ascii="Times New Roman" w:hAnsi="Times New Roman"/>
          <w:color w:val="auto"/>
          <w:sz w:val="21"/>
          <w:szCs w:val="21"/>
          <w:lang w:val="en-US" w:eastAsia="zh-CN"/>
        </w:rPr>
      </w:pPr>
      <w:r>
        <w:rPr>
          <w:rFonts w:ascii="Times New Roman" w:hAnsi="Times New Roman" w:eastAsia="宋体"/>
          <w:color w:val="auto"/>
          <w:sz w:val="21"/>
          <w:szCs w:val="21"/>
        </w:rPr>
        <w:t>本文件主要起草人︰</w:t>
      </w:r>
      <w:r>
        <w:rPr>
          <w:rFonts w:hint="default" w:ascii="Times New Roman" w:hAnsi="Times New Roman"/>
          <w:color w:val="auto"/>
          <w:sz w:val="21"/>
          <w:szCs w:val="21"/>
          <w:lang w:val="en-US" w:eastAsia="zh-CN"/>
        </w:rPr>
        <w:t>罗晋萍、杜  娟、牛彦兵、宁红婷、张志鹏、邢  普、蔡翠芳、郭婷婷、孟  衫、邹 亮、武瑞杰、李 飞、党保军、贺 翔、贺桥伟</w:t>
      </w:r>
    </w:p>
    <w:p w14:paraId="62935D38">
      <w:pPr>
        <w:pStyle w:val="4"/>
        <w:widowControl/>
        <w:spacing w:beforeAutospacing="0" w:afterAutospacing="0" w:line="500" w:lineRule="exact"/>
        <w:ind w:firstLine="420" w:firstLineChars="200"/>
        <w:rPr>
          <w:rFonts w:ascii="Times New Roman" w:hAnsi="Times New Roman" w:eastAsia="宋体"/>
          <w:sz w:val="21"/>
          <w:szCs w:val="21"/>
        </w:rPr>
      </w:pPr>
    </w:p>
    <w:p w14:paraId="3E7F27B6">
      <w:pPr>
        <w:pStyle w:val="60"/>
        <w:ind w:firstLine="420"/>
        <w:sectPr>
          <w:pgSz w:w="11906" w:h="16838"/>
          <w:pgMar w:top="1928" w:right="1134" w:bottom="1134" w:left="1134" w:header="1418" w:footer="1134" w:gutter="284"/>
          <w:pgNumType w:fmt="upperRoman"/>
          <w:cols w:space="425" w:num="1"/>
          <w:formProt w:val="0"/>
          <w:docGrid w:type="lines" w:linePitch="312" w:charSpace="0"/>
        </w:sectPr>
      </w:pPr>
    </w:p>
    <w:bookmarkEnd w:id="26"/>
    <w:p w14:paraId="35D1883D">
      <w:pPr>
        <w:spacing w:line="20" w:lineRule="exact"/>
        <w:jc w:val="center"/>
        <w:rPr>
          <w:rFonts w:ascii="黑体" w:hAnsi="黑体" w:eastAsia="黑体"/>
          <w:sz w:val="32"/>
          <w:szCs w:val="32"/>
        </w:rPr>
      </w:pPr>
      <w:bookmarkStart w:id="27" w:name="BookMark4"/>
    </w:p>
    <w:p w14:paraId="1AE10BC3">
      <w:pPr>
        <w:spacing w:line="20" w:lineRule="exact"/>
        <w:jc w:val="center"/>
        <w:rPr>
          <w:rFonts w:ascii="黑体" w:hAnsi="黑体" w:eastAsia="黑体"/>
          <w:sz w:val="32"/>
          <w:szCs w:val="32"/>
        </w:rPr>
      </w:pPr>
    </w:p>
    <w:sdt>
      <w:sdtPr>
        <w:tag w:val="NEW_STAND_NAME"/>
        <w:id w:val="595910757"/>
        <w:lock w:val="sdtLocked"/>
        <w:placeholder>
          <w:docPart w:val="BF291C2EFF7D44E1AF4A84B0BCEE2622"/>
        </w:placeholder>
      </w:sdtPr>
      <w:sdtContent>
        <w:p w14:paraId="52EB3EE5">
          <w:pPr>
            <w:pStyle w:val="181"/>
            <w:spacing w:before="3" w:beforeLines="1" w:after="686" w:afterLines="220"/>
          </w:pPr>
          <w:bookmarkStart w:id="28" w:name="NEW_STAND_NAME"/>
          <w:r>
            <w:rPr>
              <w:rFonts w:hint="eastAsia"/>
              <w:lang w:eastAsia="zh-CN"/>
            </w:rPr>
            <w:t>柴胡</w:t>
          </w:r>
          <w:r>
            <w:rPr>
              <w:rFonts w:hint="eastAsia"/>
            </w:rPr>
            <w:t>趁鲜</w:t>
          </w:r>
          <w:r>
            <w:rPr>
              <w:rFonts w:hint="eastAsia"/>
              <w:lang w:val="en-US" w:eastAsia="zh-CN"/>
            </w:rPr>
            <w:t>切制</w:t>
          </w:r>
          <w:r>
            <w:rPr>
              <w:rFonts w:hint="eastAsia"/>
            </w:rPr>
            <w:t>技术规程</w:t>
          </w:r>
          <w:r>
            <w:t xml:space="preserve">  </w:t>
          </w:r>
        </w:p>
      </w:sdtContent>
    </w:sdt>
    <w:bookmarkEnd w:id="27"/>
    <w:bookmarkEnd w:id="28"/>
    <w:p w14:paraId="54A720BD">
      <w:pPr>
        <w:pStyle w:val="108"/>
        <w:spacing w:before="312" w:after="312"/>
        <w:rPr>
          <w:rFonts w:hint="eastAsia"/>
        </w:rPr>
      </w:pPr>
      <w:bookmarkStart w:id="29" w:name="_Toc127896302"/>
      <w:bookmarkStart w:id="30" w:name="_Toc1923289135"/>
      <w:bookmarkStart w:id="31" w:name="_Toc127896339"/>
      <w:r>
        <w:rPr>
          <w:rFonts w:hint="eastAsia"/>
        </w:rPr>
        <w:t>范围</w:t>
      </w:r>
      <w:bookmarkEnd w:id="29"/>
      <w:bookmarkEnd w:id="30"/>
      <w:bookmarkEnd w:id="31"/>
    </w:p>
    <w:p w14:paraId="64918B63">
      <w:pPr>
        <w:pStyle w:val="4"/>
        <w:widowControl/>
        <w:spacing w:beforeAutospacing="0" w:afterAutospacing="0" w:line="360" w:lineRule="auto"/>
        <w:ind w:firstLine="420" w:firstLineChars="200"/>
        <w:rPr>
          <w:rFonts w:ascii="宋体" w:hAnsi="宋体" w:cs="宋体"/>
          <w:color w:val="auto"/>
          <w:sz w:val="21"/>
          <w:szCs w:val="21"/>
        </w:rPr>
      </w:pPr>
      <w:r>
        <w:rPr>
          <w:rFonts w:ascii="Times New Roman" w:hAnsi="Times New Roman" w:eastAsia="宋体"/>
          <w:sz w:val="21"/>
          <w:szCs w:val="21"/>
        </w:rPr>
        <w:t>本</w:t>
      </w:r>
      <w:r>
        <w:rPr>
          <w:rFonts w:hint="eastAsia" w:ascii="Times New Roman" w:hAnsi="Times New Roman"/>
          <w:sz w:val="21"/>
          <w:szCs w:val="21"/>
          <w:lang w:eastAsia="zh-CN"/>
        </w:rPr>
        <w:t>文件</w:t>
      </w:r>
      <w:r>
        <w:rPr>
          <w:rFonts w:ascii="Times New Roman" w:hAnsi="Times New Roman" w:eastAsia="宋体"/>
          <w:sz w:val="21"/>
          <w:szCs w:val="21"/>
        </w:rPr>
        <w:t>规定了</w:t>
      </w:r>
      <w:r>
        <w:rPr>
          <w:rFonts w:ascii="宋体" w:hAnsi="宋体" w:cs="宋体"/>
          <w:color w:val="auto"/>
          <w:sz w:val="21"/>
          <w:szCs w:val="21"/>
          <w:lang w:val="en"/>
        </w:rPr>
        <w:t>柴胡</w:t>
      </w:r>
      <w:r>
        <w:rPr>
          <w:rFonts w:hint="eastAsia" w:ascii="宋体" w:hAnsi="宋体" w:cs="宋体"/>
          <w:color w:val="auto"/>
          <w:sz w:val="21"/>
          <w:szCs w:val="21"/>
          <w:lang w:val="en-US" w:eastAsia="zh-CN"/>
        </w:rPr>
        <w:t>产地加工</w:t>
      </w:r>
      <w:r>
        <w:rPr>
          <w:rFonts w:hint="eastAsia" w:ascii="宋体" w:hAnsi="宋体" w:cs="宋体"/>
          <w:color w:val="auto"/>
          <w:sz w:val="21"/>
          <w:szCs w:val="21"/>
        </w:rPr>
        <w:t>趁鲜切制的的</w:t>
      </w:r>
      <w:r>
        <w:rPr>
          <w:rFonts w:hint="eastAsia" w:ascii="宋体" w:hAnsi="宋体" w:cs="宋体"/>
          <w:color w:val="auto"/>
          <w:sz w:val="21"/>
          <w:szCs w:val="21"/>
          <w:lang w:val="en-US" w:eastAsia="zh-CN"/>
        </w:rPr>
        <w:t>术语和定义、采收、</w:t>
      </w:r>
      <w:r>
        <w:rPr>
          <w:rFonts w:hint="eastAsia" w:ascii="宋体" w:hAnsi="宋体" w:cs="宋体"/>
          <w:color w:val="auto"/>
          <w:sz w:val="21"/>
          <w:szCs w:val="21"/>
        </w:rPr>
        <w:t>趁鲜切制</w:t>
      </w:r>
      <w:r>
        <w:rPr>
          <w:rFonts w:hint="eastAsia" w:ascii="宋体" w:hAnsi="宋体" w:cs="宋体"/>
          <w:color w:val="auto"/>
          <w:sz w:val="21"/>
          <w:szCs w:val="21"/>
          <w:lang w:eastAsia="zh-CN"/>
        </w:rPr>
        <w:t>、</w:t>
      </w:r>
      <w:r>
        <w:rPr>
          <w:rFonts w:hint="eastAsia" w:ascii="宋体" w:hAnsi="宋体" w:cs="宋体"/>
          <w:color w:val="auto"/>
          <w:sz w:val="21"/>
          <w:szCs w:val="21"/>
        </w:rPr>
        <w:t>质量</w:t>
      </w:r>
      <w:r>
        <w:rPr>
          <w:rFonts w:hint="eastAsia" w:ascii="宋体" w:hAnsi="宋体" w:cs="宋体"/>
          <w:color w:val="auto"/>
          <w:sz w:val="21"/>
          <w:szCs w:val="21"/>
          <w:lang w:eastAsia="zh-CN"/>
        </w:rPr>
        <w:t>要求</w:t>
      </w:r>
      <w:r>
        <w:rPr>
          <w:rFonts w:hint="eastAsia" w:ascii="宋体" w:hAnsi="宋体" w:cs="宋体"/>
          <w:color w:val="auto"/>
          <w:sz w:val="21"/>
          <w:szCs w:val="21"/>
        </w:rPr>
        <w:t>、包装</w:t>
      </w:r>
      <w:r>
        <w:rPr>
          <w:rFonts w:hint="eastAsia" w:ascii="宋体" w:hAnsi="宋体" w:cs="宋体"/>
          <w:color w:val="auto"/>
          <w:sz w:val="21"/>
          <w:szCs w:val="21"/>
          <w:lang w:eastAsia="zh-CN"/>
        </w:rPr>
        <w:t>及</w:t>
      </w:r>
      <w:r>
        <w:rPr>
          <w:rFonts w:hint="eastAsia" w:ascii="宋体" w:hAnsi="宋体" w:cs="宋体"/>
          <w:color w:val="auto"/>
          <w:sz w:val="21"/>
          <w:szCs w:val="21"/>
        </w:rPr>
        <w:t>贮藏。</w:t>
      </w:r>
    </w:p>
    <w:p w14:paraId="71607B94">
      <w:pPr>
        <w:pStyle w:val="4"/>
        <w:widowControl/>
        <w:spacing w:beforeAutospacing="0" w:afterAutospacing="0" w:line="360" w:lineRule="auto"/>
        <w:ind w:firstLine="420" w:firstLineChars="200"/>
        <w:rPr>
          <w:rFonts w:ascii="Times New Roman" w:hAnsi="Times New Roman" w:eastAsia="宋体"/>
          <w:sz w:val="21"/>
          <w:szCs w:val="21"/>
        </w:rPr>
      </w:pPr>
      <w:r>
        <w:rPr>
          <w:rFonts w:ascii="Times New Roman" w:hAnsi="Times New Roman" w:eastAsia="宋体"/>
          <w:sz w:val="21"/>
          <w:szCs w:val="21"/>
        </w:rPr>
        <w:t>本</w:t>
      </w:r>
      <w:r>
        <w:rPr>
          <w:rFonts w:hint="eastAsia" w:ascii="Times New Roman" w:hAnsi="Times New Roman"/>
          <w:sz w:val="21"/>
          <w:szCs w:val="21"/>
          <w:lang w:eastAsia="zh-CN"/>
        </w:rPr>
        <w:t>文件</w:t>
      </w:r>
      <w:r>
        <w:rPr>
          <w:rFonts w:ascii="Times New Roman" w:hAnsi="Times New Roman" w:eastAsia="宋体"/>
          <w:sz w:val="21"/>
          <w:szCs w:val="21"/>
        </w:rPr>
        <w:t>适用于</w:t>
      </w:r>
      <w:r>
        <w:rPr>
          <w:rFonts w:hint="eastAsia" w:ascii="Times New Roman" w:hAnsi="Times New Roman" w:eastAsia="宋体"/>
          <w:sz w:val="21"/>
          <w:szCs w:val="21"/>
          <w:highlight w:val="none"/>
          <w:lang w:val="en-US" w:eastAsia="zh-CN"/>
        </w:rPr>
        <w:t>山西省北</w:t>
      </w:r>
      <w:r>
        <w:rPr>
          <w:rFonts w:ascii="宋体" w:hAnsi="宋体" w:cs="宋体"/>
          <w:color w:val="auto"/>
          <w:sz w:val="21"/>
          <w:szCs w:val="21"/>
          <w:highlight w:val="none"/>
          <w:lang w:val="en"/>
        </w:rPr>
        <w:t>柴胡</w:t>
      </w:r>
      <w:r>
        <w:rPr>
          <w:rFonts w:hint="eastAsia" w:ascii="宋体" w:hAnsi="宋体" w:cs="宋体"/>
          <w:color w:val="auto"/>
          <w:sz w:val="21"/>
          <w:szCs w:val="21"/>
          <w:highlight w:val="none"/>
          <w:lang w:val="en-US" w:eastAsia="zh-CN"/>
        </w:rPr>
        <w:t>的</w:t>
      </w:r>
      <w:r>
        <w:rPr>
          <w:rFonts w:hint="eastAsia" w:ascii="宋体" w:hAnsi="宋体" w:cs="宋体"/>
          <w:color w:val="auto"/>
          <w:sz w:val="21"/>
          <w:szCs w:val="21"/>
          <w:highlight w:val="none"/>
          <w:lang w:eastAsia="zh-CN"/>
        </w:rPr>
        <w:t>产地</w:t>
      </w:r>
      <w:r>
        <w:rPr>
          <w:rFonts w:hint="eastAsia" w:ascii="宋体" w:hAnsi="宋体" w:cs="宋体"/>
          <w:color w:val="auto"/>
          <w:sz w:val="21"/>
          <w:szCs w:val="21"/>
          <w:highlight w:val="none"/>
        </w:rPr>
        <w:t>趁鲜</w:t>
      </w:r>
      <w:r>
        <w:rPr>
          <w:rFonts w:hint="eastAsia" w:ascii="宋体" w:hAnsi="宋体" w:cs="宋体"/>
          <w:color w:val="auto"/>
          <w:sz w:val="21"/>
          <w:szCs w:val="21"/>
          <w:highlight w:val="none"/>
          <w:lang w:eastAsia="zh-CN"/>
        </w:rPr>
        <w:t>切制</w:t>
      </w:r>
      <w:r>
        <w:rPr>
          <w:rFonts w:hint="eastAsia" w:ascii="宋体" w:hAnsi="宋体" w:cs="宋体"/>
          <w:color w:val="auto"/>
          <w:sz w:val="21"/>
          <w:szCs w:val="21"/>
          <w:highlight w:val="none"/>
          <w:lang w:val="en-US" w:eastAsia="zh-CN"/>
        </w:rPr>
        <w:t>的生产控制</w:t>
      </w:r>
      <w:r>
        <w:rPr>
          <w:rFonts w:hint="eastAsia" w:ascii="宋体" w:hAnsi="宋体" w:cs="宋体"/>
          <w:color w:val="auto"/>
          <w:sz w:val="21"/>
          <w:szCs w:val="21"/>
        </w:rPr>
        <w:t>。</w:t>
      </w:r>
    </w:p>
    <w:p w14:paraId="5B878FB8">
      <w:pPr>
        <w:pStyle w:val="108"/>
        <w:spacing w:before="312" w:after="312"/>
        <w:rPr>
          <w:rFonts w:hint="eastAsia" w:hAnsi="Times New Roman" w:cs="Times New Roman"/>
        </w:rPr>
      </w:pPr>
      <w:bookmarkStart w:id="32" w:name="_Toc127896340"/>
      <w:bookmarkStart w:id="33" w:name="_Toc817475529"/>
      <w:r>
        <w:rPr>
          <w:rFonts w:hint="eastAsia" w:hAnsi="Times New Roman" w:cs="Times New Roman"/>
        </w:rPr>
        <w:t>规范性引用文件</w:t>
      </w:r>
      <w:bookmarkEnd w:id="32"/>
      <w:bookmarkEnd w:id="33"/>
    </w:p>
    <w:p w14:paraId="1E8A05F8">
      <w:pPr>
        <w:pStyle w:val="4"/>
        <w:widowControl/>
        <w:spacing w:beforeAutospacing="0" w:afterAutospacing="0" w:line="360" w:lineRule="auto"/>
        <w:ind w:firstLine="420" w:firstLineChars="200"/>
        <w:rPr>
          <w:rFonts w:ascii="Times New Roman" w:hAnsi="Times New Roman" w:eastAsia="宋体"/>
          <w:sz w:val="21"/>
          <w:szCs w:val="21"/>
        </w:rPr>
      </w:pPr>
      <w:r>
        <w:rPr>
          <w:rFonts w:hint="eastAsia" w:ascii="Times New Roman" w:hAnsi="Times New Roman" w:eastAsia="宋体"/>
          <w:sz w:val="21"/>
          <w:szCs w:val="21"/>
        </w:rPr>
        <w:t>下列文件中的内容通过文中的规范性引用而构成本文件必不可少的条款。</w:t>
      </w:r>
      <w:r>
        <w:rPr>
          <w:rFonts w:ascii="Times New Roman" w:hAnsi="Times New Roman" w:eastAsia="宋体"/>
          <w:sz w:val="21"/>
          <w:szCs w:val="21"/>
        </w:rPr>
        <w:t>凡是注日期的引用文件，其随后所有的修改单（但不包括勘误的内容）或修订版均不适用于本</w:t>
      </w:r>
      <w:r>
        <w:rPr>
          <w:rFonts w:hint="eastAsia" w:ascii="Times New Roman" w:hAnsi="Times New Roman" w:eastAsia="宋体"/>
          <w:sz w:val="21"/>
          <w:szCs w:val="21"/>
          <w:lang w:eastAsia="zh-CN"/>
        </w:rPr>
        <w:t>文件</w:t>
      </w:r>
      <w:r>
        <w:rPr>
          <w:rFonts w:ascii="Times New Roman" w:hAnsi="Times New Roman" w:eastAsia="宋体"/>
          <w:sz w:val="21"/>
          <w:szCs w:val="21"/>
        </w:rPr>
        <w:t>。凡是不注日期的引用文件，其最新版本适用于本</w:t>
      </w:r>
      <w:r>
        <w:rPr>
          <w:rFonts w:hint="eastAsia" w:ascii="Times New Roman" w:hAnsi="Times New Roman"/>
          <w:sz w:val="21"/>
          <w:szCs w:val="21"/>
          <w:lang w:eastAsia="zh-CN"/>
        </w:rPr>
        <w:t>文件</w:t>
      </w:r>
      <w:r>
        <w:rPr>
          <w:rFonts w:ascii="Times New Roman" w:hAnsi="Times New Roman" w:eastAsia="宋体"/>
          <w:sz w:val="21"/>
          <w:szCs w:val="21"/>
        </w:rPr>
        <w:t>（包括所有的修改单）。</w:t>
      </w:r>
    </w:p>
    <w:p w14:paraId="5E3436C4">
      <w:pPr>
        <w:pStyle w:val="4"/>
        <w:widowControl/>
        <w:spacing w:beforeAutospacing="0" w:afterAutospacing="0" w:line="360" w:lineRule="auto"/>
        <w:ind w:firstLine="420" w:firstLineChars="200"/>
        <w:rPr>
          <w:rFonts w:ascii="Times New Roman" w:hAnsi="Times New Roman" w:eastAsia="宋体"/>
          <w:sz w:val="21"/>
          <w:szCs w:val="21"/>
        </w:rPr>
      </w:pPr>
      <w:r>
        <w:rPr>
          <w:rFonts w:hint="eastAsia" w:ascii="Times New Roman" w:hAnsi="Times New Roman" w:eastAsia="宋体"/>
          <w:sz w:val="21"/>
          <w:szCs w:val="21"/>
        </w:rPr>
        <w:t>GB 5749</w:t>
      </w:r>
      <w:r>
        <w:rPr>
          <w:rFonts w:ascii="Times New Roman" w:hAnsi="Times New Roman" w:eastAsia="宋体"/>
          <w:sz w:val="21"/>
          <w:szCs w:val="21"/>
        </w:rPr>
        <w:t xml:space="preserve"> </w:t>
      </w:r>
      <w:r>
        <w:rPr>
          <w:rFonts w:hint="eastAsia" w:ascii="Times New Roman" w:hAnsi="Times New Roman" w:eastAsia="宋体"/>
          <w:sz w:val="21"/>
          <w:szCs w:val="21"/>
        </w:rPr>
        <w:t>生活饮用水卫生标准</w:t>
      </w:r>
    </w:p>
    <w:p w14:paraId="1483F99B">
      <w:pPr>
        <w:pStyle w:val="4"/>
        <w:widowControl/>
        <w:spacing w:beforeAutospacing="0" w:afterAutospacing="0" w:line="360" w:lineRule="auto"/>
        <w:ind w:firstLine="420" w:firstLineChars="200"/>
        <w:rPr>
          <w:rFonts w:ascii="Times New Roman" w:hAnsi="Times New Roman" w:eastAsia="宋体"/>
          <w:sz w:val="21"/>
          <w:szCs w:val="21"/>
        </w:rPr>
      </w:pPr>
      <w:r>
        <w:rPr>
          <w:rFonts w:ascii="Times New Roman" w:hAnsi="Times New Roman" w:eastAsia="宋体"/>
          <w:sz w:val="21"/>
          <w:szCs w:val="21"/>
        </w:rPr>
        <w:t>《中华人民共和国药典》</w:t>
      </w:r>
    </w:p>
    <w:p w14:paraId="2C70819C">
      <w:pPr>
        <w:pStyle w:val="4"/>
        <w:widowControl/>
        <w:spacing w:beforeAutospacing="0" w:afterAutospacing="0" w:line="360" w:lineRule="auto"/>
        <w:ind w:firstLine="420" w:firstLineChars="200"/>
        <w:rPr>
          <w:rFonts w:ascii="Times New Roman" w:hAnsi="Times New Roman" w:eastAsia="宋体"/>
          <w:sz w:val="21"/>
          <w:szCs w:val="21"/>
        </w:rPr>
      </w:pPr>
      <w:r>
        <w:rPr>
          <w:rFonts w:ascii="Times New Roman" w:hAnsi="Times New Roman" w:eastAsia="宋体"/>
          <w:sz w:val="21"/>
          <w:szCs w:val="21"/>
        </w:rPr>
        <w:t xml:space="preserve">SB/T 11039 </w:t>
      </w:r>
      <w:r>
        <w:rPr>
          <w:rFonts w:hint="eastAsia" w:ascii="Times New Roman" w:hAnsi="Times New Roman" w:eastAsia="宋体"/>
          <w:sz w:val="21"/>
          <w:szCs w:val="21"/>
        </w:rPr>
        <w:t>中药材追溯通用标识规范</w:t>
      </w:r>
    </w:p>
    <w:p w14:paraId="2EF5CFEB">
      <w:pPr>
        <w:pStyle w:val="4"/>
        <w:widowControl/>
        <w:spacing w:beforeAutospacing="0" w:afterAutospacing="0" w:line="360" w:lineRule="auto"/>
        <w:ind w:firstLine="420" w:firstLineChars="200"/>
        <w:rPr>
          <w:rFonts w:ascii="Times New Roman" w:hAnsi="Times New Roman" w:eastAsia="宋体"/>
          <w:sz w:val="21"/>
          <w:szCs w:val="21"/>
          <w:lang w:bidi="ar"/>
        </w:rPr>
      </w:pPr>
      <w:r>
        <w:rPr>
          <w:rFonts w:ascii="Times New Roman" w:hAnsi="Times New Roman" w:eastAsia="宋体"/>
          <w:sz w:val="21"/>
          <w:szCs w:val="21"/>
          <w:lang w:bidi="ar"/>
        </w:rPr>
        <w:t>SB/T 11094 中药材仓储管理规范</w:t>
      </w:r>
    </w:p>
    <w:p w14:paraId="42E9BE5B">
      <w:pPr>
        <w:pStyle w:val="4"/>
        <w:widowControl/>
        <w:spacing w:beforeAutospacing="0" w:afterAutospacing="0" w:line="360" w:lineRule="auto"/>
        <w:ind w:firstLine="420" w:firstLineChars="200"/>
        <w:rPr>
          <w:rFonts w:ascii="Times New Roman" w:hAnsi="Times New Roman" w:eastAsia="宋体"/>
          <w:sz w:val="21"/>
          <w:szCs w:val="21"/>
        </w:rPr>
      </w:pPr>
      <w:bookmarkStart w:id="34" w:name="_Toc127896341"/>
      <w:r>
        <w:rPr>
          <w:rFonts w:ascii="Times New Roman" w:hAnsi="Times New Roman" w:eastAsia="宋体"/>
          <w:sz w:val="21"/>
          <w:szCs w:val="21"/>
        </w:rPr>
        <w:t>SB/T 11182 中药材包装技术规范</w:t>
      </w:r>
    </w:p>
    <w:p w14:paraId="15AD9E10">
      <w:pPr>
        <w:pStyle w:val="4"/>
        <w:widowControl/>
        <w:spacing w:beforeAutospacing="0" w:afterAutospacing="0" w:line="360" w:lineRule="auto"/>
        <w:ind w:firstLine="420" w:firstLineChars="200"/>
        <w:rPr>
          <w:rFonts w:ascii="Times New Roman" w:hAnsi="Times New Roman"/>
          <w:sz w:val="21"/>
          <w:szCs w:val="21"/>
        </w:rPr>
      </w:pPr>
      <w:r>
        <w:rPr>
          <w:rFonts w:ascii="Times New Roman" w:hAnsi="Times New Roman"/>
          <w:sz w:val="21"/>
          <w:szCs w:val="21"/>
        </w:rPr>
        <w:t>药品生产质量管理规范</w:t>
      </w:r>
    </w:p>
    <w:p w14:paraId="31623F9D">
      <w:pPr>
        <w:pStyle w:val="4"/>
        <w:widowControl/>
        <w:spacing w:beforeAutospacing="0" w:afterAutospacing="0" w:line="360" w:lineRule="auto"/>
        <w:ind w:firstLine="420" w:firstLineChars="200"/>
        <w:rPr>
          <w:rFonts w:ascii="Times New Roman" w:hAnsi="Times New Roman" w:eastAsia="宋体"/>
          <w:sz w:val="21"/>
          <w:szCs w:val="21"/>
        </w:rPr>
      </w:pPr>
      <w:r>
        <w:rPr>
          <w:rFonts w:ascii="Times New Roman" w:hAnsi="Times New Roman"/>
          <w:sz w:val="21"/>
          <w:szCs w:val="21"/>
        </w:rPr>
        <w:t>中药材生产质量管理规范</w:t>
      </w:r>
    </w:p>
    <w:p w14:paraId="20056944">
      <w:pPr>
        <w:pStyle w:val="108"/>
        <w:spacing w:before="312" w:after="312"/>
        <w:rPr>
          <w:rFonts w:hint="eastAsia" w:hAnsi="Times New Roman" w:cs="Times New Roman"/>
        </w:rPr>
      </w:pPr>
      <w:bookmarkStart w:id="35" w:name="_Toc1294309853"/>
      <w:r>
        <w:rPr>
          <w:rFonts w:hint="eastAsia" w:hAnsi="Times New Roman" w:cs="Times New Roman"/>
        </w:rPr>
        <w:t>术语与定义</w:t>
      </w:r>
      <w:bookmarkEnd w:id="34"/>
      <w:bookmarkEnd w:id="35"/>
    </w:p>
    <w:p w14:paraId="5CD72E79">
      <w:pPr>
        <w:pStyle w:val="4"/>
        <w:widowControl/>
        <w:spacing w:beforeAutospacing="0" w:afterAutospacing="0" w:line="360" w:lineRule="auto"/>
        <w:ind w:firstLine="420" w:firstLineChars="200"/>
        <w:rPr>
          <w:rFonts w:ascii="Times New Roman" w:hAnsi="Times New Roman" w:eastAsia="宋体"/>
          <w:sz w:val="21"/>
          <w:szCs w:val="21"/>
        </w:rPr>
      </w:pPr>
      <w:r>
        <w:rPr>
          <w:rFonts w:hint="eastAsia" w:ascii="Times New Roman" w:hAnsi="Times New Roman" w:eastAsia="宋体"/>
          <w:sz w:val="21"/>
          <w:szCs w:val="21"/>
        </w:rPr>
        <w:t>下列</w:t>
      </w:r>
      <w:r>
        <w:rPr>
          <w:rFonts w:ascii="Times New Roman" w:hAnsi="Times New Roman" w:eastAsia="宋体"/>
          <w:sz w:val="21"/>
          <w:szCs w:val="21"/>
        </w:rPr>
        <w:t>术语和定义适用于本文件。</w:t>
      </w:r>
    </w:p>
    <w:p w14:paraId="6FC42985">
      <w:pPr>
        <w:pStyle w:val="109"/>
        <w:spacing w:before="156" w:after="156"/>
      </w:pPr>
      <w:bookmarkStart w:id="36" w:name="_Toc28823"/>
      <w:r>
        <w:rPr>
          <w:rFonts w:hint="eastAsia"/>
          <w:lang w:val="en-US" w:eastAsia="zh-CN"/>
        </w:rPr>
        <w:t>柴胡</w:t>
      </w:r>
    </w:p>
    <w:bookmarkEnd w:id="36"/>
    <w:p w14:paraId="2557087D">
      <w:pPr>
        <w:pStyle w:val="4"/>
        <w:widowControl/>
        <w:spacing w:beforeAutospacing="0" w:afterAutospacing="0" w:line="360" w:lineRule="auto"/>
        <w:ind w:firstLine="420" w:firstLineChars="200"/>
        <w:rPr>
          <w:rFonts w:hint="default" w:ascii="Times New Roman" w:hAnsi="Times New Roman" w:eastAsia="宋体"/>
          <w:sz w:val="21"/>
          <w:szCs w:val="21"/>
        </w:rPr>
      </w:pPr>
      <w:r>
        <w:rPr>
          <w:rFonts w:hint="default" w:ascii="Times New Roman" w:hAnsi="Times New Roman" w:eastAsia="宋体"/>
          <w:sz w:val="21"/>
          <w:szCs w:val="21"/>
        </w:rPr>
        <w:t>伞形科植物柴胡</w:t>
      </w:r>
      <w:r>
        <w:rPr>
          <w:rFonts w:hint="default" w:ascii="Times New Roman" w:hAnsi="Times New Roman" w:eastAsia="宋体"/>
          <w:i/>
          <w:iCs/>
          <w:sz w:val="21"/>
          <w:szCs w:val="21"/>
        </w:rPr>
        <w:t>Bupleurum chinense</w:t>
      </w:r>
      <w:r>
        <w:rPr>
          <w:rFonts w:hint="default" w:ascii="Times New Roman" w:hAnsi="Times New Roman" w:eastAsia="宋体"/>
          <w:sz w:val="21"/>
          <w:szCs w:val="21"/>
        </w:rPr>
        <w:t xml:space="preserve"> DC.的干燥</w:t>
      </w:r>
      <w:r>
        <w:rPr>
          <w:rFonts w:hint="default" w:ascii="Times New Roman" w:hAnsi="Times New Roman" w:eastAsia="宋体"/>
          <w:sz w:val="21"/>
          <w:szCs w:val="21"/>
          <w:highlight w:val="none"/>
        </w:rPr>
        <w:t>根</w:t>
      </w:r>
      <w:r>
        <w:rPr>
          <w:rFonts w:hint="eastAsia" w:ascii="Times New Roman" w:hAnsi="Times New Roman" w:eastAsia="宋体"/>
          <w:sz w:val="21"/>
          <w:szCs w:val="21"/>
          <w:highlight w:val="none"/>
          <w:lang w:eastAsia="zh-CN"/>
        </w:rPr>
        <w:t>，</w:t>
      </w:r>
      <w:r>
        <w:rPr>
          <w:rFonts w:hint="eastAsia" w:ascii="Times New Roman" w:hAnsi="Times New Roman" w:eastAsia="宋体"/>
          <w:sz w:val="21"/>
          <w:szCs w:val="21"/>
          <w:highlight w:val="none"/>
          <w:lang w:val="en-US" w:eastAsia="zh-CN"/>
        </w:rPr>
        <w:t>习称北柴胡</w:t>
      </w:r>
      <w:r>
        <w:rPr>
          <w:rFonts w:hint="default" w:ascii="Times New Roman" w:hAnsi="Times New Roman" w:eastAsia="宋体"/>
          <w:sz w:val="21"/>
          <w:szCs w:val="21"/>
        </w:rPr>
        <w:t>。</w:t>
      </w:r>
    </w:p>
    <w:p w14:paraId="48F3726B">
      <w:pPr>
        <w:pStyle w:val="109"/>
        <w:spacing w:before="156" w:after="156"/>
        <w:rPr>
          <w:rFonts w:hint="eastAsia" w:hAnsi="Times New Roman" w:cs="Times New Roman"/>
          <w:lang w:val="en-US" w:eastAsia="zh-CN"/>
        </w:rPr>
      </w:pPr>
      <w:r>
        <w:rPr>
          <w:rFonts w:hint="eastAsia" w:hAnsi="Times New Roman" w:cs="Times New Roman"/>
          <w:lang w:val="en-US" w:eastAsia="zh-CN"/>
        </w:rPr>
        <w:t>趁鲜切制</w:t>
      </w:r>
    </w:p>
    <w:p w14:paraId="71C6C93C">
      <w:pPr>
        <w:pStyle w:val="60"/>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eastAsia" w:ascii="宋体" w:hAnsi="宋体" w:cs="宋体"/>
          <w:szCs w:val="21"/>
          <w:highlight w:val="none"/>
        </w:rPr>
      </w:pPr>
      <w:r>
        <w:rPr>
          <w:rFonts w:hint="eastAsia" w:ascii="Times New Roman"/>
          <w:color w:val="000000" w:themeColor="text1"/>
          <w:szCs w:val="21"/>
          <w14:textFill>
            <w14:solidFill>
              <w14:schemeClr w14:val="tx1"/>
            </w14:solidFill>
          </w14:textFill>
        </w:rPr>
        <w:t>指将采收新鲜的中药材切制成片、块、段、瓣等，虽改变中药材形态，但未改变中药材性质，且减少了中药材干燥、浸润、切制、再干燥的加工</w:t>
      </w:r>
      <w:r>
        <w:rPr>
          <w:rFonts w:hint="eastAsia" w:ascii="Times New Roman" w:hAnsi="Times New Roman" w:eastAsia="宋体"/>
          <w:sz w:val="21"/>
          <w:szCs w:val="21"/>
        </w:rPr>
        <w:t>的过程。</w:t>
      </w:r>
    </w:p>
    <w:p w14:paraId="351E01DD">
      <w:pPr>
        <w:pStyle w:val="227"/>
        <w:spacing w:beforeLines="50" w:afterLines="50"/>
        <w:ind w:left="420" w:hanging="420" w:hangingChars="200"/>
        <w:rPr>
          <w:rFonts w:ascii="黑体" w:hAnsi="黑体" w:eastAsia="黑体"/>
          <w:color w:val="000000" w:themeColor="text1"/>
          <w14:textFill>
            <w14:solidFill>
              <w14:schemeClr w14:val="tx1"/>
            </w14:solidFill>
          </w14:textFill>
        </w:rPr>
      </w:pPr>
      <w:r>
        <w:rPr>
          <w:rFonts w:hint="eastAsia" w:ascii="黑体" w:hAnsi="黑体" w:eastAsia="黑体"/>
          <w:color w:val="000000" w:themeColor="text1"/>
          <w14:textFill>
            <w14:solidFill>
              <w14:schemeClr w14:val="tx1"/>
            </w14:solidFill>
          </w14:textFill>
        </w:rPr>
        <w:t>批</w:t>
      </w:r>
    </w:p>
    <w:p w14:paraId="5DD318EA">
      <w:pPr>
        <w:pStyle w:val="227"/>
        <w:numPr>
          <w:ilvl w:val="0"/>
          <w:numId w:val="0"/>
        </w:numPr>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同一批药材在同一连续加工周期生产的一定数量、相对均质的产品。</w:t>
      </w:r>
    </w:p>
    <w:p w14:paraId="00A1A1A7">
      <w:pPr>
        <w:pStyle w:val="108"/>
        <w:spacing w:before="312" w:after="312"/>
        <w:rPr>
          <w:rFonts w:hint="eastAsia" w:hAnsi="Times New Roman" w:cs="Times New Roman"/>
        </w:rPr>
      </w:pPr>
      <w:bookmarkStart w:id="37" w:name="_Toc1752882576"/>
      <w:bookmarkStart w:id="38" w:name="_Toc127896342"/>
      <w:r>
        <w:rPr>
          <w:rFonts w:hint="eastAsia" w:cs="Times New Roman"/>
          <w:lang w:val="en-US" w:eastAsia="zh-CN"/>
        </w:rPr>
        <w:t>采收</w:t>
      </w:r>
    </w:p>
    <w:p w14:paraId="08DC7101">
      <w:pPr>
        <w:pStyle w:val="227"/>
        <w:spacing w:beforeLines="50" w:afterLines="50"/>
        <w:ind w:left="420" w:hanging="420" w:hangingChars="200"/>
        <w:rPr>
          <w:rFonts w:hint="eastAsia"/>
        </w:rPr>
      </w:pPr>
      <w:r>
        <w:rPr>
          <w:rFonts w:hint="eastAsia" w:ascii="黑体" w:hAnsi="黑体" w:eastAsia="黑体"/>
          <w:color w:val="000000" w:themeColor="text1"/>
          <w:lang w:val="en-US" w:eastAsia="zh-CN"/>
          <w14:textFill>
            <w14:solidFill>
              <w14:schemeClr w14:val="tx1"/>
            </w14:solidFill>
          </w14:textFill>
        </w:rPr>
        <w:t>采收年限</w:t>
      </w:r>
    </w:p>
    <w:p w14:paraId="4CE816CC">
      <w:pPr>
        <w:widowControl/>
        <w:spacing w:line="360" w:lineRule="auto"/>
        <w:ind w:firstLine="420" w:firstLineChars="200"/>
        <w:jc w:val="left"/>
        <w:rPr>
          <w:rFonts w:hint="eastAsia" w:ascii="Times New Roman" w:hAnsi="Times New Roman" w:cs="Times New Roman"/>
          <w:kern w:val="0"/>
          <w:szCs w:val="21"/>
          <w:lang w:eastAsia="zh-CN" w:bidi="ar"/>
        </w:rPr>
      </w:pPr>
      <w:r>
        <w:rPr>
          <w:rFonts w:hint="eastAsia" w:ascii="Times New Roman" w:hAnsi="Times New Roman" w:eastAsia="宋体" w:cs="Times New Roman"/>
          <w:kern w:val="0"/>
          <w:szCs w:val="21"/>
          <w:lang w:val="en-US" w:eastAsia="zh-CN" w:bidi="ar"/>
        </w:rPr>
        <w:t>柴胡</w:t>
      </w:r>
      <w:r>
        <w:rPr>
          <w:rFonts w:hint="eastAsia" w:ascii="Times New Roman" w:hAnsi="Times New Roman" w:eastAsia="宋体" w:cs="Times New Roman"/>
          <w:kern w:val="0"/>
          <w:szCs w:val="21"/>
          <w:lang w:bidi="ar"/>
        </w:rPr>
        <w:t>为多年生草本植物，生长年限</w:t>
      </w:r>
      <w:r>
        <w:rPr>
          <w:rFonts w:hint="eastAsia" w:ascii="Times New Roman" w:hAnsi="Times New Roman" w:eastAsia="宋体" w:cs="Times New Roman"/>
          <w:kern w:val="0"/>
          <w:szCs w:val="21"/>
          <w:lang w:val="en-US" w:eastAsia="zh-CN" w:bidi="ar"/>
        </w:rPr>
        <w:t>2</w:t>
      </w:r>
      <w:r>
        <w:rPr>
          <w:rFonts w:ascii="Times New Roman" w:hAnsi="Times New Roman" w:eastAsia="宋体" w:cs="Times New Roman"/>
          <w:kern w:val="0"/>
          <w:szCs w:val="21"/>
          <w:lang w:bidi="ar"/>
        </w:rPr>
        <w:t>年～</w:t>
      </w:r>
      <w:r>
        <w:rPr>
          <w:rFonts w:hint="eastAsia" w:ascii="Times New Roman" w:hAnsi="Times New Roman" w:eastAsia="宋体" w:cs="Times New Roman"/>
          <w:kern w:val="0"/>
          <w:szCs w:val="21"/>
          <w:lang w:val="en-US" w:eastAsia="zh-CN" w:bidi="ar"/>
        </w:rPr>
        <w:t>3</w:t>
      </w:r>
      <w:r>
        <w:rPr>
          <w:rFonts w:ascii="Times New Roman" w:hAnsi="Times New Roman" w:eastAsia="宋体" w:cs="Times New Roman"/>
          <w:kern w:val="0"/>
          <w:szCs w:val="21"/>
          <w:lang w:bidi="ar"/>
        </w:rPr>
        <w:t>年</w:t>
      </w:r>
      <w:r>
        <w:rPr>
          <w:rFonts w:hint="eastAsia" w:ascii="Times New Roman" w:hAnsi="Times New Roman" w:cs="Times New Roman"/>
          <w:kern w:val="0"/>
          <w:szCs w:val="21"/>
          <w:lang w:eastAsia="zh-CN" w:bidi="ar"/>
        </w:rPr>
        <w:t>。</w:t>
      </w:r>
    </w:p>
    <w:p w14:paraId="19A9E93D">
      <w:pPr>
        <w:pStyle w:val="227"/>
        <w:spacing w:beforeLines="50" w:afterLines="50"/>
        <w:ind w:left="420" w:hanging="420" w:hangingChars="200"/>
        <w:rPr>
          <w:rFonts w:ascii="黑体" w:hAnsi="黑体" w:eastAsia="黑体"/>
        </w:rPr>
      </w:pPr>
      <w:r>
        <w:rPr>
          <w:rFonts w:hint="eastAsia" w:ascii="黑体" w:hAnsi="黑体" w:eastAsia="黑体"/>
        </w:rPr>
        <w:t>采收期</w:t>
      </w:r>
    </w:p>
    <w:p w14:paraId="3344FE55">
      <w:pPr>
        <w:widowControl/>
        <w:spacing w:line="360" w:lineRule="auto"/>
        <w:ind w:firstLine="420" w:firstLineChars="200"/>
        <w:jc w:val="left"/>
        <w:rPr>
          <w:rFonts w:ascii="Times New Roman" w:hAnsi="Times New Roman" w:cs="Times New Roman"/>
          <w:bCs/>
          <w:szCs w:val="21"/>
        </w:rPr>
      </w:pPr>
      <w:r>
        <w:rPr>
          <w:rFonts w:ascii="Times New Roman" w:hAnsi="Times New Roman" w:eastAsia="宋体" w:cs="Times New Roman"/>
          <w:kern w:val="0"/>
          <w:szCs w:val="21"/>
          <w:lang w:bidi="ar"/>
        </w:rPr>
        <w:t>春初刚发芽或</w:t>
      </w:r>
      <w:r>
        <w:rPr>
          <w:rFonts w:hint="eastAsia" w:ascii="宋体" w:hAnsi="宋体" w:cs="宋体"/>
          <w:kern w:val="0"/>
          <w:szCs w:val="21"/>
          <w:lang w:bidi="ar"/>
        </w:rPr>
        <w:t>10</w:t>
      </w:r>
      <w:r>
        <w:rPr>
          <w:rFonts w:ascii="宋体" w:hAnsi="宋体" w:cs="宋体"/>
          <w:kern w:val="0"/>
          <w:szCs w:val="21"/>
          <w:lang w:bidi="ar"/>
        </w:rPr>
        <w:t>～</w:t>
      </w:r>
      <w:r>
        <w:rPr>
          <w:rFonts w:hint="eastAsia" w:ascii="宋体" w:hAnsi="宋体" w:cs="宋体"/>
          <w:kern w:val="0"/>
          <w:szCs w:val="21"/>
          <w:lang w:bidi="ar"/>
        </w:rPr>
        <w:t>11月份</w:t>
      </w:r>
      <w:r>
        <w:rPr>
          <w:rFonts w:ascii="宋体" w:hAnsi="宋体" w:cs="宋体"/>
          <w:kern w:val="0"/>
          <w:szCs w:val="21"/>
          <w:lang w:bidi="ar"/>
        </w:rPr>
        <w:t>寒露后</w:t>
      </w:r>
      <w:r>
        <w:rPr>
          <w:rFonts w:hint="eastAsia" w:ascii="Times New Roman" w:hAnsi="Times New Roman" w:eastAsia="宋体" w:cs="Times New Roman"/>
          <w:kern w:val="0"/>
          <w:szCs w:val="21"/>
          <w:lang w:bidi="ar"/>
        </w:rPr>
        <w:t>地上部</w:t>
      </w:r>
      <w:r>
        <w:rPr>
          <w:rFonts w:ascii="Times New Roman" w:hAnsi="Times New Roman" w:eastAsia="宋体" w:cs="Times New Roman"/>
          <w:kern w:val="0"/>
          <w:szCs w:val="21"/>
          <w:lang w:bidi="ar"/>
        </w:rPr>
        <w:t>分枯萎时采挖</w:t>
      </w:r>
      <w:r>
        <w:rPr>
          <w:rFonts w:ascii="Times New Roman" w:hAnsi="Times New Roman" w:cs="Times New Roman"/>
          <w:bCs/>
          <w:szCs w:val="21"/>
        </w:rPr>
        <w:t>。</w:t>
      </w:r>
    </w:p>
    <w:p w14:paraId="4AC38C44">
      <w:pPr>
        <w:pStyle w:val="227"/>
        <w:spacing w:beforeLines="50" w:afterLines="50"/>
        <w:ind w:left="420" w:hanging="420" w:hangingChars="200"/>
        <w:rPr>
          <w:rFonts w:ascii="黑体" w:hAnsi="黑体" w:eastAsia="黑体"/>
        </w:rPr>
      </w:pPr>
      <w:r>
        <w:rPr>
          <w:rFonts w:hint="eastAsia" w:ascii="黑体" w:hAnsi="黑体" w:eastAsia="黑体"/>
        </w:rPr>
        <w:t>采收</w:t>
      </w:r>
      <w:r>
        <w:rPr>
          <w:rFonts w:hint="eastAsia" w:ascii="黑体" w:hAnsi="黑体" w:eastAsia="黑体"/>
          <w:lang w:val="en-US" w:eastAsia="zh-CN"/>
        </w:rPr>
        <w:t>方法</w:t>
      </w:r>
    </w:p>
    <w:p w14:paraId="6283867C">
      <w:pPr>
        <w:pStyle w:val="4"/>
        <w:ind w:firstLine="420" w:firstLineChars="2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人工采挖：割去茎叶，挖取根，采挖深度不低于25cm，除去泥土及杂质，剪去芦头。剪去芦头。</w:t>
      </w:r>
    </w:p>
    <w:p w14:paraId="2E469E16">
      <w:pPr>
        <w:pStyle w:val="4"/>
        <w:ind w:firstLine="420" w:firstLineChars="200"/>
        <w:jc w:val="both"/>
        <w:rPr>
          <w:rFonts w:hint="default"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机械采挖：采用根及根茎类中药材挖掘机采挖，采挖深度不低于25cm。人工捡拾。</w:t>
      </w:r>
      <w:bookmarkStart w:id="52" w:name="_GoBack"/>
      <w:bookmarkEnd w:id="52"/>
      <w:r>
        <w:rPr>
          <w:rFonts w:hint="eastAsia" w:ascii="宋体" w:hAnsi="宋体" w:cs="宋体"/>
          <w:kern w:val="2"/>
          <w:sz w:val="21"/>
          <w:szCs w:val="21"/>
          <w:highlight w:val="none"/>
          <w:lang w:val="en-US" w:eastAsia="zh-CN" w:bidi="ar-SA"/>
        </w:rPr>
        <w:t>用筛药机</w:t>
      </w:r>
      <w:r>
        <w:rPr>
          <w:rFonts w:hint="eastAsia" w:ascii="宋体" w:hAnsi="宋体" w:eastAsia="宋体" w:cs="宋体"/>
          <w:kern w:val="2"/>
          <w:sz w:val="21"/>
          <w:szCs w:val="21"/>
          <w:highlight w:val="none"/>
          <w:lang w:val="en-US" w:eastAsia="zh-CN" w:bidi="ar-SA"/>
        </w:rPr>
        <w:t>除去泥土及杂质。</w:t>
      </w:r>
    </w:p>
    <w:p w14:paraId="221922F7">
      <w:pPr>
        <w:pStyle w:val="108"/>
        <w:spacing w:before="312" w:after="312"/>
        <w:rPr>
          <w:rFonts w:hint="eastAsia" w:hAnsi="Times New Roman" w:cs="Times New Roman"/>
        </w:rPr>
      </w:pPr>
      <w:r>
        <w:rPr>
          <w:rFonts w:hint="eastAsia" w:cs="Times New Roman"/>
          <w:lang w:val="en-US" w:eastAsia="zh-CN"/>
        </w:rPr>
        <w:t>趁鲜</w:t>
      </w:r>
      <w:bookmarkEnd w:id="37"/>
      <w:r>
        <w:rPr>
          <w:rFonts w:hint="eastAsia" w:cs="Times New Roman"/>
          <w:lang w:val="en-US" w:eastAsia="zh-CN"/>
        </w:rPr>
        <w:t>切制</w:t>
      </w:r>
    </w:p>
    <w:p w14:paraId="0C97A479">
      <w:pPr>
        <w:pStyle w:val="109"/>
        <w:spacing w:before="156" w:after="156"/>
      </w:pPr>
      <w:r>
        <w:rPr>
          <w:rFonts w:hint="eastAsia"/>
          <w:lang w:val="en-US" w:eastAsia="zh-CN"/>
        </w:rPr>
        <w:t>基本</w:t>
      </w:r>
      <w:r>
        <w:rPr>
          <w:rFonts w:hint="eastAsia"/>
        </w:rPr>
        <w:t>要求</w:t>
      </w:r>
    </w:p>
    <w:p w14:paraId="25AE8B5E">
      <w:pPr>
        <w:pStyle w:val="60"/>
        <w:keepNext w:val="0"/>
        <w:keepLines w:val="0"/>
        <w:pageBreakBefore w:val="0"/>
        <w:widowControl/>
        <w:kinsoku/>
        <w:wordWrap/>
        <w:overflowPunct/>
        <w:topLinePunct w:val="0"/>
        <w:autoSpaceDE w:val="0"/>
        <w:autoSpaceDN w:val="0"/>
        <w:bidi w:val="0"/>
        <w:adjustRightInd/>
        <w:snapToGrid/>
        <w:spacing w:line="360" w:lineRule="auto"/>
        <w:ind w:firstLine="420"/>
        <w:textAlignment w:val="auto"/>
        <w:rPr>
          <w:rFonts w:hint="eastAsia"/>
        </w:rPr>
      </w:pPr>
      <w:r>
        <w:rPr>
          <w:rFonts w:hint="eastAsia"/>
        </w:rPr>
        <w:t>应符合药品生产质量管理规范 附录7、中药材生产质量管理规范、《山西省中药材产地趁鲜切制</w:t>
      </w:r>
      <w:r>
        <w:rPr>
          <w:rFonts w:hint="eastAsia"/>
          <w:lang w:val="en-US" w:eastAsia="zh-CN"/>
        </w:rPr>
        <w:t>切制</w:t>
      </w:r>
      <w:r>
        <w:rPr>
          <w:rFonts w:hint="eastAsia"/>
        </w:rPr>
        <w:t>指导原则》等要求。</w:t>
      </w:r>
    </w:p>
    <w:p w14:paraId="3C26C5A8">
      <w:pPr>
        <w:pStyle w:val="109"/>
        <w:spacing w:before="156" w:after="156"/>
      </w:pPr>
      <w:r>
        <w:rPr>
          <w:rFonts w:hint="eastAsia"/>
        </w:rPr>
        <w:t>加工流程</w:t>
      </w:r>
    </w:p>
    <w:p w14:paraId="3DE10E91">
      <w:pPr>
        <w:pStyle w:val="60"/>
        <w:rPr>
          <w:rFonts w:hint="default"/>
          <w:lang w:val="en-US" w:eastAsia="zh-CN"/>
        </w:rPr>
      </w:pPr>
      <w:r>
        <w:rPr>
          <w:rFonts w:hint="eastAsia"/>
          <w:bdr w:val="single" w:color="auto" w:sz="4" w:space="0"/>
        </w:rPr>
        <w:t>采收</w:t>
      </w:r>
      <w:r>
        <w:rPr>
          <w:rFonts w:hint="eastAsia"/>
        </w:rPr>
        <w:t>→</w:t>
      </w:r>
      <w:r>
        <w:rPr>
          <w:rFonts w:hint="eastAsia"/>
          <w:bdr w:val="single" w:color="auto" w:sz="4" w:space="0"/>
          <w:lang w:val="en-US" w:eastAsia="zh-CN"/>
        </w:rPr>
        <w:t>净制</w:t>
      </w:r>
      <w:r>
        <w:rPr>
          <w:rFonts w:hint="eastAsia"/>
        </w:rPr>
        <w:t>→</w:t>
      </w:r>
      <w:r>
        <w:rPr>
          <w:rFonts w:hint="eastAsia"/>
          <w:bdr w:val="single" w:color="auto" w:sz="4" w:space="0"/>
        </w:rPr>
        <w:t>初次干燥</w:t>
      </w:r>
      <w:r>
        <w:rPr>
          <w:rFonts w:hint="eastAsia"/>
        </w:rPr>
        <w:t>→</w:t>
      </w:r>
      <w:r>
        <w:rPr>
          <w:rFonts w:hint="eastAsia"/>
          <w:bdr w:val="single" w:color="auto" w:sz="4" w:space="0"/>
          <w:lang w:val="en-US" w:eastAsia="zh-CN"/>
        </w:rPr>
        <w:t>清洗</w:t>
      </w:r>
      <w:r>
        <w:rPr>
          <w:rFonts w:hint="eastAsia"/>
        </w:rPr>
        <w:t>→</w:t>
      </w:r>
      <w:r>
        <w:rPr>
          <w:rFonts w:hint="eastAsia"/>
          <w:bdr w:val="single" w:color="auto" w:sz="4" w:space="0"/>
        </w:rPr>
        <w:t>切制</w:t>
      </w:r>
      <w:r>
        <w:rPr>
          <w:rFonts w:hint="eastAsia"/>
        </w:rPr>
        <w:t>→</w:t>
      </w:r>
      <w:r>
        <w:rPr>
          <w:rFonts w:hint="eastAsia"/>
          <w:bdr w:val="single" w:color="auto" w:sz="4" w:space="0"/>
        </w:rPr>
        <w:t>二次干燥</w:t>
      </w:r>
      <w:r>
        <w:rPr>
          <w:rFonts w:hint="eastAsia"/>
        </w:rPr>
        <w:t>→</w:t>
      </w:r>
      <w:r>
        <w:rPr>
          <w:rFonts w:hint="eastAsia"/>
          <w:bdr w:val="single" w:color="auto" w:sz="4" w:space="0"/>
        </w:rPr>
        <w:t>筛选</w:t>
      </w:r>
      <w:r>
        <w:rPr>
          <w:rFonts w:hint="eastAsia"/>
        </w:rPr>
        <w:t>→</w:t>
      </w:r>
      <w:r>
        <w:rPr>
          <w:rFonts w:hint="eastAsia"/>
          <w:bdr w:val="single" w:color="auto" w:sz="4" w:space="0"/>
        </w:rPr>
        <w:t>包装</w:t>
      </w:r>
    </w:p>
    <w:bookmarkEnd w:id="38"/>
    <w:p w14:paraId="39AFA68B">
      <w:pPr>
        <w:pStyle w:val="109"/>
        <w:spacing w:before="156" w:after="156"/>
        <w:rPr>
          <w:rFonts w:hint="eastAsia"/>
          <w:lang w:eastAsia="zh-CN"/>
        </w:rPr>
      </w:pPr>
      <w:r>
        <w:rPr>
          <w:rFonts w:hint="eastAsia"/>
        </w:rPr>
        <w:t>净制</w:t>
      </w:r>
    </w:p>
    <w:p w14:paraId="5310D5B4">
      <w:pPr>
        <w:pStyle w:val="36"/>
        <w:spacing w:line="240" w:lineRule="auto"/>
        <w:jc w:val="left"/>
        <w:rPr>
          <w:rFonts w:hint="default" w:ascii="宋体" w:hAnsi="Times New Roman" w:eastAsia="宋体" w:cs="Times New Roman"/>
          <w:color w:val="000000" w:themeColor="text1"/>
          <w:sz w:val="21"/>
          <w:szCs w:val="20"/>
          <w:lang w:val="en-US" w:eastAsia="zh-CN" w:bidi="ar-SA"/>
          <w14:textFill>
            <w14:solidFill>
              <w14:schemeClr w14:val="tx1"/>
            </w14:solidFill>
          </w14:textFill>
        </w:rPr>
      </w:pPr>
      <w:r>
        <w:rPr>
          <w:rFonts w:hint="eastAsia" w:ascii="宋体" w:hAnsi="Times New Roman" w:eastAsia="宋体" w:cs="Times New Roman"/>
          <w:color w:val="000000" w:themeColor="text1"/>
          <w:sz w:val="21"/>
          <w:szCs w:val="20"/>
          <w:lang w:val="en-US" w:eastAsia="zh-CN" w:bidi="ar-SA"/>
          <w14:textFill>
            <w14:solidFill>
              <w14:schemeClr w14:val="tx1"/>
            </w14:solidFill>
          </w14:textFill>
        </w:rPr>
        <w:t>将采收后的柴胡</w:t>
      </w: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，剪去芦头，</w:t>
      </w:r>
      <w:r>
        <w:rPr>
          <w:rFonts w:hint="eastAsia" w:ascii="宋体" w:hAnsi="Times New Roman" w:eastAsia="宋体" w:cs="Times New Roman"/>
          <w:color w:val="000000" w:themeColor="text1"/>
          <w:sz w:val="21"/>
          <w:szCs w:val="20"/>
          <w:lang w:val="en-US" w:eastAsia="zh-CN" w:bidi="ar-SA"/>
          <w14:textFill>
            <w14:solidFill>
              <w14:schemeClr w14:val="tx1"/>
            </w14:solidFill>
          </w14:textFill>
        </w:rPr>
        <w:t>除去残余泥土及杂质。</w:t>
      </w:r>
    </w:p>
    <w:p w14:paraId="13391BB5">
      <w:pPr>
        <w:pStyle w:val="69"/>
        <w:numPr>
          <w:ilvl w:val="3"/>
          <w:numId w:val="0"/>
        </w:numPr>
        <w:spacing w:before="156" w:after="156"/>
        <w:ind w:leftChars="0"/>
        <w:rPr>
          <w:rFonts w:hint="default"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5.4 初次干燥</w:t>
      </w:r>
    </w:p>
    <w:p w14:paraId="2FDFF65F">
      <w:pPr>
        <w:widowControl/>
        <w:spacing w:line="360" w:lineRule="auto"/>
        <w:ind w:firstLine="420" w:firstLineChars="200"/>
        <w:jc w:val="left"/>
        <w:rPr>
          <w:rFonts w:ascii="Times New Roman" w:hAnsi="Times New Roman" w:eastAsia="宋体" w:cs="Times New Roman"/>
          <w:color w:val="000000" w:themeColor="text1"/>
          <w:kern w:val="0"/>
          <w:szCs w:val="21"/>
          <w:lang w:bidi="ar"/>
          <w14:textFill>
            <w14:solidFill>
              <w14:schemeClr w14:val="tx1"/>
            </w14:solidFill>
          </w14:textFill>
        </w:rPr>
      </w:pPr>
      <w:r>
        <w:rPr>
          <w:rFonts w:ascii="Times New Roman" w:hAnsi="Times New Roman" w:eastAsia="宋体" w:cs="Times New Roman"/>
          <w:color w:val="000000" w:themeColor="text1"/>
          <w:kern w:val="0"/>
          <w:szCs w:val="21"/>
          <w:lang w:bidi="ar"/>
          <w14:textFill>
            <w14:solidFill>
              <w14:schemeClr w14:val="tx1"/>
            </w14:solidFill>
          </w14:textFill>
        </w:rPr>
        <w:t>将</w:t>
      </w:r>
      <w:r>
        <w:rPr>
          <w:rFonts w:hint="eastAsia" w:ascii="Times New Roman" w:hAnsi="Times New Roman" w:cs="Times New Roman"/>
          <w:color w:val="000000" w:themeColor="text1"/>
          <w:kern w:val="0"/>
          <w:szCs w:val="21"/>
          <w:lang w:val="en-US" w:eastAsia="zh-CN" w:bidi="ar"/>
          <w14:textFill>
            <w14:solidFill>
              <w14:schemeClr w14:val="tx1"/>
            </w14:solidFill>
          </w14:textFill>
        </w:rPr>
        <w:t>净制</w:t>
      </w:r>
      <w:r>
        <w:rPr>
          <w:rFonts w:ascii="Times New Roman" w:hAnsi="Times New Roman" w:eastAsia="宋体" w:cs="Times New Roman"/>
          <w:color w:val="000000" w:themeColor="text1"/>
          <w:kern w:val="0"/>
          <w:szCs w:val="21"/>
          <w:lang w:bidi="ar"/>
          <w14:textFill>
            <w14:solidFill>
              <w14:schemeClr w14:val="tx1"/>
            </w14:solidFill>
          </w14:textFill>
        </w:rPr>
        <w:t>后的</w:t>
      </w:r>
      <w:r>
        <w:rPr>
          <w:rFonts w:hint="eastAsia" w:ascii="Times New Roman" w:hAnsi="Times New Roman" w:eastAsia="宋体" w:cs="Times New Roman"/>
          <w:color w:val="000000" w:themeColor="text1"/>
          <w:kern w:val="0"/>
          <w:szCs w:val="21"/>
          <w:lang w:val="en-US" w:eastAsia="zh-CN" w:bidi="ar"/>
          <w14:textFill>
            <w14:solidFill>
              <w14:schemeClr w14:val="tx1"/>
            </w14:solidFill>
          </w14:textFill>
        </w:rPr>
        <w:t>柴胡</w:t>
      </w:r>
      <w:r>
        <w:rPr>
          <w:rFonts w:ascii="Times New Roman" w:hAnsi="Times New Roman" w:eastAsia="宋体" w:cs="Times New Roman"/>
          <w:color w:val="000000" w:themeColor="text1"/>
          <w:kern w:val="0"/>
          <w:szCs w:val="21"/>
          <w:lang w:bidi="ar"/>
          <w14:textFill>
            <w14:solidFill>
              <w14:schemeClr w14:val="tx1"/>
            </w14:solidFill>
          </w14:textFill>
        </w:rPr>
        <w:t>，</w:t>
      </w:r>
      <w:r>
        <w:rPr>
          <w:rFonts w:hint="eastAsia" w:ascii="Times New Roman" w:hAnsi="Times New Roman" w:eastAsia="宋体" w:cs="Times New Roman"/>
          <w:color w:val="000000" w:themeColor="text1"/>
          <w:kern w:val="0"/>
          <w:szCs w:val="21"/>
          <w:lang w:val="en-US" w:eastAsia="zh-CN" w:bidi="ar"/>
          <w14:textFill>
            <w14:solidFill>
              <w14:schemeClr w14:val="tx1"/>
            </w14:solidFill>
          </w14:textFill>
        </w:rPr>
        <w:t>晾至5-6成干（</w:t>
      </w:r>
      <w:r>
        <w:rPr>
          <w:rFonts w:ascii="Times New Roman" w:hAnsi="Times New Roman" w:eastAsia="宋体" w:cs="Times New Roman"/>
          <w:color w:val="000000" w:themeColor="text1"/>
          <w:kern w:val="0"/>
          <w:szCs w:val="21"/>
          <w:lang w:bidi="ar"/>
          <w14:textFill>
            <w14:solidFill>
              <w14:schemeClr w14:val="tx1"/>
            </w14:solidFill>
          </w14:textFill>
        </w:rPr>
        <w:t>水分含量约为</w:t>
      </w:r>
      <w:r>
        <w:rPr>
          <w:rFonts w:hint="eastAsia" w:ascii="Times New Roman" w:hAnsi="Times New Roman" w:eastAsia="宋体" w:cs="Times New Roman"/>
          <w:color w:val="000000" w:themeColor="text1"/>
          <w:kern w:val="0"/>
          <w:szCs w:val="21"/>
          <w:lang w:val="en-US" w:eastAsia="zh-CN" w:bidi="ar"/>
          <w14:textFill>
            <w14:solidFill>
              <w14:schemeClr w14:val="tx1"/>
            </w14:solidFill>
          </w14:textFill>
        </w:rPr>
        <w:t>4</w:t>
      </w:r>
      <w:r>
        <w:rPr>
          <w:rFonts w:ascii="Times New Roman" w:hAnsi="Times New Roman" w:eastAsia="宋体" w:cs="Times New Roman"/>
          <w:color w:val="000000" w:themeColor="text1"/>
          <w:kern w:val="0"/>
          <w:szCs w:val="21"/>
          <w:lang w:bidi="ar"/>
          <w14:textFill>
            <w14:solidFill>
              <w14:schemeClr w14:val="tx1"/>
            </w14:solidFill>
          </w14:textFill>
        </w:rPr>
        <w:t>0 % ~ 50 %</w:t>
      </w:r>
      <w:r>
        <w:rPr>
          <w:rFonts w:hint="eastAsia" w:ascii="Times New Roman" w:hAnsi="Times New Roman" w:eastAsia="宋体" w:cs="Times New Roman"/>
          <w:color w:val="000000" w:themeColor="text1"/>
          <w:kern w:val="0"/>
          <w:szCs w:val="21"/>
          <w:lang w:val="en-US" w:eastAsia="zh-CN" w:bidi="ar"/>
          <w14:textFill>
            <w14:solidFill>
              <w14:schemeClr w14:val="tx1"/>
            </w14:solidFill>
          </w14:textFill>
        </w:rPr>
        <w:t>）</w:t>
      </w:r>
      <w:r>
        <w:rPr>
          <w:rFonts w:ascii="Times New Roman" w:hAnsi="Times New Roman" w:eastAsia="宋体" w:cs="Times New Roman"/>
          <w:color w:val="000000" w:themeColor="text1"/>
          <w:kern w:val="0"/>
          <w:szCs w:val="21"/>
          <w:lang w:bidi="ar"/>
          <w14:textFill>
            <w14:solidFill>
              <w14:schemeClr w14:val="tx1"/>
            </w14:solidFill>
          </w14:textFill>
        </w:rPr>
        <w:t>。</w:t>
      </w:r>
    </w:p>
    <w:p w14:paraId="51826183">
      <w:pPr>
        <w:pStyle w:val="69"/>
        <w:numPr>
          <w:ilvl w:val="3"/>
          <w:numId w:val="0"/>
        </w:numPr>
        <w:spacing w:before="156" w:after="156"/>
        <w:ind w:leftChars="0"/>
        <w:rPr>
          <w:rFonts w:hint="eastAsia" w:hAnsi="Times New Roman" w:cs="Times New Roman"/>
          <w:color w:val="000000" w:themeColor="text1"/>
          <w:lang w:val="en-US" w:eastAsia="zh-CN"/>
          <w14:textFill>
            <w14:solidFill>
              <w14:schemeClr w14:val="tx1"/>
            </w14:solidFill>
          </w14:textFill>
        </w:rPr>
      </w:pPr>
      <w:bookmarkStart w:id="39" w:name="_Toc20626"/>
      <w:r>
        <w:rPr>
          <w:rFonts w:hint="eastAsia" w:cs="Times New Roman"/>
          <w:color w:val="000000" w:themeColor="text1"/>
          <w:lang w:val="en-US" w:eastAsia="zh-CN"/>
          <w14:textFill>
            <w14:solidFill>
              <w14:schemeClr w14:val="tx1"/>
            </w14:solidFill>
          </w14:textFill>
        </w:rPr>
        <w:t xml:space="preserve">5.5 </w:t>
      </w:r>
      <w:r>
        <w:rPr>
          <w:rFonts w:hint="eastAsia" w:hAnsi="Times New Roman" w:cs="Times New Roman"/>
          <w:color w:val="000000" w:themeColor="text1"/>
          <w:lang w:val="en-US" w:eastAsia="zh-CN"/>
          <w14:textFill>
            <w14:solidFill>
              <w14:schemeClr w14:val="tx1"/>
            </w14:solidFill>
          </w14:textFill>
        </w:rPr>
        <w:t>清洗</w:t>
      </w:r>
    </w:p>
    <w:p w14:paraId="32DC59CF">
      <w:pPr>
        <w:keepNext w:val="0"/>
        <w:keepLines w:val="0"/>
        <w:pageBreakBefore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000000" w:themeColor="text1"/>
          <w:kern w:val="0"/>
          <w:szCs w:val="21"/>
          <w:lang w:val="en-US" w:eastAsia="zh-CN" w:bidi="ar"/>
          <w14:textFill>
            <w14:solidFill>
              <w14:schemeClr w14:val="tx1"/>
            </w14:solidFill>
          </w14:textFill>
        </w:rPr>
      </w:pPr>
      <w:r>
        <w:rPr>
          <w:rFonts w:ascii="Times New Roman" w:hAnsi="Times New Roman" w:cs="Times New Roman"/>
          <w:color w:val="000000" w:themeColor="text1"/>
          <w:kern w:val="0"/>
          <w:szCs w:val="21"/>
          <w:lang w:bidi="ar"/>
          <w14:textFill>
            <w14:solidFill>
              <w14:schemeClr w14:val="tx1"/>
            </w14:solidFill>
          </w14:textFill>
        </w:rPr>
        <w:t>将</w:t>
      </w:r>
      <w:r>
        <w:rPr>
          <w:rFonts w:hint="eastAsia" w:ascii="Times New Roman" w:hAnsi="Times New Roman" w:cs="Times New Roman"/>
          <w:color w:val="000000" w:themeColor="text1"/>
          <w:kern w:val="0"/>
          <w:szCs w:val="21"/>
          <w:lang w:bidi="ar"/>
          <w14:textFill>
            <w14:solidFill>
              <w14:schemeClr w14:val="tx1"/>
            </w14:solidFill>
          </w14:textFill>
        </w:rPr>
        <w:t>处理后</w:t>
      </w:r>
      <w:r>
        <w:rPr>
          <w:rFonts w:ascii="Times New Roman" w:hAnsi="Times New Roman" w:cs="Times New Roman"/>
          <w:color w:val="000000" w:themeColor="text1"/>
          <w:kern w:val="0"/>
          <w:szCs w:val="21"/>
          <w:lang w:bidi="ar"/>
          <w14:textFill>
            <w14:solidFill>
              <w14:schemeClr w14:val="tx1"/>
            </w14:solidFill>
          </w14:textFill>
        </w:rPr>
        <w:t>的</w:t>
      </w:r>
      <w:r>
        <w:rPr>
          <w:rFonts w:hint="eastAsia" w:ascii="Times New Roman" w:hAnsi="Times New Roman" w:cs="Times New Roman"/>
          <w:color w:val="000000" w:themeColor="text1"/>
          <w:kern w:val="0"/>
          <w:szCs w:val="21"/>
          <w:lang w:val="en-US" w:eastAsia="zh-CN" w:bidi="ar"/>
          <w14:textFill>
            <w14:solidFill>
              <w14:schemeClr w14:val="tx1"/>
            </w14:solidFill>
          </w14:textFill>
        </w:rPr>
        <w:t>柴胡</w:t>
      </w:r>
      <w:r>
        <w:rPr>
          <w:rFonts w:hint="eastAsia" w:ascii="Times New Roman" w:hAnsi="Times New Roman" w:cs="Times New Roman"/>
          <w:color w:val="000000" w:themeColor="text1"/>
          <w:kern w:val="0"/>
          <w:szCs w:val="21"/>
          <w:lang w:bidi="ar"/>
          <w14:textFill>
            <w14:solidFill>
              <w14:schemeClr w14:val="tx1"/>
            </w14:solidFill>
          </w14:textFill>
        </w:rPr>
        <w:t>采用</w:t>
      </w:r>
      <w:r>
        <w:rPr>
          <w:rFonts w:ascii="Times New Roman" w:hAnsi="Times New Roman" w:cs="Times New Roman"/>
          <w:color w:val="000000" w:themeColor="text1"/>
          <w:kern w:val="0"/>
          <w:szCs w:val="21"/>
          <w:lang w:bidi="ar"/>
          <w14:textFill>
            <w14:solidFill>
              <w14:schemeClr w14:val="tx1"/>
            </w14:solidFill>
          </w14:textFill>
        </w:rPr>
        <w:t>流动水快速喷淋</w:t>
      </w:r>
      <w:r>
        <w:rPr>
          <w:rFonts w:hint="eastAsia" w:ascii="Times New Roman" w:hAnsi="Times New Roman" w:cs="Times New Roman"/>
          <w:color w:val="000000" w:themeColor="text1"/>
          <w:kern w:val="0"/>
          <w:szCs w:val="21"/>
          <w:lang w:val="en-US" w:eastAsia="zh-CN" w:bidi="ar"/>
          <w14:textFill>
            <w14:solidFill>
              <w14:schemeClr w14:val="tx1"/>
            </w14:solidFill>
          </w14:textFill>
        </w:rPr>
        <w:t>清洗或气泡清洗机清洗</w:t>
      </w:r>
      <w:r>
        <w:rPr>
          <w:rFonts w:ascii="Times New Roman" w:hAnsi="Times New Roman" w:cs="Times New Roman"/>
          <w:color w:val="000000" w:themeColor="text1"/>
          <w:kern w:val="0"/>
          <w:szCs w:val="21"/>
          <w:lang w:bidi="ar"/>
          <w14:textFill>
            <w14:solidFill>
              <w14:schemeClr w14:val="tx1"/>
            </w14:solidFill>
          </w14:textFill>
        </w:rPr>
        <w:t>，</w:t>
      </w:r>
      <w:r>
        <w:rPr>
          <w:rFonts w:hint="eastAsia" w:ascii="Times New Roman" w:hAnsi="Times New Roman" w:cs="Times New Roman"/>
          <w:color w:val="000000" w:themeColor="text1"/>
          <w:kern w:val="0"/>
          <w:szCs w:val="21"/>
          <w:lang w:bidi="ar"/>
          <w14:textFill>
            <w14:solidFill>
              <w14:schemeClr w14:val="tx1"/>
            </w14:solidFill>
          </w14:textFill>
        </w:rPr>
        <w:t>除去表面</w:t>
      </w:r>
      <w:r>
        <w:rPr>
          <w:rFonts w:hint="eastAsia" w:ascii="Times New Roman" w:hAnsi="Times New Roman" w:cs="Times New Roman"/>
          <w:color w:val="000000" w:themeColor="text1"/>
          <w:kern w:val="0"/>
          <w:szCs w:val="21"/>
          <w:lang w:val="en-US" w:eastAsia="zh-CN" w:bidi="ar"/>
          <w14:textFill>
            <w14:solidFill>
              <w14:schemeClr w14:val="tx1"/>
            </w14:solidFill>
          </w14:textFill>
        </w:rPr>
        <w:t>残留</w:t>
      </w:r>
      <w:r>
        <w:rPr>
          <w:rFonts w:hint="eastAsia" w:ascii="Times New Roman" w:hAnsi="Times New Roman" w:cs="Times New Roman"/>
          <w:color w:val="000000" w:themeColor="text1"/>
          <w:kern w:val="0"/>
          <w:szCs w:val="21"/>
          <w:lang w:bidi="ar"/>
          <w14:textFill>
            <w14:solidFill>
              <w14:schemeClr w14:val="tx1"/>
            </w14:solidFill>
          </w14:textFill>
        </w:rPr>
        <w:t>杂质</w:t>
      </w:r>
      <w:r>
        <w:rPr>
          <w:rFonts w:hint="eastAsia" w:ascii="Times New Roman" w:hAnsi="Times New Roman" w:cs="Times New Roman"/>
          <w:color w:val="000000" w:themeColor="text1"/>
          <w:kern w:val="0"/>
          <w:szCs w:val="21"/>
          <w:lang w:eastAsia="zh-CN" w:bidi="ar"/>
          <w14:textFill>
            <w14:solidFill>
              <w14:schemeClr w14:val="tx1"/>
            </w14:solidFill>
          </w14:textFill>
        </w:rPr>
        <w:t>，</w:t>
      </w:r>
      <w:r>
        <w:rPr>
          <w:rFonts w:ascii="Times New Roman" w:hAnsi="Times New Roman" w:cs="Times New Roman"/>
          <w:color w:val="000000" w:themeColor="text1"/>
          <w:kern w:val="0"/>
          <w:szCs w:val="21"/>
          <w:lang w:bidi="ar"/>
          <w14:textFill>
            <w14:solidFill>
              <w14:schemeClr w14:val="tx1"/>
            </w14:solidFill>
          </w14:textFill>
        </w:rPr>
        <w:t>沥</w:t>
      </w:r>
      <w:r>
        <w:rPr>
          <w:rFonts w:hint="eastAsia" w:ascii="Times New Roman" w:hAnsi="Times New Roman" w:cs="Times New Roman"/>
          <w:color w:val="000000" w:themeColor="text1"/>
          <w:kern w:val="0"/>
          <w:szCs w:val="21"/>
          <w:lang w:bidi="ar"/>
          <w14:textFill>
            <w14:solidFill>
              <w14:schemeClr w14:val="tx1"/>
            </w14:solidFill>
          </w14:textFill>
        </w:rPr>
        <w:t>去</w:t>
      </w:r>
      <w:r>
        <w:rPr>
          <w:rFonts w:ascii="Times New Roman" w:hAnsi="Times New Roman" w:cs="Times New Roman"/>
          <w:color w:val="000000" w:themeColor="text1"/>
          <w:kern w:val="0"/>
          <w:szCs w:val="21"/>
          <w:lang w:bidi="ar"/>
          <w14:textFill>
            <w14:solidFill>
              <w14:schemeClr w14:val="tx1"/>
            </w14:solidFill>
          </w14:textFill>
        </w:rPr>
        <w:t>水分。</w:t>
      </w:r>
    </w:p>
    <w:p w14:paraId="711B1F09">
      <w:pPr>
        <w:pStyle w:val="69"/>
        <w:numPr>
          <w:ilvl w:val="3"/>
          <w:numId w:val="0"/>
        </w:numPr>
        <w:spacing w:before="156" w:after="156"/>
        <w:ind w:leftChars="0"/>
        <w:rPr>
          <w:rFonts w:hint="default"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 xml:space="preserve">5.6 </w:t>
      </w:r>
      <w:r>
        <w:rPr>
          <w:rFonts w:hint="eastAsia" w:hAnsi="Times New Roman" w:cs="Times New Roman"/>
          <w:color w:val="000000" w:themeColor="text1"/>
          <w:lang w:val="en-US" w:eastAsia="zh-CN"/>
          <w14:textFill>
            <w14:solidFill>
              <w14:schemeClr w14:val="tx1"/>
            </w14:solidFill>
          </w14:textFill>
        </w:rPr>
        <w:t>切制</w:t>
      </w:r>
    </w:p>
    <w:p w14:paraId="4C8AA387">
      <w:pPr>
        <w:widowControl/>
        <w:spacing w:line="360" w:lineRule="auto"/>
        <w:ind w:firstLine="420" w:firstLineChars="200"/>
        <w:jc w:val="left"/>
      </w:pPr>
      <w:r>
        <w:rPr>
          <w:rFonts w:hint="eastAsia" w:ascii="Times New Roman" w:hAnsi="Times New Roman" w:cs="Times New Roman"/>
          <w:kern w:val="0"/>
          <w:szCs w:val="21"/>
          <w:lang w:bidi="ar"/>
        </w:rPr>
        <w:t>采用切药机趁鲜切制</w:t>
      </w:r>
      <w:r>
        <w:rPr>
          <w:rFonts w:hint="eastAsia" w:ascii="Times New Roman" w:hAnsi="Times New Roman" w:cs="Times New Roman"/>
          <w:kern w:val="0"/>
          <w:szCs w:val="21"/>
          <w:lang w:eastAsia="zh-CN" w:bidi="ar"/>
        </w:rPr>
        <w:t>厚</w:t>
      </w:r>
      <w:r>
        <w:rPr>
          <w:rFonts w:hint="eastAsia" w:ascii="Times New Roman" w:hAnsi="Times New Roman" w:cs="Times New Roman"/>
          <w:kern w:val="0"/>
          <w:szCs w:val="21"/>
          <w:lang w:bidi="ar"/>
        </w:rPr>
        <w:t>片，厚度为</w:t>
      </w:r>
      <w:r>
        <w:rPr>
          <w:rFonts w:hint="eastAsia" w:ascii="Times New Roman" w:hAnsi="Times New Roman" w:cs="Times New Roman"/>
          <w:kern w:val="0"/>
          <w:szCs w:val="21"/>
          <w:lang w:val="en-US" w:eastAsia="zh-CN" w:bidi="ar"/>
        </w:rPr>
        <w:t>3</w:t>
      </w:r>
      <w:r>
        <w:rPr>
          <w:rFonts w:ascii="Times New Roman" w:hAnsi="Times New Roman" w:cs="Times New Roman"/>
          <w:kern w:val="0"/>
          <w:szCs w:val="21"/>
          <w:lang w:bidi="ar"/>
        </w:rPr>
        <w:t xml:space="preserve"> ~</w:t>
      </w:r>
      <w:r>
        <w:rPr>
          <w:rFonts w:hint="eastAsia" w:ascii="Times New Roman" w:hAnsi="Times New Roman" w:cs="Times New Roman"/>
          <w:kern w:val="0"/>
          <w:szCs w:val="21"/>
          <w:lang w:val="en-US" w:eastAsia="zh-CN" w:bidi="ar"/>
        </w:rPr>
        <w:t>4</w:t>
      </w:r>
      <w:r>
        <w:rPr>
          <w:rFonts w:ascii="Times New Roman" w:hAnsi="Times New Roman" w:cs="Times New Roman"/>
          <w:kern w:val="0"/>
          <w:szCs w:val="21"/>
          <w:lang w:bidi="ar"/>
        </w:rPr>
        <w:t xml:space="preserve"> </w:t>
      </w:r>
      <w:r>
        <w:rPr>
          <w:rFonts w:hint="eastAsia" w:ascii="Times New Roman" w:hAnsi="Times New Roman" w:cs="Times New Roman"/>
          <w:kern w:val="0"/>
          <w:szCs w:val="21"/>
          <w:lang w:bidi="ar"/>
        </w:rPr>
        <w:t>mm，切制后的产地片应均匀、整齐、无整体、无连刀、卷边等异形片</w:t>
      </w:r>
      <w:r>
        <w:rPr>
          <w:rFonts w:ascii="Times New Roman" w:hAnsi="Times New Roman" w:cs="Times New Roman"/>
          <w:kern w:val="0"/>
          <w:szCs w:val="21"/>
          <w:lang w:bidi="ar"/>
        </w:rPr>
        <w:t>。</w:t>
      </w:r>
    </w:p>
    <w:p w14:paraId="779E8024">
      <w:pPr>
        <w:pStyle w:val="69"/>
        <w:numPr>
          <w:ilvl w:val="3"/>
          <w:numId w:val="0"/>
        </w:numPr>
        <w:spacing w:before="156" w:after="156"/>
        <w:ind w:leftChars="0"/>
        <w:rPr>
          <w:rFonts w:hint="eastAsia" w:hAnsi="Times New Roman" w:cs="Times New Roman"/>
          <w:lang w:val="en-US" w:eastAsia="zh-CN"/>
        </w:rPr>
      </w:pPr>
      <w:r>
        <w:rPr>
          <w:rFonts w:hint="eastAsia" w:cs="Times New Roman"/>
          <w:lang w:val="en-US" w:eastAsia="zh-CN"/>
        </w:rPr>
        <w:t>5.7 二次</w:t>
      </w:r>
      <w:r>
        <w:rPr>
          <w:rFonts w:hint="eastAsia" w:hAnsi="Times New Roman" w:cs="Times New Roman"/>
          <w:lang w:val="en-US" w:eastAsia="zh-CN"/>
        </w:rPr>
        <w:t>干燥</w:t>
      </w:r>
    </w:p>
    <w:p w14:paraId="4DCF8ECB">
      <w:pPr>
        <w:widowControl/>
        <w:spacing w:line="360" w:lineRule="auto"/>
        <w:ind w:firstLine="420" w:firstLineChars="200"/>
        <w:jc w:val="left"/>
        <w:rPr>
          <w:rFonts w:hint="eastAsia" w:ascii="Times New Roman" w:hAnsi="Times New Roman" w:cs="Times New Roman"/>
          <w:kern w:val="0"/>
          <w:szCs w:val="21"/>
          <w:lang w:bidi="ar"/>
        </w:rPr>
      </w:pPr>
      <w:r>
        <w:rPr>
          <w:rFonts w:hint="eastAsia" w:ascii="Times New Roman" w:hAnsi="Times New Roman" w:cs="Times New Roman"/>
          <w:kern w:val="0"/>
          <w:szCs w:val="21"/>
          <w:lang w:bidi="ar"/>
        </w:rPr>
        <w:t>切制后的</w:t>
      </w:r>
      <w:r>
        <w:rPr>
          <w:rFonts w:hint="eastAsia" w:ascii="Times New Roman" w:hAnsi="Times New Roman" w:cs="Times New Roman"/>
          <w:kern w:val="0"/>
          <w:szCs w:val="21"/>
          <w:lang w:eastAsia="zh-CN" w:bidi="ar"/>
        </w:rPr>
        <w:t>柴胡</w:t>
      </w:r>
      <w:r>
        <w:rPr>
          <w:rFonts w:hint="eastAsia" w:ascii="Times New Roman" w:hAnsi="Times New Roman" w:cs="Times New Roman"/>
          <w:kern w:val="0"/>
          <w:szCs w:val="21"/>
          <w:lang w:bidi="ar"/>
        </w:rPr>
        <w:t>置于</w:t>
      </w:r>
      <w:r>
        <w:rPr>
          <w:rFonts w:hint="eastAsia" w:ascii="Times New Roman" w:hAnsi="Times New Roman" w:cs="Times New Roman"/>
          <w:kern w:val="0"/>
          <w:szCs w:val="21"/>
          <w:lang w:val="en-US" w:eastAsia="zh-CN" w:bidi="ar"/>
        </w:rPr>
        <w:t>热风烘干机</w:t>
      </w:r>
      <w:r>
        <w:rPr>
          <w:rFonts w:hint="eastAsia" w:ascii="Times New Roman" w:hAnsi="Times New Roman" w:cs="Times New Roman"/>
          <w:kern w:val="0"/>
          <w:szCs w:val="21"/>
          <w:lang w:bidi="ar"/>
        </w:rPr>
        <w:t>中</w:t>
      </w:r>
      <w:r>
        <w:rPr>
          <w:rFonts w:hint="eastAsia" w:ascii="Times New Roman" w:hAnsi="Times New Roman" w:cs="Times New Roman"/>
          <w:kern w:val="0"/>
          <w:szCs w:val="21"/>
          <w:lang w:eastAsia="zh-CN" w:bidi="ar"/>
        </w:rPr>
        <w:t>，</w:t>
      </w:r>
      <w:r>
        <w:rPr>
          <w:rFonts w:hint="eastAsia" w:ascii="Times New Roman" w:hAnsi="Times New Roman" w:cs="Times New Roman"/>
          <w:kern w:val="0"/>
          <w:szCs w:val="21"/>
          <w:lang w:val="en-US" w:eastAsia="zh-CN" w:bidi="ar"/>
        </w:rPr>
        <w:t>烘干温度</w:t>
      </w:r>
      <w:r>
        <w:rPr>
          <w:rFonts w:hint="eastAsia" w:ascii="Times New Roman" w:hAnsi="Times New Roman" w:cs="Times New Roman"/>
          <w:kern w:val="0"/>
          <w:szCs w:val="21"/>
          <w:lang w:bidi="ar"/>
        </w:rPr>
        <w:t>50 ~ 60℃</w:t>
      </w:r>
      <w:r>
        <w:rPr>
          <w:rFonts w:hint="eastAsia" w:ascii="Times New Roman" w:hAnsi="Times New Roman" w:cs="Times New Roman"/>
          <w:kern w:val="0"/>
          <w:szCs w:val="21"/>
          <w:lang w:eastAsia="zh-CN" w:bidi="ar"/>
        </w:rPr>
        <w:t>，</w:t>
      </w:r>
      <w:r>
        <w:rPr>
          <w:rFonts w:hint="eastAsia" w:ascii="Times New Roman" w:hAnsi="Times New Roman" w:cs="Times New Roman"/>
          <w:kern w:val="0"/>
          <w:szCs w:val="21"/>
          <w:lang w:bidi="ar"/>
        </w:rPr>
        <w:t>干燥或阳光房晾</w:t>
      </w:r>
      <w:r>
        <w:rPr>
          <w:rFonts w:hint="eastAsia" w:ascii="Times New Roman" w:hAnsi="Times New Roman" w:cs="Times New Roman"/>
          <w:kern w:val="0"/>
          <w:szCs w:val="21"/>
          <w:lang w:val="en-US" w:eastAsia="zh-CN" w:bidi="ar"/>
        </w:rPr>
        <w:t>干</w:t>
      </w:r>
      <w:r>
        <w:rPr>
          <w:rFonts w:hint="eastAsia" w:ascii="Times New Roman" w:hAnsi="Times New Roman" w:cs="Times New Roman"/>
          <w:kern w:val="0"/>
          <w:szCs w:val="21"/>
          <w:lang w:bidi="ar"/>
        </w:rPr>
        <w:t>。</w:t>
      </w:r>
    </w:p>
    <w:p w14:paraId="6ACFE2A7">
      <w:pPr>
        <w:pStyle w:val="69"/>
        <w:spacing w:before="156" w:after="156"/>
        <w:rPr>
          <w:rFonts w:hint="default" w:hAnsi="Times New Roman" w:cs="Times New Roman"/>
          <w:lang w:val="en-US" w:eastAsia="zh-CN"/>
        </w:rPr>
      </w:pPr>
      <w:r>
        <w:rPr>
          <w:rFonts w:hint="eastAsia" w:hAnsi="Times New Roman" w:cs="Times New Roman"/>
          <w:lang w:val="en-US" w:eastAsia="zh-CN"/>
        </w:rPr>
        <w:t>筛选分级</w:t>
      </w:r>
    </w:p>
    <w:p w14:paraId="15242625">
      <w:pPr>
        <w:widowControl/>
        <w:spacing w:line="360" w:lineRule="auto"/>
        <w:ind w:firstLine="420" w:firstLineChars="200"/>
        <w:jc w:val="left"/>
        <w:rPr>
          <w:rFonts w:hint="default" w:ascii="Times New Roman" w:hAnsi="Times New Roman" w:cs="Times New Roman"/>
          <w:kern w:val="0"/>
          <w:szCs w:val="21"/>
          <w:lang w:val="en-US" w:eastAsia="zh-CN" w:bidi="ar"/>
        </w:rPr>
      </w:pPr>
      <w:r>
        <w:rPr>
          <w:rFonts w:hint="eastAsia" w:ascii="Times New Roman" w:hAnsi="Times New Roman" w:cs="Times New Roman"/>
          <w:kern w:val="0"/>
          <w:szCs w:val="21"/>
          <w:lang w:val="en-US" w:eastAsia="zh-CN" w:bidi="ar"/>
        </w:rPr>
        <w:t>将干燥后柴胡片使用分选机进行分选，除去药屑杂质及异形片并大小分级，得到不同规格等级的产地片。</w:t>
      </w:r>
    </w:p>
    <w:bookmarkEnd w:id="39"/>
    <w:p w14:paraId="75A1172C">
      <w:pPr>
        <w:pStyle w:val="108"/>
        <w:spacing w:before="312" w:after="312"/>
        <w:rPr>
          <w:rFonts w:hint="eastAsia" w:hAnsi="Times New Roman" w:cs="Times New Roman"/>
        </w:rPr>
      </w:pPr>
      <w:bookmarkStart w:id="40" w:name="_Toc127896343"/>
      <w:bookmarkStart w:id="41" w:name="_Toc1354172282"/>
      <w:r>
        <w:rPr>
          <w:rFonts w:hint="eastAsia" w:hAnsi="Times New Roman" w:cs="Times New Roman"/>
        </w:rPr>
        <w:t>质量要求</w:t>
      </w:r>
      <w:bookmarkEnd w:id="40"/>
      <w:bookmarkEnd w:id="41"/>
      <w:bookmarkStart w:id="42" w:name="_Toc127896344"/>
    </w:p>
    <w:p w14:paraId="2EC676C3">
      <w:pPr>
        <w:pStyle w:val="109"/>
        <w:spacing w:before="156" w:after="156"/>
        <w:rPr>
          <w:rFonts w:hint="eastAsia" w:hAnsi="Times New Roman" w:cs="Times New Roman"/>
          <w:lang w:val="en-US" w:eastAsia="zh-CN"/>
        </w:rPr>
      </w:pPr>
      <w:r>
        <w:rPr>
          <w:rFonts w:hint="eastAsia" w:hAnsi="Times New Roman" w:cs="Times New Roman"/>
          <w:lang w:val="en-US" w:eastAsia="zh-CN"/>
        </w:rPr>
        <w:t>性状</w:t>
      </w:r>
    </w:p>
    <w:p w14:paraId="79ED2D04">
      <w:pPr>
        <w:pStyle w:val="4"/>
        <w:widowControl/>
        <w:spacing w:beforeAutospacing="0" w:afterAutospacing="0" w:line="360" w:lineRule="auto"/>
        <w:ind w:firstLine="420" w:firstLineChars="200"/>
      </w:pPr>
      <w:r>
        <w:rPr>
          <w:rFonts w:ascii="Times New Roman" w:hAnsi="Times New Roman" w:eastAsia="宋体"/>
          <w:sz w:val="21"/>
          <w:szCs w:val="21"/>
        </w:rPr>
        <w:t>性状指标应符合</w:t>
      </w:r>
      <w:r>
        <w:rPr>
          <w:rFonts w:ascii="Times New Roman" w:hAnsi="Times New Roman" w:eastAsia="宋体"/>
          <w:sz w:val="21"/>
          <w:szCs w:val="21"/>
          <w:lang w:bidi="ar"/>
        </w:rPr>
        <w:t>《中华人民共和国药典》</w:t>
      </w:r>
      <w:r>
        <w:rPr>
          <w:rFonts w:hint="eastAsia" w:ascii="Times New Roman" w:hAnsi="Times New Roman"/>
          <w:sz w:val="21"/>
          <w:szCs w:val="21"/>
          <w:lang w:val="en-US" w:eastAsia="zh-CN"/>
        </w:rPr>
        <w:t>2020年版一部柴胡项下</w:t>
      </w:r>
      <w:r>
        <w:rPr>
          <w:rFonts w:ascii="Times New Roman" w:hAnsi="Times New Roman" w:eastAsia="宋体"/>
          <w:sz w:val="21"/>
          <w:szCs w:val="21"/>
        </w:rPr>
        <w:t>的规定。</w:t>
      </w:r>
    </w:p>
    <w:p w14:paraId="092E5BD1">
      <w:pPr>
        <w:pStyle w:val="109"/>
        <w:spacing w:before="156" w:after="156"/>
        <w:rPr>
          <w:rFonts w:hint="eastAsia" w:hAnsi="Times New Roman" w:cs="Times New Roman"/>
          <w:lang w:val="en-US" w:eastAsia="zh-CN"/>
        </w:rPr>
      </w:pPr>
      <w:bookmarkStart w:id="43" w:name="_Toc21717"/>
      <w:r>
        <w:rPr>
          <w:rFonts w:hint="eastAsia" w:hAnsi="Times New Roman" w:cs="Times New Roman"/>
          <w:lang w:val="en-US" w:eastAsia="zh-CN"/>
        </w:rPr>
        <w:t>质量</w:t>
      </w:r>
      <w:bookmarkEnd w:id="43"/>
    </w:p>
    <w:p w14:paraId="6788F9D6">
      <w:pPr>
        <w:pStyle w:val="4"/>
        <w:widowControl/>
        <w:spacing w:beforeAutospacing="0" w:afterAutospacing="0" w:line="360" w:lineRule="auto"/>
        <w:ind w:firstLine="420" w:firstLineChars="200"/>
        <w:rPr>
          <w:rFonts w:ascii="Times New Roman" w:hAnsi="Times New Roman" w:eastAsia="宋体"/>
          <w:sz w:val="21"/>
          <w:szCs w:val="21"/>
          <w:lang w:bidi="ar"/>
        </w:rPr>
      </w:pPr>
      <w:r>
        <w:rPr>
          <w:rFonts w:hint="eastAsia" w:ascii="Times New Roman" w:hAnsi="Times New Roman" w:eastAsia="宋体"/>
          <w:sz w:val="21"/>
          <w:szCs w:val="21"/>
          <w:lang w:bidi="ar"/>
        </w:rPr>
        <w:t>理化指标应符合</w:t>
      </w:r>
      <w:r>
        <w:rPr>
          <w:rFonts w:ascii="Times New Roman" w:hAnsi="Times New Roman" w:eastAsia="宋体"/>
          <w:sz w:val="21"/>
          <w:szCs w:val="21"/>
          <w:lang w:bidi="ar"/>
        </w:rPr>
        <w:t>《中华人民共和国药典》</w:t>
      </w:r>
      <w:r>
        <w:rPr>
          <w:rFonts w:hint="eastAsia" w:ascii="Times New Roman" w:hAnsi="Times New Roman"/>
          <w:sz w:val="21"/>
          <w:szCs w:val="21"/>
          <w:lang w:val="en-US" w:eastAsia="zh-CN"/>
        </w:rPr>
        <w:t>2020年版一部柴胡项下</w:t>
      </w:r>
      <w:r>
        <w:rPr>
          <w:rFonts w:ascii="Times New Roman" w:hAnsi="Times New Roman" w:eastAsia="宋体"/>
          <w:sz w:val="21"/>
          <w:szCs w:val="21"/>
        </w:rPr>
        <w:t>的规定</w:t>
      </w:r>
      <w:r>
        <w:rPr>
          <w:rFonts w:hint="eastAsia" w:ascii="Times New Roman" w:hAnsi="Times New Roman" w:eastAsia="宋体"/>
          <w:sz w:val="21"/>
          <w:szCs w:val="21"/>
          <w:lang w:bidi="ar"/>
        </w:rPr>
        <w:t>。</w:t>
      </w:r>
    </w:p>
    <w:p w14:paraId="4417C6C8">
      <w:pPr>
        <w:pStyle w:val="108"/>
        <w:spacing w:before="312" w:after="312"/>
        <w:rPr>
          <w:rFonts w:hint="eastAsia" w:hAnsi="Times New Roman" w:cs="Times New Roman"/>
        </w:rPr>
      </w:pPr>
      <w:bookmarkStart w:id="44" w:name="_Toc1347800581"/>
      <w:r>
        <w:rPr>
          <w:rFonts w:hint="eastAsia" w:hAnsi="Times New Roman" w:cs="Times New Roman"/>
        </w:rPr>
        <w:t>包装和标签</w:t>
      </w:r>
      <w:bookmarkEnd w:id="42"/>
      <w:bookmarkEnd w:id="44"/>
    </w:p>
    <w:p w14:paraId="775E391C">
      <w:pPr>
        <w:pStyle w:val="109"/>
        <w:spacing w:before="156" w:after="156"/>
        <w:rPr>
          <w:rFonts w:hint="eastAsia" w:hAnsi="Times New Roman" w:cs="Times New Roman"/>
          <w:lang w:val="en-US" w:eastAsia="zh-CN"/>
        </w:rPr>
      </w:pPr>
      <w:bookmarkStart w:id="45" w:name="_Toc22736"/>
      <w:r>
        <w:rPr>
          <w:rFonts w:hint="eastAsia" w:hAnsi="Times New Roman" w:cs="Times New Roman"/>
          <w:lang w:val="en-US" w:eastAsia="zh-CN"/>
        </w:rPr>
        <w:t>包装要求</w:t>
      </w:r>
      <w:bookmarkEnd w:id="45"/>
    </w:p>
    <w:p w14:paraId="2AC4EF8C">
      <w:pPr>
        <w:pStyle w:val="4"/>
        <w:widowControl/>
        <w:spacing w:beforeAutospacing="0" w:afterAutospacing="0" w:line="360" w:lineRule="auto"/>
        <w:ind w:firstLine="420" w:firstLineChars="200"/>
        <w:rPr>
          <w:rFonts w:ascii="Times New Roman" w:hAnsi="Times New Roman" w:eastAsia="宋体"/>
          <w:sz w:val="21"/>
          <w:szCs w:val="21"/>
          <w:lang w:bidi="ar"/>
        </w:rPr>
      </w:pPr>
      <w:r>
        <w:rPr>
          <w:rFonts w:hint="eastAsia" w:ascii="Times New Roman" w:hAnsi="Times New Roman"/>
          <w:sz w:val="21"/>
          <w:szCs w:val="21"/>
          <w:lang w:val="en-US" w:eastAsia="zh-CN" w:bidi="ar"/>
        </w:rPr>
        <w:t>柴胡</w:t>
      </w:r>
      <w:r>
        <w:rPr>
          <w:rFonts w:hint="eastAsia" w:ascii="Times New Roman" w:hAnsi="Times New Roman"/>
          <w:sz w:val="21"/>
          <w:szCs w:val="21"/>
          <w:lang w:bidi="ar"/>
        </w:rPr>
        <w:t>产地片</w:t>
      </w:r>
      <w:r>
        <w:rPr>
          <w:rFonts w:ascii="Times New Roman" w:hAnsi="Times New Roman"/>
          <w:sz w:val="21"/>
          <w:szCs w:val="21"/>
          <w:lang w:bidi="ar"/>
        </w:rPr>
        <w:t>应当附有规范</w:t>
      </w:r>
      <w:r>
        <w:rPr>
          <w:rFonts w:hint="eastAsia" w:ascii="Times New Roman" w:hAnsi="Times New Roman"/>
          <w:sz w:val="21"/>
          <w:szCs w:val="21"/>
          <w:lang w:bidi="ar"/>
        </w:rPr>
        <w:t>的包装和标签，并附质量合格标识</w:t>
      </w:r>
      <w:r>
        <w:rPr>
          <w:rFonts w:ascii="Times New Roman" w:hAnsi="Times New Roman"/>
          <w:sz w:val="21"/>
          <w:szCs w:val="21"/>
          <w:lang w:bidi="ar"/>
        </w:rPr>
        <w:t>。</w:t>
      </w:r>
      <w:r>
        <w:rPr>
          <w:rFonts w:ascii="Times New Roman" w:hAnsi="Times New Roman" w:eastAsia="宋体"/>
          <w:sz w:val="21"/>
          <w:szCs w:val="21"/>
          <w:lang w:bidi="ar"/>
        </w:rPr>
        <w:t>包装应符合SB/T 11182中的规定</w:t>
      </w:r>
      <w:r>
        <w:rPr>
          <w:rFonts w:hint="eastAsia" w:ascii="Times New Roman" w:hAnsi="Times New Roman" w:eastAsia="宋体"/>
          <w:sz w:val="21"/>
          <w:szCs w:val="21"/>
          <w:lang w:bidi="ar"/>
        </w:rPr>
        <w:t>，</w:t>
      </w:r>
      <w:r>
        <w:rPr>
          <w:rFonts w:ascii="Times New Roman" w:hAnsi="Times New Roman" w:eastAsia="宋体"/>
          <w:sz w:val="21"/>
          <w:szCs w:val="21"/>
          <w:lang w:bidi="ar"/>
        </w:rPr>
        <w:t>其直接接触</w:t>
      </w:r>
      <w:r>
        <w:rPr>
          <w:rFonts w:hint="eastAsia" w:ascii="Times New Roman" w:hAnsi="Times New Roman" w:eastAsia="宋体"/>
          <w:sz w:val="21"/>
          <w:szCs w:val="21"/>
          <w:lang w:bidi="ar"/>
        </w:rPr>
        <w:t>产地片</w:t>
      </w:r>
      <w:r>
        <w:rPr>
          <w:rFonts w:ascii="Times New Roman" w:hAnsi="Times New Roman" w:eastAsia="宋体"/>
          <w:sz w:val="21"/>
          <w:szCs w:val="21"/>
          <w:lang w:bidi="ar"/>
        </w:rPr>
        <w:t>的包装材料应当符合药用要求。</w:t>
      </w:r>
    </w:p>
    <w:p w14:paraId="6196752C">
      <w:pPr>
        <w:pStyle w:val="4"/>
        <w:widowControl/>
        <w:spacing w:beforeAutospacing="0" w:afterAutospacing="0" w:line="360" w:lineRule="auto"/>
        <w:ind w:firstLine="420" w:firstLineChars="200"/>
        <w:rPr>
          <w:rFonts w:ascii="Times New Roman" w:hAnsi="Times New Roman" w:eastAsia="宋体"/>
          <w:sz w:val="21"/>
          <w:szCs w:val="21"/>
          <w:lang w:bidi="ar"/>
        </w:rPr>
      </w:pPr>
      <w:r>
        <w:rPr>
          <w:rFonts w:hint="eastAsia" w:ascii="Times New Roman" w:hAnsi="Times New Roman" w:eastAsia="宋体"/>
          <w:sz w:val="21"/>
          <w:szCs w:val="21"/>
          <w:lang w:bidi="ar"/>
        </w:rPr>
        <w:t>包装箱、袋应采用专业防伪技术加防伪码封口，追溯标识应按SB/T</w:t>
      </w:r>
      <w:r>
        <w:rPr>
          <w:rFonts w:ascii="Times New Roman" w:hAnsi="Times New Roman" w:eastAsia="宋体"/>
          <w:sz w:val="21"/>
          <w:szCs w:val="21"/>
          <w:lang w:bidi="ar"/>
        </w:rPr>
        <w:t xml:space="preserve"> </w:t>
      </w:r>
      <w:r>
        <w:rPr>
          <w:rFonts w:hint="eastAsia" w:ascii="Times New Roman" w:hAnsi="Times New Roman" w:eastAsia="宋体"/>
          <w:sz w:val="21"/>
          <w:szCs w:val="21"/>
          <w:lang w:bidi="ar"/>
        </w:rPr>
        <w:t>11039规定执行。</w:t>
      </w:r>
    </w:p>
    <w:p w14:paraId="3259FDC8">
      <w:pPr>
        <w:pStyle w:val="109"/>
        <w:spacing w:before="156" w:after="156"/>
        <w:rPr>
          <w:rFonts w:hint="eastAsia" w:hAnsi="Times New Roman" w:cs="Times New Roman"/>
          <w:lang w:val="en-US" w:eastAsia="zh-CN"/>
        </w:rPr>
      </w:pPr>
      <w:bookmarkStart w:id="46" w:name="_Toc26902"/>
      <w:r>
        <w:rPr>
          <w:rFonts w:hint="eastAsia" w:hAnsi="Times New Roman" w:cs="Times New Roman"/>
          <w:lang w:val="en-US" w:eastAsia="zh-CN"/>
        </w:rPr>
        <w:t>标签</w:t>
      </w:r>
      <w:bookmarkEnd w:id="46"/>
    </w:p>
    <w:p w14:paraId="6B9AA4F7">
      <w:pPr>
        <w:pStyle w:val="4"/>
        <w:widowControl/>
        <w:spacing w:beforeAutospacing="0" w:afterAutospacing="0" w:line="360" w:lineRule="auto"/>
        <w:ind w:firstLine="420" w:firstLineChars="200"/>
        <w:rPr>
          <w:rFonts w:ascii="Times New Roman" w:hAnsi="Times New Roman" w:eastAsia="宋体"/>
          <w:sz w:val="21"/>
          <w:szCs w:val="21"/>
          <w:lang w:bidi="ar"/>
        </w:rPr>
      </w:pPr>
      <w:bookmarkStart w:id="47" w:name="_Toc127896345"/>
      <w:r>
        <w:rPr>
          <w:rFonts w:ascii="Times New Roman" w:hAnsi="Times New Roman"/>
          <w:sz w:val="21"/>
          <w:szCs w:val="21"/>
          <w:lang w:bidi="ar"/>
        </w:rPr>
        <w:t>标签内容应当包括</w:t>
      </w:r>
      <w:r>
        <w:rPr>
          <w:rFonts w:hint="eastAsia" w:ascii="Times New Roman" w:hAnsi="Times New Roman"/>
          <w:sz w:val="21"/>
          <w:szCs w:val="21"/>
          <w:lang w:bidi="ar"/>
        </w:rPr>
        <w:t>：品名、规格、数量、产地、采收日期、产品批号、</w:t>
      </w:r>
      <w:r>
        <w:rPr>
          <w:rFonts w:hint="eastAsia" w:ascii="Times New Roman" w:hAnsi="Times New Roman" w:eastAsia="宋体"/>
          <w:sz w:val="21"/>
          <w:szCs w:val="21"/>
          <w:lang w:bidi="ar"/>
        </w:rPr>
        <w:t>贮藏条件、保质期、产地加工企业名称、加工日期、执行标准</w:t>
      </w:r>
      <w:r>
        <w:rPr>
          <w:rFonts w:ascii="Times New Roman" w:hAnsi="Times New Roman" w:eastAsia="宋体"/>
          <w:sz w:val="21"/>
          <w:szCs w:val="21"/>
          <w:lang w:bidi="ar"/>
        </w:rPr>
        <w:t>。</w:t>
      </w:r>
    </w:p>
    <w:p w14:paraId="154551C2">
      <w:pPr>
        <w:pStyle w:val="108"/>
        <w:spacing w:before="312" w:after="312"/>
        <w:rPr>
          <w:rFonts w:hint="eastAsia" w:hAnsi="Times New Roman" w:cs="Times New Roman"/>
        </w:rPr>
      </w:pPr>
      <w:bookmarkStart w:id="48" w:name="_Toc1283300282"/>
      <w:r>
        <w:rPr>
          <w:rFonts w:hint="eastAsia" w:hAnsi="Times New Roman" w:cs="Times New Roman"/>
        </w:rPr>
        <w:t>贮藏</w:t>
      </w:r>
      <w:bookmarkEnd w:id="47"/>
      <w:bookmarkEnd w:id="48"/>
    </w:p>
    <w:p w14:paraId="0BF45B66">
      <w:pPr>
        <w:pStyle w:val="4"/>
        <w:widowControl/>
        <w:spacing w:beforeAutospacing="0" w:afterAutospacing="0" w:line="360" w:lineRule="auto"/>
        <w:ind w:firstLine="420" w:firstLineChars="200"/>
        <w:rPr>
          <w:rFonts w:hint="eastAsia" w:ascii="Times New Roman" w:hAnsi="Times New Roman" w:eastAsia="宋体"/>
          <w:sz w:val="21"/>
          <w:szCs w:val="21"/>
          <w:lang w:eastAsia="zh-CN" w:bidi="ar"/>
        </w:rPr>
      </w:pPr>
      <w:r>
        <w:rPr>
          <w:rFonts w:hint="eastAsia" w:ascii="Times New Roman" w:hAnsi="Times New Roman"/>
          <w:sz w:val="21"/>
          <w:szCs w:val="21"/>
          <w:lang w:bidi="ar"/>
        </w:rPr>
        <w:t>贮藏</w:t>
      </w:r>
      <w:r>
        <w:rPr>
          <w:rFonts w:hint="eastAsia" w:ascii="Times New Roman" w:hAnsi="Times New Roman" w:eastAsia="宋体"/>
          <w:sz w:val="21"/>
          <w:szCs w:val="21"/>
          <w:lang w:bidi="ar"/>
        </w:rPr>
        <w:t>应符合</w:t>
      </w:r>
      <w:r>
        <w:rPr>
          <w:rFonts w:ascii="Times New Roman" w:hAnsi="Times New Roman" w:eastAsia="宋体"/>
          <w:sz w:val="21"/>
          <w:szCs w:val="21"/>
          <w:lang w:bidi="ar"/>
        </w:rPr>
        <w:t>《中华人民共和国药典》要求</w:t>
      </w:r>
      <w:r>
        <w:rPr>
          <w:rFonts w:hint="eastAsia" w:ascii="Times New Roman" w:hAnsi="Times New Roman" w:eastAsia="宋体"/>
          <w:sz w:val="21"/>
          <w:szCs w:val="21"/>
          <w:lang w:eastAsia="zh-CN" w:bidi="ar"/>
        </w:rPr>
        <w:t>。</w:t>
      </w:r>
    </w:p>
    <w:p w14:paraId="796B72B1">
      <w:pPr>
        <w:pStyle w:val="4"/>
        <w:widowControl/>
        <w:spacing w:beforeAutospacing="0" w:afterAutospacing="0" w:line="360" w:lineRule="auto"/>
        <w:ind w:firstLine="420" w:firstLineChars="200"/>
        <w:rPr>
          <w:lang w:bidi="ar"/>
        </w:rPr>
      </w:pPr>
      <w:r>
        <w:rPr>
          <w:rFonts w:hint="eastAsia" w:ascii="Times New Roman" w:hAnsi="Times New Roman"/>
          <w:sz w:val="21"/>
          <w:szCs w:val="21"/>
          <w:lang w:bidi="ar"/>
        </w:rPr>
        <w:t>仓储条件与环境应符合</w:t>
      </w:r>
      <w:r>
        <w:rPr>
          <w:rFonts w:ascii="Times New Roman" w:hAnsi="Times New Roman"/>
          <w:sz w:val="21"/>
          <w:szCs w:val="21"/>
          <w:lang w:bidi="ar"/>
        </w:rPr>
        <w:t>SB/T 11094</w:t>
      </w:r>
      <w:r>
        <w:rPr>
          <w:rFonts w:hint="eastAsia" w:ascii="Times New Roman" w:hAnsi="Times New Roman"/>
          <w:sz w:val="21"/>
          <w:szCs w:val="21"/>
          <w:lang w:bidi="ar"/>
        </w:rPr>
        <w:t>的要求。</w:t>
      </w:r>
    </w:p>
    <w:p w14:paraId="606A601C">
      <w:pPr>
        <w:rPr>
          <w:rFonts w:ascii="Times New Roman" w:hAnsi="Times New Roman" w:cs="Times New Roman"/>
          <w:szCs w:val="21"/>
          <w:lang w:bidi="ar"/>
        </w:rPr>
      </w:pPr>
    </w:p>
    <w:p w14:paraId="14C0B681">
      <w:pPr>
        <w:pStyle w:val="80"/>
        <w:spacing w:before="156" w:after="156"/>
      </w:pPr>
      <w:bookmarkStart w:id="49" w:name="_Toc172828350"/>
      <w:r>
        <w:br w:type="textWrapping"/>
      </w:r>
      <w:bookmarkStart w:id="50" w:name="_Toc180658330"/>
      <w:bookmarkEnd w:id="50"/>
    </w:p>
    <w:p w14:paraId="78D9F399">
      <w:pPr>
        <w:pStyle w:val="234"/>
        <w:ind w:firstLine="0" w:firstLineChars="0"/>
        <w:jc w:val="center"/>
        <w:rPr>
          <w:rFonts w:ascii="黑体" w:hAnsi="黑体" w:eastAsia="黑体"/>
          <w:szCs w:val="21"/>
        </w:rPr>
      </w:pPr>
      <w:r>
        <w:rPr>
          <w:rFonts w:hint="eastAsia" w:ascii="黑体" w:hAnsi="黑体" w:eastAsia="黑体"/>
          <w:szCs w:val="21"/>
        </w:rPr>
        <w:t>（资料性）趁鲜加工基</w:t>
      </w:r>
      <w:r>
        <w:rPr>
          <w:rFonts w:hint="eastAsia" w:ascii="黑体" w:hAnsi="黑体" w:eastAsia="黑体"/>
          <w:szCs w:val="21"/>
          <w:lang w:val="en-US" w:eastAsia="zh-CN"/>
        </w:rPr>
        <w:t>本</w:t>
      </w:r>
      <w:r>
        <w:rPr>
          <w:rFonts w:hint="eastAsia" w:ascii="黑体" w:hAnsi="黑体" w:eastAsia="黑体"/>
          <w:szCs w:val="21"/>
        </w:rPr>
        <w:t>要求</w:t>
      </w:r>
      <w:bookmarkEnd w:id="49"/>
    </w:p>
    <w:p w14:paraId="74AE9909">
      <w:pPr>
        <w:pStyle w:val="82"/>
        <w:spacing w:before="156" w:after="156"/>
      </w:pPr>
      <w:r>
        <w:rPr>
          <w:rFonts w:hint="eastAsia"/>
        </w:rPr>
        <w:t>加工场地</w:t>
      </w:r>
    </w:p>
    <w:p w14:paraId="28BBFA44">
      <w:pPr>
        <w:pStyle w:val="234"/>
        <w:keepNext w:val="0"/>
        <w:keepLines w:val="0"/>
        <w:pageBreakBefore w:val="0"/>
        <w:widowControl/>
        <w:kinsoku/>
        <w:wordWrap/>
        <w:overflowPunct/>
        <w:topLinePunct w:val="0"/>
        <w:autoSpaceDE w:val="0"/>
        <w:autoSpaceDN w:val="0"/>
        <w:bidi w:val="0"/>
        <w:adjustRightInd/>
        <w:snapToGrid w:val="0"/>
        <w:spacing w:line="360" w:lineRule="auto"/>
        <w:textAlignment w:val="auto"/>
        <w:rPr>
          <w:shd w:val="clear" w:color="auto" w:fill="FFFFFF"/>
        </w:rPr>
      </w:pPr>
      <w:r>
        <w:rPr>
          <w:rFonts w:hint="eastAsia"/>
          <w:shd w:val="clear" w:color="auto" w:fill="FFFFFF"/>
        </w:rPr>
        <w:t>加工应有适宜的场地与车间、并符合《药品生产质量管理规范》的相关要求。远离污染源，整洁卫生，且交通便利。</w:t>
      </w:r>
    </w:p>
    <w:p w14:paraId="23423D77">
      <w:pPr>
        <w:pStyle w:val="234"/>
        <w:keepNext w:val="0"/>
        <w:keepLines w:val="0"/>
        <w:pageBreakBefore w:val="0"/>
        <w:widowControl/>
        <w:kinsoku/>
        <w:wordWrap/>
        <w:overflowPunct/>
        <w:topLinePunct w:val="0"/>
        <w:autoSpaceDE w:val="0"/>
        <w:autoSpaceDN w:val="0"/>
        <w:bidi w:val="0"/>
        <w:adjustRightInd/>
        <w:snapToGrid w:val="0"/>
        <w:spacing w:line="360" w:lineRule="auto"/>
        <w:textAlignment w:val="auto"/>
        <w:rPr>
          <w:shd w:val="clear" w:color="auto" w:fill="FFFFFF"/>
        </w:rPr>
      </w:pPr>
      <w:r>
        <w:rPr>
          <w:rFonts w:hint="eastAsia"/>
          <w:shd w:val="clear" w:color="auto" w:fill="FFFFFF"/>
        </w:rPr>
        <w:t>厂区的地面、路面及运输等不应当对中药材的加工造成污染。加工场地应整洁，宽敞，通风良好，具有遮阳，防雨和防鼠、虫及禽畜的设施。</w:t>
      </w:r>
    </w:p>
    <w:p w14:paraId="5E97B783">
      <w:pPr>
        <w:pStyle w:val="82"/>
        <w:spacing w:before="156" w:after="156"/>
      </w:pPr>
      <w:r>
        <w:rPr>
          <w:rFonts w:hint="eastAsia"/>
        </w:rPr>
        <w:t>加工设备和器具</w:t>
      </w:r>
    </w:p>
    <w:p w14:paraId="75DC827D">
      <w:pPr>
        <w:pStyle w:val="234"/>
        <w:keepNext w:val="0"/>
        <w:keepLines w:val="0"/>
        <w:pageBreakBefore w:val="0"/>
        <w:widowControl/>
        <w:kinsoku/>
        <w:wordWrap/>
        <w:overflowPunct/>
        <w:topLinePunct w:val="0"/>
        <w:autoSpaceDE w:val="0"/>
        <w:autoSpaceDN w:val="0"/>
        <w:bidi w:val="0"/>
        <w:adjustRightInd/>
        <w:snapToGrid/>
        <w:spacing w:line="360" w:lineRule="auto"/>
        <w:textAlignment w:val="auto"/>
        <w:rPr>
          <w:shd w:val="clear" w:color="auto" w:fill="FFFFFF"/>
        </w:rPr>
      </w:pPr>
      <w:bookmarkStart w:id="51" w:name="_Hlk169078288"/>
      <w:r>
        <w:rPr>
          <w:rFonts w:hint="eastAsia"/>
          <w:shd w:val="clear" w:color="auto" w:fill="FFFFFF"/>
        </w:rPr>
        <w:t>加工器械应符合国家安全生产的要求，器具应清洁，无污染，并有明显的状态标志。</w:t>
      </w:r>
    </w:p>
    <w:p w14:paraId="58298E66">
      <w:pPr>
        <w:pStyle w:val="234"/>
        <w:keepNext w:val="0"/>
        <w:keepLines w:val="0"/>
        <w:pageBreakBefore w:val="0"/>
        <w:widowControl/>
        <w:kinsoku/>
        <w:wordWrap/>
        <w:overflowPunct/>
        <w:topLinePunct w:val="0"/>
        <w:autoSpaceDE w:val="0"/>
        <w:autoSpaceDN w:val="0"/>
        <w:bidi w:val="0"/>
        <w:adjustRightInd/>
        <w:snapToGrid/>
        <w:spacing w:line="360" w:lineRule="auto"/>
        <w:textAlignment w:val="auto"/>
        <w:rPr>
          <w:shd w:val="clear" w:color="auto" w:fill="FFFFFF"/>
        </w:rPr>
      </w:pPr>
      <w:r>
        <w:rPr>
          <w:rFonts w:hint="eastAsia"/>
          <w:shd w:val="clear" w:color="auto" w:fill="FFFFFF"/>
        </w:rPr>
        <w:t>与鲜切药材直接接触的设备、工具、容器应当易清洁，不易产生脱落，不易产生脱落物，不对鲜切药材产生不良影响。</w:t>
      </w:r>
    </w:p>
    <w:p w14:paraId="5CA0F305">
      <w:pPr>
        <w:pStyle w:val="234"/>
        <w:keepNext w:val="0"/>
        <w:keepLines w:val="0"/>
        <w:pageBreakBefore w:val="0"/>
        <w:widowControl/>
        <w:kinsoku/>
        <w:wordWrap/>
        <w:overflowPunct/>
        <w:topLinePunct w:val="0"/>
        <w:autoSpaceDE w:val="0"/>
        <w:autoSpaceDN w:val="0"/>
        <w:bidi w:val="0"/>
        <w:adjustRightInd/>
        <w:snapToGrid/>
        <w:spacing w:line="360" w:lineRule="auto"/>
        <w:textAlignment w:val="auto"/>
        <w:rPr>
          <w:shd w:val="clear" w:color="auto" w:fill="FFFFFF"/>
        </w:rPr>
      </w:pPr>
      <w:r>
        <w:rPr>
          <w:rFonts w:hint="eastAsia"/>
          <w:shd w:val="clear" w:color="auto" w:fill="FFFFFF"/>
        </w:rPr>
        <w:t>鲜切药材生产用水应符合饮用水标准，并定期监测。</w:t>
      </w:r>
    </w:p>
    <w:bookmarkEnd w:id="51"/>
    <w:p w14:paraId="4CC17796">
      <w:pPr>
        <w:pStyle w:val="82"/>
        <w:spacing w:before="156" w:after="156"/>
      </w:pPr>
      <w:r>
        <w:rPr>
          <w:rFonts w:hint="eastAsia"/>
        </w:rPr>
        <w:t>卫生管理</w:t>
      </w:r>
    </w:p>
    <w:p w14:paraId="05C77571">
      <w:pPr>
        <w:pStyle w:val="234"/>
        <w:keepNext w:val="0"/>
        <w:keepLines w:val="0"/>
        <w:pageBreakBefore w:val="0"/>
        <w:widowControl/>
        <w:kinsoku/>
        <w:wordWrap/>
        <w:overflowPunct/>
        <w:topLinePunct w:val="0"/>
        <w:autoSpaceDE w:val="0"/>
        <w:autoSpaceDN w:val="0"/>
        <w:bidi w:val="0"/>
        <w:adjustRightInd/>
        <w:snapToGrid/>
        <w:spacing w:line="360" w:lineRule="auto"/>
        <w:textAlignment w:val="auto"/>
        <w:rPr>
          <w:shd w:val="clear" w:color="auto" w:fill="FFFFFF"/>
        </w:rPr>
      </w:pPr>
      <w:r>
        <w:rPr>
          <w:rFonts w:hint="eastAsia"/>
          <w:shd w:val="clear" w:color="auto" w:fill="FFFFFF"/>
        </w:rPr>
        <w:t>工作人员应身体健康，无传染病和外伤疾病，以及对加工的鲜切药材无过敏史，保持个人卫生。</w:t>
      </w:r>
    </w:p>
    <w:p w14:paraId="0D521B60">
      <w:pPr>
        <w:pStyle w:val="234"/>
        <w:keepNext w:val="0"/>
        <w:keepLines w:val="0"/>
        <w:pageBreakBefore w:val="0"/>
        <w:widowControl/>
        <w:kinsoku/>
        <w:wordWrap/>
        <w:overflowPunct/>
        <w:topLinePunct w:val="0"/>
        <w:autoSpaceDE w:val="0"/>
        <w:autoSpaceDN w:val="0"/>
        <w:bidi w:val="0"/>
        <w:adjustRightInd/>
        <w:snapToGrid/>
        <w:spacing w:line="360" w:lineRule="auto"/>
        <w:textAlignment w:val="auto"/>
        <w:rPr>
          <w:shd w:val="clear" w:color="auto" w:fill="FFFFFF"/>
        </w:rPr>
      </w:pPr>
      <w:r>
        <w:rPr>
          <w:rFonts w:hint="eastAsia"/>
          <w:shd w:val="clear" w:color="auto" w:fill="FFFFFF"/>
        </w:rPr>
        <w:t>生产前及生产工序结束后应注重清场工作，清场合格证在有效期内，并作好记录。</w:t>
      </w:r>
    </w:p>
    <w:p w14:paraId="098FCE74">
      <w:pPr>
        <w:pStyle w:val="234"/>
        <w:keepNext w:val="0"/>
        <w:keepLines w:val="0"/>
        <w:pageBreakBefore w:val="0"/>
        <w:widowControl/>
        <w:kinsoku/>
        <w:wordWrap/>
        <w:overflowPunct/>
        <w:topLinePunct w:val="0"/>
        <w:autoSpaceDE w:val="0"/>
        <w:autoSpaceDN w:val="0"/>
        <w:bidi w:val="0"/>
        <w:adjustRightInd/>
        <w:snapToGrid/>
        <w:spacing w:line="360" w:lineRule="auto"/>
        <w:textAlignment w:val="auto"/>
        <w:rPr>
          <w:shd w:val="clear" w:color="auto" w:fill="FFFFFF"/>
        </w:rPr>
      </w:pPr>
      <w:r>
        <w:rPr>
          <w:rFonts w:hint="eastAsia"/>
          <w:shd w:val="clear" w:color="auto" w:fill="FFFFFF"/>
        </w:rPr>
        <w:t>趁鲜加工后的产地片应装入洁净的接料筐内，不得接触地面。</w:t>
      </w:r>
    </w:p>
    <w:p w14:paraId="6A9F02CC">
      <w:pPr>
        <w:pStyle w:val="82"/>
        <w:spacing w:before="156" w:after="156"/>
      </w:pPr>
      <w:r>
        <w:rPr>
          <w:rFonts w:hint="eastAsia"/>
        </w:rPr>
        <w:t>操作管理</w:t>
      </w:r>
    </w:p>
    <w:p w14:paraId="392493D5">
      <w:pPr>
        <w:pStyle w:val="234"/>
        <w:keepNext w:val="0"/>
        <w:keepLines w:val="0"/>
        <w:pageBreakBefore w:val="0"/>
        <w:widowControl/>
        <w:kinsoku/>
        <w:wordWrap/>
        <w:overflowPunct/>
        <w:topLinePunct w:val="0"/>
        <w:autoSpaceDE w:val="0"/>
        <w:autoSpaceDN w:val="0"/>
        <w:bidi w:val="0"/>
        <w:adjustRightInd/>
        <w:snapToGrid/>
        <w:spacing w:line="360" w:lineRule="auto"/>
        <w:textAlignment w:val="auto"/>
        <w:rPr>
          <w:shd w:val="clear" w:color="auto" w:fill="FFFFFF"/>
        </w:rPr>
      </w:pPr>
      <w:r>
        <w:rPr>
          <w:rFonts w:hint="eastAsia"/>
          <w:shd w:val="clear" w:color="auto" w:fill="FFFFFF"/>
        </w:rPr>
        <w:t>员工上岗前应对其进行相关操作培训，具备独立操作能力，按规定操作。</w:t>
      </w:r>
    </w:p>
    <w:p w14:paraId="067E5427">
      <w:pPr>
        <w:pStyle w:val="234"/>
        <w:keepNext w:val="0"/>
        <w:keepLines w:val="0"/>
        <w:pageBreakBefore w:val="0"/>
        <w:widowControl/>
        <w:kinsoku/>
        <w:wordWrap/>
        <w:overflowPunct/>
        <w:topLinePunct w:val="0"/>
        <w:autoSpaceDE w:val="0"/>
        <w:autoSpaceDN w:val="0"/>
        <w:bidi w:val="0"/>
        <w:adjustRightInd/>
        <w:snapToGrid/>
        <w:spacing w:line="360" w:lineRule="auto"/>
        <w:textAlignment w:val="auto"/>
        <w:rPr>
          <w:shd w:val="clear" w:color="auto" w:fill="FFFFFF"/>
        </w:rPr>
      </w:pPr>
      <w:r>
        <w:rPr>
          <w:rFonts w:hint="eastAsia"/>
          <w:shd w:val="clear" w:color="auto" w:fill="FFFFFF"/>
        </w:rPr>
        <w:t>每批次生产时，应挂上相应的状态标识，并填写品名、等级、数量、生产批号、生产日期、操作人等信息。</w:t>
      </w:r>
    </w:p>
    <w:p w14:paraId="60C33BFC">
      <w:pPr>
        <w:pStyle w:val="234"/>
        <w:keepNext w:val="0"/>
        <w:keepLines w:val="0"/>
        <w:pageBreakBefore w:val="0"/>
        <w:widowControl/>
        <w:kinsoku/>
        <w:wordWrap/>
        <w:overflowPunct/>
        <w:topLinePunct w:val="0"/>
        <w:autoSpaceDE w:val="0"/>
        <w:autoSpaceDN w:val="0"/>
        <w:bidi w:val="0"/>
        <w:adjustRightInd/>
        <w:snapToGrid/>
        <w:spacing w:line="360" w:lineRule="auto"/>
        <w:textAlignment w:val="auto"/>
        <w:rPr>
          <w:shd w:val="clear" w:color="auto" w:fill="FFFFFF"/>
        </w:rPr>
      </w:pPr>
      <w:r>
        <w:rPr>
          <w:rFonts w:hint="eastAsia"/>
          <w:shd w:val="clear" w:color="auto" w:fill="FFFFFF"/>
        </w:rPr>
        <w:t>应使用流动的饮用水清洗中药材，不得重复使用。</w:t>
      </w:r>
    </w:p>
    <w:p w14:paraId="27E4DBA6">
      <w:pPr>
        <w:pStyle w:val="234"/>
        <w:keepNext w:val="0"/>
        <w:keepLines w:val="0"/>
        <w:pageBreakBefore w:val="0"/>
        <w:widowControl/>
        <w:kinsoku/>
        <w:wordWrap/>
        <w:overflowPunct/>
        <w:topLinePunct w:val="0"/>
        <w:autoSpaceDE w:val="0"/>
        <w:autoSpaceDN w:val="0"/>
        <w:bidi w:val="0"/>
        <w:adjustRightInd/>
        <w:snapToGrid/>
        <w:spacing w:line="360" w:lineRule="auto"/>
        <w:textAlignment w:val="auto"/>
        <w:rPr>
          <w:shd w:val="clear" w:color="auto" w:fill="FFFFFF"/>
        </w:rPr>
      </w:pPr>
      <w:r>
        <w:rPr>
          <w:rFonts w:hint="eastAsia"/>
          <w:shd w:val="clear" w:color="auto" w:fill="FFFFFF"/>
        </w:rPr>
        <w:t>加工过程中不得加入漂白、杀虫等药剂，不应滥用硫黄熏蒸等。</w:t>
      </w:r>
    </w:p>
    <w:p w14:paraId="62FB3275">
      <w:pPr>
        <w:pStyle w:val="234"/>
        <w:keepNext w:val="0"/>
        <w:keepLines w:val="0"/>
        <w:pageBreakBefore w:val="0"/>
        <w:widowControl/>
        <w:kinsoku/>
        <w:wordWrap/>
        <w:overflowPunct/>
        <w:topLinePunct w:val="0"/>
        <w:autoSpaceDE w:val="0"/>
        <w:autoSpaceDN w:val="0"/>
        <w:bidi w:val="0"/>
        <w:adjustRightInd/>
        <w:snapToGrid/>
        <w:spacing w:line="360" w:lineRule="auto"/>
        <w:textAlignment w:val="auto"/>
        <w:rPr>
          <w:shd w:val="clear" w:color="auto" w:fill="FFFFFF"/>
        </w:rPr>
      </w:pPr>
      <w:r>
        <w:rPr>
          <w:rFonts w:hint="eastAsia"/>
          <w:shd w:val="clear" w:color="auto" w:fill="FFFFFF"/>
        </w:rPr>
        <w:t>中药材投料日期作为加工日期。以同一批中药材，在同一连续加工周期加工的一定数量相对均质的成品为一批。</w:t>
      </w:r>
    </w:p>
    <w:p w14:paraId="0E300F70">
      <w:pPr>
        <w:pStyle w:val="234"/>
        <w:keepNext w:val="0"/>
        <w:keepLines w:val="0"/>
        <w:pageBreakBefore w:val="0"/>
        <w:widowControl/>
        <w:kinsoku/>
        <w:wordWrap/>
        <w:overflowPunct/>
        <w:topLinePunct w:val="0"/>
        <w:autoSpaceDE w:val="0"/>
        <w:autoSpaceDN w:val="0"/>
        <w:bidi w:val="0"/>
        <w:adjustRightInd/>
        <w:snapToGrid/>
        <w:spacing w:line="360" w:lineRule="auto"/>
        <w:textAlignment w:val="auto"/>
      </w:pPr>
      <w:r>
        <w:rPr>
          <w:rFonts w:hint="eastAsia"/>
          <w:shd w:val="clear" w:color="auto" w:fill="FFFFFF"/>
        </w:rPr>
        <w:t>在同一操作间内同时进行不同品种、规格的鲜切药材生产操作应当采取防止交叉污染的隔离措施</w:t>
      </w:r>
      <w:r>
        <w:rPr>
          <w:rFonts w:hint="eastAsia"/>
          <w:shd w:val="clear" w:color="auto" w:fill="FFFFFF"/>
          <w:lang w:eastAsia="zh-CN"/>
        </w:rPr>
        <w:t>。</w:t>
      </w:r>
    </w:p>
    <w:sectPr>
      <w:pgSz w:w="11906" w:h="16838"/>
      <w:pgMar w:top="1928" w:right="1134" w:bottom="1134" w:left="1134" w:header="1418" w:footer="1134" w:gutter="284"/>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EA7EF">
    <w:pPr>
      <w:pStyle w:val="18"/>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551D3C">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FA7F68">
    <w:pPr>
      <w:pStyle w:val="56"/>
    </w:pPr>
    <w:r>
      <w:fldChar w:fldCharType="begin"/>
    </w:r>
    <w:r>
      <w:instrText xml:space="preserve">PAGE   \* MERGEFORMAT</w:instrText>
    </w:r>
    <w:r>
      <w:fldChar w:fldCharType="separate"/>
    </w:r>
    <w:r>
      <w:rPr>
        <w:lang w:val="zh-CN"/>
      </w:rPr>
      <w:t>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1EDB20">
    <w:pPr>
      <w:pStyle w:val="19"/>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136C2">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62CA0">
    <w:pPr>
      <w:pStyle w:val="65"/>
    </w:pPr>
    <w:r>
      <w:fldChar w:fldCharType="begin"/>
    </w:r>
    <w:r>
      <w:instrText xml:space="preserve"> STYLEREF  标准文件_文件编号  \* MERGEFORMAT </w:instrText>
    </w:r>
    <w:r>
      <w:fldChar w:fldCharType="separate"/>
    </w:r>
    <w:r>
      <w:t>DB 14/T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4994A">
    <w:pPr>
      <w:pStyle w:val="19"/>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14/T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pStyle w:val="239"/>
      <w:suff w:val="nothing"/>
      <w:lvlText w:val="%1.%2　"/>
      <w:lvlJc w:val="left"/>
      <w:pPr>
        <w:ind w:left="0" w:firstLine="0"/>
      </w:pPr>
    </w:lvl>
    <w:lvl w:ilvl="2" w:tentative="0">
      <w:start w:val="1"/>
      <w:numFmt w:val="decimal"/>
      <w:pStyle w:val="238"/>
      <w:suff w:val="nothing"/>
      <w:lvlText w:val="%1.%2.%3　"/>
      <w:lvlJc w:val="left"/>
      <w:pPr>
        <w:ind w:left="142"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8"/>
      <w:lvlText w:val="%1)"/>
      <w:lvlJc w:val="left"/>
      <w:pPr>
        <w:tabs>
          <w:tab w:val="left" w:pos="851"/>
        </w:tabs>
        <w:ind w:left="851" w:hanging="426"/>
      </w:pPr>
      <w:rPr>
        <w:rFonts w:hint="eastAsia" w:ascii="宋体" w:hAnsi="Times New Roman" w:eastAsia="宋体"/>
        <w:sz w:val="21"/>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attachedTemplate r:id="rId1"/>
  <w:documentProtection w:edit="forms" w:enforcement="1" w:cryptProviderType="rsaAES" w:cryptAlgorithmClass="hash" w:cryptAlgorithmType="typeAny" w:cryptAlgorithmSid="14" w:cryptSpinCount="100000" w:hash="n43+QS5pVPRarW7hO1UeIMY4anZ3wDNrGErXyFHoY2A1hFoDCIE57oV0jQmIWB8vy/4UOz+JfhnFvWhjYTBMIQ==" w:salt="WYOIodvmwTtRWBAjU7wJA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k1YzYyMGIwYmQ4MzFhYjExY2Y2NWM5NGJjZjcyOTEifQ=="/>
  </w:docVars>
  <w:rsids>
    <w:rsidRoot w:val="00F25AE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07E"/>
    <w:rsid w:val="0006357D"/>
    <w:rsid w:val="00067F1E"/>
    <w:rsid w:val="00071CC0"/>
    <w:rsid w:val="00073C8C"/>
    <w:rsid w:val="00077B64"/>
    <w:rsid w:val="00080A1C"/>
    <w:rsid w:val="00082317"/>
    <w:rsid w:val="00083D2C"/>
    <w:rsid w:val="00086AA1"/>
    <w:rsid w:val="00087A77"/>
    <w:rsid w:val="00090CA6"/>
    <w:rsid w:val="000923C3"/>
    <w:rsid w:val="00092B8A"/>
    <w:rsid w:val="00092FB0"/>
    <w:rsid w:val="000934C5"/>
    <w:rsid w:val="00093D25"/>
    <w:rsid w:val="00093DAB"/>
    <w:rsid w:val="00094D73"/>
    <w:rsid w:val="00096D63"/>
    <w:rsid w:val="000A0B3E"/>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741"/>
    <w:rsid w:val="000C7666"/>
    <w:rsid w:val="000D0A9C"/>
    <w:rsid w:val="000D1795"/>
    <w:rsid w:val="000D329A"/>
    <w:rsid w:val="000D4B9C"/>
    <w:rsid w:val="000D4EB6"/>
    <w:rsid w:val="000D753B"/>
    <w:rsid w:val="000E4C9E"/>
    <w:rsid w:val="000E509F"/>
    <w:rsid w:val="000E5E06"/>
    <w:rsid w:val="000E6B11"/>
    <w:rsid w:val="000E6FD7"/>
    <w:rsid w:val="000F06E1"/>
    <w:rsid w:val="000F0E3C"/>
    <w:rsid w:val="000F19D5"/>
    <w:rsid w:val="000F4AEA"/>
    <w:rsid w:val="000F4F76"/>
    <w:rsid w:val="000F633F"/>
    <w:rsid w:val="000F67E9"/>
    <w:rsid w:val="00104926"/>
    <w:rsid w:val="0011363F"/>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153"/>
    <w:rsid w:val="00142969"/>
    <w:rsid w:val="001446C2"/>
    <w:rsid w:val="001457E7"/>
    <w:rsid w:val="00145D9D"/>
    <w:rsid w:val="00146388"/>
    <w:rsid w:val="001523A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DB9"/>
    <w:rsid w:val="00170804"/>
    <w:rsid w:val="001708E9"/>
    <w:rsid w:val="0017340B"/>
    <w:rsid w:val="00173FB1"/>
    <w:rsid w:val="00176DFD"/>
    <w:rsid w:val="001852C9"/>
    <w:rsid w:val="00190087"/>
    <w:rsid w:val="001913C4"/>
    <w:rsid w:val="0019348F"/>
    <w:rsid w:val="001936CE"/>
    <w:rsid w:val="00193A07"/>
    <w:rsid w:val="00194C95"/>
    <w:rsid w:val="00195C34"/>
    <w:rsid w:val="00196EF5"/>
    <w:rsid w:val="001A1A53"/>
    <w:rsid w:val="001A234A"/>
    <w:rsid w:val="001A4CF3"/>
    <w:rsid w:val="001B06E8"/>
    <w:rsid w:val="001B71D0"/>
    <w:rsid w:val="001B71EE"/>
    <w:rsid w:val="001B7856"/>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43F"/>
    <w:rsid w:val="002142EA"/>
    <w:rsid w:val="00216611"/>
    <w:rsid w:val="002204BB"/>
    <w:rsid w:val="00221B79"/>
    <w:rsid w:val="00221C6B"/>
    <w:rsid w:val="002253A1"/>
    <w:rsid w:val="00225CF8"/>
    <w:rsid w:val="0022794E"/>
    <w:rsid w:val="00233D64"/>
    <w:rsid w:val="0023482A"/>
    <w:rsid w:val="002359CB"/>
    <w:rsid w:val="002425F3"/>
    <w:rsid w:val="00243540"/>
    <w:rsid w:val="0024497B"/>
    <w:rsid w:val="0024515B"/>
    <w:rsid w:val="00246021"/>
    <w:rsid w:val="0024666E"/>
    <w:rsid w:val="00247F52"/>
    <w:rsid w:val="002501A0"/>
    <w:rsid w:val="00250B25"/>
    <w:rsid w:val="00250BBE"/>
    <w:rsid w:val="002515C2"/>
    <w:rsid w:val="0025194F"/>
    <w:rsid w:val="00255081"/>
    <w:rsid w:val="0026148A"/>
    <w:rsid w:val="00262696"/>
    <w:rsid w:val="00263D25"/>
    <w:rsid w:val="002643C3"/>
    <w:rsid w:val="00264A0C"/>
    <w:rsid w:val="00266EEB"/>
    <w:rsid w:val="00267EF4"/>
    <w:rsid w:val="00270CB8"/>
    <w:rsid w:val="00272B08"/>
    <w:rsid w:val="00273D92"/>
    <w:rsid w:val="00276F1A"/>
    <w:rsid w:val="002771AC"/>
    <w:rsid w:val="00281BB8"/>
    <w:rsid w:val="00281E9E"/>
    <w:rsid w:val="00282405"/>
    <w:rsid w:val="00282C7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3C8"/>
    <w:rsid w:val="002B7332"/>
    <w:rsid w:val="002B7F51"/>
    <w:rsid w:val="002C09E7"/>
    <w:rsid w:val="002C1E06"/>
    <w:rsid w:val="002C1E1C"/>
    <w:rsid w:val="002C3F07"/>
    <w:rsid w:val="002C5278"/>
    <w:rsid w:val="002C7EBB"/>
    <w:rsid w:val="002D06C1"/>
    <w:rsid w:val="002D353C"/>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0C32"/>
    <w:rsid w:val="003331E4"/>
    <w:rsid w:val="00336C64"/>
    <w:rsid w:val="00337162"/>
    <w:rsid w:val="00340C4F"/>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4AC"/>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920"/>
    <w:rsid w:val="00516088"/>
    <w:rsid w:val="00516B0B"/>
    <w:rsid w:val="005220EC"/>
    <w:rsid w:val="00523F95"/>
    <w:rsid w:val="00524D65"/>
    <w:rsid w:val="00525B16"/>
    <w:rsid w:val="005277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94F"/>
    <w:rsid w:val="00587ADD"/>
    <w:rsid w:val="00591E27"/>
    <w:rsid w:val="00592B8D"/>
    <w:rsid w:val="00595EBB"/>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5F5AEA"/>
    <w:rsid w:val="006015CE"/>
    <w:rsid w:val="00604784"/>
    <w:rsid w:val="00606419"/>
    <w:rsid w:val="006066DD"/>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472C7"/>
    <w:rsid w:val="0065064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198A"/>
    <w:rsid w:val="006A25E5"/>
    <w:rsid w:val="006A2B46"/>
    <w:rsid w:val="006A336D"/>
    <w:rsid w:val="006A37B9"/>
    <w:rsid w:val="006B2672"/>
    <w:rsid w:val="006B54BF"/>
    <w:rsid w:val="006B5F44"/>
    <w:rsid w:val="006B5F90"/>
    <w:rsid w:val="006B62E4"/>
    <w:rsid w:val="006C1BBA"/>
    <w:rsid w:val="006C2079"/>
    <w:rsid w:val="006C3468"/>
    <w:rsid w:val="006C5A62"/>
    <w:rsid w:val="006C5D68"/>
    <w:rsid w:val="006C6976"/>
    <w:rsid w:val="006C6DD0"/>
    <w:rsid w:val="006D04EA"/>
    <w:rsid w:val="006D0AB7"/>
    <w:rsid w:val="006D16C4"/>
    <w:rsid w:val="006D20C6"/>
    <w:rsid w:val="006D3E96"/>
    <w:rsid w:val="006D4515"/>
    <w:rsid w:val="006D4A33"/>
    <w:rsid w:val="006D4BB1"/>
    <w:rsid w:val="006D62FA"/>
    <w:rsid w:val="006D6593"/>
    <w:rsid w:val="006D6F82"/>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0FD5"/>
    <w:rsid w:val="0074165C"/>
    <w:rsid w:val="00742C35"/>
    <w:rsid w:val="007432CA"/>
    <w:rsid w:val="007439EB"/>
    <w:rsid w:val="00743CB4"/>
    <w:rsid w:val="00743D07"/>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3D03"/>
    <w:rsid w:val="007D3F84"/>
    <w:rsid w:val="007D6518"/>
    <w:rsid w:val="007D76BD"/>
    <w:rsid w:val="007E0BF1"/>
    <w:rsid w:val="007F0ED8"/>
    <w:rsid w:val="007F0F63"/>
    <w:rsid w:val="007F75CE"/>
    <w:rsid w:val="008013A4"/>
    <w:rsid w:val="008027CE"/>
    <w:rsid w:val="00802F42"/>
    <w:rsid w:val="00804383"/>
    <w:rsid w:val="008049BF"/>
    <w:rsid w:val="00804BB7"/>
    <w:rsid w:val="00804D41"/>
    <w:rsid w:val="00807B81"/>
    <w:rsid w:val="00810257"/>
    <w:rsid w:val="008104F5"/>
    <w:rsid w:val="00811072"/>
    <w:rsid w:val="00811369"/>
    <w:rsid w:val="00813E07"/>
    <w:rsid w:val="00815419"/>
    <w:rsid w:val="008163C8"/>
    <w:rsid w:val="008164A1"/>
    <w:rsid w:val="00816E0C"/>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C55"/>
    <w:rsid w:val="00863E05"/>
    <w:rsid w:val="00865ACA"/>
    <w:rsid w:val="00865D28"/>
    <w:rsid w:val="00865F85"/>
    <w:rsid w:val="00867C10"/>
    <w:rsid w:val="00870439"/>
    <w:rsid w:val="00870DA1"/>
    <w:rsid w:val="0087582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30A"/>
    <w:rsid w:val="008A147F"/>
    <w:rsid w:val="008A1893"/>
    <w:rsid w:val="008A3215"/>
    <w:rsid w:val="008A57E6"/>
    <w:rsid w:val="008A6F81"/>
    <w:rsid w:val="008A735C"/>
    <w:rsid w:val="008A769A"/>
    <w:rsid w:val="008B0C9C"/>
    <w:rsid w:val="008B166D"/>
    <w:rsid w:val="008B17F4"/>
    <w:rsid w:val="008B3615"/>
    <w:rsid w:val="008B4AC4"/>
    <w:rsid w:val="008B50C8"/>
    <w:rsid w:val="008B5281"/>
    <w:rsid w:val="008B7BA7"/>
    <w:rsid w:val="008B7E05"/>
    <w:rsid w:val="008C1797"/>
    <w:rsid w:val="008C219C"/>
    <w:rsid w:val="008C2718"/>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3B8B"/>
    <w:rsid w:val="009245F5"/>
    <w:rsid w:val="009249EC"/>
    <w:rsid w:val="009273B3"/>
    <w:rsid w:val="009305B5"/>
    <w:rsid w:val="009429D5"/>
    <w:rsid w:val="00942BF1"/>
    <w:rsid w:val="00945180"/>
    <w:rsid w:val="00945428"/>
    <w:rsid w:val="0094607B"/>
    <w:rsid w:val="00953604"/>
    <w:rsid w:val="0095496B"/>
    <w:rsid w:val="00960B14"/>
    <w:rsid w:val="009610DC"/>
    <w:rsid w:val="00961490"/>
    <w:rsid w:val="0096381A"/>
    <w:rsid w:val="009656CD"/>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181B"/>
    <w:rsid w:val="009A21CD"/>
    <w:rsid w:val="009A278C"/>
    <w:rsid w:val="009A2BC2"/>
    <w:rsid w:val="009A42C1"/>
    <w:rsid w:val="009A5429"/>
    <w:rsid w:val="009A72AD"/>
    <w:rsid w:val="009B09E0"/>
    <w:rsid w:val="009B0BC5"/>
    <w:rsid w:val="009B1247"/>
    <w:rsid w:val="009B46F9"/>
    <w:rsid w:val="009B6029"/>
    <w:rsid w:val="009B6971"/>
    <w:rsid w:val="009C07EA"/>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9F2195"/>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7209"/>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6C6"/>
    <w:rsid w:val="00A648CD"/>
    <w:rsid w:val="00A6537A"/>
    <w:rsid w:val="00A66DF5"/>
    <w:rsid w:val="00A67866"/>
    <w:rsid w:val="00A70B07"/>
    <w:rsid w:val="00A723F8"/>
    <w:rsid w:val="00A77CCB"/>
    <w:rsid w:val="00A83D8D"/>
    <w:rsid w:val="00A8446B"/>
    <w:rsid w:val="00A8473F"/>
    <w:rsid w:val="00A862D6"/>
    <w:rsid w:val="00A8715E"/>
    <w:rsid w:val="00A87CCE"/>
    <w:rsid w:val="00A9295B"/>
    <w:rsid w:val="00A93B09"/>
    <w:rsid w:val="00A94247"/>
    <w:rsid w:val="00A952D7"/>
    <w:rsid w:val="00A963F7"/>
    <w:rsid w:val="00A96AD8"/>
    <w:rsid w:val="00AA052C"/>
    <w:rsid w:val="00AA1E45"/>
    <w:rsid w:val="00AA4286"/>
    <w:rsid w:val="00AA456B"/>
    <w:rsid w:val="00AA57F5"/>
    <w:rsid w:val="00AA5B91"/>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2CA4"/>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300"/>
    <w:rsid w:val="00B66567"/>
    <w:rsid w:val="00B66F52"/>
    <w:rsid w:val="00B66FE5"/>
    <w:rsid w:val="00B72880"/>
    <w:rsid w:val="00B758BF"/>
    <w:rsid w:val="00B77EC8"/>
    <w:rsid w:val="00B827A6"/>
    <w:rsid w:val="00B831CE"/>
    <w:rsid w:val="00B86677"/>
    <w:rsid w:val="00B87131"/>
    <w:rsid w:val="00B939B1"/>
    <w:rsid w:val="00B94428"/>
    <w:rsid w:val="00B95E77"/>
    <w:rsid w:val="00B96D40"/>
    <w:rsid w:val="00B97386"/>
    <w:rsid w:val="00BA0554"/>
    <w:rsid w:val="00BA263B"/>
    <w:rsid w:val="00BA31FE"/>
    <w:rsid w:val="00BA42B2"/>
    <w:rsid w:val="00BA58D4"/>
    <w:rsid w:val="00BA5B9E"/>
    <w:rsid w:val="00BA7C9A"/>
    <w:rsid w:val="00BB1BEF"/>
    <w:rsid w:val="00BB203B"/>
    <w:rsid w:val="00BB524B"/>
    <w:rsid w:val="00BB5F8F"/>
    <w:rsid w:val="00BB657A"/>
    <w:rsid w:val="00BC1A4E"/>
    <w:rsid w:val="00BC4790"/>
    <w:rsid w:val="00BC5DC7"/>
    <w:rsid w:val="00BC6B8B"/>
    <w:rsid w:val="00BC73D8"/>
    <w:rsid w:val="00BD52D7"/>
    <w:rsid w:val="00BD5AD2"/>
    <w:rsid w:val="00BD70C5"/>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1EA3"/>
    <w:rsid w:val="00C22148"/>
    <w:rsid w:val="00C24C8D"/>
    <w:rsid w:val="00C25FE2"/>
    <w:rsid w:val="00C26B53"/>
    <w:rsid w:val="00C273B7"/>
    <w:rsid w:val="00C279B2"/>
    <w:rsid w:val="00C33E50"/>
    <w:rsid w:val="00C34C20"/>
    <w:rsid w:val="00C35A3E"/>
    <w:rsid w:val="00C42130"/>
    <w:rsid w:val="00C423A4"/>
    <w:rsid w:val="00C44BF5"/>
    <w:rsid w:val="00C521C1"/>
    <w:rsid w:val="00C521D6"/>
    <w:rsid w:val="00C55232"/>
    <w:rsid w:val="00C553A4"/>
    <w:rsid w:val="00C55A06"/>
    <w:rsid w:val="00C55D03"/>
    <w:rsid w:val="00C601BC"/>
    <w:rsid w:val="00C620FE"/>
    <w:rsid w:val="00C6329F"/>
    <w:rsid w:val="00C63340"/>
    <w:rsid w:val="00C643F9"/>
    <w:rsid w:val="00C64E95"/>
    <w:rsid w:val="00C71372"/>
    <w:rsid w:val="00C72410"/>
    <w:rsid w:val="00C7287F"/>
    <w:rsid w:val="00C736E4"/>
    <w:rsid w:val="00C76CF1"/>
    <w:rsid w:val="00C80982"/>
    <w:rsid w:val="00C80CB8"/>
    <w:rsid w:val="00C819F8"/>
    <w:rsid w:val="00C81A37"/>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32E2"/>
    <w:rsid w:val="00CD4092"/>
    <w:rsid w:val="00CD4A20"/>
    <w:rsid w:val="00CD508F"/>
    <w:rsid w:val="00CD50A1"/>
    <w:rsid w:val="00CD519E"/>
    <w:rsid w:val="00CD561D"/>
    <w:rsid w:val="00CE0C4F"/>
    <w:rsid w:val="00CE30EA"/>
    <w:rsid w:val="00CE7CED"/>
    <w:rsid w:val="00CF048A"/>
    <w:rsid w:val="00CF155A"/>
    <w:rsid w:val="00CF2947"/>
    <w:rsid w:val="00CF686F"/>
    <w:rsid w:val="00CF6E60"/>
    <w:rsid w:val="00CF7BCA"/>
    <w:rsid w:val="00D008FD"/>
    <w:rsid w:val="00D0321C"/>
    <w:rsid w:val="00D035EC"/>
    <w:rsid w:val="00D03686"/>
    <w:rsid w:val="00D06AB1"/>
    <w:rsid w:val="00D072ED"/>
    <w:rsid w:val="00D07A16"/>
    <w:rsid w:val="00D1067E"/>
    <w:rsid w:val="00D10F50"/>
    <w:rsid w:val="00D11272"/>
    <w:rsid w:val="00D11F58"/>
    <w:rsid w:val="00D126F5"/>
    <w:rsid w:val="00D13D83"/>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890"/>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6EC5"/>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45E1"/>
    <w:rsid w:val="00E15CCD"/>
    <w:rsid w:val="00E202EF"/>
    <w:rsid w:val="00E210B5"/>
    <w:rsid w:val="00E23D99"/>
    <w:rsid w:val="00E24A63"/>
    <w:rsid w:val="00E2552F"/>
    <w:rsid w:val="00E3137A"/>
    <w:rsid w:val="00E32CCF"/>
    <w:rsid w:val="00E34A98"/>
    <w:rsid w:val="00E35D1E"/>
    <w:rsid w:val="00E364F9"/>
    <w:rsid w:val="00E365FA"/>
    <w:rsid w:val="00E36789"/>
    <w:rsid w:val="00E44A83"/>
    <w:rsid w:val="00E502C1"/>
    <w:rsid w:val="00E502DD"/>
    <w:rsid w:val="00E50B35"/>
    <w:rsid w:val="00E50D3A"/>
    <w:rsid w:val="00E51387"/>
    <w:rsid w:val="00E51E68"/>
    <w:rsid w:val="00E52EFD"/>
    <w:rsid w:val="00E5408A"/>
    <w:rsid w:val="00E56800"/>
    <w:rsid w:val="00E60C63"/>
    <w:rsid w:val="00E62FF9"/>
    <w:rsid w:val="00E635D6"/>
    <w:rsid w:val="00E639BC"/>
    <w:rsid w:val="00E664CC"/>
    <w:rsid w:val="00E70388"/>
    <w:rsid w:val="00E70F92"/>
    <w:rsid w:val="00E74B6C"/>
    <w:rsid w:val="00E74C54"/>
    <w:rsid w:val="00E77A03"/>
    <w:rsid w:val="00E80FEC"/>
    <w:rsid w:val="00E822E8"/>
    <w:rsid w:val="00E82554"/>
    <w:rsid w:val="00E82606"/>
    <w:rsid w:val="00E846C8"/>
    <w:rsid w:val="00E84957"/>
    <w:rsid w:val="00E84A55"/>
    <w:rsid w:val="00E85BFF"/>
    <w:rsid w:val="00E90391"/>
    <w:rsid w:val="00E906C2"/>
    <w:rsid w:val="00E912D9"/>
    <w:rsid w:val="00E9311F"/>
    <w:rsid w:val="00E934D1"/>
    <w:rsid w:val="00E94AF0"/>
    <w:rsid w:val="00E95D13"/>
    <w:rsid w:val="00E95DD3"/>
    <w:rsid w:val="00E969D5"/>
    <w:rsid w:val="00EA58D1"/>
    <w:rsid w:val="00EA61BC"/>
    <w:rsid w:val="00EA681A"/>
    <w:rsid w:val="00EA735B"/>
    <w:rsid w:val="00EB1205"/>
    <w:rsid w:val="00EB17DE"/>
    <w:rsid w:val="00EB1E69"/>
    <w:rsid w:val="00EB2086"/>
    <w:rsid w:val="00EB5EDF"/>
    <w:rsid w:val="00EB60FE"/>
    <w:rsid w:val="00EB74DB"/>
    <w:rsid w:val="00EC5359"/>
    <w:rsid w:val="00EC562A"/>
    <w:rsid w:val="00EC7ACD"/>
    <w:rsid w:val="00ED067A"/>
    <w:rsid w:val="00ED2B50"/>
    <w:rsid w:val="00ED5DD6"/>
    <w:rsid w:val="00EE0350"/>
    <w:rsid w:val="00EE0719"/>
    <w:rsid w:val="00EE0E80"/>
    <w:rsid w:val="00EE54A6"/>
    <w:rsid w:val="00EE613F"/>
    <w:rsid w:val="00EE7295"/>
    <w:rsid w:val="00EE7869"/>
    <w:rsid w:val="00EF054A"/>
    <w:rsid w:val="00EF3235"/>
    <w:rsid w:val="00EF6A43"/>
    <w:rsid w:val="00EF7C01"/>
    <w:rsid w:val="00EF7E72"/>
    <w:rsid w:val="00F06D37"/>
    <w:rsid w:val="00F07B9D"/>
    <w:rsid w:val="00F11586"/>
    <w:rsid w:val="00F1183B"/>
    <w:rsid w:val="00F11C9F"/>
    <w:rsid w:val="00F12263"/>
    <w:rsid w:val="00F1409D"/>
    <w:rsid w:val="00F14214"/>
    <w:rsid w:val="00F157A9"/>
    <w:rsid w:val="00F25AED"/>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0BF"/>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FAAC72"/>
    <w:rsid w:val="0A2A37A7"/>
    <w:rsid w:val="0AAA2B3A"/>
    <w:rsid w:val="0B927856"/>
    <w:rsid w:val="0D162AE4"/>
    <w:rsid w:val="0DCC3438"/>
    <w:rsid w:val="11B37AC5"/>
    <w:rsid w:val="11CE4E10"/>
    <w:rsid w:val="1287001B"/>
    <w:rsid w:val="12A24780"/>
    <w:rsid w:val="12D35525"/>
    <w:rsid w:val="12DD1CFF"/>
    <w:rsid w:val="132C233E"/>
    <w:rsid w:val="147D5C83"/>
    <w:rsid w:val="194D2A56"/>
    <w:rsid w:val="195645B9"/>
    <w:rsid w:val="1A5EB242"/>
    <w:rsid w:val="1B270B80"/>
    <w:rsid w:val="1D46345F"/>
    <w:rsid w:val="1FD55C74"/>
    <w:rsid w:val="210F6987"/>
    <w:rsid w:val="23266752"/>
    <w:rsid w:val="23DE7685"/>
    <w:rsid w:val="240B41F2"/>
    <w:rsid w:val="25774B70"/>
    <w:rsid w:val="2976406C"/>
    <w:rsid w:val="29922AF3"/>
    <w:rsid w:val="2C153962"/>
    <w:rsid w:val="2CA8455D"/>
    <w:rsid w:val="2EF2085E"/>
    <w:rsid w:val="2F631C1E"/>
    <w:rsid w:val="2F961D80"/>
    <w:rsid w:val="31C322F1"/>
    <w:rsid w:val="33622C66"/>
    <w:rsid w:val="35F66912"/>
    <w:rsid w:val="36162ED4"/>
    <w:rsid w:val="383C09C6"/>
    <w:rsid w:val="384D4173"/>
    <w:rsid w:val="38A92314"/>
    <w:rsid w:val="39202EF7"/>
    <w:rsid w:val="3CEA40BA"/>
    <w:rsid w:val="3E976956"/>
    <w:rsid w:val="3FFE510E"/>
    <w:rsid w:val="40A83A74"/>
    <w:rsid w:val="436A3372"/>
    <w:rsid w:val="43CE2303"/>
    <w:rsid w:val="44600A72"/>
    <w:rsid w:val="45DB2708"/>
    <w:rsid w:val="4660084F"/>
    <w:rsid w:val="46FA1386"/>
    <w:rsid w:val="4DAD0258"/>
    <w:rsid w:val="4FF37764"/>
    <w:rsid w:val="51071E17"/>
    <w:rsid w:val="53E61ABA"/>
    <w:rsid w:val="55273931"/>
    <w:rsid w:val="558D64BD"/>
    <w:rsid w:val="55E029C8"/>
    <w:rsid w:val="56B9550D"/>
    <w:rsid w:val="57820CD3"/>
    <w:rsid w:val="58030293"/>
    <w:rsid w:val="59F547B1"/>
    <w:rsid w:val="5C035899"/>
    <w:rsid w:val="5D73508C"/>
    <w:rsid w:val="5F57261A"/>
    <w:rsid w:val="5FFF5DDA"/>
    <w:rsid w:val="62FB5319"/>
    <w:rsid w:val="67AA7B00"/>
    <w:rsid w:val="69117F4F"/>
    <w:rsid w:val="6B843383"/>
    <w:rsid w:val="6DE52771"/>
    <w:rsid w:val="6DF534BC"/>
    <w:rsid w:val="70741DA4"/>
    <w:rsid w:val="70B7060E"/>
    <w:rsid w:val="71132317"/>
    <w:rsid w:val="71885E4B"/>
    <w:rsid w:val="73794539"/>
    <w:rsid w:val="744B4148"/>
    <w:rsid w:val="74604A84"/>
    <w:rsid w:val="763A1732"/>
    <w:rsid w:val="782F27BD"/>
    <w:rsid w:val="78700FF3"/>
    <w:rsid w:val="7AFEC4E1"/>
    <w:rsid w:val="7BC557EC"/>
    <w:rsid w:val="7C572DED"/>
    <w:rsid w:val="7DD10836"/>
    <w:rsid w:val="7DF7434A"/>
    <w:rsid w:val="D77FCF1F"/>
    <w:rsid w:val="DF5DFA4D"/>
    <w:rsid w:val="E4DC36D7"/>
    <w:rsid w:val="EDAEFD2F"/>
    <w:rsid w:val="F79FFCD1"/>
    <w:rsid w:val="FADC19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3"/>
    <w:next w:val="1"/>
    <w:link w:val="38"/>
    <w:qFormat/>
    <w:uiPriority w:val="0"/>
    <w:pPr>
      <w:keepNext/>
      <w:keepLines/>
      <w:spacing w:before="340" w:after="330" w:line="578" w:lineRule="auto"/>
      <w:outlineLvl w:val="0"/>
    </w:pPr>
    <w:rPr>
      <w:kern w:val="44"/>
      <w:sz w:val="44"/>
      <w:szCs w:val="44"/>
    </w:rPr>
  </w:style>
  <w:style w:type="paragraph" w:styleId="3">
    <w:name w:val="heading 2"/>
    <w:basedOn w:val="4"/>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40"/>
    <w:qFormat/>
    <w:uiPriority w:val="0"/>
    <w:pPr>
      <w:keepNext/>
      <w:keepLines/>
      <w:spacing w:before="260" w:after="260" w:line="416" w:lineRule="auto"/>
      <w:outlineLvl w:val="2"/>
    </w:pPr>
    <w:rPr>
      <w:b/>
      <w:bCs/>
      <w:sz w:val="32"/>
      <w:szCs w:val="32"/>
    </w:rPr>
  </w:style>
  <w:style w:type="paragraph" w:styleId="6">
    <w:name w:val="heading 4"/>
    <w:basedOn w:val="7"/>
    <w:next w:val="1"/>
    <w:link w:val="41"/>
    <w:qFormat/>
    <w:uiPriority w:val="0"/>
    <w:pPr>
      <w:keepNext/>
      <w:keepLines/>
      <w:spacing w:before="280" w:after="290" w:line="376" w:lineRule="auto"/>
      <w:outlineLvl w:val="3"/>
    </w:pPr>
    <w:rPr>
      <w:rFonts w:ascii="Arial" w:hAnsi="Arial" w:eastAsia="黑体"/>
      <w:sz w:val="28"/>
      <w:szCs w:val="28"/>
    </w:rPr>
  </w:style>
  <w:style w:type="paragraph" w:styleId="7">
    <w:name w:val="heading 5"/>
    <w:basedOn w:val="4"/>
    <w:next w:val="1"/>
    <w:link w:val="42"/>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4">
    <w:name w:val="Normal (Web)"/>
    <w:basedOn w:val="1"/>
    <w:qFormat/>
    <w:uiPriority w:val="0"/>
    <w:pPr>
      <w:spacing w:beforeAutospacing="1" w:afterAutospacing="1"/>
      <w:jc w:val="left"/>
    </w:pPr>
    <w:rPr>
      <w:rFonts w:cs="Times New Roman"/>
      <w:kern w:val="0"/>
      <w:sz w:val="24"/>
    </w:rPr>
  </w:style>
  <w:style w:type="paragraph" w:styleId="12">
    <w:name w:val="toc 7"/>
    <w:basedOn w:val="1"/>
    <w:next w:val="1"/>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Body Text"/>
    <w:basedOn w:val="1"/>
    <w:link w:val="9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9"/>
    <w:semiHidden/>
    <w:unhideWhenUsed/>
    <w:qFormat/>
    <w:uiPriority w:val="99"/>
    <w:rPr>
      <w:sz w:val="18"/>
      <w:szCs w:val="18"/>
    </w:rPr>
  </w:style>
  <w:style w:type="paragraph" w:styleId="18">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HTML Preformatted"/>
    <w:basedOn w:val="1"/>
    <w:link w:val="23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jc w:val="left"/>
    </w:pPr>
    <w:rPr>
      <w:rFonts w:hint="eastAsia" w:ascii="宋体" w:hAnsi="宋体"/>
      <w:kern w:val="0"/>
      <w:sz w:val="24"/>
      <w:szCs w:val="24"/>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basedOn w:val="30"/>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paragraph" w:customStyle="1" w:styleId="36">
    <w:name w:val="正文首行缩进 21"/>
    <w:basedOn w:val="37"/>
    <w:next w:val="4"/>
    <w:qFormat/>
    <w:uiPriority w:val="0"/>
    <w:rPr>
      <w:rFonts w:eastAsia="仿宋_GB2312"/>
      <w:sz w:val="32"/>
      <w:szCs w:val="32"/>
    </w:rPr>
  </w:style>
  <w:style w:type="paragraph" w:customStyle="1" w:styleId="37">
    <w:name w:val="正文文本缩进1"/>
    <w:basedOn w:val="1"/>
    <w:qFormat/>
    <w:uiPriority w:val="0"/>
    <w:pPr>
      <w:ind w:left="200" w:leftChars="200"/>
    </w:pPr>
  </w:style>
  <w:style w:type="character" w:customStyle="1" w:styleId="38">
    <w:name w:val="标题 1 字符"/>
    <w:link w:val="2"/>
    <w:qFormat/>
    <w:uiPriority w:val="0"/>
    <w:rPr>
      <w:b/>
      <w:bCs/>
      <w:kern w:val="44"/>
      <w:sz w:val="44"/>
      <w:szCs w:val="44"/>
    </w:rPr>
  </w:style>
  <w:style w:type="character" w:customStyle="1" w:styleId="39">
    <w:name w:val="标题 2 字符"/>
    <w:link w:val="3"/>
    <w:qFormat/>
    <w:uiPriority w:val="0"/>
    <w:rPr>
      <w:rFonts w:ascii="Arial" w:hAnsi="Arial" w:eastAsia="黑体"/>
      <w:b/>
      <w:bCs/>
      <w:kern w:val="2"/>
      <w:sz w:val="32"/>
      <w:szCs w:val="32"/>
    </w:rPr>
  </w:style>
  <w:style w:type="character" w:customStyle="1" w:styleId="40">
    <w:name w:val="标题 3 字符"/>
    <w:link w:val="5"/>
    <w:qFormat/>
    <w:uiPriority w:val="0"/>
    <w:rPr>
      <w:b/>
      <w:bCs/>
      <w:kern w:val="2"/>
      <w:sz w:val="32"/>
      <w:szCs w:val="32"/>
    </w:rPr>
  </w:style>
  <w:style w:type="character" w:customStyle="1" w:styleId="41">
    <w:name w:val="标题 4 字符"/>
    <w:basedOn w:val="30"/>
    <w:link w:val="6"/>
    <w:qFormat/>
    <w:uiPriority w:val="0"/>
    <w:rPr>
      <w:rFonts w:ascii="Arial" w:hAnsi="Arial" w:eastAsia="黑体"/>
      <w:b/>
      <w:bCs/>
      <w:kern w:val="2"/>
      <w:sz w:val="28"/>
      <w:szCs w:val="28"/>
    </w:rPr>
  </w:style>
  <w:style w:type="character" w:customStyle="1" w:styleId="42">
    <w:name w:val="标题 5 字符"/>
    <w:link w:val="7"/>
    <w:qFormat/>
    <w:uiPriority w:val="0"/>
    <w:rPr>
      <w:b/>
      <w:bCs/>
      <w:kern w:val="2"/>
      <w:sz w:val="28"/>
      <w:szCs w:val="28"/>
    </w:rPr>
  </w:style>
  <w:style w:type="character" w:customStyle="1" w:styleId="43">
    <w:name w:val="标题 6 字符"/>
    <w:link w:val="8"/>
    <w:qFormat/>
    <w:uiPriority w:val="0"/>
    <w:rPr>
      <w:rFonts w:ascii="Arial" w:hAnsi="Arial" w:eastAsia="黑体"/>
      <w:b/>
      <w:bCs/>
      <w:kern w:val="2"/>
      <w:sz w:val="24"/>
      <w:szCs w:val="24"/>
    </w:rPr>
  </w:style>
  <w:style w:type="character" w:customStyle="1" w:styleId="44">
    <w:name w:val="标题 7 字符"/>
    <w:link w:val="9"/>
    <w:qFormat/>
    <w:uiPriority w:val="0"/>
    <w:rPr>
      <w:b/>
      <w:bCs/>
      <w:kern w:val="2"/>
      <w:sz w:val="24"/>
      <w:szCs w:val="24"/>
    </w:rPr>
  </w:style>
  <w:style w:type="character" w:customStyle="1" w:styleId="45">
    <w:name w:val="标题 8 字符"/>
    <w:link w:val="10"/>
    <w:qFormat/>
    <w:uiPriority w:val="0"/>
    <w:rPr>
      <w:rFonts w:ascii="Arial" w:hAnsi="Arial" w:eastAsia="黑体"/>
      <w:kern w:val="2"/>
      <w:sz w:val="24"/>
      <w:szCs w:val="24"/>
    </w:rPr>
  </w:style>
  <w:style w:type="character" w:customStyle="1" w:styleId="46">
    <w:name w:val="标题 9 字符"/>
    <w:link w:val="11"/>
    <w:qFormat/>
    <w:uiPriority w:val="0"/>
    <w:rPr>
      <w:rFonts w:ascii="Arial" w:hAnsi="Arial" w:eastAsia="黑体"/>
      <w:kern w:val="2"/>
      <w:sz w:val="21"/>
      <w:szCs w:val="21"/>
    </w:rPr>
  </w:style>
  <w:style w:type="character" w:customStyle="1" w:styleId="47">
    <w:name w:val="页眉 字符"/>
    <w:link w:val="19"/>
    <w:qFormat/>
    <w:uiPriority w:val="99"/>
    <w:rPr>
      <w:kern w:val="2"/>
      <w:sz w:val="18"/>
      <w:szCs w:val="18"/>
    </w:rPr>
  </w:style>
  <w:style w:type="character" w:customStyle="1" w:styleId="48">
    <w:name w:val="页脚 字符"/>
    <w:link w:val="18"/>
    <w:qFormat/>
    <w:uiPriority w:val="99"/>
    <w:rPr>
      <w:rFonts w:ascii="宋体"/>
      <w:kern w:val="2"/>
      <w:sz w:val="18"/>
      <w:szCs w:val="18"/>
    </w:rPr>
  </w:style>
  <w:style w:type="character" w:customStyle="1" w:styleId="49">
    <w:name w:val="批注框文本 字符"/>
    <w:link w:val="17"/>
    <w:semiHidden/>
    <w:qFormat/>
    <w:uiPriority w:val="99"/>
    <w:rPr>
      <w:kern w:val="2"/>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kern w:val="2"/>
      <w:sz w:val="21"/>
      <w:szCs w:val="21"/>
    </w:rPr>
  </w:style>
  <w:style w:type="character" w:customStyle="1" w:styleId="52">
    <w:name w:val="标题 字符"/>
    <w:link w:val="27"/>
    <w:qFormat/>
    <w:uiPriority w:val="0"/>
    <w:rPr>
      <w:rFonts w:ascii="Arial" w:hAnsi="Arial" w:cs="Arial"/>
      <w:b/>
      <w:bCs/>
      <w:kern w:val="2"/>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58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kern w:val="2"/>
      <w:sz w:val="21"/>
      <w:szCs w:val="21"/>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ind w:left="0" w:firstLine="0"/>
    </w:pPr>
  </w:style>
  <w:style w:type="paragraph" w:customStyle="1" w:styleId="95">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Subtle Reference"/>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semiHidden/>
    <w:qFormat/>
    <w:uiPriority w:val="0"/>
    <w:rPr>
      <w:rFonts w:ascii="宋体"/>
      <w:kern w:val="2"/>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宋体"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0"/>
    <w:semiHidden/>
    <w:qFormat/>
    <w:uiPriority w:val="99"/>
    <w:rPr>
      <w:color w:val="808080"/>
    </w:rPr>
  </w:style>
  <w:style w:type="paragraph" w:customStyle="1" w:styleId="191">
    <w:name w:val="标准文件_二级项2"/>
    <w:basedOn w:val="60"/>
    <w:qFormat/>
    <w:uiPriority w:val="0"/>
    <w:pPr>
      <w:numPr>
        <w:ilvl w:val="1"/>
        <w:numId w:val="21"/>
      </w:numPr>
      <w:ind w:firstLine="0" w:firstLineChars="0"/>
    </w:pPr>
  </w:style>
  <w:style w:type="paragraph" w:customStyle="1" w:styleId="192">
    <w:name w:val="标准文件_三级项2"/>
    <w:basedOn w:val="60"/>
    <w:qFormat/>
    <w:uiPriority w:val="0"/>
    <w:pPr>
      <w:numPr>
        <w:ilvl w:val="0"/>
        <w:numId w:val="30"/>
      </w:numPr>
      <w:spacing w:line="300" w:lineRule="exact"/>
      <w:ind w:firstLineChars="0"/>
    </w:pPr>
    <w:rPr>
      <w:rFonts w:ascii="Times New Roman"/>
    </w:rPr>
  </w:style>
  <w:style w:type="paragraph" w:customStyle="1" w:styleId="193">
    <w:name w:val="标准文件_一级项2"/>
    <w:basedOn w:val="60"/>
    <w:qFormat/>
    <w:uiPriority w:val="0"/>
    <w:pPr>
      <w:numPr>
        <w:ilvl w:val="0"/>
        <w:numId w:val="31"/>
      </w:numPr>
      <w:spacing w:line="300" w:lineRule="exact"/>
      <w:ind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0"/>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vAnchor="page" w:hAnchor="page" w:x="1419" w:y="14097"/>
    </w:pPr>
  </w:style>
  <w:style w:type="paragraph" w:customStyle="1" w:styleId="198">
    <w:name w:val="其他实施日期"/>
    <w:basedOn w:val="158"/>
    <w:qFormat/>
    <w:uiPriority w:val="0"/>
    <w:pPr>
      <w:framePr w:w="3997" w:h="471" w:hRule="exact" w:vSpace="181"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0"/>
    <w:qFormat/>
    <w:uiPriority w:val="0"/>
    <w:rPr>
      <w:rFonts w:ascii="黑体" w:eastAsia="黑体"/>
      <w:spacing w:val="85"/>
      <w:w w:val="100"/>
      <w:position w:val="3"/>
      <w:sz w:val="28"/>
      <w:szCs w:val="28"/>
    </w:rPr>
  </w:style>
  <w:style w:type="paragraph" w:customStyle="1" w:styleId="234">
    <w:name w:val="段"/>
    <w:link w:val="23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35">
    <w:name w:val="段 Char"/>
    <w:link w:val="234"/>
    <w:qFormat/>
    <w:uiPriority w:val="0"/>
    <w:rPr>
      <w:rFonts w:ascii="宋体" w:hAnsi="Times New Roman"/>
      <w:sz w:val="21"/>
    </w:rPr>
  </w:style>
  <w:style w:type="character" w:customStyle="1" w:styleId="236">
    <w:name w:val="HTML 预设格式 字符"/>
    <w:basedOn w:val="30"/>
    <w:link w:val="26"/>
    <w:qFormat/>
    <w:uiPriority w:val="0"/>
    <w:rPr>
      <w:rFonts w:ascii="宋体" w:hAnsi="宋体"/>
      <w:sz w:val="24"/>
      <w:szCs w:val="24"/>
    </w:rPr>
  </w:style>
  <w:style w:type="paragraph" w:customStyle="1" w:styleId="237">
    <w:name w:val="章标题"/>
    <w:next w:val="234"/>
    <w:qFormat/>
    <w:uiPriority w:val="0"/>
    <w:p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238">
    <w:name w:val="二级条标题"/>
    <w:basedOn w:val="239"/>
    <w:next w:val="234"/>
    <w:qFormat/>
    <w:uiPriority w:val="0"/>
    <w:pPr>
      <w:numPr>
        <w:ilvl w:val="2"/>
      </w:numPr>
      <w:spacing w:before="50" w:after="50"/>
      <w:outlineLvl w:val="3"/>
    </w:pPr>
  </w:style>
  <w:style w:type="paragraph" w:customStyle="1" w:styleId="239">
    <w:name w:val="一级条标题"/>
    <w:next w:val="234"/>
    <w:qFormat/>
    <w:uiPriority w:val="0"/>
    <w:pPr>
      <w:numPr>
        <w:ilvl w:val="1"/>
        <w:numId w:val="7"/>
      </w:num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240">
    <w:name w:val="fontstyle01"/>
    <w:basedOn w:val="30"/>
    <w:qFormat/>
    <w:uiPriority w:val="0"/>
    <w:rPr>
      <w:rFonts w:hint="eastAsia" w:ascii="宋体" w:hAnsi="宋体" w:eastAsia="宋体"/>
      <w:color w:val="000000"/>
      <w:sz w:val="22"/>
      <w:szCs w:val="22"/>
    </w:rPr>
  </w:style>
  <w:style w:type="paragraph" w:customStyle="1" w:styleId="241">
    <w:name w:val="三级条标题"/>
    <w:basedOn w:val="238"/>
    <w:next w:val="1"/>
    <w:qFormat/>
    <w:uiPriority w:val="0"/>
    <w:pPr>
      <w:numPr>
        <w:ilvl w:val="0"/>
        <w:numId w:val="0"/>
      </w:numPr>
      <w:outlineLvl w:val="4"/>
    </w:pPr>
  </w:style>
  <w:style w:type="paragraph" w:customStyle="1" w:styleId="242">
    <w:name w:val="四级条标题"/>
    <w:basedOn w:val="241"/>
    <w:next w:val="1"/>
    <w:qFormat/>
    <w:uiPriority w:val="0"/>
    <w:pPr>
      <w:outlineLvl w:val="5"/>
    </w:pPr>
  </w:style>
  <w:style w:type="paragraph" w:customStyle="1" w:styleId="243">
    <w:name w:val="五级条标题"/>
    <w:basedOn w:val="242"/>
    <w:next w:val="1"/>
    <w:qFormat/>
    <w:uiPriority w:val="0"/>
    <w:pPr>
      <w:outlineLvl w:val="6"/>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glossaryDocument" Target="glossary/document.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kylin\D:\home\greatwall\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BF291C2EFF7D44E1AF4A84B0BCEE2622"/>
        <w:style w:val=""/>
        <w:category>
          <w:name w:val="常规"/>
          <w:gallery w:val="placeholder"/>
        </w:category>
        <w:types>
          <w:type w:val="bbPlcHdr"/>
        </w:types>
        <w:behaviors>
          <w:behavior w:val="content"/>
        </w:behaviors>
        <w:description w:val=""/>
        <w:guid w:val="{903483BD-D144-44EC-B6DE-0706AF44009D}"/>
      </w:docPartPr>
      <w:docPartBody>
        <w:p w14:paraId="4DA0D5AA">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F56"/>
    <w:rsid w:val="000D4185"/>
    <w:rsid w:val="000E509F"/>
    <w:rsid w:val="000E6B11"/>
    <w:rsid w:val="00123DB5"/>
    <w:rsid w:val="00131924"/>
    <w:rsid w:val="001446FF"/>
    <w:rsid w:val="002501A0"/>
    <w:rsid w:val="004454AC"/>
    <w:rsid w:val="004D46F3"/>
    <w:rsid w:val="00624E43"/>
    <w:rsid w:val="00692B52"/>
    <w:rsid w:val="00696687"/>
    <w:rsid w:val="006A58C4"/>
    <w:rsid w:val="00786386"/>
    <w:rsid w:val="0078719C"/>
    <w:rsid w:val="007D3F84"/>
    <w:rsid w:val="007E39DD"/>
    <w:rsid w:val="00814D88"/>
    <w:rsid w:val="00923B8B"/>
    <w:rsid w:val="00966F56"/>
    <w:rsid w:val="00A14B87"/>
    <w:rsid w:val="00A27209"/>
    <w:rsid w:val="00A36878"/>
    <w:rsid w:val="00A50554"/>
    <w:rsid w:val="00A617D3"/>
    <w:rsid w:val="00A96E71"/>
    <w:rsid w:val="00AD466F"/>
    <w:rsid w:val="00AD75E7"/>
    <w:rsid w:val="00BA0554"/>
    <w:rsid w:val="00BA31FE"/>
    <w:rsid w:val="00C521C1"/>
    <w:rsid w:val="00C956C7"/>
    <w:rsid w:val="00CB7A74"/>
    <w:rsid w:val="00D03686"/>
    <w:rsid w:val="00D37477"/>
    <w:rsid w:val="00DC3E6B"/>
    <w:rsid w:val="00DE674A"/>
    <w:rsid w:val="00E74B6C"/>
    <w:rsid w:val="00E912D9"/>
    <w:rsid w:val="00F54E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BF291C2EFF7D44E1AF4A84B0BCEE262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E99DFD45567F472CAB6A19C712D91733"/>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6A74D41CA1814C63B44BF5C04376EDC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7</Pages>
  <Words>148</Words>
  <Characters>185</Characters>
  <Lines>52</Lines>
  <Paragraphs>14</Paragraphs>
  <TotalTime>0</TotalTime>
  <ScaleCrop>false</ScaleCrop>
  <LinksUpToDate>false</LinksUpToDate>
  <CharactersWithSpaces>221</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2023-09-07T21:53:00Z</dcterms:created>
  <dc:creator>zyx</dc:creator>
  <dc:description>&lt;config cover="true" show_menu="true" version="1.0.0" doctype="SDKXY"&gt;_x000d_
&lt;/config&gt;</dc:description>
  <cp:lastModifiedBy>admin</cp:lastModifiedBy>
  <cp:lastPrinted>2024-07-15T15:02:00Z</cp:lastPrinted>
  <dcterms:modified xsi:type="dcterms:W3CDTF">2024-11-14T01:14:49Z</dcterms:modified>
  <dc:title>地方标准</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2052-12.1.0.18912</vt:lpwstr>
  </property>
  <property fmtid="{D5CDD505-2E9C-101B-9397-08002B2CF9AE}" pid="15" name="ICV">
    <vt:lpwstr>E9FEA2E1EFD440D3987F78EA33627FCB_13</vt:lpwstr>
  </property>
</Properties>
</file>