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cs="黑体"/>
          <w:sz w:val="44"/>
          <w:szCs w:val="44"/>
        </w:rPr>
      </w:pPr>
      <w:bookmarkStart w:id="0" w:name="_GoBack"/>
      <w:r>
        <w:rPr>
          <w:rFonts w:hint="eastAsia" w:ascii="方正小标宋简体" w:hAnsi="黑体" w:eastAsia="方正小标宋简体" w:cs="黑体"/>
          <w:sz w:val="44"/>
          <w:szCs w:val="44"/>
        </w:rPr>
        <w:t>2024年交通运输标准化计划项目（第一批）</w:t>
      </w:r>
      <w:bookmarkEnd w:id="0"/>
    </w:p>
    <w:p>
      <w:pPr>
        <w:jc w:val="center"/>
        <w:rPr>
          <w:rFonts w:hint="eastAsia" w:ascii="黑体" w:hAnsi="黑体" w:eastAsia="黑体" w:cs="黑体"/>
          <w:sz w:val="36"/>
          <w:szCs w:val="36"/>
        </w:rPr>
      </w:pPr>
    </w:p>
    <w:p>
      <w:pPr>
        <w:pStyle w:val="2"/>
        <w:spacing w:before="120" w:beforeLines="50" w:after="120" w:afterLines="50" w:line="240" w:lineRule="auto"/>
        <w:rPr>
          <w:rFonts w:hint="eastAsia" w:ascii="黑体" w:hAnsi="黑体" w:eastAsia="黑体"/>
          <w:sz w:val="32"/>
          <w:szCs w:val="28"/>
        </w:rPr>
      </w:pPr>
      <w:r>
        <w:rPr>
          <w:rFonts w:hint="eastAsia" w:ascii="黑体" w:hAnsi="黑体" w:eastAsia="黑体"/>
          <w:sz w:val="32"/>
          <w:szCs w:val="28"/>
        </w:rPr>
        <w:t>一、行业标准</w:t>
      </w:r>
    </w:p>
    <w:tbl>
      <w:tblPr>
        <w:tblStyle w:val="11"/>
        <w:tblW w:w="50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4"/>
        <w:gridCol w:w="1139"/>
        <w:gridCol w:w="1567"/>
        <w:gridCol w:w="5552"/>
        <w:gridCol w:w="712"/>
        <w:gridCol w:w="1126"/>
        <w:gridCol w:w="850"/>
        <w:gridCol w:w="992"/>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blHeader/>
        </w:trPr>
        <w:tc>
          <w:tcPr>
            <w:tcW w:w="562" w:type="dxa"/>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序号</w:t>
            </w:r>
          </w:p>
        </w:tc>
        <w:tc>
          <w:tcPr>
            <w:tcW w:w="1134" w:type="dxa"/>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计划编号</w:t>
            </w:r>
          </w:p>
        </w:tc>
        <w:tc>
          <w:tcPr>
            <w:tcW w:w="1560" w:type="dxa"/>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项目名称</w:t>
            </w:r>
          </w:p>
        </w:tc>
        <w:tc>
          <w:tcPr>
            <w:tcW w:w="5528" w:type="dxa"/>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范围和主要技术内容</w:t>
            </w:r>
          </w:p>
        </w:tc>
        <w:tc>
          <w:tcPr>
            <w:tcW w:w="709" w:type="dxa"/>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制修订</w:t>
            </w:r>
          </w:p>
        </w:tc>
        <w:tc>
          <w:tcPr>
            <w:tcW w:w="1121" w:type="dxa"/>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代替标准</w:t>
            </w:r>
          </w:p>
        </w:tc>
        <w:tc>
          <w:tcPr>
            <w:tcW w:w="846" w:type="dxa"/>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完成周期(月)</w:t>
            </w:r>
          </w:p>
        </w:tc>
        <w:tc>
          <w:tcPr>
            <w:tcW w:w="988" w:type="dxa"/>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技术归口单位</w:t>
            </w:r>
          </w:p>
        </w:tc>
        <w:tc>
          <w:tcPr>
            <w:tcW w:w="2799" w:type="dxa"/>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主要起草单位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1</w:t>
            </w:r>
          </w:p>
        </w:tc>
        <w:tc>
          <w:tcPr>
            <w:tcW w:w="1134" w:type="dxa"/>
            <w:vAlign w:val="center"/>
          </w:tcPr>
          <w:p>
            <w:pPr>
              <w:jc w:val="center"/>
              <w:rPr>
                <w:rFonts w:hint="eastAsia" w:ascii="宋体" w:hAnsi="宋体" w:eastAsia="宋体" w:cs="Times New Roman"/>
                <w:kern w:val="0"/>
                <w:szCs w:val="21"/>
              </w:rPr>
            </w:pPr>
            <w:r>
              <w:rPr>
                <w:rFonts w:hint="eastAsia" w:ascii="宋体" w:hAnsi="宋体" w:eastAsia="宋体"/>
                <w:kern w:val="0"/>
                <w:szCs w:val="21"/>
              </w:rPr>
              <w:t>JT 2024-01</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交通运输标准制定、修订程序和要求</w:t>
            </w:r>
          </w:p>
        </w:tc>
        <w:tc>
          <w:tcPr>
            <w:tcW w:w="5528" w:type="dxa"/>
            <w:vAlign w:val="center"/>
          </w:tcPr>
          <w:p>
            <w:pPr>
              <w:widowControl/>
              <w:rPr>
                <w:rFonts w:hint="eastAsia" w:ascii="宋体" w:hAnsi="宋体" w:eastAsia="宋体" w:cs="Times New Roman"/>
                <w:kern w:val="0"/>
                <w:szCs w:val="21"/>
              </w:rPr>
            </w:pPr>
            <w:r>
              <w:rPr>
                <w:rFonts w:ascii="宋体" w:hAnsi="宋体" w:eastAsia="宋体" w:cs="Times New Roman"/>
                <w:kern w:val="0"/>
                <w:szCs w:val="21"/>
              </w:rPr>
              <w:t>现行标准规定了交通运输标准制定、修订的基本要求，标准制定、修订的预阶段及立项、起草、征求意见、审查、批准、出版、复审和废止各阶段的程序和要求</w:t>
            </w:r>
            <w:r>
              <w:rPr>
                <w:rFonts w:hint="eastAsia" w:ascii="宋体" w:hAnsi="宋体" w:eastAsia="宋体" w:cs="Times New Roman"/>
                <w:kern w:val="0"/>
                <w:szCs w:val="21"/>
              </w:rPr>
              <w:t>。</w:t>
            </w:r>
          </w:p>
          <w:p>
            <w:pPr>
              <w:widowControl/>
              <w:rPr>
                <w:rFonts w:hint="eastAsia" w:ascii="宋体" w:hAnsi="宋体" w:eastAsia="宋体" w:cs="Times New Roman"/>
                <w:kern w:val="0"/>
                <w:szCs w:val="21"/>
              </w:rPr>
            </w:pPr>
            <w:r>
              <w:rPr>
                <w:rFonts w:ascii="宋体" w:hAnsi="宋体" w:eastAsia="宋体" w:cs="Times New Roman"/>
                <w:kern w:val="0"/>
                <w:szCs w:val="21"/>
              </w:rPr>
              <w:t>适用于综合交通运输和公路、水路领域交通运输标准的制定、修订管理。铁路、民航和邮政领域标准可参照使用，不适用于公路、水路领域工程建设标准的制定、修订管理。</w:t>
            </w:r>
          </w:p>
          <w:p>
            <w:pPr>
              <w:widowControl/>
              <w:rPr>
                <w:rFonts w:hint="eastAsia" w:ascii="宋体" w:hAnsi="宋体" w:eastAsia="宋体" w:cs="Times New Roman"/>
                <w:kern w:val="0"/>
                <w:szCs w:val="21"/>
              </w:rPr>
            </w:pPr>
            <w:r>
              <w:rPr>
                <w:rFonts w:ascii="宋体" w:hAnsi="宋体" w:eastAsia="宋体" w:cs="Times New Roman"/>
                <w:kern w:val="0"/>
                <w:szCs w:val="21"/>
              </w:rPr>
              <w:t>主要修订内容：1.修订交通运输标准制定、修订的基本要求；2.完善交通运输标准立项审核和专家评估程序要求；3.强化交通运输标准计划项目起草、征求意见、审查、报批、发布等过程管理程序要求；4.规范交通运输标准实施评估和复审的程序要求；5.完善交通运输标准信息化管理程序要求。</w:t>
            </w:r>
          </w:p>
        </w:tc>
        <w:tc>
          <w:tcPr>
            <w:tcW w:w="709" w:type="dxa"/>
            <w:vAlign w:val="center"/>
          </w:tcPr>
          <w:p>
            <w:pPr>
              <w:jc w:val="center"/>
              <w:rPr>
                <w:rFonts w:hint="eastAsia" w:ascii="宋体" w:hAnsi="宋体" w:eastAsia="宋体" w:cs="Times New Roman"/>
                <w:kern w:val="0"/>
                <w:szCs w:val="21"/>
              </w:rPr>
            </w:pPr>
            <w:r>
              <w:rPr>
                <w:rFonts w:ascii="宋体" w:hAnsi="宋体" w:eastAsia="宋体" w:cs="Times New Roman"/>
                <w:kern w:val="0"/>
                <w:szCs w:val="21"/>
              </w:rPr>
              <w:t>修订</w:t>
            </w:r>
          </w:p>
        </w:tc>
        <w:tc>
          <w:tcPr>
            <w:tcW w:w="1121" w:type="dxa"/>
            <w:vAlign w:val="center"/>
          </w:tcPr>
          <w:p>
            <w:pPr>
              <w:jc w:val="center"/>
              <w:rPr>
                <w:rFonts w:hint="eastAsia" w:ascii="宋体" w:hAnsi="宋体" w:eastAsia="宋体" w:cs="Times New Roman"/>
                <w:kern w:val="0"/>
                <w:szCs w:val="21"/>
              </w:rPr>
            </w:pPr>
            <w:r>
              <w:rPr>
                <w:rFonts w:ascii="宋体" w:hAnsi="宋体" w:eastAsia="宋体" w:cs="Times New Roman"/>
                <w:kern w:val="0"/>
                <w:szCs w:val="21"/>
              </w:rPr>
              <w:t>JT/T 18</w:t>
            </w:r>
            <w:r>
              <w:rPr>
                <w:rFonts w:hint="eastAsia" w:ascii="宋体" w:hAnsi="宋体" w:eastAsia="宋体" w:cs="Times New Roman"/>
                <w:kern w:val="0"/>
                <w:szCs w:val="21"/>
              </w:rPr>
              <w:t>—</w:t>
            </w:r>
            <w:r>
              <w:rPr>
                <w:rFonts w:ascii="宋体" w:hAnsi="宋体" w:eastAsia="宋体" w:cs="Times New Roman"/>
                <w:kern w:val="0"/>
                <w:szCs w:val="21"/>
              </w:rPr>
              <w:t>2020</w:t>
            </w:r>
          </w:p>
        </w:tc>
        <w:tc>
          <w:tcPr>
            <w:tcW w:w="846" w:type="dxa"/>
            <w:vAlign w:val="center"/>
          </w:tcPr>
          <w:p>
            <w:pPr>
              <w:jc w:val="center"/>
              <w:rPr>
                <w:rFonts w:hint="eastAsia" w:ascii="宋体" w:hAnsi="宋体" w:eastAsia="宋体" w:cs="Times New Roman"/>
                <w:kern w:val="0"/>
                <w:szCs w:val="21"/>
              </w:rPr>
            </w:pPr>
            <w:r>
              <w:rPr>
                <w:rFonts w:ascii="宋体" w:hAnsi="宋体" w:eastAsia="宋体" w:cs="Times New Roman"/>
                <w:kern w:val="0"/>
                <w:szCs w:val="21"/>
              </w:rPr>
              <w:t>12</w:t>
            </w:r>
          </w:p>
        </w:tc>
        <w:tc>
          <w:tcPr>
            <w:tcW w:w="988" w:type="dxa"/>
            <w:vAlign w:val="center"/>
          </w:tcPr>
          <w:p>
            <w:pPr>
              <w:jc w:val="center"/>
              <w:rPr>
                <w:rFonts w:hint="eastAsia" w:ascii="宋体" w:hAnsi="宋体" w:eastAsia="宋体" w:cs="Times New Roman"/>
                <w:kern w:val="0"/>
                <w:szCs w:val="21"/>
              </w:rPr>
            </w:pPr>
            <w:r>
              <w:rPr>
                <w:rFonts w:ascii="宋体" w:hAnsi="宋体" w:eastAsia="宋体" w:cs="Times New Roman"/>
                <w:kern w:val="0"/>
                <w:szCs w:val="21"/>
              </w:rPr>
              <w:t>科技司</w:t>
            </w:r>
          </w:p>
        </w:tc>
        <w:tc>
          <w:tcPr>
            <w:tcW w:w="2799" w:type="dxa"/>
            <w:vAlign w:val="center"/>
          </w:tcPr>
          <w:p>
            <w:pPr>
              <w:rPr>
                <w:rFonts w:hint="eastAsia" w:ascii="宋体" w:hAnsi="宋体" w:eastAsia="宋体" w:cs="Times New Roman"/>
                <w:kern w:val="0"/>
                <w:szCs w:val="21"/>
              </w:rPr>
            </w:pPr>
            <w:r>
              <w:rPr>
                <w:rFonts w:ascii="宋体" w:hAnsi="宋体" w:eastAsia="宋体" w:cs="Times New Roman"/>
                <w:kern w:val="0"/>
                <w:szCs w:val="21"/>
              </w:rPr>
              <w:t>交通运输部科学研究院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2</w:t>
            </w:r>
          </w:p>
        </w:tc>
        <w:tc>
          <w:tcPr>
            <w:tcW w:w="1134" w:type="dxa"/>
            <w:vAlign w:val="center"/>
          </w:tcPr>
          <w:p>
            <w:pPr>
              <w:jc w:val="center"/>
              <w:rPr>
                <w:rFonts w:hint="eastAsia" w:ascii="宋体" w:hAnsi="宋体" w:eastAsia="宋体"/>
                <w:kern w:val="0"/>
                <w:szCs w:val="21"/>
              </w:rPr>
            </w:pPr>
            <w:r>
              <w:rPr>
                <w:rFonts w:hint="eastAsia" w:ascii="宋体" w:hAnsi="宋体" w:eastAsia="宋体"/>
                <w:kern w:val="0"/>
                <w:szCs w:val="21"/>
              </w:rPr>
              <w:t>JT 2024-02</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快件航空运输安检数据交换规范</w:t>
            </w:r>
          </w:p>
        </w:tc>
        <w:tc>
          <w:tcPr>
            <w:tcW w:w="5528" w:type="dxa"/>
            <w:vAlign w:val="center"/>
          </w:tcPr>
          <w:p>
            <w:pPr>
              <w:rPr>
                <w:rFonts w:hint="eastAsia" w:ascii="宋体" w:hAnsi="宋体" w:eastAsia="宋体" w:cs="Times New Roman"/>
                <w:kern w:val="0"/>
                <w:szCs w:val="21"/>
              </w:rPr>
            </w:pPr>
            <w:r>
              <w:rPr>
                <w:rFonts w:ascii="宋体" w:hAnsi="宋体" w:eastAsia="宋体" w:cs="Times New Roman"/>
                <w:kern w:val="0"/>
                <w:szCs w:val="21"/>
              </w:rPr>
              <w:t>拟规定快件航空运输安检的信息交换需求、信息交换流程、通信协议、报文规范、异常处置、数据交换安全和数据交换频次。</w:t>
            </w:r>
          </w:p>
          <w:p>
            <w:pPr>
              <w:rPr>
                <w:rFonts w:hint="eastAsia" w:ascii="宋体" w:hAnsi="宋体" w:eastAsia="宋体" w:cs="Times New Roman"/>
                <w:kern w:val="0"/>
                <w:szCs w:val="21"/>
              </w:rPr>
            </w:pPr>
            <w:r>
              <w:rPr>
                <w:rFonts w:ascii="宋体" w:hAnsi="宋体" w:eastAsia="宋体" w:cs="Times New Roman"/>
                <w:kern w:val="0"/>
                <w:szCs w:val="21"/>
              </w:rPr>
              <w:t>适用于快递服务主体与航空运输企业之间开展快件运输业务而进行的安检数据交换。</w:t>
            </w:r>
          </w:p>
        </w:tc>
        <w:tc>
          <w:tcPr>
            <w:tcW w:w="70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制定</w:t>
            </w:r>
          </w:p>
        </w:tc>
        <w:tc>
          <w:tcPr>
            <w:tcW w:w="1121" w:type="dxa"/>
            <w:vAlign w:val="center"/>
          </w:tcPr>
          <w:p>
            <w:pPr>
              <w:jc w:val="center"/>
              <w:rPr>
                <w:rFonts w:hint="eastAsia" w:ascii="宋体" w:hAnsi="宋体" w:eastAsia="宋体" w:cs="宋体"/>
                <w:kern w:val="0"/>
                <w:szCs w:val="21"/>
              </w:rPr>
            </w:pP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综合运输标委会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中国民航大学、国家邮政局邮政</w:t>
            </w:r>
            <w:r>
              <w:rPr>
                <w:rFonts w:hint="eastAsia" w:ascii="宋体" w:hAnsi="宋体" w:eastAsia="宋体" w:cs="宋体"/>
                <w:kern w:val="0"/>
                <w:szCs w:val="21"/>
              </w:rPr>
              <w:t>业</w:t>
            </w:r>
            <w:r>
              <w:rPr>
                <w:rFonts w:ascii="宋体" w:hAnsi="宋体" w:eastAsia="宋体" w:cs="宋体"/>
                <w:kern w:val="0"/>
                <w:szCs w:val="21"/>
              </w:rPr>
              <w:t>安全中心、西安航空职业技术学院、天信达信息技术有限公司、首都机场集团有限公司、深圳市机场股份有限公司、顺丰航空有限公司杭州分公司、浙江顺尚物流有限公司、同方威视技术股份有限公司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3</w:t>
            </w:r>
          </w:p>
        </w:tc>
        <w:tc>
          <w:tcPr>
            <w:tcW w:w="1134" w:type="dxa"/>
            <w:vAlign w:val="center"/>
          </w:tcPr>
          <w:p>
            <w:pPr>
              <w:jc w:val="center"/>
              <w:rPr>
                <w:rFonts w:hint="eastAsia" w:ascii="宋体" w:hAnsi="宋体" w:eastAsia="宋体" w:cs="Times New Roman"/>
                <w:kern w:val="0"/>
                <w:szCs w:val="21"/>
              </w:rPr>
            </w:pPr>
            <w:r>
              <w:rPr>
                <w:rFonts w:hint="eastAsia" w:ascii="宋体" w:hAnsi="宋体" w:eastAsia="宋体"/>
                <w:kern w:val="0"/>
                <w:szCs w:val="21"/>
              </w:rPr>
              <w:t>JT 2024-03</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综合客运枢纽连接系统与集疏运体系规划设计导则</w:t>
            </w:r>
          </w:p>
        </w:tc>
        <w:tc>
          <w:tcPr>
            <w:tcW w:w="5528" w:type="dxa"/>
            <w:vAlign w:val="center"/>
          </w:tcPr>
          <w:p>
            <w:pPr>
              <w:rPr>
                <w:rFonts w:hint="eastAsia" w:ascii="宋体" w:hAnsi="宋体" w:eastAsia="宋体" w:cs="Times New Roman"/>
                <w:kern w:val="0"/>
                <w:szCs w:val="21"/>
              </w:rPr>
            </w:pPr>
            <w:r>
              <w:rPr>
                <w:rFonts w:ascii="宋体" w:hAnsi="宋体" w:eastAsia="宋体" w:cs="Times New Roman"/>
                <w:kern w:val="0"/>
                <w:szCs w:val="21"/>
              </w:rPr>
              <w:t>拟规定综合客运枢纽连接系统与集疏运体系规划设计的总体要求和连接系统、集疏运网络、集疏运交通组织等方面的技术要求。</w:t>
            </w:r>
          </w:p>
          <w:p>
            <w:pPr>
              <w:rPr>
                <w:rFonts w:hint="eastAsia" w:ascii="宋体" w:hAnsi="宋体" w:eastAsia="宋体" w:cs="Times New Roman"/>
                <w:kern w:val="0"/>
                <w:szCs w:val="21"/>
              </w:rPr>
            </w:pPr>
            <w:r>
              <w:rPr>
                <w:rFonts w:ascii="宋体" w:hAnsi="宋体" w:eastAsia="宋体" w:cs="Times New Roman"/>
                <w:kern w:val="0"/>
                <w:szCs w:val="21"/>
              </w:rPr>
              <w:t>适用于新建综合客运枢纽的连接系统与集疏运体系规划、设计、建设、运营与管理，改扩建项目参照使用。</w:t>
            </w:r>
          </w:p>
        </w:tc>
        <w:tc>
          <w:tcPr>
            <w:tcW w:w="70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制定</w:t>
            </w:r>
          </w:p>
        </w:tc>
        <w:tc>
          <w:tcPr>
            <w:tcW w:w="1121" w:type="dxa"/>
            <w:vAlign w:val="center"/>
          </w:tcPr>
          <w:p>
            <w:pPr>
              <w:jc w:val="center"/>
              <w:rPr>
                <w:rFonts w:hint="eastAsia" w:ascii="宋体" w:hAnsi="宋体" w:eastAsia="宋体" w:cs="宋体"/>
                <w:kern w:val="0"/>
                <w:szCs w:val="21"/>
              </w:rPr>
            </w:pP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综合运输标委会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交通运输部科学研究院、北京交通大学、河北省交通规划设计院</w:t>
            </w:r>
            <w:r>
              <w:rPr>
                <w:rFonts w:hint="eastAsia" w:ascii="宋体" w:hAnsi="宋体" w:eastAsia="宋体" w:cs="宋体"/>
                <w:kern w:val="0"/>
                <w:szCs w:val="21"/>
              </w:rPr>
              <w:t>有限公司</w:t>
            </w:r>
            <w:r>
              <w:rPr>
                <w:rFonts w:ascii="宋体" w:hAnsi="宋体" w:eastAsia="宋体" w:cs="宋体"/>
                <w:kern w:val="0"/>
                <w:szCs w:val="21"/>
              </w:rPr>
              <w:t>、中铁第四勘察设计院集团有限公司、中国民航科学技术研究院、西南交通大学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4</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2024-04</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综合交通运输体系规划编制技术导则</w:t>
            </w:r>
          </w:p>
        </w:tc>
        <w:tc>
          <w:tcPr>
            <w:tcW w:w="5528" w:type="dxa"/>
            <w:vAlign w:val="center"/>
          </w:tcPr>
          <w:p>
            <w:pPr>
              <w:rPr>
                <w:rFonts w:hint="eastAsia" w:ascii="宋体" w:hAnsi="宋体" w:eastAsia="宋体" w:cs="Times New Roman"/>
                <w:kern w:val="0"/>
                <w:szCs w:val="21"/>
              </w:rPr>
            </w:pPr>
            <w:r>
              <w:rPr>
                <w:rFonts w:ascii="宋体" w:hAnsi="宋体" w:eastAsia="宋体" w:cs="Times New Roman"/>
                <w:kern w:val="0"/>
                <w:szCs w:val="21"/>
              </w:rPr>
              <w:t>拟规定综合交通运输规划的术语和定义、基本要求、内容及技术要求。</w:t>
            </w:r>
          </w:p>
          <w:p>
            <w:pPr>
              <w:rPr>
                <w:rFonts w:hint="eastAsia" w:ascii="宋体" w:hAnsi="宋体" w:eastAsia="宋体" w:cs="Times New Roman"/>
                <w:kern w:val="0"/>
                <w:szCs w:val="21"/>
              </w:rPr>
            </w:pPr>
            <w:r>
              <w:rPr>
                <w:rFonts w:ascii="宋体" w:hAnsi="宋体" w:eastAsia="宋体" w:cs="Times New Roman"/>
                <w:kern w:val="0"/>
                <w:szCs w:val="21"/>
              </w:rPr>
              <w:t>适用于国家级、省级、地市级综合交通运输体系规划编制。</w:t>
            </w:r>
          </w:p>
        </w:tc>
        <w:tc>
          <w:tcPr>
            <w:tcW w:w="70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制定</w:t>
            </w:r>
          </w:p>
        </w:tc>
        <w:tc>
          <w:tcPr>
            <w:tcW w:w="1121" w:type="dxa"/>
            <w:vAlign w:val="center"/>
          </w:tcPr>
          <w:p>
            <w:pPr>
              <w:jc w:val="center"/>
              <w:rPr>
                <w:rFonts w:hint="eastAsia" w:ascii="宋体" w:hAnsi="宋体" w:eastAsia="宋体" w:cs="宋体"/>
                <w:kern w:val="0"/>
                <w:szCs w:val="21"/>
              </w:rPr>
            </w:pP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综合运输标委会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交通运输部规划研究院、交通运输部科学研究院、中国民航科学技术研究院、国家铁路局规划与标准研究院、东南大学、深圳市城市交通规划设计研究中心股份有限公司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5</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2024-05</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进港铁路专用线建设与运营技术规范</w:t>
            </w:r>
          </w:p>
        </w:tc>
        <w:tc>
          <w:tcPr>
            <w:tcW w:w="5528" w:type="dxa"/>
            <w:vAlign w:val="center"/>
          </w:tcPr>
          <w:p>
            <w:pPr>
              <w:rPr>
                <w:rFonts w:hint="eastAsia" w:ascii="宋体" w:hAnsi="宋体" w:eastAsia="宋体" w:cs="Times New Roman"/>
                <w:kern w:val="0"/>
                <w:szCs w:val="21"/>
              </w:rPr>
            </w:pPr>
            <w:r>
              <w:rPr>
                <w:rFonts w:ascii="宋体" w:hAnsi="宋体" w:eastAsia="宋体" w:cs="Times New Roman"/>
                <w:kern w:val="0"/>
                <w:szCs w:val="21"/>
              </w:rPr>
              <w:t>拟规定进港铁路专用线的基本规定</w:t>
            </w:r>
            <w:r>
              <w:rPr>
                <w:rFonts w:hint="eastAsia" w:ascii="宋体" w:hAnsi="宋体" w:eastAsia="宋体" w:cs="Times New Roman"/>
                <w:kern w:val="0"/>
                <w:szCs w:val="21"/>
              </w:rPr>
              <w:t>、</w:t>
            </w:r>
            <w:r>
              <w:rPr>
                <w:rFonts w:ascii="宋体" w:hAnsi="宋体" w:eastAsia="宋体" w:cs="Times New Roman"/>
                <w:kern w:val="0"/>
                <w:szCs w:val="21"/>
              </w:rPr>
              <w:t>运输组织、</w:t>
            </w:r>
            <w:r>
              <w:rPr>
                <w:rFonts w:hint="eastAsia" w:ascii="宋体" w:hAnsi="宋体" w:eastAsia="宋体" w:cs="Times New Roman"/>
                <w:kern w:val="0"/>
                <w:szCs w:val="21"/>
              </w:rPr>
              <w:t>港站一体化布局、铁水联运</w:t>
            </w:r>
            <w:r>
              <w:rPr>
                <w:rFonts w:ascii="宋体" w:hAnsi="宋体" w:eastAsia="宋体" w:cs="Times New Roman"/>
                <w:kern w:val="0"/>
                <w:szCs w:val="21"/>
              </w:rPr>
              <w:t>换装工艺</w:t>
            </w:r>
            <w:r>
              <w:rPr>
                <w:rFonts w:hint="eastAsia" w:ascii="宋体" w:hAnsi="宋体" w:eastAsia="宋体" w:cs="Times New Roman"/>
                <w:kern w:val="0"/>
                <w:szCs w:val="21"/>
              </w:rPr>
              <w:t>、数智化系统和</w:t>
            </w:r>
            <w:r>
              <w:rPr>
                <w:rFonts w:ascii="宋体" w:hAnsi="宋体" w:eastAsia="宋体" w:cs="Times New Roman"/>
                <w:kern w:val="0"/>
                <w:szCs w:val="21"/>
              </w:rPr>
              <w:t>运营技术。</w:t>
            </w:r>
          </w:p>
          <w:p>
            <w:pPr>
              <w:rPr>
                <w:rFonts w:hint="eastAsia" w:ascii="宋体" w:hAnsi="宋体" w:eastAsia="宋体" w:cs="Times New Roman"/>
                <w:kern w:val="0"/>
                <w:szCs w:val="21"/>
              </w:rPr>
            </w:pPr>
            <w:r>
              <w:rPr>
                <w:rFonts w:ascii="宋体" w:hAnsi="宋体" w:eastAsia="宋体" w:cs="Times New Roman"/>
                <w:kern w:val="0"/>
                <w:szCs w:val="21"/>
              </w:rPr>
              <w:t>适用于新建</w:t>
            </w:r>
            <w:r>
              <w:rPr>
                <w:rFonts w:hint="eastAsia" w:ascii="宋体" w:hAnsi="宋体" w:eastAsia="宋体" w:cs="Times New Roman"/>
                <w:kern w:val="0"/>
                <w:szCs w:val="21"/>
              </w:rPr>
              <w:t>、</w:t>
            </w:r>
            <w:r>
              <w:rPr>
                <w:rFonts w:ascii="宋体" w:hAnsi="宋体" w:eastAsia="宋体" w:cs="Times New Roman"/>
                <w:kern w:val="0"/>
                <w:szCs w:val="21"/>
              </w:rPr>
              <w:t>改扩建的进港铁路专用线</w:t>
            </w:r>
            <w:r>
              <w:rPr>
                <w:rFonts w:hint="eastAsia" w:ascii="宋体" w:hAnsi="宋体" w:eastAsia="宋体" w:cs="Times New Roman"/>
                <w:kern w:val="0"/>
                <w:szCs w:val="21"/>
              </w:rPr>
              <w:t>设计和</w:t>
            </w:r>
            <w:r>
              <w:rPr>
                <w:rFonts w:ascii="宋体" w:hAnsi="宋体" w:eastAsia="宋体" w:cs="Times New Roman"/>
                <w:kern w:val="0"/>
                <w:szCs w:val="21"/>
              </w:rPr>
              <w:t>运营。</w:t>
            </w:r>
          </w:p>
        </w:tc>
        <w:tc>
          <w:tcPr>
            <w:tcW w:w="70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制定</w:t>
            </w:r>
          </w:p>
        </w:tc>
        <w:tc>
          <w:tcPr>
            <w:tcW w:w="1121" w:type="dxa"/>
            <w:vAlign w:val="center"/>
          </w:tcPr>
          <w:p>
            <w:pPr>
              <w:jc w:val="center"/>
              <w:rPr>
                <w:rFonts w:hint="eastAsia" w:ascii="宋体" w:hAnsi="宋体" w:eastAsia="宋体" w:cs="宋体"/>
                <w:kern w:val="0"/>
                <w:szCs w:val="21"/>
              </w:rPr>
            </w:pP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综合运输标委会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中国铁路设计集团有限公司、浙江数智交院科技股份有限公司、中交水运规划设计院有限公司、中铁第四勘察设计院集团有限公司、国能运输技术研究院</w:t>
            </w:r>
            <w:r>
              <w:rPr>
                <w:rFonts w:hint="eastAsia" w:ascii="宋体" w:hAnsi="宋体" w:eastAsia="宋体" w:cs="宋体"/>
                <w:kern w:val="0"/>
                <w:szCs w:val="21"/>
              </w:rPr>
              <w:t>有限责任公司</w:t>
            </w:r>
            <w:r>
              <w:rPr>
                <w:rFonts w:ascii="宋体" w:hAnsi="宋体" w:eastAsia="宋体" w:cs="宋体"/>
                <w:kern w:val="0"/>
                <w:szCs w:val="21"/>
              </w:rPr>
              <w:t>、中国铁道科学研究院集团有限公司、北京交通大学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6</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2024-06</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内河水上服务区服务规范</w:t>
            </w:r>
          </w:p>
        </w:tc>
        <w:tc>
          <w:tcPr>
            <w:tcW w:w="5528" w:type="dxa"/>
            <w:vAlign w:val="center"/>
          </w:tcPr>
          <w:p>
            <w:pPr>
              <w:rPr>
                <w:rFonts w:hint="eastAsia" w:ascii="宋体" w:hAnsi="宋体" w:eastAsia="宋体" w:cs="Times New Roman"/>
                <w:kern w:val="0"/>
                <w:szCs w:val="21"/>
              </w:rPr>
            </w:pPr>
            <w:r>
              <w:rPr>
                <w:rFonts w:ascii="宋体" w:hAnsi="宋体" w:eastAsia="宋体" w:cs="Times New Roman"/>
                <w:kern w:val="0"/>
                <w:szCs w:val="21"/>
              </w:rPr>
              <w:t>拟规定内河水上服务区的管理要求、服务要求、评价与改进等内容。</w:t>
            </w:r>
          </w:p>
          <w:p>
            <w:pPr>
              <w:rPr>
                <w:rFonts w:hint="eastAsia" w:ascii="宋体" w:hAnsi="宋体" w:eastAsia="宋体" w:cs="Times New Roman"/>
                <w:kern w:val="0"/>
                <w:szCs w:val="21"/>
              </w:rPr>
            </w:pPr>
            <w:r>
              <w:rPr>
                <w:rFonts w:ascii="宋体" w:hAnsi="宋体" w:eastAsia="宋体" w:cs="Times New Roman"/>
                <w:kern w:val="0"/>
                <w:szCs w:val="21"/>
              </w:rPr>
              <w:t>适用于内河水上服务区的服务管理。</w:t>
            </w:r>
          </w:p>
        </w:tc>
        <w:tc>
          <w:tcPr>
            <w:tcW w:w="70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制定</w:t>
            </w:r>
          </w:p>
        </w:tc>
        <w:tc>
          <w:tcPr>
            <w:tcW w:w="1121" w:type="dxa"/>
            <w:vAlign w:val="center"/>
          </w:tcPr>
          <w:p>
            <w:pPr>
              <w:jc w:val="center"/>
              <w:rPr>
                <w:rFonts w:hint="eastAsia" w:ascii="宋体" w:hAnsi="宋体" w:eastAsia="宋体" w:cs="宋体"/>
                <w:kern w:val="0"/>
                <w:szCs w:val="21"/>
              </w:rPr>
            </w:pP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内河船与水路运输标委会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交通运输部水运科学研究所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7</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2024-07</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内河船舶智能导助航数据模型与交换格式</w:t>
            </w:r>
          </w:p>
        </w:tc>
        <w:tc>
          <w:tcPr>
            <w:tcW w:w="5528" w:type="dxa"/>
            <w:vAlign w:val="center"/>
          </w:tcPr>
          <w:p>
            <w:pPr>
              <w:rPr>
                <w:rFonts w:hint="eastAsia" w:ascii="宋体" w:hAnsi="宋体" w:eastAsia="宋体" w:cs="Times New Roman"/>
                <w:kern w:val="0"/>
                <w:szCs w:val="21"/>
              </w:rPr>
            </w:pPr>
            <w:r>
              <w:rPr>
                <w:rFonts w:ascii="宋体" w:hAnsi="宋体" w:eastAsia="宋体" w:cs="Times New Roman"/>
                <w:kern w:val="0"/>
                <w:szCs w:val="21"/>
              </w:rPr>
              <w:t>拟规定内河船舶智能导助航电子航道图的场景分类与定义、数据要求、对象模型、地图引擎和数据接口等要求。</w:t>
            </w:r>
          </w:p>
          <w:p>
            <w:pPr>
              <w:rPr>
                <w:rFonts w:hint="eastAsia" w:ascii="宋体" w:hAnsi="宋体" w:eastAsia="宋体" w:cs="Times New Roman"/>
                <w:kern w:val="0"/>
                <w:szCs w:val="21"/>
              </w:rPr>
            </w:pPr>
            <w:r>
              <w:rPr>
                <w:rFonts w:ascii="宋体" w:hAnsi="宋体" w:eastAsia="宋体" w:cs="Times New Roman"/>
                <w:kern w:val="0"/>
                <w:szCs w:val="21"/>
              </w:rPr>
              <w:t>适用于内河船舶智能导助航电子航道图的研发、制作与数据交换。</w:t>
            </w:r>
          </w:p>
        </w:tc>
        <w:tc>
          <w:tcPr>
            <w:tcW w:w="70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制定</w:t>
            </w:r>
          </w:p>
        </w:tc>
        <w:tc>
          <w:tcPr>
            <w:tcW w:w="1121" w:type="dxa"/>
            <w:vAlign w:val="center"/>
          </w:tcPr>
          <w:p>
            <w:pPr>
              <w:jc w:val="center"/>
              <w:rPr>
                <w:rFonts w:hint="eastAsia" w:ascii="宋体" w:hAnsi="宋体" w:eastAsia="宋体" w:cs="宋体"/>
                <w:kern w:val="0"/>
                <w:szCs w:val="21"/>
              </w:rPr>
            </w:pP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内河船与水路运输标委会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浙江省交通运输科学研究院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8</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2024-08</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内河船用内燃机涡轮增压器修理技术要求</w:t>
            </w:r>
          </w:p>
        </w:tc>
        <w:tc>
          <w:tcPr>
            <w:tcW w:w="5528" w:type="dxa"/>
            <w:vAlign w:val="center"/>
          </w:tcPr>
          <w:p>
            <w:pPr>
              <w:widowControl/>
              <w:rPr>
                <w:rFonts w:hint="eastAsia" w:ascii="宋体" w:hAnsi="宋体" w:eastAsia="宋体" w:cs="Times New Roman"/>
                <w:kern w:val="0"/>
                <w:szCs w:val="21"/>
              </w:rPr>
            </w:pPr>
            <w:r>
              <w:rPr>
                <w:rFonts w:ascii="宋体" w:hAnsi="宋体" w:eastAsia="宋体" w:cs="Times New Roman"/>
                <w:kern w:val="0"/>
                <w:szCs w:val="21"/>
              </w:rPr>
              <w:t>现行标准规定了</w:t>
            </w:r>
            <w:r>
              <w:rPr>
                <w:rFonts w:hint="eastAsia" w:ascii="宋体" w:hAnsi="宋体" w:eastAsia="宋体" w:cs="Times New Roman"/>
                <w:kern w:val="0"/>
                <w:szCs w:val="21"/>
              </w:rPr>
              <w:t>船用柴油机</w:t>
            </w:r>
            <w:r>
              <w:rPr>
                <w:rFonts w:ascii="宋体" w:hAnsi="宋体" w:eastAsia="宋体" w:cs="Times New Roman"/>
                <w:kern w:val="0"/>
                <w:szCs w:val="21"/>
              </w:rPr>
              <w:t>涡轮增压器</w:t>
            </w:r>
            <w:r>
              <w:rPr>
                <w:rFonts w:hint="eastAsia" w:ascii="宋体" w:hAnsi="宋体" w:eastAsia="宋体" w:cs="Times New Roman"/>
                <w:kern w:val="0"/>
                <w:szCs w:val="21"/>
              </w:rPr>
              <w:t>修理总则、零部件</w:t>
            </w:r>
            <w:r>
              <w:rPr>
                <w:rFonts w:ascii="宋体" w:hAnsi="宋体" w:eastAsia="宋体" w:cs="Times New Roman"/>
                <w:kern w:val="0"/>
                <w:szCs w:val="21"/>
              </w:rPr>
              <w:t>修理技术要求和增压器修复后的试验</w:t>
            </w:r>
            <w:r>
              <w:rPr>
                <w:rFonts w:hint="eastAsia" w:ascii="宋体" w:hAnsi="宋体" w:eastAsia="宋体" w:cs="Times New Roman"/>
                <w:kern w:val="0"/>
                <w:szCs w:val="21"/>
              </w:rPr>
              <w:t>及其他技术要求。</w:t>
            </w:r>
          </w:p>
          <w:p>
            <w:pPr>
              <w:widowControl/>
              <w:rPr>
                <w:rFonts w:hint="eastAsia" w:ascii="宋体" w:hAnsi="宋体" w:eastAsia="宋体" w:cs="Times New Roman"/>
                <w:kern w:val="0"/>
                <w:szCs w:val="21"/>
              </w:rPr>
            </w:pPr>
            <w:r>
              <w:rPr>
                <w:rFonts w:ascii="宋体" w:hAnsi="宋体" w:eastAsia="宋体" w:cs="Times New Roman"/>
                <w:kern w:val="0"/>
                <w:szCs w:val="21"/>
              </w:rPr>
              <w:t>适用于</w:t>
            </w:r>
            <w:r>
              <w:rPr>
                <w:rFonts w:hint="eastAsia" w:ascii="宋体" w:hAnsi="宋体" w:eastAsia="宋体" w:cs="Times New Roman"/>
                <w:kern w:val="0"/>
                <w:szCs w:val="21"/>
              </w:rPr>
              <w:t>民用</w:t>
            </w:r>
            <w:r>
              <w:rPr>
                <w:rFonts w:ascii="宋体" w:hAnsi="宋体" w:eastAsia="宋体" w:cs="Times New Roman"/>
                <w:kern w:val="0"/>
                <w:szCs w:val="21"/>
              </w:rPr>
              <w:t>船舶轴流式和径流式涡轮增压器的修理。</w:t>
            </w:r>
          </w:p>
          <w:p>
            <w:pPr>
              <w:widowControl/>
              <w:rPr>
                <w:rFonts w:hint="eastAsia" w:ascii="宋体" w:hAnsi="宋体" w:eastAsia="宋体" w:cs="Times New Roman"/>
                <w:kern w:val="0"/>
                <w:szCs w:val="21"/>
              </w:rPr>
            </w:pPr>
            <w:r>
              <w:rPr>
                <w:rFonts w:ascii="宋体" w:hAnsi="宋体" w:eastAsia="宋体" w:cs="Times New Roman"/>
                <w:kern w:val="0"/>
                <w:szCs w:val="21"/>
              </w:rPr>
              <w:t>主要修订内容：1.</w:t>
            </w:r>
            <w:r>
              <w:rPr>
                <w:rFonts w:hint="eastAsia" w:ascii="宋体" w:hAnsi="宋体" w:eastAsia="宋体" w:cs="Times New Roman"/>
                <w:kern w:val="0"/>
                <w:szCs w:val="21"/>
              </w:rPr>
              <w:t>更改标准名称及标准的适用范围</w:t>
            </w:r>
            <w:r>
              <w:rPr>
                <w:rFonts w:ascii="宋体" w:hAnsi="宋体" w:eastAsia="宋体" w:cs="Times New Roman"/>
                <w:kern w:val="0"/>
                <w:szCs w:val="21"/>
              </w:rPr>
              <w:t>；2.增加压气机叶轮和导风轮X值检查、导风轮检查、压气机叶轮硬度检查；3.更改喷嘴环叶片变形的整形要求，增加焊接式叶片；4.更改喷嘴环裂纹问题的总的定义、评估、修复等规范；5.增加轴承表面的划痕判定，增加对轴承通用的非正常情况的磨损定义；6.更改增压器修复后的试验要求。</w:t>
            </w:r>
          </w:p>
        </w:tc>
        <w:tc>
          <w:tcPr>
            <w:tcW w:w="70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修订</w:t>
            </w:r>
          </w:p>
        </w:tc>
        <w:tc>
          <w:tcPr>
            <w:tcW w:w="1121" w:type="dxa"/>
            <w:vAlign w:val="center"/>
          </w:tcPr>
          <w:p>
            <w:pPr>
              <w:jc w:val="center"/>
              <w:rPr>
                <w:rFonts w:hint="eastAsia" w:ascii="宋体" w:hAnsi="宋体" w:eastAsia="宋体" w:cs="宋体"/>
                <w:kern w:val="0"/>
                <w:szCs w:val="21"/>
              </w:rPr>
            </w:pPr>
            <w:r>
              <w:rPr>
                <w:rFonts w:ascii="宋体" w:hAnsi="宋体" w:eastAsia="宋体" w:cs="宋体"/>
                <w:kern w:val="0"/>
                <w:szCs w:val="21"/>
              </w:rPr>
              <w:t>JT/T 283</w:t>
            </w:r>
            <w:r>
              <w:rPr>
                <w:rFonts w:hint="eastAsia" w:ascii="宋体" w:hAnsi="宋体" w:eastAsia="宋体" w:cs="宋体"/>
                <w:kern w:val="0"/>
                <w:szCs w:val="21"/>
              </w:rPr>
              <w:t>—</w:t>
            </w:r>
            <w:r>
              <w:rPr>
                <w:rFonts w:ascii="宋体" w:hAnsi="宋体" w:eastAsia="宋体" w:cs="宋体"/>
                <w:kern w:val="0"/>
                <w:szCs w:val="21"/>
              </w:rPr>
              <w:t>1995</w:t>
            </w: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内河船与水路运输标委会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奥赛能涡轮增压系统（重庆）有限公司</w:t>
            </w:r>
            <w:r>
              <w:rPr>
                <w:rFonts w:hint="eastAsia" w:ascii="宋体" w:hAnsi="宋体" w:eastAsia="宋体" w:cs="宋体"/>
                <w:kern w:val="0"/>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9</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2024-09</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内河船舶航行资料配备要求</w:t>
            </w:r>
          </w:p>
        </w:tc>
        <w:tc>
          <w:tcPr>
            <w:tcW w:w="5528" w:type="dxa"/>
            <w:vAlign w:val="center"/>
          </w:tcPr>
          <w:p>
            <w:pPr>
              <w:widowControl/>
              <w:rPr>
                <w:rFonts w:hint="eastAsia" w:ascii="宋体" w:hAnsi="宋体" w:eastAsia="宋体" w:cs="Times New Roman"/>
                <w:kern w:val="0"/>
                <w:szCs w:val="21"/>
              </w:rPr>
            </w:pPr>
            <w:r>
              <w:rPr>
                <w:rFonts w:ascii="宋体" w:hAnsi="宋体" w:eastAsia="宋体" w:cs="Times New Roman"/>
                <w:kern w:val="0"/>
                <w:szCs w:val="21"/>
              </w:rPr>
              <w:t>现行标准规定了内河</w:t>
            </w:r>
            <w:r>
              <w:rPr>
                <w:rFonts w:hint="eastAsia" w:ascii="宋体" w:hAnsi="宋体" w:eastAsia="宋体" w:cs="Times New Roman"/>
                <w:kern w:val="0"/>
                <w:szCs w:val="21"/>
              </w:rPr>
              <w:t>自航</w:t>
            </w:r>
            <w:r>
              <w:rPr>
                <w:rFonts w:ascii="宋体" w:hAnsi="宋体" w:eastAsia="宋体" w:cs="Times New Roman"/>
                <w:kern w:val="0"/>
                <w:szCs w:val="21"/>
              </w:rPr>
              <w:t>船舶航行时</w:t>
            </w:r>
            <w:r>
              <w:rPr>
                <w:rFonts w:hint="eastAsia" w:ascii="宋体" w:hAnsi="宋体" w:eastAsia="宋体" w:cs="Times New Roman"/>
                <w:kern w:val="0"/>
                <w:szCs w:val="21"/>
              </w:rPr>
              <w:t>，</w:t>
            </w:r>
            <w:r>
              <w:rPr>
                <w:rFonts w:ascii="宋体" w:hAnsi="宋体" w:eastAsia="宋体" w:cs="Times New Roman"/>
                <w:kern w:val="0"/>
                <w:szCs w:val="21"/>
              </w:rPr>
              <w:t>应配备的最基本的航行资料</w:t>
            </w:r>
            <w:r>
              <w:rPr>
                <w:rFonts w:hint="eastAsia" w:ascii="宋体" w:hAnsi="宋体" w:eastAsia="宋体" w:cs="Times New Roman"/>
                <w:kern w:val="0"/>
                <w:szCs w:val="21"/>
              </w:rPr>
              <w:t>。</w:t>
            </w:r>
          </w:p>
          <w:p>
            <w:pPr>
              <w:widowControl/>
              <w:rPr>
                <w:rFonts w:hint="eastAsia" w:ascii="宋体" w:hAnsi="宋体" w:eastAsia="宋体" w:cs="Times New Roman"/>
                <w:kern w:val="0"/>
                <w:szCs w:val="21"/>
              </w:rPr>
            </w:pPr>
            <w:r>
              <w:rPr>
                <w:rFonts w:ascii="宋体" w:hAnsi="宋体" w:eastAsia="宋体" w:cs="Times New Roman"/>
                <w:kern w:val="0"/>
                <w:szCs w:val="21"/>
              </w:rPr>
              <w:t>适用于航行在我国境内江、河、湖泊、水库的200总吨及以上或主推动力装置功率147kW及以上的中国籍船舶</w:t>
            </w:r>
            <w:r>
              <w:rPr>
                <w:rFonts w:hint="eastAsia" w:ascii="宋体" w:hAnsi="宋体" w:eastAsia="宋体" w:cs="Times New Roman"/>
                <w:kern w:val="0"/>
                <w:szCs w:val="21"/>
              </w:rPr>
              <w:t>，</w:t>
            </w:r>
            <w:r>
              <w:rPr>
                <w:rFonts w:ascii="宋体" w:hAnsi="宋体" w:eastAsia="宋体" w:cs="Times New Roman"/>
                <w:kern w:val="0"/>
                <w:szCs w:val="21"/>
              </w:rPr>
              <w:t>包括由江入海的江海直达船。对江渡船及其它船舶可参照执行</w:t>
            </w:r>
            <w:r>
              <w:rPr>
                <w:rFonts w:hint="eastAsia" w:ascii="宋体" w:hAnsi="宋体" w:eastAsia="宋体" w:cs="Times New Roman"/>
                <w:kern w:val="0"/>
                <w:szCs w:val="21"/>
              </w:rPr>
              <w:t>。</w:t>
            </w:r>
          </w:p>
          <w:p>
            <w:pPr>
              <w:widowControl/>
              <w:rPr>
                <w:rFonts w:hint="eastAsia" w:ascii="宋体" w:hAnsi="宋体" w:eastAsia="宋体" w:cs="Times New Roman"/>
                <w:kern w:val="0"/>
                <w:szCs w:val="21"/>
              </w:rPr>
            </w:pPr>
            <w:r>
              <w:rPr>
                <w:rFonts w:ascii="宋体" w:hAnsi="宋体" w:eastAsia="宋体" w:cs="Times New Roman"/>
                <w:kern w:val="0"/>
                <w:szCs w:val="21"/>
              </w:rPr>
              <w:t>不适用于因抢险救灾或执行军事等特殊任务而需紧急开航的船舶。</w:t>
            </w:r>
          </w:p>
          <w:p>
            <w:pPr>
              <w:widowControl/>
              <w:rPr>
                <w:rFonts w:hint="eastAsia" w:ascii="宋体" w:hAnsi="宋体" w:eastAsia="宋体" w:cs="Times New Roman"/>
                <w:kern w:val="0"/>
                <w:szCs w:val="21"/>
              </w:rPr>
            </w:pPr>
            <w:r>
              <w:rPr>
                <w:rFonts w:ascii="宋体" w:hAnsi="宋体" w:eastAsia="宋体" w:cs="Times New Roman"/>
                <w:kern w:val="0"/>
                <w:szCs w:val="21"/>
              </w:rPr>
              <w:t>主要修订内容：1.增加航行图集、船舶定线制、船舶破损控制图；2.增加航行于长江A,B,C级航区的船舶配备分道通航图；3.增加内河船舶法定检验技术规则；4.增加“VTS用户指南”。</w:t>
            </w:r>
          </w:p>
        </w:tc>
        <w:tc>
          <w:tcPr>
            <w:tcW w:w="709" w:type="dxa"/>
            <w:vAlign w:val="center"/>
          </w:tcPr>
          <w:p>
            <w:pPr>
              <w:jc w:val="center"/>
              <w:rPr>
                <w:rFonts w:hint="eastAsia" w:ascii="宋体" w:hAnsi="宋体" w:eastAsia="宋体" w:cs="宋体"/>
                <w:kern w:val="0"/>
                <w:szCs w:val="21"/>
              </w:rPr>
            </w:pPr>
            <w:r>
              <w:rPr>
                <w:rFonts w:ascii="宋体" w:hAnsi="宋体" w:eastAsia="宋体" w:cs="宋体"/>
                <w:kern w:val="0"/>
                <w:szCs w:val="21"/>
              </w:rPr>
              <w:t>修订</w:t>
            </w:r>
          </w:p>
        </w:tc>
        <w:tc>
          <w:tcPr>
            <w:tcW w:w="1121" w:type="dxa"/>
            <w:vAlign w:val="center"/>
          </w:tcPr>
          <w:p>
            <w:pPr>
              <w:jc w:val="center"/>
              <w:rPr>
                <w:rFonts w:hint="eastAsia" w:ascii="宋体" w:hAnsi="宋体" w:eastAsia="宋体" w:cs="宋体"/>
                <w:kern w:val="0"/>
                <w:szCs w:val="21"/>
              </w:rPr>
            </w:pPr>
            <w:r>
              <w:rPr>
                <w:rFonts w:ascii="宋体" w:hAnsi="宋体" w:eastAsia="宋体" w:cs="宋体"/>
                <w:kern w:val="0"/>
                <w:szCs w:val="21"/>
              </w:rPr>
              <w:t>JT/T 419</w:t>
            </w:r>
            <w:r>
              <w:rPr>
                <w:rFonts w:hint="eastAsia" w:ascii="宋体" w:hAnsi="宋体" w:eastAsia="宋体" w:cs="宋体"/>
                <w:kern w:val="0"/>
                <w:szCs w:val="21"/>
              </w:rPr>
              <w:t>—</w:t>
            </w:r>
            <w:r>
              <w:rPr>
                <w:rFonts w:ascii="宋体" w:hAnsi="宋体" w:eastAsia="宋体" w:cs="宋体"/>
                <w:kern w:val="0"/>
                <w:szCs w:val="21"/>
              </w:rPr>
              <w:t>2000</w:t>
            </w: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内河船与水路运输标委会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武汉理工大学、科瑞威标准技术服务（上海）有限公司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10</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2024-10</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内河船舶柴电混合推进系统电动遥控装置技术要求</w:t>
            </w:r>
          </w:p>
        </w:tc>
        <w:tc>
          <w:tcPr>
            <w:tcW w:w="5528" w:type="dxa"/>
            <w:vAlign w:val="center"/>
          </w:tcPr>
          <w:p>
            <w:pPr>
              <w:widowControl/>
              <w:rPr>
                <w:rFonts w:hint="eastAsia" w:ascii="宋体" w:hAnsi="宋体" w:eastAsia="宋体" w:cs="Times New Roman"/>
                <w:kern w:val="0"/>
                <w:szCs w:val="21"/>
              </w:rPr>
            </w:pPr>
            <w:r>
              <w:rPr>
                <w:rFonts w:ascii="宋体" w:hAnsi="宋体" w:eastAsia="宋体" w:cs="Times New Roman"/>
                <w:kern w:val="0"/>
                <w:szCs w:val="21"/>
              </w:rPr>
              <w:t>现行标准</w:t>
            </w:r>
            <w:r>
              <w:rPr>
                <w:rFonts w:hint="eastAsia" w:ascii="宋体" w:hAnsi="宋体" w:eastAsia="宋体" w:cs="Times New Roman"/>
                <w:kern w:val="0"/>
                <w:szCs w:val="21"/>
              </w:rPr>
              <w:t>规定了内河船舶柴油机主推进装置电动遥控系统的环境条件、基本功能和技术性能要求。</w:t>
            </w:r>
          </w:p>
          <w:p>
            <w:pPr>
              <w:widowControl/>
              <w:rPr>
                <w:rFonts w:hint="eastAsia" w:ascii="宋体" w:hAnsi="宋体" w:eastAsia="宋体" w:cs="Times New Roman"/>
                <w:kern w:val="0"/>
                <w:szCs w:val="21"/>
              </w:rPr>
            </w:pPr>
            <w:r>
              <w:rPr>
                <w:rFonts w:hint="eastAsia" w:ascii="宋体" w:hAnsi="宋体" w:eastAsia="宋体" w:cs="Times New Roman"/>
                <w:kern w:val="0"/>
                <w:szCs w:val="21"/>
              </w:rPr>
              <w:t>适用于电动遥控系统的设计、制造与验收。</w:t>
            </w:r>
          </w:p>
          <w:p>
            <w:pPr>
              <w:widowControl/>
              <w:rPr>
                <w:rFonts w:hint="eastAsia" w:ascii="宋体" w:hAnsi="宋体" w:eastAsia="宋体" w:cs="Times New Roman"/>
                <w:kern w:val="0"/>
                <w:szCs w:val="21"/>
              </w:rPr>
            </w:pPr>
            <w:r>
              <w:rPr>
                <w:rFonts w:ascii="宋体" w:hAnsi="宋体" w:eastAsia="宋体" w:cs="Times New Roman"/>
                <w:kern w:val="0"/>
                <w:szCs w:val="21"/>
              </w:rPr>
              <w:t>主要修订内容：1.</w:t>
            </w:r>
            <w:r>
              <w:rPr>
                <w:rFonts w:hint="eastAsia" w:ascii="宋体" w:hAnsi="宋体" w:eastAsia="宋体" w:cs="Times New Roman"/>
                <w:kern w:val="0"/>
                <w:szCs w:val="21"/>
              </w:rPr>
              <w:t>更改标准名称及标准的适用范围</w:t>
            </w:r>
            <w:r>
              <w:rPr>
                <w:rFonts w:ascii="宋体" w:hAnsi="宋体" w:eastAsia="宋体" w:cs="Times New Roman"/>
                <w:kern w:val="0"/>
                <w:szCs w:val="21"/>
              </w:rPr>
              <w:t>；2.</w:t>
            </w:r>
            <w:r>
              <w:rPr>
                <w:rFonts w:hint="eastAsia" w:ascii="宋体" w:hAnsi="宋体" w:eastAsia="宋体" w:cs="Times New Roman"/>
                <w:kern w:val="0"/>
                <w:szCs w:val="21"/>
              </w:rPr>
              <w:t>更改</w:t>
            </w:r>
            <w:r>
              <w:rPr>
                <w:rFonts w:ascii="宋体" w:hAnsi="宋体" w:eastAsia="宋体" w:cs="Times New Roman"/>
                <w:kern w:val="0"/>
                <w:szCs w:val="21"/>
              </w:rPr>
              <w:t>温度、湿度、倾斜与摇摆、盐雾、霉菌等环境方面的要求；3.增加供电电源种类、电压波动与频率、谐波大小等方面的要求增加对柴油发电机的相关要求；4.增加对柴油发电机的相关要求</w:t>
            </w:r>
            <w:r>
              <w:rPr>
                <w:rFonts w:hint="eastAsia" w:ascii="宋体" w:hAnsi="宋体" w:eastAsia="宋体" w:cs="Times New Roman"/>
                <w:kern w:val="0"/>
                <w:szCs w:val="21"/>
              </w:rPr>
              <w:t>。</w:t>
            </w:r>
          </w:p>
        </w:tc>
        <w:tc>
          <w:tcPr>
            <w:tcW w:w="709" w:type="dxa"/>
            <w:vAlign w:val="center"/>
          </w:tcPr>
          <w:p>
            <w:pPr>
              <w:jc w:val="center"/>
              <w:rPr>
                <w:rFonts w:hint="eastAsia" w:ascii="宋体" w:hAnsi="宋体" w:eastAsia="宋体" w:cs="宋体"/>
                <w:kern w:val="0"/>
                <w:szCs w:val="21"/>
              </w:rPr>
            </w:pPr>
            <w:r>
              <w:rPr>
                <w:rFonts w:ascii="宋体" w:hAnsi="宋体" w:eastAsia="宋体" w:cs="宋体"/>
                <w:kern w:val="0"/>
                <w:szCs w:val="21"/>
              </w:rPr>
              <w:t>修订</w:t>
            </w:r>
          </w:p>
        </w:tc>
        <w:tc>
          <w:tcPr>
            <w:tcW w:w="1121" w:type="dxa"/>
            <w:vAlign w:val="center"/>
          </w:tcPr>
          <w:p>
            <w:pPr>
              <w:jc w:val="center"/>
              <w:rPr>
                <w:rFonts w:hint="eastAsia" w:ascii="宋体" w:hAnsi="宋体" w:eastAsia="宋体" w:cs="宋体"/>
                <w:kern w:val="0"/>
                <w:szCs w:val="21"/>
              </w:rPr>
            </w:pPr>
            <w:r>
              <w:rPr>
                <w:rFonts w:ascii="宋体" w:hAnsi="宋体" w:eastAsia="宋体" w:cs="宋体"/>
                <w:kern w:val="0"/>
                <w:szCs w:val="21"/>
              </w:rPr>
              <w:t>JT/T 479</w:t>
            </w:r>
            <w:r>
              <w:rPr>
                <w:rFonts w:hint="eastAsia" w:ascii="宋体" w:hAnsi="宋体" w:eastAsia="宋体" w:cs="宋体"/>
                <w:kern w:val="0"/>
                <w:szCs w:val="21"/>
              </w:rPr>
              <w:t>—</w:t>
            </w:r>
            <w:r>
              <w:rPr>
                <w:rFonts w:ascii="宋体" w:hAnsi="宋体" w:eastAsia="宋体" w:cs="宋体"/>
                <w:kern w:val="0"/>
                <w:szCs w:val="21"/>
              </w:rPr>
              <w:t>2002</w:t>
            </w: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内河船与水路运输标委会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11</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2024-11</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船舶动力装置能量平衡测量与计算方法</w:t>
            </w:r>
          </w:p>
        </w:tc>
        <w:tc>
          <w:tcPr>
            <w:tcW w:w="5528" w:type="dxa"/>
            <w:vAlign w:val="center"/>
          </w:tcPr>
          <w:p>
            <w:pPr>
              <w:widowControl/>
              <w:rPr>
                <w:rFonts w:hint="eastAsia" w:ascii="宋体" w:hAnsi="宋体" w:eastAsia="宋体" w:cs="Times New Roman"/>
                <w:kern w:val="0"/>
                <w:szCs w:val="21"/>
              </w:rPr>
            </w:pPr>
            <w:r>
              <w:rPr>
                <w:rFonts w:ascii="宋体" w:hAnsi="宋体" w:eastAsia="宋体" w:cs="Times New Roman"/>
                <w:kern w:val="0"/>
                <w:szCs w:val="21"/>
              </w:rPr>
              <w:t>现行标准</w:t>
            </w:r>
            <w:r>
              <w:rPr>
                <w:rFonts w:hint="eastAsia" w:ascii="宋体" w:hAnsi="宋体" w:eastAsia="宋体" w:cs="Times New Roman"/>
                <w:kern w:val="0"/>
                <w:szCs w:val="21"/>
              </w:rPr>
              <w:t>规定了运输船舶的推进体系，</w:t>
            </w:r>
            <w:r>
              <w:rPr>
                <w:rFonts w:ascii="宋体" w:hAnsi="宋体" w:eastAsia="宋体" w:cs="Times New Roman"/>
                <w:kern w:val="0"/>
                <w:szCs w:val="21"/>
              </w:rPr>
              <w:t>电力体系和蒸汽体系能量平衡的测量与计算方法</w:t>
            </w:r>
            <w:r>
              <w:rPr>
                <w:rFonts w:hint="eastAsia" w:ascii="宋体" w:hAnsi="宋体" w:eastAsia="宋体" w:cs="Times New Roman"/>
                <w:kern w:val="0"/>
                <w:szCs w:val="21"/>
              </w:rPr>
              <w:t>。</w:t>
            </w:r>
          </w:p>
          <w:p>
            <w:pPr>
              <w:widowControl/>
              <w:rPr>
                <w:rFonts w:ascii="宋体" w:hAnsi="宋体" w:eastAsia="宋体" w:cs="Times New Roman"/>
                <w:kern w:val="0"/>
                <w:szCs w:val="21"/>
              </w:rPr>
            </w:pPr>
            <w:r>
              <w:rPr>
                <w:rFonts w:ascii="宋体" w:hAnsi="宋体" w:eastAsia="宋体" w:cs="Times New Roman"/>
                <w:kern w:val="0"/>
                <w:szCs w:val="21"/>
              </w:rPr>
              <w:t>适用于以柴油机为推进动力的各类运输船舶。</w:t>
            </w:r>
          </w:p>
          <w:p>
            <w:pPr>
              <w:widowControl/>
              <w:rPr>
                <w:rFonts w:hint="eastAsia" w:ascii="宋体" w:hAnsi="宋体" w:eastAsia="宋体" w:cs="Times New Roman"/>
                <w:kern w:val="0"/>
                <w:szCs w:val="21"/>
              </w:rPr>
            </w:pPr>
            <w:r>
              <w:rPr>
                <w:rFonts w:ascii="宋体" w:hAnsi="宋体" w:eastAsia="宋体" w:cs="Times New Roman"/>
                <w:kern w:val="0"/>
                <w:szCs w:val="21"/>
              </w:rPr>
              <w:t>主要修订内容：1.增加测量的基本要求；2.增加主机功率测量方法；3.增加燃油消耗量测量方法；4.</w:t>
            </w:r>
            <w:r>
              <w:rPr>
                <w:rFonts w:hint="eastAsia" w:ascii="宋体" w:hAnsi="宋体" w:eastAsia="宋体" w:cs="Times New Roman"/>
                <w:kern w:val="0"/>
                <w:szCs w:val="21"/>
              </w:rPr>
              <w:t>更改</w:t>
            </w:r>
            <w:r>
              <w:rPr>
                <w:rFonts w:ascii="宋体" w:hAnsi="宋体" w:eastAsia="宋体" w:cs="Times New Roman"/>
                <w:kern w:val="0"/>
                <w:szCs w:val="21"/>
              </w:rPr>
              <w:t>双纽线流量计测量要求。</w:t>
            </w:r>
          </w:p>
        </w:tc>
        <w:tc>
          <w:tcPr>
            <w:tcW w:w="709" w:type="dxa"/>
            <w:vAlign w:val="center"/>
          </w:tcPr>
          <w:p>
            <w:pPr>
              <w:jc w:val="center"/>
              <w:rPr>
                <w:rFonts w:hint="eastAsia" w:ascii="宋体" w:hAnsi="宋体" w:eastAsia="宋体" w:cs="宋体"/>
                <w:kern w:val="0"/>
                <w:szCs w:val="21"/>
              </w:rPr>
            </w:pPr>
            <w:r>
              <w:rPr>
                <w:rFonts w:ascii="宋体" w:hAnsi="宋体" w:eastAsia="宋体" w:cs="宋体"/>
                <w:kern w:val="0"/>
                <w:szCs w:val="21"/>
              </w:rPr>
              <w:t>修订</w:t>
            </w:r>
          </w:p>
        </w:tc>
        <w:tc>
          <w:tcPr>
            <w:tcW w:w="1121" w:type="dxa"/>
            <w:vAlign w:val="center"/>
          </w:tcPr>
          <w:p>
            <w:pPr>
              <w:jc w:val="center"/>
              <w:rPr>
                <w:rFonts w:hint="eastAsia" w:ascii="宋体" w:hAnsi="宋体" w:eastAsia="宋体" w:cs="宋体"/>
                <w:kern w:val="0"/>
                <w:szCs w:val="21"/>
              </w:rPr>
            </w:pPr>
            <w:r>
              <w:rPr>
                <w:rFonts w:ascii="宋体" w:hAnsi="宋体" w:eastAsia="宋体" w:cs="宋体"/>
                <w:kern w:val="0"/>
                <w:szCs w:val="21"/>
              </w:rPr>
              <w:t>JT/T 340</w:t>
            </w:r>
            <w:r>
              <w:rPr>
                <w:rFonts w:hint="eastAsia" w:ascii="宋体" w:hAnsi="宋体" w:eastAsia="宋体" w:cs="宋体"/>
                <w:kern w:val="0"/>
                <w:szCs w:val="21"/>
              </w:rPr>
              <w:t>—</w:t>
            </w:r>
            <w:r>
              <w:rPr>
                <w:rFonts w:ascii="宋体" w:hAnsi="宋体" w:eastAsia="宋体" w:cs="宋体"/>
                <w:kern w:val="0"/>
                <w:szCs w:val="21"/>
              </w:rPr>
              <w:t>2009</w:t>
            </w: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内河船与水路运输标委会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12</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2024-12</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船体结构低温焊接</w:t>
            </w:r>
          </w:p>
        </w:tc>
        <w:tc>
          <w:tcPr>
            <w:tcW w:w="5528" w:type="dxa"/>
            <w:vAlign w:val="center"/>
          </w:tcPr>
          <w:p>
            <w:pPr>
              <w:widowControl/>
              <w:rPr>
                <w:rFonts w:hint="eastAsia" w:ascii="宋体" w:hAnsi="宋体" w:eastAsia="宋体" w:cs="Times New Roman"/>
                <w:kern w:val="0"/>
                <w:szCs w:val="21"/>
              </w:rPr>
            </w:pPr>
            <w:r>
              <w:rPr>
                <w:rFonts w:ascii="宋体" w:hAnsi="宋体" w:eastAsia="宋体" w:cs="Times New Roman"/>
                <w:kern w:val="0"/>
                <w:szCs w:val="21"/>
              </w:rPr>
              <w:t>现行标准规定了船体结构低温焊接技术条件的术语和定义、焊接规范、技术条件</w:t>
            </w:r>
            <w:r>
              <w:rPr>
                <w:rFonts w:hint="eastAsia" w:ascii="宋体" w:hAnsi="宋体" w:eastAsia="宋体" w:cs="Times New Roman"/>
                <w:kern w:val="0"/>
                <w:szCs w:val="21"/>
              </w:rPr>
              <w:t>。</w:t>
            </w:r>
          </w:p>
          <w:p>
            <w:pPr>
              <w:widowControl/>
              <w:rPr>
                <w:rFonts w:hint="eastAsia" w:ascii="宋体" w:hAnsi="宋体" w:eastAsia="宋体" w:cs="Times New Roman"/>
                <w:kern w:val="0"/>
                <w:szCs w:val="21"/>
              </w:rPr>
            </w:pPr>
            <w:r>
              <w:rPr>
                <w:rFonts w:ascii="宋体" w:hAnsi="宋体" w:eastAsia="宋体" w:cs="Times New Roman"/>
                <w:kern w:val="0"/>
                <w:szCs w:val="21"/>
              </w:rPr>
              <w:t>适用于周围温度低于0℃时，进行碳素钢及低合金钢所制成船体结构的自动焊、半自动焊和手工焊接。</w:t>
            </w:r>
          </w:p>
          <w:p>
            <w:pPr>
              <w:widowControl/>
              <w:rPr>
                <w:rFonts w:hint="eastAsia" w:ascii="宋体" w:hAnsi="宋体" w:eastAsia="宋体" w:cs="Times New Roman"/>
                <w:kern w:val="0"/>
                <w:szCs w:val="21"/>
              </w:rPr>
            </w:pPr>
            <w:r>
              <w:rPr>
                <w:rFonts w:ascii="宋体" w:hAnsi="宋体" w:eastAsia="宋体" w:cs="Times New Roman"/>
                <w:kern w:val="0"/>
                <w:szCs w:val="21"/>
              </w:rPr>
              <w:t>主要修订内容：1.增加术语和定义；2.增加焊接规范；3.增加施焊、环境条件、引弧熄弧、温度测量、温度控制、焊接电流等技术条件；4.增加保暖措施、焊前预热、层间温度、温度测量方法、焊后处理等要求。</w:t>
            </w:r>
          </w:p>
        </w:tc>
        <w:tc>
          <w:tcPr>
            <w:tcW w:w="709" w:type="dxa"/>
            <w:vAlign w:val="center"/>
          </w:tcPr>
          <w:p>
            <w:pPr>
              <w:jc w:val="center"/>
              <w:rPr>
                <w:rFonts w:hint="eastAsia" w:ascii="宋体" w:hAnsi="宋体" w:eastAsia="宋体" w:cs="宋体"/>
                <w:kern w:val="0"/>
                <w:szCs w:val="21"/>
              </w:rPr>
            </w:pPr>
            <w:r>
              <w:rPr>
                <w:rFonts w:ascii="宋体" w:hAnsi="宋体" w:eastAsia="宋体" w:cs="宋体"/>
                <w:kern w:val="0"/>
                <w:szCs w:val="21"/>
              </w:rPr>
              <w:t>修订</w:t>
            </w:r>
          </w:p>
        </w:tc>
        <w:tc>
          <w:tcPr>
            <w:tcW w:w="1121" w:type="dxa"/>
            <w:vAlign w:val="center"/>
          </w:tcPr>
          <w:p>
            <w:pPr>
              <w:jc w:val="center"/>
              <w:rPr>
                <w:rFonts w:hint="eastAsia" w:ascii="宋体" w:hAnsi="宋体" w:eastAsia="宋体" w:cs="宋体"/>
                <w:kern w:val="0"/>
                <w:szCs w:val="21"/>
              </w:rPr>
            </w:pPr>
            <w:r>
              <w:rPr>
                <w:rFonts w:ascii="宋体" w:hAnsi="宋体" w:eastAsia="宋体" w:cs="宋体"/>
                <w:kern w:val="0"/>
                <w:szCs w:val="21"/>
              </w:rPr>
              <w:t>JT/T 240</w:t>
            </w:r>
            <w:r>
              <w:rPr>
                <w:rFonts w:hint="eastAsia" w:ascii="宋体" w:hAnsi="宋体" w:eastAsia="宋体" w:cs="宋体"/>
                <w:kern w:val="0"/>
                <w:szCs w:val="21"/>
              </w:rPr>
              <w:t>—</w:t>
            </w:r>
            <w:r>
              <w:rPr>
                <w:rFonts w:ascii="宋体" w:hAnsi="宋体" w:eastAsia="宋体" w:cs="宋体"/>
                <w:kern w:val="0"/>
                <w:szCs w:val="21"/>
              </w:rPr>
              <w:t>1995</w:t>
            </w: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内河船与水路运输标委会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惠生清洁能源科技集团股份有限公司</w:t>
            </w:r>
            <w:r>
              <w:rPr>
                <w:rFonts w:hint="eastAsia" w:ascii="宋体" w:hAnsi="宋体" w:eastAsia="宋体" w:cs="宋体"/>
                <w:kern w:val="0"/>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13</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2024-13</w:t>
            </w:r>
          </w:p>
        </w:tc>
        <w:tc>
          <w:tcPr>
            <w:tcW w:w="1560" w:type="dxa"/>
            <w:vAlign w:val="center"/>
          </w:tcPr>
          <w:p>
            <w:pPr>
              <w:rPr>
                <w:rFonts w:hint="eastAsia" w:ascii="宋体" w:hAnsi="宋体" w:eastAsia="宋体" w:cs="Times New Roman"/>
                <w:kern w:val="0"/>
                <w:szCs w:val="21"/>
              </w:rPr>
            </w:pPr>
            <w:r>
              <w:rPr>
                <w:rFonts w:hint="eastAsia" w:ascii="宋体" w:hAnsi="宋体" w:eastAsia="宋体" w:cs="Times New Roman"/>
                <w:kern w:val="0"/>
                <w:szCs w:val="21"/>
              </w:rPr>
              <w:t>汽车</w:t>
            </w:r>
            <w:r>
              <w:rPr>
                <w:rFonts w:ascii="宋体" w:hAnsi="宋体" w:eastAsia="宋体" w:cs="Times New Roman"/>
                <w:kern w:val="0"/>
                <w:szCs w:val="21"/>
              </w:rPr>
              <w:t>喷烤漆房能源消耗量限值及能源效率等级</w:t>
            </w:r>
          </w:p>
        </w:tc>
        <w:tc>
          <w:tcPr>
            <w:tcW w:w="5528" w:type="dxa"/>
            <w:vAlign w:val="center"/>
          </w:tcPr>
          <w:p>
            <w:pPr>
              <w:widowControl/>
              <w:rPr>
                <w:rFonts w:hint="eastAsia" w:ascii="宋体" w:hAnsi="宋体" w:eastAsia="宋体" w:cs="Times New Roman"/>
                <w:kern w:val="0"/>
                <w:szCs w:val="21"/>
              </w:rPr>
            </w:pPr>
            <w:r>
              <w:rPr>
                <w:rFonts w:ascii="宋体" w:hAnsi="宋体" w:eastAsia="宋体" w:cs="Times New Roman"/>
                <w:kern w:val="0"/>
                <w:szCs w:val="21"/>
              </w:rPr>
              <w:t>现行标准规定了汽车喷烤漆房的能源消耗量限值、能源效率等级、能源消耗量测试与计算方法以及能源效率等级标识等</w:t>
            </w:r>
            <w:r>
              <w:rPr>
                <w:rFonts w:hint="eastAsia" w:ascii="宋体" w:hAnsi="宋体" w:eastAsia="宋体" w:cs="Times New Roman"/>
                <w:kern w:val="0"/>
                <w:szCs w:val="21"/>
              </w:rPr>
              <w:t>。</w:t>
            </w:r>
          </w:p>
          <w:p>
            <w:pPr>
              <w:widowControl/>
              <w:rPr>
                <w:rFonts w:hint="eastAsia" w:ascii="宋体" w:hAnsi="宋体" w:eastAsia="宋体" w:cs="Times New Roman"/>
                <w:kern w:val="0"/>
                <w:szCs w:val="21"/>
              </w:rPr>
            </w:pPr>
            <w:r>
              <w:rPr>
                <w:rFonts w:ascii="宋体" w:hAnsi="宋体" w:eastAsia="宋体" w:cs="Times New Roman"/>
                <w:kern w:val="0"/>
                <w:szCs w:val="21"/>
              </w:rPr>
              <w:t>适用于汽车维修作业用的喷烤漆房，其他汽车喷烤漆房可参照执行。</w:t>
            </w:r>
          </w:p>
          <w:p>
            <w:pPr>
              <w:widowControl/>
              <w:rPr>
                <w:rFonts w:hint="eastAsia" w:ascii="宋体" w:hAnsi="宋体" w:eastAsia="宋体" w:cs="Times New Roman"/>
                <w:kern w:val="0"/>
                <w:szCs w:val="21"/>
              </w:rPr>
            </w:pPr>
            <w:r>
              <w:rPr>
                <w:rFonts w:ascii="宋体" w:hAnsi="宋体" w:eastAsia="宋体" w:cs="Times New Roman"/>
                <w:kern w:val="0"/>
                <w:szCs w:val="21"/>
              </w:rPr>
              <w:t>主要修订内容：1.更改喷烤漆房典型能源消耗量及能源效率等级、目标能源消耗量限值；2.更改喷烤漆房典型能源消耗量的计算方法；3.更改“烤漆作业时”应满足的条件、“工况时间分配”的计时单位及测试时的“温度测量”条件。</w:t>
            </w:r>
          </w:p>
        </w:tc>
        <w:tc>
          <w:tcPr>
            <w:tcW w:w="709" w:type="dxa"/>
            <w:vAlign w:val="center"/>
          </w:tcPr>
          <w:p>
            <w:pPr>
              <w:jc w:val="center"/>
              <w:rPr>
                <w:rFonts w:hint="eastAsia" w:ascii="宋体" w:hAnsi="宋体" w:eastAsia="宋体" w:cs="宋体"/>
                <w:kern w:val="0"/>
                <w:szCs w:val="21"/>
              </w:rPr>
            </w:pPr>
            <w:r>
              <w:rPr>
                <w:rFonts w:ascii="宋体" w:hAnsi="宋体" w:eastAsia="宋体" w:cs="宋体"/>
                <w:kern w:val="0"/>
                <w:szCs w:val="21"/>
              </w:rPr>
              <w:t>修订</w:t>
            </w:r>
          </w:p>
        </w:tc>
        <w:tc>
          <w:tcPr>
            <w:tcW w:w="1121" w:type="dxa"/>
            <w:vAlign w:val="center"/>
          </w:tcPr>
          <w:p>
            <w:pPr>
              <w:jc w:val="center"/>
              <w:rPr>
                <w:rFonts w:hint="eastAsia" w:ascii="宋体" w:hAnsi="宋体" w:eastAsia="宋体" w:cs="宋体"/>
                <w:kern w:val="0"/>
                <w:szCs w:val="21"/>
              </w:rPr>
            </w:pPr>
            <w:r>
              <w:rPr>
                <w:rFonts w:ascii="宋体" w:hAnsi="宋体" w:eastAsia="宋体" w:cs="宋体"/>
                <w:kern w:val="0"/>
                <w:szCs w:val="21"/>
              </w:rPr>
              <w:t>JT/T 938</w:t>
            </w:r>
            <w:r>
              <w:rPr>
                <w:rFonts w:hint="eastAsia" w:ascii="宋体" w:hAnsi="宋体" w:eastAsia="宋体" w:cs="宋体"/>
                <w:kern w:val="0"/>
                <w:szCs w:val="21"/>
              </w:rPr>
              <w:t>—</w:t>
            </w:r>
            <w:r>
              <w:rPr>
                <w:rFonts w:ascii="宋体" w:hAnsi="宋体" w:eastAsia="宋体" w:cs="宋体"/>
                <w:kern w:val="0"/>
                <w:szCs w:val="21"/>
              </w:rPr>
              <w:t>2014</w:t>
            </w: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汽车维修标委会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中国汽车保修设备行业协会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14</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2024-14</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智能运输系统  供配电系统节能技术要求</w:t>
            </w:r>
          </w:p>
        </w:tc>
        <w:tc>
          <w:tcPr>
            <w:tcW w:w="5528" w:type="dxa"/>
            <w:vAlign w:val="center"/>
          </w:tcPr>
          <w:p>
            <w:pPr>
              <w:widowControl/>
              <w:rPr>
                <w:rFonts w:hint="eastAsia" w:ascii="宋体" w:hAnsi="宋体" w:eastAsia="宋体" w:cs="Times New Roman"/>
                <w:kern w:val="0"/>
                <w:szCs w:val="21"/>
              </w:rPr>
            </w:pPr>
            <w:r>
              <w:rPr>
                <w:rFonts w:ascii="宋体" w:hAnsi="宋体" w:eastAsia="宋体" w:cs="Times New Roman"/>
                <w:kern w:val="0"/>
                <w:szCs w:val="21"/>
              </w:rPr>
              <w:t>现行标准规定了智能运输供配电系统的节能技术要求，电压</w:t>
            </w:r>
            <w:r>
              <w:rPr>
                <w:rFonts w:hint="eastAsia" w:ascii="宋体" w:hAnsi="宋体" w:eastAsia="宋体" w:cs="Times New Roman"/>
                <w:kern w:val="0"/>
                <w:szCs w:val="21"/>
              </w:rPr>
              <w:t>与</w:t>
            </w:r>
            <w:r>
              <w:rPr>
                <w:rFonts w:ascii="宋体" w:hAnsi="宋体" w:eastAsia="宋体" w:cs="Times New Roman"/>
                <w:kern w:val="0"/>
                <w:szCs w:val="21"/>
              </w:rPr>
              <w:t>电力线路、三相平衡、供配电系统电能质量、供配电设备、照明和通风供配电系统等节能技术要求，以及能耗监测要求</w:t>
            </w:r>
            <w:r>
              <w:rPr>
                <w:rFonts w:hint="eastAsia" w:ascii="宋体" w:hAnsi="宋体" w:eastAsia="宋体" w:cs="Times New Roman"/>
                <w:kern w:val="0"/>
                <w:szCs w:val="21"/>
              </w:rPr>
              <w:t>。</w:t>
            </w:r>
          </w:p>
          <w:p>
            <w:pPr>
              <w:widowControl/>
              <w:rPr>
                <w:rFonts w:hint="eastAsia" w:ascii="宋体" w:hAnsi="宋体" w:eastAsia="宋体" w:cs="Times New Roman"/>
                <w:kern w:val="0"/>
                <w:szCs w:val="21"/>
              </w:rPr>
            </w:pPr>
            <w:r>
              <w:rPr>
                <w:rFonts w:ascii="宋体" w:hAnsi="宋体" w:eastAsia="宋体" w:cs="Times New Roman"/>
                <w:kern w:val="0"/>
                <w:szCs w:val="21"/>
              </w:rPr>
              <w:t>适用于交通运输行业公路和城市道路的智能运输供配电系统，铁路、民航、水运行业可参照使用。</w:t>
            </w:r>
          </w:p>
          <w:p>
            <w:pPr>
              <w:widowControl/>
              <w:rPr>
                <w:rFonts w:hint="eastAsia" w:ascii="宋体" w:hAnsi="宋体" w:eastAsia="宋体" w:cs="Times New Roman"/>
                <w:kern w:val="0"/>
                <w:szCs w:val="21"/>
              </w:rPr>
            </w:pPr>
            <w:r>
              <w:rPr>
                <w:rFonts w:ascii="宋体" w:hAnsi="宋体" w:eastAsia="宋体" w:cs="Times New Roman"/>
                <w:kern w:val="0"/>
                <w:szCs w:val="21"/>
              </w:rPr>
              <w:t>主要修订内容：增加清洁能源应用相关内容；增加负荷侧多类型供电技术相关内容；完善供配电系统运行与节能监测相关内容。</w:t>
            </w:r>
          </w:p>
        </w:tc>
        <w:tc>
          <w:tcPr>
            <w:tcW w:w="709" w:type="dxa"/>
            <w:vAlign w:val="center"/>
          </w:tcPr>
          <w:p>
            <w:pPr>
              <w:jc w:val="center"/>
              <w:rPr>
                <w:rFonts w:hint="eastAsia" w:ascii="宋体" w:hAnsi="宋体" w:eastAsia="宋体" w:cs="宋体"/>
                <w:kern w:val="0"/>
                <w:szCs w:val="21"/>
              </w:rPr>
            </w:pPr>
            <w:r>
              <w:rPr>
                <w:rFonts w:ascii="宋体" w:hAnsi="宋体" w:eastAsia="宋体" w:cs="宋体"/>
                <w:kern w:val="0"/>
                <w:szCs w:val="21"/>
              </w:rPr>
              <w:t>修订</w:t>
            </w:r>
          </w:p>
        </w:tc>
        <w:tc>
          <w:tcPr>
            <w:tcW w:w="1121" w:type="dxa"/>
            <w:vAlign w:val="center"/>
          </w:tcPr>
          <w:p>
            <w:pPr>
              <w:jc w:val="center"/>
              <w:rPr>
                <w:rFonts w:hint="eastAsia" w:ascii="宋体" w:hAnsi="宋体" w:eastAsia="宋体" w:cs="宋体"/>
                <w:kern w:val="0"/>
                <w:szCs w:val="21"/>
              </w:rPr>
            </w:pPr>
            <w:r>
              <w:rPr>
                <w:rFonts w:ascii="宋体" w:hAnsi="宋体" w:eastAsia="宋体" w:cs="宋体"/>
                <w:kern w:val="0"/>
                <w:szCs w:val="21"/>
              </w:rPr>
              <w:t>JT/T 1228</w:t>
            </w:r>
            <w:r>
              <w:rPr>
                <w:rFonts w:hint="eastAsia" w:ascii="宋体" w:hAnsi="宋体" w:eastAsia="宋体" w:cs="宋体"/>
                <w:kern w:val="0"/>
                <w:szCs w:val="21"/>
              </w:rPr>
              <w:t>—</w:t>
            </w:r>
            <w:r>
              <w:rPr>
                <w:rFonts w:ascii="宋体" w:hAnsi="宋体" w:eastAsia="宋体" w:cs="宋体"/>
                <w:kern w:val="0"/>
                <w:szCs w:val="21"/>
              </w:rPr>
              <w:t>2018</w:t>
            </w: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智能运输标委会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交通运输部公路科学研究所、北京中交国通智能交通系统技术有限公司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15</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2024-15</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智能运输系统  长距离单相供配电系统技术要求</w:t>
            </w:r>
          </w:p>
        </w:tc>
        <w:tc>
          <w:tcPr>
            <w:tcW w:w="5528" w:type="dxa"/>
            <w:vAlign w:val="center"/>
          </w:tcPr>
          <w:p>
            <w:pPr>
              <w:widowControl/>
              <w:rPr>
                <w:rFonts w:hint="eastAsia" w:ascii="宋体" w:hAnsi="宋体" w:eastAsia="宋体" w:cs="Times New Roman"/>
                <w:kern w:val="0"/>
                <w:szCs w:val="21"/>
              </w:rPr>
            </w:pPr>
            <w:r>
              <w:rPr>
                <w:rFonts w:ascii="宋体" w:hAnsi="宋体" w:eastAsia="宋体" w:cs="Times New Roman"/>
                <w:kern w:val="0"/>
                <w:szCs w:val="21"/>
              </w:rPr>
              <w:t>现行标准规定了智能运输系统长距离单相供配电系统的构成、功能要求，以及上位机、下位机、供电线缆和系统安全防护等技术要求</w:t>
            </w:r>
            <w:r>
              <w:rPr>
                <w:rFonts w:hint="eastAsia" w:ascii="宋体" w:hAnsi="宋体" w:eastAsia="宋体" w:cs="Times New Roman"/>
                <w:kern w:val="0"/>
                <w:szCs w:val="21"/>
              </w:rPr>
              <w:t>。</w:t>
            </w:r>
          </w:p>
          <w:p>
            <w:pPr>
              <w:widowControl/>
              <w:rPr>
                <w:rFonts w:hint="eastAsia" w:ascii="宋体" w:hAnsi="宋体" w:eastAsia="宋体" w:cs="Times New Roman"/>
                <w:kern w:val="0"/>
                <w:szCs w:val="21"/>
              </w:rPr>
            </w:pPr>
            <w:r>
              <w:rPr>
                <w:rFonts w:ascii="宋体" w:hAnsi="宋体" w:eastAsia="宋体" w:cs="Times New Roman"/>
                <w:kern w:val="0"/>
                <w:szCs w:val="21"/>
              </w:rPr>
              <w:t>适用于交通运输行业公路、城市道路智能运输系统中传感、通信、控制、服务、管理系统等的长距离单相供配电系统，铁路、民航、水运行业可参照使用。</w:t>
            </w:r>
          </w:p>
          <w:p>
            <w:pPr>
              <w:widowControl/>
              <w:rPr>
                <w:rFonts w:hint="eastAsia" w:ascii="宋体" w:hAnsi="宋体" w:eastAsia="宋体" w:cs="Times New Roman"/>
                <w:kern w:val="0"/>
                <w:szCs w:val="21"/>
              </w:rPr>
            </w:pPr>
            <w:r>
              <w:rPr>
                <w:rFonts w:ascii="宋体" w:hAnsi="宋体" w:eastAsia="宋体" w:cs="Times New Roman"/>
                <w:kern w:val="0"/>
                <w:szCs w:val="21"/>
              </w:rPr>
              <w:t>主要修订内容：对长距离供电系统的构成进行优化；完善长距离供电系统安全防护的相关规定；增加长距离供电系统运行状态监测。</w:t>
            </w:r>
          </w:p>
        </w:tc>
        <w:tc>
          <w:tcPr>
            <w:tcW w:w="709" w:type="dxa"/>
            <w:vAlign w:val="center"/>
          </w:tcPr>
          <w:p>
            <w:pPr>
              <w:jc w:val="center"/>
              <w:rPr>
                <w:rFonts w:hint="eastAsia" w:ascii="宋体" w:hAnsi="宋体" w:eastAsia="宋体" w:cs="宋体"/>
                <w:kern w:val="0"/>
                <w:szCs w:val="21"/>
              </w:rPr>
            </w:pPr>
            <w:r>
              <w:rPr>
                <w:rFonts w:ascii="宋体" w:hAnsi="宋体" w:eastAsia="宋体" w:cs="宋体"/>
                <w:kern w:val="0"/>
                <w:szCs w:val="21"/>
              </w:rPr>
              <w:t>修订</w:t>
            </w:r>
          </w:p>
        </w:tc>
        <w:tc>
          <w:tcPr>
            <w:tcW w:w="1121" w:type="dxa"/>
            <w:vAlign w:val="center"/>
          </w:tcPr>
          <w:p>
            <w:pPr>
              <w:jc w:val="center"/>
              <w:rPr>
                <w:rFonts w:hint="eastAsia" w:ascii="宋体" w:hAnsi="宋体" w:eastAsia="宋体" w:cs="宋体"/>
                <w:kern w:val="0"/>
                <w:szCs w:val="21"/>
              </w:rPr>
            </w:pPr>
            <w:r>
              <w:rPr>
                <w:rFonts w:ascii="宋体" w:hAnsi="宋体" w:eastAsia="宋体" w:cs="宋体"/>
                <w:kern w:val="0"/>
                <w:szCs w:val="21"/>
              </w:rPr>
              <w:t>JT/T 1229</w:t>
            </w:r>
            <w:r>
              <w:rPr>
                <w:rFonts w:hint="eastAsia" w:ascii="宋体" w:hAnsi="宋体" w:eastAsia="宋体" w:cs="宋体"/>
                <w:kern w:val="0"/>
                <w:szCs w:val="21"/>
              </w:rPr>
              <w:t>—</w:t>
            </w:r>
            <w:r>
              <w:rPr>
                <w:rFonts w:ascii="宋体" w:hAnsi="宋体" w:eastAsia="宋体" w:cs="宋体"/>
                <w:kern w:val="0"/>
                <w:szCs w:val="21"/>
              </w:rPr>
              <w:t>2018</w:t>
            </w: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智能运输标委会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交通运输部公路科学研究所、北京中交国通智能交通系统技术有限公司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16</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2024-16</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抓斗起重机称重安全保护系统技术要求</w:t>
            </w:r>
          </w:p>
        </w:tc>
        <w:tc>
          <w:tcPr>
            <w:tcW w:w="5528" w:type="dxa"/>
            <w:vAlign w:val="center"/>
          </w:tcPr>
          <w:p>
            <w:pPr>
              <w:rPr>
                <w:rFonts w:hint="eastAsia" w:ascii="宋体" w:hAnsi="宋体" w:eastAsia="宋体" w:cs="Times New Roman"/>
                <w:kern w:val="0"/>
                <w:szCs w:val="21"/>
              </w:rPr>
            </w:pPr>
            <w:r>
              <w:rPr>
                <w:rFonts w:ascii="宋体" w:hAnsi="宋体" w:eastAsia="宋体" w:cs="Times New Roman"/>
                <w:kern w:val="0"/>
                <w:szCs w:val="21"/>
              </w:rPr>
              <w:t>拟规定抓斗起重机称重安全保护系统的系统构成、技术要求和性能要求。</w:t>
            </w:r>
          </w:p>
          <w:p>
            <w:pPr>
              <w:rPr>
                <w:rFonts w:hint="eastAsia" w:ascii="宋体" w:hAnsi="宋体" w:eastAsia="宋体" w:cs="Times New Roman"/>
                <w:kern w:val="0"/>
                <w:szCs w:val="21"/>
              </w:rPr>
            </w:pPr>
            <w:r>
              <w:rPr>
                <w:rFonts w:ascii="宋体" w:hAnsi="宋体" w:eastAsia="宋体" w:cs="Times New Roman"/>
                <w:kern w:val="0"/>
                <w:szCs w:val="21"/>
              </w:rPr>
              <w:t>适用于通用桥式起重机、通用门式起重机、桥式抓斗卸船机、门座起重机、高塔柱起重机、固定式起重机等使用抓斗的起重机以连续的模拟电流或电压信号为测量信号的称重安全保护系统。</w:t>
            </w:r>
          </w:p>
        </w:tc>
        <w:tc>
          <w:tcPr>
            <w:tcW w:w="70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制定</w:t>
            </w:r>
          </w:p>
        </w:tc>
        <w:tc>
          <w:tcPr>
            <w:tcW w:w="1121" w:type="dxa"/>
            <w:vAlign w:val="center"/>
          </w:tcPr>
          <w:p>
            <w:pPr>
              <w:jc w:val="center"/>
              <w:rPr>
                <w:rFonts w:hint="eastAsia" w:ascii="宋体" w:hAnsi="宋体" w:eastAsia="宋体" w:cs="宋体"/>
                <w:kern w:val="0"/>
                <w:szCs w:val="21"/>
              </w:rPr>
            </w:pP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臂架起重机分委会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交通运输部水运科学研究所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17</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2024-17</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港口岸电电缆臂架式提送机</w:t>
            </w:r>
          </w:p>
        </w:tc>
        <w:tc>
          <w:tcPr>
            <w:tcW w:w="5528" w:type="dxa"/>
            <w:vAlign w:val="center"/>
          </w:tcPr>
          <w:p>
            <w:pPr>
              <w:rPr>
                <w:rFonts w:hint="eastAsia" w:ascii="宋体" w:hAnsi="宋体" w:eastAsia="宋体" w:cs="Times New Roman"/>
                <w:kern w:val="0"/>
                <w:szCs w:val="21"/>
              </w:rPr>
            </w:pPr>
            <w:r>
              <w:rPr>
                <w:rFonts w:ascii="宋体" w:hAnsi="宋体" w:eastAsia="宋体" w:cs="Times New Roman"/>
                <w:kern w:val="0"/>
                <w:szCs w:val="21"/>
              </w:rPr>
              <w:t>拟规定港口岸电电缆臂架提送机的产品分类、组成、基本参数和型号，技术要求，试验方法，检验规则，以及标志、包装、运输和贮存。</w:t>
            </w:r>
          </w:p>
          <w:p>
            <w:pPr>
              <w:rPr>
                <w:rFonts w:hint="eastAsia" w:ascii="宋体" w:hAnsi="宋体" w:eastAsia="宋体" w:cs="Times New Roman"/>
                <w:kern w:val="0"/>
                <w:szCs w:val="21"/>
              </w:rPr>
            </w:pPr>
            <w:r>
              <w:rPr>
                <w:rFonts w:ascii="宋体" w:hAnsi="宋体" w:eastAsia="宋体" w:cs="Times New Roman"/>
                <w:kern w:val="0"/>
                <w:szCs w:val="21"/>
              </w:rPr>
              <w:t>适用于船舶岸基供电的港口岸电电缆臂架式提送机。</w:t>
            </w:r>
          </w:p>
        </w:tc>
        <w:tc>
          <w:tcPr>
            <w:tcW w:w="70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制定</w:t>
            </w:r>
          </w:p>
        </w:tc>
        <w:tc>
          <w:tcPr>
            <w:tcW w:w="1121" w:type="dxa"/>
            <w:vAlign w:val="center"/>
          </w:tcPr>
          <w:p>
            <w:pPr>
              <w:jc w:val="center"/>
              <w:rPr>
                <w:rFonts w:hint="eastAsia" w:ascii="宋体" w:hAnsi="宋体" w:eastAsia="宋体" w:cs="宋体"/>
                <w:kern w:val="0"/>
                <w:szCs w:val="21"/>
              </w:rPr>
            </w:pP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臂架起重机分委会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交通运输部水运科学研究所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18</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w:t>
            </w:r>
            <w:r>
              <w:rPr>
                <w:rFonts w:hint="eastAsia" w:ascii="宋体" w:hAnsi="宋体" w:eastAsia="宋体" w:cs="Times New Roman"/>
                <w:bCs/>
                <w:kern w:val="0"/>
                <w:szCs w:val="21"/>
              </w:rPr>
              <w:t>18</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海上安全通信系统接口规范</w:t>
            </w:r>
          </w:p>
        </w:tc>
        <w:tc>
          <w:tcPr>
            <w:tcW w:w="5528" w:type="dxa"/>
            <w:vAlign w:val="center"/>
          </w:tcPr>
          <w:p>
            <w:pPr>
              <w:rPr>
                <w:rFonts w:hint="eastAsia" w:ascii="宋体" w:hAnsi="宋体" w:eastAsia="宋体" w:cs="Times New Roman"/>
                <w:kern w:val="0"/>
                <w:szCs w:val="21"/>
              </w:rPr>
            </w:pPr>
            <w:r>
              <w:rPr>
                <w:rFonts w:ascii="宋体" w:hAnsi="宋体" w:eastAsia="宋体" w:cs="Times New Roman"/>
                <w:kern w:val="0"/>
                <w:szCs w:val="21"/>
              </w:rPr>
              <w:t>拟规定海上安全通信系统接口的总体要求，以及数字选择呼叫、奈伏泰斯系统、气象传真、单边带、甚高频等海上安全通信业务的接口要求、编码规则和交互协议规则。</w:t>
            </w:r>
          </w:p>
          <w:p>
            <w:pPr>
              <w:rPr>
                <w:rFonts w:hint="eastAsia" w:ascii="宋体" w:hAnsi="宋体" w:eastAsia="宋体" w:cs="Times New Roman"/>
                <w:kern w:val="0"/>
                <w:szCs w:val="21"/>
              </w:rPr>
            </w:pPr>
            <w:r>
              <w:rPr>
                <w:rFonts w:ascii="宋体" w:hAnsi="宋体" w:eastAsia="宋体" w:cs="Times New Roman"/>
                <w:kern w:val="0"/>
                <w:szCs w:val="21"/>
              </w:rPr>
              <w:t>适用于利用中频、高频、甚高频通信系统开展的数字选择呼叫、奈伏泰斯系统、气象传真、单边带、甚高频等海上安全通信业务控制系统的设计、开发及集成。</w:t>
            </w:r>
          </w:p>
        </w:tc>
        <w:tc>
          <w:tcPr>
            <w:tcW w:w="70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制定</w:t>
            </w:r>
          </w:p>
        </w:tc>
        <w:tc>
          <w:tcPr>
            <w:tcW w:w="1121" w:type="dxa"/>
            <w:vAlign w:val="center"/>
          </w:tcPr>
          <w:p>
            <w:pPr>
              <w:jc w:val="center"/>
              <w:rPr>
                <w:rFonts w:hint="eastAsia" w:ascii="宋体" w:hAnsi="宋体" w:eastAsia="宋体" w:cs="宋体"/>
                <w:kern w:val="0"/>
                <w:szCs w:val="21"/>
              </w:rPr>
            </w:pP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航测标委会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交通运输部规划研究院、交通运输部北海航海保障中心、南京海善达信息科技有限公司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19</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2024-19</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沿海港口航道数字航海产品交换数据集格式 第1部分：水位数据</w:t>
            </w:r>
          </w:p>
        </w:tc>
        <w:tc>
          <w:tcPr>
            <w:tcW w:w="5528" w:type="dxa"/>
            <w:vAlign w:val="center"/>
          </w:tcPr>
          <w:p>
            <w:pPr>
              <w:rPr>
                <w:rFonts w:hint="eastAsia" w:ascii="宋体" w:hAnsi="宋体" w:eastAsia="宋体" w:cs="Times New Roman"/>
                <w:kern w:val="0"/>
                <w:szCs w:val="21"/>
              </w:rPr>
            </w:pPr>
            <w:r>
              <w:rPr>
                <w:rFonts w:ascii="宋体" w:hAnsi="宋体" w:eastAsia="宋体" w:cs="Times New Roman"/>
                <w:kern w:val="0"/>
                <w:szCs w:val="21"/>
              </w:rPr>
              <w:t>拟规定沿海港口航道数字航海产品序列中水位数据产品的数据内容和结构、坐标参考系统、数据质量、数据采集、分类与编码、图示表达、产品格式、数据传输、元数据等技术要求。</w:t>
            </w:r>
          </w:p>
          <w:p>
            <w:pPr>
              <w:rPr>
                <w:rFonts w:hint="eastAsia" w:ascii="宋体" w:hAnsi="宋体" w:eastAsia="宋体" w:cs="Times New Roman"/>
                <w:kern w:val="0"/>
                <w:szCs w:val="21"/>
              </w:rPr>
            </w:pPr>
            <w:r>
              <w:rPr>
                <w:rFonts w:ascii="宋体" w:hAnsi="宋体" w:eastAsia="宋体" w:cs="Times New Roman"/>
                <w:kern w:val="0"/>
                <w:szCs w:val="21"/>
              </w:rPr>
              <w:t>适用于沿海港口航道数字航海水位数据产品的生产、处理、交换、显示和应用，数字航海水位数据产品生产系统、发布系统与应用系统的设计研发参考使用。</w:t>
            </w:r>
          </w:p>
        </w:tc>
        <w:tc>
          <w:tcPr>
            <w:tcW w:w="70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制定</w:t>
            </w:r>
          </w:p>
        </w:tc>
        <w:tc>
          <w:tcPr>
            <w:tcW w:w="1121" w:type="dxa"/>
            <w:vAlign w:val="center"/>
          </w:tcPr>
          <w:p>
            <w:pPr>
              <w:jc w:val="center"/>
              <w:rPr>
                <w:rFonts w:hint="eastAsia" w:ascii="宋体" w:hAnsi="宋体" w:eastAsia="宋体" w:cs="宋体"/>
                <w:kern w:val="0"/>
                <w:szCs w:val="21"/>
              </w:rPr>
            </w:pP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航测标委会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交通运输部东海航海保障中心、交通运输部水运科学研究所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20</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2024-20</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沿海港口航道数字航海产品交换数据集格式 第2部分：表层流数据</w:t>
            </w:r>
          </w:p>
        </w:tc>
        <w:tc>
          <w:tcPr>
            <w:tcW w:w="5528" w:type="dxa"/>
            <w:vAlign w:val="center"/>
          </w:tcPr>
          <w:p>
            <w:pPr>
              <w:rPr>
                <w:rFonts w:hint="eastAsia" w:ascii="宋体" w:hAnsi="宋体" w:eastAsia="宋体" w:cs="Times New Roman"/>
                <w:kern w:val="0"/>
                <w:szCs w:val="21"/>
              </w:rPr>
            </w:pPr>
            <w:r>
              <w:rPr>
                <w:rFonts w:ascii="宋体" w:hAnsi="宋体" w:eastAsia="宋体" w:cs="Times New Roman"/>
                <w:kern w:val="0"/>
                <w:szCs w:val="21"/>
              </w:rPr>
              <w:t>拟规定沿海港口航道数字航海产品序列中表层流数据产品的数据内容和结构、坐标参考系统、数据质量、数据采集、分类与编码、图示表达、产品格式、数据传输、元数据等技术要求。</w:t>
            </w:r>
          </w:p>
          <w:p>
            <w:pPr>
              <w:rPr>
                <w:rFonts w:hint="eastAsia" w:ascii="宋体" w:hAnsi="宋体" w:eastAsia="宋体" w:cs="Times New Roman"/>
                <w:kern w:val="0"/>
                <w:szCs w:val="21"/>
              </w:rPr>
            </w:pPr>
            <w:r>
              <w:rPr>
                <w:rFonts w:ascii="宋体" w:hAnsi="宋体" w:eastAsia="宋体" w:cs="Times New Roman"/>
                <w:kern w:val="0"/>
                <w:szCs w:val="21"/>
              </w:rPr>
              <w:t>适用于沿海港口航道数字航海表层流数据产品的生产、处理、交换、显示和应用，数字航海表层流数据产品生产系统、发布系统与应用系统的设计研发参考使用。</w:t>
            </w:r>
          </w:p>
        </w:tc>
        <w:tc>
          <w:tcPr>
            <w:tcW w:w="70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制定</w:t>
            </w:r>
          </w:p>
        </w:tc>
        <w:tc>
          <w:tcPr>
            <w:tcW w:w="1121" w:type="dxa"/>
            <w:vAlign w:val="center"/>
          </w:tcPr>
          <w:p>
            <w:pPr>
              <w:jc w:val="center"/>
              <w:rPr>
                <w:rFonts w:hint="eastAsia" w:ascii="宋体" w:hAnsi="宋体" w:eastAsia="宋体" w:cs="宋体"/>
                <w:kern w:val="0"/>
                <w:szCs w:val="21"/>
              </w:rPr>
            </w:pP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航测标委会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交通运输部东海航海保障中心、交通运输部水运科学研究所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21</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2024-21</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钢结构灯桩通用技术条件</w:t>
            </w:r>
          </w:p>
        </w:tc>
        <w:tc>
          <w:tcPr>
            <w:tcW w:w="5528" w:type="dxa"/>
            <w:vAlign w:val="center"/>
          </w:tcPr>
          <w:p>
            <w:pPr>
              <w:widowControl/>
              <w:rPr>
                <w:rFonts w:hint="eastAsia" w:ascii="宋体" w:hAnsi="宋体" w:eastAsia="宋体" w:cs="Times New Roman"/>
                <w:kern w:val="0"/>
                <w:szCs w:val="21"/>
              </w:rPr>
            </w:pPr>
            <w:r>
              <w:rPr>
                <w:rFonts w:ascii="宋体" w:hAnsi="宋体" w:eastAsia="宋体" w:cs="Times New Roman"/>
                <w:kern w:val="0"/>
                <w:szCs w:val="21"/>
              </w:rPr>
              <w:t>现行标准规定了钢管灯桩的分类及基本参数系列、制造要求、检验方法、标志、包装、运输和存储。</w:t>
            </w:r>
          </w:p>
          <w:p>
            <w:pPr>
              <w:widowControl/>
              <w:rPr>
                <w:rFonts w:hint="eastAsia" w:ascii="宋体" w:hAnsi="宋体" w:eastAsia="宋体" w:cs="Times New Roman"/>
                <w:kern w:val="0"/>
                <w:szCs w:val="21"/>
              </w:rPr>
            </w:pPr>
            <w:r>
              <w:rPr>
                <w:rFonts w:ascii="宋体" w:hAnsi="宋体" w:eastAsia="宋体" w:cs="Times New Roman"/>
                <w:kern w:val="0"/>
                <w:szCs w:val="21"/>
              </w:rPr>
              <w:t>适用于沿海及内河助航标志用钢管灯桩。</w:t>
            </w:r>
          </w:p>
          <w:p>
            <w:pPr>
              <w:widowControl/>
              <w:rPr>
                <w:rFonts w:hint="eastAsia" w:ascii="宋体" w:hAnsi="宋体" w:eastAsia="宋体" w:cs="Times New Roman"/>
                <w:kern w:val="0"/>
                <w:szCs w:val="21"/>
              </w:rPr>
            </w:pPr>
            <w:r>
              <w:rPr>
                <w:rFonts w:ascii="宋体" w:hAnsi="宋体" w:eastAsia="宋体" w:cs="Times New Roman"/>
                <w:kern w:val="0"/>
                <w:szCs w:val="21"/>
              </w:rPr>
              <w:t>主要修订内容：1.</w:t>
            </w:r>
            <w:r>
              <w:rPr>
                <w:rFonts w:hint="eastAsia" w:ascii="宋体" w:hAnsi="宋体" w:eastAsia="宋体" w:cs="Times New Roman"/>
                <w:kern w:val="0"/>
                <w:szCs w:val="21"/>
              </w:rPr>
              <w:t>更改</w:t>
            </w:r>
            <w:r>
              <w:rPr>
                <w:rFonts w:ascii="宋体" w:hAnsi="宋体" w:eastAsia="宋体" w:cs="Times New Roman"/>
                <w:kern w:val="0"/>
                <w:szCs w:val="21"/>
              </w:rPr>
              <w:t>标准名称</w:t>
            </w:r>
            <w:r>
              <w:rPr>
                <w:rFonts w:hint="eastAsia" w:ascii="宋体" w:hAnsi="宋体" w:eastAsia="宋体" w:cs="Times New Roman"/>
                <w:kern w:val="0"/>
                <w:szCs w:val="21"/>
              </w:rPr>
              <w:t>和适用范围</w:t>
            </w:r>
            <w:r>
              <w:rPr>
                <w:rFonts w:ascii="宋体" w:hAnsi="宋体" w:eastAsia="宋体" w:cs="Times New Roman"/>
                <w:kern w:val="0"/>
                <w:szCs w:val="21"/>
              </w:rPr>
              <w:t>；2.增加行桁架式角钢灯桩基本参数要求；3.根据绿色环保要求</w:t>
            </w:r>
            <w:r>
              <w:rPr>
                <w:rFonts w:hint="eastAsia" w:ascii="宋体" w:hAnsi="宋体" w:eastAsia="宋体" w:cs="Times New Roman"/>
                <w:kern w:val="0"/>
                <w:szCs w:val="21"/>
              </w:rPr>
              <w:t>更改</w:t>
            </w:r>
            <w:r>
              <w:rPr>
                <w:rFonts w:ascii="宋体" w:hAnsi="宋体" w:eastAsia="宋体" w:cs="Times New Roman"/>
                <w:kern w:val="0"/>
                <w:szCs w:val="21"/>
              </w:rPr>
              <w:t>防腐技术要求；4.根据技术发展</w:t>
            </w:r>
            <w:r>
              <w:rPr>
                <w:rFonts w:hint="eastAsia" w:ascii="宋体" w:hAnsi="宋体" w:eastAsia="宋体" w:cs="Times New Roman"/>
                <w:kern w:val="0"/>
                <w:szCs w:val="21"/>
              </w:rPr>
              <w:t>更改</w:t>
            </w:r>
            <w:r>
              <w:rPr>
                <w:rFonts w:ascii="宋体" w:hAnsi="宋体" w:eastAsia="宋体" w:cs="Times New Roman"/>
                <w:kern w:val="0"/>
                <w:szCs w:val="21"/>
              </w:rPr>
              <w:t>试验方法。</w:t>
            </w:r>
          </w:p>
        </w:tc>
        <w:tc>
          <w:tcPr>
            <w:tcW w:w="709" w:type="dxa"/>
            <w:vAlign w:val="center"/>
          </w:tcPr>
          <w:p>
            <w:pPr>
              <w:jc w:val="center"/>
              <w:rPr>
                <w:rFonts w:hint="eastAsia" w:ascii="宋体" w:hAnsi="宋体" w:eastAsia="宋体" w:cs="宋体"/>
                <w:kern w:val="0"/>
                <w:szCs w:val="21"/>
              </w:rPr>
            </w:pPr>
            <w:r>
              <w:rPr>
                <w:rFonts w:ascii="宋体" w:hAnsi="宋体" w:eastAsia="宋体" w:cs="宋体"/>
                <w:kern w:val="0"/>
                <w:szCs w:val="21"/>
              </w:rPr>
              <w:t>修订</w:t>
            </w:r>
          </w:p>
        </w:tc>
        <w:tc>
          <w:tcPr>
            <w:tcW w:w="1121" w:type="dxa"/>
            <w:vAlign w:val="center"/>
          </w:tcPr>
          <w:p>
            <w:pPr>
              <w:jc w:val="center"/>
              <w:rPr>
                <w:rFonts w:hint="eastAsia" w:ascii="宋体" w:hAnsi="宋体" w:eastAsia="宋体" w:cs="宋体"/>
                <w:kern w:val="0"/>
                <w:szCs w:val="21"/>
              </w:rPr>
            </w:pPr>
            <w:r>
              <w:rPr>
                <w:rFonts w:ascii="宋体" w:hAnsi="宋体" w:eastAsia="宋体" w:cs="宋体"/>
                <w:kern w:val="0"/>
                <w:szCs w:val="21"/>
              </w:rPr>
              <w:t>JT/T 102</w:t>
            </w:r>
            <w:r>
              <w:rPr>
                <w:rFonts w:hint="eastAsia" w:ascii="宋体" w:hAnsi="宋体" w:eastAsia="宋体" w:cs="宋体"/>
                <w:kern w:val="0"/>
                <w:szCs w:val="21"/>
              </w:rPr>
              <w:t>—</w:t>
            </w:r>
            <w:r>
              <w:rPr>
                <w:rFonts w:ascii="宋体" w:hAnsi="宋体" w:eastAsia="宋体" w:cs="宋体"/>
                <w:kern w:val="0"/>
                <w:szCs w:val="21"/>
              </w:rPr>
              <w:t>2009</w:t>
            </w: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航测标委会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交通运输部东海航海保障中心连云港航标处、中交上海航道勘察设计研究院有限公司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22</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2024-22</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船舶交通管理系统数据交换  第1部分：IVEF格式</w:t>
            </w:r>
          </w:p>
        </w:tc>
        <w:tc>
          <w:tcPr>
            <w:tcW w:w="5528" w:type="dxa"/>
            <w:vAlign w:val="center"/>
          </w:tcPr>
          <w:p>
            <w:pPr>
              <w:widowControl/>
              <w:rPr>
                <w:rFonts w:hint="eastAsia" w:ascii="宋体" w:hAnsi="宋体" w:eastAsia="宋体" w:cs="Times New Roman"/>
                <w:kern w:val="0"/>
                <w:szCs w:val="21"/>
              </w:rPr>
            </w:pPr>
            <w:r>
              <w:rPr>
                <w:rFonts w:ascii="宋体" w:hAnsi="宋体" w:eastAsia="宋体" w:cs="Times New Roman"/>
                <w:kern w:val="0"/>
                <w:szCs w:val="21"/>
              </w:rPr>
              <w:t>现行标准规定了船舶交通管理系统数据交换IVEF服务及其模型和消息格式</w:t>
            </w:r>
            <w:r>
              <w:rPr>
                <w:rFonts w:hint="eastAsia" w:ascii="宋体" w:hAnsi="宋体" w:eastAsia="宋体" w:cs="Times New Roman"/>
                <w:kern w:val="0"/>
                <w:szCs w:val="21"/>
              </w:rPr>
              <w:t>。</w:t>
            </w:r>
          </w:p>
          <w:p>
            <w:pPr>
              <w:widowControl/>
              <w:rPr>
                <w:rFonts w:hint="eastAsia" w:ascii="宋体" w:hAnsi="宋体" w:eastAsia="宋体" w:cs="Times New Roman"/>
                <w:kern w:val="0"/>
                <w:szCs w:val="21"/>
              </w:rPr>
            </w:pPr>
            <w:r>
              <w:rPr>
                <w:rFonts w:ascii="宋体" w:hAnsi="宋体" w:eastAsia="宋体" w:cs="Times New Roman"/>
                <w:kern w:val="0"/>
                <w:szCs w:val="21"/>
              </w:rPr>
              <w:t>适用于船舶交通管理系统之间以及船舶交通管理系统与其他信息系统之间进行数据交换。</w:t>
            </w:r>
          </w:p>
          <w:p>
            <w:pPr>
              <w:widowControl/>
              <w:rPr>
                <w:rFonts w:hint="eastAsia" w:ascii="宋体" w:hAnsi="宋体" w:eastAsia="宋体" w:cs="Times New Roman"/>
                <w:kern w:val="0"/>
                <w:szCs w:val="21"/>
              </w:rPr>
            </w:pPr>
            <w:r>
              <w:rPr>
                <w:rFonts w:ascii="宋体" w:hAnsi="宋体" w:eastAsia="宋体" w:cs="Times New Roman"/>
                <w:kern w:val="0"/>
                <w:szCs w:val="21"/>
              </w:rPr>
              <w:t>主要修订内容：1.更改IVEF服务描述；2.增加元素TrackData、Pos等的属性；3.更改元素NavStatus、VoyageData等的属性；4.增加属性Beido</w:t>
            </w:r>
            <w:r>
              <w:rPr>
                <w:rFonts w:hint="eastAsia" w:ascii="宋体" w:hAnsi="宋体" w:eastAsia="宋体" w:cs="Times New Roman"/>
                <w:kern w:val="0"/>
                <w:szCs w:val="21"/>
              </w:rPr>
              <w:t>u</w:t>
            </w:r>
            <w:r>
              <w:rPr>
                <w:rFonts w:ascii="宋体" w:hAnsi="宋体" w:eastAsia="宋体" w:cs="Times New Roman"/>
                <w:kern w:val="0"/>
                <w:szCs w:val="21"/>
              </w:rPr>
              <w:t>Id、BeidouIndicationPos等的定义；5.更改属性BlackListed、Class、Deadweight、Flag等的定义。</w:t>
            </w:r>
          </w:p>
        </w:tc>
        <w:tc>
          <w:tcPr>
            <w:tcW w:w="709" w:type="dxa"/>
            <w:vAlign w:val="center"/>
          </w:tcPr>
          <w:p>
            <w:pPr>
              <w:jc w:val="center"/>
              <w:rPr>
                <w:rFonts w:hint="eastAsia" w:ascii="宋体" w:hAnsi="宋体" w:eastAsia="宋体" w:cs="宋体"/>
                <w:kern w:val="0"/>
                <w:szCs w:val="21"/>
              </w:rPr>
            </w:pPr>
            <w:r>
              <w:rPr>
                <w:rFonts w:ascii="宋体" w:hAnsi="宋体" w:eastAsia="宋体" w:cs="宋体"/>
                <w:kern w:val="0"/>
                <w:szCs w:val="21"/>
              </w:rPr>
              <w:t>修订</w:t>
            </w:r>
          </w:p>
        </w:tc>
        <w:tc>
          <w:tcPr>
            <w:tcW w:w="1121" w:type="dxa"/>
            <w:vAlign w:val="center"/>
          </w:tcPr>
          <w:p>
            <w:pPr>
              <w:jc w:val="center"/>
              <w:rPr>
                <w:rFonts w:hint="eastAsia" w:ascii="宋体" w:hAnsi="宋体" w:eastAsia="宋体" w:cs="宋体"/>
                <w:kern w:val="0"/>
                <w:szCs w:val="21"/>
              </w:rPr>
            </w:pPr>
            <w:r>
              <w:rPr>
                <w:rFonts w:ascii="宋体" w:hAnsi="宋体" w:eastAsia="宋体" w:cs="宋体"/>
                <w:kern w:val="0"/>
                <w:szCs w:val="21"/>
              </w:rPr>
              <w:t>JT/T 1142.1</w:t>
            </w:r>
            <w:r>
              <w:rPr>
                <w:rFonts w:hint="eastAsia" w:ascii="宋体" w:hAnsi="宋体" w:eastAsia="宋体" w:cs="宋体"/>
                <w:kern w:val="0"/>
                <w:szCs w:val="21"/>
              </w:rPr>
              <w:t>—</w:t>
            </w:r>
            <w:r>
              <w:rPr>
                <w:rFonts w:ascii="宋体" w:hAnsi="宋体" w:eastAsia="宋体" w:cs="宋体"/>
                <w:kern w:val="0"/>
                <w:szCs w:val="21"/>
              </w:rPr>
              <w:t>2017</w:t>
            </w: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航测标委会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深圳海事局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23</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2024-23</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船舶交通管理系统数据交换  第2部分：电文格式</w:t>
            </w:r>
          </w:p>
        </w:tc>
        <w:tc>
          <w:tcPr>
            <w:tcW w:w="5528" w:type="dxa"/>
            <w:vAlign w:val="center"/>
          </w:tcPr>
          <w:p>
            <w:pPr>
              <w:widowControl/>
              <w:rPr>
                <w:rFonts w:hint="eastAsia" w:ascii="宋体" w:hAnsi="宋体" w:eastAsia="宋体" w:cs="Times New Roman"/>
                <w:kern w:val="0"/>
                <w:szCs w:val="21"/>
              </w:rPr>
            </w:pPr>
            <w:r>
              <w:rPr>
                <w:rFonts w:ascii="宋体" w:hAnsi="宋体" w:eastAsia="宋体" w:cs="Times New Roman"/>
                <w:kern w:val="0"/>
                <w:szCs w:val="21"/>
              </w:rPr>
              <w:t>现行标准规定了船舶交通管理系统数据交换标准电文的数据格式、数据内容和数据传输</w:t>
            </w:r>
            <w:r>
              <w:rPr>
                <w:rFonts w:hint="eastAsia" w:ascii="宋体" w:hAnsi="宋体" w:eastAsia="宋体" w:cs="Times New Roman"/>
                <w:kern w:val="0"/>
                <w:szCs w:val="21"/>
              </w:rPr>
              <w:t>。</w:t>
            </w:r>
          </w:p>
          <w:p>
            <w:pPr>
              <w:widowControl/>
              <w:rPr>
                <w:rFonts w:hint="eastAsia" w:ascii="宋体" w:hAnsi="宋体" w:eastAsia="宋体" w:cs="Times New Roman"/>
                <w:kern w:val="0"/>
                <w:szCs w:val="21"/>
              </w:rPr>
            </w:pPr>
            <w:r>
              <w:rPr>
                <w:rFonts w:ascii="宋体" w:hAnsi="宋体" w:eastAsia="宋体" w:cs="Times New Roman"/>
                <w:kern w:val="0"/>
                <w:szCs w:val="21"/>
              </w:rPr>
              <w:t>适用于船舶交通管理系统之间以及船舶交通管理系统与其他信息系统之间进行数据交换。</w:t>
            </w:r>
          </w:p>
          <w:p>
            <w:pPr>
              <w:widowControl/>
              <w:rPr>
                <w:rFonts w:hint="eastAsia" w:ascii="宋体" w:hAnsi="宋体" w:eastAsia="宋体" w:cs="Times New Roman"/>
                <w:kern w:val="0"/>
                <w:szCs w:val="21"/>
              </w:rPr>
            </w:pPr>
            <w:r>
              <w:rPr>
                <w:rFonts w:ascii="宋体" w:hAnsi="宋体" w:eastAsia="宋体" w:cs="Times New Roman"/>
                <w:kern w:val="0"/>
                <w:szCs w:val="21"/>
              </w:rPr>
              <w:t>主要修订内容：1.更改船舶动态信息电文格式；2.更改部分船舶动态信息参数；3.增加船舶动态信息参数；4.删除部分船舶动态信息参数；5.更改航程信息电文格式；6.更改部分航程信息参数；7.补充航程信息参数；8.增加航线计划；9.补充数据传输方式；10.</w:t>
            </w:r>
            <w:r>
              <w:rPr>
                <w:rFonts w:hint="eastAsia" w:ascii="宋体" w:hAnsi="宋体" w:eastAsia="宋体" w:cs="Times New Roman"/>
                <w:kern w:val="0"/>
                <w:szCs w:val="21"/>
              </w:rPr>
              <w:t>更改</w:t>
            </w:r>
            <w:r>
              <w:rPr>
                <w:rFonts w:ascii="宋体" w:hAnsi="宋体" w:eastAsia="宋体" w:cs="Times New Roman"/>
                <w:kern w:val="0"/>
                <w:szCs w:val="21"/>
              </w:rPr>
              <w:t>发送时间间隔；11.</w:t>
            </w:r>
            <w:r>
              <w:rPr>
                <w:rFonts w:hint="eastAsia" w:ascii="宋体" w:hAnsi="宋体" w:eastAsia="宋体" w:cs="Times New Roman"/>
                <w:kern w:val="0"/>
                <w:szCs w:val="21"/>
              </w:rPr>
              <w:t>更改</w:t>
            </w:r>
            <w:r>
              <w:rPr>
                <w:rFonts w:ascii="宋体" w:hAnsi="宋体" w:eastAsia="宋体" w:cs="Times New Roman"/>
                <w:kern w:val="0"/>
                <w:szCs w:val="21"/>
              </w:rPr>
              <w:t>附录B的船舶动态信息示例、航程信息示例。</w:t>
            </w:r>
          </w:p>
        </w:tc>
        <w:tc>
          <w:tcPr>
            <w:tcW w:w="709" w:type="dxa"/>
            <w:vAlign w:val="center"/>
          </w:tcPr>
          <w:p>
            <w:pPr>
              <w:jc w:val="center"/>
              <w:rPr>
                <w:rFonts w:hint="eastAsia" w:ascii="宋体" w:hAnsi="宋体" w:eastAsia="宋体" w:cs="宋体"/>
                <w:kern w:val="0"/>
                <w:szCs w:val="21"/>
              </w:rPr>
            </w:pPr>
            <w:r>
              <w:rPr>
                <w:rFonts w:ascii="宋体" w:hAnsi="宋体" w:eastAsia="宋体" w:cs="宋体"/>
                <w:kern w:val="0"/>
                <w:szCs w:val="21"/>
              </w:rPr>
              <w:t>修订</w:t>
            </w:r>
          </w:p>
        </w:tc>
        <w:tc>
          <w:tcPr>
            <w:tcW w:w="1121" w:type="dxa"/>
            <w:vAlign w:val="center"/>
          </w:tcPr>
          <w:p>
            <w:pPr>
              <w:jc w:val="center"/>
              <w:rPr>
                <w:rFonts w:hint="eastAsia" w:ascii="宋体" w:hAnsi="宋体" w:eastAsia="宋体" w:cs="宋体"/>
                <w:kern w:val="0"/>
                <w:szCs w:val="21"/>
              </w:rPr>
            </w:pPr>
            <w:r>
              <w:rPr>
                <w:rFonts w:ascii="宋体" w:hAnsi="宋体" w:eastAsia="宋体" w:cs="宋体"/>
                <w:kern w:val="0"/>
                <w:szCs w:val="21"/>
              </w:rPr>
              <w:t>JT/T 1142.2</w:t>
            </w:r>
            <w:r>
              <w:rPr>
                <w:rFonts w:hint="eastAsia" w:ascii="宋体" w:hAnsi="宋体" w:eastAsia="宋体" w:cs="宋体"/>
                <w:kern w:val="0"/>
                <w:szCs w:val="21"/>
              </w:rPr>
              <w:t>—</w:t>
            </w:r>
            <w:r>
              <w:rPr>
                <w:rFonts w:ascii="宋体" w:hAnsi="宋体" w:eastAsia="宋体" w:cs="宋体"/>
                <w:kern w:val="0"/>
                <w:szCs w:val="21"/>
              </w:rPr>
              <w:t>2017</w:t>
            </w: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航测标委会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深圳海事局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24</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2024-24</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交通建设工程电子证照 第3部分：交通运输工程造价工程师注册证书</w:t>
            </w:r>
          </w:p>
        </w:tc>
        <w:tc>
          <w:tcPr>
            <w:tcW w:w="5528" w:type="dxa"/>
            <w:vAlign w:val="center"/>
          </w:tcPr>
          <w:p>
            <w:pPr>
              <w:rPr>
                <w:rFonts w:hint="eastAsia" w:ascii="宋体" w:hAnsi="宋体" w:eastAsia="宋体" w:cs="Times New Roman"/>
                <w:kern w:val="0"/>
                <w:szCs w:val="21"/>
              </w:rPr>
            </w:pPr>
            <w:r>
              <w:rPr>
                <w:rFonts w:ascii="宋体" w:hAnsi="宋体" w:eastAsia="宋体" w:cs="Times New Roman"/>
                <w:kern w:val="0"/>
                <w:szCs w:val="21"/>
              </w:rPr>
              <w:t>拟规定交通运输工程造价工程师注册证书电子证照文件要求、外观样式及信息内容。</w:t>
            </w:r>
          </w:p>
          <w:p>
            <w:pPr>
              <w:rPr>
                <w:rFonts w:hint="eastAsia" w:ascii="宋体" w:hAnsi="宋体" w:eastAsia="宋体" w:cs="Times New Roman"/>
                <w:kern w:val="0"/>
                <w:szCs w:val="21"/>
              </w:rPr>
            </w:pPr>
            <w:r>
              <w:rPr>
                <w:rFonts w:ascii="宋体" w:hAnsi="宋体" w:eastAsia="宋体" w:cs="Times New Roman"/>
                <w:kern w:val="0"/>
                <w:szCs w:val="21"/>
              </w:rPr>
              <w:t>适用于交通运输工程造价工程师注册证书电子证照的生成、数据处理、交换与共享。</w:t>
            </w:r>
          </w:p>
        </w:tc>
        <w:tc>
          <w:tcPr>
            <w:tcW w:w="70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制定</w:t>
            </w:r>
          </w:p>
        </w:tc>
        <w:tc>
          <w:tcPr>
            <w:tcW w:w="1121" w:type="dxa"/>
            <w:vAlign w:val="center"/>
          </w:tcPr>
          <w:p>
            <w:pPr>
              <w:jc w:val="center"/>
              <w:rPr>
                <w:rFonts w:hint="eastAsia" w:ascii="宋体" w:hAnsi="宋体" w:eastAsia="宋体" w:cs="宋体"/>
                <w:kern w:val="0"/>
                <w:szCs w:val="21"/>
              </w:rPr>
            </w:pP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信息通导标委会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交通运输部职业资格中心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25</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2024-25</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交通地理信息数据服务技术规范</w:t>
            </w:r>
          </w:p>
        </w:tc>
        <w:tc>
          <w:tcPr>
            <w:tcW w:w="5528" w:type="dxa"/>
            <w:vAlign w:val="center"/>
          </w:tcPr>
          <w:p>
            <w:pPr>
              <w:rPr>
                <w:rFonts w:hint="eastAsia" w:ascii="宋体" w:hAnsi="宋体" w:eastAsia="宋体" w:cs="Times New Roman"/>
                <w:kern w:val="0"/>
                <w:szCs w:val="21"/>
              </w:rPr>
            </w:pPr>
            <w:r>
              <w:rPr>
                <w:rFonts w:ascii="宋体" w:hAnsi="宋体" w:eastAsia="宋体" w:cs="Times New Roman"/>
                <w:kern w:val="0"/>
                <w:szCs w:val="21"/>
              </w:rPr>
              <w:t>拟规定交通地理信息数据服务的命名规则、服务分类、服务调用方式和数据更新要求。</w:t>
            </w:r>
          </w:p>
          <w:p>
            <w:pPr>
              <w:rPr>
                <w:rFonts w:hint="eastAsia" w:ascii="宋体" w:hAnsi="宋体" w:eastAsia="宋体" w:cs="Times New Roman"/>
                <w:kern w:val="0"/>
                <w:szCs w:val="21"/>
              </w:rPr>
            </w:pPr>
            <w:r>
              <w:rPr>
                <w:rFonts w:ascii="宋体" w:hAnsi="宋体" w:eastAsia="宋体" w:cs="Times New Roman"/>
                <w:kern w:val="0"/>
                <w:szCs w:val="21"/>
              </w:rPr>
              <w:t>适用于信息系统中交通地理信息数据服务的发布、调用、数据更新和标准化管理，其他地理信息数据服务的发布、调用和数据更新参照使用。</w:t>
            </w:r>
          </w:p>
        </w:tc>
        <w:tc>
          <w:tcPr>
            <w:tcW w:w="70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制定</w:t>
            </w:r>
          </w:p>
        </w:tc>
        <w:tc>
          <w:tcPr>
            <w:tcW w:w="1121" w:type="dxa"/>
            <w:vAlign w:val="center"/>
          </w:tcPr>
          <w:p>
            <w:pPr>
              <w:jc w:val="center"/>
              <w:rPr>
                <w:rFonts w:hint="eastAsia" w:ascii="宋体" w:hAnsi="宋体" w:eastAsia="宋体" w:cs="宋体"/>
                <w:kern w:val="0"/>
                <w:szCs w:val="21"/>
              </w:rPr>
            </w:pP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信息通导标委会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交通运输部科学研究院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26</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2024-26</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公路安全预警与应急信息管理要求</w:t>
            </w:r>
          </w:p>
        </w:tc>
        <w:tc>
          <w:tcPr>
            <w:tcW w:w="5528" w:type="dxa"/>
            <w:vAlign w:val="center"/>
          </w:tcPr>
          <w:p>
            <w:pPr>
              <w:rPr>
                <w:rFonts w:hint="eastAsia" w:ascii="宋体" w:hAnsi="宋体" w:eastAsia="宋体" w:cs="Times New Roman"/>
                <w:kern w:val="0"/>
                <w:szCs w:val="21"/>
              </w:rPr>
            </w:pPr>
            <w:r>
              <w:rPr>
                <w:rFonts w:ascii="宋体" w:hAnsi="宋体" w:eastAsia="宋体" w:cs="Times New Roman"/>
                <w:kern w:val="0"/>
                <w:szCs w:val="21"/>
              </w:rPr>
              <w:t>拟规定公路安全预警与应急的</w:t>
            </w:r>
            <w:r>
              <w:rPr>
                <w:rFonts w:hint="eastAsia" w:ascii="宋体" w:hAnsi="宋体" w:eastAsia="宋体" w:cs="Times New Roman"/>
                <w:kern w:val="0"/>
                <w:szCs w:val="21"/>
              </w:rPr>
              <w:t>体系</w:t>
            </w:r>
            <w:r>
              <w:rPr>
                <w:rFonts w:ascii="宋体" w:hAnsi="宋体" w:eastAsia="宋体" w:cs="Times New Roman"/>
                <w:kern w:val="0"/>
                <w:szCs w:val="21"/>
              </w:rPr>
              <w:t>架构</w:t>
            </w:r>
            <w:r>
              <w:rPr>
                <w:rFonts w:hint="eastAsia" w:ascii="宋体" w:hAnsi="宋体" w:eastAsia="宋体" w:cs="Times New Roman"/>
                <w:kern w:val="0"/>
                <w:szCs w:val="21"/>
              </w:rPr>
              <w:t>、基本</w:t>
            </w:r>
            <w:r>
              <w:rPr>
                <w:rFonts w:ascii="宋体" w:hAnsi="宋体" w:eastAsia="宋体" w:cs="Times New Roman"/>
                <w:kern w:val="0"/>
                <w:szCs w:val="21"/>
              </w:rPr>
              <w:t>要求，以及公路安全预警、应急处置、应急队伍、应急装备物资、应急预案制修订、应急培训与演练</w:t>
            </w:r>
            <w:r>
              <w:rPr>
                <w:rFonts w:hint="eastAsia" w:ascii="宋体" w:hAnsi="宋体" w:eastAsia="宋体" w:cs="Times New Roman"/>
                <w:kern w:val="0"/>
                <w:szCs w:val="21"/>
              </w:rPr>
              <w:t>和</w:t>
            </w:r>
            <w:r>
              <w:rPr>
                <w:rFonts w:ascii="宋体" w:hAnsi="宋体" w:eastAsia="宋体" w:cs="Times New Roman"/>
                <w:kern w:val="0"/>
                <w:szCs w:val="21"/>
              </w:rPr>
              <w:t>车辆应急救援</w:t>
            </w:r>
            <w:r>
              <w:rPr>
                <w:rFonts w:hint="eastAsia" w:ascii="宋体" w:hAnsi="宋体" w:eastAsia="宋体" w:cs="Times New Roman"/>
                <w:kern w:val="0"/>
                <w:szCs w:val="21"/>
              </w:rPr>
              <w:t>的</w:t>
            </w:r>
            <w:r>
              <w:rPr>
                <w:rFonts w:ascii="宋体" w:hAnsi="宋体" w:eastAsia="宋体" w:cs="Times New Roman"/>
                <w:kern w:val="0"/>
                <w:szCs w:val="21"/>
              </w:rPr>
              <w:t>信息管理要求。</w:t>
            </w:r>
          </w:p>
          <w:p>
            <w:pPr>
              <w:rPr>
                <w:rFonts w:hint="eastAsia" w:ascii="宋体" w:hAnsi="宋体" w:eastAsia="宋体" w:cs="Times New Roman"/>
                <w:kern w:val="0"/>
                <w:szCs w:val="21"/>
              </w:rPr>
            </w:pPr>
            <w:r>
              <w:rPr>
                <w:rFonts w:ascii="宋体" w:hAnsi="宋体" w:eastAsia="宋体" w:cs="Times New Roman"/>
                <w:kern w:val="0"/>
                <w:szCs w:val="21"/>
              </w:rPr>
              <w:t>适用于</w:t>
            </w:r>
            <w:r>
              <w:rPr>
                <w:rFonts w:hint="eastAsia" w:ascii="宋体" w:hAnsi="宋体" w:eastAsia="宋体" w:cs="Times New Roman"/>
                <w:kern w:val="0"/>
                <w:szCs w:val="21"/>
              </w:rPr>
              <w:t>高速公路、普通干线公路的管理和运营单位</w:t>
            </w:r>
            <w:r>
              <w:rPr>
                <w:rFonts w:ascii="宋体" w:hAnsi="宋体" w:eastAsia="宋体" w:cs="Times New Roman"/>
                <w:kern w:val="0"/>
                <w:szCs w:val="21"/>
              </w:rPr>
              <w:t>开展公路安全预警与应急</w:t>
            </w:r>
            <w:r>
              <w:rPr>
                <w:rFonts w:hint="eastAsia" w:ascii="宋体" w:hAnsi="宋体" w:eastAsia="宋体" w:cs="Times New Roman"/>
                <w:kern w:val="0"/>
                <w:szCs w:val="21"/>
              </w:rPr>
              <w:t>信息管理</w:t>
            </w:r>
            <w:r>
              <w:rPr>
                <w:rFonts w:ascii="宋体" w:hAnsi="宋体" w:eastAsia="宋体" w:cs="Times New Roman"/>
                <w:kern w:val="0"/>
                <w:szCs w:val="21"/>
              </w:rPr>
              <w:t>工作</w:t>
            </w:r>
            <w:r>
              <w:rPr>
                <w:rFonts w:hint="eastAsia" w:ascii="宋体" w:hAnsi="宋体" w:eastAsia="宋体" w:cs="Times New Roman"/>
                <w:kern w:val="0"/>
                <w:szCs w:val="21"/>
              </w:rPr>
              <w:t>，农村公路的管理单位开展公路安全预警与应急信息管理工作参照使用</w:t>
            </w:r>
            <w:r>
              <w:rPr>
                <w:rFonts w:ascii="宋体" w:hAnsi="宋体" w:eastAsia="宋体" w:cs="Times New Roman"/>
                <w:kern w:val="0"/>
                <w:szCs w:val="21"/>
              </w:rPr>
              <w:t>。</w:t>
            </w:r>
          </w:p>
        </w:tc>
        <w:tc>
          <w:tcPr>
            <w:tcW w:w="70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制定</w:t>
            </w:r>
          </w:p>
        </w:tc>
        <w:tc>
          <w:tcPr>
            <w:tcW w:w="1121" w:type="dxa"/>
            <w:vAlign w:val="center"/>
          </w:tcPr>
          <w:p>
            <w:pPr>
              <w:jc w:val="center"/>
              <w:rPr>
                <w:rFonts w:hint="eastAsia" w:ascii="宋体" w:hAnsi="宋体" w:eastAsia="宋体" w:cs="宋体"/>
                <w:kern w:val="0"/>
                <w:szCs w:val="21"/>
              </w:rPr>
            </w:pP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信息通导标委会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交通运输部路网监测与应急处置中心、交通运输部科学研究院、行云数聚（北京）科技有限公司、北京新桥技术发展有限公司、四川省公路交通应急装备物资储备中心、江苏高速公路联网营运管理有限公司、广西计算中心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27</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2024-27</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航运大数据平台技术架构总体要求</w:t>
            </w:r>
          </w:p>
        </w:tc>
        <w:tc>
          <w:tcPr>
            <w:tcW w:w="5528" w:type="dxa"/>
            <w:vAlign w:val="center"/>
          </w:tcPr>
          <w:p>
            <w:pPr>
              <w:rPr>
                <w:rFonts w:hint="eastAsia" w:ascii="宋体" w:hAnsi="宋体" w:eastAsia="宋体" w:cs="Times New Roman"/>
                <w:kern w:val="0"/>
                <w:szCs w:val="21"/>
              </w:rPr>
            </w:pPr>
            <w:r>
              <w:rPr>
                <w:rFonts w:ascii="宋体" w:hAnsi="宋体" w:eastAsia="宋体" w:cs="Times New Roman"/>
                <w:kern w:val="0"/>
                <w:szCs w:val="21"/>
              </w:rPr>
              <w:t>拟规定智慧航运大数据平台的总体架构、数据架构、功能要求和性能要求。</w:t>
            </w:r>
          </w:p>
          <w:p>
            <w:pPr>
              <w:rPr>
                <w:rFonts w:hint="eastAsia" w:ascii="宋体" w:hAnsi="宋体" w:eastAsia="宋体" w:cs="Times New Roman"/>
                <w:kern w:val="0"/>
                <w:szCs w:val="21"/>
              </w:rPr>
            </w:pPr>
            <w:r>
              <w:rPr>
                <w:rFonts w:ascii="宋体" w:hAnsi="宋体" w:eastAsia="宋体" w:cs="Times New Roman"/>
                <w:kern w:val="0"/>
                <w:szCs w:val="21"/>
              </w:rPr>
              <w:t>适用于航运、港口、货运代理等航运产业链领域内企业或相关管理单位大数据平台的规划、设计、建设和管理。</w:t>
            </w:r>
          </w:p>
        </w:tc>
        <w:tc>
          <w:tcPr>
            <w:tcW w:w="70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制定</w:t>
            </w:r>
          </w:p>
        </w:tc>
        <w:tc>
          <w:tcPr>
            <w:tcW w:w="1121" w:type="dxa"/>
            <w:vAlign w:val="center"/>
          </w:tcPr>
          <w:p>
            <w:pPr>
              <w:jc w:val="center"/>
              <w:rPr>
                <w:rFonts w:hint="eastAsia" w:ascii="宋体" w:hAnsi="宋体" w:eastAsia="宋体" w:cs="宋体"/>
                <w:kern w:val="0"/>
                <w:szCs w:val="21"/>
              </w:rPr>
            </w:pP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信息通导标委会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中远海运科技（北京）有限公司、中国远洋海运集团有限公司、交通运输部科学研究院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28</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2024-28</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船闸控制系统安全监控技术规范</w:t>
            </w:r>
          </w:p>
        </w:tc>
        <w:tc>
          <w:tcPr>
            <w:tcW w:w="5528" w:type="dxa"/>
            <w:vAlign w:val="center"/>
          </w:tcPr>
          <w:p>
            <w:pPr>
              <w:rPr>
                <w:rFonts w:hint="eastAsia" w:ascii="宋体" w:hAnsi="宋体" w:eastAsia="宋体" w:cs="Times New Roman"/>
                <w:kern w:val="0"/>
                <w:szCs w:val="21"/>
              </w:rPr>
            </w:pPr>
            <w:r>
              <w:rPr>
                <w:rFonts w:ascii="宋体" w:hAnsi="宋体" w:eastAsia="宋体" w:cs="Times New Roman"/>
                <w:kern w:val="0"/>
                <w:szCs w:val="21"/>
              </w:rPr>
              <w:t>拟规定船闸控制系统的安全监控系统构成、监控、功能要求、性能要求、软硬件组态配置、安全与网络管理及功能测试等。</w:t>
            </w:r>
          </w:p>
          <w:p>
            <w:pPr>
              <w:rPr>
                <w:rFonts w:hint="eastAsia" w:ascii="宋体" w:hAnsi="宋体" w:eastAsia="宋体" w:cs="Times New Roman"/>
                <w:kern w:val="0"/>
                <w:szCs w:val="21"/>
              </w:rPr>
            </w:pPr>
            <w:r>
              <w:rPr>
                <w:rFonts w:ascii="宋体" w:hAnsi="宋体" w:eastAsia="宋体" w:cs="Times New Roman"/>
                <w:kern w:val="0"/>
                <w:szCs w:val="21"/>
              </w:rPr>
              <w:t>适用于新建</w:t>
            </w:r>
            <w:r>
              <w:rPr>
                <w:rFonts w:hint="eastAsia" w:ascii="宋体" w:hAnsi="宋体" w:eastAsia="宋体" w:cs="Times New Roman"/>
                <w:kern w:val="0"/>
                <w:szCs w:val="21"/>
              </w:rPr>
              <w:t>或</w:t>
            </w:r>
            <w:r>
              <w:rPr>
                <w:rFonts w:ascii="宋体" w:hAnsi="宋体" w:eastAsia="宋体" w:cs="Times New Roman"/>
                <w:kern w:val="0"/>
                <w:szCs w:val="21"/>
              </w:rPr>
              <w:t>增建多、单级船闸控制</w:t>
            </w:r>
            <w:r>
              <w:rPr>
                <w:rFonts w:hint="eastAsia" w:ascii="宋体" w:hAnsi="宋体" w:eastAsia="宋体" w:cs="Times New Roman"/>
                <w:kern w:val="0"/>
                <w:szCs w:val="21"/>
              </w:rPr>
              <w:t>安全监控</w:t>
            </w:r>
            <w:r>
              <w:rPr>
                <w:rFonts w:ascii="宋体" w:hAnsi="宋体" w:eastAsia="宋体" w:cs="Times New Roman"/>
                <w:kern w:val="0"/>
                <w:szCs w:val="21"/>
              </w:rPr>
              <w:t>系统的</w:t>
            </w:r>
            <w:r>
              <w:rPr>
                <w:rFonts w:hint="eastAsia" w:ascii="宋体" w:hAnsi="宋体" w:eastAsia="宋体" w:cs="Times New Roman"/>
                <w:kern w:val="0"/>
                <w:szCs w:val="21"/>
              </w:rPr>
              <w:t>设计、开发和测试</w:t>
            </w:r>
            <w:r>
              <w:rPr>
                <w:rFonts w:ascii="宋体" w:hAnsi="宋体" w:eastAsia="宋体" w:cs="Times New Roman"/>
                <w:kern w:val="0"/>
                <w:szCs w:val="21"/>
              </w:rPr>
              <w:t>。</w:t>
            </w:r>
          </w:p>
        </w:tc>
        <w:tc>
          <w:tcPr>
            <w:tcW w:w="70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制定</w:t>
            </w:r>
          </w:p>
        </w:tc>
        <w:tc>
          <w:tcPr>
            <w:tcW w:w="1121" w:type="dxa"/>
            <w:vAlign w:val="center"/>
          </w:tcPr>
          <w:p>
            <w:pPr>
              <w:jc w:val="center"/>
              <w:rPr>
                <w:rFonts w:hint="eastAsia" w:ascii="宋体" w:hAnsi="宋体" w:eastAsia="宋体" w:cs="宋体"/>
                <w:kern w:val="0"/>
                <w:szCs w:val="21"/>
              </w:rPr>
            </w:pP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信息通导标委会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长江三峡通航管理局、交通运输部水运科学研究所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29</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2024-29</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内河多功能船载终端技术要求</w:t>
            </w:r>
          </w:p>
        </w:tc>
        <w:tc>
          <w:tcPr>
            <w:tcW w:w="5528" w:type="dxa"/>
            <w:vAlign w:val="center"/>
          </w:tcPr>
          <w:p>
            <w:pPr>
              <w:rPr>
                <w:rFonts w:hint="eastAsia" w:ascii="宋体" w:hAnsi="宋体" w:eastAsia="宋体" w:cs="Times New Roman"/>
                <w:kern w:val="0"/>
                <w:szCs w:val="21"/>
              </w:rPr>
            </w:pPr>
            <w:r>
              <w:rPr>
                <w:rFonts w:ascii="宋体" w:hAnsi="宋体" w:eastAsia="宋体" w:cs="Times New Roman"/>
                <w:kern w:val="0"/>
                <w:szCs w:val="21"/>
              </w:rPr>
              <w:t>拟规定内河多功能船载终端的一般要求、功能要求、硬件要求、软件要求、操作系统管理要求和其他要求。</w:t>
            </w:r>
          </w:p>
          <w:p>
            <w:pPr>
              <w:rPr>
                <w:rFonts w:hint="eastAsia" w:ascii="宋体" w:hAnsi="宋体" w:eastAsia="宋体" w:cs="Times New Roman"/>
                <w:kern w:val="0"/>
                <w:szCs w:val="21"/>
              </w:rPr>
            </w:pPr>
            <w:r>
              <w:rPr>
                <w:rFonts w:ascii="宋体" w:hAnsi="宋体" w:eastAsia="宋体" w:cs="Times New Roman"/>
                <w:kern w:val="0"/>
                <w:szCs w:val="21"/>
              </w:rPr>
              <w:t>适用于内河船多功能载终端的设计、生产、检测、使用、管理。</w:t>
            </w:r>
          </w:p>
        </w:tc>
        <w:tc>
          <w:tcPr>
            <w:tcW w:w="70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制定</w:t>
            </w:r>
          </w:p>
        </w:tc>
        <w:tc>
          <w:tcPr>
            <w:tcW w:w="1121" w:type="dxa"/>
            <w:vAlign w:val="center"/>
          </w:tcPr>
          <w:p>
            <w:pPr>
              <w:jc w:val="center"/>
              <w:rPr>
                <w:rFonts w:hint="eastAsia" w:ascii="宋体" w:hAnsi="宋体" w:eastAsia="宋体" w:cs="宋体"/>
                <w:kern w:val="0"/>
                <w:szCs w:val="21"/>
              </w:rPr>
            </w:pP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信息通导标委会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交通运输部水运科学研究所、长江三峡通航管理局、交通运输部长江航务管理局、中国船级社、华大北斗科技有限公司、华为终端有限公司、软通动力信息技术（集团）股份有限公司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30</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2024-30</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交通运输信息系统  数据库字段命名及属性定义</w:t>
            </w:r>
          </w:p>
        </w:tc>
        <w:tc>
          <w:tcPr>
            <w:tcW w:w="5528" w:type="dxa"/>
            <w:vAlign w:val="center"/>
          </w:tcPr>
          <w:p>
            <w:pPr>
              <w:widowControl/>
              <w:rPr>
                <w:rFonts w:hint="eastAsia" w:ascii="宋体" w:hAnsi="宋体" w:eastAsia="宋体" w:cs="Times New Roman"/>
                <w:kern w:val="0"/>
                <w:szCs w:val="21"/>
              </w:rPr>
            </w:pPr>
            <w:r>
              <w:rPr>
                <w:rFonts w:ascii="宋体" w:hAnsi="宋体" w:eastAsia="宋体" w:cs="Times New Roman"/>
                <w:kern w:val="0"/>
                <w:szCs w:val="21"/>
              </w:rPr>
              <w:t>现行标准规定了交通运输信息系统数据库字段命名及字段属性定义的规则</w:t>
            </w:r>
            <w:r>
              <w:rPr>
                <w:rFonts w:hint="eastAsia" w:ascii="宋体" w:hAnsi="宋体" w:eastAsia="宋体" w:cs="Times New Roman"/>
                <w:kern w:val="0"/>
                <w:szCs w:val="21"/>
              </w:rPr>
              <w:t>。</w:t>
            </w:r>
          </w:p>
          <w:p>
            <w:pPr>
              <w:widowControl/>
              <w:rPr>
                <w:rFonts w:hint="eastAsia" w:ascii="宋体" w:hAnsi="宋体" w:eastAsia="宋体" w:cs="Times New Roman"/>
                <w:kern w:val="0"/>
                <w:szCs w:val="21"/>
              </w:rPr>
            </w:pPr>
            <w:r>
              <w:rPr>
                <w:rFonts w:ascii="宋体" w:hAnsi="宋体" w:eastAsia="宋体" w:cs="Times New Roman"/>
                <w:kern w:val="0"/>
                <w:szCs w:val="21"/>
              </w:rPr>
              <w:t>适用于公路、水路交通运输信息系统关系型数据库的字段命名和属性定义</w:t>
            </w:r>
            <w:r>
              <w:rPr>
                <w:rFonts w:hint="eastAsia" w:ascii="宋体" w:hAnsi="宋体" w:eastAsia="宋体" w:cs="Times New Roman"/>
                <w:kern w:val="0"/>
                <w:szCs w:val="21"/>
              </w:rPr>
              <w:t>，其他类型数据库的字段命名和属性定义可参照使用</w:t>
            </w:r>
            <w:r>
              <w:rPr>
                <w:rFonts w:ascii="宋体" w:hAnsi="宋体" w:eastAsia="宋体" w:cs="Times New Roman"/>
                <w:kern w:val="0"/>
                <w:szCs w:val="21"/>
              </w:rPr>
              <w:t>。</w:t>
            </w:r>
          </w:p>
          <w:p>
            <w:pPr>
              <w:widowControl/>
              <w:rPr>
                <w:rFonts w:hint="eastAsia" w:ascii="宋体" w:hAnsi="宋体" w:eastAsia="宋体" w:cs="Times New Roman"/>
                <w:kern w:val="0"/>
                <w:szCs w:val="21"/>
              </w:rPr>
            </w:pPr>
            <w:r>
              <w:rPr>
                <w:rFonts w:ascii="宋体" w:hAnsi="宋体" w:eastAsia="宋体" w:cs="Times New Roman"/>
                <w:kern w:val="0"/>
                <w:szCs w:val="21"/>
              </w:rPr>
              <w:t>主要修订内容：1.增加航标数据元的缩写；2.更改常用数据库类型；3.更改常用数据库类型的推荐属性。</w:t>
            </w:r>
          </w:p>
        </w:tc>
        <w:tc>
          <w:tcPr>
            <w:tcW w:w="709" w:type="dxa"/>
            <w:vAlign w:val="center"/>
          </w:tcPr>
          <w:p>
            <w:pPr>
              <w:jc w:val="center"/>
              <w:rPr>
                <w:rFonts w:hint="eastAsia" w:ascii="宋体" w:hAnsi="宋体" w:eastAsia="宋体" w:cs="宋体"/>
                <w:kern w:val="0"/>
                <w:szCs w:val="21"/>
              </w:rPr>
            </w:pPr>
            <w:r>
              <w:rPr>
                <w:rFonts w:ascii="宋体" w:hAnsi="宋体" w:eastAsia="宋体" w:cs="宋体"/>
                <w:kern w:val="0"/>
                <w:szCs w:val="21"/>
              </w:rPr>
              <w:t>修订</w:t>
            </w:r>
          </w:p>
        </w:tc>
        <w:tc>
          <w:tcPr>
            <w:tcW w:w="1121" w:type="dxa"/>
            <w:vAlign w:val="center"/>
          </w:tcPr>
          <w:p>
            <w:pPr>
              <w:jc w:val="center"/>
              <w:rPr>
                <w:rFonts w:hint="eastAsia" w:ascii="宋体" w:hAnsi="宋体" w:eastAsia="宋体" w:cs="宋体"/>
                <w:kern w:val="0"/>
                <w:szCs w:val="21"/>
              </w:rPr>
            </w:pPr>
            <w:r>
              <w:rPr>
                <w:rFonts w:ascii="宋体" w:hAnsi="宋体" w:eastAsia="宋体" w:cs="宋体"/>
                <w:kern w:val="0"/>
                <w:szCs w:val="21"/>
              </w:rPr>
              <w:t>JT/T 1058</w:t>
            </w:r>
            <w:r>
              <w:rPr>
                <w:rFonts w:hint="eastAsia" w:ascii="宋体" w:hAnsi="宋体" w:eastAsia="宋体" w:cs="宋体"/>
                <w:kern w:val="0"/>
                <w:szCs w:val="21"/>
              </w:rPr>
              <w:t>—</w:t>
            </w:r>
            <w:r>
              <w:rPr>
                <w:rFonts w:ascii="宋体" w:hAnsi="宋体" w:eastAsia="宋体" w:cs="宋体"/>
                <w:kern w:val="0"/>
                <w:szCs w:val="21"/>
              </w:rPr>
              <w:t>2016</w:t>
            </w: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信息通导标委会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长安大学、陕西省交通运行监测中心、中交水运规划设计院有限公司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31</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2024-31</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交通运输专项规划环境影响评价技术规范 第4部分：综合交通运输枢纽规划</w:t>
            </w:r>
          </w:p>
        </w:tc>
        <w:tc>
          <w:tcPr>
            <w:tcW w:w="5528" w:type="dxa"/>
            <w:vAlign w:val="center"/>
          </w:tcPr>
          <w:p>
            <w:pPr>
              <w:rPr>
                <w:rFonts w:hint="eastAsia" w:ascii="宋体" w:hAnsi="宋体" w:eastAsia="宋体" w:cs="Times New Roman"/>
                <w:kern w:val="0"/>
                <w:szCs w:val="21"/>
              </w:rPr>
            </w:pPr>
            <w:r>
              <w:rPr>
                <w:rFonts w:ascii="宋体" w:hAnsi="宋体" w:eastAsia="宋体" w:cs="Times New Roman"/>
                <w:kern w:val="0"/>
                <w:szCs w:val="21"/>
              </w:rPr>
              <w:t>拟规定综合交通运输枢纽规划环境影响评价的规划分析、现状调查与评价、环境影响识别与评价指标体系构建、环境影响预测与评价、规划方案综合论证和优化调整建议、环境影响减缓对策和措施、环境影响跟踪评价、公众参与等内容和要求。</w:t>
            </w:r>
          </w:p>
          <w:p>
            <w:pPr>
              <w:rPr>
                <w:rFonts w:hint="eastAsia" w:ascii="宋体" w:hAnsi="宋体" w:eastAsia="宋体" w:cs="Times New Roman"/>
                <w:kern w:val="0"/>
                <w:szCs w:val="21"/>
              </w:rPr>
            </w:pPr>
            <w:r>
              <w:rPr>
                <w:rFonts w:ascii="宋体" w:hAnsi="宋体" w:eastAsia="宋体" w:cs="Times New Roman"/>
                <w:kern w:val="0"/>
                <w:szCs w:val="21"/>
              </w:rPr>
              <w:t>适用于综合交通运输枢纽港站（港口除外）规划的环境影响评价，城市的交通枢纽规划和单一运输方式的交通运输枢纽规划的环境影响评价参照使用。</w:t>
            </w:r>
          </w:p>
        </w:tc>
        <w:tc>
          <w:tcPr>
            <w:tcW w:w="70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制定</w:t>
            </w:r>
          </w:p>
        </w:tc>
        <w:tc>
          <w:tcPr>
            <w:tcW w:w="1121" w:type="dxa"/>
            <w:vAlign w:val="center"/>
          </w:tcPr>
          <w:p>
            <w:pPr>
              <w:jc w:val="center"/>
              <w:rPr>
                <w:rFonts w:hint="eastAsia" w:ascii="宋体" w:hAnsi="宋体" w:eastAsia="宋体" w:cs="宋体"/>
                <w:kern w:val="0"/>
                <w:szCs w:val="21"/>
              </w:rPr>
            </w:pP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环境保护标委会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交通运输部公路科学研究所、交通运输部规划研究院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32</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2024-32</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公路绿化养护废弃植生材料循环利用技术要求</w:t>
            </w:r>
          </w:p>
        </w:tc>
        <w:tc>
          <w:tcPr>
            <w:tcW w:w="5528" w:type="dxa"/>
            <w:vAlign w:val="center"/>
          </w:tcPr>
          <w:p>
            <w:pPr>
              <w:rPr>
                <w:rFonts w:hint="eastAsia" w:ascii="宋体" w:hAnsi="宋体" w:eastAsia="宋体" w:cs="Times New Roman"/>
                <w:kern w:val="0"/>
                <w:szCs w:val="21"/>
              </w:rPr>
            </w:pPr>
            <w:r>
              <w:rPr>
                <w:rFonts w:ascii="宋体" w:hAnsi="宋体" w:eastAsia="宋体" w:cs="Times New Roman"/>
                <w:kern w:val="0"/>
                <w:szCs w:val="21"/>
              </w:rPr>
              <w:t>拟规定公路绿化养护过程中产生的废弃植生材料循环利用的基本要求，包括收集和运输、收集处理点设置、循环利用技术</w:t>
            </w:r>
            <w:r>
              <w:rPr>
                <w:rFonts w:hint="eastAsia" w:ascii="宋体" w:hAnsi="宋体" w:eastAsia="宋体" w:cs="Times New Roman"/>
                <w:kern w:val="0"/>
                <w:szCs w:val="21"/>
              </w:rPr>
              <w:t>和</w:t>
            </w:r>
            <w:r>
              <w:rPr>
                <w:rFonts w:ascii="宋体" w:hAnsi="宋体" w:eastAsia="宋体" w:cs="Times New Roman"/>
                <w:kern w:val="0"/>
                <w:szCs w:val="21"/>
              </w:rPr>
              <w:t>生产</w:t>
            </w:r>
            <w:r>
              <w:rPr>
                <w:rFonts w:hint="eastAsia" w:ascii="宋体" w:hAnsi="宋体" w:eastAsia="宋体" w:cs="Times New Roman"/>
                <w:kern w:val="0"/>
                <w:szCs w:val="21"/>
              </w:rPr>
              <w:t>要求</w:t>
            </w:r>
            <w:r>
              <w:rPr>
                <w:rFonts w:ascii="宋体" w:hAnsi="宋体" w:eastAsia="宋体" w:cs="Times New Roman"/>
                <w:kern w:val="0"/>
                <w:szCs w:val="21"/>
              </w:rPr>
              <w:t>等内容。</w:t>
            </w:r>
          </w:p>
          <w:p>
            <w:pPr>
              <w:rPr>
                <w:rFonts w:hint="eastAsia" w:ascii="宋体" w:hAnsi="宋体" w:eastAsia="宋体" w:cs="Times New Roman"/>
                <w:kern w:val="0"/>
                <w:szCs w:val="21"/>
              </w:rPr>
            </w:pPr>
            <w:r>
              <w:rPr>
                <w:rFonts w:ascii="宋体" w:hAnsi="宋体" w:eastAsia="宋体" w:cs="Times New Roman"/>
                <w:kern w:val="0"/>
                <w:szCs w:val="21"/>
              </w:rPr>
              <w:t>适用于二级及以上等级公路绿化养护过程产生的废弃植生材料的循环利用，其他公路参照使用。</w:t>
            </w:r>
          </w:p>
        </w:tc>
        <w:tc>
          <w:tcPr>
            <w:tcW w:w="70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制定</w:t>
            </w:r>
          </w:p>
        </w:tc>
        <w:tc>
          <w:tcPr>
            <w:tcW w:w="1121" w:type="dxa"/>
            <w:vAlign w:val="center"/>
          </w:tcPr>
          <w:p>
            <w:pPr>
              <w:jc w:val="center"/>
              <w:rPr>
                <w:rFonts w:hint="eastAsia" w:ascii="宋体" w:hAnsi="宋体" w:eastAsia="宋体" w:cs="宋体"/>
                <w:kern w:val="0"/>
                <w:szCs w:val="21"/>
              </w:rPr>
            </w:pP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环境保护标委会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四川省交通勘察设计研究院有限公司、交通运输部公路科学研究所、北京林业大学、交通运输部科学研究院、中交第二公路勘察设计研究院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33</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2024-33</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公路服务区污水再生利用  第1部分：水质</w:t>
            </w:r>
          </w:p>
        </w:tc>
        <w:tc>
          <w:tcPr>
            <w:tcW w:w="5528" w:type="dxa"/>
            <w:vAlign w:val="center"/>
          </w:tcPr>
          <w:p>
            <w:pPr>
              <w:widowControl/>
              <w:rPr>
                <w:rFonts w:hint="eastAsia" w:ascii="宋体" w:hAnsi="宋体" w:eastAsia="宋体" w:cs="Times New Roman"/>
                <w:kern w:val="0"/>
                <w:szCs w:val="21"/>
              </w:rPr>
            </w:pPr>
            <w:r>
              <w:rPr>
                <w:rFonts w:ascii="宋体" w:hAnsi="宋体" w:eastAsia="宋体" w:cs="Times New Roman"/>
                <w:kern w:val="0"/>
                <w:szCs w:val="21"/>
              </w:rPr>
              <w:t>现行标准规定了公路服务区污水再生利用水质的技术要求</w:t>
            </w:r>
            <w:r>
              <w:rPr>
                <w:rFonts w:hint="eastAsia" w:ascii="宋体" w:hAnsi="宋体" w:eastAsia="宋体" w:cs="Times New Roman"/>
                <w:kern w:val="0"/>
                <w:szCs w:val="21"/>
              </w:rPr>
              <w:t>、</w:t>
            </w:r>
            <w:r>
              <w:rPr>
                <w:rFonts w:ascii="宋体" w:hAnsi="宋体" w:eastAsia="宋体" w:cs="Times New Roman"/>
                <w:kern w:val="0"/>
                <w:szCs w:val="21"/>
              </w:rPr>
              <w:t>取样及分析方法</w:t>
            </w:r>
            <w:r>
              <w:rPr>
                <w:rFonts w:hint="eastAsia" w:ascii="宋体" w:hAnsi="宋体" w:eastAsia="宋体" w:cs="Times New Roman"/>
                <w:kern w:val="0"/>
                <w:szCs w:val="21"/>
              </w:rPr>
              <w:t>、</w:t>
            </w:r>
            <w:r>
              <w:rPr>
                <w:rFonts w:ascii="宋体" w:hAnsi="宋体" w:eastAsia="宋体" w:cs="Times New Roman"/>
                <w:kern w:val="0"/>
                <w:szCs w:val="21"/>
              </w:rPr>
              <w:t>水质监控管理。</w:t>
            </w:r>
          </w:p>
          <w:p>
            <w:pPr>
              <w:widowControl/>
              <w:rPr>
                <w:rFonts w:hint="eastAsia" w:ascii="宋体" w:hAnsi="宋体" w:eastAsia="宋体" w:cs="Times New Roman"/>
                <w:kern w:val="0"/>
                <w:szCs w:val="21"/>
              </w:rPr>
            </w:pPr>
            <w:r>
              <w:rPr>
                <w:rFonts w:ascii="宋体" w:hAnsi="宋体" w:eastAsia="宋体" w:cs="Times New Roman"/>
                <w:kern w:val="0"/>
                <w:szCs w:val="21"/>
              </w:rPr>
              <w:t>适用于公路服务区冲厕、道路清扫、绿化、消防等用水。</w:t>
            </w:r>
          </w:p>
          <w:p>
            <w:pPr>
              <w:widowControl/>
              <w:rPr>
                <w:rFonts w:hint="eastAsia" w:ascii="宋体" w:hAnsi="宋体" w:eastAsia="宋体" w:cs="Times New Roman"/>
                <w:kern w:val="0"/>
                <w:szCs w:val="21"/>
              </w:rPr>
            </w:pPr>
            <w:r>
              <w:rPr>
                <w:rFonts w:ascii="宋体" w:hAnsi="宋体" w:eastAsia="宋体" w:cs="Times New Roman"/>
                <w:kern w:val="0"/>
                <w:szCs w:val="21"/>
              </w:rPr>
              <w:t>主要修订内容：1.增加水质再用的范围，分用途提出水质要求，在原水质要求中增加选择性控制和跟踪指标；2.更改部分用水类别的部分水质指标值，优化调整杂用水等非饮用用途的再生水水质用途；3.增加部分水质指标监测频率和监测分析方法。</w:t>
            </w:r>
          </w:p>
        </w:tc>
        <w:tc>
          <w:tcPr>
            <w:tcW w:w="709" w:type="dxa"/>
            <w:vAlign w:val="center"/>
          </w:tcPr>
          <w:p>
            <w:pPr>
              <w:jc w:val="center"/>
              <w:rPr>
                <w:rFonts w:hint="eastAsia" w:ascii="宋体" w:hAnsi="宋体" w:eastAsia="宋体" w:cs="宋体"/>
                <w:kern w:val="0"/>
                <w:szCs w:val="21"/>
              </w:rPr>
            </w:pPr>
            <w:r>
              <w:rPr>
                <w:rFonts w:ascii="宋体" w:hAnsi="宋体" w:eastAsia="宋体" w:cs="宋体"/>
                <w:kern w:val="0"/>
                <w:szCs w:val="21"/>
              </w:rPr>
              <w:t>修订</w:t>
            </w:r>
          </w:p>
        </w:tc>
        <w:tc>
          <w:tcPr>
            <w:tcW w:w="1121" w:type="dxa"/>
            <w:vAlign w:val="center"/>
          </w:tcPr>
          <w:p>
            <w:pPr>
              <w:jc w:val="center"/>
              <w:rPr>
                <w:rFonts w:hint="eastAsia" w:ascii="宋体" w:hAnsi="宋体" w:eastAsia="宋体" w:cs="宋体"/>
                <w:kern w:val="0"/>
                <w:szCs w:val="21"/>
              </w:rPr>
            </w:pPr>
            <w:r>
              <w:rPr>
                <w:rFonts w:ascii="宋体" w:hAnsi="宋体" w:eastAsia="宋体" w:cs="宋体"/>
                <w:kern w:val="0"/>
                <w:szCs w:val="21"/>
              </w:rPr>
              <w:t>JT/T 645.1</w:t>
            </w:r>
            <w:r>
              <w:rPr>
                <w:rFonts w:hint="eastAsia" w:ascii="宋体" w:hAnsi="宋体" w:eastAsia="宋体" w:cs="宋体"/>
                <w:kern w:val="0"/>
                <w:szCs w:val="21"/>
              </w:rPr>
              <w:t>—</w:t>
            </w:r>
            <w:r>
              <w:rPr>
                <w:rFonts w:ascii="宋体" w:hAnsi="宋体" w:eastAsia="宋体" w:cs="宋体"/>
                <w:kern w:val="0"/>
                <w:szCs w:val="21"/>
              </w:rPr>
              <w:t>2016</w:t>
            </w: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环境保护标委会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交通运输部公路科学研究所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34</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2024-34</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公路服务区污水再生利用  第2部分：处理系统技术要求</w:t>
            </w:r>
          </w:p>
        </w:tc>
        <w:tc>
          <w:tcPr>
            <w:tcW w:w="5528" w:type="dxa"/>
            <w:vAlign w:val="center"/>
          </w:tcPr>
          <w:p>
            <w:pPr>
              <w:widowControl/>
              <w:rPr>
                <w:rFonts w:hint="eastAsia" w:ascii="宋体" w:hAnsi="宋体" w:eastAsia="宋体" w:cs="Times New Roman"/>
                <w:kern w:val="0"/>
                <w:szCs w:val="21"/>
              </w:rPr>
            </w:pPr>
            <w:r>
              <w:rPr>
                <w:rFonts w:ascii="宋体" w:hAnsi="宋体" w:eastAsia="宋体" w:cs="Times New Roman"/>
                <w:kern w:val="0"/>
                <w:szCs w:val="21"/>
              </w:rPr>
              <w:t>现行标准规定了公路服务区污水再生利用处理系统的设置原则、处理工艺、系统设施、构筑物设计、污水再生利用系统等技术要求</w:t>
            </w:r>
            <w:r>
              <w:rPr>
                <w:rFonts w:hint="eastAsia" w:ascii="宋体" w:hAnsi="宋体" w:eastAsia="宋体" w:cs="Times New Roman"/>
                <w:kern w:val="0"/>
                <w:szCs w:val="21"/>
              </w:rPr>
              <w:t>。</w:t>
            </w:r>
          </w:p>
          <w:p>
            <w:pPr>
              <w:widowControl/>
              <w:rPr>
                <w:rFonts w:hint="eastAsia" w:ascii="宋体" w:hAnsi="宋体" w:eastAsia="宋体" w:cs="Times New Roman"/>
                <w:kern w:val="0"/>
                <w:szCs w:val="21"/>
              </w:rPr>
            </w:pPr>
            <w:r>
              <w:rPr>
                <w:rFonts w:ascii="宋体" w:hAnsi="宋体" w:eastAsia="宋体" w:cs="Times New Roman"/>
                <w:kern w:val="0"/>
                <w:szCs w:val="21"/>
              </w:rPr>
              <w:t>适用于各类公路服务区污水再生利用处理工程。</w:t>
            </w:r>
          </w:p>
          <w:p>
            <w:pPr>
              <w:widowControl/>
              <w:rPr>
                <w:rFonts w:hint="eastAsia" w:ascii="宋体" w:hAnsi="宋体" w:eastAsia="宋体" w:cs="Times New Roman"/>
                <w:kern w:val="0"/>
                <w:szCs w:val="21"/>
              </w:rPr>
            </w:pPr>
            <w:r>
              <w:rPr>
                <w:rFonts w:ascii="宋体" w:hAnsi="宋体" w:eastAsia="宋体" w:cs="Times New Roman"/>
                <w:kern w:val="0"/>
                <w:szCs w:val="21"/>
              </w:rPr>
              <w:t>主要修订内容：1.增加“处理工艺”的内容和技术手段，补充MABR膜曝气处理工艺等新型工艺技术；2.调整优化部分工艺路线设计要求；3.增加低能耗技术要求。</w:t>
            </w:r>
          </w:p>
        </w:tc>
        <w:tc>
          <w:tcPr>
            <w:tcW w:w="709" w:type="dxa"/>
            <w:vAlign w:val="center"/>
          </w:tcPr>
          <w:p>
            <w:pPr>
              <w:jc w:val="center"/>
              <w:rPr>
                <w:rFonts w:hint="eastAsia" w:ascii="宋体" w:hAnsi="宋体" w:eastAsia="宋体" w:cs="宋体"/>
                <w:kern w:val="0"/>
                <w:szCs w:val="21"/>
              </w:rPr>
            </w:pPr>
            <w:r>
              <w:rPr>
                <w:rFonts w:ascii="宋体" w:hAnsi="宋体" w:eastAsia="宋体" w:cs="宋体"/>
                <w:kern w:val="0"/>
                <w:szCs w:val="21"/>
              </w:rPr>
              <w:t>修订</w:t>
            </w:r>
          </w:p>
        </w:tc>
        <w:tc>
          <w:tcPr>
            <w:tcW w:w="1121" w:type="dxa"/>
            <w:vAlign w:val="center"/>
          </w:tcPr>
          <w:p>
            <w:pPr>
              <w:jc w:val="center"/>
              <w:rPr>
                <w:rFonts w:hint="eastAsia" w:ascii="宋体" w:hAnsi="宋体" w:eastAsia="宋体" w:cs="宋体"/>
                <w:kern w:val="0"/>
                <w:szCs w:val="21"/>
              </w:rPr>
            </w:pPr>
            <w:r>
              <w:rPr>
                <w:rFonts w:ascii="宋体" w:hAnsi="宋体" w:eastAsia="宋体" w:cs="宋体"/>
                <w:kern w:val="0"/>
                <w:szCs w:val="21"/>
              </w:rPr>
              <w:t>JT/T 645.2</w:t>
            </w:r>
            <w:r>
              <w:rPr>
                <w:rFonts w:hint="eastAsia" w:ascii="宋体" w:hAnsi="宋体" w:eastAsia="宋体" w:cs="宋体"/>
                <w:kern w:val="0"/>
                <w:szCs w:val="21"/>
              </w:rPr>
              <w:t>—</w:t>
            </w:r>
            <w:r>
              <w:rPr>
                <w:rFonts w:ascii="宋体" w:hAnsi="宋体" w:eastAsia="宋体" w:cs="宋体"/>
                <w:kern w:val="0"/>
                <w:szCs w:val="21"/>
              </w:rPr>
              <w:t>2016</w:t>
            </w: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环境保护标委会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交通运输部公路科学研究所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35</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2024-35</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公路服务区污水再生利用  第3部分：处理系统操作管理要求</w:t>
            </w:r>
          </w:p>
        </w:tc>
        <w:tc>
          <w:tcPr>
            <w:tcW w:w="5528" w:type="dxa"/>
            <w:vAlign w:val="center"/>
          </w:tcPr>
          <w:p>
            <w:pPr>
              <w:widowControl/>
              <w:rPr>
                <w:rFonts w:hint="eastAsia" w:ascii="宋体" w:hAnsi="宋体" w:eastAsia="宋体" w:cs="Times New Roman"/>
                <w:kern w:val="0"/>
                <w:szCs w:val="21"/>
              </w:rPr>
            </w:pPr>
            <w:r>
              <w:rPr>
                <w:rFonts w:ascii="宋体" w:hAnsi="宋体" w:eastAsia="宋体" w:cs="Times New Roman"/>
                <w:kern w:val="0"/>
                <w:szCs w:val="21"/>
              </w:rPr>
              <w:t>现行标准规定了服务区污水再生利用处理系统操作管理的基本要求和主要设施操作管理要求</w:t>
            </w:r>
            <w:r>
              <w:rPr>
                <w:rFonts w:hint="eastAsia" w:ascii="宋体" w:hAnsi="宋体" w:eastAsia="宋体" w:cs="Times New Roman"/>
                <w:kern w:val="0"/>
                <w:szCs w:val="21"/>
              </w:rPr>
              <w:t>。</w:t>
            </w:r>
          </w:p>
          <w:p>
            <w:pPr>
              <w:widowControl/>
              <w:rPr>
                <w:rFonts w:hint="eastAsia" w:ascii="宋体" w:hAnsi="宋体" w:eastAsia="宋体" w:cs="Times New Roman"/>
                <w:kern w:val="0"/>
                <w:szCs w:val="21"/>
              </w:rPr>
            </w:pPr>
            <w:r>
              <w:rPr>
                <w:rFonts w:ascii="宋体" w:hAnsi="宋体" w:eastAsia="宋体" w:cs="Times New Roman"/>
                <w:kern w:val="0"/>
                <w:szCs w:val="21"/>
              </w:rPr>
              <w:t>适用于公路服务区污水再生利用处理系统的操作管理。</w:t>
            </w:r>
          </w:p>
          <w:p>
            <w:pPr>
              <w:widowControl/>
              <w:rPr>
                <w:rFonts w:hint="eastAsia" w:ascii="宋体" w:hAnsi="宋体" w:eastAsia="宋体" w:cs="Times New Roman"/>
                <w:kern w:val="0"/>
                <w:szCs w:val="21"/>
              </w:rPr>
            </w:pPr>
            <w:r>
              <w:rPr>
                <w:rFonts w:ascii="宋体" w:hAnsi="宋体" w:eastAsia="宋体" w:cs="Times New Roman"/>
                <w:kern w:val="0"/>
                <w:szCs w:val="21"/>
              </w:rPr>
              <w:t>主要修订内容：1.增加能耗监管和运维保障技术措施要求；2.增加基本要求中运行要求信息化管理功能要求；3.完善“安全利用要求”。</w:t>
            </w:r>
          </w:p>
        </w:tc>
        <w:tc>
          <w:tcPr>
            <w:tcW w:w="709" w:type="dxa"/>
            <w:vAlign w:val="center"/>
          </w:tcPr>
          <w:p>
            <w:pPr>
              <w:jc w:val="center"/>
              <w:rPr>
                <w:rFonts w:hint="eastAsia" w:ascii="宋体" w:hAnsi="宋体" w:eastAsia="宋体" w:cs="宋体"/>
                <w:kern w:val="0"/>
                <w:szCs w:val="21"/>
              </w:rPr>
            </w:pPr>
            <w:r>
              <w:rPr>
                <w:rFonts w:ascii="宋体" w:hAnsi="宋体" w:eastAsia="宋体" w:cs="宋体"/>
                <w:kern w:val="0"/>
                <w:szCs w:val="21"/>
              </w:rPr>
              <w:t>修订</w:t>
            </w:r>
          </w:p>
        </w:tc>
        <w:tc>
          <w:tcPr>
            <w:tcW w:w="1121" w:type="dxa"/>
            <w:vAlign w:val="center"/>
          </w:tcPr>
          <w:p>
            <w:pPr>
              <w:jc w:val="center"/>
              <w:rPr>
                <w:rFonts w:hint="eastAsia" w:ascii="宋体" w:hAnsi="宋体" w:eastAsia="宋体" w:cs="宋体"/>
                <w:kern w:val="0"/>
                <w:szCs w:val="21"/>
              </w:rPr>
            </w:pPr>
            <w:r>
              <w:rPr>
                <w:rFonts w:ascii="宋体" w:hAnsi="宋体" w:eastAsia="宋体" w:cs="宋体"/>
                <w:kern w:val="0"/>
                <w:szCs w:val="21"/>
              </w:rPr>
              <w:t>JT/T 645.3</w:t>
            </w:r>
            <w:r>
              <w:rPr>
                <w:rFonts w:hint="eastAsia" w:ascii="宋体" w:hAnsi="宋体" w:eastAsia="宋体" w:cs="宋体"/>
                <w:kern w:val="0"/>
                <w:szCs w:val="21"/>
              </w:rPr>
              <w:t>—</w:t>
            </w:r>
            <w:r>
              <w:rPr>
                <w:rFonts w:ascii="宋体" w:hAnsi="宋体" w:eastAsia="宋体" w:cs="宋体"/>
                <w:kern w:val="0"/>
                <w:szCs w:val="21"/>
              </w:rPr>
              <w:t>2016</w:t>
            </w: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环境保护标委会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交通运输部公路科学研究所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36</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2024-36</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交通运输专项规划环境影响评价技术规范  第2部分：港口总体规划</w:t>
            </w:r>
          </w:p>
        </w:tc>
        <w:tc>
          <w:tcPr>
            <w:tcW w:w="5528" w:type="dxa"/>
            <w:vAlign w:val="center"/>
          </w:tcPr>
          <w:p>
            <w:pPr>
              <w:widowControl/>
              <w:rPr>
                <w:rFonts w:hint="eastAsia" w:ascii="宋体" w:hAnsi="宋体" w:eastAsia="宋体" w:cs="Times New Roman"/>
                <w:kern w:val="0"/>
                <w:szCs w:val="21"/>
              </w:rPr>
            </w:pPr>
            <w:r>
              <w:rPr>
                <w:rFonts w:ascii="宋体" w:hAnsi="宋体" w:eastAsia="宋体" w:cs="Times New Roman"/>
                <w:kern w:val="0"/>
                <w:szCs w:val="21"/>
              </w:rPr>
              <w:t>现行标准规定了港口总体规划环境影响评价的规划分析、资源环境现状调查与评价、环境影响识别与评价指标体系构建、环境影响评价、规划方案综合论证和优化调整建议、环境影响减缓措施、环境影响跟踪评价、公众参与和评价结论等要求</w:t>
            </w:r>
            <w:r>
              <w:rPr>
                <w:rFonts w:hint="eastAsia" w:ascii="宋体" w:hAnsi="宋体" w:eastAsia="宋体" w:cs="Times New Roman"/>
                <w:kern w:val="0"/>
                <w:szCs w:val="21"/>
              </w:rPr>
              <w:t>。</w:t>
            </w:r>
          </w:p>
          <w:p>
            <w:pPr>
              <w:widowControl/>
              <w:rPr>
                <w:rFonts w:hint="eastAsia" w:ascii="宋体" w:hAnsi="宋体" w:eastAsia="宋体" w:cs="Times New Roman"/>
                <w:kern w:val="0"/>
                <w:szCs w:val="21"/>
              </w:rPr>
            </w:pPr>
            <w:r>
              <w:rPr>
                <w:rFonts w:ascii="宋体" w:hAnsi="宋体" w:eastAsia="宋体" w:cs="Times New Roman"/>
                <w:kern w:val="0"/>
                <w:szCs w:val="21"/>
              </w:rPr>
              <w:t>适用于港口总体规划的环境影响评价。</w:t>
            </w:r>
          </w:p>
          <w:p>
            <w:pPr>
              <w:widowControl/>
              <w:rPr>
                <w:rFonts w:hint="eastAsia" w:ascii="宋体" w:hAnsi="宋体" w:eastAsia="宋体" w:cs="Times New Roman"/>
                <w:kern w:val="0"/>
                <w:szCs w:val="21"/>
              </w:rPr>
            </w:pPr>
            <w:r>
              <w:rPr>
                <w:rFonts w:ascii="宋体" w:hAnsi="宋体" w:eastAsia="宋体" w:cs="Times New Roman"/>
                <w:kern w:val="0"/>
                <w:szCs w:val="21"/>
              </w:rPr>
              <w:t>主要修订内容：1.增加与港口海域生物安全、“三线一单”等相关术语和定义；2.规划分析章节，删除规划不确定性分析内容等；3.资源环境调查与评价章节，增加港口海域生物安全、分析区域“三线一单”等内容；4.环境影响评价章节，增加外来生物对水生生态的影响分析、碳排放影响预测与评价等；5.细化规划所包含建设项目的环评简化要求及关注重点等内容。</w:t>
            </w:r>
          </w:p>
        </w:tc>
        <w:tc>
          <w:tcPr>
            <w:tcW w:w="709" w:type="dxa"/>
            <w:vAlign w:val="center"/>
          </w:tcPr>
          <w:p>
            <w:pPr>
              <w:jc w:val="center"/>
              <w:rPr>
                <w:rFonts w:hint="eastAsia" w:ascii="宋体" w:hAnsi="宋体" w:eastAsia="宋体" w:cs="宋体"/>
                <w:kern w:val="0"/>
                <w:szCs w:val="21"/>
              </w:rPr>
            </w:pPr>
            <w:r>
              <w:rPr>
                <w:rFonts w:ascii="宋体" w:hAnsi="宋体" w:eastAsia="宋体" w:cs="宋体"/>
                <w:kern w:val="0"/>
                <w:szCs w:val="21"/>
              </w:rPr>
              <w:t>修订</w:t>
            </w:r>
          </w:p>
        </w:tc>
        <w:tc>
          <w:tcPr>
            <w:tcW w:w="1121" w:type="dxa"/>
            <w:vAlign w:val="center"/>
          </w:tcPr>
          <w:p>
            <w:pPr>
              <w:jc w:val="center"/>
              <w:rPr>
                <w:rFonts w:hint="eastAsia" w:ascii="宋体" w:hAnsi="宋体" w:eastAsia="宋体" w:cs="宋体"/>
                <w:kern w:val="0"/>
                <w:szCs w:val="21"/>
              </w:rPr>
            </w:pPr>
            <w:r>
              <w:rPr>
                <w:rFonts w:ascii="宋体" w:hAnsi="宋体" w:eastAsia="宋体" w:cs="宋体"/>
                <w:kern w:val="0"/>
                <w:szCs w:val="21"/>
              </w:rPr>
              <w:t>JT/T 1146.2</w:t>
            </w:r>
            <w:r>
              <w:rPr>
                <w:rFonts w:hint="eastAsia" w:ascii="宋体" w:hAnsi="宋体" w:eastAsia="宋体" w:cs="宋体"/>
                <w:kern w:val="0"/>
                <w:szCs w:val="21"/>
              </w:rPr>
              <w:t>—</w:t>
            </w:r>
            <w:r>
              <w:rPr>
                <w:rFonts w:ascii="宋体" w:hAnsi="宋体" w:eastAsia="宋体" w:cs="宋体"/>
                <w:kern w:val="0"/>
                <w:szCs w:val="21"/>
              </w:rPr>
              <w:t>2018</w:t>
            </w: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环境保护标委会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交通运输部天津水运工程科学研究所、宁波舟山港股份有限公司、北部湾港股份有限公司、江苏省港口集团有限公司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37</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2024-37</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交通运输专项规划环境影响评价技术规范  第3部分：内河航道建设规划</w:t>
            </w:r>
          </w:p>
        </w:tc>
        <w:tc>
          <w:tcPr>
            <w:tcW w:w="5528" w:type="dxa"/>
            <w:vAlign w:val="center"/>
          </w:tcPr>
          <w:p>
            <w:pPr>
              <w:widowControl/>
              <w:rPr>
                <w:rFonts w:hint="eastAsia" w:ascii="宋体" w:hAnsi="宋体" w:eastAsia="宋体" w:cs="Times New Roman"/>
                <w:kern w:val="0"/>
                <w:szCs w:val="21"/>
              </w:rPr>
            </w:pPr>
            <w:r>
              <w:rPr>
                <w:rFonts w:ascii="宋体" w:hAnsi="宋体" w:eastAsia="宋体" w:cs="Times New Roman"/>
                <w:kern w:val="0"/>
                <w:szCs w:val="21"/>
              </w:rPr>
              <w:t>现行标准规定了内河航道建设规划环境影响评价的</w:t>
            </w:r>
            <w:r>
              <w:rPr>
                <w:rFonts w:hint="eastAsia" w:ascii="宋体" w:hAnsi="宋体" w:eastAsia="宋体" w:cs="Times New Roman"/>
                <w:kern w:val="0"/>
                <w:szCs w:val="21"/>
              </w:rPr>
              <w:t>规划分析、现状调查与评价、环境影响识别与评价指标体系、环境影响预测与评价、规划方案综合论证和优化调整建议、环境影响减缓对策和措施、环境影响跟踪评价计划、公众参与、评价结论和环境影响评价文件目录及</w:t>
            </w:r>
            <w:r>
              <w:rPr>
                <w:rFonts w:ascii="宋体" w:hAnsi="宋体" w:eastAsia="宋体" w:cs="Times New Roman"/>
                <w:kern w:val="0"/>
                <w:szCs w:val="21"/>
              </w:rPr>
              <w:t>编制要求</w:t>
            </w:r>
            <w:r>
              <w:rPr>
                <w:rFonts w:hint="eastAsia" w:ascii="宋体" w:hAnsi="宋体" w:eastAsia="宋体" w:cs="Times New Roman"/>
                <w:kern w:val="0"/>
                <w:szCs w:val="21"/>
              </w:rPr>
              <w:t>等。</w:t>
            </w:r>
          </w:p>
          <w:p>
            <w:pPr>
              <w:widowControl/>
              <w:rPr>
                <w:rFonts w:hint="eastAsia" w:ascii="宋体" w:hAnsi="宋体" w:eastAsia="宋体" w:cs="Times New Roman"/>
                <w:kern w:val="0"/>
                <w:szCs w:val="21"/>
              </w:rPr>
            </w:pPr>
            <w:r>
              <w:rPr>
                <w:rFonts w:ascii="宋体" w:hAnsi="宋体" w:eastAsia="宋体" w:cs="Times New Roman"/>
                <w:kern w:val="0"/>
                <w:szCs w:val="21"/>
              </w:rPr>
              <w:t>适用于内河航道建设规划的环境影响评价。</w:t>
            </w:r>
          </w:p>
          <w:p>
            <w:pPr>
              <w:widowControl/>
              <w:rPr>
                <w:rFonts w:hint="eastAsia" w:ascii="宋体" w:hAnsi="宋体" w:eastAsia="宋体" w:cs="Times New Roman"/>
                <w:kern w:val="0"/>
                <w:szCs w:val="21"/>
              </w:rPr>
            </w:pPr>
            <w:r>
              <w:rPr>
                <w:rFonts w:ascii="宋体" w:hAnsi="宋体" w:eastAsia="宋体" w:cs="Times New Roman"/>
                <w:kern w:val="0"/>
                <w:szCs w:val="21"/>
              </w:rPr>
              <w:t>主要修订内容：1.删除不确定性分析；2.增加对国控、省考断面的预测影响分析；3.增加环保督查、环保投诉及整改情况；4.增加规划方案环境效益的论证；5.“三线一单”管控要求章节，加强与各省市“三线一单”管控要求相符性进行分析，不再制定“三线一单”管控要求；6.增加生态环境管控要求和生态环境准入清单。</w:t>
            </w:r>
          </w:p>
        </w:tc>
        <w:tc>
          <w:tcPr>
            <w:tcW w:w="709" w:type="dxa"/>
            <w:vAlign w:val="center"/>
          </w:tcPr>
          <w:p>
            <w:pPr>
              <w:jc w:val="center"/>
              <w:rPr>
                <w:rFonts w:hint="eastAsia" w:ascii="宋体" w:hAnsi="宋体" w:eastAsia="宋体" w:cs="宋体"/>
                <w:kern w:val="0"/>
                <w:szCs w:val="21"/>
              </w:rPr>
            </w:pPr>
            <w:r>
              <w:rPr>
                <w:rFonts w:ascii="宋体" w:hAnsi="宋体" w:eastAsia="宋体" w:cs="宋体"/>
                <w:kern w:val="0"/>
                <w:szCs w:val="21"/>
              </w:rPr>
              <w:t>修订</w:t>
            </w:r>
          </w:p>
        </w:tc>
        <w:tc>
          <w:tcPr>
            <w:tcW w:w="1121" w:type="dxa"/>
            <w:vAlign w:val="center"/>
          </w:tcPr>
          <w:p>
            <w:pPr>
              <w:jc w:val="center"/>
              <w:rPr>
                <w:rFonts w:hint="eastAsia" w:ascii="宋体" w:hAnsi="宋体" w:eastAsia="宋体" w:cs="宋体"/>
                <w:kern w:val="0"/>
                <w:szCs w:val="21"/>
              </w:rPr>
            </w:pPr>
            <w:r>
              <w:rPr>
                <w:rFonts w:ascii="宋体" w:hAnsi="宋体" w:eastAsia="宋体" w:cs="宋体"/>
                <w:kern w:val="0"/>
                <w:szCs w:val="21"/>
              </w:rPr>
              <w:t>JT/T 1146.3</w:t>
            </w:r>
            <w:r>
              <w:rPr>
                <w:rFonts w:hint="eastAsia" w:ascii="宋体" w:hAnsi="宋体" w:eastAsia="宋体" w:cs="宋体"/>
                <w:kern w:val="0"/>
                <w:szCs w:val="21"/>
              </w:rPr>
              <w:t>—</w:t>
            </w:r>
            <w:r>
              <w:rPr>
                <w:rFonts w:ascii="宋体" w:hAnsi="宋体" w:eastAsia="宋体" w:cs="宋体"/>
                <w:kern w:val="0"/>
                <w:szCs w:val="21"/>
              </w:rPr>
              <w:t>2018</w:t>
            </w: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环境保护标委会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华设设计集团股份有限公司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trPr>
        <w:tc>
          <w:tcPr>
            <w:tcW w:w="562" w:type="dxa"/>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38</w:t>
            </w:r>
          </w:p>
        </w:tc>
        <w:tc>
          <w:tcPr>
            <w:tcW w:w="1134" w:type="dxa"/>
            <w:vAlign w:val="center"/>
          </w:tcPr>
          <w:p>
            <w:pPr>
              <w:jc w:val="center"/>
              <w:rPr>
                <w:rFonts w:hint="eastAsia" w:ascii="宋体" w:hAnsi="宋体" w:eastAsia="宋体" w:cs="宋体"/>
                <w:color w:val="000000"/>
                <w:kern w:val="0"/>
                <w:szCs w:val="21"/>
              </w:rPr>
            </w:pPr>
            <w:r>
              <w:rPr>
                <w:rFonts w:hint="eastAsia" w:ascii="宋体" w:hAnsi="宋体" w:eastAsia="宋体"/>
                <w:kern w:val="0"/>
                <w:szCs w:val="21"/>
              </w:rPr>
              <w:t>JT 2024-38</w:t>
            </w:r>
          </w:p>
        </w:tc>
        <w:tc>
          <w:tcPr>
            <w:tcW w:w="1560" w:type="dxa"/>
            <w:vAlign w:val="center"/>
          </w:tcPr>
          <w:p>
            <w:pPr>
              <w:rPr>
                <w:rFonts w:hint="eastAsia" w:ascii="宋体" w:hAnsi="宋体" w:eastAsia="宋体" w:cs="Times New Roman"/>
                <w:kern w:val="0"/>
                <w:szCs w:val="21"/>
              </w:rPr>
            </w:pPr>
            <w:r>
              <w:rPr>
                <w:rFonts w:ascii="宋体" w:hAnsi="宋体" w:eastAsia="宋体" w:cs="Times New Roman"/>
                <w:kern w:val="0"/>
                <w:szCs w:val="21"/>
              </w:rPr>
              <w:t>绿色交通设施评估技术要求  第3部分：绿色航道</w:t>
            </w:r>
          </w:p>
        </w:tc>
        <w:tc>
          <w:tcPr>
            <w:tcW w:w="5528" w:type="dxa"/>
            <w:vAlign w:val="center"/>
          </w:tcPr>
          <w:p>
            <w:pPr>
              <w:widowControl/>
              <w:rPr>
                <w:rFonts w:hint="eastAsia" w:ascii="宋体" w:hAnsi="宋体" w:eastAsia="宋体" w:cs="Times New Roman"/>
                <w:kern w:val="0"/>
                <w:szCs w:val="21"/>
              </w:rPr>
            </w:pPr>
            <w:r>
              <w:rPr>
                <w:rFonts w:ascii="宋体" w:hAnsi="宋体" w:eastAsia="宋体" w:cs="Times New Roman"/>
                <w:kern w:val="0"/>
                <w:szCs w:val="21"/>
              </w:rPr>
              <w:t>现行标准规定了绿色航道和绿色船闸评估的基本要求、评估指标体系及评估方法</w:t>
            </w:r>
            <w:r>
              <w:rPr>
                <w:rFonts w:hint="eastAsia" w:ascii="宋体" w:hAnsi="宋体" w:eastAsia="宋体" w:cs="Times New Roman"/>
                <w:kern w:val="0"/>
                <w:szCs w:val="21"/>
              </w:rPr>
              <w:t>。</w:t>
            </w:r>
          </w:p>
          <w:p>
            <w:pPr>
              <w:widowControl/>
              <w:rPr>
                <w:rFonts w:hint="eastAsia" w:ascii="宋体" w:hAnsi="宋体" w:eastAsia="宋体" w:cs="Times New Roman"/>
                <w:kern w:val="0"/>
                <w:szCs w:val="21"/>
              </w:rPr>
            </w:pPr>
            <w:r>
              <w:rPr>
                <w:rFonts w:ascii="宋体" w:hAnsi="宋体" w:eastAsia="宋体" w:cs="Times New Roman"/>
                <w:kern w:val="0"/>
                <w:szCs w:val="21"/>
              </w:rPr>
              <w:t>适用于新建、改扩建的内河航道和船闸。</w:t>
            </w:r>
          </w:p>
          <w:p>
            <w:pPr>
              <w:widowControl/>
              <w:rPr>
                <w:rFonts w:hint="eastAsia" w:ascii="宋体" w:hAnsi="宋体" w:eastAsia="宋体" w:cs="Times New Roman"/>
                <w:kern w:val="0"/>
                <w:szCs w:val="21"/>
              </w:rPr>
            </w:pPr>
            <w:r>
              <w:rPr>
                <w:rFonts w:ascii="宋体" w:hAnsi="宋体" w:eastAsia="宋体" w:cs="Times New Roman"/>
                <w:kern w:val="0"/>
                <w:szCs w:val="21"/>
              </w:rPr>
              <w:t>主要修订内容：1.更改适用范围为适用于运营期的内河航道和船闸；</w:t>
            </w:r>
            <w:r>
              <w:rPr>
                <w:rFonts w:hint="eastAsia" w:ascii="宋体" w:hAnsi="宋体" w:eastAsia="宋体" w:cs="Times New Roman"/>
                <w:kern w:val="0"/>
                <w:szCs w:val="21"/>
              </w:rPr>
              <w:t>2</w:t>
            </w:r>
            <w:r>
              <w:rPr>
                <w:rFonts w:ascii="宋体" w:hAnsi="宋体" w:eastAsia="宋体" w:cs="Times New Roman"/>
                <w:kern w:val="0"/>
                <w:szCs w:val="21"/>
              </w:rPr>
              <w:t>.补充航道和船闸的总体要求；</w:t>
            </w:r>
            <w:r>
              <w:rPr>
                <w:rFonts w:hint="eastAsia" w:ascii="宋体" w:hAnsi="宋体" w:eastAsia="宋体" w:cs="Times New Roman"/>
                <w:kern w:val="0"/>
                <w:szCs w:val="21"/>
              </w:rPr>
              <w:t>3</w:t>
            </w:r>
            <w:r>
              <w:rPr>
                <w:rFonts w:ascii="宋体" w:hAnsi="宋体" w:eastAsia="宋体" w:cs="Times New Roman"/>
                <w:kern w:val="0"/>
                <w:szCs w:val="21"/>
              </w:rPr>
              <w:t>.对原有的绿色航道、绿色船闸的评估指标及评分标准进行增改和完善，包括但不限于“碳排放核算、评定与控制”、“智慧工地”等；</w:t>
            </w:r>
            <w:r>
              <w:rPr>
                <w:rFonts w:hint="eastAsia" w:ascii="宋体" w:hAnsi="宋体" w:eastAsia="宋体" w:cs="Times New Roman"/>
                <w:kern w:val="0"/>
                <w:szCs w:val="21"/>
              </w:rPr>
              <w:t>4</w:t>
            </w:r>
            <w:r>
              <w:rPr>
                <w:rFonts w:ascii="宋体" w:hAnsi="宋体" w:eastAsia="宋体" w:cs="Times New Roman"/>
                <w:kern w:val="0"/>
                <w:szCs w:val="21"/>
              </w:rPr>
              <w:t>.补充和修订绿色航道、绿色船闸评估指标体系中部分二级指标及三级指标的分值及评分方法。</w:t>
            </w:r>
          </w:p>
        </w:tc>
        <w:tc>
          <w:tcPr>
            <w:tcW w:w="709" w:type="dxa"/>
            <w:vAlign w:val="center"/>
          </w:tcPr>
          <w:p>
            <w:pPr>
              <w:jc w:val="center"/>
              <w:rPr>
                <w:rFonts w:hint="eastAsia" w:ascii="宋体" w:hAnsi="宋体" w:eastAsia="宋体" w:cs="宋体"/>
                <w:kern w:val="0"/>
                <w:szCs w:val="21"/>
              </w:rPr>
            </w:pPr>
            <w:r>
              <w:rPr>
                <w:rFonts w:ascii="宋体" w:hAnsi="宋体" w:eastAsia="宋体" w:cs="宋体"/>
                <w:kern w:val="0"/>
                <w:szCs w:val="21"/>
              </w:rPr>
              <w:t>修订</w:t>
            </w:r>
          </w:p>
        </w:tc>
        <w:tc>
          <w:tcPr>
            <w:tcW w:w="1121" w:type="dxa"/>
            <w:vAlign w:val="center"/>
          </w:tcPr>
          <w:p>
            <w:pPr>
              <w:jc w:val="center"/>
              <w:rPr>
                <w:rFonts w:hint="eastAsia" w:ascii="宋体" w:hAnsi="宋体" w:eastAsia="宋体" w:cs="宋体"/>
                <w:kern w:val="0"/>
                <w:szCs w:val="21"/>
              </w:rPr>
            </w:pPr>
            <w:r>
              <w:rPr>
                <w:rFonts w:ascii="宋体" w:hAnsi="宋体" w:eastAsia="宋体" w:cs="宋体"/>
                <w:kern w:val="0"/>
                <w:szCs w:val="21"/>
              </w:rPr>
              <w:t>JT/T 1199.3</w:t>
            </w:r>
            <w:r>
              <w:rPr>
                <w:rFonts w:hint="eastAsia" w:ascii="宋体" w:hAnsi="宋体" w:eastAsia="宋体" w:cs="宋体"/>
                <w:kern w:val="0"/>
                <w:szCs w:val="21"/>
              </w:rPr>
              <w:t>—</w:t>
            </w:r>
            <w:r>
              <w:rPr>
                <w:rFonts w:ascii="宋体" w:hAnsi="宋体" w:eastAsia="宋体" w:cs="宋体"/>
                <w:kern w:val="0"/>
                <w:szCs w:val="21"/>
              </w:rPr>
              <w:t>2018</w:t>
            </w:r>
          </w:p>
        </w:tc>
        <w:tc>
          <w:tcPr>
            <w:tcW w:w="846" w:type="dxa"/>
            <w:vAlign w:val="center"/>
          </w:tcPr>
          <w:p>
            <w:pPr>
              <w:jc w:val="center"/>
              <w:rPr>
                <w:rFonts w:hint="eastAsia" w:ascii="宋体" w:hAnsi="宋体" w:eastAsia="宋体" w:cs="宋体"/>
                <w:kern w:val="0"/>
                <w:szCs w:val="21"/>
              </w:rPr>
            </w:pPr>
            <w:r>
              <w:rPr>
                <w:rFonts w:ascii="宋体" w:hAnsi="宋体" w:eastAsia="宋体" w:cs="宋体"/>
                <w:kern w:val="0"/>
                <w:szCs w:val="21"/>
              </w:rPr>
              <w:t>12</w:t>
            </w:r>
          </w:p>
        </w:tc>
        <w:tc>
          <w:tcPr>
            <w:tcW w:w="988" w:type="dxa"/>
            <w:vAlign w:val="center"/>
          </w:tcPr>
          <w:p>
            <w:pPr>
              <w:jc w:val="center"/>
              <w:rPr>
                <w:rFonts w:hint="eastAsia" w:ascii="宋体" w:hAnsi="宋体" w:eastAsia="宋体" w:cs="宋体"/>
                <w:kern w:val="0"/>
                <w:szCs w:val="21"/>
              </w:rPr>
            </w:pPr>
            <w:r>
              <w:rPr>
                <w:rFonts w:ascii="宋体" w:hAnsi="宋体" w:eastAsia="宋体" w:cs="宋体"/>
                <w:kern w:val="0"/>
                <w:szCs w:val="21"/>
              </w:rPr>
              <w:t>环境保护标委会</w:t>
            </w:r>
          </w:p>
        </w:tc>
        <w:tc>
          <w:tcPr>
            <w:tcW w:w="2799" w:type="dxa"/>
            <w:vAlign w:val="center"/>
          </w:tcPr>
          <w:p>
            <w:pPr>
              <w:rPr>
                <w:rFonts w:hint="eastAsia" w:ascii="宋体" w:hAnsi="宋体" w:eastAsia="宋体" w:cs="宋体"/>
                <w:kern w:val="0"/>
                <w:szCs w:val="21"/>
              </w:rPr>
            </w:pPr>
            <w:r>
              <w:rPr>
                <w:rFonts w:ascii="宋体" w:hAnsi="宋体" w:eastAsia="宋体" w:cs="宋体"/>
                <w:kern w:val="0"/>
                <w:szCs w:val="21"/>
              </w:rPr>
              <w:t>交通运输部天津水运工程科学研究所、交通运输部长江口航道管理局、长江航道规划设计研究院</w:t>
            </w:r>
          </w:p>
        </w:tc>
      </w:tr>
    </w:tbl>
    <w:p>
      <w:pPr>
        <w:widowControl/>
        <w:jc w:val="left"/>
        <w:rPr>
          <w:rFonts w:hint="eastAsia" w:ascii="黑体" w:hAnsi="黑体" w:eastAsia="黑体" w:cs="Times New Roman"/>
          <w:b/>
          <w:bCs/>
          <w:sz w:val="32"/>
          <w:szCs w:val="32"/>
        </w:rPr>
      </w:pPr>
    </w:p>
    <w:p>
      <w:pPr>
        <w:spacing w:line="360" w:lineRule="auto"/>
        <w:rPr>
          <w:rFonts w:hint="eastAsia" w:ascii="黑体" w:hAnsi="黑体" w:eastAsia="黑体" w:cs="Times New Roman"/>
          <w:b/>
          <w:bCs/>
          <w:sz w:val="32"/>
          <w:szCs w:val="32"/>
        </w:rPr>
      </w:pPr>
      <w:r>
        <w:rPr>
          <w:rFonts w:hint="eastAsia" w:ascii="黑体" w:hAnsi="黑体" w:eastAsia="黑体" w:cs="Times New Roman"/>
          <w:b/>
          <w:bCs/>
          <w:sz w:val="32"/>
          <w:szCs w:val="32"/>
        </w:rPr>
        <w:t>二、行业标准外文版</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713"/>
        <w:gridCol w:w="1577"/>
        <w:gridCol w:w="3300"/>
        <w:gridCol w:w="1723"/>
        <w:gridCol w:w="860"/>
        <w:gridCol w:w="1577"/>
        <w:gridCol w:w="2752"/>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tblHeader/>
        </w:trPr>
        <w:tc>
          <w:tcPr>
            <w:tcW w:w="233" w:type="pct"/>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序号</w:t>
            </w:r>
          </w:p>
        </w:tc>
        <w:tc>
          <w:tcPr>
            <w:tcW w:w="515" w:type="pct"/>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计划编号</w:t>
            </w:r>
          </w:p>
        </w:tc>
        <w:tc>
          <w:tcPr>
            <w:tcW w:w="1078" w:type="pct"/>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标准名称</w:t>
            </w:r>
          </w:p>
        </w:tc>
        <w:tc>
          <w:tcPr>
            <w:tcW w:w="563" w:type="pct"/>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标准编号</w:t>
            </w:r>
          </w:p>
        </w:tc>
        <w:tc>
          <w:tcPr>
            <w:tcW w:w="281" w:type="pct"/>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语种</w:t>
            </w:r>
          </w:p>
        </w:tc>
        <w:tc>
          <w:tcPr>
            <w:tcW w:w="515" w:type="pct"/>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完成周期(月)</w:t>
            </w:r>
          </w:p>
        </w:tc>
        <w:tc>
          <w:tcPr>
            <w:tcW w:w="899" w:type="pct"/>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技术归口单位</w:t>
            </w:r>
          </w:p>
        </w:tc>
        <w:tc>
          <w:tcPr>
            <w:tcW w:w="916" w:type="pct"/>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翻译主要承担单位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trPr>
        <w:tc>
          <w:tcPr>
            <w:tcW w:w="233" w:type="pct"/>
            <w:vAlign w:val="center"/>
          </w:tcPr>
          <w:p>
            <w:pPr>
              <w:pStyle w:val="28"/>
              <w:numPr>
                <w:ilvl w:val="0"/>
                <w:numId w:val="1"/>
              </w:numPr>
              <w:ind w:firstLineChars="0"/>
              <w:jc w:val="center"/>
              <w:rPr>
                <w:rFonts w:hint="eastAsia" w:ascii="宋体" w:hAnsi="宋体" w:eastAsia="宋体" w:cs="Times New Roman"/>
                <w:bCs/>
                <w:kern w:val="0"/>
                <w:szCs w:val="21"/>
              </w:rPr>
            </w:pPr>
          </w:p>
        </w:tc>
        <w:tc>
          <w:tcPr>
            <w:tcW w:w="515" w:type="pct"/>
            <w:vAlign w:val="center"/>
          </w:tcPr>
          <w:p>
            <w:pPr>
              <w:jc w:val="center"/>
              <w:rPr>
                <w:rFonts w:hint="eastAsia" w:ascii="宋体" w:hAnsi="宋体" w:eastAsia="宋体" w:cs="Times New Roman"/>
                <w:kern w:val="0"/>
                <w:szCs w:val="21"/>
              </w:rPr>
            </w:pPr>
            <w:r>
              <w:rPr>
                <w:rFonts w:hint="eastAsia" w:ascii="宋体" w:hAnsi="宋体" w:eastAsia="宋体" w:cs="Times New Roman"/>
                <w:kern w:val="0"/>
                <w:szCs w:val="21"/>
              </w:rPr>
              <w:t>J</w:t>
            </w:r>
            <w:r>
              <w:rPr>
                <w:rFonts w:ascii="宋体" w:hAnsi="宋体" w:eastAsia="宋体" w:cs="Times New Roman"/>
                <w:kern w:val="0"/>
                <w:szCs w:val="21"/>
              </w:rPr>
              <w:t>TW 202</w:t>
            </w:r>
            <w:r>
              <w:rPr>
                <w:rFonts w:hint="eastAsia" w:ascii="宋体" w:hAnsi="宋体" w:eastAsia="宋体" w:cs="Times New Roman"/>
                <w:kern w:val="0"/>
                <w:szCs w:val="21"/>
              </w:rPr>
              <w:t>4</w:t>
            </w:r>
            <w:r>
              <w:rPr>
                <w:rFonts w:ascii="宋体" w:hAnsi="宋体" w:eastAsia="宋体" w:cs="Times New Roman"/>
                <w:kern w:val="0"/>
                <w:szCs w:val="21"/>
              </w:rPr>
              <w:t>-01</w:t>
            </w:r>
          </w:p>
        </w:tc>
        <w:tc>
          <w:tcPr>
            <w:tcW w:w="1078" w:type="pct"/>
            <w:vAlign w:val="center"/>
          </w:tcPr>
          <w:p>
            <w:pPr>
              <w:rPr>
                <w:rFonts w:hint="eastAsia" w:ascii="宋体" w:hAnsi="宋体" w:eastAsia="宋体" w:cs="Times New Roman"/>
                <w:kern w:val="0"/>
                <w:szCs w:val="21"/>
              </w:rPr>
            </w:pPr>
            <w:r>
              <w:rPr>
                <w:rFonts w:ascii="宋体" w:hAnsi="宋体" w:eastAsia="宋体" w:cs="Times New Roman"/>
                <w:kern w:val="0"/>
                <w:szCs w:val="21"/>
              </w:rPr>
              <w:t>散粮港口作业减损技术要求</w:t>
            </w:r>
          </w:p>
        </w:tc>
        <w:tc>
          <w:tcPr>
            <w:tcW w:w="563" w:type="pct"/>
            <w:vAlign w:val="center"/>
          </w:tcPr>
          <w:p>
            <w:pPr>
              <w:widowControl/>
              <w:jc w:val="center"/>
              <w:rPr>
                <w:rFonts w:hint="eastAsia" w:ascii="宋体" w:hAnsi="宋体" w:eastAsia="宋体" w:cs="Times New Roman"/>
                <w:kern w:val="0"/>
                <w:szCs w:val="21"/>
              </w:rPr>
            </w:pPr>
            <w:r>
              <w:rPr>
                <w:rFonts w:ascii="宋体" w:hAnsi="宋体" w:eastAsia="宋体" w:cs="Times New Roman"/>
                <w:kern w:val="0"/>
                <w:szCs w:val="21"/>
              </w:rPr>
              <w:t>JT/T 1491</w:t>
            </w:r>
            <w:r>
              <w:rPr>
                <w:rFonts w:hint="eastAsia" w:ascii="宋体" w:hAnsi="宋体" w:eastAsia="宋体" w:cs="Times New Roman"/>
                <w:kern w:val="0"/>
                <w:szCs w:val="21"/>
              </w:rPr>
              <w:t>—</w:t>
            </w:r>
            <w:r>
              <w:rPr>
                <w:rFonts w:ascii="宋体" w:hAnsi="宋体" w:eastAsia="宋体" w:cs="Times New Roman"/>
                <w:kern w:val="0"/>
                <w:szCs w:val="21"/>
              </w:rPr>
              <w:t>2024</w:t>
            </w:r>
          </w:p>
        </w:tc>
        <w:tc>
          <w:tcPr>
            <w:tcW w:w="281" w:type="pct"/>
            <w:vAlign w:val="center"/>
          </w:tcPr>
          <w:p>
            <w:pPr>
              <w:jc w:val="center"/>
              <w:rPr>
                <w:rFonts w:hint="eastAsia" w:ascii="宋体" w:hAnsi="宋体" w:eastAsia="宋体" w:cs="Times New Roman"/>
                <w:bCs/>
                <w:kern w:val="0"/>
                <w:szCs w:val="21"/>
              </w:rPr>
            </w:pPr>
            <w:r>
              <w:rPr>
                <w:rFonts w:hint="eastAsia" w:ascii="宋体" w:hAnsi="宋体" w:eastAsia="宋体" w:cs="Times New Roman"/>
                <w:kern w:val="0"/>
                <w:szCs w:val="21"/>
              </w:rPr>
              <w:t>英文</w:t>
            </w:r>
          </w:p>
        </w:tc>
        <w:tc>
          <w:tcPr>
            <w:tcW w:w="515" w:type="pct"/>
            <w:vAlign w:val="center"/>
          </w:tcPr>
          <w:p>
            <w:pPr>
              <w:jc w:val="center"/>
              <w:rPr>
                <w:rFonts w:hint="eastAsia" w:ascii="宋体" w:hAnsi="宋体" w:eastAsia="宋体" w:cs="Times New Roman"/>
                <w:bCs/>
                <w:kern w:val="0"/>
                <w:szCs w:val="21"/>
              </w:rPr>
            </w:pPr>
            <w:r>
              <w:rPr>
                <w:rFonts w:hint="eastAsia" w:ascii="宋体" w:hAnsi="宋体" w:eastAsia="宋体" w:cs="Times New Roman"/>
                <w:kern w:val="0"/>
                <w:szCs w:val="21"/>
              </w:rPr>
              <w:t>12</w:t>
            </w:r>
          </w:p>
        </w:tc>
        <w:tc>
          <w:tcPr>
            <w:tcW w:w="899" w:type="pct"/>
            <w:vAlign w:val="center"/>
          </w:tcPr>
          <w:p>
            <w:pPr>
              <w:jc w:val="center"/>
              <w:rPr>
                <w:rFonts w:hint="eastAsia" w:ascii="宋体" w:hAnsi="宋体" w:eastAsia="宋体" w:cs="Times New Roman"/>
                <w:bCs/>
                <w:kern w:val="0"/>
                <w:szCs w:val="21"/>
              </w:rPr>
            </w:pPr>
            <w:r>
              <w:rPr>
                <w:rFonts w:hint="eastAsia" w:ascii="宋体" w:hAnsi="宋体" w:eastAsia="宋体" w:cs="Times New Roman"/>
                <w:kern w:val="0"/>
                <w:szCs w:val="21"/>
              </w:rPr>
              <w:t>港口标委会</w:t>
            </w:r>
          </w:p>
        </w:tc>
        <w:tc>
          <w:tcPr>
            <w:tcW w:w="916" w:type="pct"/>
            <w:vAlign w:val="center"/>
          </w:tcPr>
          <w:p>
            <w:pPr>
              <w:rPr>
                <w:rFonts w:hint="eastAsia" w:ascii="宋体" w:hAnsi="宋体" w:eastAsia="宋体" w:cs="Times New Roman"/>
                <w:bCs/>
                <w:kern w:val="0"/>
                <w:szCs w:val="21"/>
              </w:rPr>
            </w:pPr>
            <w:r>
              <w:rPr>
                <w:rFonts w:hint="eastAsia" w:ascii="宋体" w:hAnsi="宋体" w:eastAsia="宋体" w:cs="宋体"/>
                <w:kern w:val="0"/>
                <w:szCs w:val="21"/>
              </w:rPr>
              <w:t>交通运输部水运科学研究所</w:t>
            </w:r>
          </w:p>
        </w:tc>
      </w:tr>
    </w:tbl>
    <w:p>
      <w:pPr>
        <w:rPr>
          <w:rFonts w:hint="eastAsia" w:ascii="黑体" w:hAnsi="黑体" w:eastAsia="黑体" w:cs="Times New Roman"/>
          <w:b/>
          <w:bCs/>
          <w:sz w:val="32"/>
          <w:szCs w:val="32"/>
        </w:rPr>
      </w:pPr>
    </w:p>
    <w:p>
      <w:pPr>
        <w:spacing w:line="360" w:lineRule="auto"/>
        <w:rPr>
          <w:rFonts w:hint="eastAsia" w:ascii="黑体" w:hAnsi="黑体" w:eastAsia="黑体" w:cs="Times New Roman"/>
          <w:b/>
          <w:bCs/>
          <w:sz w:val="32"/>
          <w:szCs w:val="32"/>
        </w:rPr>
      </w:pPr>
      <w:r>
        <w:rPr>
          <w:rFonts w:hint="eastAsia" w:ascii="黑体" w:hAnsi="黑体" w:eastAsia="黑体" w:cs="Times New Roman"/>
          <w:b/>
          <w:bCs/>
          <w:sz w:val="32"/>
          <w:szCs w:val="32"/>
        </w:rPr>
        <w:t>三、部门计量检定规程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621"/>
        <w:gridCol w:w="1381"/>
        <w:gridCol w:w="1494"/>
        <w:gridCol w:w="4243"/>
        <w:gridCol w:w="719"/>
        <w:gridCol w:w="1148"/>
        <w:gridCol w:w="1148"/>
        <w:gridCol w:w="1720"/>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tblHeader/>
        </w:trPr>
        <w:tc>
          <w:tcPr>
            <w:tcW w:w="203" w:type="pct"/>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序号</w:t>
            </w:r>
          </w:p>
        </w:tc>
        <w:tc>
          <w:tcPr>
            <w:tcW w:w="451" w:type="pct"/>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计划编号</w:t>
            </w:r>
          </w:p>
        </w:tc>
        <w:tc>
          <w:tcPr>
            <w:tcW w:w="488" w:type="pct"/>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项目名称</w:t>
            </w:r>
          </w:p>
        </w:tc>
        <w:tc>
          <w:tcPr>
            <w:tcW w:w="1386" w:type="pct"/>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范围和主要技术内容</w:t>
            </w:r>
          </w:p>
        </w:tc>
        <w:tc>
          <w:tcPr>
            <w:tcW w:w="235" w:type="pct"/>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制修订</w:t>
            </w:r>
          </w:p>
        </w:tc>
        <w:tc>
          <w:tcPr>
            <w:tcW w:w="375" w:type="pct"/>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代替规程</w:t>
            </w:r>
          </w:p>
        </w:tc>
        <w:tc>
          <w:tcPr>
            <w:tcW w:w="375" w:type="pct"/>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完成周期(月)</w:t>
            </w:r>
          </w:p>
        </w:tc>
        <w:tc>
          <w:tcPr>
            <w:tcW w:w="562" w:type="pct"/>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技术归口单位</w:t>
            </w:r>
          </w:p>
        </w:tc>
        <w:tc>
          <w:tcPr>
            <w:tcW w:w="925" w:type="pct"/>
            <w:vAlign w:val="center"/>
          </w:tcPr>
          <w:p>
            <w:pPr>
              <w:jc w:val="center"/>
              <w:rPr>
                <w:rFonts w:hint="eastAsia" w:ascii="宋体" w:hAnsi="宋体" w:eastAsia="宋体" w:cs="Times New Roman"/>
                <w:b/>
                <w:bCs/>
                <w:kern w:val="0"/>
                <w:szCs w:val="21"/>
              </w:rPr>
            </w:pPr>
            <w:r>
              <w:rPr>
                <w:rFonts w:hint="eastAsia" w:ascii="宋体" w:hAnsi="宋体" w:eastAsia="宋体" w:cs="Times New Roman"/>
                <w:b/>
                <w:bCs/>
                <w:kern w:val="0"/>
                <w:szCs w:val="21"/>
              </w:rPr>
              <w:t>主要起草单位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trPr>
        <w:tc>
          <w:tcPr>
            <w:tcW w:w="203" w:type="pct"/>
            <w:vAlign w:val="center"/>
          </w:tcPr>
          <w:p>
            <w:pPr>
              <w:jc w:val="center"/>
              <w:rPr>
                <w:rFonts w:hint="eastAsia" w:ascii="宋体" w:hAnsi="宋体" w:eastAsia="宋体" w:cs="Times New Roman"/>
                <w:bCs/>
                <w:kern w:val="0"/>
                <w:szCs w:val="21"/>
              </w:rPr>
            </w:pPr>
            <w:r>
              <w:rPr>
                <w:rFonts w:ascii="宋体" w:hAnsi="宋体" w:eastAsia="宋体" w:cs="Times New Roman"/>
                <w:bCs/>
                <w:kern w:val="0"/>
                <w:szCs w:val="21"/>
              </w:rPr>
              <w:t>1</w:t>
            </w:r>
          </w:p>
        </w:tc>
        <w:tc>
          <w:tcPr>
            <w:tcW w:w="451" w:type="pct"/>
            <w:vAlign w:val="center"/>
          </w:tcPr>
          <w:p>
            <w:pPr>
              <w:jc w:val="center"/>
              <w:rPr>
                <w:rFonts w:hint="eastAsia" w:ascii="宋体" w:hAnsi="宋体" w:eastAsia="宋体" w:cs="Times New Roman"/>
                <w:kern w:val="0"/>
                <w:szCs w:val="21"/>
              </w:rPr>
            </w:pPr>
            <w:r>
              <w:rPr>
                <w:rFonts w:hint="eastAsia" w:ascii="宋体" w:hAnsi="宋体" w:eastAsia="宋体"/>
                <w:kern w:val="0"/>
                <w:szCs w:val="21"/>
              </w:rPr>
              <w:t>JJG 2024-01</w:t>
            </w:r>
          </w:p>
        </w:tc>
        <w:tc>
          <w:tcPr>
            <w:tcW w:w="488" w:type="pct"/>
            <w:vAlign w:val="center"/>
          </w:tcPr>
          <w:p>
            <w:pPr>
              <w:jc w:val="left"/>
              <w:rPr>
                <w:rFonts w:hint="eastAsia" w:ascii="宋体" w:hAnsi="宋体" w:eastAsia="宋体"/>
                <w:kern w:val="0"/>
                <w:szCs w:val="21"/>
              </w:rPr>
            </w:pPr>
            <w:r>
              <w:rPr>
                <w:rFonts w:ascii="宋体" w:hAnsi="宋体" w:eastAsia="宋体"/>
                <w:kern w:val="0"/>
                <w:szCs w:val="21"/>
              </w:rPr>
              <w:t>沥青弯曲梁流变仪</w:t>
            </w:r>
          </w:p>
        </w:tc>
        <w:tc>
          <w:tcPr>
            <w:tcW w:w="1386" w:type="pct"/>
            <w:vAlign w:val="center"/>
          </w:tcPr>
          <w:p>
            <w:pPr>
              <w:rPr>
                <w:rFonts w:hint="eastAsia" w:ascii="宋体" w:hAnsi="宋体" w:eastAsia="宋体" w:cs="Times New Roman"/>
                <w:kern w:val="0"/>
                <w:szCs w:val="21"/>
              </w:rPr>
            </w:pPr>
            <w:r>
              <w:rPr>
                <w:rFonts w:ascii="宋体" w:hAnsi="宋体" w:eastAsia="宋体" w:cs="Times New Roman"/>
                <w:kern w:val="0"/>
                <w:szCs w:val="21"/>
              </w:rPr>
              <w:t>拟规定沥青弯曲梁流变仪的概述、计量性能要求、通用技术要求、计量器具控制等。</w:t>
            </w:r>
          </w:p>
          <w:p>
            <w:pPr>
              <w:rPr>
                <w:rFonts w:hint="eastAsia" w:ascii="宋体" w:hAnsi="宋体" w:eastAsia="宋体" w:cs="Times New Roman"/>
                <w:kern w:val="0"/>
                <w:szCs w:val="21"/>
              </w:rPr>
            </w:pPr>
            <w:r>
              <w:rPr>
                <w:rFonts w:ascii="宋体" w:hAnsi="宋体" w:eastAsia="宋体" w:cs="Times New Roman"/>
                <w:kern w:val="0"/>
                <w:szCs w:val="21"/>
              </w:rPr>
              <w:t>适用于沥青弯曲梁流变仪的首次检定、后续检定和使用中检验。</w:t>
            </w:r>
          </w:p>
        </w:tc>
        <w:tc>
          <w:tcPr>
            <w:tcW w:w="235" w:type="pct"/>
            <w:vAlign w:val="center"/>
          </w:tcPr>
          <w:p>
            <w:pPr>
              <w:widowControl/>
              <w:jc w:val="center"/>
              <w:rPr>
                <w:rFonts w:hint="eastAsia" w:ascii="宋体" w:hAnsi="宋体" w:eastAsia="宋体" w:cs="Times New Roman"/>
                <w:kern w:val="0"/>
                <w:szCs w:val="21"/>
              </w:rPr>
            </w:pPr>
            <w:r>
              <w:rPr>
                <w:rFonts w:hint="eastAsia" w:ascii="宋体" w:hAnsi="宋体" w:eastAsia="宋体" w:cs="Times New Roman"/>
                <w:kern w:val="0"/>
                <w:szCs w:val="21"/>
              </w:rPr>
              <w:t>制定</w:t>
            </w:r>
          </w:p>
        </w:tc>
        <w:tc>
          <w:tcPr>
            <w:tcW w:w="375" w:type="pct"/>
            <w:vAlign w:val="center"/>
          </w:tcPr>
          <w:p>
            <w:pPr>
              <w:widowControl/>
              <w:jc w:val="center"/>
              <w:rPr>
                <w:rFonts w:hint="eastAsia" w:ascii="宋体" w:hAnsi="宋体" w:eastAsia="宋体" w:cs="Times New Roman"/>
                <w:kern w:val="0"/>
                <w:szCs w:val="21"/>
              </w:rPr>
            </w:pPr>
          </w:p>
        </w:tc>
        <w:tc>
          <w:tcPr>
            <w:tcW w:w="375" w:type="pct"/>
            <w:vAlign w:val="center"/>
          </w:tcPr>
          <w:p>
            <w:pPr>
              <w:jc w:val="center"/>
              <w:rPr>
                <w:rFonts w:hint="eastAsia" w:ascii="宋体" w:hAnsi="宋体" w:eastAsia="宋体" w:cs="Times New Roman"/>
                <w:kern w:val="0"/>
                <w:szCs w:val="21"/>
              </w:rPr>
            </w:pPr>
            <w:r>
              <w:rPr>
                <w:rFonts w:hint="eastAsia" w:ascii="宋体" w:hAnsi="宋体" w:eastAsia="宋体" w:cs="Times New Roman"/>
                <w:kern w:val="0"/>
                <w:szCs w:val="21"/>
              </w:rPr>
              <w:t>12</w:t>
            </w:r>
          </w:p>
        </w:tc>
        <w:tc>
          <w:tcPr>
            <w:tcW w:w="562" w:type="pct"/>
            <w:vAlign w:val="center"/>
          </w:tcPr>
          <w:p>
            <w:pPr>
              <w:jc w:val="center"/>
              <w:rPr>
                <w:rFonts w:hint="eastAsia" w:ascii="宋体" w:hAnsi="宋体" w:eastAsia="宋体" w:cs="Times New Roman"/>
                <w:kern w:val="0"/>
                <w:szCs w:val="21"/>
              </w:rPr>
            </w:pPr>
            <w:r>
              <w:rPr>
                <w:rFonts w:hint="eastAsia" w:ascii="宋体" w:hAnsi="宋体" w:eastAsia="宋体" w:cs="Times New Roman"/>
                <w:kern w:val="0"/>
                <w:szCs w:val="21"/>
              </w:rPr>
              <w:t>公路计量委员会</w:t>
            </w:r>
          </w:p>
        </w:tc>
        <w:tc>
          <w:tcPr>
            <w:tcW w:w="925" w:type="pct"/>
            <w:vAlign w:val="center"/>
          </w:tcPr>
          <w:p>
            <w:pPr>
              <w:jc w:val="left"/>
              <w:rPr>
                <w:rFonts w:hint="eastAsia" w:ascii="宋体" w:hAnsi="宋体" w:eastAsia="宋体"/>
                <w:kern w:val="0"/>
                <w:szCs w:val="21"/>
              </w:rPr>
            </w:pPr>
            <w:r>
              <w:rPr>
                <w:rFonts w:ascii="宋体" w:hAnsi="宋体" w:eastAsia="宋体"/>
                <w:kern w:val="0"/>
                <w:szCs w:val="21"/>
              </w:rPr>
              <w:t>福建省交通科研院有限公司、交通运输部公路科学研究所、广东华路交通科技有限公司、江西省交通工程质量监督站试验检测中心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trPr>
        <w:tc>
          <w:tcPr>
            <w:tcW w:w="203" w:type="pct"/>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2</w:t>
            </w:r>
          </w:p>
        </w:tc>
        <w:tc>
          <w:tcPr>
            <w:tcW w:w="451" w:type="pct"/>
            <w:vAlign w:val="center"/>
          </w:tcPr>
          <w:p>
            <w:pPr>
              <w:jc w:val="center"/>
              <w:rPr>
                <w:rFonts w:hint="eastAsia" w:ascii="宋体" w:hAnsi="宋体" w:eastAsia="宋体" w:cs="Times New Roman"/>
                <w:kern w:val="0"/>
                <w:szCs w:val="21"/>
              </w:rPr>
            </w:pPr>
            <w:r>
              <w:rPr>
                <w:rFonts w:hint="eastAsia" w:ascii="宋体" w:hAnsi="宋体" w:eastAsia="宋体"/>
                <w:kern w:val="0"/>
                <w:szCs w:val="21"/>
              </w:rPr>
              <w:t>JJG 2024-02</w:t>
            </w:r>
          </w:p>
        </w:tc>
        <w:tc>
          <w:tcPr>
            <w:tcW w:w="488" w:type="pct"/>
            <w:vAlign w:val="center"/>
          </w:tcPr>
          <w:p>
            <w:pPr>
              <w:jc w:val="left"/>
              <w:rPr>
                <w:rFonts w:hint="eastAsia" w:ascii="宋体" w:hAnsi="宋体" w:eastAsia="宋体"/>
                <w:kern w:val="0"/>
                <w:szCs w:val="21"/>
              </w:rPr>
            </w:pPr>
            <w:r>
              <w:rPr>
                <w:rFonts w:ascii="宋体" w:hAnsi="宋体" w:eastAsia="宋体"/>
                <w:kern w:val="0"/>
                <w:szCs w:val="21"/>
              </w:rPr>
              <w:t>垂直渗透系数测定仪</w:t>
            </w:r>
          </w:p>
        </w:tc>
        <w:tc>
          <w:tcPr>
            <w:tcW w:w="1386" w:type="pct"/>
            <w:vAlign w:val="center"/>
          </w:tcPr>
          <w:p>
            <w:pPr>
              <w:rPr>
                <w:rFonts w:hint="eastAsia" w:ascii="宋体" w:hAnsi="宋体" w:eastAsia="宋体" w:cs="Times New Roman"/>
                <w:kern w:val="0"/>
                <w:szCs w:val="21"/>
              </w:rPr>
            </w:pPr>
            <w:r>
              <w:rPr>
                <w:rFonts w:ascii="宋体" w:hAnsi="宋体" w:eastAsia="宋体" w:cs="Times New Roman"/>
                <w:kern w:val="0"/>
                <w:szCs w:val="21"/>
              </w:rPr>
              <w:t>拟规定垂直渗透系数测定仪的概述、计量性能要求、通用技术要求、计量器具控制、检定方法、检定结果处理、检定周期等。</w:t>
            </w:r>
          </w:p>
          <w:p>
            <w:pPr>
              <w:rPr>
                <w:rFonts w:hint="eastAsia" w:ascii="宋体" w:hAnsi="宋体" w:eastAsia="宋体" w:cs="Times New Roman"/>
                <w:kern w:val="0"/>
                <w:szCs w:val="21"/>
              </w:rPr>
            </w:pPr>
            <w:r>
              <w:rPr>
                <w:rFonts w:ascii="宋体" w:hAnsi="宋体" w:eastAsia="宋体" w:cs="Times New Roman"/>
                <w:kern w:val="0"/>
                <w:szCs w:val="21"/>
              </w:rPr>
              <w:t>适用于垂直渗透系数测定仪的首次检定、后续检定和使用中检验。</w:t>
            </w:r>
          </w:p>
        </w:tc>
        <w:tc>
          <w:tcPr>
            <w:tcW w:w="235" w:type="pct"/>
            <w:vAlign w:val="center"/>
          </w:tcPr>
          <w:p>
            <w:pPr>
              <w:jc w:val="center"/>
              <w:rPr>
                <w:rFonts w:hint="eastAsia" w:ascii="宋体" w:hAnsi="宋体" w:eastAsia="宋体" w:cs="Times New Roman"/>
                <w:bCs/>
                <w:kern w:val="0"/>
                <w:szCs w:val="21"/>
              </w:rPr>
            </w:pPr>
            <w:r>
              <w:rPr>
                <w:rFonts w:hint="eastAsia" w:ascii="宋体" w:hAnsi="宋体" w:eastAsia="宋体" w:cs="Times New Roman"/>
                <w:kern w:val="0"/>
                <w:szCs w:val="21"/>
              </w:rPr>
              <w:t>制定</w:t>
            </w:r>
          </w:p>
        </w:tc>
        <w:tc>
          <w:tcPr>
            <w:tcW w:w="375" w:type="pct"/>
            <w:vAlign w:val="center"/>
          </w:tcPr>
          <w:p>
            <w:pPr>
              <w:jc w:val="center"/>
              <w:rPr>
                <w:rFonts w:hint="eastAsia" w:ascii="宋体" w:hAnsi="宋体" w:eastAsia="宋体" w:cs="Times New Roman"/>
                <w:bCs/>
                <w:kern w:val="0"/>
                <w:szCs w:val="21"/>
              </w:rPr>
            </w:pPr>
          </w:p>
        </w:tc>
        <w:tc>
          <w:tcPr>
            <w:tcW w:w="375" w:type="pct"/>
            <w:vAlign w:val="center"/>
          </w:tcPr>
          <w:p>
            <w:pPr>
              <w:jc w:val="center"/>
              <w:rPr>
                <w:rFonts w:hint="eastAsia" w:ascii="宋体" w:hAnsi="宋体" w:eastAsia="宋体" w:cs="Times New Roman"/>
                <w:bCs/>
                <w:kern w:val="0"/>
                <w:szCs w:val="21"/>
              </w:rPr>
            </w:pPr>
            <w:r>
              <w:rPr>
                <w:rFonts w:hint="eastAsia" w:ascii="宋体" w:hAnsi="宋体" w:eastAsia="宋体" w:cs="Times New Roman"/>
                <w:kern w:val="0"/>
                <w:szCs w:val="21"/>
              </w:rPr>
              <w:t>12</w:t>
            </w:r>
          </w:p>
        </w:tc>
        <w:tc>
          <w:tcPr>
            <w:tcW w:w="562" w:type="pct"/>
            <w:vAlign w:val="center"/>
          </w:tcPr>
          <w:p>
            <w:pPr>
              <w:jc w:val="center"/>
              <w:rPr>
                <w:rFonts w:hint="eastAsia" w:ascii="宋体" w:hAnsi="宋体" w:eastAsia="宋体" w:cs="Times New Roman"/>
                <w:bCs/>
                <w:kern w:val="0"/>
                <w:szCs w:val="21"/>
              </w:rPr>
            </w:pPr>
            <w:r>
              <w:rPr>
                <w:rFonts w:hint="eastAsia" w:ascii="宋体" w:hAnsi="宋体" w:eastAsia="宋体" w:cs="Times New Roman"/>
                <w:kern w:val="0"/>
                <w:szCs w:val="21"/>
              </w:rPr>
              <w:t>公路计量委员会</w:t>
            </w:r>
          </w:p>
        </w:tc>
        <w:tc>
          <w:tcPr>
            <w:tcW w:w="925" w:type="pct"/>
            <w:vAlign w:val="center"/>
          </w:tcPr>
          <w:p>
            <w:pPr>
              <w:jc w:val="left"/>
              <w:rPr>
                <w:rFonts w:hint="eastAsia" w:ascii="宋体" w:hAnsi="宋体" w:eastAsia="宋体"/>
                <w:kern w:val="0"/>
                <w:szCs w:val="21"/>
              </w:rPr>
            </w:pPr>
            <w:r>
              <w:rPr>
                <w:rFonts w:ascii="宋体" w:hAnsi="宋体" w:eastAsia="宋体"/>
                <w:kern w:val="0"/>
                <w:szCs w:val="21"/>
              </w:rPr>
              <w:t>天津市交通科学研究院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trPr>
        <w:tc>
          <w:tcPr>
            <w:tcW w:w="203" w:type="pct"/>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3</w:t>
            </w:r>
          </w:p>
        </w:tc>
        <w:tc>
          <w:tcPr>
            <w:tcW w:w="451" w:type="pct"/>
            <w:vAlign w:val="center"/>
          </w:tcPr>
          <w:p>
            <w:pPr>
              <w:jc w:val="center"/>
              <w:rPr>
                <w:rFonts w:hint="eastAsia" w:ascii="宋体" w:hAnsi="宋体" w:eastAsia="宋体" w:cs="Times New Roman"/>
                <w:kern w:val="0"/>
                <w:szCs w:val="21"/>
              </w:rPr>
            </w:pPr>
            <w:r>
              <w:rPr>
                <w:rFonts w:hint="eastAsia" w:ascii="宋体" w:hAnsi="宋体" w:eastAsia="宋体"/>
                <w:kern w:val="0"/>
                <w:szCs w:val="21"/>
              </w:rPr>
              <w:t>JJG 2024-03</w:t>
            </w:r>
          </w:p>
        </w:tc>
        <w:tc>
          <w:tcPr>
            <w:tcW w:w="488" w:type="pct"/>
            <w:vAlign w:val="center"/>
          </w:tcPr>
          <w:p>
            <w:pPr>
              <w:jc w:val="left"/>
              <w:rPr>
                <w:rFonts w:hint="eastAsia" w:ascii="宋体" w:hAnsi="宋体" w:eastAsia="宋体"/>
                <w:kern w:val="0"/>
                <w:szCs w:val="21"/>
              </w:rPr>
            </w:pPr>
            <w:r>
              <w:rPr>
                <w:rFonts w:ascii="宋体" w:hAnsi="宋体" w:eastAsia="宋体"/>
                <w:kern w:val="0"/>
                <w:szCs w:val="21"/>
              </w:rPr>
              <w:t>沥青混合料真空密度测试仪</w:t>
            </w:r>
          </w:p>
        </w:tc>
        <w:tc>
          <w:tcPr>
            <w:tcW w:w="1386" w:type="pct"/>
            <w:vAlign w:val="center"/>
          </w:tcPr>
          <w:p>
            <w:pPr>
              <w:rPr>
                <w:rFonts w:hint="eastAsia" w:ascii="宋体" w:hAnsi="宋体" w:eastAsia="宋体" w:cs="Times New Roman"/>
                <w:kern w:val="0"/>
                <w:szCs w:val="21"/>
              </w:rPr>
            </w:pPr>
            <w:r>
              <w:rPr>
                <w:rFonts w:ascii="宋体" w:hAnsi="宋体" w:eastAsia="宋体" w:cs="Times New Roman"/>
                <w:kern w:val="0"/>
                <w:szCs w:val="21"/>
              </w:rPr>
              <w:t>拟规定沥青混合料真空密度测试仪的概述、计量性能要求、通用技术要求、计量器具控制等。</w:t>
            </w:r>
          </w:p>
          <w:p>
            <w:pPr>
              <w:rPr>
                <w:rFonts w:hint="eastAsia" w:ascii="宋体" w:hAnsi="宋体" w:eastAsia="宋体" w:cs="Times New Roman"/>
                <w:kern w:val="0"/>
                <w:szCs w:val="21"/>
              </w:rPr>
            </w:pPr>
            <w:r>
              <w:rPr>
                <w:rFonts w:ascii="宋体" w:hAnsi="宋体" w:eastAsia="宋体" w:cs="Times New Roman"/>
                <w:kern w:val="0"/>
                <w:szCs w:val="21"/>
              </w:rPr>
              <w:t>适用于沥青混合料真空密度测试仪的首次检定、后续检定和使用中检查。</w:t>
            </w:r>
          </w:p>
        </w:tc>
        <w:tc>
          <w:tcPr>
            <w:tcW w:w="235" w:type="pct"/>
            <w:vAlign w:val="center"/>
          </w:tcPr>
          <w:p>
            <w:pPr>
              <w:jc w:val="center"/>
              <w:rPr>
                <w:rFonts w:hint="eastAsia" w:ascii="宋体" w:hAnsi="宋体" w:eastAsia="宋体" w:cs="Times New Roman"/>
                <w:kern w:val="0"/>
                <w:szCs w:val="21"/>
              </w:rPr>
            </w:pPr>
            <w:r>
              <w:rPr>
                <w:rFonts w:hint="eastAsia" w:ascii="宋体" w:hAnsi="宋体" w:eastAsia="宋体" w:cs="Times New Roman"/>
                <w:kern w:val="0"/>
                <w:szCs w:val="21"/>
              </w:rPr>
              <w:t>制定</w:t>
            </w:r>
          </w:p>
        </w:tc>
        <w:tc>
          <w:tcPr>
            <w:tcW w:w="375" w:type="pct"/>
            <w:vAlign w:val="center"/>
          </w:tcPr>
          <w:p>
            <w:pPr>
              <w:jc w:val="center"/>
              <w:rPr>
                <w:rFonts w:hint="eastAsia" w:ascii="宋体" w:hAnsi="宋体" w:eastAsia="宋体" w:cs="Times New Roman"/>
                <w:bCs/>
                <w:kern w:val="0"/>
                <w:szCs w:val="21"/>
              </w:rPr>
            </w:pPr>
          </w:p>
        </w:tc>
        <w:tc>
          <w:tcPr>
            <w:tcW w:w="375" w:type="pct"/>
            <w:vAlign w:val="center"/>
          </w:tcPr>
          <w:p>
            <w:pPr>
              <w:jc w:val="center"/>
              <w:rPr>
                <w:rFonts w:hint="eastAsia" w:ascii="宋体" w:hAnsi="宋体" w:eastAsia="宋体" w:cs="Times New Roman"/>
                <w:kern w:val="0"/>
                <w:szCs w:val="21"/>
              </w:rPr>
            </w:pPr>
            <w:r>
              <w:rPr>
                <w:rFonts w:hint="eastAsia" w:ascii="宋体" w:hAnsi="宋体" w:eastAsia="宋体" w:cs="Times New Roman"/>
                <w:kern w:val="0"/>
                <w:szCs w:val="21"/>
              </w:rPr>
              <w:t>12</w:t>
            </w:r>
          </w:p>
        </w:tc>
        <w:tc>
          <w:tcPr>
            <w:tcW w:w="562" w:type="pct"/>
            <w:vAlign w:val="center"/>
          </w:tcPr>
          <w:p>
            <w:pPr>
              <w:jc w:val="center"/>
              <w:rPr>
                <w:rFonts w:hint="eastAsia" w:ascii="宋体" w:hAnsi="宋体" w:eastAsia="宋体" w:cs="Times New Roman"/>
                <w:kern w:val="0"/>
                <w:szCs w:val="21"/>
              </w:rPr>
            </w:pPr>
            <w:r>
              <w:rPr>
                <w:rFonts w:hint="eastAsia" w:ascii="宋体" w:hAnsi="宋体" w:eastAsia="宋体" w:cs="Times New Roman"/>
                <w:kern w:val="0"/>
                <w:szCs w:val="21"/>
              </w:rPr>
              <w:t>公路计量委员会</w:t>
            </w:r>
          </w:p>
        </w:tc>
        <w:tc>
          <w:tcPr>
            <w:tcW w:w="925" w:type="pct"/>
            <w:vAlign w:val="center"/>
          </w:tcPr>
          <w:p>
            <w:pPr>
              <w:jc w:val="left"/>
              <w:rPr>
                <w:rFonts w:hint="eastAsia" w:ascii="宋体" w:hAnsi="宋体" w:eastAsia="宋体"/>
                <w:kern w:val="0"/>
                <w:szCs w:val="21"/>
              </w:rPr>
            </w:pPr>
            <w:r>
              <w:rPr>
                <w:rFonts w:ascii="宋体" w:hAnsi="宋体" w:eastAsia="宋体"/>
                <w:kern w:val="0"/>
                <w:szCs w:val="21"/>
              </w:rPr>
              <w:t>交通运输部公路科学研究所、中路高科交通检测检验认证有限公司、安徽省高速公路试验检测科研中心有限公司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trPr>
        <w:tc>
          <w:tcPr>
            <w:tcW w:w="203" w:type="pct"/>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4</w:t>
            </w:r>
          </w:p>
        </w:tc>
        <w:tc>
          <w:tcPr>
            <w:tcW w:w="451" w:type="pct"/>
            <w:vAlign w:val="center"/>
          </w:tcPr>
          <w:p>
            <w:pPr>
              <w:jc w:val="center"/>
              <w:rPr>
                <w:rFonts w:hint="eastAsia" w:ascii="宋体" w:hAnsi="宋体" w:eastAsia="宋体" w:cs="Times New Roman"/>
                <w:kern w:val="0"/>
                <w:szCs w:val="21"/>
              </w:rPr>
            </w:pPr>
            <w:r>
              <w:rPr>
                <w:rFonts w:hint="eastAsia" w:ascii="宋体" w:hAnsi="宋体" w:eastAsia="宋体"/>
                <w:kern w:val="0"/>
                <w:szCs w:val="21"/>
              </w:rPr>
              <w:t>JJG 2024-04</w:t>
            </w:r>
          </w:p>
        </w:tc>
        <w:tc>
          <w:tcPr>
            <w:tcW w:w="488" w:type="pct"/>
            <w:vAlign w:val="center"/>
          </w:tcPr>
          <w:p>
            <w:pPr>
              <w:jc w:val="left"/>
              <w:rPr>
                <w:rFonts w:hint="eastAsia" w:ascii="宋体" w:hAnsi="宋体" w:eastAsia="宋体"/>
                <w:kern w:val="0"/>
                <w:szCs w:val="21"/>
              </w:rPr>
            </w:pPr>
            <w:r>
              <w:rPr>
                <w:rFonts w:ascii="宋体" w:hAnsi="宋体" w:eastAsia="宋体"/>
                <w:kern w:val="0"/>
                <w:szCs w:val="21"/>
              </w:rPr>
              <w:t>水泥标准筛</w:t>
            </w:r>
          </w:p>
        </w:tc>
        <w:tc>
          <w:tcPr>
            <w:tcW w:w="1386" w:type="pct"/>
            <w:vAlign w:val="center"/>
          </w:tcPr>
          <w:p>
            <w:pPr>
              <w:rPr>
                <w:rFonts w:hint="eastAsia" w:ascii="宋体" w:hAnsi="宋体" w:eastAsia="宋体" w:cs="Times New Roman"/>
                <w:kern w:val="0"/>
                <w:szCs w:val="21"/>
              </w:rPr>
            </w:pPr>
            <w:r>
              <w:rPr>
                <w:rFonts w:ascii="宋体" w:hAnsi="宋体" w:eastAsia="宋体" w:cs="Times New Roman"/>
                <w:kern w:val="0"/>
                <w:szCs w:val="21"/>
              </w:rPr>
              <w:t>现行规程规定了水泥标准筛的概述、计量性能要求、通用技术要求、计量器具控制等</w:t>
            </w:r>
            <w:r>
              <w:rPr>
                <w:rFonts w:hint="eastAsia" w:ascii="宋体" w:hAnsi="宋体" w:eastAsia="宋体" w:cs="Times New Roman"/>
                <w:kern w:val="0"/>
                <w:szCs w:val="21"/>
              </w:rPr>
              <w:t>。</w:t>
            </w:r>
          </w:p>
          <w:p>
            <w:pPr>
              <w:rPr>
                <w:rFonts w:hint="eastAsia" w:ascii="宋体" w:hAnsi="宋体" w:eastAsia="宋体" w:cs="Times New Roman"/>
                <w:kern w:val="0"/>
                <w:szCs w:val="21"/>
              </w:rPr>
            </w:pPr>
            <w:r>
              <w:rPr>
                <w:rFonts w:ascii="宋体" w:hAnsi="宋体" w:eastAsia="宋体" w:cs="Times New Roman"/>
                <w:kern w:val="0"/>
                <w:szCs w:val="21"/>
              </w:rPr>
              <w:t>适用于水泥标准筛的首次检定、后续检定和使用中检验。</w:t>
            </w:r>
          </w:p>
          <w:p>
            <w:pPr>
              <w:rPr>
                <w:rFonts w:hint="eastAsia" w:ascii="宋体" w:hAnsi="宋体" w:eastAsia="宋体" w:cs="Times New Roman"/>
                <w:kern w:val="0"/>
                <w:szCs w:val="21"/>
              </w:rPr>
            </w:pPr>
            <w:r>
              <w:rPr>
                <w:rFonts w:ascii="宋体" w:hAnsi="宋体" w:eastAsia="宋体" w:cs="Times New Roman"/>
                <w:kern w:val="0"/>
                <w:szCs w:val="21"/>
              </w:rPr>
              <w:t>主要修订内容：1.</w:t>
            </w:r>
            <w:r>
              <w:rPr>
                <w:rFonts w:hint="eastAsia" w:ascii="宋体" w:hAnsi="宋体" w:eastAsia="宋体" w:cs="Times New Roman"/>
                <w:kern w:val="0"/>
                <w:szCs w:val="21"/>
              </w:rPr>
              <w:t>更改</w:t>
            </w:r>
            <w:r>
              <w:rPr>
                <w:rFonts w:ascii="宋体" w:hAnsi="宋体" w:eastAsia="宋体" w:cs="Times New Roman"/>
                <w:kern w:val="0"/>
                <w:szCs w:val="21"/>
              </w:rPr>
              <w:t>水泥标准筛计量性能要求，包括水泥标准筛筛孔尺寸（任意筛孔最大尺寸、筛孔平均尺寸、丝直径）；2.增加水泥标准筛修正系数；3.删除原规程中关于筛框的要求；4.</w:t>
            </w:r>
            <w:r>
              <w:rPr>
                <w:rFonts w:hint="eastAsia" w:ascii="宋体" w:hAnsi="宋体" w:eastAsia="宋体" w:cs="Times New Roman"/>
                <w:kern w:val="0"/>
                <w:szCs w:val="21"/>
              </w:rPr>
              <w:t>更改</w:t>
            </w:r>
            <w:r>
              <w:rPr>
                <w:rFonts w:ascii="宋体" w:hAnsi="宋体" w:eastAsia="宋体" w:cs="Times New Roman"/>
                <w:kern w:val="0"/>
                <w:szCs w:val="21"/>
              </w:rPr>
              <w:t>通用技术要求；5.</w:t>
            </w:r>
            <w:r>
              <w:rPr>
                <w:rFonts w:hint="eastAsia" w:ascii="宋体" w:hAnsi="宋体" w:eastAsia="宋体" w:cs="Times New Roman"/>
                <w:kern w:val="0"/>
                <w:szCs w:val="21"/>
              </w:rPr>
              <w:t>更改</w:t>
            </w:r>
            <w:r>
              <w:rPr>
                <w:rFonts w:ascii="宋体" w:hAnsi="宋体" w:eastAsia="宋体" w:cs="Times New Roman"/>
                <w:kern w:val="0"/>
                <w:szCs w:val="21"/>
              </w:rPr>
              <w:t>水泥标准筛筛孔测量设备的要求；6.增加水泥细度（筛析法）标准样品的要求；7.删除钢板尺；8.</w:t>
            </w:r>
            <w:r>
              <w:rPr>
                <w:rFonts w:hint="eastAsia" w:ascii="宋体" w:hAnsi="宋体" w:eastAsia="宋体" w:cs="Times New Roman"/>
                <w:kern w:val="0"/>
                <w:szCs w:val="21"/>
              </w:rPr>
              <w:t>更改</w:t>
            </w:r>
            <w:r>
              <w:rPr>
                <w:rFonts w:ascii="宋体" w:hAnsi="宋体" w:eastAsia="宋体" w:cs="Times New Roman"/>
                <w:kern w:val="0"/>
                <w:szCs w:val="21"/>
              </w:rPr>
              <w:t>水泥标准筛筛孔尺寸检定方法；9.增加水泥标准筛修正系数的检定方法；10.</w:t>
            </w:r>
            <w:r>
              <w:rPr>
                <w:rFonts w:hint="eastAsia" w:ascii="宋体" w:hAnsi="宋体" w:eastAsia="宋体" w:cs="Times New Roman"/>
                <w:kern w:val="0"/>
                <w:szCs w:val="21"/>
              </w:rPr>
              <w:t>更改</w:t>
            </w:r>
            <w:r>
              <w:rPr>
                <w:rFonts w:ascii="宋体" w:hAnsi="宋体" w:eastAsia="宋体" w:cs="Times New Roman"/>
                <w:kern w:val="0"/>
                <w:szCs w:val="21"/>
              </w:rPr>
              <w:t>附录A、附录B、附录C的表格样式。</w:t>
            </w:r>
          </w:p>
        </w:tc>
        <w:tc>
          <w:tcPr>
            <w:tcW w:w="235" w:type="pct"/>
            <w:vAlign w:val="center"/>
          </w:tcPr>
          <w:p>
            <w:pPr>
              <w:jc w:val="center"/>
              <w:rPr>
                <w:rFonts w:hint="eastAsia" w:ascii="宋体" w:hAnsi="宋体" w:eastAsia="宋体" w:cs="Times New Roman"/>
                <w:kern w:val="0"/>
                <w:szCs w:val="21"/>
              </w:rPr>
            </w:pPr>
            <w:r>
              <w:rPr>
                <w:rFonts w:hint="eastAsia" w:ascii="宋体" w:hAnsi="宋体" w:eastAsia="宋体" w:cs="Times New Roman"/>
                <w:kern w:val="0"/>
                <w:szCs w:val="21"/>
              </w:rPr>
              <w:t>修订</w:t>
            </w:r>
          </w:p>
        </w:tc>
        <w:tc>
          <w:tcPr>
            <w:tcW w:w="375" w:type="pct"/>
            <w:vAlign w:val="center"/>
          </w:tcPr>
          <w:p>
            <w:pPr>
              <w:jc w:val="center"/>
              <w:rPr>
                <w:rFonts w:hint="eastAsia" w:ascii="宋体" w:hAnsi="宋体" w:eastAsia="宋体" w:cs="Times New Roman"/>
                <w:bCs/>
                <w:kern w:val="0"/>
                <w:szCs w:val="21"/>
              </w:rPr>
            </w:pPr>
            <w:r>
              <w:rPr>
                <w:rFonts w:ascii="宋体" w:hAnsi="宋体" w:eastAsia="宋体" w:cs="宋体"/>
                <w:kern w:val="0"/>
                <w:szCs w:val="21"/>
              </w:rPr>
              <w:t>JJG(交通) 049</w:t>
            </w:r>
            <w:r>
              <w:rPr>
                <w:rFonts w:hint="eastAsia" w:ascii="宋体" w:hAnsi="宋体" w:eastAsia="宋体" w:cs="宋体"/>
                <w:kern w:val="0"/>
                <w:szCs w:val="21"/>
              </w:rPr>
              <w:t>—</w:t>
            </w:r>
            <w:r>
              <w:rPr>
                <w:rFonts w:ascii="宋体" w:hAnsi="宋体" w:eastAsia="宋体" w:cs="宋体"/>
                <w:kern w:val="0"/>
                <w:szCs w:val="21"/>
              </w:rPr>
              <w:t>2004</w:t>
            </w:r>
          </w:p>
        </w:tc>
        <w:tc>
          <w:tcPr>
            <w:tcW w:w="375" w:type="pct"/>
            <w:vAlign w:val="center"/>
          </w:tcPr>
          <w:p>
            <w:pPr>
              <w:jc w:val="center"/>
              <w:rPr>
                <w:rFonts w:hint="eastAsia" w:ascii="宋体" w:hAnsi="宋体" w:eastAsia="宋体" w:cs="Times New Roman"/>
                <w:kern w:val="0"/>
                <w:szCs w:val="21"/>
              </w:rPr>
            </w:pPr>
            <w:r>
              <w:rPr>
                <w:rFonts w:hint="eastAsia" w:ascii="宋体" w:hAnsi="宋体" w:eastAsia="宋体" w:cs="Times New Roman"/>
                <w:kern w:val="0"/>
                <w:szCs w:val="21"/>
              </w:rPr>
              <w:t>12</w:t>
            </w:r>
          </w:p>
        </w:tc>
        <w:tc>
          <w:tcPr>
            <w:tcW w:w="562" w:type="pct"/>
            <w:vAlign w:val="center"/>
          </w:tcPr>
          <w:p>
            <w:pPr>
              <w:jc w:val="center"/>
              <w:rPr>
                <w:rFonts w:hint="eastAsia" w:ascii="宋体" w:hAnsi="宋体" w:eastAsia="宋体" w:cs="Times New Roman"/>
                <w:kern w:val="0"/>
                <w:szCs w:val="21"/>
              </w:rPr>
            </w:pPr>
            <w:r>
              <w:rPr>
                <w:rFonts w:hint="eastAsia" w:ascii="宋体" w:hAnsi="宋体" w:eastAsia="宋体" w:cs="Times New Roman"/>
                <w:kern w:val="0"/>
                <w:szCs w:val="21"/>
              </w:rPr>
              <w:t>公路计量委员会</w:t>
            </w:r>
          </w:p>
        </w:tc>
        <w:tc>
          <w:tcPr>
            <w:tcW w:w="925" w:type="pct"/>
            <w:vAlign w:val="center"/>
          </w:tcPr>
          <w:p>
            <w:pPr>
              <w:jc w:val="left"/>
              <w:rPr>
                <w:rFonts w:hint="eastAsia" w:ascii="宋体" w:hAnsi="宋体" w:eastAsia="宋体"/>
                <w:kern w:val="0"/>
                <w:szCs w:val="21"/>
              </w:rPr>
            </w:pPr>
            <w:r>
              <w:rPr>
                <w:rFonts w:ascii="宋体" w:hAnsi="宋体" w:eastAsia="宋体"/>
                <w:kern w:val="0"/>
                <w:szCs w:val="21"/>
              </w:rPr>
              <w:t>交通运输部科学研究院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trPr>
        <w:tc>
          <w:tcPr>
            <w:tcW w:w="203" w:type="pct"/>
            <w:vAlign w:val="center"/>
          </w:tcPr>
          <w:p>
            <w:pPr>
              <w:jc w:val="center"/>
              <w:rPr>
                <w:rFonts w:hint="eastAsia" w:ascii="宋体" w:hAnsi="宋体" w:eastAsia="宋体" w:cs="Times New Roman"/>
                <w:bCs/>
                <w:kern w:val="0"/>
                <w:szCs w:val="21"/>
              </w:rPr>
            </w:pPr>
            <w:r>
              <w:rPr>
                <w:rFonts w:ascii="宋体" w:hAnsi="宋体" w:eastAsia="宋体" w:cs="Times New Roman"/>
                <w:bCs/>
                <w:kern w:val="0"/>
                <w:szCs w:val="21"/>
              </w:rPr>
              <w:t>5</w:t>
            </w:r>
          </w:p>
        </w:tc>
        <w:tc>
          <w:tcPr>
            <w:tcW w:w="451" w:type="pct"/>
            <w:vAlign w:val="center"/>
          </w:tcPr>
          <w:p>
            <w:pPr>
              <w:jc w:val="center"/>
              <w:rPr>
                <w:rFonts w:hint="eastAsia" w:ascii="宋体" w:hAnsi="宋体" w:eastAsia="宋体" w:cs="Times New Roman"/>
                <w:kern w:val="0"/>
                <w:szCs w:val="21"/>
              </w:rPr>
            </w:pPr>
            <w:r>
              <w:rPr>
                <w:rFonts w:hint="eastAsia" w:ascii="宋体" w:hAnsi="宋体" w:eastAsia="宋体"/>
                <w:kern w:val="0"/>
                <w:szCs w:val="21"/>
              </w:rPr>
              <w:t>JJG 2024-05</w:t>
            </w:r>
          </w:p>
        </w:tc>
        <w:tc>
          <w:tcPr>
            <w:tcW w:w="488" w:type="pct"/>
            <w:vAlign w:val="center"/>
          </w:tcPr>
          <w:p>
            <w:pPr>
              <w:jc w:val="left"/>
              <w:rPr>
                <w:rFonts w:hint="eastAsia" w:ascii="宋体" w:hAnsi="宋体" w:eastAsia="宋体"/>
                <w:kern w:val="0"/>
                <w:szCs w:val="21"/>
              </w:rPr>
            </w:pPr>
            <w:r>
              <w:rPr>
                <w:rFonts w:ascii="宋体" w:hAnsi="宋体" w:eastAsia="宋体"/>
                <w:kern w:val="0"/>
                <w:szCs w:val="21"/>
              </w:rPr>
              <w:t>港口机械  重锤式角度检测仪</w:t>
            </w:r>
          </w:p>
        </w:tc>
        <w:tc>
          <w:tcPr>
            <w:tcW w:w="1386" w:type="pct"/>
            <w:vAlign w:val="center"/>
          </w:tcPr>
          <w:p>
            <w:pPr>
              <w:rPr>
                <w:rFonts w:hint="eastAsia" w:ascii="宋体" w:hAnsi="宋体" w:eastAsia="宋体" w:cs="Times New Roman"/>
                <w:kern w:val="0"/>
                <w:szCs w:val="21"/>
              </w:rPr>
            </w:pPr>
            <w:r>
              <w:rPr>
                <w:rFonts w:ascii="宋体" w:hAnsi="宋体" w:eastAsia="宋体" w:cs="Times New Roman"/>
                <w:kern w:val="0"/>
                <w:szCs w:val="21"/>
              </w:rPr>
              <w:t>拟规定港口机械重锤式角度检测仪的概述、计量性能要求、通用技术要求、计量器具控制等。</w:t>
            </w:r>
          </w:p>
          <w:p>
            <w:pPr>
              <w:rPr>
                <w:rFonts w:hint="eastAsia" w:ascii="宋体" w:hAnsi="宋体" w:eastAsia="宋体" w:cs="Times New Roman"/>
                <w:kern w:val="0"/>
                <w:szCs w:val="21"/>
              </w:rPr>
            </w:pPr>
            <w:r>
              <w:rPr>
                <w:rFonts w:ascii="宋体" w:hAnsi="宋体" w:eastAsia="宋体" w:cs="Times New Roman"/>
                <w:kern w:val="0"/>
                <w:szCs w:val="21"/>
              </w:rPr>
              <w:t>适用于港口机械重锤式角度检测仪的首次检定、后续检定和使用中检查。</w:t>
            </w:r>
          </w:p>
        </w:tc>
        <w:tc>
          <w:tcPr>
            <w:tcW w:w="235" w:type="pct"/>
            <w:vAlign w:val="center"/>
          </w:tcPr>
          <w:p>
            <w:pPr>
              <w:jc w:val="center"/>
              <w:rPr>
                <w:rFonts w:hint="eastAsia" w:ascii="宋体" w:hAnsi="宋体" w:eastAsia="宋体" w:cs="Times New Roman"/>
                <w:kern w:val="0"/>
                <w:szCs w:val="21"/>
              </w:rPr>
            </w:pPr>
            <w:r>
              <w:rPr>
                <w:rFonts w:hint="eastAsia" w:ascii="宋体" w:hAnsi="宋体" w:eastAsia="宋体" w:cs="Times New Roman"/>
                <w:kern w:val="0"/>
                <w:szCs w:val="21"/>
              </w:rPr>
              <w:t>制定</w:t>
            </w:r>
          </w:p>
        </w:tc>
        <w:tc>
          <w:tcPr>
            <w:tcW w:w="375" w:type="pct"/>
            <w:vAlign w:val="center"/>
          </w:tcPr>
          <w:p>
            <w:pPr>
              <w:jc w:val="center"/>
              <w:rPr>
                <w:rFonts w:hint="eastAsia" w:ascii="宋体" w:hAnsi="宋体" w:eastAsia="宋体" w:cs="Times New Roman"/>
                <w:bCs/>
                <w:kern w:val="0"/>
                <w:szCs w:val="21"/>
              </w:rPr>
            </w:pPr>
          </w:p>
        </w:tc>
        <w:tc>
          <w:tcPr>
            <w:tcW w:w="375" w:type="pct"/>
            <w:vAlign w:val="center"/>
          </w:tcPr>
          <w:p>
            <w:pPr>
              <w:jc w:val="center"/>
              <w:rPr>
                <w:rFonts w:hint="eastAsia"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2</w:t>
            </w:r>
          </w:p>
        </w:tc>
        <w:tc>
          <w:tcPr>
            <w:tcW w:w="562" w:type="pct"/>
            <w:vAlign w:val="center"/>
          </w:tcPr>
          <w:p>
            <w:pPr>
              <w:jc w:val="center"/>
              <w:rPr>
                <w:rFonts w:hint="eastAsia" w:ascii="宋体" w:hAnsi="宋体" w:eastAsia="宋体" w:cs="Times New Roman"/>
                <w:kern w:val="0"/>
                <w:szCs w:val="21"/>
              </w:rPr>
            </w:pPr>
            <w:r>
              <w:rPr>
                <w:rFonts w:hint="eastAsia" w:ascii="宋体" w:hAnsi="宋体" w:eastAsia="宋体" w:cs="Times New Roman"/>
                <w:kern w:val="0"/>
                <w:szCs w:val="21"/>
              </w:rPr>
              <w:t>水运计量委员会</w:t>
            </w:r>
          </w:p>
        </w:tc>
        <w:tc>
          <w:tcPr>
            <w:tcW w:w="925" w:type="pct"/>
            <w:vAlign w:val="center"/>
          </w:tcPr>
          <w:p>
            <w:pPr>
              <w:jc w:val="left"/>
              <w:rPr>
                <w:rFonts w:hint="eastAsia" w:ascii="宋体" w:hAnsi="宋体" w:eastAsia="宋体"/>
                <w:kern w:val="0"/>
                <w:szCs w:val="21"/>
              </w:rPr>
            </w:pPr>
            <w:r>
              <w:rPr>
                <w:rFonts w:ascii="宋体" w:hAnsi="宋体" w:eastAsia="宋体"/>
                <w:kern w:val="0"/>
                <w:szCs w:val="21"/>
              </w:rPr>
              <w:t>交通运输部天津水运工程科学研究所、交通运输部水运科学研究所、苏交科集团股份有限公司、宁波市计量测试研究院、北京锐科环宇科技有限公司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trPr>
        <w:tc>
          <w:tcPr>
            <w:tcW w:w="203" w:type="pct"/>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6</w:t>
            </w:r>
          </w:p>
        </w:tc>
        <w:tc>
          <w:tcPr>
            <w:tcW w:w="451" w:type="pct"/>
            <w:vAlign w:val="center"/>
          </w:tcPr>
          <w:p>
            <w:pPr>
              <w:jc w:val="center"/>
              <w:rPr>
                <w:rFonts w:hint="eastAsia" w:ascii="宋体" w:hAnsi="宋体" w:eastAsia="宋体"/>
                <w:kern w:val="0"/>
                <w:szCs w:val="21"/>
              </w:rPr>
            </w:pPr>
            <w:r>
              <w:rPr>
                <w:rFonts w:hint="eastAsia" w:ascii="宋体" w:hAnsi="宋体" w:eastAsia="宋体"/>
                <w:kern w:val="0"/>
                <w:szCs w:val="21"/>
              </w:rPr>
              <w:t>JJG 2024-06</w:t>
            </w:r>
          </w:p>
        </w:tc>
        <w:tc>
          <w:tcPr>
            <w:tcW w:w="488" w:type="pct"/>
            <w:vAlign w:val="center"/>
          </w:tcPr>
          <w:p>
            <w:pPr>
              <w:jc w:val="left"/>
              <w:rPr>
                <w:rFonts w:hint="eastAsia" w:ascii="宋体" w:hAnsi="宋体" w:eastAsia="宋体"/>
                <w:kern w:val="0"/>
                <w:szCs w:val="21"/>
              </w:rPr>
            </w:pPr>
            <w:r>
              <w:rPr>
                <w:rFonts w:ascii="宋体" w:hAnsi="宋体" w:eastAsia="宋体"/>
                <w:kern w:val="0"/>
                <w:szCs w:val="21"/>
              </w:rPr>
              <w:t>混凝土电通量测定仪</w:t>
            </w:r>
          </w:p>
        </w:tc>
        <w:tc>
          <w:tcPr>
            <w:tcW w:w="1386" w:type="pct"/>
            <w:vAlign w:val="center"/>
          </w:tcPr>
          <w:p>
            <w:pPr>
              <w:rPr>
                <w:rFonts w:hint="eastAsia" w:ascii="宋体" w:hAnsi="宋体" w:eastAsia="宋体" w:cs="Times New Roman"/>
                <w:kern w:val="0"/>
                <w:szCs w:val="21"/>
              </w:rPr>
            </w:pPr>
            <w:r>
              <w:rPr>
                <w:rFonts w:ascii="宋体" w:hAnsi="宋体" w:eastAsia="宋体" w:cs="Times New Roman"/>
                <w:kern w:val="0"/>
                <w:szCs w:val="21"/>
              </w:rPr>
              <w:t>拟规定混凝土电通量测定仪的概述、计量性能要求、通用技术要求、计量器具控制等。</w:t>
            </w:r>
          </w:p>
          <w:p>
            <w:pPr>
              <w:rPr>
                <w:rFonts w:hint="eastAsia" w:ascii="宋体" w:hAnsi="宋体" w:eastAsia="宋体" w:cs="Times New Roman"/>
                <w:kern w:val="0"/>
                <w:szCs w:val="21"/>
              </w:rPr>
            </w:pPr>
            <w:r>
              <w:rPr>
                <w:rFonts w:ascii="宋体" w:hAnsi="宋体" w:eastAsia="宋体" w:cs="Times New Roman"/>
                <w:kern w:val="0"/>
                <w:szCs w:val="21"/>
              </w:rPr>
              <w:t>适用于混凝土电通量测定仪的首次检定、后续检定和使用中检查。</w:t>
            </w:r>
          </w:p>
        </w:tc>
        <w:tc>
          <w:tcPr>
            <w:tcW w:w="235" w:type="pct"/>
            <w:vAlign w:val="center"/>
          </w:tcPr>
          <w:p>
            <w:pPr>
              <w:jc w:val="center"/>
              <w:rPr>
                <w:rFonts w:hint="eastAsia" w:ascii="宋体" w:hAnsi="宋体" w:eastAsia="宋体" w:cs="Times New Roman"/>
                <w:bCs/>
                <w:kern w:val="0"/>
                <w:szCs w:val="21"/>
              </w:rPr>
            </w:pPr>
            <w:r>
              <w:rPr>
                <w:rFonts w:hint="eastAsia" w:ascii="宋体" w:hAnsi="宋体" w:eastAsia="宋体" w:cs="Times New Roman"/>
                <w:kern w:val="0"/>
                <w:szCs w:val="21"/>
              </w:rPr>
              <w:t>制定</w:t>
            </w:r>
          </w:p>
        </w:tc>
        <w:tc>
          <w:tcPr>
            <w:tcW w:w="375" w:type="pct"/>
            <w:vAlign w:val="center"/>
          </w:tcPr>
          <w:p>
            <w:pPr>
              <w:jc w:val="center"/>
              <w:rPr>
                <w:rFonts w:hint="eastAsia" w:ascii="宋体" w:hAnsi="宋体" w:eastAsia="宋体" w:cs="Times New Roman"/>
                <w:bCs/>
                <w:kern w:val="0"/>
                <w:szCs w:val="21"/>
              </w:rPr>
            </w:pPr>
          </w:p>
        </w:tc>
        <w:tc>
          <w:tcPr>
            <w:tcW w:w="375" w:type="pct"/>
            <w:vAlign w:val="center"/>
          </w:tcPr>
          <w:p>
            <w:pPr>
              <w:jc w:val="center"/>
              <w:rPr>
                <w:rFonts w:hint="eastAsia" w:ascii="宋体" w:hAnsi="宋体" w:eastAsia="宋体" w:cs="Times New Roman"/>
                <w:bCs/>
                <w:kern w:val="0"/>
                <w:szCs w:val="21"/>
              </w:rPr>
            </w:pPr>
            <w:r>
              <w:rPr>
                <w:rFonts w:hint="eastAsia" w:ascii="宋体" w:hAnsi="宋体" w:eastAsia="宋体" w:cs="Times New Roman"/>
                <w:kern w:val="0"/>
                <w:szCs w:val="21"/>
              </w:rPr>
              <w:t>12</w:t>
            </w:r>
          </w:p>
        </w:tc>
        <w:tc>
          <w:tcPr>
            <w:tcW w:w="562" w:type="pct"/>
            <w:vAlign w:val="center"/>
          </w:tcPr>
          <w:p>
            <w:pPr>
              <w:jc w:val="center"/>
              <w:rPr>
                <w:rFonts w:hint="eastAsia" w:ascii="宋体" w:hAnsi="宋体" w:eastAsia="宋体" w:cs="Times New Roman"/>
                <w:kern w:val="0"/>
                <w:szCs w:val="21"/>
              </w:rPr>
            </w:pPr>
            <w:r>
              <w:rPr>
                <w:rFonts w:hint="eastAsia" w:ascii="宋体" w:hAnsi="宋体" w:eastAsia="宋体" w:cs="Times New Roman"/>
                <w:kern w:val="0"/>
                <w:szCs w:val="21"/>
              </w:rPr>
              <w:t>水运计量委员会</w:t>
            </w:r>
          </w:p>
        </w:tc>
        <w:tc>
          <w:tcPr>
            <w:tcW w:w="925" w:type="pct"/>
            <w:vAlign w:val="center"/>
          </w:tcPr>
          <w:p>
            <w:pPr>
              <w:jc w:val="left"/>
              <w:rPr>
                <w:rFonts w:hint="eastAsia" w:ascii="宋体" w:hAnsi="宋体" w:eastAsia="宋体"/>
                <w:kern w:val="0"/>
                <w:szCs w:val="21"/>
              </w:rPr>
            </w:pPr>
            <w:r>
              <w:rPr>
                <w:rFonts w:ascii="宋体" w:hAnsi="宋体" w:eastAsia="宋体"/>
                <w:kern w:val="0"/>
                <w:szCs w:val="21"/>
              </w:rPr>
              <w:t>交通运输部天津水运工程科学研究所、江西省交通工程质量监督站试验检测中心、青海省交通检测有限公司、厦门合诚工程检测有限公司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trPr>
        <w:tc>
          <w:tcPr>
            <w:tcW w:w="203" w:type="pct"/>
            <w:vAlign w:val="center"/>
          </w:tcPr>
          <w:p>
            <w:pPr>
              <w:jc w:val="center"/>
              <w:rPr>
                <w:rFonts w:hint="eastAsia" w:ascii="宋体" w:hAnsi="宋体" w:eastAsia="宋体" w:cs="Times New Roman"/>
                <w:bCs/>
                <w:kern w:val="0"/>
                <w:szCs w:val="21"/>
              </w:rPr>
            </w:pPr>
            <w:r>
              <w:rPr>
                <w:rFonts w:hint="eastAsia" w:ascii="宋体" w:hAnsi="宋体" w:eastAsia="宋体" w:cs="Times New Roman"/>
                <w:bCs/>
                <w:kern w:val="0"/>
                <w:szCs w:val="21"/>
              </w:rPr>
              <w:t>7</w:t>
            </w:r>
          </w:p>
        </w:tc>
        <w:tc>
          <w:tcPr>
            <w:tcW w:w="451" w:type="pct"/>
            <w:vAlign w:val="center"/>
          </w:tcPr>
          <w:p>
            <w:pPr>
              <w:jc w:val="center"/>
              <w:rPr>
                <w:rFonts w:hint="eastAsia" w:ascii="宋体" w:hAnsi="宋体" w:eastAsia="宋体"/>
                <w:kern w:val="0"/>
                <w:szCs w:val="21"/>
              </w:rPr>
            </w:pPr>
            <w:r>
              <w:rPr>
                <w:rFonts w:hint="eastAsia" w:ascii="宋体" w:hAnsi="宋体" w:eastAsia="宋体"/>
                <w:kern w:val="0"/>
                <w:szCs w:val="21"/>
              </w:rPr>
              <w:t>JJG 2024-07</w:t>
            </w:r>
          </w:p>
        </w:tc>
        <w:tc>
          <w:tcPr>
            <w:tcW w:w="488" w:type="pct"/>
            <w:vAlign w:val="center"/>
          </w:tcPr>
          <w:p>
            <w:pPr>
              <w:rPr>
                <w:rFonts w:hint="eastAsia" w:ascii="宋体" w:hAnsi="宋体" w:eastAsia="宋体" w:cs="Times New Roman"/>
                <w:kern w:val="0"/>
                <w:szCs w:val="21"/>
              </w:rPr>
            </w:pPr>
            <w:r>
              <w:rPr>
                <w:rFonts w:ascii="宋体" w:hAnsi="宋体" w:eastAsia="宋体"/>
                <w:kern w:val="0"/>
                <w:szCs w:val="21"/>
              </w:rPr>
              <w:t>原位自校低频振动传感器</w:t>
            </w:r>
          </w:p>
        </w:tc>
        <w:tc>
          <w:tcPr>
            <w:tcW w:w="1386" w:type="pct"/>
            <w:vAlign w:val="center"/>
          </w:tcPr>
          <w:p>
            <w:pPr>
              <w:rPr>
                <w:rFonts w:hint="eastAsia" w:ascii="宋体" w:hAnsi="宋体" w:eastAsia="宋体" w:cs="Times New Roman"/>
                <w:kern w:val="0"/>
                <w:szCs w:val="21"/>
              </w:rPr>
            </w:pPr>
            <w:r>
              <w:rPr>
                <w:rFonts w:ascii="宋体" w:hAnsi="宋体" w:eastAsia="宋体" w:cs="Times New Roman"/>
                <w:kern w:val="0"/>
                <w:szCs w:val="21"/>
              </w:rPr>
              <w:t>拟规定原位自校低频振动传感器的计量性能要求、通用技术要求、计量器具控制等。</w:t>
            </w:r>
          </w:p>
          <w:p>
            <w:pPr>
              <w:rPr>
                <w:rFonts w:hint="eastAsia" w:ascii="宋体" w:hAnsi="宋体" w:eastAsia="宋体" w:cs="Times New Roman"/>
                <w:kern w:val="0"/>
                <w:szCs w:val="21"/>
              </w:rPr>
            </w:pPr>
            <w:r>
              <w:rPr>
                <w:rFonts w:ascii="宋体" w:hAnsi="宋体" w:eastAsia="宋体" w:cs="Times New Roman"/>
                <w:kern w:val="0"/>
                <w:szCs w:val="21"/>
              </w:rPr>
              <w:t>适用于原位自校低频振动传感器的首次检定、后续检定和使用中检查。</w:t>
            </w:r>
          </w:p>
        </w:tc>
        <w:tc>
          <w:tcPr>
            <w:tcW w:w="235" w:type="pct"/>
            <w:vAlign w:val="center"/>
          </w:tcPr>
          <w:p>
            <w:pPr>
              <w:jc w:val="center"/>
              <w:rPr>
                <w:rFonts w:hint="eastAsia" w:ascii="宋体" w:hAnsi="宋体" w:eastAsia="宋体" w:cs="Times New Roman"/>
                <w:kern w:val="0"/>
                <w:szCs w:val="21"/>
              </w:rPr>
            </w:pPr>
            <w:r>
              <w:rPr>
                <w:rFonts w:hint="eastAsia" w:ascii="宋体" w:hAnsi="宋体" w:eastAsia="宋体" w:cs="Times New Roman"/>
                <w:kern w:val="0"/>
                <w:szCs w:val="21"/>
              </w:rPr>
              <w:t>制定</w:t>
            </w:r>
          </w:p>
        </w:tc>
        <w:tc>
          <w:tcPr>
            <w:tcW w:w="375" w:type="pct"/>
            <w:vAlign w:val="center"/>
          </w:tcPr>
          <w:p>
            <w:pPr>
              <w:jc w:val="center"/>
              <w:rPr>
                <w:rFonts w:hint="eastAsia" w:ascii="宋体" w:hAnsi="宋体" w:eastAsia="宋体" w:cs="Times New Roman"/>
                <w:bCs/>
                <w:kern w:val="0"/>
                <w:szCs w:val="21"/>
              </w:rPr>
            </w:pPr>
          </w:p>
        </w:tc>
        <w:tc>
          <w:tcPr>
            <w:tcW w:w="375" w:type="pct"/>
            <w:vAlign w:val="center"/>
          </w:tcPr>
          <w:p>
            <w:pPr>
              <w:jc w:val="center"/>
              <w:rPr>
                <w:rFonts w:hint="eastAsia" w:ascii="宋体" w:hAnsi="宋体" w:eastAsia="宋体" w:cs="Times New Roman"/>
                <w:kern w:val="0"/>
                <w:szCs w:val="21"/>
              </w:rPr>
            </w:pPr>
            <w:r>
              <w:rPr>
                <w:rFonts w:hint="eastAsia" w:ascii="宋体" w:hAnsi="宋体" w:eastAsia="宋体" w:cs="Times New Roman"/>
                <w:kern w:val="0"/>
                <w:szCs w:val="21"/>
              </w:rPr>
              <w:t>12</w:t>
            </w:r>
          </w:p>
        </w:tc>
        <w:tc>
          <w:tcPr>
            <w:tcW w:w="562" w:type="pct"/>
            <w:vAlign w:val="center"/>
          </w:tcPr>
          <w:p>
            <w:pPr>
              <w:jc w:val="center"/>
              <w:rPr>
                <w:rFonts w:hint="eastAsia" w:ascii="宋体" w:hAnsi="宋体" w:eastAsia="宋体" w:cs="Times New Roman"/>
                <w:bCs/>
                <w:kern w:val="0"/>
                <w:szCs w:val="21"/>
              </w:rPr>
            </w:pPr>
            <w:r>
              <w:rPr>
                <w:rFonts w:hint="eastAsia" w:ascii="宋体" w:hAnsi="宋体" w:eastAsia="宋体" w:cs="Times New Roman"/>
                <w:kern w:val="0"/>
                <w:szCs w:val="21"/>
              </w:rPr>
              <w:t>水运计量委员会</w:t>
            </w:r>
          </w:p>
        </w:tc>
        <w:tc>
          <w:tcPr>
            <w:tcW w:w="925" w:type="pct"/>
            <w:vAlign w:val="center"/>
          </w:tcPr>
          <w:p>
            <w:pPr>
              <w:jc w:val="left"/>
              <w:rPr>
                <w:rFonts w:hint="eastAsia" w:ascii="宋体" w:hAnsi="宋体" w:eastAsia="宋体"/>
                <w:kern w:val="0"/>
                <w:szCs w:val="21"/>
              </w:rPr>
            </w:pPr>
            <w:r>
              <w:rPr>
                <w:rFonts w:ascii="宋体" w:hAnsi="宋体" w:eastAsia="宋体"/>
                <w:kern w:val="0"/>
                <w:szCs w:val="21"/>
              </w:rPr>
              <w:t>交通运输部天津水运工程科学研究所、中国计量科学研究院、东华测试技术股份有限公司</w:t>
            </w:r>
          </w:p>
        </w:tc>
      </w:tr>
    </w:tbl>
    <w:p>
      <w:pPr>
        <w:rPr>
          <w:rFonts w:ascii="仿宋_GB2312" w:hAnsi="Times New Roman" w:eastAsia="仿宋_GB2312"/>
          <w:sz w:val="30"/>
          <w:szCs w:val="30"/>
        </w:rPr>
      </w:pPr>
    </w:p>
    <w:p>
      <w:pPr>
        <w:widowControl/>
        <w:jc w:val="left"/>
        <w:rPr>
          <w:rFonts w:ascii="仿宋_GB2312" w:hAnsi="Times New Roman" w:eastAsia="仿宋_GB2312"/>
          <w:sz w:val="30"/>
          <w:szCs w:val="30"/>
        </w:rPr>
        <w:sectPr>
          <w:headerReference r:id="rId3" w:type="default"/>
          <w:footerReference r:id="rId4" w:type="default"/>
          <w:pgSz w:w="16838" w:h="11906" w:orient="landscape"/>
          <w:pgMar w:top="850" w:right="851" w:bottom="850" w:left="851" w:header="851" w:footer="992" w:gutter="0"/>
          <w:cols w:space="0" w:num="1"/>
          <w:docGrid w:linePitch="326" w:charSpace="0"/>
        </w:sectPr>
      </w:pPr>
    </w:p>
    <w:p>
      <w:pPr>
        <w:widowControl/>
        <w:jc w:val="left"/>
        <w:rPr>
          <w:rFonts w:ascii="仿宋_GB2312" w:hAnsi="Times New Roman" w:eastAsia="仿宋_GB2312"/>
          <w:sz w:val="30"/>
          <w:szCs w:val="30"/>
        </w:rPr>
      </w:pPr>
    </w:p>
    <w:p>
      <w:pPr>
        <w:rPr>
          <w:rFonts w:ascii="仿宋_GB2312" w:hAnsi="Times New Roman" w:eastAsia="仿宋_GB2312"/>
          <w:sz w:val="30"/>
          <w:szCs w:val="30"/>
        </w:rPr>
      </w:pPr>
      <w:r>
        <w:rPr>
          <w:rFonts w:hint="eastAsia" w:ascii="仿宋_GB2312" w:hAnsi="Times New Roman" w:eastAsia="仿宋_GB2312"/>
          <w:sz w:val="30"/>
          <w:szCs w:val="30"/>
        </w:rPr>
        <w:t>注：技术归口单位列仅列出了简称，其全称如下所示。</w:t>
      </w:r>
    </w:p>
    <w:tbl>
      <w:tblPr>
        <w:tblStyle w:val="10"/>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846"/>
        <w:gridCol w:w="2977"/>
        <w:gridCol w:w="6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64" w:hRule="atLeast"/>
          <w:tblHeader/>
        </w:trPr>
        <w:tc>
          <w:tcPr>
            <w:tcW w:w="846" w:type="dxa"/>
            <w:vAlign w:val="center"/>
          </w:tcPr>
          <w:p>
            <w:pPr>
              <w:autoSpaceDN w:val="0"/>
              <w:spacing w:line="400" w:lineRule="exact"/>
              <w:jc w:val="center"/>
              <w:textAlignment w:val="center"/>
              <w:rPr>
                <w:rFonts w:hint="eastAsia" w:ascii="仿宋_GB2312" w:eastAsia="仿宋_GB2312"/>
                <w:b/>
                <w:sz w:val="24"/>
              </w:rPr>
            </w:pPr>
            <w:r>
              <w:rPr>
                <w:rFonts w:hint="eastAsia" w:ascii="仿宋_GB2312" w:eastAsia="仿宋_GB2312"/>
                <w:b/>
                <w:sz w:val="24"/>
              </w:rPr>
              <w:t>序号</w:t>
            </w:r>
          </w:p>
        </w:tc>
        <w:tc>
          <w:tcPr>
            <w:tcW w:w="2977" w:type="dxa"/>
            <w:vAlign w:val="center"/>
          </w:tcPr>
          <w:p>
            <w:pPr>
              <w:autoSpaceDN w:val="0"/>
              <w:spacing w:line="400" w:lineRule="exact"/>
              <w:jc w:val="center"/>
              <w:textAlignment w:val="center"/>
              <w:rPr>
                <w:rFonts w:hint="eastAsia" w:ascii="仿宋_GB2312" w:eastAsia="仿宋_GB2312"/>
                <w:b/>
                <w:sz w:val="24"/>
              </w:rPr>
            </w:pPr>
            <w:r>
              <w:rPr>
                <w:rFonts w:hint="eastAsia" w:ascii="仿宋_GB2312" w:eastAsia="仿宋_GB2312"/>
                <w:b/>
                <w:sz w:val="24"/>
              </w:rPr>
              <w:t>简称</w:t>
            </w:r>
          </w:p>
        </w:tc>
        <w:tc>
          <w:tcPr>
            <w:tcW w:w="6257" w:type="dxa"/>
            <w:vAlign w:val="center"/>
          </w:tcPr>
          <w:p>
            <w:pPr>
              <w:autoSpaceDN w:val="0"/>
              <w:spacing w:line="400" w:lineRule="exact"/>
              <w:jc w:val="center"/>
              <w:textAlignment w:val="center"/>
              <w:rPr>
                <w:rFonts w:hint="eastAsia" w:ascii="仿宋_GB2312" w:eastAsia="仿宋_GB2312"/>
                <w:b/>
                <w:sz w:val="24"/>
              </w:rPr>
            </w:pPr>
            <w:r>
              <w:rPr>
                <w:rFonts w:hint="eastAsia" w:ascii="仿宋_GB2312" w:eastAsia="仿宋_GB2312"/>
                <w:b/>
                <w:sz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4" w:hRule="atLeast"/>
        </w:trPr>
        <w:tc>
          <w:tcPr>
            <w:tcW w:w="846" w:type="dxa"/>
            <w:vAlign w:val="center"/>
          </w:tcPr>
          <w:p>
            <w:pPr>
              <w:autoSpaceDN w:val="0"/>
              <w:spacing w:line="400" w:lineRule="exact"/>
              <w:jc w:val="center"/>
              <w:textAlignment w:val="center"/>
              <w:rPr>
                <w:rFonts w:hint="eastAsia" w:ascii="仿宋_GB2312" w:eastAsia="仿宋_GB2312"/>
                <w:sz w:val="24"/>
              </w:rPr>
            </w:pPr>
            <w:r>
              <w:rPr>
                <w:rFonts w:ascii="仿宋_GB2312" w:eastAsia="仿宋_GB2312"/>
                <w:sz w:val="24"/>
              </w:rPr>
              <w:t>1</w:t>
            </w:r>
          </w:p>
        </w:tc>
        <w:tc>
          <w:tcPr>
            <w:tcW w:w="2977" w:type="dxa"/>
            <w:vAlign w:val="center"/>
          </w:tcPr>
          <w:p>
            <w:pPr>
              <w:autoSpaceDN w:val="0"/>
              <w:spacing w:line="400" w:lineRule="exact"/>
              <w:jc w:val="center"/>
              <w:textAlignment w:val="center"/>
              <w:rPr>
                <w:rFonts w:hint="eastAsia" w:ascii="仿宋_GB2312" w:eastAsia="仿宋_GB2312"/>
                <w:sz w:val="24"/>
              </w:rPr>
            </w:pPr>
            <w:r>
              <w:rPr>
                <w:rFonts w:hint="eastAsia" w:ascii="仿宋_GB2312" w:eastAsia="仿宋_GB2312"/>
                <w:sz w:val="24"/>
              </w:rPr>
              <w:t>综合运输标委会</w:t>
            </w:r>
          </w:p>
        </w:tc>
        <w:tc>
          <w:tcPr>
            <w:tcW w:w="6257" w:type="dxa"/>
          </w:tcPr>
          <w:p>
            <w:pPr>
              <w:autoSpaceDN w:val="0"/>
              <w:spacing w:line="400" w:lineRule="exact"/>
              <w:ind w:firstLine="120" w:firstLineChars="50"/>
              <w:jc w:val="center"/>
              <w:textAlignment w:val="center"/>
              <w:rPr>
                <w:rFonts w:hint="eastAsia" w:ascii="仿宋_GB2312" w:eastAsia="仿宋_GB2312"/>
                <w:sz w:val="24"/>
              </w:rPr>
            </w:pPr>
            <w:r>
              <w:rPr>
                <w:rFonts w:hint="eastAsia" w:ascii="仿宋_GB2312" w:eastAsia="仿宋_GB2312"/>
                <w:sz w:val="24"/>
              </w:rPr>
              <w:t>全国综合交通运输标准化技术委员会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4" w:hRule="atLeast"/>
        </w:trPr>
        <w:tc>
          <w:tcPr>
            <w:tcW w:w="846" w:type="dxa"/>
            <w:vAlign w:val="center"/>
          </w:tcPr>
          <w:p>
            <w:pPr>
              <w:autoSpaceDN w:val="0"/>
              <w:spacing w:line="400" w:lineRule="exact"/>
              <w:jc w:val="center"/>
              <w:textAlignment w:val="center"/>
              <w:rPr>
                <w:rFonts w:hint="eastAsia" w:ascii="仿宋_GB2312" w:eastAsia="仿宋_GB2312"/>
                <w:sz w:val="24"/>
              </w:rPr>
            </w:pPr>
            <w:r>
              <w:rPr>
                <w:rFonts w:ascii="仿宋_GB2312" w:eastAsia="仿宋_GB2312"/>
                <w:sz w:val="24"/>
              </w:rPr>
              <w:t>2</w:t>
            </w:r>
          </w:p>
        </w:tc>
        <w:tc>
          <w:tcPr>
            <w:tcW w:w="2977" w:type="dxa"/>
            <w:vAlign w:val="center"/>
          </w:tcPr>
          <w:p>
            <w:pPr>
              <w:autoSpaceDN w:val="0"/>
              <w:spacing w:line="400" w:lineRule="exact"/>
              <w:jc w:val="center"/>
              <w:textAlignment w:val="center"/>
              <w:rPr>
                <w:rFonts w:hint="eastAsia" w:ascii="仿宋_GB2312" w:eastAsia="仿宋_GB2312"/>
                <w:sz w:val="24"/>
              </w:rPr>
            </w:pPr>
            <w:r>
              <w:rPr>
                <w:rFonts w:hint="eastAsia" w:ascii="仿宋_GB2312" w:eastAsia="仿宋_GB2312"/>
                <w:sz w:val="24"/>
              </w:rPr>
              <w:t>内河船与水路运输标委会</w:t>
            </w:r>
          </w:p>
        </w:tc>
        <w:tc>
          <w:tcPr>
            <w:tcW w:w="6257" w:type="dxa"/>
            <w:vAlign w:val="center"/>
          </w:tcPr>
          <w:p>
            <w:pPr>
              <w:autoSpaceDN w:val="0"/>
              <w:spacing w:line="400" w:lineRule="exact"/>
              <w:ind w:firstLine="120" w:firstLineChars="50"/>
              <w:jc w:val="center"/>
              <w:textAlignment w:val="center"/>
              <w:rPr>
                <w:rFonts w:hint="eastAsia" w:ascii="仿宋_GB2312" w:eastAsia="仿宋_GB2312"/>
                <w:sz w:val="24"/>
              </w:rPr>
            </w:pPr>
            <w:r>
              <w:rPr>
                <w:rFonts w:hint="eastAsia" w:ascii="仿宋_GB2312" w:eastAsia="仿宋_GB2312"/>
                <w:sz w:val="24"/>
              </w:rPr>
              <w:t>全国内河船与水路运输标准化技术委员会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4" w:hRule="atLeast"/>
        </w:trPr>
        <w:tc>
          <w:tcPr>
            <w:tcW w:w="846" w:type="dxa"/>
            <w:vAlign w:val="center"/>
          </w:tcPr>
          <w:p>
            <w:pPr>
              <w:autoSpaceDN w:val="0"/>
              <w:spacing w:line="400" w:lineRule="exact"/>
              <w:jc w:val="center"/>
              <w:textAlignment w:val="center"/>
              <w:rPr>
                <w:rFonts w:hint="eastAsia" w:ascii="仿宋_GB2312" w:eastAsia="仿宋_GB2312"/>
                <w:sz w:val="24"/>
              </w:rPr>
            </w:pPr>
            <w:r>
              <w:rPr>
                <w:rFonts w:hint="eastAsia" w:ascii="仿宋_GB2312" w:eastAsia="仿宋_GB2312"/>
                <w:sz w:val="24"/>
              </w:rPr>
              <w:t>3</w:t>
            </w:r>
          </w:p>
        </w:tc>
        <w:tc>
          <w:tcPr>
            <w:tcW w:w="2977" w:type="dxa"/>
            <w:vAlign w:val="center"/>
          </w:tcPr>
          <w:p>
            <w:pPr>
              <w:autoSpaceDN w:val="0"/>
              <w:spacing w:line="400" w:lineRule="exact"/>
              <w:jc w:val="center"/>
              <w:textAlignment w:val="center"/>
              <w:rPr>
                <w:rFonts w:hint="eastAsia" w:ascii="仿宋_GB2312" w:eastAsia="仿宋_GB2312"/>
                <w:sz w:val="24"/>
              </w:rPr>
            </w:pPr>
            <w:r>
              <w:rPr>
                <w:rFonts w:hint="eastAsia" w:ascii="仿宋_GB2312" w:eastAsia="仿宋_GB2312"/>
                <w:sz w:val="24"/>
              </w:rPr>
              <w:t>汽车维修标委会</w:t>
            </w:r>
          </w:p>
        </w:tc>
        <w:tc>
          <w:tcPr>
            <w:tcW w:w="6257" w:type="dxa"/>
            <w:vAlign w:val="center"/>
          </w:tcPr>
          <w:p>
            <w:pPr>
              <w:autoSpaceDN w:val="0"/>
              <w:spacing w:line="400" w:lineRule="exact"/>
              <w:ind w:firstLine="120" w:firstLineChars="50"/>
              <w:jc w:val="center"/>
              <w:textAlignment w:val="center"/>
              <w:rPr>
                <w:rFonts w:hint="eastAsia" w:ascii="仿宋_GB2312" w:eastAsia="仿宋_GB2312"/>
                <w:sz w:val="24"/>
              </w:rPr>
            </w:pPr>
            <w:r>
              <w:rPr>
                <w:rFonts w:hint="eastAsia" w:ascii="仿宋_GB2312" w:eastAsia="仿宋_GB2312"/>
                <w:sz w:val="24"/>
              </w:rPr>
              <w:t>全国汽车维修标准化技术委员会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09" w:hRule="atLeast"/>
        </w:trPr>
        <w:tc>
          <w:tcPr>
            <w:tcW w:w="846" w:type="dxa"/>
            <w:vAlign w:val="center"/>
          </w:tcPr>
          <w:p>
            <w:pPr>
              <w:autoSpaceDN w:val="0"/>
              <w:spacing w:line="400" w:lineRule="exact"/>
              <w:jc w:val="center"/>
              <w:textAlignment w:val="center"/>
              <w:rPr>
                <w:rFonts w:hint="eastAsia" w:ascii="仿宋_GB2312" w:eastAsia="仿宋_GB2312"/>
                <w:sz w:val="24"/>
              </w:rPr>
            </w:pPr>
            <w:r>
              <w:rPr>
                <w:rFonts w:hint="eastAsia" w:ascii="仿宋_GB2312" w:eastAsia="仿宋_GB2312"/>
                <w:sz w:val="24"/>
              </w:rPr>
              <w:t>4</w:t>
            </w:r>
          </w:p>
        </w:tc>
        <w:tc>
          <w:tcPr>
            <w:tcW w:w="2977" w:type="dxa"/>
            <w:vAlign w:val="center"/>
          </w:tcPr>
          <w:p>
            <w:pPr>
              <w:autoSpaceDN w:val="0"/>
              <w:spacing w:line="400" w:lineRule="exact"/>
              <w:jc w:val="center"/>
              <w:textAlignment w:val="center"/>
              <w:rPr>
                <w:rFonts w:hint="eastAsia" w:ascii="仿宋_GB2312" w:eastAsia="仿宋_GB2312"/>
                <w:sz w:val="24"/>
              </w:rPr>
            </w:pPr>
            <w:r>
              <w:rPr>
                <w:rFonts w:hint="eastAsia" w:ascii="仿宋_GB2312" w:eastAsia="仿宋_GB2312"/>
                <w:sz w:val="24"/>
              </w:rPr>
              <w:t>智能运输标委会</w:t>
            </w:r>
          </w:p>
        </w:tc>
        <w:tc>
          <w:tcPr>
            <w:tcW w:w="6257" w:type="dxa"/>
            <w:vAlign w:val="center"/>
          </w:tcPr>
          <w:p>
            <w:pPr>
              <w:autoSpaceDN w:val="0"/>
              <w:spacing w:line="400" w:lineRule="exact"/>
              <w:ind w:firstLine="120" w:firstLineChars="50"/>
              <w:jc w:val="center"/>
              <w:textAlignment w:val="center"/>
              <w:rPr>
                <w:rFonts w:hint="eastAsia" w:ascii="仿宋_GB2312" w:eastAsia="仿宋_GB2312"/>
                <w:sz w:val="24"/>
              </w:rPr>
            </w:pPr>
            <w:r>
              <w:rPr>
                <w:rFonts w:hint="eastAsia" w:ascii="仿宋_GB2312" w:eastAsia="仿宋_GB2312"/>
                <w:sz w:val="24"/>
              </w:rPr>
              <w:t>全国智能运输系统标准化技术委员会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09" w:hRule="atLeast"/>
        </w:trPr>
        <w:tc>
          <w:tcPr>
            <w:tcW w:w="846" w:type="dxa"/>
            <w:vAlign w:val="center"/>
          </w:tcPr>
          <w:p>
            <w:pPr>
              <w:autoSpaceDN w:val="0"/>
              <w:spacing w:line="400" w:lineRule="exact"/>
              <w:jc w:val="center"/>
              <w:textAlignment w:val="center"/>
              <w:rPr>
                <w:rFonts w:hint="eastAsia" w:ascii="仿宋_GB2312" w:eastAsia="仿宋_GB2312"/>
                <w:sz w:val="24"/>
              </w:rPr>
            </w:pPr>
            <w:r>
              <w:rPr>
                <w:rFonts w:hint="eastAsia" w:ascii="仿宋_GB2312" w:eastAsia="仿宋_GB2312"/>
                <w:sz w:val="24"/>
              </w:rPr>
              <w:t>5</w:t>
            </w:r>
          </w:p>
        </w:tc>
        <w:tc>
          <w:tcPr>
            <w:tcW w:w="2977" w:type="dxa"/>
            <w:vAlign w:val="center"/>
          </w:tcPr>
          <w:p>
            <w:pPr>
              <w:autoSpaceDN w:val="0"/>
              <w:spacing w:line="400" w:lineRule="exact"/>
              <w:jc w:val="center"/>
              <w:textAlignment w:val="center"/>
              <w:rPr>
                <w:rFonts w:hint="eastAsia" w:ascii="仿宋_GB2312" w:eastAsia="仿宋_GB2312"/>
                <w:sz w:val="24"/>
              </w:rPr>
            </w:pPr>
            <w:r>
              <w:rPr>
                <w:rFonts w:hint="eastAsia" w:ascii="仿宋_GB2312" w:eastAsia="仿宋_GB2312"/>
                <w:sz w:val="24"/>
              </w:rPr>
              <w:t>港口标委会</w:t>
            </w:r>
          </w:p>
        </w:tc>
        <w:tc>
          <w:tcPr>
            <w:tcW w:w="6257" w:type="dxa"/>
            <w:vAlign w:val="center"/>
          </w:tcPr>
          <w:p>
            <w:pPr>
              <w:autoSpaceDN w:val="0"/>
              <w:spacing w:line="400" w:lineRule="exact"/>
              <w:ind w:firstLine="120" w:firstLineChars="50"/>
              <w:jc w:val="center"/>
              <w:textAlignment w:val="center"/>
              <w:rPr>
                <w:rFonts w:hint="eastAsia" w:ascii="仿宋_GB2312" w:eastAsia="仿宋_GB2312"/>
                <w:sz w:val="24"/>
              </w:rPr>
            </w:pPr>
            <w:r>
              <w:rPr>
                <w:rFonts w:hint="eastAsia" w:ascii="仿宋_GB2312" w:eastAsia="仿宋_GB2312"/>
                <w:sz w:val="24"/>
              </w:rPr>
              <w:t>全国港口标准化技术委员会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79" w:hRule="atLeast"/>
        </w:trPr>
        <w:tc>
          <w:tcPr>
            <w:tcW w:w="846" w:type="dxa"/>
            <w:vAlign w:val="center"/>
          </w:tcPr>
          <w:p>
            <w:pPr>
              <w:autoSpaceDN w:val="0"/>
              <w:spacing w:line="400" w:lineRule="exact"/>
              <w:jc w:val="center"/>
              <w:textAlignment w:val="center"/>
              <w:rPr>
                <w:rFonts w:hint="eastAsia" w:ascii="仿宋_GB2312" w:eastAsia="仿宋_GB2312"/>
                <w:sz w:val="24"/>
              </w:rPr>
            </w:pPr>
            <w:r>
              <w:rPr>
                <w:rFonts w:hint="eastAsia" w:ascii="仿宋_GB2312" w:eastAsia="仿宋_GB2312"/>
                <w:sz w:val="24"/>
              </w:rPr>
              <w:t>6</w:t>
            </w:r>
          </w:p>
        </w:tc>
        <w:tc>
          <w:tcPr>
            <w:tcW w:w="2977" w:type="dxa"/>
            <w:vAlign w:val="center"/>
          </w:tcPr>
          <w:p>
            <w:pPr>
              <w:autoSpaceDN w:val="0"/>
              <w:spacing w:line="400" w:lineRule="exact"/>
              <w:jc w:val="center"/>
              <w:textAlignment w:val="center"/>
              <w:rPr>
                <w:rFonts w:hint="eastAsia" w:ascii="仿宋_GB2312" w:eastAsia="仿宋_GB2312"/>
                <w:sz w:val="24"/>
              </w:rPr>
            </w:pPr>
            <w:r>
              <w:rPr>
                <w:rFonts w:hint="eastAsia" w:ascii="仿宋_GB2312" w:eastAsia="仿宋_GB2312"/>
                <w:sz w:val="24"/>
              </w:rPr>
              <w:t>臂架起重机分委会</w:t>
            </w:r>
          </w:p>
        </w:tc>
        <w:tc>
          <w:tcPr>
            <w:tcW w:w="6257" w:type="dxa"/>
            <w:vAlign w:val="center"/>
          </w:tcPr>
          <w:p>
            <w:pPr>
              <w:autoSpaceDN w:val="0"/>
              <w:spacing w:line="400" w:lineRule="exact"/>
              <w:ind w:firstLine="120" w:firstLineChars="50"/>
              <w:jc w:val="center"/>
              <w:textAlignment w:val="center"/>
              <w:rPr>
                <w:rFonts w:hint="eastAsia" w:ascii="仿宋_GB2312" w:eastAsia="仿宋_GB2312"/>
                <w:sz w:val="24"/>
              </w:rPr>
            </w:pPr>
            <w:r>
              <w:rPr>
                <w:rFonts w:hint="eastAsia" w:ascii="仿宋_GB2312" w:eastAsia="仿宋_GB2312"/>
                <w:sz w:val="24"/>
              </w:rPr>
              <w:t>全国起重机械标准化技术委员会臂架起重机分技术委员会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94" w:hRule="atLeast"/>
        </w:trPr>
        <w:tc>
          <w:tcPr>
            <w:tcW w:w="846" w:type="dxa"/>
            <w:vAlign w:val="center"/>
          </w:tcPr>
          <w:p>
            <w:pPr>
              <w:autoSpaceDN w:val="0"/>
              <w:spacing w:line="400" w:lineRule="exact"/>
              <w:jc w:val="center"/>
              <w:textAlignment w:val="center"/>
              <w:rPr>
                <w:rFonts w:hint="eastAsia" w:ascii="仿宋_GB2312" w:eastAsia="仿宋_GB2312"/>
                <w:sz w:val="24"/>
              </w:rPr>
            </w:pPr>
            <w:r>
              <w:rPr>
                <w:rFonts w:hint="eastAsia" w:ascii="仿宋_GB2312" w:eastAsia="仿宋_GB2312"/>
                <w:sz w:val="24"/>
              </w:rPr>
              <w:t>7</w:t>
            </w:r>
          </w:p>
        </w:tc>
        <w:tc>
          <w:tcPr>
            <w:tcW w:w="2977" w:type="dxa"/>
            <w:vAlign w:val="center"/>
          </w:tcPr>
          <w:p>
            <w:pPr>
              <w:autoSpaceDN w:val="0"/>
              <w:spacing w:line="400" w:lineRule="exact"/>
              <w:jc w:val="center"/>
              <w:textAlignment w:val="center"/>
              <w:rPr>
                <w:rFonts w:hint="eastAsia" w:ascii="仿宋_GB2312" w:eastAsia="仿宋_GB2312"/>
                <w:sz w:val="24"/>
              </w:rPr>
            </w:pPr>
            <w:r>
              <w:rPr>
                <w:rFonts w:hint="eastAsia" w:ascii="仿宋_GB2312" w:eastAsia="仿宋_GB2312"/>
                <w:sz w:val="24"/>
              </w:rPr>
              <w:t>航测标委会</w:t>
            </w:r>
          </w:p>
        </w:tc>
        <w:tc>
          <w:tcPr>
            <w:tcW w:w="6257" w:type="dxa"/>
            <w:vAlign w:val="center"/>
          </w:tcPr>
          <w:p>
            <w:pPr>
              <w:autoSpaceDN w:val="0"/>
              <w:spacing w:line="400" w:lineRule="exact"/>
              <w:ind w:firstLine="120" w:firstLineChars="50"/>
              <w:jc w:val="center"/>
              <w:textAlignment w:val="center"/>
              <w:rPr>
                <w:rFonts w:hint="eastAsia" w:ascii="仿宋_GB2312" w:eastAsia="仿宋_GB2312"/>
                <w:sz w:val="24"/>
              </w:rPr>
            </w:pPr>
            <w:r>
              <w:rPr>
                <w:rFonts w:hint="eastAsia" w:ascii="仿宋_GB2312" w:eastAsia="仿宋_GB2312"/>
                <w:sz w:val="24"/>
              </w:rPr>
              <w:t>交通运输航测标准化技术委员会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94" w:hRule="atLeast"/>
        </w:trPr>
        <w:tc>
          <w:tcPr>
            <w:tcW w:w="846" w:type="dxa"/>
            <w:vAlign w:val="center"/>
          </w:tcPr>
          <w:p>
            <w:pPr>
              <w:autoSpaceDN w:val="0"/>
              <w:spacing w:line="400" w:lineRule="exact"/>
              <w:jc w:val="center"/>
              <w:textAlignment w:val="center"/>
              <w:rPr>
                <w:rFonts w:hint="eastAsia" w:ascii="仿宋_GB2312" w:eastAsia="仿宋_GB2312"/>
                <w:sz w:val="24"/>
              </w:rPr>
            </w:pPr>
            <w:r>
              <w:rPr>
                <w:rFonts w:hint="eastAsia" w:ascii="仿宋_GB2312" w:eastAsia="仿宋_GB2312"/>
                <w:sz w:val="24"/>
              </w:rPr>
              <w:t>8</w:t>
            </w:r>
          </w:p>
        </w:tc>
        <w:tc>
          <w:tcPr>
            <w:tcW w:w="2977" w:type="dxa"/>
            <w:vAlign w:val="center"/>
          </w:tcPr>
          <w:p>
            <w:pPr>
              <w:autoSpaceDN w:val="0"/>
              <w:spacing w:line="400" w:lineRule="exact"/>
              <w:jc w:val="center"/>
              <w:textAlignment w:val="center"/>
              <w:rPr>
                <w:rFonts w:hint="eastAsia" w:ascii="仿宋_GB2312" w:eastAsia="仿宋_GB2312"/>
                <w:sz w:val="24"/>
              </w:rPr>
            </w:pPr>
            <w:r>
              <w:rPr>
                <w:rFonts w:hint="eastAsia" w:ascii="仿宋_GB2312" w:eastAsia="仿宋_GB2312"/>
                <w:sz w:val="24"/>
              </w:rPr>
              <w:t>信息通导标委会</w:t>
            </w:r>
          </w:p>
        </w:tc>
        <w:tc>
          <w:tcPr>
            <w:tcW w:w="6257" w:type="dxa"/>
            <w:vAlign w:val="center"/>
          </w:tcPr>
          <w:p>
            <w:pPr>
              <w:autoSpaceDN w:val="0"/>
              <w:spacing w:line="400" w:lineRule="exact"/>
              <w:ind w:firstLine="120" w:firstLineChars="50"/>
              <w:jc w:val="center"/>
              <w:textAlignment w:val="center"/>
              <w:rPr>
                <w:rFonts w:hint="eastAsia" w:ascii="仿宋_GB2312" w:eastAsia="仿宋_GB2312"/>
                <w:sz w:val="24"/>
              </w:rPr>
            </w:pPr>
            <w:r>
              <w:rPr>
                <w:rFonts w:hint="eastAsia" w:ascii="仿宋_GB2312" w:eastAsia="仿宋_GB2312"/>
                <w:sz w:val="24"/>
              </w:rPr>
              <w:t>交通运输信息通信及导航标准化技术委员会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4" w:hRule="atLeast"/>
        </w:trPr>
        <w:tc>
          <w:tcPr>
            <w:tcW w:w="846" w:type="dxa"/>
            <w:vAlign w:val="center"/>
          </w:tcPr>
          <w:p>
            <w:pPr>
              <w:autoSpaceDN w:val="0"/>
              <w:spacing w:line="400" w:lineRule="exact"/>
              <w:jc w:val="center"/>
              <w:textAlignment w:val="center"/>
              <w:rPr>
                <w:rFonts w:hint="eastAsia" w:ascii="仿宋_GB2312" w:eastAsia="仿宋_GB2312"/>
                <w:sz w:val="24"/>
              </w:rPr>
            </w:pPr>
            <w:r>
              <w:rPr>
                <w:rFonts w:hint="eastAsia" w:ascii="仿宋_GB2312" w:eastAsia="仿宋_GB2312"/>
                <w:sz w:val="24"/>
              </w:rPr>
              <w:t>9</w:t>
            </w:r>
          </w:p>
        </w:tc>
        <w:tc>
          <w:tcPr>
            <w:tcW w:w="2977" w:type="dxa"/>
            <w:vAlign w:val="center"/>
          </w:tcPr>
          <w:p>
            <w:pPr>
              <w:autoSpaceDN w:val="0"/>
              <w:spacing w:line="400" w:lineRule="exact"/>
              <w:jc w:val="center"/>
              <w:textAlignment w:val="center"/>
              <w:rPr>
                <w:rFonts w:hint="eastAsia" w:ascii="仿宋_GB2312" w:eastAsia="仿宋_GB2312"/>
                <w:sz w:val="24"/>
              </w:rPr>
            </w:pPr>
            <w:r>
              <w:rPr>
                <w:rFonts w:hint="eastAsia" w:ascii="仿宋_GB2312" w:eastAsia="仿宋_GB2312"/>
                <w:sz w:val="24"/>
              </w:rPr>
              <w:t>环境保护标委会</w:t>
            </w:r>
          </w:p>
        </w:tc>
        <w:tc>
          <w:tcPr>
            <w:tcW w:w="6257" w:type="dxa"/>
            <w:vAlign w:val="center"/>
          </w:tcPr>
          <w:p>
            <w:pPr>
              <w:autoSpaceDN w:val="0"/>
              <w:spacing w:line="400" w:lineRule="exact"/>
              <w:ind w:firstLine="120" w:firstLineChars="50"/>
              <w:jc w:val="center"/>
              <w:textAlignment w:val="center"/>
              <w:rPr>
                <w:rFonts w:hint="eastAsia" w:ascii="仿宋_GB2312" w:eastAsia="仿宋_GB2312"/>
                <w:sz w:val="24"/>
              </w:rPr>
            </w:pPr>
            <w:r>
              <w:rPr>
                <w:rFonts w:hint="eastAsia" w:ascii="仿宋_GB2312" w:eastAsia="仿宋_GB2312"/>
                <w:sz w:val="24"/>
              </w:rPr>
              <w:t>交通运输环境保护标准化技术委员会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94" w:hRule="atLeast"/>
        </w:trPr>
        <w:tc>
          <w:tcPr>
            <w:tcW w:w="846" w:type="dxa"/>
            <w:vAlign w:val="center"/>
          </w:tcPr>
          <w:p>
            <w:pPr>
              <w:autoSpaceDN w:val="0"/>
              <w:spacing w:line="400" w:lineRule="exact"/>
              <w:jc w:val="center"/>
              <w:textAlignment w:val="center"/>
              <w:rPr>
                <w:rFonts w:hint="eastAsia" w:ascii="仿宋_GB2312" w:eastAsia="仿宋_GB2312"/>
                <w:sz w:val="24"/>
              </w:rPr>
            </w:pPr>
            <w:r>
              <w:rPr>
                <w:rFonts w:hint="eastAsia" w:ascii="仿宋_GB2312" w:eastAsia="仿宋_GB2312"/>
                <w:sz w:val="24"/>
              </w:rPr>
              <w:t>10</w:t>
            </w:r>
          </w:p>
        </w:tc>
        <w:tc>
          <w:tcPr>
            <w:tcW w:w="2977" w:type="dxa"/>
            <w:vAlign w:val="center"/>
          </w:tcPr>
          <w:p>
            <w:pPr>
              <w:autoSpaceDN w:val="0"/>
              <w:spacing w:line="400" w:lineRule="exact"/>
              <w:jc w:val="center"/>
              <w:textAlignment w:val="center"/>
              <w:rPr>
                <w:rFonts w:hint="eastAsia" w:ascii="仿宋_GB2312" w:eastAsia="仿宋_GB2312"/>
                <w:sz w:val="24"/>
              </w:rPr>
            </w:pPr>
            <w:r>
              <w:rPr>
                <w:rFonts w:hint="eastAsia" w:ascii="仿宋_GB2312" w:eastAsia="仿宋_GB2312"/>
                <w:sz w:val="24"/>
              </w:rPr>
              <w:t>公路计量委员会</w:t>
            </w:r>
          </w:p>
        </w:tc>
        <w:tc>
          <w:tcPr>
            <w:tcW w:w="6257" w:type="dxa"/>
            <w:vAlign w:val="center"/>
          </w:tcPr>
          <w:p>
            <w:pPr>
              <w:autoSpaceDN w:val="0"/>
              <w:spacing w:line="400" w:lineRule="exact"/>
              <w:ind w:firstLine="120" w:firstLineChars="50"/>
              <w:jc w:val="center"/>
              <w:textAlignment w:val="center"/>
              <w:rPr>
                <w:rFonts w:hint="eastAsia" w:ascii="仿宋_GB2312" w:eastAsia="仿宋_GB2312"/>
                <w:sz w:val="24"/>
              </w:rPr>
            </w:pPr>
            <w:r>
              <w:rPr>
                <w:rFonts w:hint="eastAsia" w:ascii="仿宋_GB2312" w:eastAsia="仿宋_GB2312"/>
                <w:sz w:val="24"/>
              </w:rPr>
              <w:t>全国公路专用计量器具计量技术委员会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94" w:hRule="atLeast"/>
        </w:trPr>
        <w:tc>
          <w:tcPr>
            <w:tcW w:w="846" w:type="dxa"/>
            <w:vAlign w:val="center"/>
          </w:tcPr>
          <w:p>
            <w:pPr>
              <w:autoSpaceDN w:val="0"/>
              <w:spacing w:line="400" w:lineRule="exact"/>
              <w:jc w:val="center"/>
              <w:textAlignment w:val="center"/>
              <w:rPr>
                <w:rFonts w:hint="eastAsia" w:ascii="仿宋_GB2312" w:eastAsia="仿宋_GB2312"/>
                <w:sz w:val="24"/>
              </w:rPr>
            </w:pPr>
            <w:r>
              <w:rPr>
                <w:rFonts w:hint="eastAsia" w:ascii="仿宋_GB2312" w:eastAsia="仿宋_GB2312"/>
                <w:sz w:val="24"/>
              </w:rPr>
              <w:t>11</w:t>
            </w:r>
          </w:p>
        </w:tc>
        <w:tc>
          <w:tcPr>
            <w:tcW w:w="2977" w:type="dxa"/>
            <w:vAlign w:val="center"/>
          </w:tcPr>
          <w:p>
            <w:pPr>
              <w:autoSpaceDN w:val="0"/>
              <w:spacing w:line="400" w:lineRule="exact"/>
              <w:jc w:val="center"/>
              <w:textAlignment w:val="center"/>
              <w:rPr>
                <w:rFonts w:hint="eastAsia" w:ascii="仿宋_GB2312" w:eastAsia="仿宋_GB2312"/>
                <w:sz w:val="24"/>
              </w:rPr>
            </w:pPr>
            <w:r>
              <w:rPr>
                <w:rFonts w:hint="eastAsia" w:ascii="仿宋_GB2312" w:eastAsia="仿宋_GB2312"/>
                <w:sz w:val="24"/>
              </w:rPr>
              <w:t>水运计量委员会</w:t>
            </w:r>
          </w:p>
        </w:tc>
        <w:tc>
          <w:tcPr>
            <w:tcW w:w="6257" w:type="dxa"/>
            <w:vAlign w:val="center"/>
          </w:tcPr>
          <w:p>
            <w:pPr>
              <w:autoSpaceDN w:val="0"/>
              <w:spacing w:line="400" w:lineRule="exact"/>
              <w:ind w:firstLine="120" w:firstLineChars="50"/>
              <w:jc w:val="center"/>
              <w:textAlignment w:val="center"/>
              <w:rPr>
                <w:rFonts w:hint="eastAsia" w:ascii="仿宋_GB2312" w:eastAsia="仿宋_GB2312"/>
                <w:sz w:val="24"/>
              </w:rPr>
            </w:pPr>
            <w:r>
              <w:rPr>
                <w:rFonts w:hint="eastAsia" w:ascii="仿宋_GB2312" w:eastAsia="仿宋_GB2312"/>
                <w:sz w:val="24"/>
              </w:rPr>
              <w:t>全国水运专用计量器具计量技术委员会</w:t>
            </w:r>
          </w:p>
        </w:tc>
      </w:tr>
    </w:tbl>
    <w:p>
      <w:pPr>
        <w:widowControl/>
        <w:jc w:val="left"/>
        <w:rPr>
          <w:rFonts w:ascii="Times New Roman" w:hAnsi="Times New Roman" w:eastAsia="仿宋_GB2312" w:cs="Times New Roman"/>
          <w:sz w:val="32"/>
          <w:szCs w:val="32"/>
        </w:rPr>
      </w:pPr>
    </w:p>
    <w:sectPr>
      <w:pgSz w:w="11906" w:h="16838"/>
      <w:pgMar w:top="851" w:right="850" w:bottom="851" w:left="850" w:header="851" w:footer="992" w:gutter="0"/>
      <w:cols w:space="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Noto Sans Symbols2">
    <w:panose1 w:val="020B0502040504020204"/>
    <w:charset w:val="00"/>
    <w:family w:val="auto"/>
    <w:pitch w:val="default"/>
    <w:sig w:usb0="80000003" w:usb1="0200E3E4" w:usb2="00040020" w:usb3="0580A048" w:csb0="00000001"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5764318"/>
    </w:sdtPr>
    <w:sdtContent>
      <w:p>
        <w:pPr>
          <w:pStyle w:val="5"/>
          <w:jc w:val="center"/>
          <w:rPr>
            <w:rFonts w:hint="eastAsia"/>
          </w:rPr>
        </w:pPr>
        <w:r>
          <w:fldChar w:fldCharType="begin"/>
        </w:r>
        <w:r>
          <w:instrText xml:space="preserve">PAGE   \* MERGEFORMAT</w:instrText>
        </w:r>
        <w:r>
          <w:fldChar w:fldCharType="separate"/>
        </w:r>
        <w:r>
          <w:rPr>
            <w:lang w:val="zh-CN"/>
          </w:rPr>
          <w:t>1</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F3648"/>
    <w:multiLevelType w:val="multilevel"/>
    <w:tmpl w:val="351F3648"/>
    <w:lvl w:ilvl="0" w:tentative="0">
      <w:start w:val="1"/>
      <w:numFmt w:val="decimal"/>
      <w:lvlText w:val="%1"/>
      <w:lvlJc w:val="left"/>
      <w:pPr>
        <w:ind w:left="440" w:hanging="440"/>
      </w:pPr>
      <w:rPr>
        <w:rFonts w:hint="eastAsia" w:eastAsia="微软雅黑"/>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HorizontalSpacing w:val="105"/>
  <w:drawingGridVerticalSpacing w:val="163"/>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zMjlmZWNmZWUxZTQxNjRkMGRiNzU4YWU0OTY1MDEifQ=="/>
  </w:docVars>
  <w:rsids>
    <w:rsidRoot w:val="005933E3"/>
    <w:rsid w:val="0000314B"/>
    <w:rsid w:val="00003981"/>
    <w:rsid w:val="000119B5"/>
    <w:rsid w:val="000135D4"/>
    <w:rsid w:val="0001368C"/>
    <w:rsid w:val="000155EB"/>
    <w:rsid w:val="00023F02"/>
    <w:rsid w:val="00030311"/>
    <w:rsid w:val="00030FE2"/>
    <w:rsid w:val="00032283"/>
    <w:rsid w:val="00033557"/>
    <w:rsid w:val="00042221"/>
    <w:rsid w:val="00042263"/>
    <w:rsid w:val="00043F0E"/>
    <w:rsid w:val="00043F1B"/>
    <w:rsid w:val="00044785"/>
    <w:rsid w:val="0005261A"/>
    <w:rsid w:val="00056BF1"/>
    <w:rsid w:val="000620A4"/>
    <w:rsid w:val="00065F78"/>
    <w:rsid w:val="000670B7"/>
    <w:rsid w:val="0008398A"/>
    <w:rsid w:val="0008626D"/>
    <w:rsid w:val="00093CA6"/>
    <w:rsid w:val="00094560"/>
    <w:rsid w:val="000A091F"/>
    <w:rsid w:val="000A3135"/>
    <w:rsid w:val="000A6851"/>
    <w:rsid w:val="000B0A0D"/>
    <w:rsid w:val="000D1648"/>
    <w:rsid w:val="000D6B5D"/>
    <w:rsid w:val="000E61B1"/>
    <w:rsid w:val="000E6711"/>
    <w:rsid w:val="000E7068"/>
    <w:rsid w:val="000F6169"/>
    <w:rsid w:val="00101255"/>
    <w:rsid w:val="0010666C"/>
    <w:rsid w:val="001167C8"/>
    <w:rsid w:val="00117C89"/>
    <w:rsid w:val="0012447B"/>
    <w:rsid w:val="001272D3"/>
    <w:rsid w:val="00145984"/>
    <w:rsid w:val="00151BAB"/>
    <w:rsid w:val="00155450"/>
    <w:rsid w:val="001659B5"/>
    <w:rsid w:val="0017125C"/>
    <w:rsid w:val="00171FD9"/>
    <w:rsid w:val="00173468"/>
    <w:rsid w:val="00180E0C"/>
    <w:rsid w:val="001946E7"/>
    <w:rsid w:val="00195B9F"/>
    <w:rsid w:val="00195F9F"/>
    <w:rsid w:val="001A0F15"/>
    <w:rsid w:val="001A2AFF"/>
    <w:rsid w:val="001B2149"/>
    <w:rsid w:val="001B574C"/>
    <w:rsid w:val="001C1B10"/>
    <w:rsid w:val="001C2838"/>
    <w:rsid w:val="001D7FDB"/>
    <w:rsid w:val="001E4D70"/>
    <w:rsid w:val="001F0A5A"/>
    <w:rsid w:val="001F3127"/>
    <w:rsid w:val="001F52A5"/>
    <w:rsid w:val="0020350A"/>
    <w:rsid w:val="00203592"/>
    <w:rsid w:val="002102EE"/>
    <w:rsid w:val="00211F23"/>
    <w:rsid w:val="00220F3B"/>
    <w:rsid w:val="00221560"/>
    <w:rsid w:val="00225BA1"/>
    <w:rsid w:val="00232EC4"/>
    <w:rsid w:val="002335EB"/>
    <w:rsid w:val="00234A31"/>
    <w:rsid w:val="00242316"/>
    <w:rsid w:val="00244D08"/>
    <w:rsid w:val="0024644A"/>
    <w:rsid w:val="0025203F"/>
    <w:rsid w:val="002524F2"/>
    <w:rsid w:val="002541DE"/>
    <w:rsid w:val="00254702"/>
    <w:rsid w:val="00264133"/>
    <w:rsid w:val="002651F7"/>
    <w:rsid w:val="00267F81"/>
    <w:rsid w:val="002755AF"/>
    <w:rsid w:val="00286E67"/>
    <w:rsid w:val="00293A3F"/>
    <w:rsid w:val="002971CD"/>
    <w:rsid w:val="00297ABD"/>
    <w:rsid w:val="002B028E"/>
    <w:rsid w:val="002B2BD2"/>
    <w:rsid w:val="002C7367"/>
    <w:rsid w:val="002D14B9"/>
    <w:rsid w:val="002E0C59"/>
    <w:rsid w:val="002F64AC"/>
    <w:rsid w:val="002F7D97"/>
    <w:rsid w:val="003026FC"/>
    <w:rsid w:val="003054D0"/>
    <w:rsid w:val="00310A48"/>
    <w:rsid w:val="00317B80"/>
    <w:rsid w:val="00317E4D"/>
    <w:rsid w:val="0032034F"/>
    <w:rsid w:val="003215F0"/>
    <w:rsid w:val="00324589"/>
    <w:rsid w:val="00325D6D"/>
    <w:rsid w:val="003304FB"/>
    <w:rsid w:val="00333016"/>
    <w:rsid w:val="00357939"/>
    <w:rsid w:val="003579ED"/>
    <w:rsid w:val="00363ED8"/>
    <w:rsid w:val="003677CA"/>
    <w:rsid w:val="00372BB8"/>
    <w:rsid w:val="00375165"/>
    <w:rsid w:val="00377AB1"/>
    <w:rsid w:val="00381106"/>
    <w:rsid w:val="0038658B"/>
    <w:rsid w:val="003976E3"/>
    <w:rsid w:val="003A334F"/>
    <w:rsid w:val="003B2421"/>
    <w:rsid w:val="003B341A"/>
    <w:rsid w:val="003B3C6A"/>
    <w:rsid w:val="003B565F"/>
    <w:rsid w:val="003C3AA4"/>
    <w:rsid w:val="003D02AF"/>
    <w:rsid w:val="003D087C"/>
    <w:rsid w:val="003E3D24"/>
    <w:rsid w:val="003E5250"/>
    <w:rsid w:val="003E6A97"/>
    <w:rsid w:val="003E72B6"/>
    <w:rsid w:val="003E7F9D"/>
    <w:rsid w:val="004039E1"/>
    <w:rsid w:val="00431436"/>
    <w:rsid w:val="00435ACA"/>
    <w:rsid w:val="00436A6B"/>
    <w:rsid w:val="004400CA"/>
    <w:rsid w:val="0044113D"/>
    <w:rsid w:val="00447719"/>
    <w:rsid w:val="004522E8"/>
    <w:rsid w:val="004539CC"/>
    <w:rsid w:val="004542B1"/>
    <w:rsid w:val="004554F2"/>
    <w:rsid w:val="00456A15"/>
    <w:rsid w:val="00461183"/>
    <w:rsid w:val="004616AD"/>
    <w:rsid w:val="0046634C"/>
    <w:rsid w:val="004729CC"/>
    <w:rsid w:val="00474FC8"/>
    <w:rsid w:val="004834FB"/>
    <w:rsid w:val="004909B0"/>
    <w:rsid w:val="00495ED1"/>
    <w:rsid w:val="004B22C8"/>
    <w:rsid w:val="004B4FEB"/>
    <w:rsid w:val="004C583C"/>
    <w:rsid w:val="004C61DA"/>
    <w:rsid w:val="004E013C"/>
    <w:rsid w:val="004E3C4D"/>
    <w:rsid w:val="004E467B"/>
    <w:rsid w:val="004E49FA"/>
    <w:rsid w:val="004E506B"/>
    <w:rsid w:val="004E647A"/>
    <w:rsid w:val="004F096F"/>
    <w:rsid w:val="0050185A"/>
    <w:rsid w:val="00507EC0"/>
    <w:rsid w:val="00511A79"/>
    <w:rsid w:val="00515DD3"/>
    <w:rsid w:val="005235BE"/>
    <w:rsid w:val="00523F6B"/>
    <w:rsid w:val="00524945"/>
    <w:rsid w:val="0052682C"/>
    <w:rsid w:val="005273C3"/>
    <w:rsid w:val="0054368D"/>
    <w:rsid w:val="00543D9A"/>
    <w:rsid w:val="00556FC3"/>
    <w:rsid w:val="00562F46"/>
    <w:rsid w:val="00565D62"/>
    <w:rsid w:val="00566285"/>
    <w:rsid w:val="00567199"/>
    <w:rsid w:val="00571676"/>
    <w:rsid w:val="00574FD5"/>
    <w:rsid w:val="0057637F"/>
    <w:rsid w:val="0058544A"/>
    <w:rsid w:val="00591D16"/>
    <w:rsid w:val="00592540"/>
    <w:rsid w:val="005926E8"/>
    <w:rsid w:val="005933E3"/>
    <w:rsid w:val="00594EC0"/>
    <w:rsid w:val="005B4940"/>
    <w:rsid w:val="005B4DD4"/>
    <w:rsid w:val="005C0A1A"/>
    <w:rsid w:val="005C0A54"/>
    <w:rsid w:val="005C24D6"/>
    <w:rsid w:val="005C2E2C"/>
    <w:rsid w:val="005C3789"/>
    <w:rsid w:val="005C3F06"/>
    <w:rsid w:val="005C73F9"/>
    <w:rsid w:val="005D564E"/>
    <w:rsid w:val="005D6D2A"/>
    <w:rsid w:val="005E3D1C"/>
    <w:rsid w:val="005E4C81"/>
    <w:rsid w:val="005E5198"/>
    <w:rsid w:val="005E777C"/>
    <w:rsid w:val="005F10E3"/>
    <w:rsid w:val="006005FC"/>
    <w:rsid w:val="00607DF9"/>
    <w:rsid w:val="0061769C"/>
    <w:rsid w:val="00627865"/>
    <w:rsid w:val="00631953"/>
    <w:rsid w:val="00632DB8"/>
    <w:rsid w:val="006348B6"/>
    <w:rsid w:val="00637606"/>
    <w:rsid w:val="006409BD"/>
    <w:rsid w:val="0064697F"/>
    <w:rsid w:val="00650C27"/>
    <w:rsid w:val="00653502"/>
    <w:rsid w:val="00657F56"/>
    <w:rsid w:val="00660BD4"/>
    <w:rsid w:val="00662898"/>
    <w:rsid w:val="0066492C"/>
    <w:rsid w:val="006755DB"/>
    <w:rsid w:val="00675C82"/>
    <w:rsid w:val="00682FC9"/>
    <w:rsid w:val="00683765"/>
    <w:rsid w:val="006844F1"/>
    <w:rsid w:val="0068608C"/>
    <w:rsid w:val="0069445E"/>
    <w:rsid w:val="00694C8C"/>
    <w:rsid w:val="006A39CA"/>
    <w:rsid w:val="006A7B3F"/>
    <w:rsid w:val="006B08E1"/>
    <w:rsid w:val="006B3DA1"/>
    <w:rsid w:val="006B7F9D"/>
    <w:rsid w:val="006C2DCD"/>
    <w:rsid w:val="006C378B"/>
    <w:rsid w:val="006C4DB8"/>
    <w:rsid w:val="006C7B18"/>
    <w:rsid w:val="006C7D6A"/>
    <w:rsid w:val="006D03B6"/>
    <w:rsid w:val="006D0E7D"/>
    <w:rsid w:val="006E54C7"/>
    <w:rsid w:val="00702849"/>
    <w:rsid w:val="00714BC5"/>
    <w:rsid w:val="00734B0F"/>
    <w:rsid w:val="00747A36"/>
    <w:rsid w:val="00753E06"/>
    <w:rsid w:val="00755A62"/>
    <w:rsid w:val="00760FE7"/>
    <w:rsid w:val="007618B5"/>
    <w:rsid w:val="00762F2D"/>
    <w:rsid w:val="00763107"/>
    <w:rsid w:val="00773F62"/>
    <w:rsid w:val="00774FD2"/>
    <w:rsid w:val="007819BB"/>
    <w:rsid w:val="00782D43"/>
    <w:rsid w:val="00784CB6"/>
    <w:rsid w:val="00790172"/>
    <w:rsid w:val="00790236"/>
    <w:rsid w:val="00791BCB"/>
    <w:rsid w:val="00797E46"/>
    <w:rsid w:val="007A3884"/>
    <w:rsid w:val="007A66ED"/>
    <w:rsid w:val="007B44F3"/>
    <w:rsid w:val="007C1018"/>
    <w:rsid w:val="007C4F90"/>
    <w:rsid w:val="007C6610"/>
    <w:rsid w:val="007D16AF"/>
    <w:rsid w:val="007D42C8"/>
    <w:rsid w:val="007D5321"/>
    <w:rsid w:val="007D757F"/>
    <w:rsid w:val="007E3E6F"/>
    <w:rsid w:val="007F2036"/>
    <w:rsid w:val="007F28FE"/>
    <w:rsid w:val="008039C9"/>
    <w:rsid w:val="008047D3"/>
    <w:rsid w:val="008175CA"/>
    <w:rsid w:val="00824A2C"/>
    <w:rsid w:val="008275ED"/>
    <w:rsid w:val="00833216"/>
    <w:rsid w:val="008336A9"/>
    <w:rsid w:val="00841496"/>
    <w:rsid w:val="00843C49"/>
    <w:rsid w:val="0084426C"/>
    <w:rsid w:val="008533B5"/>
    <w:rsid w:val="00866D7A"/>
    <w:rsid w:val="0086779E"/>
    <w:rsid w:val="00870504"/>
    <w:rsid w:val="00871895"/>
    <w:rsid w:val="00873996"/>
    <w:rsid w:val="00873CF8"/>
    <w:rsid w:val="00877250"/>
    <w:rsid w:val="00877F75"/>
    <w:rsid w:val="00881856"/>
    <w:rsid w:val="00885887"/>
    <w:rsid w:val="0088700D"/>
    <w:rsid w:val="008920EE"/>
    <w:rsid w:val="0089301D"/>
    <w:rsid w:val="00897621"/>
    <w:rsid w:val="008B5057"/>
    <w:rsid w:val="008B710A"/>
    <w:rsid w:val="008C7043"/>
    <w:rsid w:val="008D10EF"/>
    <w:rsid w:val="008E0000"/>
    <w:rsid w:val="008E16CD"/>
    <w:rsid w:val="008E2D52"/>
    <w:rsid w:val="008E729B"/>
    <w:rsid w:val="008F1C1F"/>
    <w:rsid w:val="008F29C3"/>
    <w:rsid w:val="008F7A15"/>
    <w:rsid w:val="00906F2D"/>
    <w:rsid w:val="009132EE"/>
    <w:rsid w:val="009160AB"/>
    <w:rsid w:val="00916B39"/>
    <w:rsid w:val="00922EE5"/>
    <w:rsid w:val="00924485"/>
    <w:rsid w:val="00926452"/>
    <w:rsid w:val="0094291D"/>
    <w:rsid w:val="009457D8"/>
    <w:rsid w:val="009478C6"/>
    <w:rsid w:val="009506CD"/>
    <w:rsid w:val="00954EFD"/>
    <w:rsid w:val="00961E75"/>
    <w:rsid w:val="00963B51"/>
    <w:rsid w:val="00966493"/>
    <w:rsid w:val="00966521"/>
    <w:rsid w:val="009777C2"/>
    <w:rsid w:val="0098165B"/>
    <w:rsid w:val="00981E95"/>
    <w:rsid w:val="009820EC"/>
    <w:rsid w:val="00985C86"/>
    <w:rsid w:val="009918EF"/>
    <w:rsid w:val="009A1F09"/>
    <w:rsid w:val="009A3776"/>
    <w:rsid w:val="009A6716"/>
    <w:rsid w:val="009A7283"/>
    <w:rsid w:val="009B24F1"/>
    <w:rsid w:val="009B686D"/>
    <w:rsid w:val="009C60C3"/>
    <w:rsid w:val="009D3132"/>
    <w:rsid w:val="009E093A"/>
    <w:rsid w:val="009E19BC"/>
    <w:rsid w:val="009E1F7A"/>
    <w:rsid w:val="009E2E87"/>
    <w:rsid w:val="009F6503"/>
    <w:rsid w:val="00A03F12"/>
    <w:rsid w:val="00A06DA7"/>
    <w:rsid w:val="00A12D64"/>
    <w:rsid w:val="00A15A42"/>
    <w:rsid w:val="00A16C95"/>
    <w:rsid w:val="00A175B3"/>
    <w:rsid w:val="00A22EC0"/>
    <w:rsid w:val="00A25A85"/>
    <w:rsid w:val="00A26DD5"/>
    <w:rsid w:val="00A3596E"/>
    <w:rsid w:val="00A4384B"/>
    <w:rsid w:val="00A54C90"/>
    <w:rsid w:val="00A6016F"/>
    <w:rsid w:val="00A657AF"/>
    <w:rsid w:val="00A65E20"/>
    <w:rsid w:val="00A70A7C"/>
    <w:rsid w:val="00A7496E"/>
    <w:rsid w:val="00A7614E"/>
    <w:rsid w:val="00A860AD"/>
    <w:rsid w:val="00A965FD"/>
    <w:rsid w:val="00AA0B2F"/>
    <w:rsid w:val="00AA190D"/>
    <w:rsid w:val="00AA2A3D"/>
    <w:rsid w:val="00AB3E26"/>
    <w:rsid w:val="00AB5CB4"/>
    <w:rsid w:val="00AC2C98"/>
    <w:rsid w:val="00AC36E7"/>
    <w:rsid w:val="00AD2168"/>
    <w:rsid w:val="00AD2649"/>
    <w:rsid w:val="00AD3218"/>
    <w:rsid w:val="00AD5EAD"/>
    <w:rsid w:val="00AF2F8C"/>
    <w:rsid w:val="00B003ED"/>
    <w:rsid w:val="00B01F35"/>
    <w:rsid w:val="00B03128"/>
    <w:rsid w:val="00B03197"/>
    <w:rsid w:val="00B0662F"/>
    <w:rsid w:val="00B13A87"/>
    <w:rsid w:val="00B15320"/>
    <w:rsid w:val="00B15473"/>
    <w:rsid w:val="00B2045A"/>
    <w:rsid w:val="00B23500"/>
    <w:rsid w:val="00B240C8"/>
    <w:rsid w:val="00B24186"/>
    <w:rsid w:val="00B3491D"/>
    <w:rsid w:val="00B354A8"/>
    <w:rsid w:val="00B358AC"/>
    <w:rsid w:val="00B47397"/>
    <w:rsid w:val="00B5007B"/>
    <w:rsid w:val="00B50706"/>
    <w:rsid w:val="00B55B64"/>
    <w:rsid w:val="00B62A3C"/>
    <w:rsid w:val="00B65886"/>
    <w:rsid w:val="00B65EDA"/>
    <w:rsid w:val="00B74888"/>
    <w:rsid w:val="00B80521"/>
    <w:rsid w:val="00B81C77"/>
    <w:rsid w:val="00B869CC"/>
    <w:rsid w:val="00B907A3"/>
    <w:rsid w:val="00B9289E"/>
    <w:rsid w:val="00B933E2"/>
    <w:rsid w:val="00B9393A"/>
    <w:rsid w:val="00B95D44"/>
    <w:rsid w:val="00B95FB4"/>
    <w:rsid w:val="00BA2994"/>
    <w:rsid w:val="00BA59F0"/>
    <w:rsid w:val="00BA5EA9"/>
    <w:rsid w:val="00BB6896"/>
    <w:rsid w:val="00BC08D9"/>
    <w:rsid w:val="00BD2D32"/>
    <w:rsid w:val="00BD5A28"/>
    <w:rsid w:val="00BD7E27"/>
    <w:rsid w:val="00BE1D6B"/>
    <w:rsid w:val="00BE7A03"/>
    <w:rsid w:val="00BF04B3"/>
    <w:rsid w:val="00BF780E"/>
    <w:rsid w:val="00C00B88"/>
    <w:rsid w:val="00C10B90"/>
    <w:rsid w:val="00C12F61"/>
    <w:rsid w:val="00C14046"/>
    <w:rsid w:val="00C16BCB"/>
    <w:rsid w:val="00C2305A"/>
    <w:rsid w:val="00C2780C"/>
    <w:rsid w:val="00C27EDE"/>
    <w:rsid w:val="00C3698F"/>
    <w:rsid w:val="00C36CAB"/>
    <w:rsid w:val="00C376F1"/>
    <w:rsid w:val="00C46AF5"/>
    <w:rsid w:val="00C473A3"/>
    <w:rsid w:val="00C537C0"/>
    <w:rsid w:val="00C57579"/>
    <w:rsid w:val="00C67933"/>
    <w:rsid w:val="00C82404"/>
    <w:rsid w:val="00C82615"/>
    <w:rsid w:val="00C87774"/>
    <w:rsid w:val="00C87851"/>
    <w:rsid w:val="00C90B1D"/>
    <w:rsid w:val="00C97F0C"/>
    <w:rsid w:val="00CA1B61"/>
    <w:rsid w:val="00CB3C68"/>
    <w:rsid w:val="00CB7C28"/>
    <w:rsid w:val="00CD2547"/>
    <w:rsid w:val="00CD3FAC"/>
    <w:rsid w:val="00CD7C5D"/>
    <w:rsid w:val="00CD7DB3"/>
    <w:rsid w:val="00CD7E75"/>
    <w:rsid w:val="00CE0250"/>
    <w:rsid w:val="00CF266C"/>
    <w:rsid w:val="00CF726E"/>
    <w:rsid w:val="00CF7E5E"/>
    <w:rsid w:val="00D020F0"/>
    <w:rsid w:val="00D02A65"/>
    <w:rsid w:val="00D033FC"/>
    <w:rsid w:val="00D216A7"/>
    <w:rsid w:val="00D25773"/>
    <w:rsid w:val="00D353A2"/>
    <w:rsid w:val="00D43D7E"/>
    <w:rsid w:val="00D44BEC"/>
    <w:rsid w:val="00D66703"/>
    <w:rsid w:val="00D74E6B"/>
    <w:rsid w:val="00D764C0"/>
    <w:rsid w:val="00D764FA"/>
    <w:rsid w:val="00D84958"/>
    <w:rsid w:val="00D900F9"/>
    <w:rsid w:val="00D91592"/>
    <w:rsid w:val="00D923C5"/>
    <w:rsid w:val="00DB057A"/>
    <w:rsid w:val="00DD084E"/>
    <w:rsid w:val="00DD7132"/>
    <w:rsid w:val="00DE1328"/>
    <w:rsid w:val="00DE30A4"/>
    <w:rsid w:val="00DE7950"/>
    <w:rsid w:val="00DE7C85"/>
    <w:rsid w:val="00DF3705"/>
    <w:rsid w:val="00DF51A8"/>
    <w:rsid w:val="00DF723F"/>
    <w:rsid w:val="00E03BC7"/>
    <w:rsid w:val="00E10774"/>
    <w:rsid w:val="00E109F0"/>
    <w:rsid w:val="00E16A97"/>
    <w:rsid w:val="00E17BE9"/>
    <w:rsid w:val="00E26AF8"/>
    <w:rsid w:val="00E2792F"/>
    <w:rsid w:val="00E30455"/>
    <w:rsid w:val="00E323EB"/>
    <w:rsid w:val="00E37957"/>
    <w:rsid w:val="00E40371"/>
    <w:rsid w:val="00E46120"/>
    <w:rsid w:val="00E507DE"/>
    <w:rsid w:val="00E55BBD"/>
    <w:rsid w:val="00E56C59"/>
    <w:rsid w:val="00E57498"/>
    <w:rsid w:val="00E57CB8"/>
    <w:rsid w:val="00E60BF7"/>
    <w:rsid w:val="00E669A0"/>
    <w:rsid w:val="00E707C7"/>
    <w:rsid w:val="00E77B61"/>
    <w:rsid w:val="00E862D0"/>
    <w:rsid w:val="00E9538F"/>
    <w:rsid w:val="00E95CF2"/>
    <w:rsid w:val="00EA1E00"/>
    <w:rsid w:val="00EA3D8B"/>
    <w:rsid w:val="00EA5673"/>
    <w:rsid w:val="00EB0BF6"/>
    <w:rsid w:val="00EB1925"/>
    <w:rsid w:val="00EB26EB"/>
    <w:rsid w:val="00EB4708"/>
    <w:rsid w:val="00EB73E2"/>
    <w:rsid w:val="00EB7C74"/>
    <w:rsid w:val="00EB7E03"/>
    <w:rsid w:val="00EC54E4"/>
    <w:rsid w:val="00EC6F1F"/>
    <w:rsid w:val="00EC6F26"/>
    <w:rsid w:val="00ED188C"/>
    <w:rsid w:val="00EE6828"/>
    <w:rsid w:val="00EF515D"/>
    <w:rsid w:val="00F04357"/>
    <w:rsid w:val="00F05E1A"/>
    <w:rsid w:val="00F12510"/>
    <w:rsid w:val="00F148CD"/>
    <w:rsid w:val="00F1706F"/>
    <w:rsid w:val="00F17467"/>
    <w:rsid w:val="00F27098"/>
    <w:rsid w:val="00F307B3"/>
    <w:rsid w:val="00F31336"/>
    <w:rsid w:val="00F3746F"/>
    <w:rsid w:val="00F50293"/>
    <w:rsid w:val="00F5627B"/>
    <w:rsid w:val="00F747D2"/>
    <w:rsid w:val="00F85023"/>
    <w:rsid w:val="00F86332"/>
    <w:rsid w:val="00F957D2"/>
    <w:rsid w:val="00F97CA8"/>
    <w:rsid w:val="00FA41D1"/>
    <w:rsid w:val="00FA4B54"/>
    <w:rsid w:val="00FA5C91"/>
    <w:rsid w:val="00FB0AD5"/>
    <w:rsid w:val="00FB35BE"/>
    <w:rsid w:val="00FC2212"/>
    <w:rsid w:val="00FD28A8"/>
    <w:rsid w:val="00FE0F25"/>
    <w:rsid w:val="00FE60F3"/>
    <w:rsid w:val="00FE63C9"/>
    <w:rsid w:val="00FF408D"/>
    <w:rsid w:val="064BDC85"/>
    <w:rsid w:val="0C7F313B"/>
    <w:rsid w:val="1104487A"/>
    <w:rsid w:val="12A15165"/>
    <w:rsid w:val="12C02EFB"/>
    <w:rsid w:val="149C1746"/>
    <w:rsid w:val="15961BA5"/>
    <w:rsid w:val="15D267B1"/>
    <w:rsid w:val="173E47CB"/>
    <w:rsid w:val="1E536D58"/>
    <w:rsid w:val="1FA808F8"/>
    <w:rsid w:val="1FEF8090"/>
    <w:rsid w:val="22BE48B8"/>
    <w:rsid w:val="23EF0944"/>
    <w:rsid w:val="25EB2085"/>
    <w:rsid w:val="264178F5"/>
    <w:rsid w:val="27FF7B75"/>
    <w:rsid w:val="27FF9D63"/>
    <w:rsid w:val="28C90A0F"/>
    <w:rsid w:val="297818D2"/>
    <w:rsid w:val="2CE56965"/>
    <w:rsid w:val="2D481437"/>
    <w:rsid w:val="2FC5DB72"/>
    <w:rsid w:val="2FCE5204"/>
    <w:rsid w:val="308C5395"/>
    <w:rsid w:val="3348DB83"/>
    <w:rsid w:val="33DDE0A9"/>
    <w:rsid w:val="34B775B3"/>
    <w:rsid w:val="3DFF6498"/>
    <w:rsid w:val="3EFBC689"/>
    <w:rsid w:val="3F4FEB26"/>
    <w:rsid w:val="3FF72EBB"/>
    <w:rsid w:val="3FF7B56B"/>
    <w:rsid w:val="3FFE52B5"/>
    <w:rsid w:val="450D70E6"/>
    <w:rsid w:val="46C978C9"/>
    <w:rsid w:val="4CF5E955"/>
    <w:rsid w:val="4DFFAEAC"/>
    <w:rsid w:val="4F7BB938"/>
    <w:rsid w:val="4FB6134B"/>
    <w:rsid w:val="5708517E"/>
    <w:rsid w:val="5776022B"/>
    <w:rsid w:val="57D91936"/>
    <w:rsid w:val="5B77A964"/>
    <w:rsid w:val="5BFCDF15"/>
    <w:rsid w:val="5BFEDCCF"/>
    <w:rsid w:val="5CE70834"/>
    <w:rsid w:val="5CFD472C"/>
    <w:rsid w:val="62057497"/>
    <w:rsid w:val="66B86D80"/>
    <w:rsid w:val="67EC054E"/>
    <w:rsid w:val="67EF5316"/>
    <w:rsid w:val="67EF6ED6"/>
    <w:rsid w:val="6A603A3E"/>
    <w:rsid w:val="6BBE2FE7"/>
    <w:rsid w:val="6BDF2719"/>
    <w:rsid w:val="6DBDF444"/>
    <w:rsid w:val="6EFF2683"/>
    <w:rsid w:val="6FB3038B"/>
    <w:rsid w:val="6FBF1A19"/>
    <w:rsid w:val="6FCB89FB"/>
    <w:rsid w:val="6FDDB92B"/>
    <w:rsid w:val="6FEB0E02"/>
    <w:rsid w:val="74DA0CE9"/>
    <w:rsid w:val="75F49043"/>
    <w:rsid w:val="7637C928"/>
    <w:rsid w:val="76F6723F"/>
    <w:rsid w:val="77BAACE3"/>
    <w:rsid w:val="77E71078"/>
    <w:rsid w:val="77FFD22B"/>
    <w:rsid w:val="78BF8EDD"/>
    <w:rsid w:val="79E36C80"/>
    <w:rsid w:val="7A7EB085"/>
    <w:rsid w:val="7B3E8DCA"/>
    <w:rsid w:val="7B674F07"/>
    <w:rsid w:val="7E7D2C64"/>
    <w:rsid w:val="7F1E775C"/>
    <w:rsid w:val="7F6FE420"/>
    <w:rsid w:val="7F7C8ED9"/>
    <w:rsid w:val="7F7CEC1D"/>
    <w:rsid w:val="7F7D0DA2"/>
    <w:rsid w:val="7F9F63B8"/>
    <w:rsid w:val="7FB34D8F"/>
    <w:rsid w:val="7FC889EB"/>
    <w:rsid w:val="7FCEE45F"/>
    <w:rsid w:val="7FF73E45"/>
    <w:rsid w:val="7FFA76BE"/>
    <w:rsid w:val="7FFB6B58"/>
    <w:rsid w:val="7FFF98EC"/>
    <w:rsid w:val="85D6BB07"/>
    <w:rsid w:val="8FEF33DB"/>
    <w:rsid w:val="9D6E8B7E"/>
    <w:rsid w:val="9F6EF53A"/>
    <w:rsid w:val="9FCF404A"/>
    <w:rsid w:val="A73E2A82"/>
    <w:rsid w:val="ABFB4751"/>
    <w:rsid w:val="ADBE81A3"/>
    <w:rsid w:val="AF4F9C80"/>
    <w:rsid w:val="AFFF4DE7"/>
    <w:rsid w:val="B3C67109"/>
    <w:rsid w:val="B4DE94EB"/>
    <w:rsid w:val="B5DEE6D8"/>
    <w:rsid w:val="BAFF195F"/>
    <w:rsid w:val="BEA5BE6D"/>
    <w:rsid w:val="BFBDB795"/>
    <w:rsid w:val="CBFB8B46"/>
    <w:rsid w:val="CDBF59B0"/>
    <w:rsid w:val="CFCF5B15"/>
    <w:rsid w:val="D5F787CE"/>
    <w:rsid w:val="D63D03E7"/>
    <w:rsid w:val="D773DB70"/>
    <w:rsid w:val="D7DFCBBB"/>
    <w:rsid w:val="D7FF57D5"/>
    <w:rsid w:val="DA661EE1"/>
    <w:rsid w:val="DBCDBF0B"/>
    <w:rsid w:val="DDED3058"/>
    <w:rsid w:val="DEBDB9CD"/>
    <w:rsid w:val="DEDFC572"/>
    <w:rsid w:val="DEE282FF"/>
    <w:rsid w:val="DEFD1C5C"/>
    <w:rsid w:val="DF999B77"/>
    <w:rsid w:val="DFDB958D"/>
    <w:rsid w:val="DFFF53EF"/>
    <w:rsid w:val="E4FEB457"/>
    <w:rsid w:val="E7FCAAFF"/>
    <w:rsid w:val="E7FF1738"/>
    <w:rsid w:val="EA7FC693"/>
    <w:rsid w:val="EBE7C443"/>
    <w:rsid w:val="EBFF7F33"/>
    <w:rsid w:val="EDE770B2"/>
    <w:rsid w:val="EEEE21E4"/>
    <w:rsid w:val="EEEF0BAD"/>
    <w:rsid w:val="EEFA5EC0"/>
    <w:rsid w:val="EF75857D"/>
    <w:rsid w:val="EFBFB49E"/>
    <w:rsid w:val="EFF7A740"/>
    <w:rsid w:val="F1DE2247"/>
    <w:rsid w:val="F5B9954C"/>
    <w:rsid w:val="F5BEAE28"/>
    <w:rsid w:val="F69F0BAF"/>
    <w:rsid w:val="F6FB4BE5"/>
    <w:rsid w:val="F77F9E18"/>
    <w:rsid w:val="F7836608"/>
    <w:rsid w:val="F7DF5D44"/>
    <w:rsid w:val="F7DFDC6A"/>
    <w:rsid w:val="F7EF4329"/>
    <w:rsid w:val="F7FF17AE"/>
    <w:rsid w:val="FB6D2048"/>
    <w:rsid w:val="FB9A3FEF"/>
    <w:rsid w:val="FBAEF959"/>
    <w:rsid w:val="FC755660"/>
    <w:rsid w:val="FCFDEFAA"/>
    <w:rsid w:val="FDBD148E"/>
    <w:rsid w:val="FDBD79D4"/>
    <w:rsid w:val="FDF7FD48"/>
    <w:rsid w:val="FE4FB1D8"/>
    <w:rsid w:val="FE531B2C"/>
    <w:rsid w:val="FEBD0A1C"/>
    <w:rsid w:val="FEBEB224"/>
    <w:rsid w:val="FEF6199D"/>
    <w:rsid w:val="FF6F482F"/>
    <w:rsid w:val="FF789142"/>
    <w:rsid w:val="FF9FFE4B"/>
    <w:rsid w:val="FFAF6732"/>
    <w:rsid w:val="FFFE271D"/>
    <w:rsid w:val="FFFEE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9"/>
    <w:semiHidden/>
    <w:unhideWhenUsed/>
    <w:qFormat/>
    <w:uiPriority w:val="99"/>
    <w:pPr>
      <w:jc w:val="left"/>
    </w:pPr>
  </w:style>
  <w:style w:type="paragraph" w:styleId="4">
    <w:name w:val="Balloon Text"/>
    <w:basedOn w:val="1"/>
    <w:link w:val="42"/>
    <w:semiHidden/>
    <w:unhideWhenUsed/>
    <w:qFormat/>
    <w:uiPriority w:val="99"/>
    <w:rPr>
      <w:sz w:val="18"/>
      <w:szCs w:val="18"/>
    </w:rPr>
  </w:style>
  <w:style w:type="paragraph" w:styleId="5">
    <w:name w:val="footer"/>
    <w:basedOn w:val="1"/>
    <w:link w:val="30"/>
    <w:unhideWhenUsed/>
    <w:qFormat/>
    <w:uiPriority w:val="99"/>
    <w:pPr>
      <w:tabs>
        <w:tab w:val="center" w:pos="4153"/>
        <w:tab w:val="right" w:pos="8306"/>
      </w:tabs>
      <w:snapToGrid w:val="0"/>
      <w:jc w:val="left"/>
    </w:pPr>
    <w:rPr>
      <w:sz w:val="18"/>
      <w:szCs w:val="18"/>
    </w:rPr>
  </w:style>
  <w:style w:type="paragraph" w:styleId="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45"/>
    <w:semiHidden/>
    <w:unhideWhenUsed/>
    <w:qFormat/>
    <w:uiPriority w:val="0"/>
    <w:pPr>
      <w:snapToGrid w:val="0"/>
      <w:jc w:val="left"/>
    </w:pPr>
    <w:rPr>
      <w:rFonts w:ascii="Calibri" w:hAnsi="Calibri" w:eastAsia="宋体" w:cs="Times New Roman"/>
      <w:sz w:val="18"/>
    </w:rPr>
  </w:style>
  <w:style w:type="paragraph" w:styleId="8">
    <w:name w:val="HTML Preformatted"/>
    <w:basedOn w:val="1"/>
    <w:link w:val="5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9">
    <w:name w:val="annotation subject"/>
    <w:basedOn w:val="3"/>
    <w:next w:val="3"/>
    <w:link w:val="40"/>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qFormat/>
    <w:uiPriority w:val="99"/>
    <w:rPr>
      <w:color w:val="954F72"/>
      <w:u w:val="single"/>
    </w:rPr>
  </w:style>
  <w:style w:type="character" w:styleId="14">
    <w:name w:val="Hyperlink"/>
    <w:basedOn w:val="12"/>
    <w:semiHidden/>
    <w:unhideWhenUsed/>
    <w:qFormat/>
    <w:uiPriority w:val="99"/>
    <w:rPr>
      <w:color w:val="0563C1"/>
      <w:u w:val="single"/>
    </w:rPr>
  </w:style>
  <w:style w:type="character" w:styleId="15">
    <w:name w:val="annotation reference"/>
    <w:basedOn w:val="12"/>
    <w:semiHidden/>
    <w:unhideWhenUsed/>
    <w:qFormat/>
    <w:uiPriority w:val="99"/>
    <w:rPr>
      <w:sz w:val="21"/>
      <w:szCs w:val="21"/>
    </w:rPr>
  </w:style>
  <w:style w:type="character" w:styleId="16">
    <w:name w:val="footnote reference"/>
    <w:basedOn w:val="12"/>
    <w:semiHidden/>
    <w:unhideWhenUsed/>
    <w:qFormat/>
    <w:uiPriority w:val="0"/>
    <w:rPr>
      <w:vertAlign w:val="superscript"/>
    </w:rPr>
  </w:style>
  <w:style w:type="paragraph" w:customStyle="1" w:styleId="1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9">
    <w:name w:val="font6"/>
    <w:basedOn w:val="1"/>
    <w:qFormat/>
    <w:uiPriority w:val="0"/>
    <w:pPr>
      <w:widowControl/>
      <w:spacing w:before="100" w:beforeAutospacing="1" w:after="100" w:afterAutospacing="1"/>
      <w:jc w:val="left"/>
    </w:pPr>
    <w:rPr>
      <w:rFonts w:ascii="仿宋_GB2312" w:hAnsi="宋体" w:eastAsia="仿宋_GB2312" w:cs="宋体"/>
      <w:color w:val="000000"/>
      <w:kern w:val="0"/>
      <w:sz w:val="22"/>
    </w:rPr>
  </w:style>
  <w:style w:type="paragraph" w:customStyle="1" w:styleId="20">
    <w:name w:val="font7"/>
    <w:basedOn w:val="1"/>
    <w:qFormat/>
    <w:uiPriority w:val="0"/>
    <w:pPr>
      <w:widowControl/>
      <w:spacing w:before="100" w:beforeAutospacing="1" w:after="100" w:afterAutospacing="1"/>
      <w:jc w:val="left"/>
    </w:pPr>
    <w:rPr>
      <w:rFonts w:ascii="仿宋_GB2312" w:hAnsi="宋体" w:eastAsia="仿宋_GB2312" w:cs="宋体"/>
      <w:b/>
      <w:bCs/>
      <w:color w:val="000000"/>
      <w:kern w:val="0"/>
      <w:sz w:val="22"/>
    </w:rPr>
  </w:style>
  <w:style w:type="paragraph" w:customStyle="1" w:styleId="21">
    <w:name w:val="xl65"/>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2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szCs w:val="24"/>
    </w:rPr>
  </w:style>
  <w:style w:type="paragraph" w:customStyle="1" w:styleId="2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4"/>
      <w:szCs w:val="24"/>
    </w:rPr>
  </w:style>
  <w:style w:type="paragraph" w:customStyle="1" w:styleId="2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color w:val="000000"/>
      <w:kern w:val="0"/>
      <w:sz w:val="24"/>
      <w:szCs w:val="24"/>
    </w:rPr>
  </w:style>
  <w:style w:type="paragraph" w:customStyle="1" w:styleId="2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2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仿宋_GB2312" w:hAnsi="宋体" w:eastAsia="仿宋_GB2312" w:cs="宋体"/>
      <w:kern w:val="0"/>
      <w:sz w:val="24"/>
      <w:szCs w:val="24"/>
    </w:rPr>
  </w:style>
  <w:style w:type="paragraph" w:customStyle="1" w:styleId="27">
    <w:name w:val="xl71"/>
    <w:basedOn w:val="1"/>
    <w:qFormat/>
    <w:uiPriority w:val="0"/>
    <w:pPr>
      <w:widowControl/>
      <w:spacing w:before="100" w:beforeAutospacing="1" w:after="100" w:afterAutospacing="1"/>
      <w:jc w:val="center"/>
    </w:pPr>
    <w:rPr>
      <w:rFonts w:ascii="仿宋_GB2312" w:hAnsi="宋体" w:eastAsia="仿宋_GB2312" w:cs="宋体"/>
      <w:kern w:val="0"/>
      <w:sz w:val="24"/>
      <w:szCs w:val="24"/>
    </w:rPr>
  </w:style>
  <w:style w:type="paragraph" w:styleId="28">
    <w:name w:val="List Paragraph"/>
    <w:basedOn w:val="1"/>
    <w:qFormat/>
    <w:uiPriority w:val="34"/>
    <w:pPr>
      <w:ind w:firstLine="420" w:firstLineChars="200"/>
    </w:pPr>
  </w:style>
  <w:style w:type="character" w:customStyle="1" w:styleId="29">
    <w:name w:val="页眉 字符"/>
    <w:basedOn w:val="12"/>
    <w:link w:val="6"/>
    <w:qFormat/>
    <w:uiPriority w:val="99"/>
    <w:rPr>
      <w:sz w:val="18"/>
      <w:szCs w:val="18"/>
    </w:rPr>
  </w:style>
  <w:style w:type="character" w:customStyle="1" w:styleId="30">
    <w:name w:val="页脚 字符"/>
    <w:basedOn w:val="12"/>
    <w:link w:val="5"/>
    <w:qFormat/>
    <w:uiPriority w:val="99"/>
    <w:rPr>
      <w:sz w:val="18"/>
      <w:szCs w:val="18"/>
    </w:rPr>
  </w:style>
  <w:style w:type="paragraph" w:customStyle="1" w:styleId="31">
    <w:name w:val="列出段落1"/>
    <w:basedOn w:val="1"/>
    <w:qFormat/>
    <w:uiPriority w:val="34"/>
    <w:pPr>
      <w:ind w:firstLine="420" w:firstLineChars="200"/>
    </w:pPr>
    <w:rPr>
      <w:rFonts w:ascii="Calibri" w:hAnsi="Calibri" w:eastAsia="宋体" w:cs="Times New Roman"/>
    </w:rPr>
  </w:style>
  <w:style w:type="paragraph" w:customStyle="1" w:styleId="32">
    <w:name w:val="xl63"/>
    <w:basedOn w:val="1"/>
    <w:qFormat/>
    <w:uiPriority w:val="0"/>
    <w:pPr>
      <w:widowControl/>
      <w:spacing w:before="100" w:beforeAutospacing="1" w:after="100" w:afterAutospacing="1"/>
      <w:jc w:val="left"/>
      <w:textAlignment w:val="bottom"/>
    </w:pPr>
    <w:rPr>
      <w:rFonts w:ascii="仿宋_GB2312" w:hAnsi="宋体" w:eastAsia="仿宋_GB2312" w:cs="宋体"/>
      <w:kern w:val="0"/>
      <w:sz w:val="24"/>
      <w:szCs w:val="24"/>
    </w:rPr>
  </w:style>
  <w:style w:type="paragraph" w:customStyle="1" w:styleId="33">
    <w:name w:val="xl64"/>
    <w:basedOn w:val="1"/>
    <w:qFormat/>
    <w:uiPriority w:val="0"/>
    <w:pPr>
      <w:widowControl/>
      <w:spacing w:before="100" w:beforeAutospacing="1" w:after="100" w:afterAutospacing="1"/>
      <w:jc w:val="left"/>
      <w:textAlignment w:val="bottom"/>
    </w:pPr>
    <w:rPr>
      <w:rFonts w:ascii="仿宋_GB2312" w:hAnsi="宋体" w:eastAsia="仿宋_GB2312" w:cs="宋体"/>
      <w:kern w:val="0"/>
      <w:sz w:val="24"/>
      <w:szCs w:val="24"/>
    </w:rPr>
  </w:style>
  <w:style w:type="paragraph" w:customStyle="1" w:styleId="3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4"/>
      <w:szCs w:val="24"/>
    </w:rPr>
  </w:style>
  <w:style w:type="paragraph" w:customStyle="1" w:styleId="3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4"/>
      <w:szCs w:val="24"/>
    </w:rPr>
  </w:style>
  <w:style w:type="paragraph" w:customStyle="1" w:styleId="36">
    <w:name w:val="xl74"/>
    <w:basedOn w:val="1"/>
    <w:qFormat/>
    <w:uiPriority w:val="0"/>
    <w:pPr>
      <w:widowControl/>
      <w:spacing w:before="100" w:beforeAutospacing="1" w:after="100" w:afterAutospacing="1"/>
      <w:jc w:val="center"/>
      <w:textAlignment w:val="bottom"/>
    </w:pPr>
    <w:rPr>
      <w:rFonts w:ascii="仿宋_GB2312" w:hAnsi="宋体" w:eastAsia="仿宋_GB2312" w:cs="宋体"/>
      <w:kern w:val="0"/>
      <w:sz w:val="24"/>
      <w:szCs w:val="24"/>
    </w:rPr>
  </w:style>
  <w:style w:type="paragraph" w:customStyle="1" w:styleId="3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9">
    <w:name w:val="批注文字 字符"/>
    <w:basedOn w:val="12"/>
    <w:link w:val="3"/>
    <w:semiHidden/>
    <w:qFormat/>
    <w:uiPriority w:val="99"/>
    <w:rPr>
      <w:kern w:val="2"/>
      <w:sz w:val="21"/>
      <w:szCs w:val="22"/>
    </w:rPr>
  </w:style>
  <w:style w:type="character" w:customStyle="1" w:styleId="40">
    <w:name w:val="批注主题 字符"/>
    <w:basedOn w:val="39"/>
    <w:link w:val="9"/>
    <w:semiHidden/>
    <w:qFormat/>
    <w:uiPriority w:val="99"/>
    <w:rPr>
      <w:b/>
      <w:bCs/>
      <w:kern w:val="2"/>
      <w:sz w:val="21"/>
      <w:szCs w:val="22"/>
    </w:rPr>
  </w:style>
  <w:style w:type="paragraph" w:customStyle="1" w:styleId="41">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2">
    <w:name w:val="批注框文本 字符"/>
    <w:basedOn w:val="12"/>
    <w:link w:val="4"/>
    <w:semiHidden/>
    <w:qFormat/>
    <w:uiPriority w:val="99"/>
    <w:rPr>
      <w:rFonts w:asciiTheme="minorHAnsi" w:hAnsiTheme="minorHAnsi" w:eastAsiaTheme="minorEastAsia" w:cstheme="minorBidi"/>
      <w:kern w:val="2"/>
      <w:sz w:val="18"/>
      <w:szCs w:val="18"/>
    </w:rPr>
  </w:style>
  <w:style w:type="paragraph" w:customStyle="1" w:styleId="43">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4">
    <w:name w:val="修订5"/>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5">
    <w:name w:val="脚注文本 字符"/>
    <w:basedOn w:val="12"/>
    <w:link w:val="7"/>
    <w:semiHidden/>
    <w:qFormat/>
    <w:uiPriority w:val="0"/>
    <w:rPr>
      <w:rFonts w:ascii="Calibri" w:hAnsi="Calibri"/>
      <w:kern w:val="2"/>
      <w:sz w:val="18"/>
      <w:szCs w:val="22"/>
    </w:rPr>
  </w:style>
  <w:style w:type="paragraph" w:customStyle="1" w:styleId="46">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7">
    <w:name w:val="修订7"/>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9">
    <w:name w:val="修订8"/>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0">
    <w:name w:val="修订9"/>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1">
    <w:name w:val="HTML 预设格式 字符"/>
    <w:basedOn w:val="12"/>
    <w:link w:val="8"/>
    <w:qFormat/>
    <w:uiPriority w:val="99"/>
    <w:rPr>
      <w:rFonts w:ascii="宋体" w:hAnsi="宋体"/>
      <w:sz w:val="24"/>
      <w:szCs w:val="24"/>
    </w:rPr>
  </w:style>
  <w:style w:type="paragraph" w:customStyle="1" w:styleId="52">
    <w:name w:val="修订10"/>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3">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4">
    <w:name w:val="标题 1 字符"/>
    <w:basedOn w:val="12"/>
    <w:link w:val="2"/>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1744</Words>
  <Characters>9945</Characters>
  <Lines>82</Lines>
  <Paragraphs>23</Paragraphs>
  <TotalTime>42</TotalTime>
  <ScaleCrop>false</ScaleCrop>
  <LinksUpToDate>false</LinksUpToDate>
  <CharactersWithSpaces>11666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2024-08-01T16:47:00Z</dcterms:created>
  <dc:creator>wwei</dc:creator>
  <cp:lastModifiedBy>JTB</cp:lastModifiedBy>
  <cp:lastPrinted>2023-11-02T16:57:00Z</cp:lastPrinted>
  <dcterms:modified xsi:type="dcterms:W3CDTF">2024-08-01T15:14:22Z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5202D59B661A46188DE4B72D51FF0E32_13</vt:lpwstr>
  </property>
</Properties>
</file>