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4BF03" w14:textId="77777777" w:rsidR="007A40C2" w:rsidRDefault="00000000">
      <w:pPr>
        <w:jc w:val="center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</w:rPr>
        <w:t>征求意见稿意见汇总处理表</w:t>
      </w:r>
    </w:p>
    <w:p w14:paraId="2BF0CAFB" w14:textId="230FCE60" w:rsidR="007A40C2" w:rsidRPr="00DD502A" w:rsidRDefault="00000000" w:rsidP="00DD502A">
      <w:pPr>
        <w:rPr>
          <w:rFonts w:ascii="宋体" w:eastAsia="宋体" w:hAnsi="宋体" w:cs="Times New Roman"/>
          <w:szCs w:val="21"/>
        </w:rPr>
      </w:pPr>
      <w:r w:rsidRPr="00DD502A">
        <w:rPr>
          <w:rFonts w:ascii="宋体" w:eastAsia="宋体" w:hAnsi="宋体" w:cs="Times New Roman"/>
          <w:szCs w:val="21"/>
        </w:rPr>
        <w:t xml:space="preserve">标准项目名称：洗涤用纤维素酶制剂             </w:t>
      </w:r>
      <w:r w:rsidR="00DD502A">
        <w:rPr>
          <w:rFonts w:ascii="宋体" w:eastAsia="宋体" w:hAnsi="宋体" w:cs="Times New Roman" w:hint="eastAsia"/>
          <w:szCs w:val="21"/>
        </w:rPr>
        <w:t xml:space="preserve">          </w:t>
      </w:r>
      <w:r w:rsidRPr="00DD502A">
        <w:rPr>
          <w:rFonts w:ascii="宋体" w:eastAsia="宋体" w:hAnsi="宋体" w:cs="Times New Roman"/>
          <w:szCs w:val="21"/>
        </w:rPr>
        <w:t xml:space="preserve">           共2页第1页</w:t>
      </w:r>
    </w:p>
    <w:p w14:paraId="718EB745" w14:textId="6354F03B" w:rsidR="007A40C2" w:rsidRPr="00DD502A" w:rsidRDefault="00000000" w:rsidP="00B4039B">
      <w:pPr>
        <w:rPr>
          <w:rFonts w:ascii="宋体" w:eastAsia="宋体" w:hAnsi="宋体" w:cs="Times New Roman"/>
          <w:szCs w:val="21"/>
        </w:rPr>
      </w:pPr>
      <w:r w:rsidRPr="00DD502A">
        <w:rPr>
          <w:rFonts w:ascii="宋体" w:eastAsia="宋体" w:hAnsi="宋体" w:cs="Times New Roman"/>
          <w:szCs w:val="21"/>
        </w:rPr>
        <w:t>起草单位：</w:t>
      </w:r>
      <w:r w:rsidR="00B4039B">
        <w:rPr>
          <w:rFonts w:ascii="宋体" w:eastAsia="宋体" w:hAnsi="宋体" w:cs="Times New Roman" w:hint="eastAsia"/>
          <w:szCs w:val="21"/>
        </w:rPr>
        <w:t xml:space="preserve">                        </w:t>
      </w:r>
      <w:r w:rsidRPr="00DD502A">
        <w:rPr>
          <w:rFonts w:ascii="宋体" w:eastAsia="宋体" w:hAnsi="宋体" w:cs="Times New Roman"/>
          <w:szCs w:val="21"/>
        </w:rPr>
        <w:t xml:space="preserve">承办人：    </w:t>
      </w:r>
      <w:r w:rsidRPr="00DD502A">
        <w:rPr>
          <w:rFonts w:ascii="宋体" w:eastAsia="宋体" w:hAnsi="宋体" w:cs="Times New Roman" w:hint="eastAsia"/>
          <w:szCs w:val="21"/>
        </w:rPr>
        <w:t xml:space="preserve">   </w:t>
      </w:r>
      <w:r w:rsidRPr="00DD502A">
        <w:rPr>
          <w:rFonts w:ascii="宋体" w:eastAsia="宋体" w:hAnsi="宋体" w:cs="Times New Roman"/>
          <w:szCs w:val="21"/>
        </w:rPr>
        <w:t xml:space="preserve"> 电话：        年  月  日填写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1232"/>
        <w:gridCol w:w="2900"/>
        <w:gridCol w:w="1990"/>
        <w:gridCol w:w="1876"/>
      </w:tblGrid>
      <w:tr w:rsidR="007A40C2" w14:paraId="02391D7E" w14:textId="77777777">
        <w:tc>
          <w:tcPr>
            <w:tcW w:w="524" w:type="dxa"/>
            <w:vAlign w:val="center"/>
          </w:tcPr>
          <w:p w14:paraId="0B19B473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1232" w:type="dxa"/>
            <w:vAlign w:val="center"/>
          </w:tcPr>
          <w:p w14:paraId="742C664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标准章条编号</w:t>
            </w:r>
          </w:p>
        </w:tc>
        <w:tc>
          <w:tcPr>
            <w:tcW w:w="2900" w:type="dxa"/>
            <w:vAlign w:val="center"/>
          </w:tcPr>
          <w:p w14:paraId="665CD56F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意见内容</w:t>
            </w:r>
          </w:p>
        </w:tc>
        <w:tc>
          <w:tcPr>
            <w:tcW w:w="1990" w:type="dxa"/>
            <w:vAlign w:val="center"/>
          </w:tcPr>
          <w:p w14:paraId="1274F824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提出单位</w:t>
            </w:r>
          </w:p>
        </w:tc>
        <w:tc>
          <w:tcPr>
            <w:tcW w:w="1876" w:type="dxa"/>
            <w:vAlign w:val="center"/>
          </w:tcPr>
          <w:p w14:paraId="2C60376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处理意见及理由</w:t>
            </w:r>
          </w:p>
        </w:tc>
      </w:tr>
      <w:tr w:rsidR="007A40C2" w14:paraId="2EC7139D" w14:textId="77777777">
        <w:tc>
          <w:tcPr>
            <w:tcW w:w="524" w:type="dxa"/>
            <w:vAlign w:val="center"/>
          </w:tcPr>
          <w:p w14:paraId="642D266A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1232" w:type="dxa"/>
            <w:vAlign w:val="center"/>
          </w:tcPr>
          <w:p w14:paraId="3327A0D4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前言</w:t>
            </w:r>
          </w:p>
        </w:tc>
        <w:tc>
          <w:tcPr>
            <w:tcW w:w="2900" w:type="dxa"/>
            <w:vAlign w:val="center"/>
          </w:tcPr>
          <w:p w14:paraId="1251BA3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添加关于所涉专利的描述</w:t>
            </w:r>
          </w:p>
        </w:tc>
        <w:tc>
          <w:tcPr>
            <w:tcW w:w="1990" w:type="dxa"/>
            <w:vAlign w:val="center"/>
          </w:tcPr>
          <w:p w14:paraId="6461713F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标准出版社</w:t>
            </w:r>
          </w:p>
        </w:tc>
        <w:tc>
          <w:tcPr>
            <w:tcW w:w="1876" w:type="dxa"/>
            <w:vAlign w:val="center"/>
          </w:tcPr>
          <w:p w14:paraId="0942709B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  <w:p w14:paraId="54E6A14E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已增加相关内容</w:t>
            </w:r>
          </w:p>
        </w:tc>
      </w:tr>
      <w:tr w:rsidR="007A40C2" w14:paraId="58ECE547" w14:textId="77777777">
        <w:trPr>
          <w:trHeight w:val="350"/>
        </w:trPr>
        <w:tc>
          <w:tcPr>
            <w:tcW w:w="524" w:type="dxa"/>
            <w:vAlign w:val="center"/>
          </w:tcPr>
          <w:p w14:paraId="2648458E" w14:textId="77777777" w:rsidR="007A40C2" w:rsidRDefault="00000000">
            <w:pPr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2</w:t>
            </w:r>
          </w:p>
        </w:tc>
        <w:tc>
          <w:tcPr>
            <w:tcW w:w="1232" w:type="dxa"/>
            <w:vAlign w:val="center"/>
          </w:tcPr>
          <w:p w14:paraId="3DA1120E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标题</w:t>
            </w:r>
          </w:p>
        </w:tc>
        <w:tc>
          <w:tcPr>
            <w:tcW w:w="2900" w:type="dxa"/>
            <w:vAlign w:val="center"/>
          </w:tcPr>
          <w:p w14:paraId="673E8923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建议修改为洗涤用纤维素酶制剂</w:t>
            </w:r>
          </w:p>
        </w:tc>
        <w:tc>
          <w:tcPr>
            <w:tcW w:w="1990" w:type="dxa"/>
            <w:vAlign w:val="center"/>
          </w:tcPr>
          <w:p w14:paraId="651FECB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诺维信</w:t>
            </w:r>
          </w:p>
        </w:tc>
        <w:tc>
          <w:tcPr>
            <w:tcW w:w="1876" w:type="dxa"/>
            <w:vAlign w:val="center"/>
          </w:tcPr>
          <w:p w14:paraId="14C80823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5BB03DE4" w14:textId="77777777">
        <w:trPr>
          <w:trHeight w:val="599"/>
        </w:trPr>
        <w:tc>
          <w:tcPr>
            <w:tcW w:w="524" w:type="dxa"/>
            <w:vAlign w:val="center"/>
          </w:tcPr>
          <w:p w14:paraId="1324C856" w14:textId="77777777" w:rsidR="007A40C2" w:rsidRDefault="00000000">
            <w:pPr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3</w:t>
            </w:r>
          </w:p>
        </w:tc>
        <w:tc>
          <w:tcPr>
            <w:tcW w:w="1232" w:type="dxa"/>
            <w:vAlign w:val="center"/>
          </w:tcPr>
          <w:p w14:paraId="0526422B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900" w:type="dxa"/>
            <w:vAlign w:val="center"/>
          </w:tcPr>
          <w:p w14:paraId="27C52492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术语和定义参考</w:t>
            </w:r>
            <w:r>
              <w:rPr>
                <w:rFonts w:ascii="Times New Roman" w:hAnsi="Times New Roman" w:cs="Times New Roman"/>
                <w:szCs w:val="21"/>
              </w:rPr>
              <w:t>QB/T 2583</w:t>
            </w:r>
          </w:p>
        </w:tc>
        <w:tc>
          <w:tcPr>
            <w:tcW w:w="1990" w:type="dxa"/>
            <w:vAlign w:val="center"/>
          </w:tcPr>
          <w:p w14:paraId="5118AA5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北京绿伞</w:t>
            </w:r>
          </w:p>
        </w:tc>
        <w:tc>
          <w:tcPr>
            <w:tcW w:w="1876" w:type="dxa"/>
            <w:vAlign w:val="center"/>
          </w:tcPr>
          <w:p w14:paraId="3A4A9E8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1755AA97" w14:textId="77777777">
        <w:tc>
          <w:tcPr>
            <w:tcW w:w="524" w:type="dxa"/>
            <w:vAlign w:val="center"/>
          </w:tcPr>
          <w:p w14:paraId="13432B0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1232" w:type="dxa"/>
            <w:vAlign w:val="center"/>
          </w:tcPr>
          <w:p w14:paraId="12D72F53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</w:t>
            </w:r>
          </w:p>
        </w:tc>
        <w:tc>
          <w:tcPr>
            <w:tcW w:w="2900" w:type="dxa"/>
            <w:vAlign w:val="center"/>
          </w:tcPr>
          <w:p w14:paraId="643F2CF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纤维素酶定义中的复合酶，容易有歧义，建议重新表述</w:t>
            </w:r>
          </w:p>
        </w:tc>
        <w:tc>
          <w:tcPr>
            <w:tcW w:w="1990" w:type="dxa"/>
            <w:vAlign w:val="center"/>
          </w:tcPr>
          <w:p w14:paraId="66ACC0D7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诺维信</w:t>
            </w:r>
          </w:p>
        </w:tc>
        <w:tc>
          <w:tcPr>
            <w:tcW w:w="1876" w:type="dxa"/>
            <w:vAlign w:val="center"/>
          </w:tcPr>
          <w:p w14:paraId="0C6EF264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42576FD5" w14:textId="77777777">
        <w:tc>
          <w:tcPr>
            <w:tcW w:w="524" w:type="dxa"/>
            <w:vAlign w:val="center"/>
          </w:tcPr>
          <w:p w14:paraId="4C7E288A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1232" w:type="dxa"/>
            <w:vAlign w:val="center"/>
          </w:tcPr>
          <w:p w14:paraId="1EE60D2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</w:t>
            </w:r>
          </w:p>
        </w:tc>
        <w:tc>
          <w:tcPr>
            <w:tcW w:w="2900" w:type="dxa"/>
            <w:vAlign w:val="center"/>
          </w:tcPr>
          <w:p w14:paraId="7A925A0A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定义中直接对纤维素酶的定义进行表达，而不是</w:t>
            </w:r>
            <w:r>
              <w:rPr>
                <w:rFonts w:ascii="Times New Roman" w:hAnsi="Times New Roman" w:cs="Times New Roman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纤维素酶是</w:t>
            </w:r>
            <w:r>
              <w:rPr>
                <w:rFonts w:ascii="Times New Roman" w:hAnsi="Times New Roman" w:cs="Times New Roman"/>
                <w:szCs w:val="21"/>
              </w:rPr>
              <w:t>......”</w:t>
            </w:r>
          </w:p>
        </w:tc>
        <w:tc>
          <w:tcPr>
            <w:tcW w:w="1990" w:type="dxa"/>
            <w:vAlign w:val="center"/>
          </w:tcPr>
          <w:p w14:paraId="5B95348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标准出版社</w:t>
            </w:r>
          </w:p>
        </w:tc>
        <w:tc>
          <w:tcPr>
            <w:tcW w:w="1876" w:type="dxa"/>
            <w:vAlign w:val="center"/>
          </w:tcPr>
          <w:p w14:paraId="060D2BD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5E71A9A7" w14:textId="77777777">
        <w:trPr>
          <w:trHeight w:val="350"/>
        </w:trPr>
        <w:tc>
          <w:tcPr>
            <w:tcW w:w="524" w:type="dxa"/>
            <w:vAlign w:val="center"/>
          </w:tcPr>
          <w:p w14:paraId="2F6A15F9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1232" w:type="dxa"/>
            <w:vAlign w:val="center"/>
          </w:tcPr>
          <w:p w14:paraId="13D9B1E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</w:t>
            </w:r>
          </w:p>
        </w:tc>
        <w:tc>
          <w:tcPr>
            <w:tcW w:w="2900" w:type="dxa"/>
            <w:vAlign w:val="center"/>
          </w:tcPr>
          <w:p w14:paraId="218A802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纤维素酶活力英文建议修改为</w:t>
            </w:r>
            <w:r>
              <w:rPr>
                <w:rFonts w:ascii="Times New Roman" w:hAnsi="Times New Roman" w:cs="Times New Roman"/>
                <w:szCs w:val="21"/>
              </w:rPr>
              <w:t>cellulase activity</w:t>
            </w:r>
          </w:p>
        </w:tc>
        <w:tc>
          <w:tcPr>
            <w:tcW w:w="1990" w:type="dxa"/>
            <w:vAlign w:val="center"/>
          </w:tcPr>
          <w:p w14:paraId="59620E9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诺维信</w:t>
            </w:r>
          </w:p>
        </w:tc>
        <w:tc>
          <w:tcPr>
            <w:tcW w:w="1876" w:type="dxa"/>
            <w:vAlign w:val="center"/>
          </w:tcPr>
          <w:p w14:paraId="21D75F59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14C7AAC9" w14:textId="77777777">
        <w:tc>
          <w:tcPr>
            <w:tcW w:w="524" w:type="dxa"/>
            <w:vAlign w:val="center"/>
          </w:tcPr>
          <w:p w14:paraId="4986611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1232" w:type="dxa"/>
            <w:vAlign w:val="center"/>
          </w:tcPr>
          <w:p w14:paraId="43472E4E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</w:t>
            </w:r>
          </w:p>
        </w:tc>
        <w:tc>
          <w:tcPr>
            <w:tcW w:w="2900" w:type="dxa"/>
            <w:vAlign w:val="center"/>
          </w:tcPr>
          <w:p w14:paraId="1CC851B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底物浓度一般指反应浓度，目前已经有做到</w:t>
            </w:r>
            <w:r>
              <w:rPr>
                <w:rFonts w:ascii="Times New Roman" w:hAnsi="Times New Roman" w:cs="Times New Roman"/>
                <w:szCs w:val="21"/>
              </w:rPr>
              <w:t>7.5 mg/ml</w:t>
            </w:r>
            <w:r>
              <w:rPr>
                <w:rFonts w:ascii="Times New Roman" w:hAnsi="Times New Roman" w:cs="Times New Roman"/>
                <w:szCs w:val="21"/>
              </w:rPr>
              <w:t>的，建议优化底物浓度</w:t>
            </w:r>
          </w:p>
        </w:tc>
        <w:tc>
          <w:tcPr>
            <w:tcW w:w="1990" w:type="dxa"/>
            <w:vAlign w:val="center"/>
          </w:tcPr>
          <w:p w14:paraId="4BF371C2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广东溢多利</w:t>
            </w:r>
          </w:p>
        </w:tc>
        <w:tc>
          <w:tcPr>
            <w:tcW w:w="1876" w:type="dxa"/>
            <w:vAlign w:val="center"/>
          </w:tcPr>
          <w:p w14:paraId="555FF39F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不采纳</w:t>
            </w:r>
          </w:p>
          <w:p w14:paraId="5D11F3ED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增加底物浓度后仅仅是酶活力值变大了，没有实际意义</w:t>
            </w:r>
          </w:p>
        </w:tc>
      </w:tr>
      <w:tr w:rsidR="007A40C2" w14:paraId="5A57AFBB" w14:textId="77777777">
        <w:tc>
          <w:tcPr>
            <w:tcW w:w="524" w:type="dxa"/>
            <w:vAlign w:val="center"/>
          </w:tcPr>
          <w:p w14:paraId="4AEF92C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1232" w:type="dxa"/>
            <w:vAlign w:val="center"/>
          </w:tcPr>
          <w:p w14:paraId="63DE80C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3.2 </w:t>
            </w:r>
          </w:p>
        </w:tc>
        <w:tc>
          <w:tcPr>
            <w:tcW w:w="2900" w:type="dxa"/>
            <w:vAlign w:val="center"/>
          </w:tcPr>
          <w:p w14:paraId="69FF641A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表达的不够专业，例如温度</w:t>
            </w:r>
            <w:r>
              <w:rPr>
                <w:rFonts w:ascii="Times New Roman" w:hAnsi="Times New Roman" w:cs="Times New Roman"/>
                <w:szCs w:val="21"/>
              </w:rPr>
              <w:t>50±0.2</w:t>
            </w:r>
            <w:r>
              <w:rPr>
                <w:rFonts w:ascii="Times New Roman" w:eastAsia="宋体" w:hAnsi="Times New Roman" w:cs="Times New Roman"/>
                <w:szCs w:val="21"/>
              </w:rPr>
              <w:t>℃</w:t>
            </w:r>
          </w:p>
        </w:tc>
        <w:tc>
          <w:tcPr>
            <w:tcW w:w="1990" w:type="dxa"/>
            <w:vAlign w:val="center"/>
          </w:tcPr>
          <w:p w14:paraId="05B0256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杰能科</w:t>
            </w:r>
          </w:p>
        </w:tc>
        <w:tc>
          <w:tcPr>
            <w:tcW w:w="1876" w:type="dxa"/>
            <w:vAlign w:val="center"/>
          </w:tcPr>
          <w:p w14:paraId="519849E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288B089D" w14:textId="77777777">
        <w:tc>
          <w:tcPr>
            <w:tcW w:w="524" w:type="dxa"/>
            <w:vAlign w:val="center"/>
          </w:tcPr>
          <w:p w14:paraId="70FD751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1232" w:type="dxa"/>
            <w:vAlign w:val="center"/>
          </w:tcPr>
          <w:p w14:paraId="4682039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</w:t>
            </w:r>
          </w:p>
        </w:tc>
        <w:tc>
          <w:tcPr>
            <w:tcW w:w="2900" w:type="dxa"/>
            <w:vAlign w:val="center"/>
          </w:tcPr>
          <w:p w14:paraId="04D0AB0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液体剂型的指标建议添加菌落总数和酸碱度</w:t>
            </w:r>
          </w:p>
        </w:tc>
        <w:tc>
          <w:tcPr>
            <w:tcW w:w="1990" w:type="dxa"/>
            <w:vAlign w:val="center"/>
          </w:tcPr>
          <w:p w14:paraId="543DBF9F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北京绿伞</w:t>
            </w:r>
          </w:p>
        </w:tc>
        <w:tc>
          <w:tcPr>
            <w:tcW w:w="1876" w:type="dxa"/>
            <w:vAlign w:val="center"/>
          </w:tcPr>
          <w:p w14:paraId="5FED2AAD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60D12147" w14:textId="77777777">
        <w:trPr>
          <w:trHeight w:val="616"/>
        </w:trPr>
        <w:tc>
          <w:tcPr>
            <w:tcW w:w="524" w:type="dxa"/>
            <w:vAlign w:val="center"/>
          </w:tcPr>
          <w:p w14:paraId="78D639B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1232" w:type="dxa"/>
            <w:vAlign w:val="center"/>
          </w:tcPr>
          <w:p w14:paraId="4D71E52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</w:t>
            </w:r>
            <w:r>
              <w:rPr>
                <w:rFonts w:ascii="Times New Roman" w:hAnsi="Times New Roman" w:cs="Times New Roman"/>
                <w:szCs w:val="21"/>
              </w:rPr>
              <w:t>外观</w:t>
            </w:r>
          </w:p>
        </w:tc>
        <w:tc>
          <w:tcPr>
            <w:tcW w:w="2900" w:type="dxa"/>
            <w:vAlign w:val="center"/>
          </w:tcPr>
          <w:p w14:paraId="257196D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液体剂型颜色范围太窄</w:t>
            </w:r>
          </w:p>
        </w:tc>
        <w:tc>
          <w:tcPr>
            <w:tcW w:w="1990" w:type="dxa"/>
            <w:vAlign w:val="center"/>
          </w:tcPr>
          <w:p w14:paraId="11B45F0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上海康地恩</w:t>
            </w:r>
          </w:p>
        </w:tc>
        <w:tc>
          <w:tcPr>
            <w:tcW w:w="1876" w:type="dxa"/>
            <w:vAlign w:val="center"/>
          </w:tcPr>
          <w:p w14:paraId="4FADFD09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0C829B67" w14:textId="77777777">
        <w:tc>
          <w:tcPr>
            <w:tcW w:w="524" w:type="dxa"/>
            <w:vAlign w:val="center"/>
          </w:tcPr>
          <w:p w14:paraId="51F686EB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</w:p>
        </w:tc>
        <w:tc>
          <w:tcPr>
            <w:tcW w:w="1232" w:type="dxa"/>
            <w:vAlign w:val="center"/>
          </w:tcPr>
          <w:p w14:paraId="79A2D55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</w:t>
            </w:r>
            <w:r>
              <w:rPr>
                <w:rFonts w:ascii="Times New Roman" w:hAnsi="Times New Roman" w:cs="Times New Roman"/>
                <w:szCs w:val="21"/>
              </w:rPr>
              <w:t>酶活力</w:t>
            </w:r>
          </w:p>
        </w:tc>
        <w:tc>
          <w:tcPr>
            <w:tcW w:w="2900" w:type="dxa"/>
            <w:vAlign w:val="center"/>
          </w:tcPr>
          <w:p w14:paraId="76DE4623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酶活力单位统一成</w:t>
            </w:r>
            <w:r>
              <w:rPr>
                <w:rFonts w:ascii="Times New Roman" w:hAnsi="Times New Roman" w:cs="Times New Roman"/>
                <w:szCs w:val="21"/>
              </w:rPr>
              <w:t>U/g</w:t>
            </w:r>
            <w:r>
              <w:rPr>
                <w:rFonts w:ascii="Times New Roman" w:hAnsi="Times New Roman" w:cs="Times New Roman"/>
                <w:szCs w:val="21"/>
              </w:rPr>
              <w:t>或者分开液体剂型</w:t>
            </w:r>
            <w:r>
              <w:rPr>
                <w:rFonts w:ascii="Times New Roman" w:hAnsi="Times New Roman" w:cs="Times New Roman"/>
                <w:szCs w:val="21"/>
              </w:rPr>
              <w:t>U/ml</w:t>
            </w:r>
            <w:r>
              <w:rPr>
                <w:rFonts w:ascii="Times New Roman" w:hAnsi="Times New Roman" w:cs="Times New Roman"/>
                <w:szCs w:val="21"/>
              </w:rPr>
              <w:t>和固体剂型</w:t>
            </w:r>
            <w:r>
              <w:rPr>
                <w:rFonts w:ascii="Times New Roman" w:hAnsi="Times New Roman" w:cs="Times New Roman"/>
                <w:szCs w:val="21"/>
              </w:rPr>
              <w:t>U/g</w:t>
            </w:r>
          </w:p>
        </w:tc>
        <w:tc>
          <w:tcPr>
            <w:tcW w:w="1990" w:type="dxa"/>
            <w:vAlign w:val="center"/>
          </w:tcPr>
          <w:p w14:paraId="4835921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广东溢多利</w:t>
            </w:r>
          </w:p>
        </w:tc>
        <w:tc>
          <w:tcPr>
            <w:tcW w:w="1876" w:type="dxa"/>
            <w:vAlign w:val="center"/>
          </w:tcPr>
          <w:p w14:paraId="4A32736B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33553F2C" w14:textId="77777777">
        <w:trPr>
          <w:trHeight w:val="547"/>
        </w:trPr>
        <w:tc>
          <w:tcPr>
            <w:tcW w:w="524" w:type="dxa"/>
            <w:vAlign w:val="center"/>
          </w:tcPr>
          <w:p w14:paraId="0990757E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1232" w:type="dxa"/>
            <w:vAlign w:val="center"/>
          </w:tcPr>
          <w:p w14:paraId="05F829A9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</w:t>
            </w:r>
            <w:r>
              <w:rPr>
                <w:rFonts w:ascii="Times New Roman" w:hAnsi="Times New Roman" w:cs="Times New Roman"/>
                <w:szCs w:val="21"/>
              </w:rPr>
              <w:t>酶活力</w:t>
            </w:r>
          </w:p>
        </w:tc>
        <w:tc>
          <w:tcPr>
            <w:tcW w:w="2900" w:type="dxa"/>
            <w:vAlign w:val="center"/>
          </w:tcPr>
          <w:p w14:paraId="1C62E56E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删掉单位，直接</w:t>
            </w:r>
            <w:r>
              <w:rPr>
                <w:rFonts w:ascii="Times New Roman" w:hAnsi="Times New Roman" w:cs="Times New Roman"/>
                <w:szCs w:val="21"/>
              </w:rPr>
              <w:t>unit</w:t>
            </w:r>
          </w:p>
        </w:tc>
        <w:tc>
          <w:tcPr>
            <w:tcW w:w="1990" w:type="dxa"/>
            <w:vAlign w:val="center"/>
          </w:tcPr>
          <w:p w14:paraId="190866CF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杰能科</w:t>
            </w:r>
          </w:p>
        </w:tc>
        <w:tc>
          <w:tcPr>
            <w:tcW w:w="1876" w:type="dxa"/>
            <w:vAlign w:val="center"/>
          </w:tcPr>
          <w:p w14:paraId="725CCF5D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不采纳</w:t>
            </w:r>
          </w:p>
          <w:p w14:paraId="6D8C1D84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参照行标</w:t>
            </w:r>
            <w:r>
              <w:rPr>
                <w:rFonts w:ascii="Times New Roman" w:hAnsi="Times New Roman" w:cs="Times New Roman" w:hint="eastAsia"/>
                <w:szCs w:val="21"/>
              </w:rPr>
              <w:t>QB/T 2583</w:t>
            </w:r>
            <w:r>
              <w:rPr>
                <w:rFonts w:ascii="Times New Roman" w:hAnsi="Times New Roman" w:cs="Times New Roman" w:hint="eastAsia"/>
                <w:szCs w:val="21"/>
              </w:rPr>
              <w:t>以及国标</w:t>
            </w:r>
            <w:r>
              <w:rPr>
                <w:rFonts w:ascii="Times New Roman" w:hAnsi="Times New Roman" w:cs="Times New Roman"/>
              </w:rPr>
              <w:t>GB/T 42239.1-2022</w:t>
            </w:r>
          </w:p>
        </w:tc>
      </w:tr>
      <w:tr w:rsidR="007A40C2" w14:paraId="6FD292FC" w14:textId="77777777">
        <w:tc>
          <w:tcPr>
            <w:tcW w:w="524" w:type="dxa"/>
            <w:vAlign w:val="center"/>
          </w:tcPr>
          <w:p w14:paraId="68655C5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1232" w:type="dxa"/>
            <w:vAlign w:val="center"/>
          </w:tcPr>
          <w:p w14:paraId="1393676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</w:t>
            </w:r>
            <w:r>
              <w:rPr>
                <w:rFonts w:ascii="Times New Roman" w:hAnsi="Times New Roman" w:cs="Times New Roman"/>
                <w:szCs w:val="21"/>
              </w:rPr>
              <w:t>视比重和水分及粒度</w:t>
            </w:r>
          </w:p>
        </w:tc>
        <w:tc>
          <w:tcPr>
            <w:tcW w:w="2900" w:type="dxa"/>
            <w:vAlign w:val="center"/>
          </w:tcPr>
          <w:p w14:paraId="18F24A9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视比重和水分没有意义建议删掉；粒度提出一个全新的指标，建议对标</w:t>
            </w:r>
            <w:r>
              <w:rPr>
                <w:rFonts w:ascii="Times New Roman" w:hAnsi="Times New Roman" w:cs="Times New Roman"/>
                <w:szCs w:val="21"/>
              </w:rPr>
              <w:t>GB/T 42239</w:t>
            </w:r>
            <w:r>
              <w:rPr>
                <w:rFonts w:ascii="Times New Roman" w:hAnsi="Times New Roman" w:cs="Times New Roman"/>
                <w:szCs w:val="21"/>
              </w:rPr>
              <w:t>，修改为：粒度</w:t>
            </w:r>
            <w:r>
              <w:rPr>
                <w:rFonts w:ascii="Times New Roman" w:hAnsi="Times New Roman" w:cs="Times New Roman"/>
                <w:szCs w:val="21"/>
              </w:rPr>
              <w:t xml:space="preserve"> &lt; 150 μm &lt; 0.5%</w:t>
            </w:r>
          </w:p>
        </w:tc>
        <w:tc>
          <w:tcPr>
            <w:tcW w:w="1990" w:type="dxa"/>
            <w:vAlign w:val="center"/>
          </w:tcPr>
          <w:p w14:paraId="2225100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诺维信，杰能科</w:t>
            </w:r>
          </w:p>
        </w:tc>
        <w:tc>
          <w:tcPr>
            <w:tcW w:w="1876" w:type="dxa"/>
            <w:vAlign w:val="center"/>
          </w:tcPr>
          <w:p w14:paraId="02E394DD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1EECB8E5" w14:textId="77777777">
        <w:tc>
          <w:tcPr>
            <w:tcW w:w="524" w:type="dxa"/>
            <w:vAlign w:val="center"/>
          </w:tcPr>
          <w:p w14:paraId="7C5DD04C" w14:textId="77777777" w:rsidR="007A40C2" w:rsidRDefault="00000000">
            <w:pPr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14</w:t>
            </w:r>
          </w:p>
        </w:tc>
        <w:tc>
          <w:tcPr>
            <w:tcW w:w="1232" w:type="dxa"/>
            <w:vAlign w:val="center"/>
          </w:tcPr>
          <w:p w14:paraId="360CE307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</w:t>
            </w:r>
            <w:r>
              <w:rPr>
                <w:rFonts w:ascii="Times New Roman" w:hAnsi="Times New Roman" w:cs="Times New Roman"/>
                <w:szCs w:val="21"/>
              </w:rPr>
              <w:t>视比重</w:t>
            </w:r>
          </w:p>
        </w:tc>
        <w:tc>
          <w:tcPr>
            <w:tcW w:w="2900" w:type="dxa"/>
            <w:vAlign w:val="center"/>
          </w:tcPr>
          <w:p w14:paraId="276E614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多了一个</w:t>
            </w:r>
            <w:r>
              <w:rPr>
                <w:rFonts w:ascii="Times New Roman" w:hAnsi="Times New Roman" w:cs="Times New Roman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号</w:t>
            </w:r>
          </w:p>
        </w:tc>
        <w:tc>
          <w:tcPr>
            <w:tcW w:w="1990" w:type="dxa"/>
            <w:vAlign w:val="center"/>
          </w:tcPr>
          <w:p w14:paraId="5096C38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金鱼科技</w:t>
            </w:r>
          </w:p>
        </w:tc>
        <w:tc>
          <w:tcPr>
            <w:tcW w:w="1876" w:type="dxa"/>
            <w:vAlign w:val="center"/>
          </w:tcPr>
          <w:p w14:paraId="42D8BB22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已删除</w:t>
            </w:r>
          </w:p>
          <w:p w14:paraId="0F8FE910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该部分内容</w:t>
            </w:r>
          </w:p>
        </w:tc>
      </w:tr>
      <w:tr w:rsidR="007A40C2" w14:paraId="4576028E" w14:textId="77777777">
        <w:tc>
          <w:tcPr>
            <w:tcW w:w="524" w:type="dxa"/>
            <w:vAlign w:val="center"/>
          </w:tcPr>
          <w:p w14:paraId="7A7DF7DD" w14:textId="77777777" w:rsidR="007A40C2" w:rsidRDefault="00000000">
            <w:pPr>
              <w:jc w:val="center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lastRenderedPageBreak/>
              <w:t>15</w:t>
            </w:r>
          </w:p>
        </w:tc>
        <w:tc>
          <w:tcPr>
            <w:tcW w:w="1232" w:type="dxa"/>
            <w:vAlign w:val="center"/>
          </w:tcPr>
          <w:p w14:paraId="4D9ACED9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</w:t>
            </w:r>
          </w:p>
        </w:tc>
        <w:tc>
          <w:tcPr>
            <w:tcW w:w="2900" w:type="dxa"/>
            <w:vAlign w:val="center"/>
          </w:tcPr>
          <w:p w14:paraId="46FE348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删掉</w:t>
            </w:r>
            <w:r>
              <w:rPr>
                <w:rFonts w:ascii="Times New Roman" w:hAnsi="Times New Roman" w:cs="Times New Roman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采用不同于</w:t>
            </w:r>
            <w:r>
              <w:rPr>
                <w:rFonts w:ascii="Times New Roman" w:hAnsi="Times New Roman" w:cs="Times New Roman"/>
                <w:szCs w:val="21"/>
              </w:rPr>
              <w:t>......</w:t>
            </w:r>
            <w:r>
              <w:rPr>
                <w:rFonts w:ascii="Times New Roman" w:hAnsi="Times New Roman" w:cs="Times New Roman"/>
                <w:szCs w:val="21"/>
              </w:rPr>
              <w:t>酶活力单位的转换系数</w:t>
            </w:r>
            <w:r>
              <w:rPr>
                <w:rFonts w:ascii="Times New Roman" w:hAnsi="Times New Roman" w:cs="Times New Roman"/>
                <w:szCs w:val="21"/>
              </w:rPr>
              <w:t>”</w:t>
            </w:r>
            <w:r>
              <w:rPr>
                <w:rFonts w:ascii="Times New Roman" w:hAnsi="Times New Roman" w:cs="Times New Roman"/>
                <w:szCs w:val="21"/>
              </w:rPr>
              <w:t>或修改</w:t>
            </w:r>
            <w:r>
              <w:rPr>
                <w:rFonts w:ascii="Times New Roman" w:hAnsi="Times New Roman" w:cs="Times New Roman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应提供</w:t>
            </w:r>
            <w:r>
              <w:rPr>
                <w:rFonts w:ascii="Times New Roman" w:hAnsi="Times New Roman" w:cs="Times New Roman"/>
                <w:szCs w:val="21"/>
              </w:rPr>
              <w:t>”</w:t>
            </w:r>
            <w:r>
              <w:rPr>
                <w:rFonts w:ascii="Times New Roman" w:hAnsi="Times New Roman" w:cs="Times New Roman"/>
                <w:szCs w:val="21"/>
              </w:rPr>
              <w:t>为</w:t>
            </w:r>
            <w:r>
              <w:rPr>
                <w:rFonts w:ascii="Times New Roman" w:hAnsi="Times New Roman" w:cs="Times New Roman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可提供、建议提供</w:t>
            </w:r>
            <w:r>
              <w:rPr>
                <w:rFonts w:ascii="Times New Roman" w:hAnsi="Times New Roman" w:cs="Times New Roman"/>
                <w:szCs w:val="21"/>
              </w:rPr>
              <w:t>”</w:t>
            </w:r>
          </w:p>
        </w:tc>
        <w:tc>
          <w:tcPr>
            <w:tcW w:w="1990" w:type="dxa"/>
            <w:vAlign w:val="center"/>
          </w:tcPr>
          <w:p w14:paraId="2131BC6B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诺维信，杰能科</w:t>
            </w:r>
          </w:p>
        </w:tc>
        <w:tc>
          <w:tcPr>
            <w:tcW w:w="1876" w:type="dxa"/>
            <w:vAlign w:val="center"/>
          </w:tcPr>
          <w:p w14:paraId="0C16102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103093CA" w14:textId="77777777">
        <w:tc>
          <w:tcPr>
            <w:tcW w:w="0" w:type="auto"/>
            <w:vAlign w:val="center"/>
          </w:tcPr>
          <w:p w14:paraId="5B4CD461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1232" w:type="dxa"/>
            <w:vAlign w:val="center"/>
          </w:tcPr>
          <w:p w14:paraId="2D7C826D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  <w:r>
              <w:rPr>
                <w:rFonts w:ascii="Times New Roman" w:hAnsi="Times New Roman" w:cs="Times New Roman"/>
                <w:szCs w:val="21"/>
              </w:rPr>
              <w:t>A.2.1</w:t>
            </w:r>
          </w:p>
        </w:tc>
        <w:tc>
          <w:tcPr>
            <w:tcW w:w="2900" w:type="dxa"/>
            <w:vAlign w:val="center"/>
          </w:tcPr>
          <w:p w14:paraId="1CA46CB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确定一个底物生产厂家</w:t>
            </w:r>
          </w:p>
        </w:tc>
        <w:tc>
          <w:tcPr>
            <w:tcW w:w="1990" w:type="dxa"/>
            <w:vAlign w:val="center"/>
          </w:tcPr>
          <w:p w14:paraId="6AEC39AB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上海康地恩、广东溢多利、杰能科</w:t>
            </w:r>
          </w:p>
        </w:tc>
        <w:tc>
          <w:tcPr>
            <w:tcW w:w="1876" w:type="dxa"/>
            <w:vAlign w:val="center"/>
          </w:tcPr>
          <w:p w14:paraId="036D3901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79AC356F" w14:textId="77777777">
        <w:tc>
          <w:tcPr>
            <w:tcW w:w="0" w:type="auto"/>
            <w:vAlign w:val="center"/>
          </w:tcPr>
          <w:p w14:paraId="32A2573E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17</w:t>
            </w:r>
          </w:p>
        </w:tc>
        <w:tc>
          <w:tcPr>
            <w:tcW w:w="1232" w:type="dxa"/>
            <w:vAlign w:val="center"/>
          </w:tcPr>
          <w:p w14:paraId="18F9BB7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  <w:r>
              <w:rPr>
                <w:rFonts w:ascii="Times New Roman" w:hAnsi="Times New Roman" w:cs="Times New Roman"/>
                <w:szCs w:val="21"/>
              </w:rPr>
              <w:t>A.4.4</w:t>
            </w:r>
          </w:p>
        </w:tc>
        <w:tc>
          <w:tcPr>
            <w:tcW w:w="2900" w:type="dxa"/>
            <w:vAlign w:val="center"/>
          </w:tcPr>
          <w:p w14:paraId="3F99AB2F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DNS</w:t>
            </w:r>
            <w:r>
              <w:rPr>
                <w:rFonts w:ascii="Times New Roman" w:hAnsi="Times New Roman" w:cs="Times New Roman"/>
                <w:szCs w:val="21"/>
              </w:rPr>
              <w:t>试剂现在可以购买到，试剂配制可删掉</w:t>
            </w:r>
          </w:p>
        </w:tc>
        <w:tc>
          <w:tcPr>
            <w:tcW w:w="1990" w:type="dxa"/>
            <w:vAlign w:val="center"/>
          </w:tcPr>
          <w:p w14:paraId="0548F39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杰能科</w:t>
            </w:r>
          </w:p>
        </w:tc>
        <w:tc>
          <w:tcPr>
            <w:tcW w:w="1876" w:type="dxa"/>
            <w:vAlign w:val="center"/>
          </w:tcPr>
          <w:p w14:paraId="5AB555DF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不采纳</w:t>
            </w:r>
          </w:p>
        </w:tc>
      </w:tr>
      <w:tr w:rsidR="007A40C2" w14:paraId="5946941B" w14:textId="77777777">
        <w:tc>
          <w:tcPr>
            <w:tcW w:w="0" w:type="auto"/>
            <w:vAlign w:val="center"/>
          </w:tcPr>
          <w:p w14:paraId="5E8AD2F7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18</w:t>
            </w:r>
          </w:p>
        </w:tc>
        <w:tc>
          <w:tcPr>
            <w:tcW w:w="1232" w:type="dxa"/>
            <w:vAlign w:val="center"/>
          </w:tcPr>
          <w:p w14:paraId="0ECC4073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  <w:r>
              <w:rPr>
                <w:rFonts w:ascii="Times New Roman" w:hAnsi="Times New Roman" w:cs="Times New Roman"/>
                <w:szCs w:val="21"/>
              </w:rPr>
              <w:t>A.6</w:t>
            </w:r>
          </w:p>
        </w:tc>
        <w:tc>
          <w:tcPr>
            <w:tcW w:w="2900" w:type="dxa"/>
            <w:vAlign w:val="center"/>
          </w:tcPr>
          <w:p w14:paraId="4CD132C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吸光度在</w:t>
            </w:r>
            <w:r>
              <w:rPr>
                <w:rFonts w:ascii="Times New Roman" w:hAnsi="Times New Roman" w:cs="Times New Roman"/>
                <w:szCs w:val="21"/>
              </w:rPr>
              <w:t>0.29-0.33</w:t>
            </w:r>
            <w:r>
              <w:rPr>
                <w:rFonts w:ascii="Times New Roman" w:hAnsi="Times New Roman" w:cs="Times New Roman"/>
                <w:szCs w:val="21"/>
              </w:rPr>
              <w:t>之间，提供验证数据</w:t>
            </w:r>
          </w:p>
        </w:tc>
        <w:tc>
          <w:tcPr>
            <w:tcW w:w="1990" w:type="dxa"/>
            <w:vAlign w:val="center"/>
          </w:tcPr>
          <w:p w14:paraId="1095BC3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上海康地恩</w:t>
            </w:r>
          </w:p>
        </w:tc>
        <w:tc>
          <w:tcPr>
            <w:tcW w:w="1876" w:type="dxa"/>
            <w:vAlign w:val="center"/>
          </w:tcPr>
          <w:p w14:paraId="5B6214C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  <w:p w14:paraId="5CC3A96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已于编制说明中补充相关数据</w:t>
            </w:r>
          </w:p>
        </w:tc>
      </w:tr>
      <w:tr w:rsidR="007A40C2" w14:paraId="264FB6CA" w14:textId="77777777">
        <w:trPr>
          <w:trHeight w:val="980"/>
        </w:trPr>
        <w:tc>
          <w:tcPr>
            <w:tcW w:w="0" w:type="auto"/>
            <w:vAlign w:val="center"/>
          </w:tcPr>
          <w:p w14:paraId="03ACB8CA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19</w:t>
            </w:r>
          </w:p>
        </w:tc>
        <w:tc>
          <w:tcPr>
            <w:tcW w:w="1232" w:type="dxa"/>
            <w:vAlign w:val="center"/>
          </w:tcPr>
          <w:p w14:paraId="1439BCDB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  <w:r>
              <w:rPr>
                <w:rFonts w:ascii="Times New Roman" w:hAnsi="Times New Roman" w:cs="Times New Roman"/>
                <w:szCs w:val="21"/>
              </w:rPr>
              <w:t>A.8</w:t>
            </w:r>
          </w:p>
        </w:tc>
        <w:tc>
          <w:tcPr>
            <w:tcW w:w="2900" w:type="dxa"/>
            <w:vAlign w:val="center"/>
          </w:tcPr>
          <w:p w14:paraId="060EDC21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葡萄糖等量值建议具体说明或在前文描述；稀释倍数进行具体描述</w:t>
            </w:r>
          </w:p>
        </w:tc>
        <w:tc>
          <w:tcPr>
            <w:tcW w:w="1990" w:type="dxa"/>
            <w:vAlign w:val="center"/>
          </w:tcPr>
          <w:p w14:paraId="031F84CE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诺维信</w:t>
            </w:r>
          </w:p>
        </w:tc>
        <w:tc>
          <w:tcPr>
            <w:tcW w:w="1876" w:type="dxa"/>
            <w:vAlign w:val="center"/>
          </w:tcPr>
          <w:p w14:paraId="6B3689C2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08B5739E" w14:textId="77777777">
        <w:trPr>
          <w:trHeight w:val="755"/>
        </w:trPr>
        <w:tc>
          <w:tcPr>
            <w:tcW w:w="0" w:type="auto"/>
            <w:vAlign w:val="center"/>
          </w:tcPr>
          <w:p w14:paraId="5B242FBC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  <w:tc>
          <w:tcPr>
            <w:tcW w:w="1232" w:type="dxa"/>
            <w:vAlign w:val="center"/>
          </w:tcPr>
          <w:p w14:paraId="16481CA9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  <w:r>
              <w:rPr>
                <w:rFonts w:ascii="Times New Roman" w:hAnsi="Times New Roman" w:cs="Times New Roman"/>
                <w:szCs w:val="21"/>
              </w:rPr>
              <w:t>B.2.2</w:t>
            </w:r>
          </w:p>
        </w:tc>
        <w:tc>
          <w:tcPr>
            <w:tcW w:w="2900" w:type="dxa"/>
            <w:vAlign w:val="center"/>
          </w:tcPr>
          <w:p w14:paraId="67803F4E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标明仪器规格</w:t>
            </w:r>
          </w:p>
        </w:tc>
        <w:tc>
          <w:tcPr>
            <w:tcW w:w="1990" w:type="dxa"/>
            <w:vAlign w:val="center"/>
          </w:tcPr>
          <w:p w14:paraId="3E099137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上海康地恩</w:t>
            </w:r>
          </w:p>
        </w:tc>
        <w:tc>
          <w:tcPr>
            <w:tcW w:w="1876" w:type="dxa"/>
            <w:vAlign w:val="center"/>
          </w:tcPr>
          <w:p w14:paraId="1014CAD1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028D9460" w14:textId="77777777">
        <w:trPr>
          <w:trHeight w:val="720"/>
        </w:trPr>
        <w:tc>
          <w:tcPr>
            <w:tcW w:w="0" w:type="auto"/>
            <w:vAlign w:val="center"/>
          </w:tcPr>
          <w:p w14:paraId="34213703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21</w:t>
            </w:r>
          </w:p>
        </w:tc>
        <w:tc>
          <w:tcPr>
            <w:tcW w:w="1232" w:type="dxa"/>
            <w:vAlign w:val="center"/>
          </w:tcPr>
          <w:p w14:paraId="794833EB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  <w:r>
              <w:rPr>
                <w:rFonts w:ascii="Times New Roman" w:hAnsi="Times New Roman" w:cs="Times New Roman"/>
                <w:szCs w:val="21"/>
              </w:rPr>
              <w:t xml:space="preserve">B </w:t>
            </w:r>
          </w:p>
        </w:tc>
        <w:tc>
          <w:tcPr>
            <w:tcW w:w="2900" w:type="dxa"/>
            <w:vAlign w:val="center"/>
          </w:tcPr>
          <w:p w14:paraId="61FCC9A9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建议删掉</w:t>
            </w:r>
          </w:p>
        </w:tc>
        <w:tc>
          <w:tcPr>
            <w:tcW w:w="1990" w:type="dxa"/>
            <w:vAlign w:val="center"/>
          </w:tcPr>
          <w:p w14:paraId="39D14C02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诺维信，杰能科</w:t>
            </w:r>
          </w:p>
        </w:tc>
        <w:tc>
          <w:tcPr>
            <w:tcW w:w="1876" w:type="dxa"/>
            <w:vAlign w:val="center"/>
          </w:tcPr>
          <w:p w14:paraId="2D5DCCFB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24241D14" w14:textId="77777777">
        <w:tc>
          <w:tcPr>
            <w:tcW w:w="0" w:type="auto"/>
            <w:vAlign w:val="center"/>
          </w:tcPr>
          <w:p w14:paraId="0C81DC87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</w:t>
            </w:r>
          </w:p>
        </w:tc>
        <w:tc>
          <w:tcPr>
            <w:tcW w:w="1232" w:type="dxa"/>
            <w:vAlign w:val="center"/>
          </w:tcPr>
          <w:p w14:paraId="6CF5DC9E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  <w:r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2900" w:type="dxa"/>
            <w:vAlign w:val="center"/>
          </w:tcPr>
          <w:p w14:paraId="2F1D855D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视比重即密度表述是否准确，建议查找并参考相关国标</w:t>
            </w:r>
          </w:p>
        </w:tc>
        <w:tc>
          <w:tcPr>
            <w:tcW w:w="1990" w:type="dxa"/>
            <w:vAlign w:val="center"/>
          </w:tcPr>
          <w:p w14:paraId="1A92019A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沙索</w:t>
            </w:r>
          </w:p>
        </w:tc>
        <w:tc>
          <w:tcPr>
            <w:tcW w:w="1876" w:type="dxa"/>
            <w:vAlign w:val="center"/>
          </w:tcPr>
          <w:p w14:paraId="6E5428FD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已删除</w:t>
            </w:r>
          </w:p>
          <w:p w14:paraId="2DB56D05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粒度参照</w:t>
            </w:r>
            <w:r>
              <w:rPr>
                <w:rFonts w:ascii="Times New Roman" w:hAnsi="Times New Roman" w:cs="Times New Roman"/>
              </w:rPr>
              <w:t xml:space="preserve">GB/T 42239.1-2022 </w:t>
            </w:r>
            <w:r>
              <w:rPr>
                <w:rFonts w:ascii="Times New Roman" w:hAnsi="Times New Roman" w:cs="Times New Roman"/>
              </w:rPr>
              <w:t>洗涤用酶制剂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第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部分：碱性蛋白酶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附录</w:t>
            </w:r>
            <w:r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粒度的测定筛分法进行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</w:tr>
      <w:tr w:rsidR="007A40C2" w14:paraId="56744E2B" w14:textId="77777777">
        <w:tc>
          <w:tcPr>
            <w:tcW w:w="0" w:type="auto"/>
            <w:vAlign w:val="center"/>
          </w:tcPr>
          <w:p w14:paraId="187C4DF4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23</w:t>
            </w:r>
          </w:p>
        </w:tc>
        <w:tc>
          <w:tcPr>
            <w:tcW w:w="1232" w:type="dxa"/>
            <w:vAlign w:val="center"/>
          </w:tcPr>
          <w:p w14:paraId="73C73A44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</w:p>
        </w:tc>
        <w:tc>
          <w:tcPr>
            <w:tcW w:w="2900" w:type="dxa"/>
            <w:vAlign w:val="center"/>
          </w:tcPr>
          <w:p w14:paraId="3D133E7C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附录</w:t>
            </w: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ascii="Times New Roman" w:hAnsi="Times New Roman" w:cs="Times New Roman"/>
                <w:szCs w:val="21"/>
              </w:rPr>
              <w:t>和附录</w:t>
            </w:r>
            <w:r>
              <w:rPr>
                <w:rFonts w:ascii="Times New Roman" w:hAnsi="Times New Roman" w:cs="Times New Roman"/>
                <w:szCs w:val="21"/>
              </w:rPr>
              <w:t>B</w:t>
            </w:r>
            <w:r>
              <w:rPr>
                <w:rFonts w:ascii="Times New Roman" w:hAnsi="Times New Roman" w:cs="Times New Roman"/>
                <w:szCs w:val="21"/>
              </w:rPr>
              <w:t>中所涉及的图表要写成</w:t>
            </w:r>
            <w:r>
              <w:rPr>
                <w:rFonts w:ascii="Times New Roman" w:hAnsi="Times New Roman" w:cs="Times New Roman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图</w:t>
            </w:r>
            <w:r>
              <w:rPr>
                <w:rFonts w:ascii="Times New Roman" w:hAnsi="Times New Roman" w:cs="Times New Roman"/>
                <w:szCs w:val="21"/>
              </w:rPr>
              <w:t>A.1</w:t>
            </w:r>
            <w:r>
              <w:rPr>
                <w:rFonts w:ascii="Times New Roman" w:hAnsi="Times New Roman" w:cs="Times New Roman"/>
                <w:szCs w:val="21"/>
              </w:rPr>
              <w:t>或图</w:t>
            </w:r>
            <w:r>
              <w:rPr>
                <w:rFonts w:ascii="Times New Roman" w:hAnsi="Times New Roman" w:cs="Times New Roman"/>
                <w:szCs w:val="21"/>
              </w:rPr>
              <w:t>B.1</w:t>
            </w:r>
            <w:r>
              <w:rPr>
                <w:rFonts w:ascii="Times New Roman" w:hAnsi="Times New Roman" w:cs="Times New Roman"/>
                <w:szCs w:val="21"/>
              </w:rPr>
              <w:t>、表</w:t>
            </w:r>
            <w:r>
              <w:rPr>
                <w:rFonts w:ascii="Times New Roman" w:hAnsi="Times New Roman" w:cs="Times New Roman"/>
                <w:szCs w:val="21"/>
              </w:rPr>
              <w:t>A.1</w:t>
            </w:r>
            <w:r>
              <w:rPr>
                <w:rFonts w:ascii="Times New Roman" w:hAnsi="Times New Roman" w:cs="Times New Roman"/>
                <w:szCs w:val="21"/>
              </w:rPr>
              <w:t>和表</w:t>
            </w:r>
            <w:r>
              <w:rPr>
                <w:rFonts w:ascii="Times New Roman" w:hAnsi="Times New Roman" w:cs="Times New Roman"/>
                <w:szCs w:val="21"/>
              </w:rPr>
              <w:t>B.1”</w:t>
            </w:r>
            <w:r>
              <w:rPr>
                <w:rFonts w:ascii="Times New Roman" w:hAnsi="Times New Roman" w:cs="Times New Roman"/>
                <w:szCs w:val="21"/>
              </w:rPr>
              <w:t>；公式要有标号</w:t>
            </w:r>
          </w:p>
        </w:tc>
        <w:tc>
          <w:tcPr>
            <w:tcW w:w="1990" w:type="dxa"/>
            <w:vAlign w:val="center"/>
          </w:tcPr>
          <w:p w14:paraId="2650F796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标准出版社</w:t>
            </w:r>
          </w:p>
        </w:tc>
        <w:tc>
          <w:tcPr>
            <w:tcW w:w="1876" w:type="dxa"/>
            <w:vAlign w:val="center"/>
          </w:tcPr>
          <w:p w14:paraId="0B36F57C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采纳</w:t>
            </w:r>
          </w:p>
        </w:tc>
      </w:tr>
      <w:tr w:rsidR="007A40C2" w14:paraId="3AF670A2" w14:textId="77777777">
        <w:tc>
          <w:tcPr>
            <w:tcW w:w="0" w:type="auto"/>
            <w:vAlign w:val="center"/>
          </w:tcPr>
          <w:p w14:paraId="46E7A355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24</w:t>
            </w:r>
          </w:p>
        </w:tc>
        <w:tc>
          <w:tcPr>
            <w:tcW w:w="1232" w:type="dxa"/>
            <w:vAlign w:val="center"/>
          </w:tcPr>
          <w:p w14:paraId="3F71DA4E" w14:textId="77777777" w:rsidR="007A40C2" w:rsidRDefault="00000000"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附录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A4.2</w:t>
            </w:r>
          </w:p>
        </w:tc>
        <w:tc>
          <w:tcPr>
            <w:tcW w:w="2900" w:type="dxa"/>
            <w:vAlign w:val="center"/>
          </w:tcPr>
          <w:p w14:paraId="0DD0C7CB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精密称取</w:t>
            </w:r>
            <w:r>
              <w:rPr>
                <w:rFonts w:ascii="Times New Roman" w:hAnsi="Times New Roman" w:cs="Times New Roman"/>
                <w:szCs w:val="21"/>
              </w:rPr>
              <w:t>CMC</w:t>
            </w:r>
            <w:r>
              <w:rPr>
                <w:rFonts w:ascii="Times New Roman" w:hAnsi="Times New Roman" w:cs="Times New Roman"/>
                <w:szCs w:val="21"/>
              </w:rPr>
              <w:t>（分子式：</w:t>
            </w:r>
            <w:r>
              <w:rPr>
                <w:rFonts w:ascii="Times New Roman" w:hAnsi="Times New Roman" w:cs="Times New Roman"/>
                <w:szCs w:val="21"/>
              </w:rPr>
              <w:t>RnOCH2COONa</w:t>
            </w:r>
            <w:r>
              <w:rPr>
                <w:rFonts w:ascii="Times New Roman" w:hAnsi="Times New Roman" w:cs="Times New Roman"/>
                <w:szCs w:val="21"/>
              </w:rPr>
              <w:t>，分子量：</w:t>
            </w:r>
            <w:r>
              <w:rPr>
                <w:rFonts w:ascii="Times New Roman" w:hAnsi="Times New Roman" w:cs="Times New Roman"/>
                <w:szCs w:val="21"/>
              </w:rPr>
              <w:t>160.22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1.0000 g</w:t>
            </w:r>
            <w:r>
              <w:rPr>
                <w:rFonts w:ascii="Times New Roman" w:hAnsi="Times New Roman" w:cs="Times New Roman"/>
                <w:szCs w:val="21"/>
              </w:rPr>
              <w:t>，缓慢加入缓冲液（</w:t>
            </w:r>
            <w:r>
              <w:rPr>
                <w:rFonts w:ascii="Times New Roman" w:hAnsi="Times New Roman" w:cs="Times New Roman"/>
                <w:szCs w:val="21"/>
              </w:rPr>
              <w:t>A.4.1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60 mL</w:t>
            </w:r>
            <w:r>
              <w:rPr>
                <w:rFonts w:ascii="Times New Roman" w:hAnsi="Times New Roman" w:cs="Times New Roman"/>
                <w:szCs w:val="21"/>
              </w:rPr>
              <w:t>，溶解</w:t>
            </w:r>
            <w:r>
              <w:rPr>
                <w:rFonts w:ascii="Times New Roman" w:hAnsi="Times New Roman" w:cs="Times New Roman"/>
                <w:szCs w:val="21"/>
              </w:rPr>
              <w:t>8 h</w:t>
            </w:r>
            <w:r>
              <w:rPr>
                <w:rFonts w:ascii="Times New Roman" w:hAnsi="Times New Roman" w:cs="Times New Roman"/>
                <w:szCs w:val="21"/>
              </w:rPr>
              <w:t>以上</w:t>
            </w:r>
            <w:r>
              <w:rPr>
                <w:rFonts w:ascii="Times New Roman" w:hAnsi="Times New Roman" w:cs="Times New Roman"/>
                <w:szCs w:val="21"/>
              </w:rPr>
              <w:t>”</w:t>
            </w:r>
            <w:r>
              <w:rPr>
                <w:rFonts w:ascii="Times New Roman" w:hAnsi="Times New Roman" w:cs="Times New Roman"/>
                <w:szCs w:val="21"/>
              </w:rPr>
              <w:t>修改为</w:t>
            </w:r>
            <w:r>
              <w:rPr>
                <w:rFonts w:ascii="Times New Roman" w:hAnsi="Times New Roman" w:cs="Times New Roman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精密称取</w:t>
            </w:r>
            <w:r>
              <w:rPr>
                <w:rFonts w:ascii="Times New Roman" w:hAnsi="Times New Roman" w:cs="Times New Roman"/>
                <w:szCs w:val="21"/>
              </w:rPr>
              <w:t>CMC</w:t>
            </w:r>
            <w:r>
              <w:rPr>
                <w:rFonts w:ascii="Times New Roman" w:hAnsi="Times New Roman" w:cs="Times New Roman"/>
                <w:szCs w:val="21"/>
              </w:rPr>
              <w:t>（分子式：</w:t>
            </w:r>
            <w:r>
              <w:rPr>
                <w:rFonts w:ascii="Times New Roman" w:hAnsi="Times New Roman" w:cs="Times New Roman"/>
                <w:szCs w:val="21"/>
              </w:rPr>
              <w:t>RnOCH2COONa</w:t>
            </w:r>
            <w:r>
              <w:rPr>
                <w:rFonts w:ascii="Times New Roman" w:hAnsi="Times New Roman" w:cs="Times New Roman"/>
                <w:szCs w:val="21"/>
              </w:rPr>
              <w:t>，分子量：</w:t>
            </w:r>
            <w:r>
              <w:rPr>
                <w:rFonts w:ascii="Times New Roman" w:hAnsi="Times New Roman" w:cs="Times New Roman"/>
                <w:szCs w:val="21"/>
              </w:rPr>
              <w:t>160.22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1.0000 g</w:t>
            </w:r>
            <w:r>
              <w:rPr>
                <w:rFonts w:ascii="Times New Roman" w:hAnsi="Times New Roman" w:cs="Times New Roman"/>
                <w:szCs w:val="21"/>
              </w:rPr>
              <w:t>，缓慢加入缓冲液（</w:t>
            </w:r>
            <w:r>
              <w:rPr>
                <w:rFonts w:ascii="Times New Roman" w:hAnsi="Times New Roman" w:cs="Times New Roman"/>
                <w:szCs w:val="21"/>
              </w:rPr>
              <w:t>A.4.1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60 mL</w:t>
            </w:r>
            <w:r>
              <w:rPr>
                <w:rFonts w:ascii="Times New Roman" w:hAnsi="Times New Roman" w:cs="Times New Roman"/>
                <w:szCs w:val="21"/>
              </w:rPr>
              <w:t>，在磁力搅拌器上搅拌完全溶解后，再搅拌</w:t>
            </w:r>
            <w:r>
              <w:rPr>
                <w:rFonts w:ascii="Times New Roman" w:hAnsi="Times New Roman" w:cs="Times New Roman"/>
                <w:szCs w:val="21"/>
              </w:rPr>
              <w:t>30 min”</w:t>
            </w:r>
          </w:p>
        </w:tc>
        <w:tc>
          <w:tcPr>
            <w:tcW w:w="1990" w:type="dxa"/>
            <w:vAlign w:val="center"/>
          </w:tcPr>
          <w:p w14:paraId="1D8D67FA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纳爱斯</w:t>
            </w:r>
          </w:p>
        </w:tc>
        <w:tc>
          <w:tcPr>
            <w:tcW w:w="1876" w:type="dxa"/>
            <w:vAlign w:val="center"/>
          </w:tcPr>
          <w:p w14:paraId="54DAA242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不采纳</w:t>
            </w:r>
          </w:p>
          <w:p w14:paraId="628F9FE8" w14:textId="77777777" w:rsidR="007A40C2" w:rsidRDefault="00000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固定溶解时间减小误差</w:t>
            </w:r>
          </w:p>
        </w:tc>
      </w:tr>
    </w:tbl>
    <w:p w14:paraId="430B5095" w14:textId="77777777" w:rsidR="007A40C2" w:rsidRDefault="007A40C2">
      <w:pPr>
        <w:rPr>
          <w:rFonts w:ascii="Times New Roman" w:hAnsi="Times New Roman" w:cs="Times New Roman"/>
        </w:rPr>
      </w:pPr>
    </w:p>
    <w:sectPr w:rsidR="007A4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VkODM4N2NhMjkzODNkZGJmNTNkYjM5ZThkMTRkODYifQ=="/>
    <w:docVar w:name="KSO_WPS_MARK_KEY" w:val="959b3d82-8f1a-4772-9bbb-80ebfb551596"/>
  </w:docVars>
  <w:rsids>
    <w:rsidRoot w:val="432635C1"/>
    <w:rsid w:val="007A40C2"/>
    <w:rsid w:val="007C1717"/>
    <w:rsid w:val="00B4039B"/>
    <w:rsid w:val="00DD502A"/>
    <w:rsid w:val="03090C0B"/>
    <w:rsid w:val="089B6610"/>
    <w:rsid w:val="0EC16152"/>
    <w:rsid w:val="19155CC6"/>
    <w:rsid w:val="1A9048D6"/>
    <w:rsid w:val="1F1920CC"/>
    <w:rsid w:val="2B9B4FDF"/>
    <w:rsid w:val="2F431AAF"/>
    <w:rsid w:val="35D46C54"/>
    <w:rsid w:val="432635C1"/>
    <w:rsid w:val="45157860"/>
    <w:rsid w:val="459F1FE5"/>
    <w:rsid w:val="4A206399"/>
    <w:rsid w:val="502E2BCE"/>
    <w:rsid w:val="58241486"/>
    <w:rsid w:val="62BF7731"/>
    <w:rsid w:val="6BE648F5"/>
    <w:rsid w:val="71306613"/>
    <w:rsid w:val="7750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88BC56"/>
  <w15:docId w15:val="{85FDB5D3-6B62-459F-B77A-4DD78C13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Lines="50" w:before="50" w:afterLines="50" w:after="50" w:line="440" w:lineRule="exact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Lines="30" w:before="30" w:afterLines="30" w:after="30" w:line="440" w:lineRule="exact"/>
      <w:outlineLvl w:val="1"/>
    </w:pPr>
    <w:rPr>
      <w:rFonts w:ascii="Arial" w:eastAsia="黑体" w:hAnsi="Arial"/>
      <w:sz w:val="28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Lines="30" w:before="30" w:afterLines="30" w:after="30" w:line="440" w:lineRule="exact"/>
      <w:outlineLvl w:val="2"/>
    </w:pPr>
    <w:rPr>
      <w:rFonts w:eastAsia="黑体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qFormat/>
    <w:pPr>
      <w:spacing w:line="440" w:lineRule="exact"/>
    </w:pPr>
    <w:rPr>
      <w:sz w:val="24"/>
    </w:rPr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Arial" w:eastAsia="黑体" w:hAnsi="Arial"/>
      <w:sz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inorHAnsi" w:eastAsia="黑体" w:hAnsiTheme="minorHAnsi"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习惯就好2015</dc:creator>
  <cp:lastModifiedBy>晓辉 李</cp:lastModifiedBy>
  <cp:revision>3</cp:revision>
  <dcterms:created xsi:type="dcterms:W3CDTF">2023-03-30T10:50:00Z</dcterms:created>
  <dcterms:modified xsi:type="dcterms:W3CDTF">2024-05-17T08:26:00Z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7C4F0D567A64431891437AFB938ACAE8</vt:lpwstr>
  </property>
</Properties>
</file>