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2"/>
          <w:szCs w:val="32"/>
        </w:rPr>
      </w:pPr>
      <w:r>
        <w:rPr>
          <w:rFonts w:hint="eastAsia" w:ascii="宋体" w:hAnsi="宋体"/>
          <w:b/>
          <w:sz w:val="32"/>
          <w:szCs w:val="32"/>
          <w:lang w:val="en-US" w:eastAsia="zh-CN"/>
        </w:rPr>
        <w:t>行业</w:t>
      </w:r>
      <w:r>
        <w:rPr>
          <w:rFonts w:hint="eastAsia" w:ascii="宋体" w:hAnsi="宋体"/>
          <w:b/>
          <w:sz w:val="32"/>
          <w:szCs w:val="32"/>
        </w:rPr>
        <w:t>标准《洗涤</w:t>
      </w:r>
      <w:r>
        <w:rPr>
          <w:rFonts w:hint="eastAsia" w:ascii="宋体" w:hAnsi="宋体"/>
          <w:b/>
          <w:sz w:val="32"/>
          <w:szCs w:val="32"/>
          <w:lang w:val="en-US" w:eastAsia="zh-CN"/>
        </w:rPr>
        <w:t>用纤维素酶</w:t>
      </w:r>
      <w:r>
        <w:rPr>
          <w:rFonts w:hint="eastAsia" w:ascii="宋体" w:hAnsi="宋体"/>
          <w:b/>
          <w:sz w:val="32"/>
          <w:szCs w:val="32"/>
        </w:rPr>
        <w:t>》编制说明</w:t>
      </w:r>
    </w:p>
    <w:p>
      <w:pPr>
        <w:spacing w:before="156" w:beforeLines="50" w:after="156" w:afterLines="50"/>
        <w:rPr>
          <w:rFonts w:ascii="宋体" w:hAnsi="宋体"/>
          <w:b/>
          <w:szCs w:val="21"/>
        </w:rPr>
      </w:pPr>
      <w:r>
        <w:rPr>
          <w:rFonts w:hint="eastAsia" w:ascii="宋体" w:hAnsi="宋体"/>
          <w:b/>
          <w:szCs w:val="21"/>
        </w:rPr>
        <w:t>一、任务来源</w:t>
      </w:r>
    </w:p>
    <w:p>
      <w:pPr>
        <w:rPr>
          <w:rFonts w:ascii="宋体" w:hAnsi="宋体"/>
          <w:b/>
          <w:bCs/>
          <w:szCs w:val="21"/>
        </w:rPr>
      </w:pPr>
      <w:r>
        <w:rPr>
          <w:rFonts w:hint="eastAsia" w:ascii="宋体" w:hAnsi="宋体"/>
          <w:b/>
          <w:bCs/>
          <w:szCs w:val="21"/>
        </w:rPr>
        <w:t>1、任务来源</w:t>
      </w:r>
    </w:p>
    <w:p>
      <w:pPr>
        <w:ind w:firstLine="420" w:firstLineChars="200"/>
        <w:rPr>
          <w:rFonts w:ascii="宋体" w:hAnsi="宋体"/>
          <w:szCs w:val="21"/>
        </w:rPr>
      </w:pPr>
      <w:r>
        <w:rPr>
          <w:rFonts w:hint="eastAsia" w:ascii="宋体" w:hAnsi="宋体"/>
          <w:szCs w:val="21"/>
        </w:rPr>
        <w:t>本项目为</w:t>
      </w:r>
      <w:r>
        <w:rPr>
          <w:rFonts w:hint="eastAsia" w:ascii="宋体" w:hAnsi="宋体"/>
          <w:szCs w:val="21"/>
          <w:lang w:val="en-US" w:eastAsia="zh-CN"/>
        </w:rPr>
        <w:t>xxx</w:t>
      </w:r>
      <w:r>
        <w:rPr>
          <w:rFonts w:hint="eastAsia" w:ascii="宋体" w:hAnsi="宋体"/>
          <w:szCs w:val="21"/>
        </w:rPr>
        <w:t>，项目编号</w:t>
      </w:r>
      <w:r>
        <w:rPr>
          <w:rFonts w:hint="eastAsia" w:ascii="宋体" w:hAnsi="宋体"/>
          <w:szCs w:val="21"/>
          <w:lang w:val="en-US" w:eastAsia="zh-CN"/>
        </w:rPr>
        <w:t>xxx</w:t>
      </w:r>
      <w:r>
        <w:rPr>
          <w:rFonts w:hint="eastAsia" w:ascii="宋体" w:hAnsi="宋体"/>
          <w:szCs w:val="21"/>
        </w:rPr>
        <w:t>。主要起草单位：</w:t>
      </w:r>
      <w:r>
        <w:rPr>
          <w:rFonts w:hint="eastAsia" w:ascii="宋体" w:hAnsi="宋体"/>
          <w:szCs w:val="21"/>
          <w:lang w:val="en-US" w:eastAsia="zh-CN"/>
        </w:rPr>
        <w:t>xxx</w:t>
      </w:r>
      <w:r>
        <w:rPr>
          <w:rFonts w:hint="eastAsia" w:ascii="宋体" w:hAnsi="宋体"/>
          <w:szCs w:val="21"/>
        </w:rPr>
        <w:t>，</w:t>
      </w:r>
      <w:r>
        <w:rPr>
          <w:rFonts w:ascii="宋体" w:hAnsi="宋体"/>
          <w:szCs w:val="21"/>
        </w:rPr>
        <w:t>项目实施周期</w:t>
      </w:r>
      <w:r>
        <w:rPr>
          <w:rFonts w:hint="eastAsia" w:ascii="宋体" w:hAnsi="宋体"/>
          <w:szCs w:val="21"/>
          <w:lang w:val="en-US" w:eastAsia="zh-CN"/>
        </w:rPr>
        <w:t>xxx</w:t>
      </w:r>
      <w:r>
        <w:rPr>
          <w:rFonts w:hint="eastAsia" w:ascii="宋体" w:hAnsi="宋体"/>
          <w:szCs w:val="21"/>
        </w:rPr>
        <w:t>个</w:t>
      </w:r>
      <w:r>
        <w:rPr>
          <w:rFonts w:ascii="宋体" w:hAnsi="宋体"/>
          <w:szCs w:val="21"/>
        </w:rPr>
        <w:t>月</w:t>
      </w:r>
      <w:r>
        <w:rPr>
          <w:rFonts w:hint="eastAsia" w:ascii="宋体" w:hAnsi="宋体"/>
          <w:szCs w:val="21"/>
        </w:rPr>
        <w:t>。</w:t>
      </w:r>
    </w:p>
    <w:p>
      <w:pPr>
        <w:rPr>
          <w:rFonts w:ascii="ˎ̥" w:hAnsi="ˎ̥"/>
          <w:b/>
          <w:szCs w:val="21"/>
        </w:rPr>
      </w:pPr>
      <w:r>
        <w:rPr>
          <w:rFonts w:ascii="ˎ̥" w:hAnsi="ˎ̥"/>
          <w:b/>
          <w:szCs w:val="21"/>
        </w:rPr>
        <w:t>2</w:t>
      </w:r>
      <w:r>
        <w:rPr>
          <w:rFonts w:hint="eastAsia" w:ascii="ˎ̥" w:hAnsi="ˎ̥"/>
          <w:b/>
          <w:szCs w:val="21"/>
        </w:rPr>
        <w:t>、主要工作过程</w:t>
      </w:r>
    </w:p>
    <w:p>
      <w:pPr>
        <w:ind w:left="2" w:leftChars="1" w:firstLine="422" w:firstLineChars="200"/>
        <w:rPr>
          <w:rFonts w:ascii="ˎ̥" w:hAnsi="ˎ̥"/>
          <w:szCs w:val="21"/>
        </w:rPr>
      </w:pPr>
      <w:r>
        <w:rPr>
          <w:rFonts w:hint="eastAsia" w:ascii="ˎ̥" w:hAnsi="ˎ̥"/>
          <w:b/>
          <w:szCs w:val="21"/>
        </w:rPr>
        <w:t>起草阶段：</w:t>
      </w:r>
    </w:p>
    <w:p>
      <w:pPr>
        <w:ind w:left="2" w:leftChars="1" w:firstLine="422" w:firstLineChars="200"/>
        <w:rPr>
          <w:rFonts w:ascii="宋体" w:hAnsi="宋体"/>
        </w:rPr>
      </w:pPr>
      <w:r>
        <w:rPr>
          <w:rFonts w:hint="eastAsia" w:ascii="宋体" w:hAnsi="宋体"/>
          <w:b/>
        </w:rPr>
        <w:t>征求意见阶段：</w:t>
      </w:r>
    </w:p>
    <w:p>
      <w:pPr>
        <w:rPr>
          <w:rFonts w:ascii="宋体" w:hAnsi="宋体"/>
          <w:szCs w:val="21"/>
        </w:rPr>
      </w:pPr>
      <w:r>
        <w:rPr>
          <w:rFonts w:ascii="ˎ̥" w:hAnsi="ˎ̥"/>
          <w:b/>
          <w:szCs w:val="21"/>
        </w:rPr>
        <w:t>3</w:t>
      </w:r>
      <w:r>
        <w:rPr>
          <w:rFonts w:hint="eastAsia" w:ascii="ˎ̥" w:hAnsi="ˎ̥"/>
          <w:b/>
          <w:szCs w:val="21"/>
        </w:rPr>
        <w:t>、主要参加单位和工作组成员</w:t>
      </w:r>
    </w:p>
    <w:p>
      <w:pPr>
        <w:spacing w:before="156" w:beforeLines="50" w:after="156" w:afterLines="50"/>
        <w:rPr>
          <w:rFonts w:ascii="宋体" w:hAnsi="宋体"/>
          <w:b/>
          <w:szCs w:val="21"/>
        </w:rPr>
      </w:pPr>
      <w:r>
        <w:rPr>
          <w:rFonts w:hint="eastAsia" w:ascii="宋体" w:hAnsi="宋体"/>
          <w:b/>
          <w:szCs w:val="21"/>
        </w:rPr>
        <w:t>二、标准编制原则和主要内容</w:t>
      </w:r>
    </w:p>
    <w:p>
      <w:pPr>
        <w:autoSpaceDE w:val="0"/>
        <w:autoSpaceDN w:val="0"/>
        <w:adjustRightInd w:val="0"/>
        <w:snapToGrid w:val="0"/>
        <w:spacing w:before="62" w:beforeLines="20" w:after="62" w:afterLines="20"/>
        <w:jc w:val="left"/>
        <w:rPr>
          <w:rFonts w:ascii="ˎ̥" w:hAnsi="ˎ̥"/>
          <w:b/>
          <w:szCs w:val="21"/>
        </w:rPr>
      </w:pPr>
      <w:r>
        <w:rPr>
          <w:rFonts w:ascii="ˎ̥" w:hAnsi="ˎ̥"/>
          <w:b/>
          <w:szCs w:val="21"/>
        </w:rPr>
        <w:t>1</w:t>
      </w:r>
      <w:r>
        <w:rPr>
          <w:rFonts w:hint="eastAsia" w:ascii="ˎ̥" w:hAnsi="ˎ̥"/>
          <w:b/>
          <w:szCs w:val="21"/>
        </w:rPr>
        <w:t>、标准编制原则</w:t>
      </w:r>
    </w:p>
    <w:p>
      <w:pPr>
        <w:adjustRightInd w:val="0"/>
        <w:ind w:firstLine="420" w:firstLineChars="200"/>
        <w:rPr>
          <w:color w:val="000000"/>
        </w:rPr>
      </w:pPr>
      <w:r>
        <w:rPr>
          <w:color w:val="000000"/>
        </w:rPr>
        <w:t>本标准的修订符合产业发展的原则，本着先进性、科学性、合理性、可操作性等原则以及标准的目标、统一性、协调性、适用性、一致性和规范性原则来进行本标准的修订工作。</w:t>
      </w:r>
    </w:p>
    <w:p>
      <w:pPr>
        <w:ind w:firstLine="420" w:firstLineChars="200"/>
        <w:rPr>
          <w:rFonts w:ascii="宋体" w:hAnsi="宋体"/>
          <w:szCs w:val="21"/>
        </w:rPr>
      </w:pPr>
      <w:r>
        <w:rPr>
          <w:rFonts w:ascii="宋体" w:hAnsi="宋体"/>
          <w:szCs w:val="21"/>
        </w:rPr>
        <w:t>本标准按照</w:t>
      </w:r>
      <w:r>
        <w:rPr>
          <w:rFonts w:hint="default" w:ascii="Times New Roman" w:hAnsi="Times New Roman" w:eastAsia="华文楷体" w:cs="Times New Roman"/>
          <w:szCs w:val="21"/>
        </w:rPr>
        <w:t>GB/T 1.1-2020</w:t>
      </w:r>
      <w:r>
        <w:rPr>
          <w:rFonts w:hint="eastAsia" w:ascii="宋体" w:hAnsi="宋体"/>
          <w:szCs w:val="21"/>
        </w:rPr>
        <w:t>《</w:t>
      </w:r>
      <w:r>
        <w:rPr>
          <w:color w:val="000000"/>
        </w:rPr>
        <w:t>标准化工作导则  第</w:t>
      </w:r>
      <w:r>
        <w:rPr>
          <w:rFonts w:hint="eastAsia"/>
          <w:color w:val="000000"/>
        </w:rPr>
        <w:t>1</w:t>
      </w:r>
      <w:r>
        <w:rPr>
          <w:color w:val="000000"/>
        </w:rPr>
        <w:t>部分：标准化文件的结构和起草规则</w:t>
      </w:r>
      <w:r>
        <w:rPr>
          <w:rFonts w:hint="eastAsia" w:ascii="宋体" w:hAnsi="宋体"/>
          <w:szCs w:val="21"/>
        </w:rPr>
        <w:t>》</w:t>
      </w:r>
      <w:r>
        <w:rPr>
          <w:rFonts w:ascii="宋体" w:hAnsi="宋体"/>
          <w:szCs w:val="21"/>
        </w:rPr>
        <w:t>的要求进行编写。</w:t>
      </w:r>
      <w:r>
        <w:rPr>
          <w:rFonts w:hint="eastAsia" w:ascii="宋体" w:hAnsi="宋体"/>
          <w:szCs w:val="21"/>
        </w:rPr>
        <w:t>方法建立过程中尽量采用目前酶制剂生产厂商以及洗涤剂生产厂商检测实验室普遍采用的分析技术及仪器，选择准确、可行、便于操作的分析条件，保证检测方法的可操作性和可重复性。该标准制定过程中主要参考了</w:t>
      </w:r>
      <w:bookmarkStart w:id="0" w:name="_Hlk26538757"/>
      <w:r>
        <w:rPr>
          <w:rFonts w:hint="eastAsia" w:ascii="宋体" w:hAnsi="宋体"/>
          <w:szCs w:val="21"/>
        </w:rPr>
        <w:t>以下标准或文件：</w:t>
      </w:r>
    </w:p>
    <w:bookmarkEnd w:id="0"/>
    <w:p>
      <w:pPr>
        <w:pStyle w:val="27"/>
        <w:ind w:firstLine="420"/>
        <w:rPr>
          <w:rFonts w:hint="default" w:ascii="Times New Roman" w:hAnsi="Times New Roman" w:eastAsia="宋体" w:cs="Times New Roman"/>
        </w:rPr>
      </w:pPr>
      <w:r>
        <w:rPr>
          <w:rFonts w:hint="default" w:ascii="Times New Roman" w:hAnsi="Times New Roman" w:eastAsia="宋体" w:cs="Times New Roman"/>
        </w:rPr>
        <w:t>GB/T 191  包装储运图示标志</w:t>
      </w:r>
    </w:p>
    <w:p>
      <w:pPr>
        <w:pStyle w:val="27"/>
        <w:ind w:firstLine="420"/>
        <w:rPr>
          <w:rFonts w:hint="eastAsia" w:ascii="Times New Roman" w:cs="Times New Roman"/>
          <w:lang w:val="en-US" w:eastAsia="zh-CN"/>
        </w:rPr>
      </w:pPr>
      <w:r>
        <w:rPr>
          <w:rFonts w:hint="default" w:ascii="Times New Roman" w:hAnsi="Times New Roman" w:eastAsia="宋体" w:cs="Times New Roman"/>
        </w:rPr>
        <w:t xml:space="preserve">GB/T </w:t>
      </w:r>
      <w:r>
        <w:rPr>
          <w:rFonts w:hint="eastAsia" w:ascii="Times New Roman" w:cs="Times New Roman"/>
          <w:lang w:val="en-US" w:eastAsia="zh-CN"/>
        </w:rPr>
        <w:t>4789.2  食品安全国家标准  食品微生物学检验  菌落总数测定</w:t>
      </w:r>
    </w:p>
    <w:p>
      <w:pPr>
        <w:pStyle w:val="27"/>
        <w:ind w:firstLine="420"/>
        <w:rPr>
          <w:rFonts w:hint="default" w:ascii="Times New Roman" w:hAnsi="Times New Roman" w:eastAsia="宋体" w:cs="Times New Roman"/>
        </w:rPr>
      </w:pPr>
      <w:r>
        <w:rPr>
          <w:rFonts w:hint="default" w:ascii="Times New Roman" w:hAnsi="Times New Roman" w:eastAsia="宋体" w:cs="Times New Roman"/>
        </w:rPr>
        <w:t xml:space="preserve">GB/T </w:t>
      </w:r>
      <w:r>
        <w:rPr>
          <w:rFonts w:hint="eastAsia" w:ascii="Times New Roman" w:cs="Times New Roman"/>
          <w:lang w:val="en-US" w:eastAsia="zh-CN"/>
        </w:rPr>
        <w:t>4789.3  食品安全国家标准  食品微生物学检验  大肠菌群计数</w:t>
      </w:r>
    </w:p>
    <w:p>
      <w:pPr>
        <w:pStyle w:val="27"/>
        <w:ind w:firstLine="420"/>
        <w:rPr>
          <w:rFonts w:hint="default" w:ascii="Times New Roman" w:hAnsi="Times New Roman" w:eastAsia="宋体" w:cs="Times New Roman"/>
        </w:rPr>
      </w:pPr>
      <w:r>
        <w:rPr>
          <w:rFonts w:hint="default" w:ascii="Times New Roman" w:hAnsi="Times New Roman" w:eastAsia="宋体" w:cs="Times New Roman"/>
        </w:rPr>
        <w:t>GB/T 6682 分析实验室用水规格和试验方法</w:t>
      </w:r>
    </w:p>
    <w:p>
      <w:pPr>
        <w:pStyle w:val="27"/>
        <w:ind w:firstLine="420"/>
        <w:rPr>
          <w:rFonts w:hint="default" w:ascii="Times New Roman" w:hAnsi="Times New Roman" w:eastAsia="宋体" w:cs="Times New Roman"/>
          <w:lang w:val="en-US" w:eastAsia="zh-CN"/>
        </w:rPr>
      </w:pPr>
      <w:bookmarkStart w:id="1" w:name="_Hlk70241339"/>
      <w:r>
        <w:rPr>
          <w:rFonts w:hint="default" w:ascii="Times New Roman" w:hAnsi="Times New Roman" w:eastAsia="宋体" w:cs="Times New Roman"/>
          <w:lang w:val="en-US" w:eastAsia="zh-CN"/>
        </w:rPr>
        <w:t>GB/T 603  化学试剂</w:t>
      </w:r>
      <w:r>
        <w:rPr>
          <w:rFonts w:hint="eastAsia" w:ascii="Times New Roman" w:cs="Times New Roman"/>
          <w:lang w:val="en-US" w:eastAsia="zh-CN"/>
        </w:rPr>
        <w:t xml:space="preserve"> </w:t>
      </w:r>
      <w:r>
        <w:rPr>
          <w:rFonts w:hint="default" w:ascii="Times New Roman" w:hAnsi="Times New Roman" w:eastAsia="宋体" w:cs="Times New Roman"/>
          <w:lang w:val="en-US" w:eastAsia="zh-CN"/>
        </w:rPr>
        <w:t>试验方法中所用制剂及制品的制备（GB/T 603-2002，ISO 6353-1：1982，NEQ）</w:t>
      </w:r>
    </w:p>
    <w:p>
      <w:pPr>
        <w:pStyle w:val="27"/>
        <w:ind w:firstLine="42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GB 15258  化学品安全标签编写规定</w:t>
      </w:r>
    </w:p>
    <w:p>
      <w:pPr>
        <w:pStyle w:val="27"/>
        <w:ind w:firstLine="42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GB/T 9721-2006 化学试剂 分子吸收分光光度法通则 (紫外和可见光部分)</w:t>
      </w:r>
    </w:p>
    <w:p>
      <w:pPr>
        <w:pStyle w:val="27"/>
        <w:ind w:firstLine="420"/>
        <w:rPr>
          <w:rFonts w:hint="default" w:ascii="Times New Roman" w:hAnsi="Times New Roman" w:eastAsia="宋体" w:cs="Times New Roman"/>
          <w:lang w:val="en-US" w:eastAsia="zh-CN"/>
        </w:rPr>
      </w:pPr>
      <w:r>
        <w:rPr>
          <w:rFonts w:hint="eastAsia" w:ascii="Times New Roman" w:cs="Times New Roman"/>
          <w:lang w:val="en-US" w:eastAsia="zh-CN"/>
        </w:rPr>
        <w:t>GB/T 42239.1-2022  洗涤用酶制剂  第1部分：碱性蛋白酶</w:t>
      </w:r>
    </w:p>
    <w:p>
      <w:pPr>
        <w:pStyle w:val="27"/>
        <w:ind w:firstLine="420"/>
        <w:rPr>
          <w:rFonts w:hint="default" w:ascii="Times New Roman" w:hAnsi="Times New Roman" w:eastAsia="宋体" w:cs="Times New Roman"/>
          <w:lang w:val="en-US" w:eastAsia="zh-CN"/>
        </w:rPr>
      </w:pPr>
    </w:p>
    <w:bookmarkEnd w:id="1"/>
    <w:p>
      <w:pPr>
        <w:autoSpaceDE w:val="0"/>
        <w:autoSpaceDN w:val="0"/>
        <w:adjustRightInd w:val="0"/>
        <w:snapToGrid w:val="0"/>
        <w:spacing w:before="62" w:beforeLines="20" w:after="62" w:afterLines="20"/>
        <w:jc w:val="left"/>
        <w:rPr>
          <w:rFonts w:ascii="ˎ̥" w:hAnsi="ˎ̥"/>
          <w:b/>
          <w:szCs w:val="21"/>
        </w:rPr>
      </w:pPr>
      <w:r>
        <w:rPr>
          <w:rFonts w:hint="eastAsia" w:ascii="ˎ̥" w:hAnsi="ˎ̥"/>
          <w:b/>
          <w:szCs w:val="21"/>
        </w:rPr>
        <w:t>2、标准主要内容</w:t>
      </w:r>
    </w:p>
    <w:p>
      <w:pPr>
        <w:ind w:firstLine="420"/>
        <w:rPr>
          <w:rFonts w:hint="eastAsia"/>
        </w:rPr>
      </w:pPr>
      <w:r>
        <w:rPr>
          <w:rFonts w:hint="eastAsia"/>
          <w:lang w:val="en-US" w:eastAsia="zh-CN"/>
        </w:rPr>
        <w:t>纤维素酶</w:t>
      </w:r>
      <w:r>
        <w:rPr>
          <w:rFonts w:hint="eastAsia"/>
        </w:rPr>
        <w:t>目前</w:t>
      </w:r>
      <w:r>
        <w:rPr>
          <w:rFonts w:hint="eastAsia"/>
          <w:lang w:val="en-US" w:eastAsia="zh-CN"/>
        </w:rPr>
        <w:t>已</w:t>
      </w:r>
      <w:r>
        <w:rPr>
          <w:rFonts w:hint="eastAsia"/>
        </w:rPr>
        <w:t>在洗</w:t>
      </w:r>
      <w:r>
        <w:rPr>
          <w:rFonts w:hint="eastAsia"/>
          <w:lang w:val="en-US" w:eastAsia="zh-CN"/>
        </w:rPr>
        <w:t>涤剂</w:t>
      </w:r>
      <w:r>
        <w:rPr>
          <w:rFonts w:hint="eastAsia"/>
        </w:rPr>
        <w:t>中广泛使用，</w:t>
      </w:r>
      <w:r>
        <w:rPr>
          <w:rFonts w:hint="eastAsia"/>
          <w:lang w:val="en-US" w:eastAsia="zh-CN"/>
        </w:rPr>
        <w:t>纤维素酶它能将棉纤维上的蜡质剥离下来，同时纤维素酶能扩大织物纤维中的空穴，使内嵌在纤维内部的顽固污渍得到更好的去除</w:t>
      </w:r>
      <w:r>
        <w:rPr>
          <w:rFonts w:hint="eastAsia"/>
        </w:rPr>
        <w:t>。目前，立白</w:t>
      </w:r>
      <w:r>
        <w:rPr>
          <w:rFonts w:hint="eastAsia"/>
          <w:lang w:eastAsia="zh-CN"/>
        </w:rPr>
        <w:t>、</w:t>
      </w:r>
      <w:r>
        <w:rPr>
          <w:rFonts w:hint="eastAsia"/>
          <w:lang w:val="en-US" w:eastAsia="zh-CN"/>
        </w:rPr>
        <w:t>纳爱斯</w:t>
      </w:r>
      <w:r>
        <w:rPr>
          <w:rFonts w:hint="eastAsia"/>
        </w:rPr>
        <w:t>等国内外知名洗涤剂生产商都有</w:t>
      </w:r>
      <w:r>
        <w:rPr>
          <w:rFonts w:hint="eastAsia"/>
          <w:lang w:val="en-US" w:eastAsia="zh-CN"/>
        </w:rPr>
        <w:t>纤维素</w:t>
      </w:r>
      <w:r>
        <w:rPr>
          <w:rFonts w:hint="eastAsia"/>
        </w:rPr>
        <w:t>酶的应用。</w:t>
      </w:r>
    </w:p>
    <w:p>
      <w:pPr>
        <w:ind w:firstLine="420"/>
      </w:pPr>
      <w:r>
        <w:rPr>
          <w:rFonts w:hint="eastAsia"/>
        </w:rPr>
        <w:t>本标准规定了</w:t>
      </w:r>
      <w:r>
        <w:rPr>
          <w:rFonts w:hint="eastAsia" w:ascii="宋体"/>
          <w:kern w:val="0"/>
          <w:szCs w:val="20"/>
          <w:lang w:val="en-US" w:eastAsia="zh-CN"/>
        </w:rPr>
        <w:t>洗涤剂用纤维素酶</w:t>
      </w:r>
      <w:r>
        <w:rPr>
          <w:rFonts w:hint="eastAsia" w:ascii="宋体"/>
          <w:kern w:val="0"/>
          <w:szCs w:val="20"/>
        </w:rPr>
        <w:t>的术语和定义、产品分类、</w:t>
      </w:r>
      <w:r>
        <w:rPr>
          <w:rFonts w:hint="eastAsia" w:ascii="宋体"/>
          <w:kern w:val="0"/>
          <w:szCs w:val="20"/>
          <w:lang w:val="en-US" w:eastAsia="zh-CN"/>
        </w:rPr>
        <w:t>技术</w:t>
      </w:r>
      <w:r>
        <w:rPr>
          <w:rFonts w:hint="eastAsia" w:ascii="宋体"/>
          <w:kern w:val="0"/>
          <w:szCs w:val="20"/>
        </w:rPr>
        <w:t>要求、试验方法、检验规则以及标志、包装、运输、贮存和保质期。</w:t>
      </w:r>
    </w:p>
    <w:p>
      <w:pPr>
        <w:ind w:firstLine="420"/>
      </w:pPr>
      <w:r>
        <w:rPr>
          <w:rFonts w:hint="eastAsia"/>
        </w:rPr>
        <w:t>本标准适用于经微生物发酵、提纯等工艺制得的</w:t>
      </w:r>
      <w:r>
        <w:rPr>
          <w:rFonts w:hint="eastAsia"/>
          <w:lang w:val="en-US" w:eastAsia="zh-CN"/>
        </w:rPr>
        <w:t>适</w:t>
      </w:r>
      <w:r>
        <w:rPr>
          <w:rFonts w:hint="eastAsia"/>
        </w:rPr>
        <w:t>用于洗涤剂工业的</w:t>
      </w:r>
      <w:r>
        <w:rPr>
          <w:rFonts w:hint="eastAsia"/>
          <w:lang w:val="en-US" w:eastAsia="zh-CN"/>
        </w:rPr>
        <w:t>纤维素酶</w:t>
      </w:r>
      <w:r>
        <w:rPr>
          <w:rFonts w:hint="eastAsia"/>
        </w:rPr>
        <w:t>。</w:t>
      </w:r>
    </w:p>
    <w:p>
      <w:pPr>
        <w:rPr>
          <w:rFonts w:hAnsi="黑体" w:eastAsia="黑体"/>
          <w:szCs w:val="21"/>
        </w:rPr>
      </w:pPr>
      <w:r>
        <w:rPr>
          <w:rFonts w:hint="eastAsia" w:hAnsi="黑体" w:eastAsia="黑体"/>
          <w:szCs w:val="21"/>
        </w:rPr>
        <w:t>2.</w:t>
      </w:r>
      <w:r>
        <w:rPr>
          <w:rFonts w:hAnsi="黑体" w:eastAsia="黑体"/>
          <w:szCs w:val="21"/>
        </w:rPr>
        <w:t>1</w:t>
      </w:r>
      <w:r>
        <w:rPr>
          <w:rFonts w:hint="eastAsia" w:hAnsi="黑体" w:eastAsia="黑体"/>
          <w:szCs w:val="21"/>
        </w:rPr>
        <w:t>、产品分类</w:t>
      </w:r>
    </w:p>
    <w:p>
      <w:pPr>
        <w:pStyle w:val="8"/>
        <w:ind w:firstLine="417" w:firstLineChars="199"/>
        <w:rPr>
          <w:rFonts w:ascii="宋体" w:hAnsi="宋体"/>
          <w:sz w:val="21"/>
          <w:szCs w:val="21"/>
        </w:rPr>
      </w:pPr>
      <w:r>
        <w:rPr>
          <w:rFonts w:hint="eastAsia" w:ascii="宋体" w:hAnsi="宋体"/>
          <w:sz w:val="21"/>
          <w:szCs w:val="21"/>
        </w:rPr>
        <w:t>本标准按照</w:t>
      </w:r>
      <w:r>
        <w:rPr>
          <w:rFonts w:hint="eastAsia" w:ascii="宋体" w:hAnsi="宋体"/>
          <w:sz w:val="21"/>
          <w:szCs w:val="21"/>
          <w:lang w:val="en-US" w:eastAsia="zh-CN"/>
        </w:rPr>
        <w:t>纤维素</w:t>
      </w:r>
      <w:r>
        <w:rPr>
          <w:rFonts w:hint="eastAsia" w:ascii="宋体" w:hAnsi="宋体"/>
          <w:sz w:val="21"/>
          <w:szCs w:val="21"/>
        </w:rPr>
        <w:t>酶的形态分为两类：</w:t>
      </w:r>
      <w:r>
        <w:rPr>
          <w:sz w:val="21"/>
          <w:szCs w:val="21"/>
        </w:rPr>
        <w:t>液体剂型酶制剂和固体剂型酶制剂</w:t>
      </w:r>
      <w:r>
        <w:rPr>
          <w:rFonts w:hint="eastAsia"/>
          <w:sz w:val="21"/>
          <w:szCs w:val="21"/>
        </w:rPr>
        <w:t>。</w:t>
      </w:r>
    </w:p>
    <w:p>
      <w:pPr>
        <w:rPr>
          <w:rFonts w:ascii="宋体" w:hAnsi="宋体"/>
          <w:b/>
          <w:sz w:val="24"/>
        </w:rPr>
      </w:pPr>
      <w:r>
        <w:rPr>
          <w:rFonts w:hint="eastAsia" w:hAnsi="黑体" w:eastAsia="黑体"/>
          <w:szCs w:val="21"/>
        </w:rPr>
        <w:t>2.</w:t>
      </w:r>
      <w:r>
        <w:rPr>
          <w:rFonts w:hAnsi="黑体" w:eastAsia="黑体"/>
          <w:szCs w:val="21"/>
        </w:rPr>
        <w:t>2</w:t>
      </w:r>
      <w:r>
        <w:rPr>
          <w:rFonts w:hint="eastAsia" w:hAnsi="黑体" w:eastAsia="黑体"/>
          <w:szCs w:val="21"/>
        </w:rPr>
        <w:t>、要求</w:t>
      </w:r>
    </w:p>
    <w:p>
      <w:pPr>
        <w:rPr>
          <w:rFonts w:hAnsi="黑体" w:eastAsia="黑体"/>
          <w:szCs w:val="21"/>
        </w:rPr>
      </w:pPr>
      <w:r>
        <w:rPr>
          <w:rFonts w:hAnsi="黑体" w:eastAsia="黑体"/>
          <w:szCs w:val="21"/>
        </w:rPr>
        <w:t>2</w:t>
      </w:r>
      <w:r>
        <w:rPr>
          <w:rFonts w:hint="eastAsia" w:hAnsi="黑体" w:eastAsia="黑体"/>
          <w:szCs w:val="21"/>
        </w:rPr>
        <w:t>.</w:t>
      </w:r>
      <w:r>
        <w:rPr>
          <w:rFonts w:hAnsi="黑体" w:eastAsia="黑体"/>
          <w:szCs w:val="21"/>
        </w:rPr>
        <w:t>2</w:t>
      </w:r>
      <w:r>
        <w:rPr>
          <w:rFonts w:hint="eastAsia" w:hAnsi="黑体" w:eastAsia="黑体"/>
          <w:szCs w:val="21"/>
        </w:rPr>
        <w:t>.</w:t>
      </w:r>
      <w:r>
        <w:rPr>
          <w:rFonts w:hAnsi="黑体" w:eastAsia="黑体"/>
          <w:szCs w:val="21"/>
        </w:rPr>
        <w:t>1</w:t>
      </w:r>
      <w:r>
        <w:rPr>
          <w:rFonts w:hint="eastAsia" w:hAnsi="黑体" w:eastAsia="黑体"/>
          <w:szCs w:val="21"/>
        </w:rPr>
        <w:t>、感官要求</w:t>
      </w:r>
    </w:p>
    <w:p>
      <w:pPr>
        <w:ind w:firstLine="480"/>
        <w:rPr>
          <w:rFonts w:ascii="宋体" w:hAnsi="宋体"/>
          <w:szCs w:val="21"/>
        </w:rPr>
      </w:pPr>
      <w:r>
        <w:rPr>
          <w:bCs/>
        </w:rPr>
        <w:t>本标准从色泽、气味</w:t>
      </w:r>
      <w:r>
        <w:rPr>
          <w:rFonts w:hint="eastAsia"/>
          <w:bCs/>
        </w:rPr>
        <w:t>、</w:t>
      </w:r>
      <w:r>
        <w:rPr>
          <w:bCs/>
        </w:rPr>
        <w:t>状态</w:t>
      </w:r>
      <w:r>
        <w:rPr>
          <w:rFonts w:hint="eastAsia"/>
          <w:bCs/>
        </w:rPr>
        <w:t>等</w:t>
      </w:r>
      <w:r>
        <w:rPr>
          <w:bCs/>
        </w:rPr>
        <w:t>方面对感官要求进行了规定</w:t>
      </w:r>
      <w:r>
        <w:rPr>
          <w:rFonts w:hint="eastAsia"/>
          <w:bCs/>
        </w:rPr>
        <w:t>。</w:t>
      </w:r>
      <w:r>
        <w:rPr>
          <w:rFonts w:hint="eastAsia" w:ascii="宋体" w:hAnsi="宋体"/>
          <w:szCs w:val="21"/>
        </w:rPr>
        <w:t>发酵产品由于生产过程比较复杂，每一批产品的颜色会有区别，但是产品颜色的深浅与酶活力的高低没有任何关系，所以在标准中规定了颜色是一个过渡色；同时产品会有一些特殊的“发酵”气味，经常会有客户询问厂家气味的问题，所以在标准中规定了产品可能有发酵气味。同时根据洗涤剂产品行业的特点，固体产品可以根据客户的要求，制成多种颜色。</w:t>
      </w:r>
    </w:p>
    <w:p>
      <w:pPr>
        <w:rPr>
          <w:rFonts w:hAnsi="黑体" w:eastAsia="黑体"/>
          <w:szCs w:val="21"/>
        </w:rPr>
      </w:pPr>
      <w:r>
        <w:rPr>
          <w:rFonts w:hint="eastAsia" w:hAnsi="黑体" w:eastAsia="黑体"/>
          <w:szCs w:val="21"/>
        </w:rPr>
        <w:t>2.</w:t>
      </w:r>
      <w:r>
        <w:rPr>
          <w:rFonts w:hAnsi="黑体" w:eastAsia="黑体"/>
          <w:szCs w:val="21"/>
        </w:rPr>
        <w:t>2</w:t>
      </w:r>
      <w:r>
        <w:rPr>
          <w:rFonts w:hint="eastAsia" w:hAnsi="黑体" w:eastAsia="黑体"/>
          <w:szCs w:val="21"/>
        </w:rPr>
        <w:t>.</w:t>
      </w:r>
      <w:r>
        <w:rPr>
          <w:rFonts w:hAnsi="黑体" w:eastAsia="黑体"/>
          <w:szCs w:val="21"/>
        </w:rPr>
        <w:t>2</w:t>
      </w:r>
      <w:r>
        <w:rPr>
          <w:rFonts w:hint="eastAsia" w:hAnsi="黑体" w:eastAsia="黑体"/>
          <w:szCs w:val="21"/>
        </w:rPr>
        <w:t>、理化要求</w:t>
      </w:r>
    </w:p>
    <w:p>
      <w:pPr>
        <w:ind w:firstLine="480"/>
        <w:rPr>
          <w:bCs/>
        </w:rPr>
      </w:pPr>
      <w:r>
        <w:rPr>
          <w:bCs/>
        </w:rPr>
        <w:t>酶活力是产品的一个重要的理化指标，但同时酶活力也是一个商业指标，厂家可以根据客户的要求，生产出各种酶活力的产品。所以在标准中没有规定酶活力具体的数值。建议这个数值在合同中规定。</w:t>
      </w:r>
    </w:p>
    <w:p>
      <w:pPr>
        <w:ind w:firstLine="480"/>
        <w:rPr>
          <w:bCs/>
        </w:rPr>
      </w:pPr>
      <w:r>
        <w:rPr>
          <w:bCs/>
        </w:rPr>
        <w:t>对于固体产品，规定了产品最小颗粒度指标。</w:t>
      </w:r>
      <w:r>
        <w:rPr>
          <w:rFonts w:hint="eastAsia"/>
          <w:bCs/>
          <w:lang w:val="en-US" w:eastAsia="zh-CN"/>
        </w:rPr>
        <w:t>参照</w:t>
      </w:r>
      <w:r>
        <w:rPr>
          <w:rFonts w:hint="eastAsia" w:ascii="Times New Roman" w:cs="Times New Roman"/>
          <w:lang w:val="en-US" w:eastAsia="zh-CN"/>
        </w:rPr>
        <w:t>GB/T 42239.1-2022  洗涤用酶制剂  第1部分：碱性蛋白酶</w:t>
      </w:r>
      <w:r>
        <w:rPr>
          <w:rFonts w:hint="eastAsia" w:cs="Times New Roman"/>
          <w:lang w:val="en-US" w:eastAsia="zh-CN"/>
        </w:rPr>
        <w:t>，</w:t>
      </w:r>
      <w:r>
        <w:rPr>
          <w:bCs/>
        </w:rPr>
        <w:t>数值定为粒度&lt;</w:t>
      </w:r>
      <w:r>
        <w:rPr>
          <w:rFonts w:hint="eastAsia"/>
          <w:bCs/>
          <w:lang w:val="en-US" w:eastAsia="zh-CN"/>
        </w:rPr>
        <w:t xml:space="preserve"> 15</w:t>
      </w:r>
      <w:r>
        <w:rPr>
          <w:bCs/>
        </w:rPr>
        <w:t xml:space="preserve">0 </w:t>
      </w:r>
      <w:r>
        <w:rPr>
          <w:rFonts w:hint="default" w:ascii="Times New Roman" w:hAnsi="Times New Roman" w:cs="Times New Roman"/>
          <w:bCs/>
        </w:rPr>
        <w:t>μ</w:t>
      </w:r>
      <w:r>
        <w:rPr>
          <w:bCs/>
        </w:rPr>
        <w:t>m ≤</w:t>
      </w:r>
      <w:r>
        <w:rPr>
          <w:rFonts w:hint="eastAsia"/>
          <w:bCs/>
          <w:lang w:val="en-US" w:eastAsia="zh-CN"/>
        </w:rPr>
        <w:t xml:space="preserve"> 0.5</w:t>
      </w:r>
      <w:r>
        <w:rPr>
          <w:bCs/>
        </w:rPr>
        <w:t>%。</w:t>
      </w:r>
    </w:p>
    <w:p>
      <w:pPr>
        <w:rPr>
          <w:rFonts w:hAnsi="黑体" w:eastAsia="黑体"/>
          <w:szCs w:val="21"/>
        </w:rPr>
      </w:pPr>
      <w:r>
        <w:rPr>
          <w:rFonts w:hint="eastAsia" w:hAnsi="黑体" w:eastAsia="黑体"/>
          <w:szCs w:val="21"/>
        </w:rPr>
        <w:t>2.</w:t>
      </w:r>
      <w:r>
        <w:rPr>
          <w:rFonts w:hAnsi="黑体" w:eastAsia="黑体"/>
          <w:szCs w:val="21"/>
        </w:rPr>
        <w:t>3</w:t>
      </w:r>
      <w:r>
        <w:rPr>
          <w:rFonts w:hint="eastAsia" w:hAnsi="黑体" w:eastAsia="黑体"/>
          <w:szCs w:val="21"/>
        </w:rPr>
        <w:t>、试验方法</w:t>
      </w:r>
    </w:p>
    <w:p>
      <w:pPr>
        <w:pStyle w:val="27"/>
        <w:ind w:firstLine="420"/>
        <w:rPr>
          <w:kern w:val="0"/>
          <w:szCs w:val="21"/>
        </w:rPr>
      </w:pPr>
      <w:r>
        <w:rPr>
          <w:rFonts w:hint="default" w:ascii="Times New Roman" w:hAnsi="Times New Roman" w:cs="Times New Roman"/>
          <w:kern w:val="0"/>
          <w:szCs w:val="21"/>
        </w:rPr>
        <w:t>本标准包括了</w:t>
      </w:r>
      <w:r>
        <w:rPr>
          <w:rFonts w:hint="default" w:ascii="Times New Roman" w:hAnsi="Times New Roman" w:cs="Times New Roman"/>
          <w:kern w:val="0"/>
          <w:szCs w:val="21"/>
          <w:lang w:val="en-US" w:eastAsia="zh-CN"/>
        </w:rPr>
        <w:t>纤维素酶</w:t>
      </w:r>
      <w:r>
        <w:rPr>
          <w:rFonts w:hint="default" w:ascii="Times New Roman" w:hAnsi="Times New Roman" w:cs="Times New Roman"/>
          <w:kern w:val="0"/>
          <w:szCs w:val="21"/>
        </w:rPr>
        <w:t>酶活力</w:t>
      </w:r>
      <w:r>
        <w:rPr>
          <w:rFonts w:hint="default" w:ascii="Times New Roman" w:hAnsi="Times New Roman" w:cs="Times New Roman"/>
          <w:kern w:val="0"/>
          <w:szCs w:val="21"/>
          <w:lang w:val="en-US" w:eastAsia="zh-CN"/>
        </w:rPr>
        <w:t>，水分，</w:t>
      </w:r>
      <w:r>
        <w:rPr>
          <w:rFonts w:hint="default" w:ascii="Times New Roman" w:hAnsi="Times New Roman" w:cs="Times New Roman"/>
          <w:kern w:val="0"/>
          <w:szCs w:val="21"/>
        </w:rPr>
        <w:t>粒度的检测方法。</w:t>
      </w:r>
      <w:r>
        <w:rPr>
          <w:rFonts w:hint="eastAsia" w:ascii="Times New Roman" w:cs="Times New Roman"/>
          <w:kern w:val="0"/>
          <w:szCs w:val="21"/>
          <w:lang w:val="en-US" w:eastAsia="zh-CN"/>
        </w:rPr>
        <w:t>与</w:t>
      </w:r>
      <w:r>
        <w:rPr>
          <w:rFonts w:hint="default" w:ascii="Times New Roman" w:hAnsi="Times New Roman" w:cs="Times New Roman"/>
          <w:kern w:val="0"/>
          <w:szCs w:val="21"/>
        </w:rPr>
        <w:t>现有的</w:t>
      </w:r>
      <w:r>
        <w:rPr>
          <w:rFonts w:hint="eastAsia" w:ascii="Times New Roman" w:cs="Times New Roman"/>
          <w:kern w:val="0"/>
          <w:szCs w:val="21"/>
          <w:lang w:val="en-US" w:eastAsia="zh-CN"/>
        </w:rPr>
        <w:t>纤维素</w:t>
      </w:r>
      <w:r>
        <w:rPr>
          <w:rFonts w:hint="default" w:ascii="Times New Roman" w:hAnsi="Times New Roman" w:cs="Times New Roman"/>
          <w:kern w:val="0"/>
          <w:szCs w:val="21"/>
        </w:rPr>
        <w:t xml:space="preserve">酶活力检测方法QB </w:t>
      </w:r>
      <w:r>
        <w:rPr>
          <w:rFonts w:hint="default" w:ascii="Times New Roman" w:hAnsi="Times New Roman" w:cs="Times New Roman"/>
          <w:kern w:val="0"/>
          <w:szCs w:val="21"/>
          <w:lang w:val="en-US" w:eastAsia="zh-CN"/>
        </w:rPr>
        <w:t>258</w:t>
      </w:r>
      <w:r>
        <w:rPr>
          <w:rFonts w:hint="default" w:ascii="Times New Roman" w:hAnsi="Times New Roman" w:cs="Times New Roman"/>
          <w:kern w:val="0"/>
          <w:szCs w:val="21"/>
        </w:rPr>
        <w:t>3-</w:t>
      </w:r>
      <w:r>
        <w:rPr>
          <w:rFonts w:hint="default" w:ascii="Times New Roman" w:hAnsi="Times New Roman" w:cs="Times New Roman"/>
          <w:kern w:val="0"/>
          <w:szCs w:val="21"/>
          <w:lang w:val="en-US" w:eastAsia="zh-CN"/>
        </w:rPr>
        <w:t>200</w:t>
      </w:r>
      <w:r>
        <w:rPr>
          <w:rFonts w:hint="default" w:ascii="Times New Roman" w:hAnsi="Times New Roman" w:cs="Times New Roman"/>
          <w:kern w:val="0"/>
          <w:szCs w:val="21"/>
        </w:rPr>
        <w:t>3《</w:t>
      </w:r>
      <w:r>
        <w:rPr>
          <w:rFonts w:hint="default" w:ascii="Times New Roman" w:hAnsi="Times New Roman" w:cs="Times New Roman"/>
          <w:kern w:val="0"/>
          <w:szCs w:val="21"/>
          <w:lang w:val="en-US" w:eastAsia="zh-CN"/>
        </w:rPr>
        <w:t>纤维素酶制剂</w:t>
      </w:r>
      <w:r>
        <w:rPr>
          <w:rFonts w:hint="default" w:ascii="Times New Roman" w:hAnsi="Times New Roman" w:cs="Times New Roman"/>
          <w:kern w:val="0"/>
          <w:szCs w:val="21"/>
        </w:rPr>
        <w:t>》</w:t>
      </w:r>
      <w:r>
        <w:rPr>
          <w:rFonts w:hint="eastAsia" w:ascii="Times New Roman" w:cs="Times New Roman"/>
          <w:kern w:val="0"/>
          <w:szCs w:val="21"/>
          <w:lang w:val="en-US" w:eastAsia="zh-CN"/>
        </w:rPr>
        <w:t>有较大差别</w:t>
      </w:r>
      <w:r>
        <w:rPr>
          <w:rFonts w:hint="default" w:ascii="Times New Roman" w:hAnsi="Times New Roman" w:cs="Times New Roman"/>
          <w:kern w:val="0"/>
          <w:szCs w:val="21"/>
        </w:rPr>
        <w:t>，</w:t>
      </w:r>
      <w:r>
        <w:rPr>
          <w:rFonts w:hint="eastAsia" w:ascii="Times New Roman" w:cs="Times New Roman"/>
          <w:kern w:val="0"/>
          <w:szCs w:val="21"/>
          <w:lang w:val="en-US" w:eastAsia="zh-CN"/>
        </w:rPr>
        <w:t>在对</w:t>
      </w:r>
      <w:r>
        <w:rPr>
          <w:rFonts w:hint="eastAsia"/>
          <w:kern w:val="0"/>
          <w:szCs w:val="21"/>
          <w:lang w:val="en-US" w:eastAsia="zh-CN"/>
        </w:rPr>
        <w:t>纤维素酶活力检测方法不断完善的过程中</w:t>
      </w:r>
      <w:r>
        <w:rPr>
          <w:rFonts w:hint="default" w:ascii="Times New Roman" w:hAnsi="Times New Roman" w:cs="Times New Roman"/>
          <w:kern w:val="0"/>
          <w:szCs w:val="21"/>
        </w:rPr>
        <w:t>形成了新版本；</w:t>
      </w:r>
      <w:r>
        <w:rPr>
          <w:rFonts w:hint="default" w:ascii="Times New Roman" w:hAnsi="Times New Roman" w:cs="Times New Roman"/>
          <w:szCs w:val="21"/>
        </w:rPr>
        <w:t>对于颗粒产品，</w:t>
      </w:r>
      <w:r>
        <w:rPr>
          <w:rFonts w:hint="eastAsia" w:ascii="Times New Roman" w:cs="Times New Roman"/>
          <w:szCs w:val="21"/>
          <w:lang w:val="en-US" w:eastAsia="zh-CN"/>
        </w:rPr>
        <w:t>水分含量即干燥失重</w:t>
      </w:r>
      <w:r>
        <w:rPr>
          <w:rFonts w:hint="default" w:ascii="Times New Roman" w:hAnsi="Times New Roman" w:cs="Times New Roman"/>
          <w:lang w:val="en-US" w:eastAsia="zh-CN"/>
        </w:rPr>
        <w:t>参照GB/T 42239.1-2022 洗涤用酶制剂 第1部分：碱性蛋白酶 6.5 干燥失重</w:t>
      </w:r>
      <w:r>
        <w:rPr>
          <w:rFonts w:hint="default" w:ascii="Times New Roman" w:hAnsi="Times New Roman" w:cs="Times New Roman"/>
        </w:rPr>
        <w:t>。</w:t>
      </w:r>
      <w:r>
        <w:rPr>
          <w:rFonts w:hint="eastAsia"/>
          <w:szCs w:val="21"/>
        </w:rPr>
        <w:t>粒度</w:t>
      </w:r>
      <w:r>
        <w:rPr>
          <w:rFonts w:hint="eastAsia"/>
          <w:szCs w:val="21"/>
          <w:lang w:val="en-US" w:eastAsia="zh-CN"/>
        </w:rPr>
        <w:t>检测</w:t>
      </w:r>
      <w:r>
        <w:rPr>
          <w:rFonts w:hint="default" w:ascii="Times New Roman" w:hAnsi="Times New Roman" w:cs="Times New Roman"/>
          <w:lang w:val="en-US" w:eastAsia="zh-CN"/>
        </w:rPr>
        <w:t>参照</w:t>
      </w:r>
      <w:r>
        <w:rPr>
          <w:rFonts w:hint="eastAsia" w:ascii="Times New Roman" w:hAnsi="Times New Roman" w:cs="Times New Roman"/>
          <w:lang w:val="en-US" w:eastAsia="zh-CN"/>
        </w:rPr>
        <w:t>GB/T 42239.1-2022</w:t>
      </w:r>
      <w:r>
        <w:rPr>
          <w:rFonts w:hint="eastAsia" w:ascii="Times New Roman" w:cs="Times New Roman"/>
          <w:lang w:val="en-US" w:eastAsia="zh-CN"/>
        </w:rPr>
        <w:t xml:space="preserve"> </w:t>
      </w:r>
      <w:r>
        <w:rPr>
          <w:rFonts w:hint="eastAsia" w:ascii="Times New Roman" w:hAnsi="Times New Roman" w:cs="Times New Roman"/>
          <w:lang w:val="en-US" w:eastAsia="zh-CN"/>
        </w:rPr>
        <w:t>洗涤用酶制剂 第1部分：碱性蛋白酶</w:t>
      </w:r>
      <w:r>
        <w:rPr>
          <w:rFonts w:hint="eastAsia" w:ascii="Times New Roman" w:cs="Times New Roman"/>
          <w:lang w:val="en-US" w:eastAsia="zh-CN"/>
        </w:rPr>
        <w:t xml:space="preserve"> 附录3 粒度的测定筛分法进行</w:t>
      </w:r>
      <w:r>
        <w:rPr>
          <w:rFonts w:hint="eastAsia" w:hAnsi="宋体"/>
          <w:szCs w:val="21"/>
        </w:rPr>
        <w:t>。</w:t>
      </w:r>
    </w:p>
    <w:p>
      <w:pPr>
        <w:rPr>
          <w:rFonts w:hAnsi="黑体" w:eastAsia="黑体"/>
          <w:szCs w:val="21"/>
        </w:rPr>
      </w:pPr>
      <w:r>
        <w:rPr>
          <w:rFonts w:hint="eastAsia" w:hAnsi="黑体" w:eastAsia="黑体"/>
          <w:szCs w:val="21"/>
        </w:rPr>
        <w:t>2.</w:t>
      </w:r>
      <w:r>
        <w:rPr>
          <w:rFonts w:hAnsi="黑体" w:eastAsia="黑体"/>
          <w:szCs w:val="21"/>
        </w:rPr>
        <w:t>4</w:t>
      </w:r>
      <w:r>
        <w:rPr>
          <w:rFonts w:hint="eastAsia" w:hAnsi="黑体" w:eastAsia="黑体"/>
          <w:szCs w:val="21"/>
        </w:rPr>
        <w:t>、检验规则</w:t>
      </w:r>
    </w:p>
    <w:p>
      <w:pPr>
        <w:ind w:firstLine="420" w:firstLineChars="200"/>
        <w:rPr>
          <w:rFonts w:ascii="宋体" w:hAnsi="宋体"/>
          <w:kern w:val="0"/>
          <w:szCs w:val="21"/>
        </w:rPr>
      </w:pPr>
      <w:r>
        <w:rPr>
          <w:rFonts w:hint="eastAsia" w:ascii="宋体" w:hAnsi="宋体"/>
          <w:kern w:val="0"/>
          <w:szCs w:val="21"/>
        </w:rPr>
        <w:t>检验规则包括批次的确定、取样规则、型式检验、出厂检验、判定规则等内容，对其都做了具体说明。</w:t>
      </w:r>
    </w:p>
    <w:p>
      <w:pPr>
        <w:rPr>
          <w:rFonts w:ascii="宋体" w:hAnsi="宋体"/>
          <w:b/>
          <w:sz w:val="24"/>
        </w:rPr>
      </w:pPr>
      <w:r>
        <w:rPr>
          <w:rFonts w:hint="eastAsia" w:hAnsi="黑体" w:eastAsia="黑体"/>
          <w:szCs w:val="21"/>
        </w:rPr>
        <w:t>2.</w:t>
      </w:r>
      <w:r>
        <w:rPr>
          <w:rFonts w:hAnsi="黑体" w:eastAsia="黑体"/>
          <w:szCs w:val="21"/>
        </w:rPr>
        <w:t>5</w:t>
      </w:r>
      <w:r>
        <w:rPr>
          <w:rFonts w:hint="eastAsia" w:hAnsi="黑体" w:eastAsia="黑体"/>
          <w:szCs w:val="21"/>
        </w:rPr>
        <w:t>、标志、包装、运输、贮存和保质期</w:t>
      </w:r>
    </w:p>
    <w:p>
      <w:pPr>
        <w:ind w:firstLine="420" w:firstLineChars="200"/>
        <w:rPr>
          <w:rFonts w:hint="default" w:ascii="Times New Roman" w:hAnsi="Times New Roman" w:cs="Times New Roman"/>
        </w:rPr>
      </w:pPr>
      <w:r>
        <w:rPr>
          <w:rFonts w:hint="default" w:ascii="Times New Roman" w:hAnsi="Times New Roman" w:cs="Times New Roman"/>
          <w:kern w:val="0"/>
          <w:szCs w:val="21"/>
        </w:rPr>
        <w:t>产品的外包装宜使用符合GB/T 191 要求的标志。关于产品标签，规定了一些通用要求：如产品名称、净含量、生产者和（或）经销者的名称、地址和联系方式、生产日期和保质期、贮存条件、批号及其他需要标示的内容。同时化学品应该有安全标签，建议安全标签的内容应该符合GB</w:t>
      </w:r>
      <w:r>
        <w:rPr>
          <w:rFonts w:hint="eastAsia" w:cs="Times New Roman"/>
          <w:kern w:val="0"/>
          <w:szCs w:val="21"/>
          <w:lang w:val="en-US" w:eastAsia="zh-CN"/>
        </w:rPr>
        <w:t xml:space="preserve"> </w:t>
      </w:r>
      <w:r>
        <w:rPr>
          <w:rFonts w:hint="default" w:ascii="Times New Roman" w:hAnsi="Times New Roman" w:cs="Times New Roman"/>
          <w:kern w:val="0"/>
          <w:szCs w:val="21"/>
        </w:rPr>
        <w:t>15258《化学品安全标签编写规定》的要求。产品保质期由厂家根据稳定性数据决定。</w:t>
      </w:r>
    </w:p>
    <w:p>
      <w:pPr>
        <w:spacing w:before="156" w:beforeLines="50" w:after="156" w:afterLines="50"/>
        <w:rPr>
          <w:rFonts w:ascii="宋体" w:hAnsi="宋体"/>
          <w:b/>
          <w:szCs w:val="21"/>
        </w:rPr>
      </w:pPr>
      <w:r>
        <w:rPr>
          <w:rFonts w:hint="eastAsia" w:ascii="宋体" w:hAnsi="宋体"/>
          <w:b/>
          <w:szCs w:val="21"/>
        </w:rPr>
        <w:t>三、主要试验（或验证）情况</w:t>
      </w:r>
    </w:p>
    <w:p>
      <w:pPr>
        <w:rPr>
          <w:rFonts w:ascii="宋体" w:hAnsi="宋体"/>
          <w:b/>
          <w:bCs/>
          <w:sz w:val="24"/>
        </w:rPr>
      </w:pPr>
      <w:r>
        <w:rPr>
          <w:rFonts w:hint="eastAsia" w:hAnsi="黑体" w:eastAsia="黑体"/>
          <w:szCs w:val="21"/>
        </w:rPr>
        <w:t>1、酶活力检测方法</w:t>
      </w:r>
    </w:p>
    <w:p>
      <w:pPr>
        <w:rPr>
          <w:rFonts w:hAnsi="黑体" w:eastAsia="黑体"/>
          <w:szCs w:val="21"/>
        </w:rPr>
      </w:pPr>
      <w:r>
        <w:rPr>
          <w:rFonts w:hAnsi="黑体" w:eastAsia="黑体"/>
          <w:szCs w:val="21"/>
        </w:rPr>
        <w:t>1</w:t>
      </w:r>
      <w:r>
        <w:rPr>
          <w:rFonts w:hint="eastAsia" w:hAnsi="黑体" w:eastAsia="黑体"/>
          <w:szCs w:val="21"/>
        </w:rPr>
        <w:t>.</w:t>
      </w:r>
      <w:r>
        <w:rPr>
          <w:rFonts w:hAnsi="黑体" w:eastAsia="黑体"/>
          <w:szCs w:val="21"/>
        </w:rPr>
        <w:t>1</w:t>
      </w:r>
      <w:r>
        <w:rPr>
          <w:rFonts w:hint="eastAsia" w:hAnsi="黑体" w:eastAsia="黑体"/>
          <w:szCs w:val="21"/>
        </w:rPr>
        <w:t>、方法介绍</w:t>
      </w:r>
    </w:p>
    <w:p>
      <w:pPr>
        <w:ind w:firstLine="420" w:firstLineChars="200"/>
        <w:rPr>
          <w:kern w:val="0"/>
          <w:szCs w:val="21"/>
        </w:rPr>
      </w:pPr>
      <w:r>
        <w:rPr>
          <w:kern w:val="0"/>
          <w:szCs w:val="21"/>
        </w:rPr>
        <w:t>该标准</w:t>
      </w:r>
      <w:r>
        <w:rPr>
          <w:rFonts w:hint="eastAsia"/>
          <w:kern w:val="0"/>
          <w:szCs w:val="21"/>
          <w:lang w:val="en-US" w:eastAsia="zh-CN"/>
        </w:rPr>
        <w:t>在纤维素酶检测</w:t>
      </w:r>
      <w:r>
        <w:rPr>
          <w:kern w:val="0"/>
          <w:szCs w:val="21"/>
        </w:rPr>
        <w:t>方法多年运用的经验和</w:t>
      </w:r>
      <w:r>
        <w:rPr>
          <w:rFonts w:hint="eastAsia"/>
          <w:kern w:val="0"/>
          <w:szCs w:val="21"/>
          <w:lang w:val="en-US" w:eastAsia="zh-CN"/>
        </w:rPr>
        <w:t>不断完善的过程中提出</w:t>
      </w:r>
      <w:r>
        <w:rPr>
          <w:kern w:val="0"/>
          <w:szCs w:val="21"/>
        </w:rPr>
        <w:t>。考察了不同厂家</w:t>
      </w:r>
      <w:r>
        <w:rPr>
          <w:rFonts w:hint="eastAsia"/>
          <w:kern w:val="0"/>
          <w:szCs w:val="21"/>
          <w:lang w:val="en-US" w:eastAsia="zh-CN"/>
        </w:rPr>
        <w:t>底物羧甲基纤维素钠</w:t>
      </w:r>
      <w:r>
        <w:rPr>
          <w:kern w:val="0"/>
          <w:szCs w:val="21"/>
        </w:rPr>
        <w:t>和</w:t>
      </w:r>
      <w:r>
        <w:rPr>
          <w:rFonts w:hint="eastAsia"/>
          <w:kern w:val="0"/>
          <w:szCs w:val="21"/>
          <w:lang w:val="en-US" w:eastAsia="zh-CN"/>
        </w:rPr>
        <w:t>DNS试剂</w:t>
      </w:r>
      <w:r>
        <w:rPr>
          <w:kern w:val="0"/>
          <w:szCs w:val="21"/>
        </w:rPr>
        <w:t>对试验的影响，不同</w:t>
      </w:r>
      <w:r>
        <w:rPr>
          <w:rFonts w:hint="eastAsia"/>
          <w:kern w:val="0"/>
          <w:szCs w:val="21"/>
          <w:lang w:val="en-US" w:eastAsia="zh-CN"/>
        </w:rPr>
        <w:t>试验步骤对试验结果的影响</w:t>
      </w:r>
      <w:r>
        <w:rPr>
          <w:kern w:val="0"/>
          <w:szCs w:val="21"/>
        </w:rPr>
        <w:t>。</w:t>
      </w:r>
    </w:p>
    <w:p>
      <w:pPr>
        <w:spacing w:before="60" w:after="60"/>
        <w:ind w:firstLine="420" w:firstLineChars="200"/>
        <w:rPr>
          <w:kern w:val="0"/>
          <w:szCs w:val="21"/>
        </w:rPr>
      </w:pPr>
      <w:r>
        <w:rPr>
          <w:kern w:val="0"/>
          <w:szCs w:val="21"/>
        </w:rPr>
        <w:t>本方法</w:t>
      </w:r>
      <w:r>
        <w:rPr>
          <w:rFonts w:hint="eastAsia"/>
          <w:kern w:val="0"/>
          <w:szCs w:val="21"/>
          <w:lang w:val="en-US" w:eastAsia="zh-CN"/>
        </w:rPr>
        <w:t>重点提出的地方</w:t>
      </w:r>
      <w:r>
        <w:rPr>
          <w:kern w:val="0"/>
          <w:szCs w:val="21"/>
        </w:rPr>
        <w:t>：</w:t>
      </w:r>
    </w:p>
    <w:p>
      <w:pPr>
        <w:pStyle w:val="46"/>
        <w:keepNext w:val="0"/>
        <w:keepLines w:val="0"/>
        <w:pageBreakBefore w:val="0"/>
        <w:widowControl/>
        <w:numPr>
          <w:ilvl w:val="2"/>
          <w:numId w:val="0"/>
        </w:numPr>
        <w:tabs>
          <w:tab w:val="left" w:pos="360"/>
        </w:tabs>
        <w:kinsoku/>
        <w:wordWrap/>
        <w:overflowPunct/>
        <w:topLinePunct w:val="0"/>
        <w:autoSpaceDE/>
        <w:autoSpaceDN/>
        <w:bidi w:val="0"/>
        <w:adjustRightInd/>
        <w:snapToGrid/>
        <w:spacing w:before="0" w:beforeLines="0" w:after="0" w:afterLines="0" w:line="360" w:lineRule="atLeast"/>
        <w:ind w:firstLine="420" w:firstLineChars="200"/>
        <w:textAlignment w:val="auto"/>
        <w:rPr>
          <w:rFonts w:hint="eastAsia" w:ascii="Times New Roman" w:hAnsi="Times New Roman" w:eastAsia="宋体" w:cs="Times New Roman"/>
          <w:kern w:val="0"/>
          <w:sz w:val="21"/>
          <w:szCs w:val="21"/>
          <w:lang w:val="en-US" w:eastAsia="zh-CN" w:bidi="ar-SA"/>
        </w:rPr>
      </w:pPr>
      <w:r>
        <w:rPr>
          <w:rFonts w:hint="eastAsia" w:ascii="Times New Roman" w:eastAsia="宋体" w:cs="Times New Roman"/>
          <w:kern w:val="0"/>
          <w:sz w:val="21"/>
          <w:szCs w:val="21"/>
          <w:lang w:val="en-US" w:eastAsia="zh-CN" w:bidi="ar-SA"/>
        </w:rPr>
        <w:t>——</w:t>
      </w:r>
      <w:r>
        <w:rPr>
          <w:rFonts w:hint="eastAsia" w:ascii="Times New Roman" w:hAnsi="Times New Roman" w:eastAsia="宋体" w:cs="Times New Roman"/>
          <w:kern w:val="0"/>
          <w:sz w:val="21"/>
          <w:szCs w:val="21"/>
          <w:lang w:val="en-US" w:eastAsia="zh-CN" w:bidi="ar-SA"/>
        </w:rPr>
        <w:t>对</w:t>
      </w:r>
      <w:r>
        <w:rPr>
          <w:rFonts w:hint="eastAsia" w:ascii="Times New Roman" w:eastAsia="宋体" w:cs="Times New Roman"/>
          <w:kern w:val="0"/>
          <w:sz w:val="21"/>
          <w:szCs w:val="21"/>
          <w:lang w:val="en-US" w:eastAsia="zh-CN" w:bidi="ar-SA"/>
        </w:rPr>
        <w:t>纤维素酶</w:t>
      </w:r>
      <w:r>
        <w:rPr>
          <w:rFonts w:hint="eastAsia" w:ascii="Times New Roman" w:hAnsi="Times New Roman" w:eastAsia="宋体" w:cs="Times New Roman"/>
          <w:kern w:val="0"/>
          <w:sz w:val="21"/>
          <w:szCs w:val="21"/>
          <w:lang w:val="en-US" w:eastAsia="zh-CN" w:bidi="ar-SA"/>
        </w:rPr>
        <w:t>活力定义</w:t>
      </w:r>
    </w:p>
    <w:p>
      <w:pPr>
        <w:pStyle w:val="27"/>
        <w:rPr>
          <w:rFonts w:hint="eastAsia" w:ascii="Times New Roman" w:cs="Times New Roman"/>
          <w:kern w:val="0"/>
          <w:sz w:val="21"/>
          <w:szCs w:val="21"/>
          <w:lang w:val="en-US" w:eastAsia="zh-CN" w:bidi="ar-SA"/>
        </w:rPr>
      </w:pPr>
      <w:r>
        <w:rPr>
          <w:rFonts w:hint="eastAsia" w:ascii="Times New Roman" w:cs="Times New Roman"/>
          <w:kern w:val="0"/>
          <w:sz w:val="21"/>
          <w:szCs w:val="21"/>
          <w:lang w:val="en-US" w:eastAsia="zh-CN" w:bidi="ar-SA"/>
        </w:rPr>
        <w:t>——羧甲基纤维素钠溶液的配制</w:t>
      </w:r>
    </w:p>
    <w:p>
      <w:pPr>
        <w:pStyle w:val="27"/>
        <w:rPr>
          <w:rFonts w:hint="eastAsia" w:ascii="Times New Roman" w:cs="Times New Roman"/>
          <w:kern w:val="0"/>
          <w:sz w:val="21"/>
          <w:szCs w:val="21"/>
          <w:lang w:val="en-US" w:eastAsia="zh-CN" w:bidi="ar-SA"/>
        </w:rPr>
      </w:pPr>
      <w:r>
        <w:rPr>
          <w:rFonts w:hint="eastAsia" w:ascii="Times New Roman" w:cs="Times New Roman"/>
          <w:kern w:val="0"/>
          <w:sz w:val="21"/>
          <w:szCs w:val="21"/>
          <w:lang w:val="en-US" w:eastAsia="zh-CN" w:bidi="ar-SA"/>
        </w:rPr>
        <w:t>——DNS试剂的配制</w:t>
      </w:r>
    </w:p>
    <w:p>
      <w:pPr>
        <w:pStyle w:val="27"/>
        <w:rPr>
          <w:rFonts w:hint="eastAsia" w:ascii="Times New Roman" w:cs="Times New Roman"/>
          <w:kern w:val="0"/>
          <w:sz w:val="21"/>
          <w:szCs w:val="21"/>
          <w:lang w:val="en-US" w:eastAsia="zh-CN" w:bidi="ar-SA"/>
        </w:rPr>
      </w:pPr>
      <w:r>
        <w:rPr>
          <w:rFonts w:hint="eastAsia" w:ascii="Times New Roman" w:cs="Times New Roman"/>
          <w:kern w:val="0"/>
          <w:sz w:val="21"/>
          <w:szCs w:val="21"/>
          <w:lang w:val="en-US" w:eastAsia="zh-CN" w:bidi="ar-SA"/>
        </w:rPr>
        <w:t>——葡萄糖标准液及标曲的绘制</w:t>
      </w:r>
    </w:p>
    <w:p>
      <w:pPr>
        <w:pStyle w:val="27"/>
        <w:rPr>
          <w:rFonts w:hint="eastAsia" w:ascii="Times New Roman" w:cs="Times New Roman"/>
          <w:kern w:val="0"/>
          <w:sz w:val="21"/>
          <w:szCs w:val="21"/>
          <w:lang w:val="en-US" w:eastAsia="zh-CN" w:bidi="ar-SA"/>
        </w:rPr>
      </w:pPr>
      <w:r>
        <w:rPr>
          <w:rFonts w:hint="eastAsia" w:ascii="Times New Roman" w:cs="Times New Roman"/>
          <w:kern w:val="0"/>
          <w:sz w:val="21"/>
          <w:szCs w:val="21"/>
          <w:lang w:val="en-US" w:eastAsia="zh-CN" w:bidi="ar-SA"/>
        </w:rPr>
        <w:t>——待测酶液吸光度范围</w:t>
      </w:r>
    </w:p>
    <w:p>
      <w:pPr>
        <w:pStyle w:val="27"/>
        <w:rPr>
          <w:rFonts w:hint="eastAsia" w:ascii="Times New Roman" w:cs="Times New Roman"/>
          <w:kern w:val="0"/>
          <w:sz w:val="21"/>
          <w:szCs w:val="21"/>
          <w:lang w:val="en-US" w:eastAsia="zh-CN" w:bidi="ar-SA"/>
        </w:rPr>
      </w:pPr>
      <w:r>
        <w:rPr>
          <w:rFonts w:hint="eastAsia" w:ascii="Times New Roman" w:cs="Times New Roman"/>
          <w:kern w:val="0"/>
          <w:sz w:val="21"/>
          <w:szCs w:val="21"/>
          <w:lang w:val="en-US" w:eastAsia="zh-CN" w:bidi="ar-SA"/>
        </w:rPr>
        <w:t>——操作程序</w:t>
      </w:r>
    </w:p>
    <w:p>
      <w:pPr>
        <w:pStyle w:val="27"/>
        <w:rPr>
          <w:rFonts w:hint="eastAsia" w:eastAsia="宋体"/>
          <w:kern w:val="0"/>
          <w:szCs w:val="21"/>
          <w:lang w:val="en-US" w:eastAsia="zh-CN"/>
        </w:rPr>
      </w:pPr>
      <w:r>
        <w:rPr>
          <w:rFonts w:hint="eastAsia" w:ascii="Times New Roman" w:cs="Times New Roman"/>
          <w:kern w:val="0"/>
          <w:sz w:val="21"/>
          <w:szCs w:val="21"/>
          <w:lang w:val="en-US" w:eastAsia="zh-CN" w:bidi="ar-SA"/>
        </w:rPr>
        <w:t>——活力计算</w:t>
      </w:r>
    </w:p>
    <w:p>
      <w:pPr>
        <w:rPr>
          <w:rFonts w:hint="eastAsia" w:hAnsi="黑体" w:eastAsia="黑体"/>
          <w:szCs w:val="21"/>
        </w:rPr>
      </w:pPr>
      <w:r>
        <w:rPr>
          <w:rFonts w:hAnsi="黑体" w:eastAsia="黑体"/>
          <w:szCs w:val="21"/>
        </w:rPr>
        <w:t>1</w:t>
      </w:r>
      <w:r>
        <w:rPr>
          <w:rFonts w:hint="eastAsia" w:hAnsi="黑体" w:eastAsia="黑体"/>
          <w:szCs w:val="21"/>
        </w:rPr>
        <w:t>.</w:t>
      </w:r>
      <w:r>
        <w:rPr>
          <w:rFonts w:hAnsi="黑体" w:eastAsia="黑体"/>
          <w:szCs w:val="21"/>
        </w:rPr>
        <w:t>2</w:t>
      </w:r>
      <w:r>
        <w:rPr>
          <w:rFonts w:hint="eastAsia" w:hAnsi="黑体" w:eastAsia="黑体"/>
          <w:szCs w:val="21"/>
        </w:rPr>
        <w:t>、主要指标</w:t>
      </w:r>
      <w:bookmarkStart w:id="2" w:name="_Toc532304049"/>
    </w:p>
    <w:p>
      <w:pPr>
        <w:rPr>
          <w:rFonts w:hAnsi="黑体" w:eastAsia="黑体"/>
          <w:szCs w:val="21"/>
        </w:rPr>
      </w:pPr>
      <w:r>
        <w:rPr>
          <w:rFonts w:hint="eastAsia" w:hAnsi="黑体" w:eastAsia="黑体"/>
          <w:szCs w:val="21"/>
          <w:lang w:eastAsia="zh-CN"/>
        </w:rPr>
        <w:t>（</w:t>
      </w:r>
      <w:r>
        <w:rPr>
          <w:rFonts w:hint="eastAsia" w:hAnsi="黑体" w:eastAsia="黑体"/>
          <w:szCs w:val="21"/>
          <w:lang w:val="en-US" w:eastAsia="zh-CN"/>
        </w:rPr>
        <w:t>1</w:t>
      </w:r>
      <w:r>
        <w:rPr>
          <w:rFonts w:hint="eastAsia" w:hAnsi="黑体" w:eastAsia="黑体"/>
          <w:szCs w:val="21"/>
          <w:lang w:eastAsia="zh-CN"/>
        </w:rPr>
        <w:t>）</w:t>
      </w:r>
      <w:r>
        <w:rPr>
          <w:rFonts w:hint="eastAsia" w:hAnsi="黑体" w:eastAsia="黑体"/>
          <w:szCs w:val="21"/>
        </w:rPr>
        <w:t>不同厂家</w:t>
      </w:r>
      <w:r>
        <w:rPr>
          <w:rFonts w:hint="eastAsia" w:hAnsi="黑体" w:eastAsia="黑体"/>
          <w:szCs w:val="21"/>
          <w:lang w:val="en-US" w:eastAsia="zh-CN"/>
        </w:rPr>
        <w:t>底物羧甲基纤维素钠CMC和DNS</w:t>
      </w:r>
      <w:r>
        <w:rPr>
          <w:rFonts w:hint="eastAsia" w:hAnsi="黑体" w:eastAsia="黑体"/>
          <w:szCs w:val="21"/>
        </w:rPr>
        <w:t>对试验的影响</w:t>
      </w:r>
      <w:bookmarkEnd w:id="2"/>
    </w:p>
    <w:p>
      <w:pPr>
        <w:keepNext w:val="0"/>
        <w:keepLines w:val="0"/>
        <w:pageBreakBefore w:val="0"/>
        <w:widowControl w:val="0"/>
        <w:kinsoku/>
        <w:wordWrap/>
        <w:overflowPunct/>
        <w:topLinePunct w:val="0"/>
        <w:autoSpaceDE/>
        <w:autoSpaceDN/>
        <w:bidi w:val="0"/>
        <w:adjustRightInd/>
        <w:snapToGrid/>
        <w:spacing w:line="440" w:lineRule="exact"/>
        <w:ind w:firstLine="437"/>
        <w:textAlignment w:val="auto"/>
        <w:rPr>
          <w:rFonts w:hint="default"/>
          <w:szCs w:val="21"/>
          <w:lang w:val="en-US" w:eastAsia="zh-CN"/>
        </w:rPr>
      </w:pPr>
      <w:r>
        <w:rPr>
          <w:rFonts w:hint="eastAsia"/>
          <w:szCs w:val="21"/>
          <w:lang w:val="en-US" w:eastAsia="zh-CN"/>
        </w:rPr>
        <w:t>CMC</w:t>
      </w:r>
      <w:r>
        <w:rPr>
          <w:szCs w:val="21"/>
        </w:rPr>
        <w:t>：光复（</w:t>
      </w:r>
      <w:bookmarkStart w:id="3" w:name="_Hlk529967457"/>
      <w:r>
        <w:rPr>
          <w:szCs w:val="21"/>
        </w:rPr>
        <w:t>天津市光复精细化工研究所</w:t>
      </w:r>
      <w:bookmarkEnd w:id="3"/>
      <w:r>
        <w:rPr>
          <w:szCs w:val="21"/>
        </w:rPr>
        <w:t>）的试剂</w:t>
      </w:r>
      <w:r>
        <w:rPr>
          <w:rFonts w:hint="eastAsia"/>
          <w:szCs w:val="21"/>
          <w:lang w:val="en-US" w:eastAsia="zh-CN"/>
        </w:rPr>
        <w:t>溶解后有少量杂质，</w:t>
      </w:r>
      <w:r>
        <w:rPr>
          <w:szCs w:val="21"/>
        </w:rPr>
        <w:t>没有沉淀。</w:t>
      </w:r>
      <w:r>
        <w:rPr>
          <w:rFonts w:hint="eastAsia"/>
          <w:szCs w:val="21"/>
          <w:lang w:val="en-US" w:eastAsia="zh-CN"/>
        </w:rPr>
        <w:t>sigma-C5678</w:t>
      </w:r>
      <w:r>
        <w:rPr>
          <w:szCs w:val="21"/>
        </w:rPr>
        <w:t>的试剂</w:t>
      </w:r>
      <w:r>
        <w:rPr>
          <w:rFonts w:hint="eastAsia"/>
          <w:szCs w:val="21"/>
          <w:lang w:val="en-US" w:eastAsia="zh-CN"/>
        </w:rPr>
        <w:t>溶解后无杂质和</w:t>
      </w:r>
      <w:r>
        <w:rPr>
          <w:szCs w:val="21"/>
        </w:rPr>
        <w:t>沉淀。</w:t>
      </w:r>
      <w:r>
        <w:rPr>
          <w:rFonts w:hint="eastAsia"/>
          <w:szCs w:val="21"/>
          <w:lang w:val="en-US" w:eastAsia="zh-CN"/>
        </w:rPr>
        <w:t>恒兴（天津市恒兴化学试剂制造有限公司）的</w:t>
      </w:r>
      <w:r>
        <w:rPr>
          <w:szCs w:val="21"/>
        </w:rPr>
        <w:t>试剂</w:t>
      </w:r>
      <w:r>
        <w:rPr>
          <w:rFonts w:hint="eastAsia"/>
          <w:szCs w:val="21"/>
          <w:lang w:val="en-US" w:eastAsia="zh-CN"/>
        </w:rPr>
        <w:t>溶解后无杂质和</w:t>
      </w:r>
      <w:r>
        <w:rPr>
          <w:szCs w:val="21"/>
        </w:rPr>
        <w:t>沉淀</w:t>
      </w:r>
      <w:r>
        <w:rPr>
          <w:rFonts w:hint="eastAsia"/>
          <w:szCs w:val="21"/>
          <w:lang w:eastAsia="zh-CN"/>
        </w:rPr>
        <w:t>。</w:t>
      </w:r>
      <w:r>
        <w:rPr>
          <w:rFonts w:hint="eastAsia"/>
          <w:szCs w:val="21"/>
          <w:lang w:val="en-US" w:eastAsia="zh-CN"/>
        </w:rPr>
        <w:t>河北业之源化工有限公司的</w:t>
      </w:r>
      <w:r>
        <w:rPr>
          <w:szCs w:val="21"/>
        </w:rPr>
        <w:t>试剂</w:t>
      </w:r>
      <w:r>
        <w:rPr>
          <w:rFonts w:hint="eastAsia"/>
          <w:szCs w:val="21"/>
          <w:lang w:val="en-US" w:eastAsia="zh-CN"/>
        </w:rPr>
        <w:t>溶解后无杂质和</w:t>
      </w:r>
      <w:r>
        <w:rPr>
          <w:szCs w:val="21"/>
        </w:rPr>
        <w:t>沉淀</w:t>
      </w:r>
      <w:r>
        <w:rPr>
          <w:rFonts w:hint="eastAsia"/>
          <w:szCs w:val="21"/>
          <w:lang w:eastAsia="zh-CN"/>
        </w:rPr>
        <w:t>。</w:t>
      </w:r>
      <w:r>
        <w:rPr>
          <w:rFonts w:hint="eastAsia"/>
          <w:szCs w:val="21"/>
          <w:lang w:val="en-US" w:eastAsia="zh-CN"/>
        </w:rPr>
        <w:t>结果差别较大，因此在提供酶活力数据时要注明厂家。原因是羧甲基纤维素钠在中性或碱性时，溶液呈高粘度液，实验中易造成误差，且粘度不同所测活力不同。</w:t>
      </w:r>
    </w:p>
    <w:p>
      <w:pPr>
        <w:ind w:firstLine="435"/>
        <w:rPr>
          <w:rFonts w:hint="eastAsia"/>
          <w:szCs w:val="21"/>
          <w:lang w:val="en-US" w:eastAsia="zh-CN"/>
        </w:rPr>
      </w:pPr>
    </w:p>
    <w:p>
      <w:pPr>
        <w:ind w:firstLine="435"/>
        <w:rPr>
          <w:rFonts w:hint="eastAsia"/>
          <w:szCs w:val="21"/>
          <w:lang w:val="en-US" w:eastAsia="zh-CN"/>
        </w:rPr>
      </w:pPr>
    </w:p>
    <w:p>
      <w:pPr>
        <w:ind w:firstLine="435"/>
        <w:rPr>
          <w:rFonts w:hint="eastAsia"/>
          <w:szCs w:val="21"/>
          <w:lang w:val="en-US" w:eastAsia="zh-CN"/>
        </w:rPr>
      </w:pPr>
    </w:p>
    <w:p>
      <w:pPr>
        <w:rPr>
          <w:rFonts w:hint="default"/>
          <w:szCs w:val="21"/>
          <w:lang w:val="en-US" w:eastAsia="zh-CN"/>
        </w:rPr>
      </w:pPr>
    </w:p>
    <w:p>
      <w:pPr>
        <w:ind w:firstLine="3360" w:firstLineChars="1600"/>
        <w:rPr>
          <w:rFonts w:hint="default" w:ascii="Times New Roman" w:hAnsi="Times New Roman" w:eastAsia="楷体" w:cs="Times New Roman"/>
          <w:szCs w:val="21"/>
        </w:rPr>
      </w:pPr>
      <w:r>
        <w:rPr>
          <w:rFonts w:hint="default" w:ascii="Times New Roman" w:hAnsi="Times New Roman" w:eastAsia="楷体" w:cs="Times New Roman"/>
          <w:szCs w:val="21"/>
        </w:rPr>
        <w:t xml:space="preserve"> 表</w:t>
      </w:r>
      <w:r>
        <w:rPr>
          <w:rFonts w:hint="default" w:ascii="Times New Roman" w:hAnsi="Times New Roman" w:eastAsia="楷体" w:cs="Times New Roman"/>
          <w:szCs w:val="21"/>
          <w:lang w:val="en-US" w:eastAsia="zh-CN"/>
        </w:rPr>
        <w:t>1</w:t>
      </w:r>
      <w:r>
        <w:rPr>
          <w:rFonts w:hint="default" w:ascii="Times New Roman" w:hAnsi="Times New Roman" w:eastAsia="楷体" w:cs="Times New Roman"/>
          <w:szCs w:val="21"/>
        </w:rPr>
        <w:t xml:space="preserve">  </w:t>
      </w:r>
      <w:r>
        <w:rPr>
          <w:rFonts w:hint="default" w:ascii="Times New Roman" w:hAnsi="Times New Roman" w:eastAsia="楷体" w:cs="Times New Roman"/>
          <w:szCs w:val="21"/>
          <w:lang w:val="en-US" w:eastAsia="zh-CN"/>
        </w:rPr>
        <w:t>同一个样品不同</w:t>
      </w:r>
      <w:r>
        <w:rPr>
          <w:rFonts w:hint="default" w:ascii="Times New Roman" w:hAnsi="Times New Roman" w:eastAsia="楷体" w:cs="Times New Roman"/>
          <w:szCs w:val="21"/>
        </w:rPr>
        <w:t>底物对比</w:t>
      </w:r>
    </w:p>
    <w:tbl>
      <w:tblPr>
        <w:tblStyle w:val="15"/>
        <w:tblW w:w="0" w:type="auto"/>
        <w:jc w:val="center"/>
        <w:tblLayout w:type="autofit"/>
        <w:tblCellMar>
          <w:top w:w="0" w:type="dxa"/>
          <w:left w:w="108" w:type="dxa"/>
          <w:bottom w:w="0" w:type="dxa"/>
          <w:right w:w="108" w:type="dxa"/>
        </w:tblCellMar>
      </w:tblPr>
      <w:tblGrid>
        <w:gridCol w:w="3175"/>
        <w:gridCol w:w="2867"/>
        <w:gridCol w:w="3308"/>
      </w:tblGrid>
      <w:tr>
        <w:tblPrEx>
          <w:tblCellMar>
            <w:top w:w="0" w:type="dxa"/>
            <w:left w:w="108" w:type="dxa"/>
            <w:bottom w:w="0" w:type="dxa"/>
            <w:right w:w="108" w:type="dxa"/>
          </w:tblCellMar>
        </w:tblPrEx>
        <w:trPr>
          <w:trHeight w:val="251" w:hRule="atLeast"/>
          <w:jc w:val="center"/>
        </w:trPr>
        <w:tc>
          <w:tcPr>
            <w:tcW w:w="317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sz w:val="18"/>
                <w:szCs w:val="18"/>
              </w:rPr>
            </w:pPr>
            <w:r>
              <w:rPr>
                <w:sz w:val="18"/>
                <w:szCs w:val="18"/>
              </w:rPr>
              <w:t>底物</w:t>
            </w:r>
          </w:p>
        </w:tc>
        <w:tc>
          <w:tcPr>
            <w:tcW w:w="2867" w:type="dxa"/>
            <w:tcBorders>
              <w:top w:val="single" w:color="auto" w:sz="4" w:space="0"/>
              <w:left w:val="nil"/>
              <w:bottom w:val="single" w:color="auto" w:sz="4" w:space="0"/>
              <w:right w:val="single" w:color="auto" w:sz="4" w:space="0"/>
            </w:tcBorders>
            <w:shd w:val="clear" w:color="auto" w:fill="auto"/>
            <w:noWrap/>
            <w:vAlign w:val="center"/>
          </w:tcPr>
          <w:p>
            <w:pPr>
              <w:jc w:val="center"/>
              <w:rPr>
                <w:sz w:val="18"/>
                <w:szCs w:val="18"/>
              </w:rPr>
            </w:pPr>
            <w:r>
              <w:rPr>
                <w:sz w:val="18"/>
                <w:szCs w:val="18"/>
              </w:rPr>
              <w:t>活性(u/g)</w:t>
            </w:r>
          </w:p>
        </w:tc>
        <w:tc>
          <w:tcPr>
            <w:tcW w:w="3308" w:type="dxa"/>
            <w:tcBorders>
              <w:top w:val="single" w:color="auto" w:sz="4" w:space="0"/>
              <w:left w:val="nil"/>
              <w:bottom w:val="single" w:color="auto" w:sz="4" w:space="0"/>
              <w:right w:val="single" w:color="auto" w:sz="4" w:space="0"/>
            </w:tcBorders>
            <w:shd w:val="clear" w:color="auto" w:fill="auto"/>
            <w:noWrap/>
            <w:vAlign w:val="center"/>
          </w:tcPr>
          <w:p>
            <w:pPr>
              <w:jc w:val="center"/>
              <w:rPr>
                <w:sz w:val="18"/>
                <w:szCs w:val="18"/>
              </w:rPr>
            </w:pPr>
            <w:r>
              <w:rPr>
                <w:sz w:val="18"/>
                <w:szCs w:val="18"/>
              </w:rPr>
              <w:t>活性平均值(u/g)</w:t>
            </w:r>
          </w:p>
        </w:tc>
      </w:tr>
      <w:tr>
        <w:tblPrEx>
          <w:tblCellMar>
            <w:top w:w="0" w:type="dxa"/>
            <w:left w:w="108" w:type="dxa"/>
            <w:bottom w:w="0" w:type="dxa"/>
            <w:right w:w="108" w:type="dxa"/>
          </w:tblCellMar>
        </w:tblPrEx>
        <w:trPr>
          <w:trHeight w:val="300" w:hRule="atLeast"/>
          <w:jc w:val="center"/>
        </w:trPr>
        <w:tc>
          <w:tcPr>
            <w:tcW w:w="3175" w:type="dxa"/>
            <w:vMerge w:val="restart"/>
            <w:tcBorders>
              <w:top w:val="nil"/>
              <w:left w:val="single" w:color="auto" w:sz="4" w:space="0"/>
              <w:right w:val="single" w:color="auto" w:sz="4" w:space="0"/>
            </w:tcBorders>
            <w:shd w:val="clear" w:color="auto" w:fill="auto"/>
            <w:vAlign w:val="center"/>
          </w:tcPr>
          <w:p>
            <w:pPr>
              <w:jc w:val="center"/>
              <w:rPr>
                <w:rFonts w:hint="default" w:eastAsia="宋体"/>
                <w:sz w:val="18"/>
                <w:szCs w:val="18"/>
                <w:lang w:val="en-US" w:eastAsia="zh-CN"/>
              </w:rPr>
            </w:pPr>
            <w:r>
              <w:rPr>
                <w:sz w:val="18"/>
                <w:szCs w:val="18"/>
              </w:rPr>
              <w:t>新配光复</w:t>
            </w:r>
            <w:r>
              <w:rPr>
                <w:rFonts w:hint="eastAsia"/>
                <w:sz w:val="18"/>
                <w:szCs w:val="18"/>
                <w:lang w:val="en-US" w:eastAsia="zh-CN"/>
              </w:rPr>
              <w:t>10 mg/mL CMC</w:t>
            </w:r>
          </w:p>
        </w:tc>
        <w:tc>
          <w:tcPr>
            <w:tcW w:w="2867" w:type="dxa"/>
            <w:tcBorders>
              <w:top w:val="nil"/>
              <w:left w:val="nil"/>
              <w:bottom w:val="single" w:color="auto" w:sz="4" w:space="0"/>
              <w:right w:val="single" w:color="auto" w:sz="4" w:space="0"/>
            </w:tcBorders>
            <w:shd w:val="clear" w:color="auto" w:fill="auto"/>
            <w:noWrap/>
            <w:vAlign w:val="center"/>
          </w:tcPr>
          <w:p>
            <w:pPr>
              <w:jc w:val="center"/>
              <w:rPr>
                <w:rFonts w:hint="default" w:eastAsia="宋体"/>
                <w:sz w:val="18"/>
                <w:szCs w:val="18"/>
                <w:lang w:val="en-US" w:eastAsia="zh-CN"/>
              </w:rPr>
            </w:pPr>
            <w:r>
              <w:rPr>
                <w:rFonts w:hint="eastAsia"/>
                <w:sz w:val="18"/>
                <w:szCs w:val="18"/>
                <w:lang w:val="en-US" w:eastAsia="zh-CN"/>
              </w:rPr>
              <w:t>2818</w:t>
            </w:r>
          </w:p>
        </w:tc>
        <w:tc>
          <w:tcPr>
            <w:tcW w:w="3308" w:type="dxa"/>
            <w:vMerge w:val="restart"/>
            <w:tcBorders>
              <w:top w:val="nil"/>
              <w:left w:val="single" w:color="auto" w:sz="4" w:space="0"/>
              <w:right w:val="single" w:color="auto" w:sz="4" w:space="0"/>
            </w:tcBorders>
            <w:shd w:val="clear" w:color="auto" w:fill="auto"/>
            <w:noWrap/>
            <w:vAlign w:val="center"/>
          </w:tcPr>
          <w:p>
            <w:pPr>
              <w:jc w:val="center"/>
              <w:rPr>
                <w:rFonts w:hint="default" w:eastAsia="宋体"/>
                <w:sz w:val="18"/>
                <w:szCs w:val="18"/>
                <w:lang w:val="en-US" w:eastAsia="zh-CN"/>
              </w:rPr>
            </w:pPr>
            <w:r>
              <w:rPr>
                <w:rFonts w:hint="eastAsia"/>
                <w:sz w:val="18"/>
                <w:szCs w:val="18"/>
                <w:lang w:val="en-US" w:eastAsia="zh-CN"/>
              </w:rPr>
              <w:t>2822</w:t>
            </w:r>
          </w:p>
        </w:tc>
      </w:tr>
      <w:tr>
        <w:tblPrEx>
          <w:tblCellMar>
            <w:top w:w="0" w:type="dxa"/>
            <w:left w:w="108" w:type="dxa"/>
            <w:bottom w:w="0" w:type="dxa"/>
            <w:right w:w="108" w:type="dxa"/>
          </w:tblCellMar>
        </w:tblPrEx>
        <w:trPr>
          <w:trHeight w:val="300" w:hRule="atLeast"/>
          <w:jc w:val="center"/>
        </w:trPr>
        <w:tc>
          <w:tcPr>
            <w:tcW w:w="3175" w:type="dxa"/>
            <w:vMerge w:val="continue"/>
            <w:tcBorders>
              <w:left w:val="single" w:color="auto" w:sz="4" w:space="0"/>
              <w:bottom w:val="single" w:color="auto" w:sz="4" w:space="0"/>
              <w:right w:val="single" w:color="auto" w:sz="4" w:space="0"/>
            </w:tcBorders>
            <w:vAlign w:val="center"/>
          </w:tcPr>
          <w:p>
            <w:pPr>
              <w:rPr>
                <w:sz w:val="18"/>
                <w:szCs w:val="18"/>
              </w:rPr>
            </w:pPr>
          </w:p>
        </w:tc>
        <w:tc>
          <w:tcPr>
            <w:tcW w:w="2867" w:type="dxa"/>
            <w:tcBorders>
              <w:top w:val="nil"/>
              <w:left w:val="nil"/>
              <w:bottom w:val="single" w:color="auto" w:sz="4" w:space="0"/>
              <w:right w:val="single" w:color="auto" w:sz="4" w:space="0"/>
            </w:tcBorders>
            <w:shd w:val="clear" w:color="auto" w:fill="auto"/>
            <w:noWrap/>
            <w:vAlign w:val="center"/>
          </w:tcPr>
          <w:p>
            <w:pPr>
              <w:jc w:val="center"/>
              <w:rPr>
                <w:rFonts w:hint="default" w:eastAsia="宋体"/>
                <w:sz w:val="18"/>
                <w:szCs w:val="18"/>
                <w:lang w:val="en-US" w:eastAsia="zh-CN"/>
              </w:rPr>
            </w:pPr>
            <w:r>
              <w:rPr>
                <w:rFonts w:hint="eastAsia"/>
                <w:sz w:val="18"/>
                <w:szCs w:val="18"/>
                <w:lang w:val="en-US" w:eastAsia="zh-CN"/>
              </w:rPr>
              <w:t>2826</w:t>
            </w:r>
          </w:p>
        </w:tc>
        <w:tc>
          <w:tcPr>
            <w:tcW w:w="3308" w:type="dxa"/>
            <w:vMerge w:val="continue"/>
            <w:tcBorders>
              <w:left w:val="single" w:color="auto" w:sz="4" w:space="0"/>
              <w:bottom w:val="single" w:color="auto" w:sz="4" w:space="0"/>
              <w:right w:val="single" w:color="auto" w:sz="4" w:space="0"/>
            </w:tcBorders>
            <w:vAlign w:val="center"/>
          </w:tcPr>
          <w:p>
            <w:pPr>
              <w:rPr>
                <w:sz w:val="18"/>
                <w:szCs w:val="18"/>
              </w:rPr>
            </w:pPr>
          </w:p>
        </w:tc>
      </w:tr>
      <w:tr>
        <w:tblPrEx>
          <w:tblCellMar>
            <w:top w:w="0" w:type="dxa"/>
            <w:left w:w="108" w:type="dxa"/>
            <w:bottom w:w="0" w:type="dxa"/>
            <w:right w:w="108" w:type="dxa"/>
          </w:tblCellMar>
        </w:tblPrEx>
        <w:trPr>
          <w:trHeight w:val="300" w:hRule="atLeast"/>
          <w:jc w:val="center"/>
        </w:trPr>
        <w:tc>
          <w:tcPr>
            <w:tcW w:w="3175" w:type="dxa"/>
            <w:vMerge w:val="restart"/>
            <w:tcBorders>
              <w:top w:val="nil"/>
              <w:left w:val="single" w:color="auto" w:sz="4" w:space="0"/>
              <w:right w:val="single" w:color="auto" w:sz="4" w:space="0"/>
            </w:tcBorders>
            <w:shd w:val="clear" w:color="auto" w:fill="auto"/>
            <w:vAlign w:val="center"/>
          </w:tcPr>
          <w:p>
            <w:pPr>
              <w:jc w:val="center"/>
              <w:rPr>
                <w:sz w:val="18"/>
                <w:szCs w:val="18"/>
              </w:rPr>
            </w:pPr>
            <w:r>
              <w:rPr>
                <w:sz w:val="18"/>
                <w:szCs w:val="18"/>
              </w:rPr>
              <w:t>新配</w:t>
            </w:r>
            <w:r>
              <w:rPr>
                <w:rFonts w:hint="eastAsia"/>
                <w:szCs w:val="21"/>
                <w:lang w:val="en-US" w:eastAsia="zh-CN"/>
              </w:rPr>
              <w:t xml:space="preserve">sigma-C5678 </w:t>
            </w:r>
            <w:r>
              <w:rPr>
                <w:rFonts w:hint="eastAsia"/>
                <w:sz w:val="18"/>
                <w:szCs w:val="18"/>
                <w:lang w:val="en-US" w:eastAsia="zh-CN"/>
              </w:rPr>
              <w:t>10 mg/mL CMC</w:t>
            </w:r>
          </w:p>
        </w:tc>
        <w:tc>
          <w:tcPr>
            <w:tcW w:w="2867" w:type="dxa"/>
            <w:tcBorders>
              <w:top w:val="nil"/>
              <w:left w:val="nil"/>
              <w:bottom w:val="single" w:color="auto" w:sz="4" w:space="0"/>
              <w:right w:val="single" w:color="auto" w:sz="4" w:space="0"/>
            </w:tcBorders>
            <w:shd w:val="clear" w:color="auto" w:fill="auto"/>
            <w:noWrap/>
            <w:vAlign w:val="center"/>
          </w:tcPr>
          <w:p>
            <w:pPr>
              <w:jc w:val="center"/>
              <w:rPr>
                <w:rFonts w:hint="default" w:eastAsia="宋体"/>
                <w:sz w:val="18"/>
                <w:szCs w:val="18"/>
                <w:lang w:val="en-US" w:eastAsia="zh-CN"/>
              </w:rPr>
            </w:pPr>
            <w:r>
              <w:rPr>
                <w:rFonts w:hint="eastAsia"/>
                <w:sz w:val="18"/>
                <w:szCs w:val="18"/>
                <w:lang w:val="en-US" w:eastAsia="zh-CN"/>
              </w:rPr>
              <w:t>8307</w:t>
            </w:r>
          </w:p>
        </w:tc>
        <w:tc>
          <w:tcPr>
            <w:tcW w:w="3308" w:type="dxa"/>
            <w:vMerge w:val="restart"/>
            <w:tcBorders>
              <w:top w:val="nil"/>
              <w:left w:val="single" w:color="auto" w:sz="4" w:space="0"/>
              <w:right w:val="single" w:color="auto" w:sz="4" w:space="0"/>
            </w:tcBorders>
            <w:shd w:val="clear" w:color="auto" w:fill="auto"/>
            <w:noWrap/>
            <w:vAlign w:val="center"/>
          </w:tcPr>
          <w:p>
            <w:pPr>
              <w:jc w:val="center"/>
              <w:rPr>
                <w:rFonts w:hint="default" w:eastAsia="宋体"/>
                <w:sz w:val="18"/>
                <w:szCs w:val="18"/>
                <w:lang w:val="en-US" w:eastAsia="zh-CN"/>
              </w:rPr>
            </w:pPr>
            <w:r>
              <w:rPr>
                <w:rFonts w:hint="eastAsia"/>
                <w:sz w:val="18"/>
                <w:szCs w:val="18"/>
                <w:lang w:val="en-US" w:eastAsia="zh-CN"/>
              </w:rPr>
              <w:t>8418</w:t>
            </w:r>
          </w:p>
        </w:tc>
      </w:tr>
      <w:tr>
        <w:tblPrEx>
          <w:tblCellMar>
            <w:top w:w="0" w:type="dxa"/>
            <w:left w:w="108" w:type="dxa"/>
            <w:bottom w:w="0" w:type="dxa"/>
            <w:right w:w="108" w:type="dxa"/>
          </w:tblCellMar>
        </w:tblPrEx>
        <w:trPr>
          <w:trHeight w:val="300" w:hRule="atLeast"/>
          <w:jc w:val="center"/>
        </w:trPr>
        <w:tc>
          <w:tcPr>
            <w:tcW w:w="3175" w:type="dxa"/>
            <w:vMerge w:val="continue"/>
            <w:tcBorders>
              <w:left w:val="single" w:color="auto" w:sz="4" w:space="0"/>
              <w:bottom w:val="single" w:color="auto" w:sz="4" w:space="0"/>
              <w:right w:val="single" w:color="auto" w:sz="4" w:space="0"/>
            </w:tcBorders>
            <w:vAlign w:val="center"/>
          </w:tcPr>
          <w:p>
            <w:pPr>
              <w:rPr>
                <w:sz w:val="18"/>
                <w:szCs w:val="18"/>
              </w:rPr>
            </w:pPr>
          </w:p>
        </w:tc>
        <w:tc>
          <w:tcPr>
            <w:tcW w:w="2867" w:type="dxa"/>
            <w:tcBorders>
              <w:top w:val="nil"/>
              <w:left w:val="nil"/>
              <w:bottom w:val="single" w:color="auto" w:sz="4" w:space="0"/>
              <w:right w:val="single" w:color="auto" w:sz="4" w:space="0"/>
            </w:tcBorders>
            <w:shd w:val="clear" w:color="auto" w:fill="auto"/>
            <w:noWrap/>
            <w:vAlign w:val="center"/>
          </w:tcPr>
          <w:p>
            <w:pPr>
              <w:jc w:val="center"/>
              <w:rPr>
                <w:rFonts w:hint="default" w:eastAsia="宋体"/>
                <w:sz w:val="18"/>
                <w:szCs w:val="18"/>
                <w:lang w:val="en-US" w:eastAsia="zh-CN"/>
              </w:rPr>
            </w:pPr>
            <w:r>
              <w:rPr>
                <w:rFonts w:hint="eastAsia"/>
                <w:sz w:val="18"/>
                <w:szCs w:val="18"/>
                <w:lang w:val="en-US" w:eastAsia="zh-CN"/>
              </w:rPr>
              <w:t>8528</w:t>
            </w:r>
          </w:p>
        </w:tc>
        <w:tc>
          <w:tcPr>
            <w:tcW w:w="3308" w:type="dxa"/>
            <w:vMerge w:val="continue"/>
            <w:tcBorders>
              <w:left w:val="single" w:color="auto" w:sz="4" w:space="0"/>
              <w:bottom w:val="single" w:color="auto" w:sz="4" w:space="0"/>
              <w:right w:val="single" w:color="auto" w:sz="4" w:space="0"/>
            </w:tcBorders>
            <w:vAlign w:val="center"/>
          </w:tcPr>
          <w:p>
            <w:pPr>
              <w:rPr>
                <w:sz w:val="18"/>
                <w:szCs w:val="18"/>
              </w:rPr>
            </w:pPr>
          </w:p>
        </w:tc>
      </w:tr>
      <w:tr>
        <w:tblPrEx>
          <w:tblCellMar>
            <w:top w:w="0" w:type="dxa"/>
            <w:left w:w="108" w:type="dxa"/>
            <w:bottom w:w="0" w:type="dxa"/>
            <w:right w:w="108" w:type="dxa"/>
          </w:tblCellMar>
        </w:tblPrEx>
        <w:trPr>
          <w:trHeight w:val="300" w:hRule="atLeast"/>
          <w:jc w:val="center"/>
        </w:trPr>
        <w:tc>
          <w:tcPr>
            <w:tcW w:w="3175" w:type="dxa"/>
            <w:vMerge w:val="restart"/>
            <w:tcBorders>
              <w:top w:val="nil"/>
              <w:left w:val="single" w:color="auto" w:sz="4" w:space="0"/>
              <w:right w:val="single" w:color="auto" w:sz="4" w:space="0"/>
            </w:tcBorders>
            <w:shd w:val="clear" w:color="auto" w:fill="auto"/>
            <w:vAlign w:val="center"/>
          </w:tcPr>
          <w:p>
            <w:pPr>
              <w:jc w:val="center"/>
              <w:rPr>
                <w:rFonts w:hint="default"/>
                <w:sz w:val="18"/>
                <w:szCs w:val="18"/>
                <w:lang w:val="en-US"/>
              </w:rPr>
            </w:pPr>
            <w:r>
              <w:rPr>
                <w:sz w:val="18"/>
                <w:szCs w:val="18"/>
              </w:rPr>
              <w:t>新配</w:t>
            </w:r>
            <w:r>
              <w:rPr>
                <w:rFonts w:hint="eastAsia"/>
                <w:sz w:val="18"/>
                <w:szCs w:val="18"/>
                <w:lang w:val="en-US" w:eastAsia="zh-CN"/>
              </w:rPr>
              <w:t>国药10 mg/mL CMC</w:t>
            </w:r>
          </w:p>
        </w:tc>
        <w:tc>
          <w:tcPr>
            <w:tcW w:w="2867" w:type="dxa"/>
            <w:tcBorders>
              <w:top w:val="nil"/>
              <w:left w:val="nil"/>
              <w:bottom w:val="single" w:color="auto" w:sz="4" w:space="0"/>
              <w:right w:val="single" w:color="auto" w:sz="4" w:space="0"/>
            </w:tcBorders>
            <w:shd w:val="clear" w:color="auto" w:fill="auto"/>
            <w:noWrap/>
            <w:vAlign w:val="center"/>
          </w:tcPr>
          <w:p>
            <w:pPr>
              <w:jc w:val="center"/>
              <w:rPr>
                <w:rFonts w:hint="default" w:eastAsia="宋体"/>
                <w:sz w:val="18"/>
                <w:szCs w:val="18"/>
                <w:lang w:val="en-US" w:eastAsia="zh-CN"/>
              </w:rPr>
            </w:pPr>
            <w:r>
              <w:rPr>
                <w:rFonts w:hint="eastAsia"/>
                <w:sz w:val="18"/>
                <w:szCs w:val="18"/>
                <w:lang w:val="en-US" w:eastAsia="zh-CN"/>
              </w:rPr>
              <w:t>5991</w:t>
            </w:r>
          </w:p>
        </w:tc>
        <w:tc>
          <w:tcPr>
            <w:tcW w:w="3308" w:type="dxa"/>
            <w:vMerge w:val="restart"/>
            <w:tcBorders>
              <w:top w:val="nil"/>
              <w:left w:val="single" w:color="auto" w:sz="4" w:space="0"/>
              <w:right w:val="single" w:color="auto" w:sz="4" w:space="0"/>
            </w:tcBorders>
            <w:shd w:val="clear" w:color="auto" w:fill="auto"/>
            <w:noWrap/>
            <w:vAlign w:val="center"/>
          </w:tcPr>
          <w:p>
            <w:pPr>
              <w:jc w:val="center"/>
              <w:rPr>
                <w:rFonts w:hint="default" w:eastAsia="宋体"/>
                <w:sz w:val="18"/>
                <w:szCs w:val="18"/>
                <w:lang w:val="en-US" w:eastAsia="zh-CN"/>
              </w:rPr>
            </w:pPr>
            <w:r>
              <w:rPr>
                <w:rFonts w:hint="eastAsia"/>
                <w:sz w:val="18"/>
                <w:szCs w:val="18"/>
                <w:lang w:val="en-US" w:eastAsia="zh-CN"/>
              </w:rPr>
              <w:t>6160</w:t>
            </w:r>
          </w:p>
        </w:tc>
      </w:tr>
      <w:tr>
        <w:tblPrEx>
          <w:tblCellMar>
            <w:top w:w="0" w:type="dxa"/>
            <w:left w:w="108" w:type="dxa"/>
            <w:bottom w:w="0" w:type="dxa"/>
            <w:right w:w="108" w:type="dxa"/>
          </w:tblCellMar>
        </w:tblPrEx>
        <w:trPr>
          <w:trHeight w:val="300" w:hRule="atLeast"/>
          <w:jc w:val="center"/>
        </w:trPr>
        <w:tc>
          <w:tcPr>
            <w:tcW w:w="3175" w:type="dxa"/>
            <w:vMerge w:val="continue"/>
            <w:tcBorders>
              <w:left w:val="single" w:color="auto" w:sz="4" w:space="0"/>
              <w:bottom w:val="single" w:color="auto" w:sz="4" w:space="0"/>
              <w:right w:val="single" w:color="auto" w:sz="4" w:space="0"/>
            </w:tcBorders>
            <w:vAlign w:val="center"/>
          </w:tcPr>
          <w:p>
            <w:pPr>
              <w:rPr>
                <w:color w:val="000000"/>
                <w:sz w:val="18"/>
                <w:szCs w:val="18"/>
                <w:lang w:bidi="hi-IN"/>
              </w:rPr>
            </w:pPr>
          </w:p>
        </w:tc>
        <w:tc>
          <w:tcPr>
            <w:tcW w:w="2867" w:type="dxa"/>
            <w:tcBorders>
              <w:top w:val="nil"/>
              <w:left w:val="nil"/>
              <w:bottom w:val="single" w:color="auto" w:sz="4" w:space="0"/>
              <w:right w:val="single" w:color="auto" w:sz="4" w:space="0"/>
            </w:tcBorders>
            <w:shd w:val="clear" w:color="auto" w:fill="auto"/>
            <w:noWrap/>
            <w:vAlign w:val="center"/>
          </w:tcPr>
          <w:p>
            <w:pPr>
              <w:jc w:val="center"/>
              <w:rPr>
                <w:rFonts w:hint="default" w:eastAsia="宋体"/>
                <w:color w:val="000000"/>
                <w:sz w:val="18"/>
                <w:szCs w:val="18"/>
                <w:lang w:val="en-US" w:eastAsia="zh-CN" w:bidi="hi-IN"/>
              </w:rPr>
            </w:pPr>
            <w:r>
              <w:rPr>
                <w:rFonts w:hint="eastAsia"/>
                <w:color w:val="000000"/>
                <w:sz w:val="18"/>
                <w:szCs w:val="18"/>
                <w:lang w:val="en-US" w:eastAsia="zh-CN" w:bidi="hi-IN"/>
              </w:rPr>
              <w:t>6328</w:t>
            </w:r>
          </w:p>
        </w:tc>
        <w:tc>
          <w:tcPr>
            <w:tcW w:w="3308" w:type="dxa"/>
            <w:vMerge w:val="continue"/>
            <w:tcBorders>
              <w:left w:val="single" w:color="auto" w:sz="4" w:space="0"/>
              <w:bottom w:val="single" w:color="auto" w:sz="4" w:space="0"/>
              <w:right w:val="single" w:color="auto" w:sz="4" w:space="0"/>
            </w:tcBorders>
            <w:vAlign w:val="center"/>
          </w:tcPr>
          <w:p>
            <w:pPr>
              <w:rPr>
                <w:color w:val="000000"/>
                <w:sz w:val="18"/>
                <w:szCs w:val="18"/>
                <w:lang w:bidi="hi-IN"/>
              </w:rPr>
            </w:pPr>
          </w:p>
        </w:tc>
      </w:tr>
      <w:tr>
        <w:tblPrEx>
          <w:tblCellMar>
            <w:top w:w="0" w:type="dxa"/>
            <w:left w:w="108" w:type="dxa"/>
            <w:bottom w:w="0" w:type="dxa"/>
            <w:right w:w="108" w:type="dxa"/>
          </w:tblCellMar>
        </w:tblPrEx>
        <w:trPr>
          <w:trHeight w:val="300" w:hRule="atLeast"/>
          <w:jc w:val="center"/>
        </w:trPr>
        <w:tc>
          <w:tcPr>
            <w:tcW w:w="3175" w:type="dxa"/>
            <w:vMerge w:val="restart"/>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lang w:bidi="hi-IN"/>
              </w:rPr>
            </w:pPr>
            <w:bookmarkStart w:id="4" w:name="_Toc532304052"/>
            <w:r>
              <w:rPr>
                <w:sz w:val="18"/>
                <w:szCs w:val="18"/>
              </w:rPr>
              <w:t>新配</w:t>
            </w:r>
            <w:r>
              <w:rPr>
                <w:rFonts w:hint="eastAsia"/>
                <w:sz w:val="18"/>
                <w:szCs w:val="18"/>
                <w:lang w:val="en-US" w:eastAsia="zh-CN"/>
              </w:rPr>
              <w:t>恒兴10 mg/mL CMC</w:t>
            </w:r>
          </w:p>
        </w:tc>
        <w:tc>
          <w:tcPr>
            <w:tcW w:w="2867"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default" w:eastAsia="宋体"/>
                <w:color w:val="000000"/>
                <w:sz w:val="18"/>
                <w:szCs w:val="18"/>
                <w:lang w:val="en-US" w:eastAsia="zh-CN" w:bidi="hi-IN"/>
              </w:rPr>
            </w:pPr>
            <w:r>
              <w:rPr>
                <w:rFonts w:hint="eastAsia"/>
                <w:color w:val="000000"/>
                <w:sz w:val="18"/>
                <w:szCs w:val="18"/>
                <w:lang w:val="en-US" w:eastAsia="zh-CN" w:bidi="hi-IN"/>
              </w:rPr>
              <w:t>2057</w:t>
            </w:r>
          </w:p>
        </w:tc>
        <w:tc>
          <w:tcPr>
            <w:tcW w:w="3308" w:type="dxa"/>
            <w:vMerge w:val="restart"/>
            <w:tcBorders>
              <w:top w:val="single" w:color="auto" w:sz="4" w:space="0"/>
              <w:left w:val="single" w:color="auto" w:sz="4" w:space="0"/>
              <w:right w:val="single" w:color="auto" w:sz="4" w:space="0"/>
            </w:tcBorders>
            <w:vAlign w:val="center"/>
          </w:tcPr>
          <w:p>
            <w:pPr>
              <w:jc w:val="center"/>
              <w:rPr>
                <w:rFonts w:hint="default" w:eastAsia="宋体"/>
                <w:color w:val="000000"/>
                <w:sz w:val="18"/>
                <w:szCs w:val="18"/>
                <w:lang w:val="en-US" w:eastAsia="zh-CN" w:bidi="hi-IN"/>
              </w:rPr>
            </w:pPr>
            <w:r>
              <w:rPr>
                <w:rFonts w:hint="eastAsia"/>
                <w:color w:val="000000"/>
                <w:sz w:val="18"/>
                <w:szCs w:val="18"/>
                <w:lang w:val="en-US" w:eastAsia="zh-CN" w:bidi="hi-IN"/>
              </w:rPr>
              <w:t>2024</w:t>
            </w:r>
          </w:p>
        </w:tc>
      </w:tr>
      <w:tr>
        <w:tblPrEx>
          <w:tblCellMar>
            <w:top w:w="0" w:type="dxa"/>
            <w:left w:w="108" w:type="dxa"/>
            <w:bottom w:w="0" w:type="dxa"/>
            <w:right w:w="108" w:type="dxa"/>
          </w:tblCellMar>
        </w:tblPrEx>
        <w:trPr>
          <w:trHeight w:val="300" w:hRule="atLeast"/>
          <w:jc w:val="center"/>
        </w:trPr>
        <w:tc>
          <w:tcPr>
            <w:tcW w:w="3175" w:type="dxa"/>
            <w:vMerge w:val="continue"/>
            <w:tcBorders>
              <w:top w:val="single" w:color="auto" w:sz="4" w:space="0"/>
              <w:left w:val="single" w:color="auto" w:sz="4" w:space="0"/>
              <w:bottom w:val="single" w:color="auto" w:sz="4" w:space="0"/>
              <w:right w:val="single" w:color="auto" w:sz="4" w:space="0"/>
            </w:tcBorders>
            <w:vAlign w:val="center"/>
          </w:tcPr>
          <w:p>
            <w:pPr>
              <w:rPr>
                <w:color w:val="000000"/>
                <w:sz w:val="18"/>
                <w:szCs w:val="18"/>
                <w:lang w:bidi="hi-IN"/>
              </w:rPr>
            </w:pPr>
          </w:p>
        </w:tc>
        <w:tc>
          <w:tcPr>
            <w:tcW w:w="2867"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default" w:eastAsia="宋体"/>
                <w:color w:val="000000"/>
                <w:sz w:val="18"/>
                <w:szCs w:val="18"/>
                <w:lang w:val="en-US" w:eastAsia="zh-CN" w:bidi="hi-IN"/>
              </w:rPr>
            </w:pPr>
            <w:r>
              <w:rPr>
                <w:rFonts w:hint="eastAsia"/>
                <w:color w:val="000000"/>
                <w:sz w:val="18"/>
                <w:szCs w:val="18"/>
                <w:lang w:val="en-US" w:eastAsia="zh-CN" w:bidi="hi-IN"/>
              </w:rPr>
              <w:t>1990</w:t>
            </w:r>
          </w:p>
        </w:tc>
        <w:tc>
          <w:tcPr>
            <w:tcW w:w="3308" w:type="dxa"/>
            <w:vMerge w:val="continue"/>
            <w:tcBorders>
              <w:left w:val="single" w:color="auto" w:sz="4" w:space="0"/>
              <w:bottom w:val="single" w:color="auto" w:sz="4" w:space="0"/>
              <w:right w:val="single" w:color="auto" w:sz="4" w:space="0"/>
            </w:tcBorders>
            <w:vAlign w:val="center"/>
          </w:tcPr>
          <w:p>
            <w:pPr>
              <w:rPr>
                <w:color w:val="000000"/>
                <w:sz w:val="18"/>
                <w:szCs w:val="18"/>
                <w:lang w:bidi="hi-IN"/>
              </w:rPr>
            </w:pPr>
          </w:p>
        </w:tc>
      </w:tr>
      <w:tr>
        <w:tblPrEx>
          <w:tblCellMar>
            <w:top w:w="0" w:type="dxa"/>
            <w:left w:w="108" w:type="dxa"/>
            <w:bottom w:w="0" w:type="dxa"/>
            <w:right w:w="108" w:type="dxa"/>
          </w:tblCellMar>
        </w:tblPrEx>
        <w:trPr>
          <w:trHeight w:val="300" w:hRule="atLeast"/>
          <w:jc w:val="center"/>
        </w:trPr>
        <w:tc>
          <w:tcPr>
            <w:tcW w:w="3175" w:type="dxa"/>
            <w:vMerge w:val="restart"/>
            <w:tcBorders>
              <w:top w:val="single" w:color="auto" w:sz="4" w:space="0"/>
              <w:left w:val="single" w:color="auto" w:sz="4" w:space="0"/>
              <w:right w:val="single" w:color="auto" w:sz="4" w:space="0"/>
            </w:tcBorders>
            <w:vAlign w:val="center"/>
          </w:tcPr>
          <w:p>
            <w:pPr>
              <w:jc w:val="center"/>
              <w:rPr>
                <w:color w:val="000000"/>
                <w:sz w:val="18"/>
                <w:szCs w:val="18"/>
                <w:lang w:bidi="hi-IN"/>
              </w:rPr>
            </w:pPr>
            <w:r>
              <w:rPr>
                <w:sz w:val="18"/>
                <w:szCs w:val="18"/>
              </w:rPr>
              <w:t>新配</w:t>
            </w:r>
            <w:r>
              <w:rPr>
                <w:rFonts w:hint="eastAsia"/>
                <w:sz w:val="18"/>
                <w:szCs w:val="18"/>
                <w:lang w:val="en-US" w:eastAsia="zh-CN"/>
              </w:rPr>
              <w:t>河北10 mg/mL CMC</w:t>
            </w:r>
          </w:p>
        </w:tc>
        <w:tc>
          <w:tcPr>
            <w:tcW w:w="2867"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default" w:eastAsia="宋体"/>
                <w:color w:val="000000"/>
                <w:sz w:val="18"/>
                <w:szCs w:val="18"/>
                <w:lang w:val="en-US" w:eastAsia="zh-CN" w:bidi="hi-IN"/>
              </w:rPr>
            </w:pPr>
            <w:r>
              <w:rPr>
                <w:rFonts w:hint="eastAsia"/>
                <w:color w:val="000000"/>
                <w:sz w:val="18"/>
                <w:szCs w:val="18"/>
                <w:lang w:val="en-US" w:eastAsia="zh-CN" w:bidi="hi-IN"/>
              </w:rPr>
              <w:t>3124</w:t>
            </w:r>
          </w:p>
        </w:tc>
        <w:tc>
          <w:tcPr>
            <w:tcW w:w="3308" w:type="dxa"/>
            <w:vMerge w:val="restart"/>
            <w:tcBorders>
              <w:top w:val="single" w:color="auto" w:sz="4" w:space="0"/>
              <w:left w:val="single" w:color="auto" w:sz="4" w:space="0"/>
              <w:right w:val="single" w:color="auto" w:sz="4" w:space="0"/>
            </w:tcBorders>
            <w:vAlign w:val="center"/>
          </w:tcPr>
          <w:p>
            <w:pPr>
              <w:jc w:val="center"/>
              <w:rPr>
                <w:rFonts w:hint="default" w:eastAsia="宋体"/>
                <w:color w:val="000000"/>
                <w:sz w:val="18"/>
                <w:szCs w:val="18"/>
                <w:lang w:val="en-US" w:eastAsia="zh-CN" w:bidi="hi-IN"/>
              </w:rPr>
            </w:pPr>
            <w:r>
              <w:rPr>
                <w:rFonts w:hint="eastAsia"/>
                <w:color w:val="000000"/>
                <w:sz w:val="18"/>
                <w:szCs w:val="18"/>
                <w:lang w:val="en-US" w:eastAsia="zh-CN" w:bidi="hi-IN"/>
              </w:rPr>
              <w:t>3071</w:t>
            </w:r>
          </w:p>
        </w:tc>
      </w:tr>
      <w:tr>
        <w:tblPrEx>
          <w:tblCellMar>
            <w:top w:w="0" w:type="dxa"/>
            <w:left w:w="108" w:type="dxa"/>
            <w:bottom w:w="0" w:type="dxa"/>
            <w:right w:w="108" w:type="dxa"/>
          </w:tblCellMar>
        </w:tblPrEx>
        <w:trPr>
          <w:trHeight w:val="300" w:hRule="atLeast"/>
          <w:jc w:val="center"/>
        </w:trPr>
        <w:tc>
          <w:tcPr>
            <w:tcW w:w="3175" w:type="dxa"/>
            <w:vMerge w:val="continue"/>
            <w:tcBorders>
              <w:left w:val="single" w:color="auto" w:sz="4" w:space="0"/>
              <w:bottom w:val="single" w:color="auto" w:sz="4" w:space="0"/>
              <w:right w:val="single" w:color="auto" w:sz="4" w:space="0"/>
            </w:tcBorders>
            <w:vAlign w:val="center"/>
          </w:tcPr>
          <w:p>
            <w:pPr>
              <w:rPr>
                <w:color w:val="000000"/>
                <w:sz w:val="18"/>
                <w:szCs w:val="18"/>
                <w:lang w:bidi="hi-IN"/>
              </w:rPr>
            </w:pPr>
          </w:p>
        </w:tc>
        <w:tc>
          <w:tcPr>
            <w:tcW w:w="2867"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default" w:eastAsia="宋体"/>
                <w:color w:val="000000"/>
                <w:sz w:val="18"/>
                <w:szCs w:val="18"/>
                <w:lang w:val="en-US" w:eastAsia="zh-CN" w:bidi="hi-IN"/>
              </w:rPr>
            </w:pPr>
            <w:r>
              <w:rPr>
                <w:rFonts w:hint="eastAsia"/>
                <w:color w:val="000000"/>
                <w:sz w:val="18"/>
                <w:szCs w:val="18"/>
                <w:lang w:val="en-US" w:eastAsia="zh-CN" w:bidi="hi-IN"/>
              </w:rPr>
              <w:t>3017</w:t>
            </w:r>
          </w:p>
        </w:tc>
        <w:tc>
          <w:tcPr>
            <w:tcW w:w="3308" w:type="dxa"/>
            <w:vMerge w:val="continue"/>
            <w:tcBorders>
              <w:left w:val="single" w:color="auto" w:sz="4" w:space="0"/>
              <w:bottom w:val="single" w:color="auto" w:sz="4" w:space="0"/>
              <w:right w:val="single" w:color="auto" w:sz="4" w:space="0"/>
            </w:tcBorders>
            <w:vAlign w:val="center"/>
          </w:tcPr>
          <w:p>
            <w:pPr>
              <w:rPr>
                <w:color w:val="000000"/>
                <w:sz w:val="18"/>
                <w:szCs w:val="18"/>
                <w:lang w:bidi="hi-IN"/>
              </w:rPr>
            </w:pPr>
          </w:p>
        </w:tc>
      </w:tr>
    </w:tbl>
    <w:p>
      <w:pPr>
        <w:jc w:val="both"/>
        <w:rPr>
          <w:rFonts w:ascii="黑体" w:hAnsi="宋体" w:eastAsia="黑体" w:cs="Arial"/>
          <w:szCs w:val="21"/>
        </w:rPr>
      </w:pPr>
    </w:p>
    <w:p>
      <w:pPr>
        <w:ind w:firstLine="435"/>
        <w:rPr>
          <w:rFonts w:hint="eastAsia"/>
          <w:szCs w:val="21"/>
          <w:lang w:val="en-US" w:eastAsia="zh-CN"/>
        </w:rPr>
      </w:pPr>
      <w:r>
        <w:rPr>
          <w:rFonts w:hint="eastAsia"/>
          <w:szCs w:val="21"/>
          <w:lang w:val="en-US" w:eastAsia="zh-CN"/>
        </w:rPr>
        <w:t>DNS：不同厂家的DNS试剂对纤维素酶活力的测试影响不大。</w:t>
      </w:r>
    </w:p>
    <w:p>
      <w:pPr>
        <w:jc w:val="center"/>
        <w:rPr>
          <w:rFonts w:hint="default" w:ascii="Times New Roman" w:hAnsi="Times New Roman" w:eastAsia="楷体" w:cs="Times New Roman"/>
          <w:szCs w:val="21"/>
          <w:lang w:val="en-US" w:eastAsia="zh-CN"/>
        </w:rPr>
      </w:pPr>
      <w:r>
        <w:rPr>
          <w:rFonts w:hint="default" w:ascii="Times New Roman" w:hAnsi="Times New Roman" w:eastAsia="楷体" w:cs="Times New Roman"/>
          <w:szCs w:val="21"/>
        </w:rPr>
        <w:t>表</w:t>
      </w:r>
      <w:r>
        <w:rPr>
          <w:rFonts w:hint="default" w:ascii="Times New Roman" w:hAnsi="Times New Roman" w:eastAsia="楷体" w:cs="Times New Roman"/>
          <w:szCs w:val="21"/>
          <w:lang w:val="en-US" w:eastAsia="zh-CN"/>
        </w:rPr>
        <w:t>2</w:t>
      </w:r>
      <w:r>
        <w:rPr>
          <w:rFonts w:hint="default" w:ascii="Times New Roman" w:hAnsi="Times New Roman" w:eastAsia="楷体" w:cs="Times New Roman"/>
          <w:szCs w:val="21"/>
        </w:rPr>
        <w:t xml:space="preserve">  </w:t>
      </w:r>
      <w:r>
        <w:rPr>
          <w:rFonts w:hint="default" w:ascii="Times New Roman" w:hAnsi="Times New Roman" w:eastAsia="楷体" w:cs="Times New Roman"/>
          <w:szCs w:val="21"/>
          <w:lang w:val="en-US" w:eastAsia="zh-CN"/>
        </w:rPr>
        <w:t>同一个样品同一</w:t>
      </w:r>
      <w:r>
        <w:rPr>
          <w:rFonts w:hint="default" w:ascii="Times New Roman" w:hAnsi="Times New Roman" w:eastAsia="楷体" w:cs="Times New Roman"/>
          <w:szCs w:val="21"/>
        </w:rPr>
        <w:t>底物</w:t>
      </w:r>
      <w:r>
        <w:rPr>
          <w:rFonts w:hint="default" w:ascii="Times New Roman" w:hAnsi="Times New Roman" w:eastAsia="楷体" w:cs="Times New Roman"/>
          <w:szCs w:val="21"/>
          <w:lang w:val="en-US" w:eastAsia="zh-CN"/>
        </w:rPr>
        <w:t>不同DNS试剂</w:t>
      </w:r>
      <w:r>
        <w:rPr>
          <w:rFonts w:hint="default" w:ascii="Times New Roman" w:hAnsi="Times New Roman" w:eastAsia="楷体" w:cs="Times New Roman"/>
          <w:szCs w:val="21"/>
        </w:rPr>
        <w:t>对比</w:t>
      </w:r>
    </w:p>
    <w:tbl>
      <w:tblPr>
        <w:tblStyle w:val="15"/>
        <w:tblW w:w="9574" w:type="dxa"/>
        <w:jc w:val="center"/>
        <w:tblLayout w:type="autofit"/>
        <w:tblCellMar>
          <w:top w:w="0" w:type="dxa"/>
          <w:left w:w="108" w:type="dxa"/>
          <w:bottom w:w="0" w:type="dxa"/>
          <w:right w:w="108" w:type="dxa"/>
        </w:tblCellMar>
      </w:tblPr>
      <w:tblGrid>
        <w:gridCol w:w="2488"/>
        <w:gridCol w:w="2247"/>
        <w:gridCol w:w="2247"/>
        <w:gridCol w:w="2592"/>
      </w:tblGrid>
      <w:tr>
        <w:tblPrEx>
          <w:tblCellMar>
            <w:top w:w="0" w:type="dxa"/>
            <w:left w:w="108" w:type="dxa"/>
            <w:bottom w:w="0" w:type="dxa"/>
            <w:right w:w="108" w:type="dxa"/>
          </w:tblCellMar>
        </w:tblPrEx>
        <w:trPr>
          <w:trHeight w:val="251" w:hRule="atLeast"/>
          <w:jc w:val="center"/>
        </w:trPr>
        <w:tc>
          <w:tcPr>
            <w:tcW w:w="248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eastAsia="宋体"/>
                <w:sz w:val="18"/>
                <w:szCs w:val="18"/>
                <w:lang w:val="en-US" w:eastAsia="zh-CN"/>
              </w:rPr>
            </w:pPr>
            <w:r>
              <w:rPr>
                <w:rFonts w:hint="eastAsia"/>
                <w:sz w:val="18"/>
                <w:szCs w:val="18"/>
                <w:lang w:val="en-US" w:eastAsia="zh-CN"/>
              </w:rPr>
              <w:t>DNS</w:t>
            </w:r>
          </w:p>
        </w:tc>
        <w:tc>
          <w:tcPr>
            <w:tcW w:w="2247"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eastAsia="宋体"/>
                <w:sz w:val="18"/>
                <w:szCs w:val="18"/>
                <w:lang w:val="en-US" w:eastAsia="zh-CN"/>
              </w:rPr>
            </w:pPr>
            <w:r>
              <w:rPr>
                <w:rFonts w:hint="eastAsia"/>
                <w:sz w:val="18"/>
                <w:szCs w:val="18"/>
                <w:lang w:val="en-US" w:eastAsia="zh-CN"/>
              </w:rPr>
              <w:t>标曲</w:t>
            </w:r>
          </w:p>
        </w:tc>
        <w:tc>
          <w:tcPr>
            <w:tcW w:w="2247" w:type="dxa"/>
            <w:tcBorders>
              <w:top w:val="single" w:color="auto" w:sz="4" w:space="0"/>
              <w:left w:val="nil"/>
              <w:bottom w:val="single" w:color="auto" w:sz="4" w:space="0"/>
              <w:right w:val="single" w:color="auto" w:sz="4" w:space="0"/>
            </w:tcBorders>
            <w:shd w:val="clear" w:color="auto" w:fill="auto"/>
            <w:noWrap/>
            <w:vAlign w:val="center"/>
          </w:tcPr>
          <w:p>
            <w:pPr>
              <w:jc w:val="center"/>
              <w:rPr>
                <w:sz w:val="18"/>
                <w:szCs w:val="18"/>
              </w:rPr>
            </w:pPr>
            <w:r>
              <w:rPr>
                <w:sz w:val="18"/>
                <w:szCs w:val="18"/>
              </w:rPr>
              <w:t>活性(u/g)</w:t>
            </w:r>
          </w:p>
        </w:tc>
        <w:tc>
          <w:tcPr>
            <w:tcW w:w="2592" w:type="dxa"/>
            <w:tcBorders>
              <w:top w:val="single" w:color="auto" w:sz="4" w:space="0"/>
              <w:left w:val="nil"/>
              <w:bottom w:val="single" w:color="auto" w:sz="4" w:space="0"/>
              <w:right w:val="single" w:color="auto" w:sz="4" w:space="0"/>
            </w:tcBorders>
            <w:shd w:val="clear" w:color="auto" w:fill="auto"/>
            <w:noWrap/>
            <w:vAlign w:val="center"/>
          </w:tcPr>
          <w:p>
            <w:pPr>
              <w:jc w:val="center"/>
              <w:rPr>
                <w:sz w:val="18"/>
                <w:szCs w:val="18"/>
              </w:rPr>
            </w:pPr>
            <w:r>
              <w:rPr>
                <w:sz w:val="18"/>
                <w:szCs w:val="18"/>
              </w:rPr>
              <w:t>活性平均值(u/g)</w:t>
            </w:r>
          </w:p>
        </w:tc>
      </w:tr>
      <w:tr>
        <w:tblPrEx>
          <w:tblCellMar>
            <w:top w:w="0" w:type="dxa"/>
            <w:left w:w="108" w:type="dxa"/>
            <w:bottom w:w="0" w:type="dxa"/>
            <w:right w:w="108" w:type="dxa"/>
          </w:tblCellMar>
        </w:tblPrEx>
        <w:trPr>
          <w:trHeight w:val="300" w:hRule="atLeast"/>
          <w:jc w:val="center"/>
        </w:trPr>
        <w:tc>
          <w:tcPr>
            <w:tcW w:w="2488" w:type="dxa"/>
            <w:vMerge w:val="restart"/>
            <w:tcBorders>
              <w:top w:val="nil"/>
              <w:left w:val="single" w:color="auto" w:sz="4" w:space="0"/>
              <w:right w:val="single" w:color="auto" w:sz="4" w:space="0"/>
            </w:tcBorders>
            <w:shd w:val="clear" w:color="auto" w:fill="auto"/>
            <w:vAlign w:val="center"/>
          </w:tcPr>
          <w:p>
            <w:pPr>
              <w:jc w:val="center"/>
              <w:rPr>
                <w:rFonts w:hint="default" w:eastAsia="宋体"/>
                <w:sz w:val="18"/>
                <w:szCs w:val="18"/>
                <w:lang w:val="en-US" w:eastAsia="zh-CN"/>
              </w:rPr>
            </w:pPr>
            <w:r>
              <w:rPr>
                <w:sz w:val="18"/>
                <w:szCs w:val="18"/>
              </w:rPr>
              <w:t>光复</w:t>
            </w:r>
          </w:p>
        </w:tc>
        <w:tc>
          <w:tcPr>
            <w:tcW w:w="2247" w:type="dxa"/>
            <w:vMerge w:val="restart"/>
            <w:tcBorders>
              <w:top w:val="nil"/>
              <w:left w:val="nil"/>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y=0.002</w:t>
            </w:r>
            <w:r>
              <w:rPr>
                <w:rFonts w:hint="eastAsia" w:cs="Times New Roman"/>
                <w:i w:val="0"/>
                <w:iCs w:val="0"/>
                <w:color w:val="000000"/>
                <w:kern w:val="0"/>
                <w:sz w:val="20"/>
                <w:szCs w:val="20"/>
                <w:u w:val="none"/>
                <w:lang w:val="en-US" w:eastAsia="zh-CN" w:bidi="ar"/>
              </w:rPr>
              <w:t xml:space="preserve">6 </w:t>
            </w:r>
            <w:r>
              <w:rPr>
                <w:rFonts w:hint="default" w:ascii="Times New Roman" w:hAnsi="Times New Roman" w:eastAsia="宋体" w:cs="Times New Roman"/>
                <w:i w:val="0"/>
                <w:iCs w:val="0"/>
                <w:color w:val="000000"/>
                <w:kern w:val="0"/>
                <w:sz w:val="20"/>
                <w:szCs w:val="20"/>
                <w:u w:val="none"/>
                <w:lang w:val="en-US" w:eastAsia="zh-CN" w:bidi="ar"/>
              </w:rPr>
              <w:t>x-0.0</w:t>
            </w:r>
            <w:r>
              <w:rPr>
                <w:rFonts w:hint="eastAsia" w:cs="Times New Roman"/>
                <w:i w:val="0"/>
                <w:iCs w:val="0"/>
                <w:color w:val="000000"/>
                <w:kern w:val="0"/>
                <w:sz w:val="20"/>
                <w:szCs w:val="20"/>
                <w:u w:val="none"/>
                <w:lang w:val="en-US" w:eastAsia="zh-CN" w:bidi="ar"/>
              </w:rPr>
              <w:t>628</w:t>
            </w:r>
          </w:p>
        </w:tc>
        <w:tc>
          <w:tcPr>
            <w:tcW w:w="2247" w:type="dxa"/>
            <w:tcBorders>
              <w:top w:val="nil"/>
              <w:left w:val="nil"/>
              <w:bottom w:val="single" w:color="auto" w:sz="4" w:space="0"/>
              <w:right w:val="single" w:color="auto" w:sz="4" w:space="0"/>
            </w:tcBorders>
            <w:shd w:val="clear" w:color="auto" w:fill="auto"/>
            <w:noWrap/>
            <w:vAlign w:val="center"/>
          </w:tcPr>
          <w:p>
            <w:pPr>
              <w:jc w:val="center"/>
              <w:rPr>
                <w:rFonts w:hint="default" w:eastAsia="宋体"/>
                <w:sz w:val="18"/>
                <w:szCs w:val="18"/>
                <w:lang w:val="en-US" w:eastAsia="zh-CN"/>
              </w:rPr>
            </w:pPr>
            <w:r>
              <w:rPr>
                <w:rFonts w:hint="eastAsia"/>
                <w:sz w:val="18"/>
                <w:szCs w:val="18"/>
                <w:lang w:val="en-US" w:eastAsia="zh-CN"/>
              </w:rPr>
              <w:t>2818</w:t>
            </w:r>
          </w:p>
        </w:tc>
        <w:tc>
          <w:tcPr>
            <w:tcW w:w="2592" w:type="dxa"/>
            <w:vMerge w:val="restart"/>
            <w:tcBorders>
              <w:top w:val="nil"/>
              <w:left w:val="single" w:color="auto" w:sz="4" w:space="0"/>
              <w:right w:val="single" w:color="auto" w:sz="4" w:space="0"/>
            </w:tcBorders>
            <w:shd w:val="clear" w:color="auto" w:fill="auto"/>
            <w:noWrap/>
            <w:vAlign w:val="center"/>
          </w:tcPr>
          <w:p>
            <w:pPr>
              <w:jc w:val="center"/>
              <w:rPr>
                <w:rFonts w:hint="default" w:eastAsia="宋体"/>
                <w:sz w:val="18"/>
                <w:szCs w:val="18"/>
                <w:lang w:val="en-US" w:eastAsia="zh-CN"/>
              </w:rPr>
            </w:pPr>
            <w:r>
              <w:rPr>
                <w:rFonts w:hint="eastAsia"/>
                <w:sz w:val="18"/>
                <w:szCs w:val="18"/>
                <w:lang w:val="en-US" w:eastAsia="zh-CN"/>
              </w:rPr>
              <w:t>2822</w:t>
            </w:r>
          </w:p>
        </w:tc>
      </w:tr>
      <w:tr>
        <w:tblPrEx>
          <w:tblCellMar>
            <w:top w:w="0" w:type="dxa"/>
            <w:left w:w="108" w:type="dxa"/>
            <w:bottom w:w="0" w:type="dxa"/>
            <w:right w:w="108" w:type="dxa"/>
          </w:tblCellMar>
        </w:tblPrEx>
        <w:trPr>
          <w:trHeight w:val="300" w:hRule="atLeast"/>
          <w:jc w:val="center"/>
        </w:trPr>
        <w:tc>
          <w:tcPr>
            <w:tcW w:w="2488" w:type="dxa"/>
            <w:vMerge w:val="continue"/>
            <w:tcBorders>
              <w:left w:val="single" w:color="auto" w:sz="4" w:space="0"/>
              <w:bottom w:val="single" w:color="auto" w:sz="4" w:space="0"/>
              <w:right w:val="single" w:color="auto" w:sz="4" w:space="0"/>
            </w:tcBorders>
            <w:vAlign w:val="center"/>
          </w:tcPr>
          <w:p>
            <w:pPr>
              <w:rPr>
                <w:sz w:val="18"/>
                <w:szCs w:val="18"/>
              </w:rPr>
            </w:pPr>
          </w:p>
        </w:tc>
        <w:tc>
          <w:tcPr>
            <w:tcW w:w="2247" w:type="dxa"/>
            <w:vMerge w:val="continue"/>
            <w:tcBorders>
              <w:left w:val="nil"/>
              <w:bottom w:val="single" w:color="auto" w:sz="4" w:space="0"/>
              <w:right w:val="single" w:color="auto" w:sz="4" w:space="0"/>
            </w:tcBorders>
            <w:shd w:val="clear" w:color="auto" w:fill="auto"/>
            <w:noWrap/>
            <w:vAlign w:val="center"/>
          </w:tcPr>
          <w:p>
            <w:pPr>
              <w:jc w:val="center"/>
              <w:rPr>
                <w:rFonts w:hint="eastAsia"/>
                <w:sz w:val="18"/>
                <w:szCs w:val="18"/>
                <w:lang w:val="en-US" w:eastAsia="zh-CN"/>
              </w:rPr>
            </w:pPr>
          </w:p>
        </w:tc>
        <w:tc>
          <w:tcPr>
            <w:tcW w:w="2247" w:type="dxa"/>
            <w:tcBorders>
              <w:top w:val="nil"/>
              <w:left w:val="nil"/>
              <w:bottom w:val="single" w:color="auto" w:sz="4" w:space="0"/>
              <w:right w:val="single" w:color="auto" w:sz="4" w:space="0"/>
            </w:tcBorders>
            <w:shd w:val="clear" w:color="auto" w:fill="auto"/>
            <w:noWrap/>
            <w:vAlign w:val="center"/>
          </w:tcPr>
          <w:p>
            <w:pPr>
              <w:jc w:val="center"/>
              <w:rPr>
                <w:rFonts w:hint="default" w:eastAsia="宋体"/>
                <w:sz w:val="18"/>
                <w:szCs w:val="18"/>
                <w:lang w:val="en-US" w:eastAsia="zh-CN"/>
              </w:rPr>
            </w:pPr>
            <w:r>
              <w:rPr>
                <w:rFonts w:hint="eastAsia"/>
                <w:sz w:val="18"/>
                <w:szCs w:val="18"/>
                <w:lang w:val="en-US" w:eastAsia="zh-CN"/>
              </w:rPr>
              <w:t>2826</w:t>
            </w:r>
          </w:p>
        </w:tc>
        <w:tc>
          <w:tcPr>
            <w:tcW w:w="2592" w:type="dxa"/>
            <w:vMerge w:val="continue"/>
            <w:tcBorders>
              <w:left w:val="single" w:color="auto" w:sz="4" w:space="0"/>
              <w:bottom w:val="single" w:color="auto" w:sz="4" w:space="0"/>
              <w:right w:val="single" w:color="auto" w:sz="4" w:space="0"/>
            </w:tcBorders>
            <w:vAlign w:val="center"/>
          </w:tcPr>
          <w:p>
            <w:pPr>
              <w:rPr>
                <w:sz w:val="18"/>
                <w:szCs w:val="18"/>
              </w:rPr>
            </w:pPr>
          </w:p>
        </w:tc>
      </w:tr>
      <w:tr>
        <w:tblPrEx>
          <w:tblCellMar>
            <w:top w:w="0" w:type="dxa"/>
            <w:left w:w="108" w:type="dxa"/>
            <w:bottom w:w="0" w:type="dxa"/>
            <w:right w:w="108" w:type="dxa"/>
          </w:tblCellMar>
        </w:tblPrEx>
        <w:trPr>
          <w:trHeight w:val="300" w:hRule="atLeast"/>
          <w:jc w:val="center"/>
        </w:trPr>
        <w:tc>
          <w:tcPr>
            <w:tcW w:w="2488" w:type="dxa"/>
            <w:vMerge w:val="restart"/>
            <w:tcBorders>
              <w:top w:val="nil"/>
              <w:left w:val="single" w:color="auto" w:sz="4" w:space="0"/>
              <w:right w:val="single" w:color="auto" w:sz="4" w:space="0"/>
            </w:tcBorders>
            <w:shd w:val="clear" w:color="auto" w:fill="auto"/>
            <w:vAlign w:val="center"/>
          </w:tcPr>
          <w:p>
            <w:pPr>
              <w:jc w:val="center"/>
              <w:rPr>
                <w:rFonts w:hint="default" w:eastAsia="宋体"/>
                <w:sz w:val="18"/>
                <w:szCs w:val="18"/>
                <w:lang w:val="en-US" w:eastAsia="zh-CN"/>
              </w:rPr>
            </w:pPr>
            <w:r>
              <w:rPr>
                <w:rFonts w:hint="eastAsia"/>
                <w:sz w:val="18"/>
                <w:szCs w:val="18"/>
                <w:lang w:val="en-US" w:eastAsia="zh-CN"/>
              </w:rPr>
              <w:t>国药</w:t>
            </w:r>
          </w:p>
        </w:tc>
        <w:tc>
          <w:tcPr>
            <w:tcW w:w="2247" w:type="dxa"/>
            <w:vMerge w:val="restart"/>
            <w:tcBorders>
              <w:top w:val="nil"/>
              <w:left w:val="nil"/>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y=0.002</w:t>
            </w:r>
            <w:r>
              <w:rPr>
                <w:rFonts w:hint="eastAsia" w:cs="Times New Roman"/>
                <w:i w:val="0"/>
                <w:iCs w:val="0"/>
                <w:color w:val="000000"/>
                <w:kern w:val="0"/>
                <w:sz w:val="20"/>
                <w:szCs w:val="20"/>
                <w:u w:val="none"/>
                <w:lang w:val="en-US" w:eastAsia="zh-CN" w:bidi="ar"/>
              </w:rPr>
              <w:t xml:space="preserve">4 </w:t>
            </w:r>
            <w:r>
              <w:rPr>
                <w:rFonts w:hint="default" w:ascii="Times New Roman" w:hAnsi="Times New Roman" w:eastAsia="宋体" w:cs="Times New Roman"/>
                <w:i w:val="0"/>
                <w:iCs w:val="0"/>
                <w:color w:val="000000"/>
                <w:kern w:val="0"/>
                <w:sz w:val="20"/>
                <w:szCs w:val="20"/>
                <w:u w:val="none"/>
                <w:lang w:val="en-US" w:eastAsia="zh-CN" w:bidi="ar"/>
              </w:rPr>
              <w:t>x-0.0</w:t>
            </w:r>
            <w:r>
              <w:rPr>
                <w:rFonts w:hint="eastAsia" w:cs="Times New Roman"/>
                <w:i w:val="0"/>
                <w:iCs w:val="0"/>
                <w:color w:val="000000"/>
                <w:kern w:val="0"/>
                <w:sz w:val="20"/>
                <w:szCs w:val="20"/>
                <w:u w:val="none"/>
                <w:lang w:val="en-US" w:eastAsia="zh-CN" w:bidi="ar"/>
              </w:rPr>
              <w:t>965</w:t>
            </w:r>
          </w:p>
        </w:tc>
        <w:tc>
          <w:tcPr>
            <w:tcW w:w="2247" w:type="dxa"/>
            <w:tcBorders>
              <w:top w:val="nil"/>
              <w:left w:val="nil"/>
              <w:bottom w:val="single" w:color="auto" w:sz="4" w:space="0"/>
              <w:right w:val="single" w:color="auto" w:sz="4" w:space="0"/>
            </w:tcBorders>
            <w:shd w:val="clear" w:color="auto" w:fill="auto"/>
            <w:noWrap/>
            <w:vAlign w:val="center"/>
          </w:tcPr>
          <w:p>
            <w:pPr>
              <w:jc w:val="center"/>
              <w:rPr>
                <w:rFonts w:hint="default" w:eastAsia="宋体"/>
                <w:sz w:val="18"/>
                <w:szCs w:val="18"/>
                <w:lang w:val="en-US" w:eastAsia="zh-CN"/>
              </w:rPr>
            </w:pPr>
            <w:r>
              <w:rPr>
                <w:rFonts w:hint="eastAsia"/>
                <w:sz w:val="18"/>
                <w:szCs w:val="18"/>
                <w:lang w:val="en-US" w:eastAsia="zh-CN"/>
              </w:rPr>
              <w:t>2672</w:t>
            </w:r>
          </w:p>
        </w:tc>
        <w:tc>
          <w:tcPr>
            <w:tcW w:w="2592" w:type="dxa"/>
            <w:vMerge w:val="restart"/>
            <w:tcBorders>
              <w:top w:val="nil"/>
              <w:left w:val="single" w:color="auto" w:sz="4" w:space="0"/>
              <w:right w:val="single" w:color="auto" w:sz="4" w:space="0"/>
            </w:tcBorders>
            <w:shd w:val="clear" w:color="auto" w:fill="auto"/>
            <w:noWrap/>
            <w:vAlign w:val="center"/>
          </w:tcPr>
          <w:p>
            <w:pPr>
              <w:jc w:val="center"/>
              <w:rPr>
                <w:rFonts w:hint="default" w:eastAsia="宋体"/>
                <w:sz w:val="18"/>
                <w:szCs w:val="18"/>
                <w:lang w:val="en-US" w:eastAsia="zh-CN"/>
              </w:rPr>
            </w:pPr>
            <w:r>
              <w:rPr>
                <w:rFonts w:hint="eastAsia"/>
                <w:sz w:val="18"/>
                <w:szCs w:val="18"/>
                <w:lang w:val="en-US" w:eastAsia="zh-CN"/>
              </w:rPr>
              <w:t>2706</w:t>
            </w:r>
          </w:p>
        </w:tc>
      </w:tr>
      <w:tr>
        <w:tblPrEx>
          <w:tblCellMar>
            <w:top w:w="0" w:type="dxa"/>
            <w:left w:w="108" w:type="dxa"/>
            <w:bottom w:w="0" w:type="dxa"/>
            <w:right w:w="108" w:type="dxa"/>
          </w:tblCellMar>
        </w:tblPrEx>
        <w:trPr>
          <w:trHeight w:val="300" w:hRule="atLeast"/>
          <w:jc w:val="center"/>
        </w:trPr>
        <w:tc>
          <w:tcPr>
            <w:tcW w:w="2488" w:type="dxa"/>
            <w:vMerge w:val="continue"/>
            <w:tcBorders>
              <w:left w:val="single" w:color="auto" w:sz="4" w:space="0"/>
              <w:bottom w:val="single" w:color="auto" w:sz="4" w:space="0"/>
              <w:right w:val="single" w:color="auto" w:sz="4" w:space="0"/>
            </w:tcBorders>
            <w:vAlign w:val="center"/>
          </w:tcPr>
          <w:p>
            <w:pPr>
              <w:rPr>
                <w:sz w:val="18"/>
                <w:szCs w:val="18"/>
              </w:rPr>
            </w:pPr>
          </w:p>
        </w:tc>
        <w:tc>
          <w:tcPr>
            <w:tcW w:w="2247" w:type="dxa"/>
            <w:vMerge w:val="continue"/>
            <w:tcBorders>
              <w:left w:val="nil"/>
              <w:bottom w:val="single" w:color="auto" w:sz="4" w:space="0"/>
              <w:right w:val="single" w:color="auto" w:sz="4" w:space="0"/>
            </w:tcBorders>
            <w:shd w:val="clear" w:color="auto" w:fill="auto"/>
            <w:noWrap/>
            <w:vAlign w:val="center"/>
          </w:tcPr>
          <w:p>
            <w:pPr>
              <w:jc w:val="center"/>
              <w:rPr>
                <w:rFonts w:hint="eastAsia"/>
                <w:sz w:val="18"/>
                <w:szCs w:val="18"/>
                <w:lang w:val="en-US" w:eastAsia="zh-CN"/>
              </w:rPr>
            </w:pPr>
          </w:p>
        </w:tc>
        <w:tc>
          <w:tcPr>
            <w:tcW w:w="2247" w:type="dxa"/>
            <w:tcBorders>
              <w:top w:val="nil"/>
              <w:left w:val="nil"/>
              <w:bottom w:val="single" w:color="auto" w:sz="4" w:space="0"/>
              <w:right w:val="single" w:color="auto" w:sz="4" w:space="0"/>
            </w:tcBorders>
            <w:shd w:val="clear" w:color="auto" w:fill="auto"/>
            <w:noWrap/>
            <w:vAlign w:val="center"/>
          </w:tcPr>
          <w:p>
            <w:pPr>
              <w:jc w:val="center"/>
              <w:rPr>
                <w:rFonts w:hint="default" w:eastAsia="宋体"/>
                <w:sz w:val="18"/>
                <w:szCs w:val="18"/>
                <w:lang w:val="en-US" w:eastAsia="zh-CN"/>
              </w:rPr>
            </w:pPr>
            <w:r>
              <w:rPr>
                <w:rFonts w:hint="eastAsia"/>
                <w:sz w:val="18"/>
                <w:szCs w:val="18"/>
                <w:lang w:val="en-US" w:eastAsia="zh-CN"/>
              </w:rPr>
              <w:t>2739</w:t>
            </w:r>
          </w:p>
        </w:tc>
        <w:tc>
          <w:tcPr>
            <w:tcW w:w="2592" w:type="dxa"/>
            <w:vMerge w:val="continue"/>
            <w:tcBorders>
              <w:left w:val="single" w:color="auto" w:sz="4" w:space="0"/>
              <w:bottom w:val="single" w:color="auto" w:sz="4" w:space="0"/>
              <w:right w:val="single" w:color="auto" w:sz="4" w:space="0"/>
            </w:tcBorders>
            <w:vAlign w:val="center"/>
          </w:tcPr>
          <w:p>
            <w:pPr>
              <w:rPr>
                <w:sz w:val="18"/>
                <w:szCs w:val="18"/>
              </w:rPr>
            </w:pPr>
          </w:p>
        </w:tc>
      </w:tr>
      <w:bookmarkEnd w:id="4"/>
    </w:tbl>
    <w:p>
      <w:pPr>
        <w:rPr>
          <w:rFonts w:hint="eastAsia" w:hAnsi="黑体" w:eastAsia="黑体"/>
          <w:szCs w:val="21"/>
          <w:lang w:val="en-US" w:eastAsia="zh-CN"/>
        </w:rPr>
      </w:pPr>
    </w:p>
    <w:p>
      <w:pPr>
        <w:rPr>
          <w:rFonts w:hint="eastAsia" w:hAnsi="黑体" w:eastAsia="黑体"/>
          <w:szCs w:val="21"/>
          <w:lang w:val="en-US" w:eastAsia="zh-CN"/>
        </w:rPr>
      </w:pPr>
      <w:r>
        <w:rPr>
          <w:rFonts w:hint="eastAsia" w:hAnsi="黑体" w:eastAsia="黑体"/>
          <w:szCs w:val="21"/>
          <w:lang w:val="en-US" w:eastAsia="zh-CN"/>
        </w:rPr>
        <w:t>（2）</w:t>
      </w:r>
      <w:r>
        <w:rPr>
          <w:rFonts w:hint="eastAsia" w:ascii="宋体" w:hAnsi="宋体" w:eastAsia="宋体" w:cs="宋体"/>
          <w:szCs w:val="21"/>
          <w:lang w:val="en-US" w:eastAsia="zh-CN"/>
        </w:rPr>
        <w:t>不同试验步骤对试验的影响</w:t>
      </w:r>
    </w:p>
    <w:p>
      <w:pPr>
        <w:jc w:val="center"/>
        <w:rPr>
          <w:rFonts w:hint="eastAsia" w:hAnsi="黑体" w:eastAsia="黑体"/>
          <w:szCs w:val="21"/>
          <w:lang w:val="en-US" w:eastAsia="zh-CN"/>
        </w:rPr>
      </w:pPr>
      <w:r>
        <w:rPr>
          <w:sz w:val="21"/>
        </w:rPr>
        <mc:AlternateContent>
          <mc:Choice Requires="wps">
            <w:drawing>
              <wp:anchor distT="0" distB="0" distL="114300" distR="114300" simplePos="0" relativeHeight="251659264" behindDoc="0" locked="0" layoutInCell="1" allowOverlap="1">
                <wp:simplePos x="0" y="0"/>
                <wp:positionH relativeFrom="column">
                  <wp:posOffset>636270</wp:posOffset>
                </wp:positionH>
                <wp:positionV relativeFrom="paragraph">
                  <wp:posOffset>1752600</wp:posOffset>
                </wp:positionV>
                <wp:extent cx="2374900" cy="687070"/>
                <wp:effectExtent l="6350" t="6350" r="19050" b="11430"/>
                <wp:wrapNone/>
                <wp:docPr id="2" name="矩形 2"/>
                <wp:cNvGraphicFramePr/>
                <a:graphic xmlns:a="http://schemas.openxmlformats.org/drawingml/2006/main">
                  <a:graphicData uri="http://schemas.microsoft.com/office/word/2010/wordprocessingShape">
                    <wps:wsp>
                      <wps:cNvSpPr/>
                      <wps:spPr>
                        <a:xfrm>
                          <a:off x="864870" y="7536180"/>
                          <a:ext cx="2374900" cy="687070"/>
                        </a:xfrm>
                        <a:prstGeom prst="rect">
                          <a:avLst/>
                        </a:prstGeom>
                        <a:noFill/>
                        <a:ln>
                          <a:solidFill>
                            <a:srgbClr val="C0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50.1pt;margin-top:138pt;height:54.1pt;width:187pt;z-index:251659264;v-text-anchor:middle;mso-width-relative:page;mso-height-relative:page;" filled="f" stroked="t" coordsize="21600,21600" o:gfxdata="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siP1e2AAAAAsBAAAPAAAAAAAAAAEAIAAAACIAAABkcnMvZG93&#10;bnJldi54bWxQSwECFAAUAAAACACHTuJA7ykmSnICAADWBAAADgAAAAAAAAABACAAAAAnAQAAZHJz&#10;L2Uyb0RvYy54bWxQSwUGAAAAAAYABgBZAQAACwYAAAAA&#10;">
                <v:fill on="f" focussize="0,0"/>
                <v:stroke weight="1pt" color="#C00000 [3209]" miterlimit="8" joinstyle="miter"/>
                <v:imagedata o:title=""/>
                <o:lock v:ext="edit" aspectratio="f"/>
              </v:rect>
            </w:pict>
          </mc:Fallback>
        </mc:AlternateContent>
      </w:r>
      <w:r>
        <w:drawing>
          <wp:inline distT="0" distB="0" distL="114300" distR="114300">
            <wp:extent cx="4492625" cy="3148965"/>
            <wp:effectExtent l="0" t="0" r="3175" b="13335"/>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5"/>
                    <a:stretch>
                      <a:fillRect/>
                    </a:stretch>
                  </pic:blipFill>
                  <pic:spPr>
                    <a:xfrm>
                      <a:off x="0" y="0"/>
                      <a:ext cx="4492625" cy="3148965"/>
                    </a:xfrm>
                    <a:prstGeom prst="rect">
                      <a:avLst/>
                    </a:prstGeom>
                    <a:noFill/>
                    <a:ln>
                      <a:noFill/>
                    </a:ln>
                  </pic:spPr>
                </pic:pic>
              </a:graphicData>
            </a:graphic>
          </wp:inline>
        </w:drawing>
      </w:r>
    </w:p>
    <w:p>
      <w:pPr>
        <w:ind w:firstLine="420" w:firstLineChars="200"/>
        <w:rPr>
          <w:rFonts w:hint="eastAsia" w:ascii="宋体" w:hAnsi="宋体" w:eastAsia="宋体" w:cs="Times New Roman"/>
          <w:kern w:val="0"/>
          <w:sz w:val="21"/>
          <w:szCs w:val="21"/>
          <w:lang w:val="en-US" w:eastAsia="zh-CN" w:bidi="ar-SA"/>
        </w:rPr>
      </w:pP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cs="Times New Roman"/>
          <w:kern w:val="0"/>
          <w:sz w:val="21"/>
          <w:szCs w:val="21"/>
          <w:lang w:val="en-US" w:eastAsia="zh-CN" w:bidi="ar-SA"/>
        </w:rPr>
      </w:pPr>
      <w:r>
        <w:rPr>
          <w:rFonts w:hint="eastAsia" w:ascii="宋体" w:hAnsi="宋体" w:eastAsia="宋体" w:cs="Times New Roman"/>
          <w:kern w:val="0"/>
          <w:sz w:val="21"/>
          <w:szCs w:val="21"/>
          <w:lang w:val="en-US" w:eastAsia="zh-CN" w:bidi="ar-SA"/>
        </w:rPr>
        <w:t>对于检测</w:t>
      </w:r>
      <w:r>
        <w:rPr>
          <w:rFonts w:hint="eastAsia" w:ascii="宋体" w:hAnsi="宋体" w:cs="Times New Roman"/>
          <w:kern w:val="0"/>
          <w:sz w:val="21"/>
          <w:szCs w:val="21"/>
          <w:lang w:val="en-US" w:eastAsia="zh-CN" w:bidi="ar-SA"/>
        </w:rPr>
        <w:t>步骤，在与各单位的交流中发现争议较大的是对于空白样的处理，经过系列试验证明</w:t>
      </w:r>
      <w:r>
        <w:rPr>
          <w:rFonts w:hint="eastAsia" w:cs="Times New Roman"/>
          <w:kern w:val="0"/>
          <w:sz w:val="21"/>
          <w:szCs w:val="21"/>
          <w:lang w:val="en-US" w:eastAsia="zh-CN" w:bidi="ar-SA"/>
        </w:rPr>
        <w:t>，采用方法一无论怎么稀释，样品吸光度都达不到检测要求，而采用我们的方法测试稳定性较好。</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cs="Times New Roman"/>
          <w:kern w:val="0"/>
          <w:sz w:val="21"/>
          <w:szCs w:val="21"/>
          <w:lang w:val="en-US" w:eastAsia="zh-CN" w:bidi="ar-SA"/>
        </w:rPr>
      </w:pPr>
    </w:p>
    <w:p>
      <w:pPr>
        <w:jc w:val="center"/>
        <w:rPr>
          <w:rFonts w:hint="default" w:ascii="Times New Roman" w:hAnsi="Times New Roman" w:eastAsia="楷体" w:cs="Times New Roman"/>
          <w:kern w:val="0"/>
          <w:sz w:val="21"/>
          <w:szCs w:val="21"/>
          <w:lang w:val="en-US" w:eastAsia="zh-CN" w:bidi="ar-SA"/>
        </w:rPr>
      </w:pPr>
      <w:r>
        <w:rPr>
          <w:rFonts w:hint="default" w:ascii="Times New Roman" w:hAnsi="Times New Roman" w:eastAsia="楷体" w:cs="Times New Roman"/>
          <w:kern w:val="0"/>
          <w:sz w:val="21"/>
          <w:szCs w:val="21"/>
          <w:lang w:val="en-US" w:eastAsia="zh-CN" w:bidi="ar-SA"/>
        </w:rPr>
        <w:t>表3 同一样品同一底物同一DNS不同测试方法</w:t>
      </w:r>
    </w:p>
    <w:tbl>
      <w:tblPr>
        <w:tblStyle w:val="15"/>
        <w:tblW w:w="0" w:type="auto"/>
        <w:jc w:val="center"/>
        <w:tblLayout w:type="fixed"/>
        <w:tblCellMar>
          <w:top w:w="0" w:type="dxa"/>
          <w:left w:w="108" w:type="dxa"/>
          <w:bottom w:w="0" w:type="dxa"/>
          <w:right w:w="108" w:type="dxa"/>
        </w:tblCellMar>
      </w:tblPr>
      <w:tblGrid>
        <w:gridCol w:w="1220"/>
        <w:gridCol w:w="896"/>
        <w:gridCol w:w="1059"/>
        <w:gridCol w:w="1153"/>
        <w:gridCol w:w="757"/>
        <w:gridCol w:w="957"/>
      </w:tblGrid>
      <w:tr>
        <w:tblPrEx>
          <w:tblCellMar>
            <w:top w:w="0" w:type="dxa"/>
            <w:left w:w="108" w:type="dxa"/>
            <w:bottom w:w="0" w:type="dxa"/>
            <w:right w:w="108" w:type="dxa"/>
          </w:tblCellMar>
        </w:tblPrEx>
        <w:trPr>
          <w:trHeight w:val="251" w:hRule="atLeast"/>
          <w:jc w:val="center"/>
        </w:trPr>
        <w:tc>
          <w:tcPr>
            <w:tcW w:w="317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eastAsia="宋体"/>
                <w:sz w:val="18"/>
                <w:szCs w:val="18"/>
                <w:lang w:val="en-US" w:eastAsia="zh-CN"/>
              </w:rPr>
            </w:pPr>
            <w:r>
              <w:rPr>
                <w:rFonts w:hint="eastAsia"/>
                <w:sz w:val="18"/>
                <w:szCs w:val="18"/>
                <w:lang w:val="en-US" w:eastAsia="zh-CN"/>
              </w:rPr>
              <w:t>方法一</w:t>
            </w:r>
          </w:p>
        </w:tc>
        <w:tc>
          <w:tcPr>
            <w:tcW w:w="2867" w:type="dxa"/>
            <w:gridSpan w:val="3"/>
            <w:tcBorders>
              <w:top w:val="single" w:color="auto" w:sz="4" w:space="0"/>
              <w:left w:val="nil"/>
              <w:bottom w:val="single" w:color="auto" w:sz="4" w:space="0"/>
              <w:right w:val="single" w:color="auto" w:sz="4" w:space="0"/>
            </w:tcBorders>
            <w:shd w:val="clear" w:color="auto" w:fill="auto"/>
            <w:noWrap/>
            <w:vAlign w:val="center"/>
          </w:tcPr>
          <w:p>
            <w:pPr>
              <w:jc w:val="center"/>
              <w:rPr>
                <w:rFonts w:hint="default" w:eastAsia="宋体"/>
                <w:sz w:val="18"/>
                <w:szCs w:val="18"/>
                <w:lang w:val="en-US" w:eastAsia="zh-CN"/>
              </w:rPr>
            </w:pPr>
            <w:r>
              <w:rPr>
                <w:rFonts w:hint="eastAsia"/>
                <w:sz w:val="18"/>
                <w:szCs w:val="18"/>
                <w:lang w:val="en-US" w:eastAsia="zh-CN"/>
              </w:rPr>
              <w:t>方法二</w:t>
            </w:r>
          </w:p>
        </w:tc>
      </w:tr>
      <w:tr>
        <w:tblPrEx>
          <w:tblCellMar>
            <w:top w:w="0" w:type="dxa"/>
            <w:left w:w="108" w:type="dxa"/>
            <w:bottom w:w="0" w:type="dxa"/>
            <w:right w:w="108" w:type="dxa"/>
          </w:tblCellMar>
        </w:tblPrEx>
        <w:trPr>
          <w:trHeight w:val="251" w:hRule="atLeast"/>
          <w:jc w:val="center"/>
        </w:trPr>
        <w:tc>
          <w:tcPr>
            <w:tcW w:w="122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稀释倍数</w:t>
            </w:r>
          </w:p>
        </w:tc>
        <w:tc>
          <w:tcPr>
            <w:tcW w:w="89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吸光度</w:t>
            </w:r>
          </w:p>
        </w:tc>
        <w:tc>
          <w:tcPr>
            <w:tcW w:w="105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酶活力</w:t>
            </w:r>
          </w:p>
        </w:tc>
        <w:tc>
          <w:tcPr>
            <w:tcW w:w="115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稀释倍数</w:t>
            </w:r>
          </w:p>
        </w:tc>
        <w:tc>
          <w:tcPr>
            <w:tcW w:w="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吸光度</w:t>
            </w:r>
          </w:p>
        </w:tc>
        <w:tc>
          <w:tcPr>
            <w:tcW w:w="9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酶活力</w:t>
            </w:r>
          </w:p>
        </w:tc>
      </w:tr>
      <w:tr>
        <w:tblPrEx>
          <w:tblCellMar>
            <w:top w:w="0" w:type="dxa"/>
            <w:left w:w="108" w:type="dxa"/>
            <w:bottom w:w="0" w:type="dxa"/>
            <w:right w:w="108" w:type="dxa"/>
          </w:tblCellMar>
        </w:tblPrEx>
        <w:trPr>
          <w:trHeight w:val="251" w:hRule="atLeast"/>
          <w:jc w:val="center"/>
        </w:trPr>
        <w:tc>
          <w:tcPr>
            <w:tcW w:w="122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sz w:val="18"/>
                <w:szCs w:val="18"/>
                <w:lang w:val="en-US" w:eastAsia="zh-CN"/>
              </w:rPr>
            </w:pPr>
            <w:r>
              <w:rPr>
                <w:rFonts w:hint="eastAsia"/>
                <w:sz w:val="18"/>
                <w:szCs w:val="18"/>
                <w:lang w:val="en-US" w:eastAsia="zh-CN"/>
              </w:rPr>
              <w:t>稀释250倍</w:t>
            </w:r>
          </w:p>
        </w:tc>
        <w:tc>
          <w:tcPr>
            <w:tcW w:w="89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0.179</w:t>
            </w:r>
          </w:p>
        </w:tc>
        <w:tc>
          <w:tcPr>
            <w:tcW w:w="105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3216</w:t>
            </w:r>
          </w:p>
        </w:tc>
        <w:tc>
          <w:tcPr>
            <w:tcW w:w="115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sz w:val="18"/>
                <w:szCs w:val="18"/>
                <w:lang w:val="en-US" w:eastAsia="zh-CN"/>
              </w:rPr>
            </w:pPr>
            <w:r>
              <w:rPr>
                <w:rFonts w:hint="eastAsia"/>
                <w:sz w:val="18"/>
                <w:szCs w:val="18"/>
                <w:lang w:val="en-US" w:eastAsia="zh-CN"/>
              </w:rPr>
              <w:t>稀释130倍</w:t>
            </w:r>
          </w:p>
        </w:tc>
        <w:tc>
          <w:tcPr>
            <w:tcW w:w="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0.245</w:t>
            </w:r>
          </w:p>
        </w:tc>
        <w:tc>
          <w:tcPr>
            <w:tcW w:w="9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2096</w:t>
            </w:r>
          </w:p>
        </w:tc>
      </w:tr>
      <w:tr>
        <w:tblPrEx>
          <w:tblCellMar>
            <w:top w:w="0" w:type="dxa"/>
            <w:left w:w="108" w:type="dxa"/>
            <w:bottom w:w="0" w:type="dxa"/>
            <w:right w:w="108" w:type="dxa"/>
          </w:tblCellMar>
        </w:tblPrEx>
        <w:trPr>
          <w:trHeight w:val="251" w:hRule="atLeast"/>
          <w:jc w:val="center"/>
        </w:trPr>
        <w:tc>
          <w:tcPr>
            <w:tcW w:w="122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sz w:val="18"/>
                <w:szCs w:val="18"/>
                <w:lang w:val="en-US" w:eastAsia="zh-CN"/>
              </w:rPr>
            </w:pPr>
            <w:r>
              <w:rPr>
                <w:rFonts w:hint="eastAsia"/>
                <w:sz w:val="18"/>
                <w:szCs w:val="18"/>
                <w:lang w:val="en-US" w:eastAsia="zh-CN"/>
              </w:rPr>
              <w:t>稀释200倍</w:t>
            </w:r>
          </w:p>
        </w:tc>
        <w:tc>
          <w:tcPr>
            <w:tcW w:w="89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0.182</w:t>
            </w:r>
          </w:p>
        </w:tc>
        <w:tc>
          <w:tcPr>
            <w:tcW w:w="105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2602</w:t>
            </w:r>
          </w:p>
        </w:tc>
        <w:tc>
          <w:tcPr>
            <w:tcW w:w="115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sz w:val="18"/>
                <w:szCs w:val="18"/>
                <w:lang w:val="en-US" w:eastAsia="zh-CN"/>
              </w:rPr>
            </w:pPr>
            <w:r>
              <w:rPr>
                <w:rFonts w:hint="eastAsia"/>
                <w:sz w:val="18"/>
                <w:szCs w:val="18"/>
                <w:lang w:val="en-US" w:eastAsia="zh-CN"/>
              </w:rPr>
              <w:t>稀释120倍</w:t>
            </w:r>
          </w:p>
        </w:tc>
        <w:tc>
          <w:tcPr>
            <w:tcW w:w="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0.296</w:t>
            </w:r>
          </w:p>
        </w:tc>
        <w:tc>
          <w:tcPr>
            <w:tcW w:w="9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2237</w:t>
            </w:r>
          </w:p>
        </w:tc>
      </w:tr>
      <w:tr>
        <w:tblPrEx>
          <w:tblCellMar>
            <w:top w:w="0" w:type="dxa"/>
            <w:left w:w="108" w:type="dxa"/>
            <w:bottom w:w="0" w:type="dxa"/>
            <w:right w:w="108" w:type="dxa"/>
          </w:tblCellMar>
        </w:tblPrEx>
        <w:trPr>
          <w:trHeight w:val="251" w:hRule="atLeast"/>
          <w:jc w:val="center"/>
        </w:trPr>
        <w:tc>
          <w:tcPr>
            <w:tcW w:w="122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sz w:val="18"/>
                <w:szCs w:val="18"/>
                <w:lang w:val="en-US" w:eastAsia="zh-CN"/>
              </w:rPr>
            </w:pPr>
            <w:r>
              <w:rPr>
                <w:rFonts w:hint="eastAsia"/>
                <w:sz w:val="18"/>
                <w:szCs w:val="18"/>
                <w:lang w:val="en-US" w:eastAsia="zh-CN"/>
              </w:rPr>
              <w:t>稀释125倍</w:t>
            </w:r>
          </w:p>
        </w:tc>
        <w:tc>
          <w:tcPr>
            <w:tcW w:w="89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0.193</w:t>
            </w:r>
          </w:p>
        </w:tc>
        <w:tc>
          <w:tcPr>
            <w:tcW w:w="105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1694</w:t>
            </w:r>
          </w:p>
        </w:tc>
        <w:tc>
          <w:tcPr>
            <w:tcW w:w="115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sz w:val="18"/>
                <w:szCs w:val="18"/>
                <w:lang w:val="en-US" w:eastAsia="zh-CN"/>
              </w:rPr>
            </w:pPr>
            <w:r>
              <w:rPr>
                <w:rFonts w:hint="eastAsia"/>
                <w:sz w:val="18"/>
                <w:szCs w:val="18"/>
                <w:lang w:val="en-US" w:eastAsia="zh-CN"/>
              </w:rPr>
              <w:t>稀释110倍</w:t>
            </w:r>
          </w:p>
        </w:tc>
        <w:tc>
          <w:tcPr>
            <w:tcW w:w="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0.314</w:t>
            </w:r>
          </w:p>
        </w:tc>
        <w:tc>
          <w:tcPr>
            <w:tcW w:w="9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2148</w:t>
            </w:r>
          </w:p>
        </w:tc>
      </w:tr>
      <w:tr>
        <w:tblPrEx>
          <w:tblCellMar>
            <w:top w:w="0" w:type="dxa"/>
            <w:left w:w="108" w:type="dxa"/>
            <w:bottom w:w="0" w:type="dxa"/>
            <w:right w:w="108" w:type="dxa"/>
          </w:tblCellMar>
        </w:tblPrEx>
        <w:trPr>
          <w:trHeight w:val="251" w:hRule="atLeast"/>
          <w:jc w:val="center"/>
        </w:trPr>
        <w:tc>
          <w:tcPr>
            <w:tcW w:w="122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sz w:val="18"/>
                <w:szCs w:val="18"/>
                <w:lang w:val="en-US" w:eastAsia="zh-CN"/>
              </w:rPr>
            </w:pPr>
            <w:r>
              <w:rPr>
                <w:rFonts w:hint="eastAsia"/>
                <w:sz w:val="18"/>
                <w:szCs w:val="18"/>
                <w:lang w:val="en-US" w:eastAsia="zh-CN"/>
              </w:rPr>
              <w:t>稀释100倍</w:t>
            </w:r>
          </w:p>
        </w:tc>
        <w:tc>
          <w:tcPr>
            <w:tcW w:w="89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0.226</w:t>
            </w:r>
          </w:p>
        </w:tc>
        <w:tc>
          <w:tcPr>
            <w:tcW w:w="105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1519</w:t>
            </w:r>
          </w:p>
        </w:tc>
        <w:tc>
          <w:tcPr>
            <w:tcW w:w="115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sz w:val="18"/>
                <w:szCs w:val="18"/>
                <w:lang w:val="en-US" w:eastAsia="zh-CN"/>
              </w:rPr>
            </w:pPr>
            <w:r>
              <w:rPr>
                <w:rFonts w:hint="eastAsia"/>
                <w:sz w:val="18"/>
                <w:szCs w:val="18"/>
                <w:lang w:val="en-US" w:eastAsia="zh-CN"/>
              </w:rPr>
              <w:t>稀释100倍</w:t>
            </w:r>
          </w:p>
        </w:tc>
        <w:tc>
          <w:tcPr>
            <w:tcW w:w="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0.337</w:t>
            </w:r>
          </w:p>
        </w:tc>
        <w:tc>
          <w:tcPr>
            <w:tcW w:w="9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2067</w:t>
            </w:r>
          </w:p>
        </w:tc>
      </w:tr>
    </w:tbl>
    <w:p>
      <w:pPr>
        <w:ind w:firstLine="420" w:firstLineChars="200"/>
        <w:rPr>
          <w:rFonts w:hint="default" w:ascii="Times New Roman" w:hAnsi="Times New Roman" w:cs="Times New Roman"/>
          <w:kern w:val="0"/>
          <w:sz w:val="21"/>
          <w:szCs w:val="21"/>
          <w:lang w:val="en-US" w:eastAsia="zh-CN" w:bidi="ar-SA"/>
        </w:rPr>
      </w:pPr>
      <w:r>
        <w:rPr>
          <w:rFonts w:hint="default" w:ascii="Times New Roman" w:hAnsi="Times New Roman" w:cs="Times New Roman"/>
          <w:kern w:val="0"/>
          <w:sz w:val="21"/>
          <w:szCs w:val="21"/>
          <w:lang w:val="en-US" w:eastAsia="zh-CN" w:bidi="ar-SA"/>
        </w:rPr>
        <w:t>注：方法一空白样先加酶液再煮沸显色，方法二为我们的检测方法</w:t>
      </w:r>
    </w:p>
    <w:p>
      <w:pPr>
        <w:rPr>
          <w:rFonts w:hint="eastAsia" w:ascii="宋体" w:hAnsi="宋体" w:cs="Times New Roman"/>
          <w:color w:val="0000FF"/>
          <w:kern w:val="0"/>
          <w:sz w:val="21"/>
          <w:szCs w:val="21"/>
          <w:lang w:val="en-US" w:eastAsia="zh-CN" w:bidi="ar-SA"/>
        </w:rPr>
      </w:pPr>
    </w:p>
    <w:p>
      <w:pPr>
        <w:ind w:firstLine="420" w:firstLineChars="200"/>
        <w:rPr>
          <w:rFonts w:hint="eastAsia" w:cs="Times New Roman"/>
          <w:color w:val="0000FF"/>
          <w:kern w:val="0"/>
          <w:sz w:val="21"/>
          <w:szCs w:val="21"/>
          <w:lang w:val="en-US" w:eastAsia="zh-CN" w:bidi="ar-SA"/>
        </w:rPr>
      </w:pPr>
      <w:r>
        <w:rPr>
          <w:rFonts w:hint="eastAsia" w:cs="Times New Roman"/>
          <w:color w:val="0000FF"/>
          <w:kern w:val="0"/>
          <w:sz w:val="21"/>
          <w:szCs w:val="21"/>
          <w:lang w:val="en-US" w:eastAsia="zh-CN" w:bidi="ar-SA"/>
        </w:rPr>
        <w:t>（3）</w:t>
      </w:r>
      <w:r>
        <w:rPr>
          <w:rFonts w:hint="default" w:ascii="Times New Roman" w:hAnsi="Times New Roman" w:cs="Times New Roman"/>
          <w:color w:val="0000FF"/>
          <w:kern w:val="0"/>
          <w:sz w:val="21"/>
          <w:szCs w:val="21"/>
          <w:lang w:val="en-US" w:eastAsia="zh-CN" w:bidi="ar-SA"/>
        </w:rPr>
        <w:t>吸光度在0.29-0.33</w:t>
      </w:r>
      <w:r>
        <w:rPr>
          <w:rFonts w:hint="eastAsia" w:cs="Times New Roman"/>
          <w:color w:val="0000FF"/>
          <w:kern w:val="0"/>
          <w:sz w:val="21"/>
          <w:szCs w:val="21"/>
          <w:lang w:val="en-US" w:eastAsia="zh-CN" w:bidi="ar-SA"/>
        </w:rPr>
        <w:t>区</w:t>
      </w:r>
      <w:r>
        <w:rPr>
          <w:rFonts w:hint="default" w:ascii="Times New Roman" w:hAnsi="Times New Roman" w:cs="Times New Roman"/>
          <w:color w:val="0000FF"/>
          <w:kern w:val="0"/>
          <w:sz w:val="21"/>
          <w:szCs w:val="21"/>
          <w:lang w:val="en-US" w:eastAsia="zh-CN" w:bidi="ar-SA"/>
        </w:rPr>
        <w:t>间</w:t>
      </w:r>
      <w:r>
        <w:rPr>
          <w:rFonts w:hint="eastAsia" w:cs="Times New Roman"/>
          <w:color w:val="0000FF"/>
          <w:kern w:val="0"/>
          <w:sz w:val="21"/>
          <w:szCs w:val="21"/>
          <w:lang w:val="en-US" w:eastAsia="zh-CN" w:bidi="ar-SA"/>
        </w:rPr>
        <w:t>时纤维素酶</w:t>
      </w:r>
      <w:r>
        <w:rPr>
          <w:rFonts w:hint="default" w:ascii="Times New Roman" w:hAnsi="Times New Roman" w:cs="Times New Roman"/>
          <w:color w:val="0000FF"/>
          <w:kern w:val="0"/>
          <w:sz w:val="21"/>
          <w:szCs w:val="21"/>
          <w:lang w:val="en-US" w:eastAsia="zh-CN" w:bidi="ar-SA"/>
        </w:rPr>
        <w:t>酶活力数值更稳定</w:t>
      </w:r>
      <w:r>
        <w:rPr>
          <w:rFonts w:hint="eastAsia" w:cs="Times New Roman"/>
          <w:color w:val="0000FF"/>
          <w:kern w:val="0"/>
          <w:sz w:val="21"/>
          <w:szCs w:val="21"/>
          <w:lang w:val="en-US" w:eastAsia="zh-CN" w:bidi="ar-SA"/>
        </w:rPr>
        <w:t>。</w:t>
      </w:r>
    </w:p>
    <w:p>
      <w:pPr>
        <w:jc w:val="center"/>
        <w:rPr>
          <w:rFonts w:hint="default" w:ascii="Times New Roman" w:hAnsi="Times New Roman" w:eastAsia="楷体" w:cs="Times New Roman"/>
          <w:color w:val="0000FF"/>
          <w:kern w:val="0"/>
          <w:sz w:val="21"/>
          <w:szCs w:val="21"/>
          <w:lang w:val="en-US" w:eastAsia="zh-CN" w:bidi="ar-SA"/>
        </w:rPr>
      </w:pPr>
      <w:r>
        <w:rPr>
          <w:rFonts w:hint="default" w:ascii="Times New Roman" w:hAnsi="Times New Roman" w:eastAsia="楷体" w:cs="Times New Roman"/>
          <w:color w:val="0000FF"/>
          <w:kern w:val="0"/>
          <w:sz w:val="21"/>
          <w:szCs w:val="21"/>
          <w:lang w:val="en-US" w:eastAsia="zh-CN" w:bidi="ar-SA"/>
        </w:rPr>
        <w:t>表4 吸光度区间测定</w:t>
      </w:r>
    </w:p>
    <w:tbl>
      <w:tblPr>
        <w:tblStyle w:val="15"/>
        <w:tblW w:w="0" w:type="auto"/>
        <w:jc w:val="center"/>
        <w:tblLayout w:type="fixed"/>
        <w:tblCellMar>
          <w:top w:w="0" w:type="dxa"/>
          <w:left w:w="108" w:type="dxa"/>
          <w:bottom w:w="0" w:type="dxa"/>
          <w:right w:w="108" w:type="dxa"/>
        </w:tblCellMar>
      </w:tblPr>
      <w:tblGrid>
        <w:gridCol w:w="1220"/>
        <w:gridCol w:w="896"/>
        <w:gridCol w:w="1059"/>
        <w:gridCol w:w="1153"/>
        <w:gridCol w:w="757"/>
        <w:gridCol w:w="957"/>
        <w:gridCol w:w="1079"/>
        <w:gridCol w:w="831"/>
        <w:gridCol w:w="957"/>
      </w:tblGrid>
      <w:tr>
        <w:tblPrEx>
          <w:tblCellMar>
            <w:top w:w="0" w:type="dxa"/>
            <w:left w:w="108" w:type="dxa"/>
            <w:bottom w:w="0" w:type="dxa"/>
            <w:right w:w="108" w:type="dxa"/>
          </w:tblCellMar>
        </w:tblPrEx>
        <w:trPr>
          <w:trHeight w:val="251" w:hRule="atLeast"/>
          <w:jc w:val="center"/>
        </w:trPr>
        <w:tc>
          <w:tcPr>
            <w:tcW w:w="317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eastAsia="宋体"/>
                <w:sz w:val="18"/>
                <w:szCs w:val="18"/>
                <w:lang w:val="en-US" w:eastAsia="zh-CN"/>
              </w:rPr>
            </w:pPr>
            <w:r>
              <w:rPr>
                <w:rFonts w:hint="eastAsia"/>
                <w:sz w:val="18"/>
                <w:szCs w:val="18"/>
                <w:lang w:val="en-US" w:eastAsia="zh-CN"/>
              </w:rPr>
              <w:t>样品1</w:t>
            </w:r>
          </w:p>
        </w:tc>
        <w:tc>
          <w:tcPr>
            <w:tcW w:w="2867" w:type="dxa"/>
            <w:gridSpan w:val="3"/>
            <w:tcBorders>
              <w:top w:val="single" w:color="auto" w:sz="4" w:space="0"/>
              <w:left w:val="nil"/>
              <w:bottom w:val="single" w:color="auto" w:sz="4" w:space="0"/>
              <w:right w:val="single" w:color="auto" w:sz="4" w:space="0"/>
            </w:tcBorders>
            <w:shd w:val="clear" w:color="auto" w:fill="auto"/>
            <w:noWrap/>
            <w:vAlign w:val="center"/>
          </w:tcPr>
          <w:p>
            <w:pPr>
              <w:jc w:val="center"/>
              <w:rPr>
                <w:rFonts w:hint="default" w:eastAsia="宋体"/>
                <w:sz w:val="18"/>
                <w:szCs w:val="18"/>
                <w:lang w:val="en-US" w:eastAsia="zh-CN"/>
              </w:rPr>
            </w:pPr>
            <w:r>
              <w:rPr>
                <w:rFonts w:hint="eastAsia"/>
                <w:sz w:val="18"/>
                <w:szCs w:val="18"/>
                <w:lang w:val="en-US" w:eastAsia="zh-CN"/>
              </w:rPr>
              <w:t>样品2</w:t>
            </w:r>
          </w:p>
        </w:tc>
        <w:tc>
          <w:tcPr>
            <w:tcW w:w="2867" w:type="dxa"/>
            <w:gridSpan w:val="3"/>
            <w:tcBorders>
              <w:top w:val="single" w:color="auto" w:sz="4" w:space="0"/>
              <w:left w:val="nil"/>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样品3</w:t>
            </w:r>
          </w:p>
        </w:tc>
      </w:tr>
      <w:tr>
        <w:tblPrEx>
          <w:tblCellMar>
            <w:top w:w="0" w:type="dxa"/>
            <w:left w:w="108" w:type="dxa"/>
            <w:bottom w:w="0" w:type="dxa"/>
            <w:right w:w="108" w:type="dxa"/>
          </w:tblCellMar>
        </w:tblPrEx>
        <w:trPr>
          <w:trHeight w:val="251" w:hRule="atLeast"/>
          <w:jc w:val="center"/>
        </w:trPr>
        <w:tc>
          <w:tcPr>
            <w:tcW w:w="122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稀释倍数</w:t>
            </w:r>
          </w:p>
        </w:tc>
        <w:tc>
          <w:tcPr>
            <w:tcW w:w="89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吸光度</w:t>
            </w:r>
          </w:p>
        </w:tc>
        <w:tc>
          <w:tcPr>
            <w:tcW w:w="105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酶活力</w:t>
            </w:r>
          </w:p>
        </w:tc>
        <w:tc>
          <w:tcPr>
            <w:tcW w:w="115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稀释倍数</w:t>
            </w:r>
          </w:p>
        </w:tc>
        <w:tc>
          <w:tcPr>
            <w:tcW w:w="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吸光度</w:t>
            </w:r>
          </w:p>
        </w:tc>
        <w:tc>
          <w:tcPr>
            <w:tcW w:w="9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酶活力</w:t>
            </w:r>
          </w:p>
        </w:tc>
        <w:tc>
          <w:tcPr>
            <w:tcW w:w="10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稀释倍数</w:t>
            </w: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吸光度</w:t>
            </w:r>
          </w:p>
        </w:tc>
        <w:tc>
          <w:tcPr>
            <w:tcW w:w="9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酶活力</w:t>
            </w:r>
          </w:p>
        </w:tc>
      </w:tr>
      <w:tr>
        <w:tblPrEx>
          <w:tblCellMar>
            <w:top w:w="0" w:type="dxa"/>
            <w:left w:w="108" w:type="dxa"/>
            <w:bottom w:w="0" w:type="dxa"/>
            <w:right w:w="108" w:type="dxa"/>
          </w:tblCellMar>
        </w:tblPrEx>
        <w:trPr>
          <w:trHeight w:val="251" w:hRule="atLeast"/>
          <w:jc w:val="center"/>
        </w:trPr>
        <w:tc>
          <w:tcPr>
            <w:tcW w:w="122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sz w:val="18"/>
                <w:szCs w:val="18"/>
                <w:lang w:val="en-US" w:eastAsia="zh-CN"/>
              </w:rPr>
            </w:pPr>
            <w:r>
              <w:rPr>
                <w:rFonts w:hint="eastAsia"/>
                <w:sz w:val="18"/>
                <w:szCs w:val="18"/>
                <w:lang w:val="en-US" w:eastAsia="zh-CN"/>
              </w:rPr>
              <w:t>稀释180倍</w:t>
            </w:r>
          </w:p>
        </w:tc>
        <w:tc>
          <w:tcPr>
            <w:tcW w:w="89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0.192</w:t>
            </w:r>
          </w:p>
        </w:tc>
        <w:tc>
          <w:tcPr>
            <w:tcW w:w="105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2433</w:t>
            </w:r>
          </w:p>
        </w:tc>
        <w:tc>
          <w:tcPr>
            <w:tcW w:w="115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sz w:val="18"/>
                <w:szCs w:val="18"/>
                <w:lang w:val="en-US" w:eastAsia="zh-CN"/>
              </w:rPr>
            </w:pPr>
            <w:r>
              <w:rPr>
                <w:rFonts w:hint="eastAsia"/>
                <w:sz w:val="18"/>
                <w:szCs w:val="18"/>
                <w:lang w:val="en-US" w:eastAsia="zh-CN"/>
              </w:rPr>
              <w:t>稀释250倍</w:t>
            </w:r>
          </w:p>
        </w:tc>
        <w:tc>
          <w:tcPr>
            <w:tcW w:w="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0.245</w:t>
            </w:r>
          </w:p>
        </w:tc>
        <w:tc>
          <w:tcPr>
            <w:tcW w:w="9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4637</w:t>
            </w:r>
          </w:p>
        </w:tc>
        <w:tc>
          <w:tcPr>
            <w:tcW w:w="10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稀释450倍</w:t>
            </w: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kern w:val="2"/>
                <w:sz w:val="18"/>
                <w:szCs w:val="18"/>
                <w:lang w:val="en-US" w:eastAsia="zh-CN" w:bidi="ar-SA"/>
              </w:rPr>
            </w:pPr>
            <w:r>
              <w:rPr>
                <w:rFonts w:hint="eastAsia"/>
                <w:sz w:val="18"/>
                <w:szCs w:val="18"/>
                <w:lang w:val="en-US" w:eastAsia="zh-CN"/>
              </w:rPr>
              <w:t>0.239</w:t>
            </w:r>
          </w:p>
        </w:tc>
        <w:tc>
          <w:tcPr>
            <w:tcW w:w="9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kern w:val="2"/>
                <w:sz w:val="18"/>
                <w:szCs w:val="18"/>
                <w:lang w:val="en-US" w:eastAsia="zh-CN" w:bidi="ar-SA"/>
              </w:rPr>
            </w:pPr>
            <w:r>
              <w:rPr>
                <w:rFonts w:hint="eastAsia"/>
                <w:sz w:val="18"/>
                <w:szCs w:val="18"/>
                <w:lang w:val="en-US" w:eastAsia="zh-CN"/>
              </w:rPr>
              <w:t>7127</w:t>
            </w:r>
          </w:p>
        </w:tc>
      </w:tr>
      <w:tr>
        <w:tblPrEx>
          <w:tblCellMar>
            <w:top w:w="0" w:type="dxa"/>
            <w:left w:w="108" w:type="dxa"/>
            <w:bottom w:w="0" w:type="dxa"/>
            <w:right w:w="108" w:type="dxa"/>
          </w:tblCellMar>
        </w:tblPrEx>
        <w:trPr>
          <w:trHeight w:val="251" w:hRule="atLeast"/>
          <w:jc w:val="center"/>
        </w:trPr>
        <w:tc>
          <w:tcPr>
            <w:tcW w:w="122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sz w:val="18"/>
                <w:szCs w:val="18"/>
                <w:lang w:val="en-US" w:eastAsia="zh-CN"/>
              </w:rPr>
            </w:pPr>
            <w:r>
              <w:rPr>
                <w:rFonts w:hint="eastAsia"/>
                <w:sz w:val="18"/>
                <w:szCs w:val="18"/>
                <w:lang w:val="en-US" w:eastAsia="zh-CN"/>
              </w:rPr>
              <w:t>稀释150倍</w:t>
            </w:r>
          </w:p>
        </w:tc>
        <w:tc>
          <w:tcPr>
            <w:tcW w:w="89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0.265</w:t>
            </w:r>
          </w:p>
        </w:tc>
        <w:tc>
          <w:tcPr>
            <w:tcW w:w="105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2568</w:t>
            </w:r>
          </w:p>
        </w:tc>
        <w:tc>
          <w:tcPr>
            <w:tcW w:w="115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color w:val="0000FF"/>
                <w:sz w:val="18"/>
                <w:szCs w:val="18"/>
                <w:lang w:val="en-US" w:eastAsia="zh-CN"/>
              </w:rPr>
            </w:pPr>
            <w:r>
              <w:rPr>
                <w:rFonts w:hint="eastAsia"/>
                <w:color w:val="0000FF"/>
                <w:sz w:val="18"/>
                <w:szCs w:val="18"/>
                <w:lang w:val="en-US" w:eastAsia="zh-CN"/>
              </w:rPr>
              <w:t>稀释220倍</w:t>
            </w:r>
          </w:p>
        </w:tc>
        <w:tc>
          <w:tcPr>
            <w:tcW w:w="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color w:val="0000FF"/>
                <w:sz w:val="18"/>
                <w:szCs w:val="18"/>
                <w:lang w:val="en-US" w:eastAsia="zh-CN"/>
              </w:rPr>
            </w:pPr>
            <w:r>
              <w:rPr>
                <w:rFonts w:hint="eastAsia"/>
                <w:color w:val="0000FF"/>
                <w:sz w:val="18"/>
                <w:szCs w:val="18"/>
                <w:lang w:val="en-US" w:eastAsia="zh-CN"/>
              </w:rPr>
              <w:t>0.298</w:t>
            </w:r>
          </w:p>
        </w:tc>
        <w:tc>
          <w:tcPr>
            <w:tcW w:w="9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color w:val="0000FF"/>
                <w:sz w:val="18"/>
                <w:szCs w:val="18"/>
                <w:lang w:val="en-US" w:eastAsia="zh-CN"/>
              </w:rPr>
            </w:pPr>
            <w:r>
              <w:rPr>
                <w:rFonts w:hint="eastAsia"/>
                <w:color w:val="0000FF"/>
                <w:sz w:val="18"/>
                <w:szCs w:val="18"/>
                <w:lang w:val="en-US" w:eastAsia="zh-CN"/>
              </w:rPr>
              <w:t>4125</w:t>
            </w:r>
          </w:p>
        </w:tc>
        <w:tc>
          <w:tcPr>
            <w:tcW w:w="10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Times New Roman" w:hAnsi="Times New Roman" w:eastAsia="宋体" w:cs="Times New Roman"/>
                <w:color w:val="0000FF"/>
                <w:kern w:val="2"/>
                <w:sz w:val="18"/>
                <w:szCs w:val="18"/>
                <w:lang w:val="en-US" w:eastAsia="zh-CN" w:bidi="ar-SA"/>
              </w:rPr>
            </w:pPr>
            <w:r>
              <w:rPr>
                <w:rFonts w:hint="eastAsia"/>
                <w:color w:val="0000FF"/>
                <w:sz w:val="18"/>
                <w:szCs w:val="18"/>
                <w:lang w:val="en-US" w:eastAsia="zh-CN"/>
              </w:rPr>
              <w:t>稀释420倍</w:t>
            </w: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Times New Roman" w:hAnsi="Times New Roman" w:eastAsia="宋体" w:cs="Times New Roman"/>
                <w:color w:val="0000FF"/>
                <w:kern w:val="2"/>
                <w:sz w:val="18"/>
                <w:szCs w:val="18"/>
                <w:lang w:val="en-US" w:eastAsia="zh-CN" w:bidi="ar-SA"/>
              </w:rPr>
            </w:pPr>
            <w:r>
              <w:rPr>
                <w:rFonts w:hint="eastAsia"/>
                <w:color w:val="0000FF"/>
                <w:sz w:val="18"/>
                <w:szCs w:val="18"/>
                <w:lang w:val="en-US" w:eastAsia="zh-CN"/>
              </w:rPr>
              <w:t>0.290</w:t>
            </w:r>
          </w:p>
        </w:tc>
        <w:tc>
          <w:tcPr>
            <w:tcW w:w="9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0000FF"/>
                <w:kern w:val="2"/>
                <w:sz w:val="18"/>
                <w:szCs w:val="18"/>
                <w:lang w:val="en-US" w:eastAsia="zh-CN" w:bidi="ar-SA"/>
              </w:rPr>
            </w:pPr>
            <w:r>
              <w:rPr>
                <w:rFonts w:hint="eastAsia"/>
                <w:color w:val="0000FF"/>
                <w:sz w:val="18"/>
                <w:szCs w:val="18"/>
                <w:lang w:val="en-US" w:eastAsia="zh-CN"/>
              </w:rPr>
              <w:t>7709</w:t>
            </w:r>
          </w:p>
        </w:tc>
      </w:tr>
      <w:tr>
        <w:tblPrEx>
          <w:tblCellMar>
            <w:top w:w="0" w:type="dxa"/>
            <w:left w:w="108" w:type="dxa"/>
            <w:bottom w:w="0" w:type="dxa"/>
            <w:right w:w="108" w:type="dxa"/>
          </w:tblCellMar>
        </w:tblPrEx>
        <w:trPr>
          <w:trHeight w:val="251" w:hRule="atLeast"/>
          <w:jc w:val="center"/>
        </w:trPr>
        <w:tc>
          <w:tcPr>
            <w:tcW w:w="122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color w:val="0000FF"/>
                <w:sz w:val="18"/>
                <w:szCs w:val="18"/>
                <w:lang w:val="en-US" w:eastAsia="zh-CN"/>
              </w:rPr>
            </w:pPr>
            <w:r>
              <w:rPr>
                <w:rFonts w:hint="eastAsia"/>
                <w:color w:val="0000FF"/>
                <w:sz w:val="18"/>
                <w:szCs w:val="18"/>
                <w:lang w:val="en-US" w:eastAsia="zh-CN"/>
              </w:rPr>
              <w:t>稀释120倍</w:t>
            </w:r>
          </w:p>
        </w:tc>
        <w:tc>
          <w:tcPr>
            <w:tcW w:w="89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color w:val="0000FF"/>
                <w:sz w:val="18"/>
                <w:szCs w:val="18"/>
                <w:lang w:val="en-US" w:eastAsia="zh-CN"/>
              </w:rPr>
            </w:pPr>
            <w:r>
              <w:rPr>
                <w:rFonts w:hint="eastAsia"/>
                <w:color w:val="0000FF"/>
                <w:sz w:val="18"/>
                <w:szCs w:val="18"/>
                <w:lang w:val="en-US" w:eastAsia="zh-CN"/>
              </w:rPr>
              <w:t>0.296</w:t>
            </w:r>
          </w:p>
        </w:tc>
        <w:tc>
          <w:tcPr>
            <w:tcW w:w="105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color w:val="0000FF"/>
                <w:sz w:val="18"/>
                <w:szCs w:val="18"/>
                <w:lang w:val="en-US" w:eastAsia="zh-CN"/>
              </w:rPr>
            </w:pPr>
            <w:r>
              <w:rPr>
                <w:rFonts w:hint="eastAsia"/>
                <w:color w:val="0000FF"/>
                <w:sz w:val="18"/>
                <w:szCs w:val="18"/>
                <w:lang w:val="en-US" w:eastAsia="zh-CN"/>
              </w:rPr>
              <w:t>2238</w:t>
            </w:r>
          </w:p>
        </w:tc>
        <w:tc>
          <w:tcPr>
            <w:tcW w:w="115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color w:val="0000FF"/>
                <w:sz w:val="18"/>
                <w:szCs w:val="18"/>
                <w:lang w:val="en-US" w:eastAsia="zh-CN"/>
              </w:rPr>
            </w:pPr>
            <w:r>
              <w:rPr>
                <w:rFonts w:hint="eastAsia"/>
                <w:color w:val="0000FF"/>
                <w:sz w:val="18"/>
                <w:szCs w:val="18"/>
                <w:lang w:val="en-US" w:eastAsia="zh-CN"/>
              </w:rPr>
              <w:t>稀释210倍</w:t>
            </w:r>
          </w:p>
        </w:tc>
        <w:tc>
          <w:tcPr>
            <w:tcW w:w="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color w:val="0000FF"/>
                <w:sz w:val="18"/>
                <w:szCs w:val="18"/>
                <w:lang w:val="en-US" w:eastAsia="zh-CN"/>
              </w:rPr>
            </w:pPr>
            <w:r>
              <w:rPr>
                <w:rFonts w:hint="eastAsia"/>
                <w:color w:val="0000FF"/>
                <w:sz w:val="18"/>
                <w:szCs w:val="18"/>
                <w:lang w:val="en-US" w:eastAsia="zh-CN"/>
              </w:rPr>
              <w:t>0.322</w:t>
            </w:r>
          </w:p>
        </w:tc>
        <w:tc>
          <w:tcPr>
            <w:tcW w:w="9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color w:val="0000FF"/>
                <w:sz w:val="18"/>
                <w:szCs w:val="18"/>
                <w:lang w:val="en-US" w:eastAsia="zh-CN"/>
              </w:rPr>
            </w:pPr>
            <w:r>
              <w:rPr>
                <w:rFonts w:hint="eastAsia"/>
                <w:color w:val="0000FF"/>
                <w:sz w:val="18"/>
                <w:szCs w:val="18"/>
                <w:lang w:val="en-US" w:eastAsia="zh-CN"/>
              </w:rPr>
              <w:t>4187</w:t>
            </w:r>
          </w:p>
        </w:tc>
        <w:tc>
          <w:tcPr>
            <w:tcW w:w="10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Times New Roman" w:hAnsi="Times New Roman" w:eastAsia="宋体" w:cs="Times New Roman"/>
                <w:color w:val="0000FF"/>
                <w:kern w:val="2"/>
                <w:sz w:val="18"/>
                <w:szCs w:val="18"/>
                <w:lang w:val="en-US" w:eastAsia="zh-CN" w:bidi="ar-SA"/>
              </w:rPr>
            </w:pPr>
            <w:r>
              <w:rPr>
                <w:rFonts w:hint="eastAsia"/>
                <w:color w:val="0000FF"/>
                <w:sz w:val="18"/>
                <w:szCs w:val="18"/>
                <w:lang w:val="en-US" w:eastAsia="zh-CN"/>
              </w:rPr>
              <w:t>稀释410倍</w:t>
            </w: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Times New Roman" w:hAnsi="Times New Roman" w:eastAsia="宋体" w:cs="Times New Roman"/>
                <w:color w:val="0000FF"/>
                <w:kern w:val="2"/>
                <w:sz w:val="18"/>
                <w:szCs w:val="18"/>
                <w:lang w:val="en-US" w:eastAsia="zh-CN" w:bidi="ar-SA"/>
              </w:rPr>
            </w:pPr>
            <w:r>
              <w:rPr>
                <w:rFonts w:hint="eastAsia"/>
                <w:color w:val="0000FF"/>
                <w:sz w:val="18"/>
                <w:szCs w:val="18"/>
                <w:lang w:val="en-US" w:eastAsia="zh-CN"/>
              </w:rPr>
              <w:t>0.313</w:t>
            </w:r>
          </w:p>
        </w:tc>
        <w:tc>
          <w:tcPr>
            <w:tcW w:w="9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0000FF"/>
                <w:kern w:val="2"/>
                <w:sz w:val="18"/>
                <w:szCs w:val="18"/>
                <w:lang w:val="en-US" w:eastAsia="zh-CN" w:bidi="ar-SA"/>
              </w:rPr>
            </w:pPr>
            <w:r>
              <w:rPr>
                <w:rFonts w:hint="eastAsia"/>
                <w:color w:val="0000FF"/>
                <w:sz w:val="18"/>
                <w:szCs w:val="18"/>
                <w:lang w:val="en-US" w:eastAsia="zh-CN"/>
              </w:rPr>
              <w:t>7991</w:t>
            </w:r>
          </w:p>
        </w:tc>
      </w:tr>
      <w:tr>
        <w:tblPrEx>
          <w:tblCellMar>
            <w:top w:w="0" w:type="dxa"/>
            <w:left w:w="108" w:type="dxa"/>
            <w:bottom w:w="0" w:type="dxa"/>
            <w:right w:w="108" w:type="dxa"/>
          </w:tblCellMar>
        </w:tblPrEx>
        <w:trPr>
          <w:trHeight w:val="251" w:hRule="atLeast"/>
          <w:jc w:val="center"/>
        </w:trPr>
        <w:tc>
          <w:tcPr>
            <w:tcW w:w="122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color w:val="0000FF"/>
                <w:sz w:val="18"/>
                <w:szCs w:val="18"/>
                <w:lang w:val="en-US" w:eastAsia="zh-CN"/>
              </w:rPr>
            </w:pPr>
            <w:r>
              <w:rPr>
                <w:rFonts w:hint="eastAsia"/>
                <w:color w:val="0000FF"/>
                <w:sz w:val="18"/>
                <w:szCs w:val="18"/>
                <w:lang w:val="en-US" w:eastAsia="zh-CN"/>
              </w:rPr>
              <w:t>稀释110倍</w:t>
            </w:r>
          </w:p>
        </w:tc>
        <w:tc>
          <w:tcPr>
            <w:tcW w:w="89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color w:val="0000FF"/>
                <w:sz w:val="18"/>
                <w:szCs w:val="18"/>
                <w:lang w:val="en-US" w:eastAsia="zh-CN"/>
              </w:rPr>
            </w:pPr>
            <w:r>
              <w:rPr>
                <w:rFonts w:hint="eastAsia"/>
                <w:color w:val="0000FF"/>
                <w:sz w:val="18"/>
                <w:szCs w:val="18"/>
                <w:lang w:val="en-US" w:eastAsia="zh-CN"/>
              </w:rPr>
              <w:t>0.314</w:t>
            </w:r>
          </w:p>
        </w:tc>
        <w:tc>
          <w:tcPr>
            <w:tcW w:w="105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color w:val="0000FF"/>
                <w:sz w:val="18"/>
                <w:szCs w:val="18"/>
                <w:lang w:val="en-US" w:eastAsia="zh-CN"/>
              </w:rPr>
            </w:pPr>
            <w:r>
              <w:rPr>
                <w:rFonts w:hint="eastAsia"/>
                <w:color w:val="0000FF"/>
                <w:sz w:val="18"/>
                <w:szCs w:val="18"/>
                <w:lang w:val="en-US" w:eastAsia="zh-CN"/>
              </w:rPr>
              <w:t>2149</w:t>
            </w:r>
          </w:p>
        </w:tc>
        <w:tc>
          <w:tcPr>
            <w:tcW w:w="115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sz w:val="18"/>
                <w:szCs w:val="18"/>
                <w:lang w:val="en-US" w:eastAsia="zh-CN"/>
              </w:rPr>
            </w:pPr>
            <w:r>
              <w:rPr>
                <w:rFonts w:hint="eastAsia"/>
                <w:sz w:val="18"/>
                <w:szCs w:val="18"/>
                <w:lang w:val="en-US" w:eastAsia="zh-CN"/>
              </w:rPr>
              <w:t>稀释170倍</w:t>
            </w:r>
          </w:p>
        </w:tc>
        <w:tc>
          <w:tcPr>
            <w:tcW w:w="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0.358</w:t>
            </w:r>
          </w:p>
        </w:tc>
        <w:tc>
          <w:tcPr>
            <w:tcW w:w="9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3691</w:t>
            </w:r>
          </w:p>
        </w:tc>
        <w:tc>
          <w:tcPr>
            <w:tcW w:w="10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Times New Roman" w:hAnsi="Times New Roman" w:eastAsia="宋体" w:cs="Times New Roman"/>
                <w:color w:val="0000FF"/>
                <w:kern w:val="2"/>
                <w:sz w:val="18"/>
                <w:szCs w:val="18"/>
                <w:lang w:val="en-US" w:eastAsia="zh-CN" w:bidi="ar-SA"/>
              </w:rPr>
            </w:pPr>
            <w:r>
              <w:rPr>
                <w:rFonts w:hint="eastAsia"/>
                <w:color w:val="0000FF"/>
                <w:sz w:val="18"/>
                <w:szCs w:val="18"/>
                <w:lang w:val="en-US" w:eastAsia="zh-CN"/>
              </w:rPr>
              <w:t>稀释400倍</w:t>
            </w: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0000FF"/>
                <w:kern w:val="2"/>
                <w:sz w:val="18"/>
                <w:szCs w:val="18"/>
                <w:lang w:val="en-US" w:eastAsia="zh-CN" w:bidi="ar-SA"/>
              </w:rPr>
            </w:pPr>
            <w:r>
              <w:rPr>
                <w:rFonts w:hint="eastAsia"/>
                <w:color w:val="0000FF"/>
                <w:sz w:val="18"/>
                <w:szCs w:val="18"/>
                <w:lang w:val="en-US" w:eastAsia="zh-CN"/>
              </w:rPr>
              <w:t>0.329</w:t>
            </w:r>
          </w:p>
        </w:tc>
        <w:tc>
          <w:tcPr>
            <w:tcW w:w="9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0000FF"/>
                <w:kern w:val="2"/>
                <w:sz w:val="18"/>
                <w:szCs w:val="18"/>
                <w:lang w:val="en-US" w:eastAsia="zh-CN" w:bidi="ar-SA"/>
              </w:rPr>
            </w:pPr>
            <w:r>
              <w:rPr>
                <w:rFonts w:hint="eastAsia"/>
                <w:color w:val="0000FF"/>
                <w:sz w:val="18"/>
                <w:szCs w:val="18"/>
                <w:lang w:val="en-US" w:eastAsia="zh-CN"/>
              </w:rPr>
              <w:t>8112</w:t>
            </w:r>
          </w:p>
        </w:tc>
      </w:tr>
      <w:tr>
        <w:tblPrEx>
          <w:tblCellMar>
            <w:top w:w="0" w:type="dxa"/>
            <w:left w:w="108" w:type="dxa"/>
            <w:bottom w:w="0" w:type="dxa"/>
            <w:right w:w="108" w:type="dxa"/>
          </w:tblCellMar>
        </w:tblPrEx>
        <w:trPr>
          <w:trHeight w:val="251" w:hRule="atLeast"/>
          <w:jc w:val="center"/>
        </w:trPr>
        <w:tc>
          <w:tcPr>
            <w:tcW w:w="122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sz w:val="18"/>
                <w:szCs w:val="18"/>
                <w:lang w:val="en-US" w:eastAsia="zh-CN"/>
              </w:rPr>
            </w:pPr>
            <w:r>
              <w:rPr>
                <w:rFonts w:hint="eastAsia"/>
                <w:sz w:val="18"/>
                <w:szCs w:val="18"/>
                <w:lang w:val="en-US" w:eastAsia="zh-CN"/>
              </w:rPr>
              <w:t>稀释100倍</w:t>
            </w:r>
          </w:p>
        </w:tc>
        <w:tc>
          <w:tcPr>
            <w:tcW w:w="89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0.337</w:t>
            </w:r>
          </w:p>
        </w:tc>
        <w:tc>
          <w:tcPr>
            <w:tcW w:w="105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2068</w:t>
            </w:r>
          </w:p>
        </w:tc>
        <w:tc>
          <w:tcPr>
            <w:tcW w:w="115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稀释160倍</w:t>
            </w:r>
          </w:p>
        </w:tc>
        <w:tc>
          <w:tcPr>
            <w:tcW w:w="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0.354</w:t>
            </w:r>
          </w:p>
        </w:tc>
        <w:tc>
          <w:tcPr>
            <w:tcW w:w="9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sz w:val="18"/>
                <w:szCs w:val="18"/>
                <w:lang w:val="en-US" w:eastAsia="zh-CN"/>
              </w:rPr>
            </w:pPr>
            <w:r>
              <w:rPr>
                <w:rFonts w:hint="eastAsia"/>
                <w:sz w:val="18"/>
                <w:szCs w:val="18"/>
                <w:lang w:val="en-US" w:eastAsia="zh-CN"/>
              </w:rPr>
              <w:t>3443</w:t>
            </w:r>
          </w:p>
        </w:tc>
        <w:tc>
          <w:tcPr>
            <w:tcW w:w="10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稀释350倍</w:t>
            </w: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0.369</w:t>
            </w:r>
          </w:p>
        </w:tc>
        <w:tc>
          <w:tcPr>
            <w:tcW w:w="9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kern w:val="2"/>
                <w:sz w:val="18"/>
                <w:szCs w:val="18"/>
                <w:lang w:val="en-US" w:eastAsia="zh-CN" w:bidi="ar-SA"/>
              </w:rPr>
            </w:pPr>
            <w:r>
              <w:rPr>
                <w:rFonts w:hint="eastAsia"/>
                <w:sz w:val="18"/>
                <w:szCs w:val="18"/>
                <w:lang w:val="en-US" w:eastAsia="zh-CN"/>
              </w:rPr>
              <w:t>7444</w:t>
            </w:r>
          </w:p>
        </w:tc>
      </w:tr>
    </w:tbl>
    <w:p>
      <w:pPr>
        <w:rPr>
          <w:rFonts w:hint="default" w:ascii="宋体" w:hAnsi="宋体" w:cs="Times New Roman"/>
          <w:kern w:val="0"/>
          <w:sz w:val="21"/>
          <w:szCs w:val="21"/>
          <w:lang w:val="en-US" w:eastAsia="zh-CN" w:bidi="ar-SA"/>
        </w:rPr>
      </w:pPr>
    </w:p>
    <w:p>
      <w:pPr>
        <w:rPr>
          <w:rFonts w:hAnsi="黑体" w:eastAsia="黑体"/>
          <w:szCs w:val="21"/>
        </w:rPr>
      </w:pPr>
      <w:r>
        <w:rPr>
          <w:rFonts w:hAnsi="黑体" w:eastAsia="黑体"/>
          <w:szCs w:val="21"/>
        </w:rPr>
        <w:t>1</w:t>
      </w:r>
      <w:r>
        <w:rPr>
          <w:rFonts w:hint="eastAsia" w:hAnsi="黑体" w:eastAsia="黑体"/>
          <w:szCs w:val="21"/>
        </w:rPr>
        <w:t>.</w:t>
      </w:r>
      <w:r>
        <w:rPr>
          <w:rFonts w:hint="eastAsia" w:hAnsi="黑体" w:eastAsia="黑体"/>
          <w:szCs w:val="21"/>
          <w:lang w:val="en-US" w:eastAsia="zh-CN"/>
        </w:rPr>
        <w:t>3</w:t>
      </w:r>
      <w:r>
        <w:rPr>
          <w:rFonts w:hint="eastAsia" w:hAnsi="黑体" w:eastAsia="黑体"/>
          <w:szCs w:val="21"/>
        </w:rPr>
        <w:t>、方法精密度</w:t>
      </w:r>
    </w:p>
    <w:p>
      <w:pPr>
        <w:ind w:firstLine="420" w:firstLineChars="200"/>
        <w:rPr>
          <w:rFonts w:hint="eastAsia" w:ascii="宋体" w:hAnsi="宋体"/>
          <w:kern w:val="0"/>
          <w:szCs w:val="21"/>
        </w:rPr>
      </w:pPr>
      <w:r>
        <w:rPr>
          <w:rFonts w:ascii="宋体" w:hAnsi="宋体"/>
          <w:kern w:val="0"/>
          <w:szCs w:val="21"/>
        </w:rPr>
        <w:t>根据统计学计算，方法精密度</w:t>
      </w:r>
      <w:r>
        <w:rPr>
          <w:rFonts w:hint="eastAsia" w:ascii="宋体" w:hAnsi="宋体"/>
          <w:kern w:val="0"/>
          <w:szCs w:val="21"/>
          <w:lang w:val="en-US" w:eastAsia="zh-CN"/>
        </w:rPr>
        <w:t>小于</w:t>
      </w:r>
      <w:r>
        <w:rPr>
          <w:rFonts w:hint="default" w:ascii="Times New Roman" w:hAnsi="Times New Roman" w:cs="Times New Roman"/>
          <w:kern w:val="0"/>
          <w:szCs w:val="21"/>
          <w:lang w:val="en-US" w:eastAsia="zh-CN"/>
        </w:rPr>
        <w:t>6.0%</w:t>
      </w:r>
      <w:r>
        <w:rPr>
          <w:rFonts w:hint="eastAsia" w:ascii="宋体" w:hAnsi="宋体"/>
          <w:kern w:val="0"/>
          <w:szCs w:val="21"/>
        </w:rPr>
        <w:t>（实验数据见</w:t>
      </w:r>
      <w:r>
        <w:rPr>
          <w:rFonts w:hint="eastAsia" w:ascii="宋体" w:hAnsi="宋体"/>
          <w:kern w:val="0"/>
          <w:szCs w:val="21"/>
          <w:lang w:val="en-US" w:eastAsia="zh-CN"/>
        </w:rPr>
        <w:t>表4</w:t>
      </w:r>
      <w:r>
        <w:rPr>
          <w:rFonts w:hint="eastAsia" w:ascii="宋体" w:hAnsi="宋体"/>
          <w:kern w:val="0"/>
          <w:szCs w:val="21"/>
        </w:rPr>
        <w:t>不同实验室验证结果）</w:t>
      </w:r>
    </w:p>
    <w:p>
      <w:pPr>
        <w:rPr>
          <w:rFonts w:hAnsi="黑体" w:eastAsia="黑体"/>
          <w:szCs w:val="21"/>
        </w:rPr>
      </w:pPr>
      <w:r>
        <w:rPr>
          <w:rFonts w:hAnsi="黑体" w:eastAsia="黑体"/>
          <w:szCs w:val="21"/>
        </w:rPr>
        <w:t>1</w:t>
      </w:r>
      <w:r>
        <w:rPr>
          <w:rFonts w:hint="eastAsia" w:hAnsi="黑体" w:eastAsia="黑体"/>
          <w:szCs w:val="21"/>
        </w:rPr>
        <w:t>.</w:t>
      </w:r>
      <w:r>
        <w:rPr>
          <w:rFonts w:hint="eastAsia" w:hAnsi="黑体" w:eastAsia="黑体"/>
          <w:szCs w:val="21"/>
          <w:lang w:val="en-US" w:eastAsia="zh-CN"/>
        </w:rPr>
        <w:t>4</w:t>
      </w:r>
      <w:r>
        <w:rPr>
          <w:rFonts w:hint="eastAsia" w:hAnsi="黑体" w:eastAsia="黑体"/>
          <w:szCs w:val="21"/>
        </w:rPr>
        <w:t>、方法学验证</w:t>
      </w:r>
    </w:p>
    <w:p>
      <w:pPr>
        <w:ind w:firstLine="420" w:firstLineChars="200"/>
        <w:rPr>
          <w:rFonts w:ascii="宋体" w:hAnsi="宋体"/>
          <w:kern w:val="0"/>
          <w:szCs w:val="21"/>
        </w:rPr>
      </w:pPr>
      <w:r>
        <w:rPr>
          <w:rFonts w:hint="eastAsia" w:ascii="宋体" w:hAnsi="宋体"/>
          <w:kern w:val="0"/>
          <w:szCs w:val="21"/>
        </w:rPr>
        <w:t>本方法经方法学研究，验证如下：</w:t>
      </w:r>
    </w:p>
    <w:p>
      <w:pPr>
        <w:pStyle w:val="36"/>
        <w:numPr>
          <w:ilvl w:val="0"/>
          <w:numId w:val="0"/>
        </w:numPr>
        <w:ind w:left="193" w:firstLine="210" w:firstLineChars="100"/>
        <w:rPr>
          <w:rFonts w:hint="default" w:ascii="宋体" w:hAnsi="宋体"/>
          <w:sz w:val="21"/>
          <w:szCs w:val="21"/>
          <w:lang w:val="en-US" w:eastAsia="zh-CN"/>
        </w:rPr>
      </w:pPr>
      <w:r>
        <w:rPr>
          <w:rFonts w:hint="eastAsia" w:ascii="宋体" w:hAnsi="宋体"/>
          <w:sz w:val="21"/>
          <w:szCs w:val="21"/>
          <w:lang w:val="en-US" w:eastAsia="zh-CN"/>
        </w:rPr>
        <w:t>——不同厂家底物对试验影响显著</w:t>
      </w:r>
    </w:p>
    <w:p>
      <w:pPr>
        <w:pStyle w:val="36"/>
        <w:numPr>
          <w:ilvl w:val="0"/>
          <w:numId w:val="0"/>
        </w:numPr>
        <w:ind w:left="193" w:firstLine="210" w:firstLineChars="100"/>
        <w:rPr>
          <w:rFonts w:ascii="宋体" w:hAnsi="宋体"/>
          <w:sz w:val="21"/>
          <w:szCs w:val="21"/>
          <w:lang w:val="en-US" w:eastAsia="zh-CN"/>
        </w:rPr>
      </w:pPr>
      <w:r>
        <w:rPr>
          <w:rFonts w:hint="eastAsia" w:ascii="宋体" w:hAnsi="宋体"/>
          <w:sz w:val="21"/>
          <w:szCs w:val="21"/>
          <w:lang w:val="en-US" w:eastAsia="zh-CN"/>
        </w:rPr>
        <w:t>——不同DNS试剂无显著影响。</w:t>
      </w:r>
    </w:p>
    <w:p>
      <w:pPr>
        <w:pStyle w:val="36"/>
        <w:numPr>
          <w:ilvl w:val="0"/>
          <w:numId w:val="0"/>
        </w:numPr>
        <w:ind w:left="193" w:firstLine="210" w:firstLineChars="100"/>
        <w:rPr>
          <w:rFonts w:ascii="宋体" w:hAnsi="宋体"/>
          <w:sz w:val="21"/>
          <w:szCs w:val="21"/>
          <w:lang w:val="en-US" w:eastAsia="zh-CN"/>
        </w:rPr>
      </w:pPr>
      <w:r>
        <w:rPr>
          <w:rFonts w:hint="eastAsia" w:ascii="宋体" w:hAnsi="宋体"/>
          <w:sz w:val="21"/>
          <w:szCs w:val="21"/>
          <w:lang w:val="en-US" w:eastAsia="zh-CN"/>
        </w:rPr>
        <w:t>——测试步骤对结果影响显著。</w:t>
      </w:r>
    </w:p>
    <w:p>
      <w:pPr>
        <w:rPr>
          <w:rFonts w:hAnsi="黑体" w:eastAsia="黑体"/>
          <w:szCs w:val="21"/>
        </w:rPr>
      </w:pPr>
      <w:r>
        <w:rPr>
          <w:rFonts w:hAnsi="黑体" w:eastAsia="黑体"/>
          <w:szCs w:val="21"/>
        </w:rPr>
        <w:t>1</w:t>
      </w:r>
      <w:r>
        <w:rPr>
          <w:rFonts w:hint="eastAsia" w:hAnsi="黑体" w:eastAsia="黑体"/>
          <w:szCs w:val="21"/>
        </w:rPr>
        <w:t>.</w:t>
      </w:r>
      <w:r>
        <w:rPr>
          <w:rFonts w:hint="eastAsia" w:hAnsi="黑体" w:eastAsia="黑体"/>
          <w:szCs w:val="21"/>
          <w:lang w:val="en-US" w:eastAsia="zh-CN"/>
        </w:rPr>
        <w:t>5</w:t>
      </w:r>
      <w:r>
        <w:rPr>
          <w:rFonts w:hint="eastAsia" w:hAnsi="黑体" w:eastAsia="黑体"/>
          <w:szCs w:val="21"/>
        </w:rPr>
        <w:t>、不同实验室验证结果</w:t>
      </w:r>
    </w:p>
    <w:p>
      <w:pPr>
        <w:numPr>
          <w:ilvl w:val="0"/>
          <w:numId w:val="2"/>
        </w:numPr>
        <w:rPr>
          <w:rFonts w:ascii="黑体" w:hAnsi="黑体" w:eastAsia="黑体"/>
          <w:kern w:val="0"/>
          <w:szCs w:val="21"/>
        </w:rPr>
      </w:pPr>
      <w:r>
        <w:rPr>
          <w:rFonts w:ascii="黑体" w:hAnsi="黑体" w:eastAsia="黑体"/>
          <w:kern w:val="0"/>
          <w:szCs w:val="21"/>
        </w:rPr>
        <w:t>实验介绍</w:t>
      </w:r>
    </w:p>
    <w:p>
      <w:pPr>
        <w:pStyle w:val="34"/>
        <w:ind w:firstLineChars="0"/>
        <w:rPr>
          <w:rFonts w:ascii="宋体" w:hAnsi="宋体"/>
          <w:kern w:val="0"/>
          <w:szCs w:val="21"/>
        </w:rPr>
      </w:pPr>
      <w:r>
        <w:rPr>
          <w:rFonts w:ascii="宋体" w:hAnsi="宋体"/>
          <w:kern w:val="0"/>
          <w:szCs w:val="21"/>
        </w:rPr>
        <w:t>实验数据收集主要在</w:t>
      </w:r>
      <w:r>
        <w:rPr>
          <w:rFonts w:hint="eastAsia" w:ascii="宋体" w:hAnsi="宋体"/>
          <w:kern w:val="0"/>
          <w:szCs w:val="21"/>
          <w:lang w:val="en-US" w:eastAsia="zh-CN"/>
        </w:rPr>
        <w:t>山西勇宁记科技有限公司</w:t>
      </w:r>
      <w:r>
        <w:rPr>
          <w:rFonts w:hint="eastAsia" w:ascii="宋体" w:hAnsi="宋体"/>
          <w:kern w:val="0"/>
          <w:szCs w:val="21"/>
        </w:rPr>
        <w:t>与</w:t>
      </w:r>
      <w:r>
        <w:rPr>
          <w:rFonts w:hint="eastAsia" w:ascii="宋体" w:hAnsi="宋体"/>
          <w:kern w:val="0"/>
          <w:szCs w:val="21"/>
          <w:lang w:val="en-US" w:eastAsia="zh-CN"/>
        </w:rPr>
        <w:t>山西大学化学化工学院</w:t>
      </w:r>
      <w:r>
        <w:rPr>
          <w:rFonts w:ascii="宋体" w:hAnsi="宋体"/>
          <w:kern w:val="0"/>
          <w:szCs w:val="21"/>
        </w:rPr>
        <w:t>两个实验室进行，根据实验指导，各实验室数据收集已经完成，</w:t>
      </w:r>
      <w:r>
        <w:rPr>
          <w:rFonts w:hint="eastAsia" w:ascii="宋体" w:hAnsi="宋体"/>
          <w:kern w:val="0"/>
          <w:szCs w:val="21"/>
          <w:lang w:val="en-US" w:eastAsia="zh-CN"/>
        </w:rPr>
        <w:t>经分析</w:t>
      </w:r>
      <w:r>
        <w:rPr>
          <w:rFonts w:ascii="宋体" w:hAnsi="宋体"/>
          <w:kern w:val="0"/>
          <w:szCs w:val="21"/>
        </w:rPr>
        <w:t>报告以下部分会展示不同实验室之间和不同样品之间的对比情况。</w:t>
      </w:r>
    </w:p>
    <w:p>
      <w:pPr>
        <w:jc w:val="center"/>
        <w:rPr>
          <w:rFonts w:hint="default" w:ascii="Times New Roman" w:hAnsi="Times New Roman" w:eastAsia="楷体" w:cs="Times New Roman"/>
          <w:szCs w:val="21"/>
        </w:rPr>
      </w:pPr>
      <w:r>
        <w:rPr>
          <w:rFonts w:hint="default" w:ascii="Times New Roman" w:hAnsi="Times New Roman" w:eastAsia="楷体" w:cs="Times New Roman"/>
          <w:szCs w:val="21"/>
        </w:rPr>
        <w:t>表</w:t>
      </w:r>
      <w:r>
        <w:rPr>
          <w:rFonts w:hint="eastAsia" w:eastAsia="楷体" w:cs="Times New Roman"/>
          <w:szCs w:val="21"/>
          <w:lang w:val="en-US" w:eastAsia="zh-CN"/>
        </w:rPr>
        <w:t>4</w:t>
      </w:r>
      <w:r>
        <w:rPr>
          <w:rFonts w:hint="default" w:ascii="Times New Roman" w:hAnsi="Times New Roman" w:eastAsia="楷体" w:cs="Times New Roman"/>
          <w:szCs w:val="21"/>
        </w:rPr>
        <w:t>样品活性均值表</w:t>
      </w:r>
    </w:p>
    <w:tbl>
      <w:tblPr>
        <w:tblStyle w:val="15"/>
        <w:tblW w:w="82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6"/>
        <w:gridCol w:w="3264"/>
        <w:gridCol w:w="3361"/>
        <w:gridCol w:w="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6" w:type="dxa"/>
            <w:vMerge w:val="restart"/>
            <w:vAlign w:val="center"/>
          </w:tcPr>
          <w:p>
            <w:pPr>
              <w:jc w:val="center"/>
              <w:rPr>
                <w:color w:val="000000"/>
                <w:sz w:val="18"/>
                <w:szCs w:val="18"/>
                <w:lang w:bidi="hi-IN"/>
              </w:rPr>
            </w:pPr>
            <w:r>
              <w:rPr>
                <w:color w:val="000000"/>
                <w:sz w:val="18"/>
                <w:szCs w:val="18"/>
                <w:lang w:bidi="hi-IN"/>
              </w:rPr>
              <w:t>样品</w:t>
            </w:r>
          </w:p>
        </w:tc>
        <w:tc>
          <w:tcPr>
            <w:tcW w:w="6636" w:type="dxa"/>
            <w:gridSpan w:val="3"/>
            <w:shd w:val="clear" w:color="auto" w:fill="auto"/>
            <w:vAlign w:val="center"/>
          </w:tcPr>
          <w:p>
            <w:pPr>
              <w:jc w:val="center"/>
              <w:rPr>
                <w:color w:val="000000"/>
                <w:sz w:val="18"/>
                <w:szCs w:val="18"/>
                <w:lang w:bidi="hi-IN"/>
              </w:rPr>
            </w:pPr>
            <w:r>
              <w:rPr>
                <w:rFonts w:hint="eastAsia"/>
                <w:color w:val="000000"/>
                <w:sz w:val="18"/>
                <w:szCs w:val="18"/>
                <w:lang w:bidi="hi-IN"/>
              </w:rPr>
              <w:t>活性（U/g）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6" w:type="dxa"/>
            <w:vMerge w:val="continue"/>
            <w:vAlign w:val="center"/>
          </w:tcPr>
          <w:p>
            <w:pPr>
              <w:jc w:val="center"/>
              <w:rPr>
                <w:color w:val="000000"/>
                <w:sz w:val="18"/>
                <w:szCs w:val="18"/>
                <w:lang w:bidi="hi-IN"/>
              </w:rPr>
            </w:pPr>
          </w:p>
        </w:tc>
        <w:tc>
          <w:tcPr>
            <w:tcW w:w="3264" w:type="dxa"/>
            <w:shd w:val="clear" w:color="auto" w:fill="auto"/>
            <w:vAlign w:val="center"/>
          </w:tcPr>
          <w:p>
            <w:pPr>
              <w:jc w:val="center"/>
              <w:rPr>
                <w:rFonts w:hint="eastAsia" w:eastAsia="宋体"/>
                <w:color w:val="000000"/>
                <w:sz w:val="18"/>
                <w:szCs w:val="18"/>
                <w:lang w:eastAsia="zh-CN" w:bidi="hi-IN"/>
              </w:rPr>
            </w:pPr>
            <w:r>
              <w:rPr>
                <w:rFonts w:hint="eastAsia"/>
                <w:color w:val="000000"/>
                <w:sz w:val="18"/>
                <w:szCs w:val="18"/>
                <w:lang w:val="en-US" w:eastAsia="zh-CN" w:bidi="hi-IN"/>
              </w:rPr>
              <w:t>勇宁记</w:t>
            </w:r>
          </w:p>
        </w:tc>
        <w:tc>
          <w:tcPr>
            <w:tcW w:w="3372" w:type="dxa"/>
            <w:gridSpan w:val="2"/>
            <w:vAlign w:val="center"/>
          </w:tcPr>
          <w:p>
            <w:pPr>
              <w:jc w:val="center"/>
              <w:rPr>
                <w:rFonts w:hint="eastAsia" w:eastAsia="宋体"/>
                <w:color w:val="000000"/>
                <w:sz w:val="18"/>
                <w:szCs w:val="18"/>
                <w:lang w:eastAsia="zh-CN" w:bidi="hi-IN"/>
              </w:rPr>
            </w:pPr>
            <w:r>
              <w:rPr>
                <w:rFonts w:hint="eastAsia"/>
                <w:color w:val="000000"/>
                <w:sz w:val="18"/>
                <w:szCs w:val="18"/>
                <w:lang w:val="en-US" w:eastAsia="zh-CN" w:bidi="hi-IN"/>
              </w:rPr>
              <w:t>山西大学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jc w:val="center"/>
        </w:trPr>
        <w:tc>
          <w:tcPr>
            <w:tcW w:w="1576" w:type="dxa"/>
            <w:vAlign w:val="center"/>
          </w:tcPr>
          <w:p>
            <w:pPr>
              <w:jc w:val="center"/>
              <w:rPr>
                <w:color w:val="000000"/>
                <w:sz w:val="18"/>
                <w:szCs w:val="18"/>
                <w:lang w:bidi="hi-IN"/>
              </w:rPr>
            </w:pPr>
            <w:r>
              <w:rPr>
                <w:rFonts w:hint="eastAsia"/>
                <w:color w:val="000000"/>
                <w:sz w:val="18"/>
                <w:szCs w:val="18"/>
                <w:lang w:bidi="hi-IN"/>
              </w:rPr>
              <w:t>样品</w:t>
            </w:r>
            <w:r>
              <w:rPr>
                <w:color w:val="000000"/>
                <w:sz w:val="18"/>
                <w:szCs w:val="18"/>
                <w:lang w:bidi="hi-IN"/>
              </w:rPr>
              <w:t>1</w:t>
            </w:r>
          </w:p>
        </w:tc>
        <w:tc>
          <w:tcPr>
            <w:tcW w:w="3264" w:type="dxa"/>
            <w:shd w:val="clear" w:color="auto" w:fill="auto"/>
            <w:vAlign w:val="center"/>
          </w:tcPr>
          <w:p>
            <w:pPr>
              <w:widowControl w:val="0"/>
              <w:spacing w:after="0" w:line="240" w:lineRule="auto"/>
              <w:jc w:val="center"/>
              <w:rPr>
                <w:rFonts w:hint="default" w:ascii="Times New Roman" w:hAnsi="Times New Roman" w:eastAsia="宋体" w:cs="Times New Roman"/>
                <w:color w:val="auto"/>
                <w:kern w:val="2"/>
                <w:sz w:val="18"/>
                <w:szCs w:val="18"/>
                <w:vertAlign w:val="baseline"/>
                <w:lang w:val="en-US" w:eastAsia="zh-CN" w:bidi="ar-SA"/>
              </w:rPr>
            </w:pPr>
            <w:r>
              <w:rPr>
                <w:rFonts w:hint="default" w:ascii="Times New Roman" w:hAnsi="Times New Roman" w:eastAsia="宋体" w:cs="Times New Roman"/>
                <w:color w:val="auto"/>
                <w:sz w:val="18"/>
                <w:szCs w:val="18"/>
                <w:vertAlign w:val="baseline"/>
                <w:lang w:val="en-US" w:eastAsia="zh-CN"/>
              </w:rPr>
              <w:t xml:space="preserve">3257 </w:t>
            </w:r>
          </w:p>
        </w:tc>
        <w:tc>
          <w:tcPr>
            <w:tcW w:w="3361" w:type="dxa"/>
            <w:vAlign w:val="center"/>
          </w:tcPr>
          <w:p>
            <w:pPr>
              <w:widowControl w:val="0"/>
              <w:spacing w:after="0" w:line="240" w:lineRule="auto"/>
              <w:jc w:val="center"/>
              <w:rPr>
                <w:rFonts w:hint="default" w:ascii="Times New Roman" w:hAnsi="Times New Roman" w:eastAsia="宋体" w:cs="Times New Roman"/>
                <w:kern w:val="2"/>
                <w:sz w:val="18"/>
                <w:szCs w:val="18"/>
                <w:vertAlign w:val="baseline"/>
                <w:lang w:val="en-US" w:eastAsia="zh-CN" w:bidi="ar-SA"/>
              </w:rPr>
            </w:pPr>
            <w:r>
              <w:rPr>
                <w:rFonts w:hint="default" w:ascii="Times New Roman" w:hAnsi="Times New Roman" w:eastAsia="宋体" w:cs="Times New Roman"/>
                <w:sz w:val="18"/>
                <w:szCs w:val="18"/>
                <w:vertAlign w:val="baseline"/>
                <w:lang w:val="en-US" w:eastAsia="zh-CN"/>
              </w:rPr>
              <w:t>3</w:t>
            </w:r>
            <w:r>
              <w:rPr>
                <w:rFonts w:hint="eastAsia" w:ascii="Times New Roman" w:hAnsi="Times New Roman" w:eastAsia="宋体" w:cs="Times New Roman"/>
                <w:sz w:val="18"/>
                <w:szCs w:val="18"/>
                <w:vertAlign w:val="baseline"/>
                <w:lang w:val="en-US" w:eastAsia="zh-CN"/>
              </w:rPr>
              <w:t>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jc w:val="center"/>
        </w:trPr>
        <w:tc>
          <w:tcPr>
            <w:tcW w:w="1576" w:type="dxa"/>
            <w:vAlign w:val="center"/>
          </w:tcPr>
          <w:p>
            <w:pPr>
              <w:jc w:val="center"/>
              <w:rPr>
                <w:color w:val="000000"/>
                <w:sz w:val="18"/>
                <w:szCs w:val="18"/>
                <w:lang w:bidi="hi-IN"/>
              </w:rPr>
            </w:pPr>
            <w:r>
              <w:rPr>
                <w:rFonts w:hint="eastAsia"/>
                <w:color w:val="000000"/>
                <w:sz w:val="18"/>
                <w:szCs w:val="18"/>
                <w:lang w:bidi="hi-IN"/>
              </w:rPr>
              <w:t>样品</w:t>
            </w:r>
            <w:r>
              <w:rPr>
                <w:color w:val="000000"/>
                <w:sz w:val="18"/>
                <w:szCs w:val="18"/>
                <w:lang w:bidi="hi-IN"/>
              </w:rPr>
              <w:t>2</w:t>
            </w:r>
          </w:p>
        </w:tc>
        <w:tc>
          <w:tcPr>
            <w:tcW w:w="3264" w:type="dxa"/>
            <w:shd w:val="clear" w:color="auto" w:fill="auto"/>
            <w:vAlign w:val="center"/>
          </w:tcPr>
          <w:p>
            <w:pPr>
              <w:widowControl w:val="0"/>
              <w:spacing w:after="0" w:line="240" w:lineRule="auto"/>
              <w:jc w:val="center"/>
              <w:rPr>
                <w:rFonts w:hint="default" w:ascii="Times New Roman" w:hAnsi="Times New Roman" w:eastAsia="宋体" w:cs="Times New Roman"/>
                <w:color w:val="auto"/>
                <w:kern w:val="2"/>
                <w:sz w:val="18"/>
                <w:szCs w:val="18"/>
                <w:vertAlign w:val="baseline"/>
                <w:lang w:val="en-US" w:eastAsia="zh-CN" w:bidi="ar-SA"/>
              </w:rPr>
            </w:pPr>
            <w:r>
              <w:rPr>
                <w:rFonts w:hint="eastAsia" w:ascii="Times New Roman" w:hAnsi="Times New Roman" w:eastAsia="宋体" w:cs="Times New Roman"/>
                <w:color w:val="auto"/>
                <w:sz w:val="18"/>
                <w:szCs w:val="18"/>
                <w:vertAlign w:val="baseline"/>
                <w:lang w:val="en-US" w:eastAsia="zh-CN"/>
              </w:rPr>
              <w:t>2534</w:t>
            </w:r>
          </w:p>
        </w:tc>
        <w:tc>
          <w:tcPr>
            <w:tcW w:w="3361" w:type="dxa"/>
            <w:vAlign w:val="center"/>
          </w:tcPr>
          <w:p>
            <w:pPr>
              <w:widowControl w:val="0"/>
              <w:spacing w:after="0" w:line="240" w:lineRule="auto"/>
              <w:jc w:val="center"/>
              <w:rPr>
                <w:rFonts w:hint="default" w:ascii="Times New Roman" w:hAnsi="Times New Roman" w:eastAsia="宋体" w:cs="Times New Roman"/>
                <w:kern w:val="2"/>
                <w:sz w:val="18"/>
                <w:szCs w:val="18"/>
                <w:vertAlign w:val="baseline"/>
                <w:lang w:val="en-US" w:eastAsia="zh-CN" w:bidi="ar-SA"/>
              </w:rPr>
            </w:pPr>
            <w:r>
              <w:rPr>
                <w:rFonts w:hint="eastAsia" w:ascii="Times New Roman" w:hAnsi="Times New Roman" w:eastAsia="宋体" w:cs="Times New Roman"/>
                <w:sz w:val="18"/>
                <w:szCs w:val="18"/>
                <w:vertAlign w:val="baseline"/>
                <w:lang w:val="en-US" w:eastAsia="zh-CN"/>
              </w:rPr>
              <w:t>2608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jc w:val="center"/>
        </w:trPr>
        <w:tc>
          <w:tcPr>
            <w:tcW w:w="1576" w:type="dxa"/>
            <w:vAlign w:val="center"/>
          </w:tcPr>
          <w:p>
            <w:pPr>
              <w:jc w:val="center"/>
              <w:rPr>
                <w:color w:val="000000"/>
                <w:sz w:val="18"/>
                <w:szCs w:val="18"/>
                <w:lang w:bidi="hi-IN"/>
              </w:rPr>
            </w:pPr>
            <w:r>
              <w:rPr>
                <w:rFonts w:hint="eastAsia"/>
                <w:color w:val="000000"/>
                <w:sz w:val="18"/>
                <w:szCs w:val="18"/>
                <w:lang w:bidi="hi-IN"/>
              </w:rPr>
              <w:t>样品</w:t>
            </w:r>
            <w:r>
              <w:rPr>
                <w:color w:val="000000"/>
                <w:sz w:val="18"/>
                <w:szCs w:val="18"/>
                <w:lang w:bidi="hi-IN"/>
              </w:rPr>
              <w:t>3</w:t>
            </w:r>
          </w:p>
        </w:tc>
        <w:tc>
          <w:tcPr>
            <w:tcW w:w="3264" w:type="dxa"/>
            <w:shd w:val="clear" w:color="auto" w:fill="auto"/>
            <w:vAlign w:val="center"/>
          </w:tcPr>
          <w:p>
            <w:pPr>
              <w:widowControl w:val="0"/>
              <w:spacing w:after="0" w:line="240" w:lineRule="auto"/>
              <w:jc w:val="center"/>
              <w:rPr>
                <w:rFonts w:hint="default" w:ascii="Times New Roman" w:hAnsi="Times New Roman" w:eastAsia="宋体" w:cs="Times New Roman"/>
                <w:color w:val="auto"/>
                <w:kern w:val="2"/>
                <w:sz w:val="18"/>
                <w:szCs w:val="18"/>
                <w:vertAlign w:val="baseline"/>
                <w:lang w:val="en-US" w:eastAsia="zh-CN" w:bidi="ar-SA"/>
              </w:rPr>
            </w:pPr>
            <w:r>
              <w:rPr>
                <w:rFonts w:hint="eastAsia" w:ascii="Times New Roman" w:hAnsi="Times New Roman" w:eastAsia="宋体" w:cs="Times New Roman"/>
                <w:color w:val="auto"/>
                <w:sz w:val="18"/>
                <w:szCs w:val="18"/>
                <w:vertAlign w:val="baseline"/>
                <w:lang w:val="en-US" w:eastAsia="zh-CN"/>
              </w:rPr>
              <w:t>3120</w:t>
            </w:r>
          </w:p>
        </w:tc>
        <w:tc>
          <w:tcPr>
            <w:tcW w:w="3361" w:type="dxa"/>
            <w:vAlign w:val="center"/>
          </w:tcPr>
          <w:p>
            <w:pPr>
              <w:widowControl w:val="0"/>
              <w:spacing w:after="0" w:line="240" w:lineRule="auto"/>
              <w:jc w:val="center"/>
              <w:rPr>
                <w:rFonts w:hint="default" w:ascii="Times New Roman" w:hAnsi="Times New Roman" w:eastAsia="宋体" w:cs="Times New Roman"/>
                <w:kern w:val="2"/>
                <w:sz w:val="18"/>
                <w:szCs w:val="18"/>
                <w:vertAlign w:val="baseline"/>
                <w:lang w:val="en-US" w:eastAsia="zh-CN" w:bidi="ar-SA"/>
              </w:rPr>
            </w:pPr>
            <w:r>
              <w:rPr>
                <w:rFonts w:hint="eastAsia" w:ascii="Times New Roman" w:hAnsi="Times New Roman" w:eastAsia="宋体" w:cs="Times New Roman"/>
                <w:sz w:val="18"/>
                <w:szCs w:val="18"/>
                <w:vertAlign w:val="baseline"/>
                <w:lang w:val="en-US" w:eastAsia="zh-CN"/>
              </w:rPr>
              <w:t>3082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jc w:val="center"/>
        </w:trPr>
        <w:tc>
          <w:tcPr>
            <w:tcW w:w="1576" w:type="dxa"/>
            <w:vAlign w:val="center"/>
          </w:tcPr>
          <w:p>
            <w:pPr>
              <w:jc w:val="center"/>
              <w:rPr>
                <w:color w:val="000000"/>
                <w:sz w:val="18"/>
                <w:szCs w:val="18"/>
                <w:lang w:bidi="hi-IN"/>
              </w:rPr>
            </w:pPr>
            <w:r>
              <w:rPr>
                <w:rFonts w:hint="eastAsia"/>
                <w:color w:val="000000"/>
                <w:sz w:val="18"/>
                <w:szCs w:val="18"/>
                <w:lang w:bidi="hi-IN"/>
              </w:rPr>
              <w:t>样品</w:t>
            </w:r>
            <w:r>
              <w:rPr>
                <w:color w:val="000000"/>
                <w:sz w:val="18"/>
                <w:szCs w:val="18"/>
                <w:lang w:bidi="hi-IN"/>
              </w:rPr>
              <w:t>4</w:t>
            </w:r>
          </w:p>
        </w:tc>
        <w:tc>
          <w:tcPr>
            <w:tcW w:w="3264" w:type="dxa"/>
            <w:shd w:val="clear" w:color="auto" w:fill="auto"/>
            <w:vAlign w:val="center"/>
          </w:tcPr>
          <w:p>
            <w:pPr>
              <w:widowControl w:val="0"/>
              <w:spacing w:after="0" w:line="240" w:lineRule="auto"/>
              <w:jc w:val="center"/>
              <w:rPr>
                <w:rFonts w:hint="default" w:ascii="Times New Roman" w:hAnsi="Times New Roman" w:eastAsia="宋体" w:cs="Times New Roman"/>
                <w:color w:val="auto"/>
                <w:kern w:val="2"/>
                <w:sz w:val="18"/>
                <w:szCs w:val="18"/>
                <w:vertAlign w:val="baseline"/>
                <w:lang w:val="en-US" w:eastAsia="zh-CN" w:bidi="ar-SA"/>
              </w:rPr>
            </w:pPr>
            <w:r>
              <w:rPr>
                <w:rFonts w:hint="eastAsia" w:ascii="Times New Roman" w:hAnsi="Times New Roman" w:eastAsia="宋体" w:cs="Times New Roman"/>
                <w:color w:val="auto"/>
                <w:sz w:val="18"/>
                <w:szCs w:val="18"/>
                <w:vertAlign w:val="baseline"/>
                <w:lang w:val="en-US" w:eastAsia="zh-CN"/>
              </w:rPr>
              <w:t>1249</w:t>
            </w:r>
          </w:p>
        </w:tc>
        <w:tc>
          <w:tcPr>
            <w:tcW w:w="3361" w:type="dxa"/>
            <w:vAlign w:val="center"/>
          </w:tcPr>
          <w:p>
            <w:pPr>
              <w:widowControl w:val="0"/>
              <w:spacing w:after="0" w:line="240" w:lineRule="auto"/>
              <w:jc w:val="center"/>
              <w:rPr>
                <w:rFonts w:hint="default" w:ascii="Times New Roman" w:hAnsi="Times New Roman" w:eastAsia="宋体" w:cs="Times New Roman"/>
                <w:kern w:val="2"/>
                <w:sz w:val="18"/>
                <w:szCs w:val="18"/>
                <w:vertAlign w:val="baseline"/>
                <w:lang w:val="en-US" w:eastAsia="zh-CN" w:bidi="ar-SA"/>
              </w:rPr>
            </w:pPr>
            <w:r>
              <w:rPr>
                <w:rFonts w:hint="eastAsia" w:cs="Times New Roman"/>
                <w:kern w:val="2"/>
                <w:sz w:val="18"/>
                <w:szCs w:val="18"/>
                <w:vertAlign w:val="baseline"/>
                <w:lang w:val="en-US" w:eastAsia="zh-CN" w:bidi="ar-SA"/>
              </w:rPr>
              <w:t>1233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jc w:val="center"/>
        </w:trPr>
        <w:tc>
          <w:tcPr>
            <w:tcW w:w="1576" w:type="dxa"/>
            <w:vAlign w:val="center"/>
          </w:tcPr>
          <w:p>
            <w:pPr>
              <w:jc w:val="center"/>
              <w:rPr>
                <w:color w:val="000000"/>
                <w:sz w:val="18"/>
                <w:szCs w:val="18"/>
                <w:lang w:bidi="hi-IN"/>
              </w:rPr>
            </w:pPr>
            <w:r>
              <w:rPr>
                <w:rFonts w:hint="eastAsia"/>
                <w:color w:val="000000"/>
                <w:sz w:val="18"/>
                <w:szCs w:val="18"/>
                <w:lang w:bidi="hi-IN"/>
              </w:rPr>
              <w:t>样品</w:t>
            </w:r>
            <w:r>
              <w:rPr>
                <w:color w:val="000000"/>
                <w:sz w:val="18"/>
                <w:szCs w:val="18"/>
                <w:lang w:bidi="hi-IN"/>
              </w:rPr>
              <w:t>5</w:t>
            </w:r>
          </w:p>
        </w:tc>
        <w:tc>
          <w:tcPr>
            <w:tcW w:w="3264" w:type="dxa"/>
            <w:shd w:val="clear" w:color="auto" w:fill="auto"/>
            <w:vAlign w:val="center"/>
          </w:tcPr>
          <w:p>
            <w:pPr>
              <w:widowControl w:val="0"/>
              <w:spacing w:after="0" w:line="240" w:lineRule="auto"/>
              <w:jc w:val="center"/>
              <w:rPr>
                <w:rFonts w:hint="default" w:ascii="Times New Roman" w:hAnsi="Times New Roman" w:eastAsia="宋体" w:cs="Times New Roman"/>
                <w:color w:val="auto"/>
                <w:kern w:val="2"/>
                <w:sz w:val="18"/>
                <w:szCs w:val="18"/>
                <w:vertAlign w:val="baseline"/>
                <w:lang w:val="en-US" w:eastAsia="zh-CN" w:bidi="ar-SA"/>
              </w:rPr>
            </w:pPr>
            <w:r>
              <w:rPr>
                <w:rFonts w:hint="eastAsia" w:ascii="Times New Roman" w:hAnsi="Times New Roman" w:eastAsia="宋体" w:cs="Times New Roman"/>
                <w:color w:val="auto"/>
                <w:sz w:val="18"/>
                <w:szCs w:val="18"/>
                <w:vertAlign w:val="baseline"/>
                <w:lang w:val="en-US" w:eastAsia="zh-CN"/>
              </w:rPr>
              <w:t>2835</w:t>
            </w:r>
          </w:p>
        </w:tc>
        <w:tc>
          <w:tcPr>
            <w:tcW w:w="3361" w:type="dxa"/>
            <w:vAlign w:val="center"/>
          </w:tcPr>
          <w:p>
            <w:pPr>
              <w:widowControl w:val="0"/>
              <w:spacing w:after="0" w:line="240" w:lineRule="auto"/>
              <w:jc w:val="center"/>
              <w:rPr>
                <w:rFonts w:hint="default" w:ascii="Times New Roman" w:hAnsi="Times New Roman" w:eastAsia="宋体" w:cs="Times New Roman"/>
                <w:kern w:val="2"/>
                <w:sz w:val="18"/>
                <w:szCs w:val="18"/>
                <w:vertAlign w:val="baseline"/>
                <w:lang w:val="en-US" w:eastAsia="zh-CN" w:bidi="ar-SA"/>
              </w:rPr>
            </w:pPr>
            <w:r>
              <w:rPr>
                <w:rFonts w:hint="eastAsia" w:ascii="Times New Roman" w:hAnsi="Times New Roman" w:eastAsia="宋体" w:cs="Times New Roman"/>
                <w:sz w:val="18"/>
                <w:szCs w:val="18"/>
                <w:vertAlign w:val="baseline"/>
                <w:lang w:val="en-US" w:eastAsia="zh-CN"/>
              </w:rPr>
              <w:t>3007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jc w:val="center"/>
        </w:trPr>
        <w:tc>
          <w:tcPr>
            <w:tcW w:w="1576" w:type="dxa"/>
            <w:vAlign w:val="center"/>
          </w:tcPr>
          <w:p>
            <w:pPr>
              <w:jc w:val="center"/>
              <w:rPr>
                <w:color w:val="000000"/>
                <w:sz w:val="18"/>
                <w:szCs w:val="18"/>
                <w:lang w:bidi="hi-IN"/>
              </w:rPr>
            </w:pPr>
            <w:r>
              <w:rPr>
                <w:rFonts w:hint="eastAsia"/>
                <w:color w:val="000000"/>
                <w:sz w:val="18"/>
                <w:szCs w:val="18"/>
                <w:lang w:bidi="hi-IN"/>
              </w:rPr>
              <w:t>样品</w:t>
            </w:r>
            <w:r>
              <w:rPr>
                <w:color w:val="000000"/>
                <w:sz w:val="18"/>
                <w:szCs w:val="18"/>
                <w:lang w:bidi="hi-IN"/>
              </w:rPr>
              <w:t>6</w:t>
            </w:r>
          </w:p>
        </w:tc>
        <w:tc>
          <w:tcPr>
            <w:tcW w:w="3264" w:type="dxa"/>
            <w:shd w:val="clear" w:color="auto" w:fill="auto"/>
            <w:vAlign w:val="center"/>
          </w:tcPr>
          <w:p>
            <w:pPr>
              <w:widowControl w:val="0"/>
              <w:spacing w:after="0" w:line="240" w:lineRule="auto"/>
              <w:jc w:val="center"/>
              <w:rPr>
                <w:rFonts w:hint="default" w:ascii="Times New Roman" w:hAnsi="Times New Roman" w:eastAsia="宋体" w:cs="Times New Roman"/>
                <w:color w:val="auto"/>
                <w:kern w:val="2"/>
                <w:sz w:val="18"/>
                <w:szCs w:val="18"/>
                <w:vertAlign w:val="baseline"/>
                <w:lang w:val="en-US" w:eastAsia="zh-CN" w:bidi="ar-SA"/>
              </w:rPr>
            </w:pPr>
            <w:r>
              <w:rPr>
                <w:rFonts w:hint="eastAsia" w:ascii="Times New Roman" w:hAnsi="Times New Roman" w:eastAsia="宋体" w:cs="Times New Roman"/>
                <w:color w:val="auto"/>
                <w:sz w:val="18"/>
                <w:szCs w:val="18"/>
                <w:vertAlign w:val="baseline"/>
                <w:lang w:val="en-US" w:eastAsia="zh-CN" w:bidi="ar-SA"/>
              </w:rPr>
              <w:t>6277</w:t>
            </w:r>
          </w:p>
        </w:tc>
        <w:tc>
          <w:tcPr>
            <w:tcW w:w="3361" w:type="dxa"/>
            <w:vAlign w:val="center"/>
          </w:tcPr>
          <w:p>
            <w:pPr>
              <w:widowControl w:val="0"/>
              <w:spacing w:after="0" w:line="240" w:lineRule="auto"/>
              <w:jc w:val="center"/>
              <w:rPr>
                <w:rFonts w:hint="default" w:ascii="Times New Roman" w:hAnsi="Times New Roman" w:eastAsia="宋体" w:cs="Times New Roman"/>
                <w:kern w:val="2"/>
                <w:sz w:val="18"/>
                <w:szCs w:val="18"/>
                <w:vertAlign w:val="baseline"/>
                <w:lang w:val="en-US" w:eastAsia="zh-CN" w:bidi="ar-SA"/>
              </w:rPr>
            </w:pPr>
            <w:r>
              <w:rPr>
                <w:rFonts w:hint="eastAsia" w:ascii="Times New Roman" w:hAnsi="Times New Roman" w:eastAsia="宋体" w:cs="Times New Roman"/>
                <w:sz w:val="18"/>
                <w:szCs w:val="18"/>
                <w:vertAlign w:val="baseline"/>
                <w:lang w:val="en-US" w:eastAsia="zh-CN" w:bidi="ar-SA"/>
              </w:rPr>
              <w:t>6069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jc w:val="center"/>
        </w:trPr>
        <w:tc>
          <w:tcPr>
            <w:tcW w:w="1576" w:type="dxa"/>
            <w:vAlign w:val="center"/>
          </w:tcPr>
          <w:p>
            <w:pPr>
              <w:jc w:val="center"/>
              <w:rPr>
                <w:color w:val="000000"/>
                <w:sz w:val="18"/>
                <w:szCs w:val="18"/>
                <w:lang w:bidi="hi-IN"/>
              </w:rPr>
            </w:pPr>
            <w:r>
              <w:rPr>
                <w:rFonts w:hint="eastAsia"/>
                <w:color w:val="000000"/>
                <w:sz w:val="18"/>
                <w:szCs w:val="18"/>
                <w:lang w:bidi="hi-IN"/>
              </w:rPr>
              <w:t>样品</w:t>
            </w:r>
            <w:r>
              <w:rPr>
                <w:color w:val="000000"/>
                <w:sz w:val="18"/>
                <w:szCs w:val="18"/>
                <w:lang w:bidi="hi-IN"/>
              </w:rPr>
              <w:t>7</w:t>
            </w:r>
          </w:p>
        </w:tc>
        <w:tc>
          <w:tcPr>
            <w:tcW w:w="3264" w:type="dxa"/>
            <w:shd w:val="clear" w:color="auto" w:fill="auto"/>
            <w:vAlign w:val="center"/>
          </w:tcPr>
          <w:p>
            <w:pPr>
              <w:widowControl w:val="0"/>
              <w:spacing w:after="0" w:line="240" w:lineRule="auto"/>
              <w:jc w:val="center"/>
              <w:rPr>
                <w:rFonts w:hint="default" w:ascii="Times New Roman" w:hAnsi="Times New Roman" w:eastAsia="宋体" w:cs="Times New Roman"/>
                <w:color w:val="auto"/>
                <w:kern w:val="2"/>
                <w:sz w:val="18"/>
                <w:szCs w:val="18"/>
                <w:vertAlign w:val="baseline"/>
                <w:lang w:val="en-US" w:eastAsia="zh-CN" w:bidi="ar-SA"/>
              </w:rPr>
            </w:pPr>
            <w:r>
              <w:rPr>
                <w:rFonts w:hint="eastAsia" w:ascii="Times New Roman" w:hAnsi="Times New Roman" w:eastAsia="宋体" w:cs="Times New Roman"/>
                <w:color w:val="auto"/>
                <w:sz w:val="18"/>
                <w:szCs w:val="18"/>
                <w:vertAlign w:val="baseline"/>
                <w:lang w:val="en-US" w:eastAsia="zh-CN" w:bidi="ar-SA"/>
              </w:rPr>
              <w:t>8134</w:t>
            </w:r>
          </w:p>
        </w:tc>
        <w:tc>
          <w:tcPr>
            <w:tcW w:w="3361" w:type="dxa"/>
            <w:vAlign w:val="center"/>
          </w:tcPr>
          <w:p>
            <w:pPr>
              <w:widowControl w:val="0"/>
              <w:spacing w:after="0" w:line="240" w:lineRule="auto"/>
              <w:jc w:val="center"/>
              <w:rPr>
                <w:rFonts w:hint="default" w:ascii="Times New Roman" w:hAnsi="Times New Roman" w:eastAsia="宋体" w:cs="Times New Roman"/>
                <w:kern w:val="2"/>
                <w:sz w:val="18"/>
                <w:szCs w:val="18"/>
                <w:vertAlign w:val="baseline"/>
                <w:lang w:val="en-US" w:eastAsia="zh-CN" w:bidi="ar-SA"/>
              </w:rPr>
            </w:pPr>
            <w:r>
              <w:rPr>
                <w:rFonts w:hint="eastAsia" w:ascii="Times New Roman" w:hAnsi="Times New Roman" w:eastAsia="宋体" w:cs="Times New Roman"/>
                <w:sz w:val="18"/>
                <w:szCs w:val="18"/>
                <w:vertAlign w:val="baseline"/>
                <w:lang w:val="en-US" w:eastAsia="zh-CN" w:bidi="ar-SA"/>
              </w:rPr>
              <w:t>8094</w:t>
            </w:r>
          </w:p>
        </w:tc>
      </w:tr>
    </w:tbl>
    <w:p>
      <w:pPr>
        <w:spacing w:before="156" w:beforeLines="50" w:after="156" w:afterLines="50"/>
        <w:rPr>
          <w:rFonts w:ascii="宋体" w:hAnsi="宋体"/>
          <w:b/>
          <w:szCs w:val="21"/>
        </w:rPr>
      </w:pPr>
      <w:r>
        <w:rPr>
          <w:rFonts w:hint="eastAsia" w:ascii="宋体" w:hAnsi="宋体"/>
          <w:b/>
          <w:szCs w:val="21"/>
        </w:rPr>
        <w:t>四、标准中如果涉及专利，应有明确的知识产权说明</w:t>
      </w:r>
    </w:p>
    <w:p>
      <w:pPr>
        <w:ind w:firstLine="420" w:firstLineChars="200"/>
      </w:pPr>
      <w:r>
        <w:rPr>
          <w:rFonts w:hint="eastAsia"/>
        </w:rPr>
        <w:t>未涉及专利等知识产权问题。</w:t>
      </w:r>
    </w:p>
    <w:p>
      <w:pPr>
        <w:spacing w:before="156" w:beforeLines="50" w:after="156" w:afterLines="50"/>
        <w:rPr>
          <w:rFonts w:ascii="宋体" w:hAnsi="宋体"/>
          <w:b/>
          <w:szCs w:val="21"/>
        </w:rPr>
      </w:pPr>
      <w:r>
        <w:rPr>
          <w:rFonts w:hint="eastAsia" w:ascii="宋体" w:hAnsi="宋体"/>
          <w:b/>
          <w:szCs w:val="21"/>
        </w:rPr>
        <w:t>五、产业化情况、推广应用论证和预期达到的经济效果等情况</w:t>
      </w:r>
    </w:p>
    <w:p>
      <w:pPr>
        <w:ind w:firstLine="420" w:firstLineChars="200"/>
      </w:pPr>
      <w:r>
        <w:rPr>
          <w:rFonts w:hint="eastAsia"/>
        </w:rPr>
        <w:t>洗涤行业是酶制剂最重要应用领域之一，在全球范围内，每年所生产的酶制剂中，有三分之一被应用于洗涤行业。在发达国家，洗涤用品加酶已逐渐成为新产品开发的标准配置。从最新发布的中国洗涤用品行业发展十三五规划中可以看出，目前我国洗衣粉加酶比例已高达80%。行业协会也在积极引导国内洗涤用品往液体化、浓缩化、绿色化的方向创新发展。但是缺乏统一的洗涤用酶制剂标准，使得传统的加酶洗衣粉和新兴的加酶洗涤剂都缺乏权威的检测方法和监管依据，很容易被不良企业拿来作为概念炒作并用劣质产品低价竞争，从而破坏新兴产品市场，打击消费者信任度，压抑业内优秀企业的积极性，阻碍行业规划的发展进程。</w:t>
      </w:r>
    </w:p>
    <w:p>
      <w:pPr>
        <w:ind w:firstLine="420" w:firstLineChars="200"/>
      </w:pPr>
      <w:r>
        <w:rPr>
          <w:rFonts w:hint="eastAsia"/>
        </w:rPr>
        <w:t>在此背景下，制定和推出洗涤用酶制剂质量规格及测试方法，对于我国洗涤行业规范含酶类洗涤用品细分领域的市场，指导行业内企业创新开发新产品，杜绝不良企业用假冒伪劣产品欺骗消费者，促进洗涤行业快速、良性、正常发展有重要的意义，同时标准的出台对于监管和规范含</w:t>
      </w:r>
      <w:r>
        <w:rPr>
          <w:rFonts w:hint="eastAsia"/>
          <w:lang w:val="en-US" w:eastAsia="zh-CN"/>
        </w:rPr>
        <w:t>纤维素酶</w:t>
      </w:r>
      <w:r>
        <w:rPr>
          <w:rFonts w:hint="eastAsia"/>
        </w:rPr>
        <w:t>的洗涤用品的上市也具有重要指导意义。</w:t>
      </w:r>
    </w:p>
    <w:p>
      <w:pPr>
        <w:spacing w:before="156" w:beforeLines="50" w:after="156" w:afterLines="50"/>
        <w:rPr>
          <w:rFonts w:ascii="宋体" w:hAnsi="宋体"/>
          <w:b/>
          <w:szCs w:val="21"/>
        </w:rPr>
      </w:pPr>
      <w:r>
        <w:rPr>
          <w:rFonts w:hint="eastAsia" w:ascii="宋体" w:hAnsi="宋体"/>
          <w:b/>
          <w:szCs w:val="21"/>
        </w:rPr>
        <w:t>六、采用国际标准和国外先进标准情况</w:t>
      </w:r>
    </w:p>
    <w:p>
      <w:pPr>
        <w:ind w:firstLine="420" w:firstLineChars="200"/>
      </w:pPr>
      <w:r>
        <w:rPr>
          <w:rFonts w:hint="eastAsia"/>
        </w:rPr>
        <w:t>目前没有相关国际标准。</w:t>
      </w:r>
    </w:p>
    <w:p>
      <w:pPr>
        <w:spacing w:before="156" w:beforeLines="50" w:after="156" w:afterLines="50"/>
        <w:rPr>
          <w:rFonts w:ascii="宋体" w:hAnsi="宋体"/>
          <w:b/>
          <w:szCs w:val="21"/>
        </w:rPr>
      </w:pPr>
      <w:r>
        <w:rPr>
          <w:rFonts w:hint="eastAsia" w:ascii="宋体" w:hAnsi="宋体"/>
          <w:b/>
          <w:szCs w:val="21"/>
        </w:rPr>
        <w:t>七</w:t>
      </w:r>
      <w:r>
        <w:rPr>
          <w:rFonts w:ascii="宋体" w:hAnsi="宋体"/>
          <w:b/>
          <w:szCs w:val="21"/>
        </w:rPr>
        <w:t>、</w:t>
      </w:r>
      <w:r>
        <w:rPr>
          <w:rFonts w:hint="eastAsia" w:ascii="宋体" w:hAnsi="宋体"/>
          <w:b/>
          <w:szCs w:val="21"/>
        </w:rPr>
        <w:t>与现行相关法律、法规、规章及相关标准，特别是强制性标准的协调性</w:t>
      </w:r>
    </w:p>
    <w:p>
      <w:pPr>
        <w:adjustRightInd w:val="0"/>
        <w:snapToGrid w:val="0"/>
        <w:ind w:firstLine="420" w:firstLineChars="200"/>
        <w:jc w:val="left"/>
        <w:rPr>
          <w:rFonts w:ascii="宋体" w:hAnsi="宋体"/>
          <w:kern w:val="0"/>
          <w:szCs w:val="21"/>
        </w:rPr>
      </w:pPr>
      <w:r>
        <w:rPr>
          <w:rFonts w:hint="eastAsia" w:ascii="宋体" w:hAnsi="宋体"/>
          <w:kern w:val="0"/>
          <w:szCs w:val="21"/>
        </w:rPr>
        <w:t>与洗涤剂行业相关法律法规、规章协调一致，未发生冲突。</w:t>
      </w:r>
    </w:p>
    <w:p>
      <w:pPr>
        <w:spacing w:before="156" w:beforeLines="50" w:after="156" w:afterLines="50"/>
        <w:rPr>
          <w:rFonts w:ascii="宋体" w:hAnsi="宋体"/>
          <w:b/>
          <w:szCs w:val="21"/>
        </w:rPr>
      </w:pPr>
      <w:r>
        <w:rPr>
          <w:rFonts w:hint="eastAsia" w:ascii="宋体" w:hAnsi="宋体"/>
          <w:b/>
          <w:szCs w:val="21"/>
        </w:rPr>
        <w:t>八、重大分歧意见的处理经过和依据</w:t>
      </w:r>
    </w:p>
    <w:p>
      <w:pPr>
        <w:adjustRightInd w:val="0"/>
        <w:snapToGrid w:val="0"/>
        <w:ind w:firstLine="420" w:firstLineChars="200"/>
        <w:jc w:val="left"/>
      </w:pPr>
      <w:r>
        <w:rPr>
          <w:rFonts w:hint="eastAsia"/>
        </w:rPr>
        <w:t>无重大分歧意见。</w:t>
      </w:r>
    </w:p>
    <w:p>
      <w:pPr>
        <w:spacing w:before="156" w:beforeLines="50" w:after="156" w:afterLines="50"/>
        <w:rPr>
          <w:rFonts w:ascii="宋体" w:hAnsi="宋体"/>
          <w:b/>
          <w:szCs w:val="21"/>
        </w:rPr>
      </w:pPr>
      <w:r>
        <w:rPr>
          <w:rFonts w:hint="eastAsia" w:ascii="宋体" w:hAnsi="宋体"/>
          <w:b/>
          <w:szCs w:val="21"/>
        </w:rPr>
        <w:t>九、标准性质的建议说明</w:t>
      </w:r>
    </w:p>
    <w:p>
      <w:pPr>
        <w:adjustRightInd w:val="0"/>
        <w:snapToGrid w:val="0"/>
        <w:ind w:firstLine="420" w:firstLineChars="200"/>
        <w:jc w:val="left"/>
      </w:pPr>
      <w:r>
        <w:rPr>
          <w:rFonts w:hint="eastAsia"/>
        </w:rPr>
        <w:t>标准性质是</w:t>
      </w:r>
      <w:r>
        <w:rPr>
          <w:rFonts w:hint="eastAsia"/>
          <w:lang w:val="en-US" w:eastAsia="zh-CN"/>
        </w:rPr>
        <w:t>行业</w:t>
      </w:r>
      <w:r>
        <w:rPr>
          <w:rFonts w:hint="eastAsia"/>
        </w:rPr>
        <w:t>推荐性标准。</w:t>
      </w:r>
    </w:p>
    <w:p>
      <w:pPr>
        <w:spacing w:before="156" w:beforeLines="50" w:after="156" w:afterLines="50"/>
        <w:rPr>
          <w:rFonts w:ascii="宋体" w:hAnsi="宋体"/>
          <w:b/>
          <w:szCs w:val="21"/>
        </w:rPr>
      </w:pPr>
      <w:r>
        <w:rPr>
          <w:rFonts w:hint="eastAsia" w:ascii="宋体" w:hAnsi="宋体"/>
          <w:b/>
          <w:szCs w:val="21"/>
        </w:rPr>
        <w:t>十、贯彻标准的要求和措施建议</w:t>
      </w:r>
    </w:p>
    <w:p>
      <w:pPr>
        <w:adjustRightInd w:val="0"/>
        <w:snapToGrid w:val="0"/>
        <w:ind w:firstLine="420" w:firstLineChars="200"/>
        <w:jc w:val="left"/>
      </w:pPr>
      <w:r>
        <w:rPr>
          <w:rFonts w:hint="eastAsia"/>
        </w:rPr>
        <w:t>建议本标准批准发布6个月后实施。</w:t>
      </w:r>
    </w:p>
    <w:p>
      <w:pPr>
        <w:spacing w:before="156" w:beforeLines="50" w:after="156" w:afterLines="50"/>
        <w:rPr>
          <w:rFonts w:ascii="宋体" w:hAnsi="宋体"/>
          <w:b/>
          <w:szCs w:val="21"/>
        </w:rPr>
      </w:pPr>
      <w:r>
        <w:rPr>
          <w:rFonts w:hint="eastAsia" w:ascii="宋体" w:hAnsi="宋体"/>
          <w:b/>
          <w:szCs w:val="21"/>
        </w:rPr>
        <w:t>十一、废止现行相关标准的建议</w:t>
      </w:r>
    </w:p>
    <w:p>
      <w:pPr>
        <w:adjustRightInd w:val="0"/>
        <w:snapToGrid w:val="0"/>
        <w:ind w:firstLine="420" w:firstLineChars="200"/>
        <w:jc w:val="left"/>
      </w:pPr>
      <w:r>
        <w:rPr>
          <w:rFonts w:hint="eastAsia"/>
        </w:rPr>
        <w:t>无。</w:t>
      </w:r>
    </w:p>
    <w:p>
      <w:pPr>
        <w:spacing w:before="156" w:beforeLines="50" w:after="156" w:afterLines="50"/>
        <w:rPr>
          <w:rFonts w:ascii="宋体" w:hAnsi="宋体"/>
          <w:b/>
          <w:szCs w:val="21"/>
        </w:rPr>
      </w:pPr>
      <w:r>
        <w:rPr>
          <w:rFonts w:hint="eastAsia" w:ascii="宋体" w:hAnsi="宋体"/>
          <w:b/>
          <w:szCs w:val="21"/>
        </w:rPr>
        <w:t>十二、其它应予说明的事项</w:t>
      </w:r>
    </w:p>
    <w:p>
      <w:pPr>
        <w:adjustRightInd w:val="0"/>
        <w:snapToGrid w:val="0"/>
        <w:ind w:firstLine="420" w:firstLineChars="200"/>
        <w:jc w:val="left"/>
        <w:rPr>
          <w:rFonts w:ascii="ˎ̥" w:hAnsi="ˎ̥"/>
          <w:szCs w:val="21"/>
        </w:rPr>
      </w:pPr>
    </w:p>
    <w:p>
      <w:pPr>
        <w:adjustRightInd w:val="0"/>
        <w:snapToGrid w:val="0"/>
        <w:ind w:firstLine="420" w:firstLineChars="200"/>
        <w:jc w:val="left"/>
        <w:rPr>
          <w:rFonts w:ascii="ˎ̥" w:hAnsi="ˎ̥"/>
          <w:szCs w:val="21"/>
        </w:rPr>
      </w:pPr>
    </w:p>
    <w:p>
      <w:pPr>
        <w:adjustRightInd w:val="0"/>
        <w:snapToGrid w:val="0"/>
        <w:ind w:firstLine="420" w:firstLineChars="200"/>
        <w:jc w:val="left"/>
        <w:rPr>
          <w:rFonts w:ascii="ˎ̥" w:hAnsi="ˎ̥"/>
          <w:szCs w:val="21"/>
        </w:rPr>
      </w:pPr>
    </w:p>
    <w:p>
      <w:pPr>
        <w:adjustRightInd w:val="0"/>
        <w:snapToGrid w:val="0"/>
        <w:ind w:firstLine="420" w:firstLineChars="200"/>
        <w:jc w:val="right"/>
        <w:rPr>
          <w:rFonts w:ascii="宋体" w:hAnsi="宋体"/>
          <w:szCs w:val="21"/>
        </w:rPr>
      </w:pPr>
      <w:r>
        <w:rPr>
          <w:rFonts w:hint="eastAsia" w:ascii="宋体" w:hAnsi="宋体"/>
          <w:szCs w:val="21"/>
        </w:rPr>
        <w:t>标准编制小组</w:t>
      </w:r>
    </w:p>
    <w:p>
      <w:pPr>
        <w:adjustRightInd w:val="0"/>
        <w:snapToGrid w:val="0"/>
        <w:ind w:firstLine="420" w:firstLineChars="200"/>
        <w:jc w:val="right"/>
        <w:rPr>
          <w:rFonts w:ascii="宋体" w:hAnsi="宋体"/>
          <w:szCs w:val="21"/>
        </w:rPr>
      </w:pPr>
      <w:r>
        <w:rPr>
          <w:rFonts w:hint="eastAsia" w:ascii="宋体" w:hAnsi="宋体"/>
          <w:szCs w:val="21"/>
        </w:rPr>
        <w:t>2</w:t>
      </w:r>
      <w:r>
        <w:rPr>
          <w:rFonts w:ascii="宋体" w:hAnsi="宋体"/>
          <w:szCs w:val="21"/>
        </w:rPr>
        <w:t>02</w:t>
      </w:r>
      <w:r>
        <w:rPr>
          <w:rFonts w:hint="eastAsia" w:ascii="宋体" w:hAnsi="宋体"/>
          <w:szCs w:val="21"/>
          <w:lang w:val="en-US" w:eastAsia="zh-CN"/>
        </w:rPr>
        <w:t>4</w:t>
      </w:r>
      <w:r>
        <w:rPr>
          <w:rFonts w:hint="eastAsia" w:ascii="宋体" w:hAnsi="宋体"/>
          <w:szCs w:val="21"/>
        </w:rPr>
        <w:t>年</w:t>
      </w:r>
      <w:r>
        <w:rPr>
          <w:rFonts w:hint="eastAsia" w:ascii="宋体" w:hAnsi="宋体"/>
          <w:szCs w:val="21"/>
          <w:lang w:val="en-US" w:eastAsia="zh-CN"/>
        </w:rPr>
        <w:t>4</w:t>
      </w:r>
      <w:bookmarkStart w:id="5" w:name="_GoBack"/>
      <w:bookmarkEnd w:id="5"/>
      <w:r>
        <w:rPr>
          <w:rFonts w:hint="eastAsia" w:ascii="宋体" w:hAnsi="宋体"/>
          <w:szCs w:val="21"/>
          <w:lang w:val="en-US" w:eastAsia="zh-CN"/>
        </w:rPr>
        <w:t xml:space="preserve"> </w:t>
      </w:r>
      <w:r>
        <w:rPr>
          <w:rFonts w:hint="eastAsia" w:ascii="宋体" w:hAnsi="宋体"/>
          <w:szCs w:val="21"/>
        </w:rPr>
        <w:t>月</w:t>
      </w:r>
    </w:p>
    <w:sectPr>
      <w:footerReference r:id="rId3" w:type="default"/>
      <w:pgSz w:w="11906" w:h="16838"/>
      <w:pgMar w:top="1440" w:right="1106" w:bottom="1440" w:left="1440" w:header="851"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angal">
    <w:altName w:val="Segoe Print"/>
    <w:panose1 w:val="000004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 w:name="华文楷体">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微软雅黑 Light">
    <w:panose1 w:val="020B0502040204020203"/>
    <w:charset w:val="86"/>
    <w:family w:val="auto"/>
    <w:pitch w:val="default"/>
    <w:sig w:usb0="80000287" w:usb1="2ACF0010" w:usb2="00000016" w:usb3="00000000" w:csb0="0004001F" w:csb1="00000000"/>
  </w:font>
  <w:font w:name="Broadway">
    <w:panose1 w:val="04040905080B02020502"/>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48010"/>
      <w:docPartObj>
        <w:docPartGallery w:val="autotext"/>
      </w:docPartObj>
    </w:sdtPr>
    <w:sdtContent>
      <w:p>
        <w:pPr>
          <w:jc w:val="center"/>
        </w:pPr>
        <w:r>
          <w:fldChar w:fldCharType="begin"/>
        </w:r>
        <w:r>
          <w:instrText xml:space="preserve"> PAGE   \* MERGEFORMAT </w:instrText>
        </w:r>
        <w:r>
          <w:fldChar w:fldCharType="separate"/>
        </w:r>
        <w:r>
          <w:rPr>
            <w:lang w:val="zh-CN"/>
          </w:rPr>
          <w:t>1</w:t>
        </w:r>
        <w:r>
          <w:rPr>
            <w:lang w:val="zh-CN"/>
          </w:rPr>
          <w:fldChar w:fldCharType="end"/>
        </w:r>
      </w:p>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975DC2"/>
    <w:multiLevelType w:val="singleLevel"/>
    <w:tmpl w:val="49975DC2"/>
    <w:lvl w:ilvl="0" w:tentative="0">
      <w:start w:val="1"/>
      <w:numFmt w:val="bullet"/>
      <w:pStyle w:val="36"/>
      <w:lvlText w:val=""/>
      <w:lvlJc w:val="left"/>
      <w:pPr>
        <w:tabs>
          <w:tab w:val="left" w:pos="360"/>
        </w:tabs>
        <w:ind w:left="193" w:hanging="193"/>
      </w:pPr>
      <w:rPr>
        <w:rFonts w:hint="default" w:ascii="Symbol" w:hAnsi="Symbol"/>
      </w:rPr>
    </w:lvl>
  </w:abstractNum>
  <w:abstractNum w:abstractNumId="1">
    <w:nsid w:val="779E2FD5"/>
    <w:multiLevelType w:val="multilevel"/>
    <w:tmpl w:val="779E2FD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kODM4N2NhMjkzODNkZGJmNTNkYjM5ZThkMTRkODYifQ=="/>
    <w:docVar w:name="KSO_WPS_MARK_KEY" w:val="b77bd708-6967-4c86-b607-7362b3f16a39"/>
  </w:docVars>
  <w:rsids>
    <w:rsidRoot w:val="00F61602"/>
    <w:rsid w:val="000010BC"/>
    <w:rsid w:val="0000214F"/>
    <w:rsid w:val="00002375"/>
    <w:rsid w:val="00002682"/>
    <w:rsid w:val="00002851"/>
    <w:rsid w:val="00013D3E"/>
    <w:rsid w:val="00015F8D"/>
    <w:rsid w:val="0001623F"/>
    <w:rsid w:val="000163E4"/>
    <w:rsid w:val="000246EA"/>
    <w:rsid w:val="00030847"/>
    <w:rsid w:val="000310E6"/>
    <w:rsid w:val="00031114"/>
    <w:rsid w:val="0003122C"/>
    <w:rsid w:val="00035367"/>
    <w:rsid w:val="00044A5D"/>
    <w:rsid w:val="00051308"/>
    <w:rsid w:val="000555E0"/>
    <w:rsid w:val="00067D29"/>
    <w:rsid w:val="00081A85"/>
    <w:rsid w:val="00083150"/>
    <w:rsid w:val="00083A32"/>
    <w:rsid w:val="00086606"/>
    <w:rsid w:val="00093C69"/>
    <w:rsid w:val="0009797C"/>
    <w:rsid w:val="00097B92"/>
    <w:rsid w:val="000A2090"/>
    <w:rsid w:val="000B2719"/>
    <w:rsid w:val="000B5742"/>
    <w:rsid w:val="000C06BF"/>
    <w:rsid w:val="000C3601"/>
    <w:rsid w:val="000D1A26"/>
    <w:rsid w:val="000D3C9D"/>
    <w:rsid w:val="000D61EA"/>
    <w:rsid w:val="000D6B77"/>
    <w:rsid w:val="000F09D2"/>
    <w:rsid w:val="000F165E"/>
    <w:rsid w:val="000F1A2D"/>
    <w:rsid w:val="000F6A02"/>
    <w:rsid w:val="001110BD"/>
    <w:rsid w:val="00115DEC"/>
    <w:rsid w:val="00115EB3"/>
    <w:rsid w:val="00120B1D"/>
    <w:rsid w:val="00121E49"/>
    <w:rsid w:val="00122515"/>
    <w:rsid w:val="00122F38"/>
    <w:rsid w:val="00132832"/>
    <w:rsid w:val="00134248"/>
    <w:rsid w:val="0014640F"/>
    <w:rsid w:val="00151BD0"/>
    <w:rsid w:val="00153D43"/>
    <w:rsid w:val="0016371B"/>
    <w:rsid w:val="001656FD"/>
    <w:rsid w:val="00170495"/>
    <w:rsid w:val="001756CA"/>
    <w:rsid w:val="001759DD"/>
    <w:rsid w:val="00180C3A"/>
    <w:rsid w:val="00184190"/>
    <w:rsid w:val="00185BCC"/>
    <w:rsid w:val="00192D82"/>
    <w:rsid w:val="001940B9"/>
    <w:rsid w:val="001942AA"/>
    <w:rsid w:val="00194E2C"/>
    <w:rsid w:val="0019561F"/>
    <w:rsid w:val="001957EE"/>
    <w:rsid w:val="00195FAB"/>
    <w:rsid w:val="001A5C63"/>
    <w:rsid w:val="001B019A"/>
    <w:rsid w:val="001B2047"/>
    <w:rsid w:val="001B7036"/>
    <w:rsid w:val="001D1646"/>
    <w:rsid w:val="001D228A"/>
    <w:rsid w:val="001D5D3B"/>
    <w:rsid w:val="001E19B7"/>
    <w:rsid w:val="001E76C2"/>
    <w:rsid w:val="001F0861"/>
    <w:rsid w:val="001F6A15"/>
    <w:rsid w:val="00200C6E"/>
    <w:rsid w:val="00201053"/>
    <w:rsid w:val="00204638"/>
    <w:rsid w:val="00204B98"/>
    <w:rsid w:val="00205D20"/>
    <w:rsid w:val="0020649C"/>
    <w:rsid w:val="00207732"/>
    <w:rsid w:val="0021041A"/>
    <w:rsid w:val="00212EE3"/>
    <w:rsid w:val="00213089"/>
    <w:rsid w:val="00215BB6"/>
    <w:rsid w:val="00223763"/>
    <w:rsid w:val="00227F5C"/>
    <w:rsid w:val="00232658"/>
    <w:rsid w:val="00241577"/>
    <w:rsid w:val="00242ABE"/>
    <w:rsid w:val="002461B2"/>
    <w:rsid w:val="002462BA"/>
    <w:rsid w:val="00252755"/>
    <w:rsid w:val="00254D5F"/>
    <w:rsid w:val="002554FC"/>
    <w:rsid w:val="0025637D"/>
    <w:rsid w:val="00261B1F"/>
    <w:rsid w:val="002716B1"/>
    <w:rsid w:val="002768DF"/>
    <w:rsid w:val="0028689B"/>
    <w:rsid w:val="002A2B1B"/>
    <w:rsid w:val="002A6A3F"/>
    <w:rsid w:val="002B15AA"/>
    <w:rsid w:val="002B2289"/>
    <w:rsid w:val="002B2562"/>
    <w:rsid w:val="002B28DC"/>
    <w:rsid w:val="002B3F72"/>
    <w:rsid w:val="002C1FEF"/>
    <w:rsid w:val="002C3214"/>
    <w:rsid w:val="002C4CA0"/>
    <w:rsid w:val="002C5CA2"/>
    <w:rsid w:val="002D04CC"/>
    <w:rsid w:val="002E12A5"/>
    <w:rsid w:val="002E130D"/>
    <w:rsid w:val="002E52A0"/>
    <w:rsid w:val="002E65ED"/>
    <w:rsid w:val="002E7E44"/>
    <w:rsid w:val="002F3117"/>
    <w:rsid w:val="002F34A7"/>
    <w:rsid w:val="002F64FD"/>
    <w:rsid w:val="002F7A54"/>
    <w:rsid w:val="003104D1"/>
    <w:rsid w:val="00310506"/>
    <w:rsid w:val="003122B6"/>
    <w:rsid w:val="00315A00"/>
    <w:rsid w:val="00330102"/>
    <w:rsid w:val="00336405"/>
    <w:rsid w:val="003477C5"/>
    <w:rsid w:val="0035180D"/>
    <w:rsid w:val="00356A38"/>
    <w:rsid w:val="00356CFA"/>
    <w:rsid w:val="003602F3"/>
    <w:rsid w:val="00360362"/>
    <w:rsid w:val="0036239C"/>
    <w:rsid w:val="00372908"/>
    <w:rsid w:val="00374935"/>
    <w:rsid w:val="0037498B"/>
    <w:rsid w:val="003875BD"/>
    <w:rsid w:val="00387C21"/>
    <w:rsid w:val="003C22B0"/>
    <w:rsid w:val="003D3441"/>
    <w:rsid w:val="003D4331"/>
    <w:rsid w:val="003E0AE7"/>
    <w:rsid w:val="003E5346"/>
    <w:rsid w:val="003E6462"/>
    <w:rsid w:val="003E659D"/>
    <w:rsid w:val="003F012C"/>
    <w:rsid w:val="00400686"/>
    <w:rsid w:val="0040207E"/>
    <w:rsid w:val="00406BD1"/>
    <w:rsid w:val="00407453"/>
    <w:rsid w:val="0041260E"/>
    <w:rsid w:val="00412E0A"/>
    <w:rsid w:val="00421CE1"/>
    <w:rsid w:val="00425A97"/>
    <w:rsid w:val="00431488"/>
    <w:rsid w:val="004329DB"/>
    <w:rsid w:val="004432E1"/>
    <w:rsid w:val="00443BAB"/>
    <w:rsid w:val="00446613"/>
    <w:rsid w:val="0045120F"/>
    <w:rsid w:val="00455AC6"/>
    <w:rsid w:val="00462794"/>
    <w:rsid w:val="00463587"/>
    <w:rsid w:val="004637D3"/>
    <w:rsid w:val="004660B5"/>
    <w:rsid w:val="004663DB"/>
    <w:rsid w:val="00474834"/>
    <w:rsid w:val="00474B27"/>
    <w:rsid w:val="00477EC4"/>
    <w:rsid w:val="004827F0"/>
    <w:rsid w:val="00491278"/>
    <w:rsid w:val="004955F0"/>
    <w:rsid w:val="00496563"/>
    <w:rsid w:val="004973F4"/>
    <w:rsid w:val="004A3DC6"/>
    <w:rsid w:val="004A640D"/>
    <w:rsid w:val="004A646D"/>
    <w:rsid w:val="004B1869"/>
    <w:rsid w:val="004C35CC"/>
    <w:rsid w:val="004D1555"/>
    <w:rsid w:val="004D5466"/>
    <w:rsid w:val="004D5C42"/>
    <w:rsid w:val="004D6527"/>
    <w:rsid w:val="004E4151"/>
    <w:rsid w:val="004F12AF"/>
    <w:rsid w:val="00501BE9"/>
    <w:rsid w:val="0050305D"/>
    <w:rsid w:val="005049B7"/>
    <w:rsid w:val="00512031"/>
    <w:rsid w:val="0052052C"/>
    <w:rsid w:val="005214B2"/>
    <w:rsid w:val="00535F2A"/>
    <w:rsid w:val="00536A9D"/>
    <w:rsid w:val="00540F03"/>
    <w:rsid w:val="00545265"/>
    <w:rsid w:val="00562EFC"/>
    <w:rsid w:val="00565B57"/>
    <w:rsid w:val="00567311"/>
    <w:rsid w:val="005730B2"/>
    <w:rsid w:val="00576316"/>
    <w:rsid w:val="00594E57"/>
    <w:rsid w:val="00594F28"/>
    <w:rsid w:val="00595F5D"/>
    <w:rsid w:val="005B00BB"/>
    <w:rsid w:val="005B32C1"/>
    <w:rsid w:val="005B52D6"/>
    <w:rsid w:val="005B5843"/>
    <w:rsid w:val="005B5DB8"/>
    <w:rsid w:val="005C406A"/>
    <w:rsid w:val="005C67F7"/>
    <w:rsid w:val="005D2380"/>
    <w:rsid w:val="005D560B"/>
    <w:rsid w:val="005E543B"/>
    <w:rsid w:val="005E6823"/>
    <w:rsid w:val="005F6242"/>
    <w:rsid w:val="005F7F7E"/>
    <w:rsid w:val="006003EE"/>
    <w:rsid w:val="006029CF"/>
    <w:rsid w:val="006172A7"/>
    <w:rsid w:val="00620480"/>
    <w:rsid w:val="00620B97"/>
    <w:rsid w:val="006236C8"/>
    <w:rsid w:val="006250F1"/>
    <w:rsid w:val="006267AB"/>
    <w:rsid w:val="00627CDE"/>
    <w:rsid w:val="00630528"/>
    <w:rsid w:val="00631126"/>
    <w:rsid w:val="00635B61"/>
    <w:rsid w:val="00645F15"/>
    <w:rsid w:val="00647324"/>
    <w:rsid w:val="00655276"/>
    <w:rsid w:val="00655F18"/>
    <w:rsid w:val="0066616E"/>
    <w:rsid w:val="00667654"/>
    <w:rsid w:val="00672FE8"/>
    <w:rsid w:val="00673394"/>
    <w:rsid w:val="006746C7"/>
    <w:rsid w:val="006A3AA2"/>
    <w:rsid w:val="006A7514"/>
    <w:rsid w:val="006A7B49"/>
    <w:rsid w:val="006A7D42"/>
    <w:rsid w:val="006B3DB8"/>
    <w:rsid w:val="006B7657"/>
    <w:rsid w:val="006C351A"/>
    <w:rsid w:val="006D08BA"/>
    <w:rsid w:val="006D3235"/>
    <w:rsid w:val="006D38AC"/>
    <w:rsid w:val="006D5BB5"/>
    <w:rsid w:val="006E202A"/>
    <w:rsid w:val="006E3559"/>
    <w:rsid w:val="006E4DC5"/>
    <w:rsid w:val="006E6210"/>
    <w:rsid w:val="006E6C42"/>
    <w:rsid w:val="006F0FCD"/>
    <w:rsid w:val="006F53EB"/>
    <w:rsid w:val="00715BA4"/>
    <w:rsid w:val="00717ADA"/>
    <w:rsid w:val="00732B98"/>
    <w:rsid w:val="00732C30"/>
    <w:rsid w:val="007337E7"/>
    <w:rsid w:val="007427A3"/>
    <w:rsid w:val="0074394D"/>
    <w:rsid w:val="007473C8"/>
    <w:rsid w:val="00751BF2"/>
    <w:rsid w:val="00752622"/>
    <w:rsid w:val="00757DA3"/>
    <w:rsid w:val="00762B5D"/>
    <w:rsid w:val="0077134C"/>
    <w:rsid w:val="00774BF1"/>
    <w:rsid w:val="0077734C"/>
    <w:rsid w:val="007801DB"/>
    <w:rsid w:val="00786348"/>
    <w:rsid w:val="007903E4"/>
    <w:rsid w:val="007906BF"/>
    <w:rsid w:val="00790D58"/>
    <w:rsid w:val="00791607"/>
    <w:rsid w:val="00793BE6"/>
    <w:rsid w:val="00794BFF"/>
    <w:rsid w:val="007A1C78"/>
    <w:rsid w:val="007A4158"/>
    <w:rsid w:val="007B12A6"/>
    <w:rsid w:val="007B51A8"/>
    <w:rsid w:val="007C6214"/>
    <w:rsid w:val="007D170D"/>
    <w:rsid w:val="007D33E1"/>
    <w:rsid w:val="007E08B1"/>
    <w:rsid w:val="007E2570"/>
    <w:rsid w:val="007E6775"/>
    <w:rsid w:val="007F1EC7"/>
    <w:rsid w:val="007F3E47"/>
    <w:rsid w:val="007F7605"/>
    <w:rsid w:val="008060A4"/>
    <w:rsid w:val="00812F0B"/>
    <w:rsid w:val="00825DF0"/>
    <w:rsid w:val="00836285"/>
    <w:rsid w:val="0083789C"/>
    <w:rsid w:val="00846B28"/>
    <w:rsid w:val="00850D40"/>
    <w:rsid w:val="00854545"/>
    <w:rsid w:val="00855843"/>
    <w:rsid w:val="00855EBE"/>
    <w:rsid w:val="008638FD"/>
    <w:rsid w:val="00864A69"/>
    <w:rsid w:val="00866C8B"/>
    <w:rsid w:val="008707AD"/>
    <w:rsid w:val="0087548A"/>
    <w:rsid w:val="00875804"/>
    <w:rsid w:val="0088085B"/>
    <w:rsid w:val="0088218B"/>
    <w:rsid w:val="00883B59"/>
    <w:rsid w:val="00886A63"/>
    <w:rsid w:val="00892D78"/>
    <w:rsid w:val="00892F45"/>
    <w:rsid w:val="008938A8"/>
    <w:rsid w:val="00893C06"/>
    <w:rsid w:val="00896937"/>
    <w:rsid w:val="008A2323"/>
    <w:rsid w:val="008A27D7"/>
    <w:rsid w:val="008A2D6C"/>
    <w:rsid w:val="008A3760"/>
    <w:rsid w:val="008B2B88"/>
    <w:rsid w:val="008B49B7"/>
    <w:rsid w:val="008B5206"/>
    <w:rsid w:val="008C69AE"/>
    <w:rsid w:val="008C7244"/>
    <w:rsid w:val="008D328A"/>
    <w:rsid w:val="008D34D5"/>
    <w:rsid w:val="008D491A"/>
    <w:rsid w:val="008D7033"/>
    <w:rsid w:val="008E1C19"/>
    <w:rsid w:val="008E3182"/>
    <w:rsid w:val="008F275D"/>
    <w:rsid w:val="008F584A"/>
    <w:rsid w:val="008F76AB"/>
    <w:rsid w:val="00905652"/>
    <w:rsid w:val="0092268C"/>
    <w:rsid w:val="00925C06"/>
    <w:rsid w:val="00927477"/>
    <w:rsid w:val="00940997"/>
    <w:rsid w:val="009435EF"/>
    <w:rsid w:val="00946893"/>
    <w:rsid w:val="00952788"/>
    <w:rsid w:val="009550EF"/>
    <w:rsid w:val="0095541B"/>
    <w:rsid w:val="009568FC"/>
    <w:rsid w:val="009659A2"/>
    <w:rsid w:val="00967613"/>
    <w:rsid w:val="009741EA"/>
    <w:rsid w:val="0097716A"/>
    <w:rsid w:val="009865E7"/>
    <w:rsid w:val="00986E5F"/>
    <w:rsid w:val="00987941"/>
    <w:rsid w:val="009905F1"/>
    <w:rsid w:val="00992768"/>
    <w:rsid w:val="00994763"/>
    <w:rsid w:val="00995F40"/>
    <w:rsid w:val="009A71A4"/>
    <w:rsid w:val="009B185F"/>
    <w:rsid w:val="009B2390"/>
    <w:rsid w:val="009B5AD1"/>
    <w:rsid w:val="009C0628"/>
    <w:rsid w:val="009C42BD"/>
    <w:rsid w:val="009C6881"/>
    <w:rsid w:val="009D2D2D"/>
    <w:rsid w:val="009D67EF"/>
    <w:rsid w:val="009D75B2"/>
    <w:rsid w:val="009E666A"/>
    <w:rsid w:val="009F13AA"/>
    <w:rsid w:val="009F6058"/>
    <w:rsid w:val="00A00C9F"/>
    <w:rsid w:val="00A16A89"/>
    <w:rsid w:val="00A172CA"/>
    <w:rsid w:val="00A26180"/>
    <w:rsid w:val="00A272CD"/>
    <w:rsid w:val="00A273FD"/>
    <w:rsid w:val="00A32CC7"/>
    <w:rsid w:val="00A342F8"/>
    <w:rsid w:val="00A347F6"/>
    <w:rsid w:val="00A3508C"/>
    <w:rsid w:val="00A36504"/>
    <w:rsid w:val="00A45EA1"/>
    <w:rsid w:val="00A55E53"/>
    <w:rsid w:val="00A56AA1"/>
    <w:rsid w:val="00A67421"/>
    <w:rsid w:val="00A710F7"/>
    <w:rsid w:val="00A711C9"/>
    <w:rsid w:val="00A72E4D"/>
    <w:rsid w:val="00A7585D"/>
    <w:rsid w:val="00A75D7C"/>
    <w:rsid w:val="00A76041"/>
    <w:rsid w:val="00A81C05"/>
    <w:rsid w:val="00A87D8B"/>
    <w:rsid w:val="00A932AC"/>
    <w:rsid w:val="00AB0541"/>
    <w:rsid w:val="00AB1614"/>
    <w:rsid w:val="00AB2A44"/>
    <w:rsid w:val="00AB6478"/>
    <w:rsid w:val="00AB6AC5"/>
    <w:rsid w:val="00AB6DF7"/>
    <w:rsid w:val="00AC33DF"/>
    <w:rsid w:val="00AE0ADB"/>
    <w:rsid w:val="00AE4D6E"/>
    <w:rsid w:val="00AE767B"/>
    <w:rsid w:val="00AE7869"/>
    <w:rsid w:val="00AF0DDB"/>
    <w:rsid w:val="00AF147C"/>
    <w:rsid w:val="00AF1808"/>
    <w:rsid w:val="00AF1B77"/>
    <w:rsid w:val="00AF4C65"/>
    <w:rsid w:val="00AF4DFD"/>
    <w:rsid w:val="00AF5BA0"/>
    <w:rsid w:val="00AF76AE"/>
    <w:rsid w:val="00B00870"/>
    <w:rsid w:val="00B05443"/>
    <w:rsid w:val="00B06FEF"/>
    <w:rsid w:val="00B0716E"/>
    <w:rsid w:val="00B14C49"/>
    <w:rsid w:val="00B26999"/>
    <w:rsid w:val="00B476CD"/>
    <w:rsid w:val="00B54325"/>
    <w:rsid w:val="00B55945"/>
    <w:rsid w:val="00B5697E"/>
    <w:rsid w:val="00B67CA9"/>
    <w:rsid w:val="00B74E60"/>
    <w:rsid w:val="00B75669"/>
    <w:rsid w:val="00B75B81"/>
    <w:rsid w:val="00B762D7"/>
    <w:rsid w:val="00B77A58"/>
    <w:rsid w:val="00B84B2C"/>
    <w:rsid w:val="00B87B7C"/>
    <w:rsid w:val="00B95BDA"/>
    <w:rsid w:val="00BA5C80"/>
    <w:rsid w:val="00BB0F84"/>
    <w:rsid w:val="00BC1690"/>
    <w:rsid w:val="00BD13ED"/>
    <w:rsid w:val="00BE0240"/>
    <w:rsid w:val="00BE2084"/>
    <w:rsid w:val="00BE6E00"/>
    <w:rsid w:val="00BF489C"/>
    <w:rsid w:val="00BF5393"/>
    <w:rsid w:val="00C0488C"/>
    <w:rsid w:val="00C109B8"/>
    <w:rsid w:val="00C11C12"/>
    <w:rsid w:val="00C11FF7"/>
    <w:rsid w:val="00C17738"/>
    <w:rsid w:val="00C3383A"/>
    <w:rsid w:val="00C35E91"/>
    <w:rsid w:val="00C37F9F"/>
    <w:rsid w:val="00C4076B"/>
    <w:rsid w:val="00C4158F"/>
    <w:rsid w:val="00C41A4E"/>
    <w:rsid w:val="00C4718D"/>
    <w:rsid w:val="00C52087"/>
    <w:rsid w:val="00C60DF5"/>
    <w:rsid w:val="00C7018F"/>
    <w:rsid w:val="00C7339A"/>
    <w:rsid w:val="00C73D55"/>
    <w:rsid w:val="00C75847"/>
    <w:rsid w:val="00C84A98"/>
    <w:rsid w:val="00CA6034"/>
    <w:rsid w:val="00CA73E4"/>
    <w:rsid w:val="00CA77B4"/>
    <w:rsid w:val="00CA7BF2"/>
    <w:rsid w:val="00CB0A0C"/>
    <w:rsid w:val="00CB1893"/>
    <w:rsid w:val="00CD34C9"/>
    <w:rsid w:val="00CD627D"/>
    <w:rsid w:val="00CE0018"/>
    <w:rsid w:val="00CE023B"/>
    <w:rsid w:val="00CF7942"/>
    <w:rsid w:val="00D1026F"/>
    <w:rsid w:val="00D15814"/>
    <w:rsid w:val="00D163C2"/>
    <w:rsid w:val="00D16C4B"/>
    <w:rsid w:val="00D218DA"/>
    <w:rsid w:val="00D227BF"/>
    <w:rsid w:val="00D22F25"/>
    <w:rsid w:val="00D328F6"/>
    <w:rsid w:val="00D35490"/>
    <w:rsid w:val="00D41D90"/>
    <w:rsid w:val="00D426BA"/>
    <w:rsid w:val="00D44133"/>
    <w:rsid w:val="00D54A43"/>
    <w:rsid w:val="00D72E5E"/>
    <w:rsid w:val="00D747BB"/>
    <w:rsid w:val="00D75442"/>
    <w:rsid w:val="00D8358C"/>
    <w:rsid w:val="00D83FCB"/>
    <w:rsid w:val="00D8446D"/>
    <w:rsid w:val="00D94713"/>
    <w:rsid w:val="00D951C8"/>
    <w:rsid w:val="00DA0928"/>
    <w:rsid w:val="00DA0C70"/>
    <w:rsid w:val="00DA1DD7"/>
    <w:rsid w:val="00DA3256"/>
    <w:rsid w:val="00DA402A"/>
    <w:rsid w:val="00DA46A9"/>
    <w:rsid w:val="00DB09D6"/>
    <w:rsid w:val="00DB2D3F"/>
    <w:rsid w:val="00DD2A0D"/>
    <w:rsid w:val="00DD3184"/>
    <w:rsid w:val="00DD7F88"/>
    <w:rsid w:val="00DE4168"/>
    <w:rsid w:val="00DE50F3"/>
    <w:rsid w:val="00DE5B5D"/>
    <w:rsid w:val="00DF08F9"/>
    <w:rsid w:val="00DF5B68"/>
    <w:rsid w:val="00E01541"/>
    <w:rsid w:val="00E017A6"/>
    <w:rsid w:val="00E030AD"/>
    <w:rsid w:val="00E035D2"/>
    <w:rsid w:val="00E07F67"/>
    <w:rsid w:val="00E17CB5"/>
    <w:rsid w:val="00E2025E"/>
    <w:rsid w:val="00E234B6"/>
    <w:rsid w:val="00E238C2"/>
    <w:rsid w:val="00E253B3"/>
    <w:rsid w:val="00E26D50"/>
    <w:rsid w:val="00E30A60"/>
    <w:rsid w:val="00E34433"/>
    <w:rsid w:val="00E34EDE"/>
    <w:rsid w:val="00E41915"/>
    <w:rsid w:val="00E42C90"/>
    <w:rsid w:val="00E4309F"/>
    <w:rsid w:val="00E45E18"/>
    <w:rsid w:val="00E46E9E"/>
    <w:rsid w:val="00E55383"/>
    <w:rsid w:val="00E55BDA"/>
    <w:rsid w:val="00E55D44"/>
    <w:rsid w:val="00E7060A"/>
    <w:rsid w:val="00E70F3D"/>
    <w:rsid w:val="00E74362"/>
    <w:rsid w:val="00E82678"/>
    <w:rsid w:val="00E8327F"/>
    <w:rsid w:val="00E90D6D"/>
    <w:rsid w:val="00E915D6"/>
    <w:rsid w:val="00E9444D"/>
    <w:rsid w:val="00E94593"/>
    <w:rsid w:val="00E9461F"/>
    <w:rsid w:val="00E9465C"/>
    <w:rsid w:val="00E95A78"/>
    <w:rsid w:val="00E9776A"/>
    <w:rsid w:val="00E97A61"/>
    <w:rsid w:val="00EA15D4"/>
    <w:rsid w:val="00EA4F0C"/>
    <w:rsid w:val="00EA5CD5"/>
    <w:rsid w:val="00EB026F"/>
    <w:rsid w:val="00EB2C0E"/>
    <w:rsid w:val="00EB355B"/>
    <w:rsid w:val="00EB5CB5"/>
    <w:rsid w:val="00EC5643"/>
    <w:rsid w:val="00EC6477"/>
    <w:rsid w:val="00ED5F91"/>
    <w:rsid w:val="00ED7127"/>
    <w:rsid w:val="00EE36E5"/>
    <w:rsid w:val="00EE3B34"/>
    <w:rsid w:val="00EF193A"/>
    <w:rsid w:val="00EF3CAE"/>
    <w:rsid w:val="00EF6AF5"/>
    <w:rsid w:val="00F04B1C"/>
    <w:rsid w:val="00F163D4"/>
    <w:rsid w:val="00F17351"/>
    <w:rsid w:val="00F247D9"/>
    <w:rsid w:val="00F2502F"/>
    <w:rsid w:val="00F27BF5"/>
    <w:rsid w:val="00F318DE"/>
    <w:rsid w:val="00F40FA4"/>
    <w:rsid w:val="00F41168"/>
    <w:rsid w:val="00F4157B"/>
    <w:rsid w:val="00F46839"/>
    <w:rsid w:val="00F47DE5"/>
    <w:rsid w:val="00F47F2D"/>
    <w:rsid w:val="00F501D6"/>
    <w:rsid w:val="00F53BD1"/>
    <w:rsid w:val="00F60E2B"/>
    <w:rsid w:val="00F61602"/>
    <w:rsid w:val="00F717E9"/>
    <w:rsid w:val="00F71F31"/>
    <w:rsid w:val="00F72F99"/>
    <w:rsid w:val="00F733D9"/>
    <w:rsid w:val="00F75BF5"/>
    <w:rsid w:val="00F83F69"/>
    <w:rsid w:val="00F853E1"/>
    <w:rsid w:val="00F956DA"/>
    <w:rsid w:val="00F95CFA"/>
    <w:rsid w:val="00FA32A8"/>
    <w:rsid w:val="00FA32BC"/>
    <w:rsid w:val="00FA3D66"/>
    <w:rsid w:val="00FA4247"/>
    <w:rsid w:val="00FA461A"/>
    <w:rsid w:val="00FB1195"/>
    <w:rsid w:val="00FB44EC"/>
    <w:rsid w:val="00FC3387"/>
    <w:rsid w:val="00FC34D1"/>
    <w:rsid w:val="00FC3D7E"/>
    <w:rsid w:val="00FD2550"/>
    <w:rsid w:val="00FD4237"/>
    <w:rsid w:val="00FD6552"/>
    <w:rsid w:val="00FD7A85"/>
    <w:rsid w:val="00FE20DB"/>
    <w:rsid w:val="00FE3E14"/>
    <w:rsid w:val="00FE3E83"/>
    <w:rsid w:val="00FE669C"/>
    <w:rsid w:val="00FE744D"/>
    <w:rsid w:val="00FF512F"/>
    <w:rsid w:val="00FF5573"/>
    <w:rsid w:val="04352DBB"/>
    <w:rsid w:val="07F97307"/>
    <w:rsid w:val="08E51639"/>
    <w:rsid w:val="124238C6"/>
    <w:rsid w:val="1D022362"/>
    <w:rsid w:val="1D440BCC"/>
    <w:rsid w:val="237C7E0A"/>
    <w:rsid w:val="23E8630A"/>
    <w:rsid w:val="25445C0D"/>
    <w:rsid w:val="285500A5"/>
    <w:rsid w:val="2CE90E48"/>
    <w:rsid w:val="2E497DF1"/>
    <w:rsid w:val="2F340659"/>
    <w:rsid w:val="30F25FAE"/>
    <w:rsid w:val="3A2D692D"/>
    <w:rsid w:val="48DE37B1"/>
    <w:rsid w:val="4E3A10AC"/>
    <w:rsid w:val="55801A9A"/>
    <w:rsid w:val="568B4B9B"/>
    <w:rsid w:val="583966E8"/>
    <w:rsid w:val="6118527D"/>
    <w:rsid w:val="6868681E"/>
    <w:rsid w:val="76AA29C3"/>
  </w:rsids>
  <m:mathPr>
    <m:mathFont m:val="Cambria Math"/>
    <m:brkBin m:val="before"/>
    <m:brkBinSub m:val="--"/>
    <m:smallFrac m:val="0"/>
    <m:dispDef/>
    <m:lMargin m:val="0"/>
    <m:rMargin m:val="0"/>
    <m:defJc m:val="centerGroup"/>
    <m:wrapRight m:val="1"/>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4"/>
    <w:semiHidden/>
    <w:unhideWhenUsed/>
    <w:qFormat/>
    <w:uiPriority w:val="9"/>
    <w:pPr>
      <w:keepNext/>
      <w:spacing w:before="240" w:after="60"/>
      <w:outlineLvl w:val="1"/>
    </w:pPr>
    <w:rPr>
      <w:rFonts w:ascii="Calibri Light" w:hAnsi="Calibri Light" w:eastAsia="等线 Light" w:cs="Mangal"/>
      <w:b/>
      <w:bCs/>
      <w:i/>
      <w:iCs/>
      <w:sz w:val="28"/>
      <w:szCs w:val="28"/>
    </w:rPr>
  </w:style>
  <w:style w:type="paragraph" w:styleId="4">
    <w:name w:val="heading 3"/>
    <w:basedOn w:val="1"/>
    <w:next w:val="1"/>
    <w:link w:val="25"/>
    <w:unhideWhenUsed/>
    <w:qFormat/>
    <w:uiPriority w:val="9"/>
    <w:pPr>
      <w:keepNext/>
      <w:spacing w:before="240" w:after="60"/>
      <w:outlineLvl w:val="2"/>
    </w:pPr>
    <w:rPr>
      <w:rFonts w:ascii="Calibri Light" w:hAnsi="Calibri Light" w:eastAsia="等线 Light" w:cs="Mangal"/>
      <w:b/>
      <w:bCs/>
      <w:sz w:val="26"/>
      <w:szCs w:val="26"/>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Body Text Indent"/>
    <w:basedOn w:val="1"/>
    <w:qFormat/>
    <w:uiPriority w:val="0"/>
    <w:pPr>
      <w:tabs>
        <w:tab w:val="left" w:pos="6840"/>
      </w:tabs>
      <w:ind w:firstLine="570"/>
    </w:pPr>
    <w:rPr>
      <w:rFonts w:ascii="宋体" w:hAnsi="宋体"/>
      <w:sz w:val="24"/>
    </w:rPr>
  </w:style>
  <w:style w:type="paragraph" w:styleId="6">
    <w:name w:val="toc 3"/>
    <w:basedOn w:val="1"/>
    <w:next w:val="1"/>
    <w:unhideWhenUsed/>
    <w:qFormat/>
    <w:uiPriority w:val="39"/>
    <w:pPr>
      <w:ind w:left="840" w:leftChars="400"/>
    </w:pPr>
    <w:rPr>
      <w:rFonts w:asciiTheme="minorHAnsi" w:hAnsiTheme="minorHAnsi" w:eastAsiaTheme="minorEastAsia" w:cstheme="minorBidi"/>
      <w:szCs w:val="22"/>
    </w:rPr>
  </w:style>
  <w:style w:type="paragraph" w:styleId="7">
    <w:name w:val="Date"/>
    <w:basedOn w:val="1"/>
    <w:next w:val="1"/>
    <w:link w:val="29"/>
    <w:qFormat/>
    <w:uiPriority w:val="0"/>
    <w:pPr>
      <w:ind w:left="100" w:leftChars="2500"/>
    </w:pPr>
    <w:rPr>
      <w:b/>
    </w:rPr>
  </w:style>
  <w:style w:type="paragraph" w:styleId="8">
    <w:name w:val="Body Text Indent 2"/>
    <w:basedOn w:val="1"/>
    <w:qFormat/>
    <w:uiPriority w:val="0"/>
    <w:pPr>
      <w:widowControl/>
      <w:ind w:firstLine="480"/>
    </w:pPr>
    <w:rPr>
      <w:kern w:val="0"/>
      <w:sz w:val="24"/>
    </w:rPr>
  </w:style>
  <w:style w:type="paragraph" w:styleId="9">
    <w:name w:val="Balloon Text"/>
    <w:basedOn w:val="1"/>
    <w:link w:val="32"/>
    <w:semiHidden/>
    <w:unhideWhenUsed/>
    <w:qFormat/>
    <w:uiPriority w:val="99"/>
    <w:rPr>
      <w:rFonts w:ascii="Segoe UI" w:hAnsi="Segoe UI" w:cs="Segoe UI"/>
      <w:sz w:val="18"/>
      <w:szCs w:val="18"/>
    </w:rPr>
  </w:style>
  <w:style w:type="paragraph" w:styleId="10">
    <w:name w:val="footer"/>
    <w:basedOn w:val="1"/>
    <w:link w:val="26"/>
    <w:qFormat/>
    <w:uiPriority w:val="0"/>
    <w:pPr>
      <w:tabs>
        <w:tab w:val="center" w:pos="4153"/>
        <w:tab w:val="right" w:pos="8306"/>
      </w:tabs>
      <w:snapToGrid w:val="0"/>
      <w:jc w:val="left"/>
    </w:pPr>
    <w:rPr>
      <w:sz w:val="18"/>
      <w:szCs w:val="18"/>
    </w:rPr>
  </w:style>
  <w:style w:type="paragraph" w:styleId="11">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rPr>
      <w:rFonts w:asciiTheme="minorHAnsi" w:hAnsiTheme="minorHAnsi" w:eastAsiaTheme="minorEastAsia" w:cstheme="minorBidi"/>
      <w:szCs w:val="22"/>
    </w:rPr>
  </w:style>
  <w:style w:type="paragraph" w:styleId="13">
    <w:name w:val="footnote text"/>
    <w:basedOn w:val="1"/>
    <w:link w:val="41"/>
    <w:semiHidden/>
    <w:unhideWhenUsed/>
    <w:qFormat/>
    <w:uiPriority w:val="99"/>
    <w:pPr>
      <w:snapToGrid w:val="0"/>
      <w:jc w:val="left"/>
    </w:pPr>
    <w:rPr>
      <w:rFonts w:asciiTheme="minorHAnsi" w:hAnsiTheme="minorHAnsi" w:eastAsiaTheme="minorEastAsia" w:cstheme="minorBidi"/>
      <w:sz w:val="18"/>
      <w:szCs w:val="18"/>
    </w:rPr>
  </w:style>
  <w:style w:type="paragraph" w:styleId="14">
    <w:name w:val="toc 2"/>
    <w:basedOn w:val="1"/>
    <w:next w:val="1"/>
    <w:unhideWhenUsed/>
    <w:qFormat/>
    <w:uiPriority w:val="39"/>
    <w:pPr>
      <w:ind w:left="420" w:leftChars="200"/>
    </w:pPr>
    <w:rPr>
      <w:rFonts w:asciiTheme="minorHAnsi" w:hAnsiTheme="minorHAnsi" w:eastAsiaTheme="minorEastAsia" w:cstheme="minorBidi"/>
      <w:szCs w:val="22"/>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bCs/>
    </w:rPr>
  </w:style>
  <w:style w:type="character" w:styleId="19">
    <w:name w:val="page number"/>
    <w:basedOn w:val="17"/>
    <w:qFormat/>
    <w:uiPriority w:val="0"/>
  </w:style>
  <w:style w:type="character" w:styleId="20">
    <w:name w:val="Emphasis"/>
    <w:basedOn w:val="17"/>
    <w:qFormat/>
    <w:uiPriority w:val="20"/>
    <w:rPr>
      <w:i/>
      <w:iCs/>
    </w:rPr>
  </w:style>
  <w:style w:type="character" w:styleId="21">
    <w:name w:val="Hyperlink"/>
    <w:basedOn w:val="17"/>
    <w:unhideWhenUsed/>
    <w:qFormat/>
    <w:uiPriority w:val="99"/>
    <w:rPr>
      <w:color w:val="0000FF"/>
      <w:u w:val="single"/>
    </w:rPr>
  </w:style>
  <w:style w:type="character" w:styleId="22">
    <w:name w:val="footnote reference"/>
    <w:basedOn w:val="17"/>
    <w:semiHidden/>
    <w:unhideWhenUsed/>
    <w:qFormat/>
    <w:uiPriority w:val="99"/>
    <w:rPr>
      <w:vertAlign w:val="superscript"/>
    </w:rPr>
  </w:style>
  <w:style w:type="character" w:customStyle="1" w:styleId="23">
    <w:name w:val="标题 1 字符"/>
    <w:link w:val="2"/>
    <w:qFormat/>
    <w:uiPriority w:val="0"/>
    <w:rPr>
      <w:b/>
      <w:bCs/>
      <w:kern w:val="44"/>
      <w:sz w:val="44"/>
      <w:szCs w:val="44"/>
      <w:lang w:bidi="ar-SA"/>
    </w:rPr>
  </w:style>
  <w:style w:type="character" w:customStyle="1" w:styleId="24">
    <w:name w:val="标题 2 字符"/>
    <w:link w:val="3"/>
    <w:semiHidden/>
    <w:qFormat/>
    <w:uiPriority w:val="9"/>
    <w:rPr>
      <w:rFonts w:ascii="Calibri Light" w:hAnsi="Calibri Light" w:eastAsia="等线 Light" w:cs="Mangal"/>
      <w:b/>
      <w:bCs/>
      <w:i/>
      <w:iCs/>
      <w:kern w:val="2"/>
      <w:sz w:val="28"/>
      <w:szCs w:val="28"/>
      <w:lang w:bidi="ar-SA"/>
    </w:rPr>
  </w:style>
  <w:style w:type="character" w:customStyle="1" w:styleId="25">
    <w:name w:val="标题 3 字符"/>
    <w:link w:val="4"/>
    <w:qFormat/>
    <w:uiPriority w:val="9"/>
    <w:rPr>
      <w:rFonts w:ascii="Calibri Light" w:hAnsi="Calibri Light" w:eastAsia="等线 Light" w:cs="Mangal"/>
      <w:b/>
      <w:bCs/>
      <w:kern w:val="2"/>
      <w:sz w:val="26"/>
      <w:szCs w:val="26"/>
      <w:lang w:bidi="ar-SA"/>
    </w:rPr>
  </w:style>
  <w:style w:type="character" w:customStyle="1" w:styleId="26">
    <w:name w:val="页脚 字符"/>
    <w:basedOn w:val="17"/>
    <w:link w:val="10"/>
    <w:qFormat/>
    <w:uiPriority w:val="99"/>
    <w:rPr>
      <w:kern w:val="2"/>
      <w:sz w:val="18"/>
      <w:szCs w:val="18"/>
    </w:rPr>
  </w:style>
  <w:style w:type="paragraph" w:customStyle="1" w:styleId="27">
    <w:name w:val="段"/>
    <w:link w:val="2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8">
    <w:name w:val="段 Char"/>
    <w:link w:val="27"/>
    <w:qFormat/>
    <w:uiPriority w:val="0"/>
    <w:rPr>
      <w:rFonts w:ascii="宋体"/>
      <w:sz w:val="21"/>
      <w:lang w:bidi="ar-SA"/>
    </w:rPr>
  </w:style>
  <w:style w:type="character" w:customStyle="1" w:styleId="29">
    <w:name w:val="日期 字符"/>
    <w:basedOn w:val="17"/>
    <w:link w:val="7"/>
    <w:qFormat/>
    <w:uiPriority w:val="99"/>
    <w:rPr>
      <w:b/>
      <w:kern w:val="2"/>
      <w:sz w:val="21"/>
      <w:szCs w:val="24"/>
    </w:rPr>
  </w:style>
  <w:style w:type="character" w:customStyle="1" w:styleId="30">
    <w:name w:val="页眉 字符"/>
    <w:basedOn w:val="17"/>
    <w:link w:val="11"/>
    <w:qFormat/>
    <w:uiPriority w:val="99"/>
    <w:rPr>
      <w:kern w:val="2"/>
      <w:sz w:val="18"/>
      <w:szCs w:val="18"/>
    </w:rPr>
  </w:style>
  <w:style w:type="paragraph" w:customStyle="1" w:styleId="31">
    <w:name w:val="Minutes info"/>
    <w:basedOn w:val="1"/>
    <w:semiHidden/>
    <w:qFormat/>
    <w:uiPriority w:val="6"/>
    <w:pPr>
      <w:widowControl/>
      <w:spacing w:before="120" w:after="70" w:line="260" w:lineRule="atLeast"/>
      <w:jc w:val="left"/>
    </w:pPr>
    <w:rPr>
      <w:rFonts w:ascii="Arial" w:hAnsi="Arial" w:cs="Mangal"/>
      <w:kern w:val="0"/>
      <w:sz w:val="20"/>
      <w:szCs w:val="20"/>
      <w:lang w:eastAsia="en-US"/>
    </w:rPr>
  </w:style>
  <w:style w:type="character" w:customStyle="1" w:styleId="32">
    <w:name w:val="批注框文本 字符"/>
    <w:link w:val="9"/>
    <w:semiHidden/>
    <w:qFormat/>
    <w:uiPriority w:val="99"/>
    <w:rPr>
      <w:rFonts w:ascii="Segoe UI" w:hAnsi="Segoe UI" w:cs="Segoe UI"/>
      <w:kern w:val="2"/>
      <w:sz w:val="18"/>
      <w:szCs w:val="18"/>
      <w:lang w:bidi="ar-SA"/>
    </w:rPr>
  </w:style>
  <w:style w:type="paragraph" w:customStyle="1" w:styleId="33">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styleId="34">
    <w:name w:val="List Paragraph"/>
    <w:basedOn w:val="1"/>
    <w:qFormat/>
    <w:uiPriority w:val="34"/>
    <w:pPr>
      <w:ind w:firstLine="420" w:firstLineChars="200"/>
    </w:pPr>
  </w:style>
  <w:style w:type="paragraph" w:customStyle="1" w:styleId="35">
    <w:name w:val="附录标识"/>
    <w:basedOn w:val="1"/>
    <w:next w:val="27"/>
    <w:qFormat/>
    <w:uiPriority w:val="0"/>
    <w:pPr>
      <w:keepNext/>
      <w:widowControl/>
      <w:shd w:val="clear" w:color="FFFFFF" w:fill="FFFFFF"/>
      <w:tabs>
        <w:tab w:val="left" w:pos="6405"/>
      </w:tabs>
      <w:spacing w:before="640" w:after="280"/>
      <w:jc w:val="center"/>
      <w:outlineLvl w:val="0"/>
    </w:pPr>
    <w:rPr>
      <w:rFonts w:ascii="黑体" w:eastAsia="黑体"/>
      <w:kern w:val="0"/>
      <w:szCs w:val="20"/>
    </w:rPr>
  </w:style>
  <w:style w:type="paragraph" w:customStyle="1" w:styleId="36">
    <w:name w:val="Bullet Text 1"/>
    <w:basedOn w:val="1"/>
    <w:qFormat/>
    <w:uiPriority w:val="0"/>
    <w:pPr>
      <w:widowControl/>
      <w:numPr>
        <w:ilvl w:val="0"/>
        <w:numId w:val="1"/>
      </w:numPr>
      <w:tabs>
        <w:tab w:val="left" w:pos="193"/>
      </w:tabs>
      <w:spacing w:before="60" w:after="60"/>
      <w:jc w:val="left"/>
    </w:pPr>
    <w:rPr>
      <w:rFonts w:ascii="Arial" w:hAnsi="Arial"/>
      <w:kern w:val="0"/>
      <w:sz w:val="22"/>
      <w:szCs w:val="20"/>
      <w:lang w:val="da-DK" w:eastAsia="en-US"/>
    </w:rPr>
  </w:style>
  <w:style w:type="table" w:customStyle="1" w:styleId="37">
    <w:name w:val="网格型浅色1"/>
    <w:basedOn w:val="15"/>
    <w:qFormat/>
    <w:uiPriority w:val="40"/>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paragraph" w:customStyle="1" w:styleId="38">
    <w:name w:val="列出段落"/>
    <w:basedOn w:val="1"/>
    <w:qFormat/>
    <w:uiPriority w:val="34"/>
    <w:pPr>
      <w:ind w:firstLine="420" w:firstLineChars="200"/>
    </w:pPr>
    <w:rPr>
      <w:rFonts w:ascii="Calibri" w:hAnsi="Calibri"/>
      <w:szCs w:val="22"/>
    </w:rPr>
  </w:style>
  <w:style w:type="paragraph" w:customStyle="1" w:styleId="39">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40">
    <w:name w:val="web-item2"/>
    <w:basedOn w:val="17"/>
    <w:qFormat/>
    <w:uiPriority w:val="0"/>
    <w:rPr>
      <w:sz w:val="18"/>
      <w:szCs w:val="18"/>
    </w:rPr>
  </w:style>
  <w:style w:type="character" w:customStyle="1" w:styleId="41">
    <w:name w:val="脚注文本 字符"/>
    <w:basedOn w:val="17"/>
    <w:link w:val="13"/>
    <w:semiHidden/>
    <w:qFormat/>
    <w:uiPriority w:val="99"/>
    <w:rPr>
      <w:rFonts w:asciiTheme="minorHAnsi" w:hAnsiTheme="minorHAnsi" w:eastAsiaTheme="minorEastAsia" w:cstheme="minorBidi"/>
      <w:kern w:val="2"/>
      <w:sz w:val="18"/>
      <w:szCs w:val="18"/>
    </w:rPr>
  </w:style>
  <w:style w:type="paragraph" w:styleId="42">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4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44">
    <w:name w:val="列项——（一级）"/>
    <w:qFormat/>
    <w:uiPriority w:val="0"/>
    <w:pPr>
      <w:widowControl w:val="0"/>
      <w:tabs>
        <w:tab w:val="left" w:pos="1140"/>
      </w:tabs>
      <w:ind w:left="840" w:hanging="420"/>
      <w:jc w:val="both"/>
    </w:pPr>
    <w:rPr>
      <w:rFonts w:ascii="宋体" w:hAnsi="Times New Roman" w:eastAsia="宋体" w:cs="Times New Roman"/>
      <w:sz w:val="21"/>
      <w:lang w:val="en-US" w:eastAsia="zh-CN" w:bidi="ar-SA"/>
    </w:rPr>
  </w:style>
  <w:style w:type="character" w:customStyle="1" w:styleId="45">
    <w:name w:val="段 Char Char"/>
    <w:qFormat/>
    <w:uiPriority w:val="0"/>
    <w:rPr>
      <w:rFonts w:ascii="宋体"/>
      <w:sz w:val="21"/>
      <w:lang w:val="en-US" w:eastAsia="zh-CN" w:bidi="ar-SA"/>
    </w:rPr>
  </w:style>
  <w:style w:type="paragraph" w:customStyle="1" w:styleId="46">
    <w:name w:val="一级条标题"/>
    <w:next w:val="27"/>
    <w:qFormat/>
    <w:uiPriority w:val="0"/>
    <w:pPr>
      <w:spacing w:before="156" w:beforeLines="50" w:after="156" w:afterLines="50"/>
      <w:ind w:left="525"/>
      <w:outlineLvl w:val="2"/>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846590-A231-4F58-B26C-D60875EEEF25}">
  <ds:schemaRefs/>
</ds:datastoreItem>
</file>

<file path=docProps/app.xml><?xml version="1.0" encoding="utf-8"?>
<Properties xmlns="http://schemas.openxmlformats.org/officeDocument/2006/extended-properties" xmlns:vt="http://schemas.openxmlformats.org/officeDocument/2006/docPropsVTypes">
  <Template>Normal.dotm</Template>
  <Pages>5</Pages>
  <Words>3427</Words>
  <Characters>4042</Characters>
  <Lines>99</Lines>
  <Paragraphs>28</Paragraphs>
  <TotalTime>3</TotalTime>
  <ScaleCrop>false</ScaleCrop>
  <LinksUpToDate>false</LinksUpToDate>
  <CharactersWithSpaces>4102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2021-02-02T10:20:00Z</dcterms:created>
  <dc:creator>a</dc:creator>
  <cp:lastModifiedBy>习惯就好2015</cp:lastModifiedBy>
  <cp:lastPrinted>2019-03-22T06:24:00Z</cp:lastPrinted>
  <dcterms:modified xsi:type="dcterms:W3CDTF">2024-04-30T01:52:27Z</dcterms:modified>
  <dc:title>小麦粉国家标准(GB 1355)</dc:title>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C7F198150A4F4EB5A9A86A97F9B75816</vt:lpwstr>
  </property>
</Properties>
</file>