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702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trHeight w:val="1095" w:hRule="atLeast"/>
        </w:trPr>
        <w:tc>
          <w:tcPr>
            <w:tcW w:w="7027" w:type="dxa"/>
          </w:tcPr>
          <w:p>
            <w:pPr>
              <w:pStyle w:val="49"/>
              <w:framePr w:w="0" w:hRule="auto" w:wrap="auto" w:vAnchor="margin" w:hAnchor="text" w:xAlign="left" w:yAlign="inline"/>
              <w:rPr>
                <w:rFonts w:ascii="宋体" w:hAnsi="宋体"/>
                <w:sz w:val="28"/>
                <w:szCs w:val="28"/>
              </w:rPr>
            </w:pPr>
            <w:bookmarkStart w:id="2" w:name="_Hlk26473981"/>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DBS52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贵州省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rFonts w:hint="eastAsia"/>
          <w:lang w:val="fr-FR"/>
        </w:rPr>
        <w:t>S</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52</w:t>
      </w:r>
      <w:r>
        <w:rPr>
          <w:lang w:val="fr-FR"/>
        </w:rPr>
        <w: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食品安全地方标准 </w:t>
      </w:r>
      <w:r>
        <w:rPr>
          <w:rFonts w:hint="eastAsia"/>
          <w:lang w:eastAsia="zh-CN"/>
        </w:rPr>
        <w:t>折耳根（鱼腥草）</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贵州省卫生健康委员会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9358053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"_Toc93581654" </w:instrText>
      </w:r>
      <w:r>
        <w:fldChar w:fldCharType="separate"/>
      </w:r>
      <w:r>
        <w:rPr>
          <w:rStyle w:val="32"/>
          <w:rFonts w:hint="eastAsia"/>
        </w:rPr>
        <w:t>前言</w:t>
      </w:r>
      <w:r>
        <w:tab/>
      </w:r>
      <w:r>
        <w:fldChar w:fldCharType="begin"/>
      </w:r>
      <w:r>
        <w:instrText xml:space="preserve"> PAGEREF _Toc93581654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"_Toc93581655" </w:instrText>
      </w:r>
      <w:r>
        <w:fldChar w:fldCharType="separate"/>
      </w:r>
      <w:r>
        <w:rPr>
          <w:rStyle w:val="32"/>
        </w:rPr>
        <w:t xml:space="preserve">1 </w:t>
      </w:r>
      <w:r>
        <w:rPr>
          <w:rStyle w:val="32"/>
          <w:rFonts w:hint="eastAsia"/>
        </w:rPr>
        <w:t xml:space="preserve"> 范围</w:t>
      </w:r>
      <w:r>
        <w:tab/>
      </w:r>
      <w:r>
        <w:fldChar w:fldCharType="begin"/>
      </w:r>
      <w:r>
        <w:instrText xml:space="preserve"> PAGEREF _Toc93581655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"_Toc93581656"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_Toc93581656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"_Toc93581657"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_Toc93581657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"_Toc93581658" </w:instrText>
      </w:r>
      <w:r>
        <w:fldChar w:fldCharType="separate"/>
      </w:r>
      <w:r>
        <w:rPr>
          <w:rStyle w:val="32"/>
        </w:rPr>
        <w:t xml:space="preserve">4 </w:t>
      </w:r>
      <w:r>
        <w:rPr>
          <w:rStyle w:val="32"/>
          <w:rFonts w:hint="eastAsia"/>
        </w:rPr>
        <w:t xml:space="preserve"> 要求</w:t>
      </w:r>
      <w:r>
        <w:tab/>
      </w:r>
      <w:r>
        <w:fldChar w:fldCharType="begin"/>
      </w:r>
      <w:r>
        <w:instrText xml:space="preserve"> PAGEREF _Toc93581658 \h </w:instrText>
      </w:r>
      <w:r>
        <w:fldChar w:fldCharType="separate"/>
      </w:r>
      <w:r>
        <w:t>1</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93581654"/>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本文件由贵州省卫生健康委员会归口。</w:t>
      </w:r>
    </w:p>
    <w:p>
      <w:pPr>
        <w:pStyle w:val="56"/>
        <w:ind w:firstLine="420"/>
        <w:rPr>
          <w:rFonts w:hint="eastAsia"/>
          <w:highlight w:val="none"/>
        </w:rPr>
      </w:pPr>
      <w:r>
        <w:rPr>
          <w:rFonts w:hint="eastAsia"/>
        </w:rPr>
        <w:t>本文件起草单位：贵州省疾病预防控制中心</w:t>
      </w:r>
      <w:r>
        <w:rPr>
          <w:rFonts w:hint="eastAsia"/>
          <w:lang w:eastAsia="zh-CN"/>
        </w:rPr>
        <w:t>、</w:t>
      </w:r>
      <w:r>
        <w:rPr>
          <w:rFonts w:hint="default"/>
          <w:lang w:val="en-US" w:eastAsia="zh-CN"/>
        </w:rPr>
        <w:t>贵州省检测技术研究中心</w:t>
      </w:r>
      <w:r>
        <w:rPr>
          <w:rFonts w:hint="eastAsia"/>
          <w:highlight w:val="none"/>
          <w:lang w:val="en-US" w:eastAsia="zh-CN"/>
        </w:rPr>
        <w:t>、贵州中医药大学第二附属医院、黔西南州疾疾病预防控制中心、黔南州疾病预防控制中心、遵义市疾病预防控制中心、黔南州人民医院、安顺市疾病预防控制中心、贵阳海关综合技术中心</w:t>
      </w:r>
      <w:r>
        <w:rPr>
          <w:rFonts w:hint="eastAsia"/>
          <w:highlight w:val="none"/>
        </w:rPr>
        <w:t>。</w:t>
      </w:r>
    </w:p>
    <w:p>
      <w:pPr>
        <w:pStyle w:val="56"/>
        <w:ind w:firstLine="420"/>
      </w:pPr>
      <w:r>
        <w:rPr>
          <w:rFonts w:hint="eastAsia"/>
          <w:highlight w:val="none"/>
        </w:rPr>
        <w:t>本文件主要起草人：周贻兵、毕珊</w:t>
      </w:r>
      <w:r>
        <w:rPr>
          <w:rFonts w:hint="eastAsia"/>
          <w:highlight w:val="none"/>
          <w:lang w:eastAsia="zh-CN"/>
        </w:rPr>
        <w:t>、</w:t>
      </w:r>
      <w:r>
        <w:rPr>
          <w:rFonts w:hint="eastAsia"/>
          <w:highlight w:val="none"/>
          <w:lang w:val="en-US" w:eastAsia="zh-CN"/>
        </w:rPr>
        <w:t>王叶、王睿、林野、</w:t>
      </w:r>
      <w:r>
        <w:rPr>
          <w:rFonts w:hint="eastAsia"/>
          <w:highlight w:val="none"/>
        </w:rPr>
        <w:t>杨绍群、</w:t>
      </w:r>
      <w:bookmarkStart w:id="53" w:name="_GoBack"/>
      <w:bookmarkEnd w:id="53"/>
      <w:r>
        <w:rPr>
          <w:rFonts w:hint="eastAsia"/>
          <w:highlight w:val="none"/>
        </w:rPr>
        <w:t>张权、刘文政、</w:t>
      </w:r>
      <w:r>
        <w:rPr>
          <w:rFonts w:hint="eastAsia"/>
          <w:highlight w:val="none"/>
          <w:lang w:val="en-US" w:eastAsia="zh-CN"/>
        </w:rPr>
        <w:t>廖春</w:t>
      </w:r>
      <w:r>
        <w:rPr>
          <w:rFonts w:hint="eastAsia"/>
          <w:highlight w:val="none"/>
        </w:rPr>
        <w:t>、</w:t>
      </w:r>
      <w:r>
        <w:rPr>
          <w:rFonts w:hint="eastAsia"/>
          <w:highlight w:val="none"/>
          <w:lang w:val="en-US" w:eastAsia="zh-CN"/>
        </w:rPr>
        <w:t>李磊、</w:t>
      </w:r>
      <w:r>
        <w:rPr>
          <w:rFonts w:hint="eastAsia"/>
          <w:highlight w:val="none"/>
        </w:rPr>
        <w:t>王颖怡、刘贵荣、孟春杨、</w:t>
      </w:r>
      <w:r>
        <w:rPr>
          <w:rFonts w:hint="eastAsia"/>
          <w:highlight w:val="none"/>
          <w:lang w:val="en-US" w:eastAsia="zh-CN"/>
        </w:rPr>
        <w:t>张权、吴玉田、</w:t>
      </w:r>
      <w:r>
        <w:rPr>
          <w:rFonts w:hint="eastAsia"/>
          <w:highlight w:val="none"/>
        </w:rPr>
        <w:t>彭蕾</w:t>
      </w:r>
      <w:r>
        <w:rPr>
          <w:rFonts w:hint="eastAsia"/>
          <w:highlight w:val="none"/>
          <w:lang w:eastAsia="zh-CN"/>
        </w:rPr>
        <w:t>、</w:t>
      </w:r>
      <w:r>
        <w:rPr>
          <w:rFonts w:hint="eastAsia"/>
          <w:highlight w:val="none"/>
        </w:rPr>
        <w:t>殷忠</w:t>
      </w:r>
      <w:r>
        <w:rPr>
          <w:rFonts w:hint="eastAsia"/>
          <w:highlight w:val="none"/>
          <w:lang w:eastAsia="zh-CN"/>
        </w:rPr>
        <w:t>、</w:t>
      </w:r>
      <w:r>
        <w:rPr>
          <w:rFonts w:hint="eastAsia"/>
          <w:highlight w:val="none"/>
          <w:lang w:val="en-US" w:eastAsia="zh-CN"/>
        </w:rPr>
        <w:t>张健飞、何晓雅、吴桃丽</w:t>
      </w:r>
      <w:r>
        <w:rPr>
          <w:rFonts w:hint="eastAsia"/>
          <w:lang w:val="en-US" w:eastAsia="zh-CN"/>
        </w:rPr>
        <w:t>、李晓慧、杨琪、张人弘、杨辉、王亮、赵浩然、韦刚、罗吉</w:t>
      </w:r>
      <w:r>
        <w:rPr>
          <w:rFonts w:hint="eastAsia"/>
        </w:rPr>
        <w:t>。</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7B1BEEEB7A2B4DA6B6329DFDC4B63CA3"/>
        </w:placeholder>
      </w:sdtPr>
      <w:sdtContent>
        <w:p>
          <w:pPr>
            <w:pStyle w:val="177"/>
            <w:spacing w:before="312" w:beforeLines="100" w:after="686" w:afterLines="220"/>
          </w:pPr>
          <w:bookmarkStart w:id="26" w:name="NEW_STAND_NAME"/>
          <w:r>
            <w:rPr>
              <w:rFonts w:hint="eastAsia"/>
            </w:rPr>
            <w:t>食品安全地方标准</w:t>
          </w:r>
          <w:r>
            <w:t xml:space="preserve"> </w:t>
          </w:r>
          <w:r>
            <w:rPr>
              <w:rFonts w:hint="eastAsia"/>
              <w:lang w:eastAsia="zh-CN"/>
            </w:rPr>
            <w:t>折耳根（</w:t>
          </w:r>
          <w:r>
            <w:rPr>
              <w:rFonts w:hint="eastAsia"/>
              <w:lang w:val="en-US" w:eastAsia="zh-CN"/>
            </w:rPr>
            <w:t>鱼腥草</w:t>
          </w:r>
          <w:r>
            <w:rPr>
              <w:rFonts w:hint="eastAsia"/>
              <w:lang w:eastAsia="zh-CN"/>
            </w:rPr>
            <w:t>）</w:t>
          </w:r>
        </w:p>
      </w:sdtContent>
    </w:sdt>
    <w:bookmarkEnd w:id="26"/>
    <w:p>
      <w:pPr>
        <w:pStyle w:val="104"/>
        <w:spacing w:before="312" w:after="312"/>
      </w:pPr>
      <w:bookmarkStart w:id="27" w:name="_Toc24884218"/>
      <w:bookmarkStart w:id="28" w:name="_Toc17233325"/>
      <w:bookmarkStart w:id="29" w:name="_Toc26648465"/>
      <w:bookmarkStart w:id="30" w:name="_Toc93580535"/>
      <w:bookmarkStart w:id="31" w:name="_Toc17233333"/>
      <w:bookmarkStart w:id="32" w:name="_Toc24884211"/>
      <w:bookmarkStart w:id="33" w:name="_Toc26986771"/>
      <w:bookmarkStart w:id="34" w:name="_Toc26718930"/>
      <w:bookmarkStart w:id="35" w:name="_Toc26986530"/>
      <w:bookmarkStart w:id="36" w:name="_Toc93581655"/>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rPr>
          <w:rFonts w:hint="eastAsia"/>
          <w:lang w:eastAsia="zh-CN"/>
        </w:rPr>
      </w:pPr>
      <w:bookmarkStart w:id="37" w:name="_Toc17233326"/>
      <w:bookmarkStart w:id="38" w:name="_Toc24884219"/>
      <w:bookmarkStart w:id="39" w:name="_Toc17233334"/>
      <w:bookmarkStart w:id="40" w:name="_Toc26648466"/>
      <w:bookmarkStart w:id="41" w:name="_Toc24884212"/>
      <w:r>
        <w:rPr>
          <w:rFonts w:hint="eastAsia"/>
        </w:rPr>
        <w:t>本文件规定了</w:t>
      </w:r>
      <w:r>
        <w:rPr>
          <w:rFonts w:hint="eastAsia"/>
          <w:lang w:val="en-US" w:eastAsia="zh-CN"/>
        </w:rPr>
        <w:t>折耳根（鱼腥草）</w:t>
      </w:r>
      <w:r>
        <w:rPr>
          <w:rFonts w:hint="eastAsia"/>
        </w:rPr>
        <w:t>的术语和定义、要求（含检验方法）</w:t>
      </w:r>
      <w:r>
        <w:rPr>
          <w:rFonts w:hint="eastAsia"/>
          <w:lang w:eastAsia="zh-CN"/>
        </w:rPr>
        <w:t>。</w:t>
      </w:r>
    </w:p>
    <w:p>
      <w:pPr>
        <w:pStyle w:val="56"/>
        <w:ind w:firstLine="420"/>
      </w:pPr>
      <w:r>
        <w:rPr>
          <w:rFonts w:hint="eastAsia"/>
        </w:rPr>
        <w:t>本文件适用于贵州省内</w:t>
      </w:r>
      <w:r>
        <w:rPr>
          <w:rFonts w:hint="eastAsia"/>
          <w:lang w:eastAsia="zh-CN"/>
        </w:rPr>
        <w:t>种植</w:t>
      </w:r>
      <w:r>
        <w:rPr>
          <w:rFonts w:hint="eastAsia"/>
        </w:rPr>
        <w:t>加工的</w:t>
      </w:r>
      <w:r>
        <w:rPr>
          <w:rFonts w:hint="eastAsia"/>
          <w:lang w:val="en-US" w:eastAsia="zh-CN"/>
        </w:rPr>
        <w:t>折耳根（鱼腥草）</w:t>
      </w:r>
      <w:r>
        <w:rPr>
          <w:rFonts w:hint="eastAsia"/>
          <w:highlight w:val="none"/>
          <w:lang w:eastAsia="zh-CN"/>
        </w:rPr>
        <w:t>鲜品</w:t>
      </w:r>
      <w:r>
        <w:rPr>
          <w:rFonts w:hint="eastAsia"/>
        </w:rPr>
        <w:t>。</w:t>
      </w:r>
    </w:p>
    <w:p>
      <w:pPr>
        <w:pStyle w:val="104"/>
        <w:spacing w:before="312" w:after="312"/>
      </w:pPr>
      <w:bookmarkStart w:id="42" w:name="_Toc26986531"/>
      <w:bookmarkStart w:id="43" w:name="_Toc93581656"/>
      <w:bookmarkStart w:id="44" w:name="_Toc93580536"/>
      <w:bookmarkStart w:id="45" w:name="_Toc26986772"/>
      <w:bookmarkStart w:id="46" w:name="_Toc267189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30823D385044F8EA5B8AC615F8E26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2763  食品安全国家标准 食品中农药最大残留限量</w:t>
      </w:r>
    </w:p>
    <w:p>
      <w:pPr>
        <w:pStyle w:val="56"/>
        <w:ind w:firstLine="420"/>
      </w:pPr>
      <w:r>
        <w:rPr>
          <w:rFonts w:hint="eastAsia"/>
        </w:rPr>
        <w:t>GB 5009.12  食品安全国家标准 食品中铅的测定</w:t>
      </w:r>
    </w:p>
    <w:p>
      <w:pPr>
        <w:pStyle w:val="56"/>
        <w:ind w:firstLine="420"/>
      </w:pPr>
      <w:r>
        <w:rPr>
          <w:rFonts w:hint="eastAsia"/>
        </w:rPr>
        <w:t>GB 5009.</w:t>
      </w:r>
      <w:r>
        <w:rPr>
          <w:rFonts w:hint="eastAsia"/>
          <w:lang w:val="en-US" w:eastAsia="zh-CN"/>
        </w:rPr>
        <w:t>15</w:t>
      </w:r>
      <w:r>
        <w:rPr>
          <w:rFonts w:hint="eastAsia"/>
        </w:rPr>
        <w:t xml:space="preserve">  食品安全国家标准 食品中</w:t>
      </w:r>
      <w:r>
        <w:rPr>
          <w:rFonts w:hint="eastAsia"/>
          <w:lang w:val="en-US" w:eastAsia="zh-CN"/>
        </w:rPr>
        <w:t>镉</w:t>
      </w:r>
      <w:r>
        <w:rPr>
          <w:rFonts w:hint="eastAsia"/>
        </w:rPr>
        <w:t>的测定</w:t>
      </w:r>
    </w:p>
    <w:p>
      <w:pPr>
        <w:pStyle w:val="56"/>
        <w:ind w:firstLine="420"/>
        <w:rPr>
          <w:rFonts w:hint="eastAsia"/>
        </w:rPr>
      </w:pPr>
      <w:r>
        <w:rPr>
          <w:rFonts w:hint="eastAsia"/>
        </w:rPr>
        <w:t>GB 5009.268  食品安全国家标准 食品中多元素的测定</w:t>
      </w:r>
    </w:p>
    <w:p>
      <w:pPr>
        <w:pStyle w:val="56"/>
        <w:ind w:firstLine="420"/>
        <w:rPr>
          <w:rFonts w:hint="eastAsia"/>
        </w:rPr>
      </w:pPr>
      <w:r>
        <w:rPr>
          <w:rFonts w:hint="eastAsia"/>
        </w:rPr>
        <w:t>GB 23200.113</w:t>
      </w:r>
      <w:r>
        <w:rPr>
          <w:rFonts w:hint="eastAsia"/>
          <w:lang w:val="en-US" w:eastAsia="zh-CN"/>
        </w:rPr>
        <w:t xml:space="preserve">  </w:t>
      </w:r>
      <w:r>
        <w:rPr>
          <w:rFonts w:hint="eastAsia"/>
        </w:rPr>
        <w:t>食品安全国家标准 植物源性食品中208种农药及其代谢物残留量的测定 气相色谱-质谱联用法</w:t>
      </w:r>
    </w:p>
    <w:p>
      <w:pPr>
        <w:pStyle w:val="56"/>
        <w:ind w:firstLine="420"/>
        <w:rPr>
          <w:rFonts w:hint="eastAsia"/>
        </w:rPr>
      </w:pPr>
      <w:r>
        <w:rPr>
          <w:rFonts w:hint="eastAsia"/>
        </w:rPr>
        <w:t>GB/T 5009.19</w:t>
      </w:r>
      <w:r>
        <w:rPr>
          <w:rFonts w:hint="eastAsia"/>
          <w:lang w:val="en-US" w:eastAsia="zh-CN"/>
        </w:rPr>
        <w:t xml:space="preserve">  </w:t>
      </w:r>
      <w:r>
        <w:rPr>
          <w:rFonts w:hint="eastAsia"/>
        </w:rPr>
        <w:t>食品中有机氯农药多组分残留量的测定</w:t>
      </w:r>
    </w:p>
    <w:p>
      <w:pPr>
        <w:pStyle w:val="104"/>
        <w:spacing w:before="312" w:after="312"/>
      </w:pPr>
      <w:bookmarkStart w:id="47" w:name="_Toc93580537"/>
      <w:bookmarkStart w:id="48" w:name="_Toc93581657"/>
      <w:r>
        <w:rPr>
          <w:rFonts w:hint="eastAsia"/>
          <w:szCs w:val="21"/>
        </w:rPr>
        <w:t>术语和定义</w:t>
      </w:r>
      <w:bookmarkEnd w:id="47"/>
      <w:bookmarkEnd w:id="48"/>
    </w:p>
    <w:sdt>
      <w:sdtPr>
        <w:id w:val="-1909835108"/>
        <w:placeholder>
          <w:docPart w:val="789FB71EFBF446E3957D8937BB5022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105"/>
        <w:numPr>
          <w:ilvl w:val="0"/>
          <w:numId w:val="0"/>
        </w:numPr>
        <w:spacing w:before="156" w:after="156"/>
        <w:rPr>
          <w:rFonts w:hint="eastAsia"/>
          <w:color w:val="auto"/>
          <w:lang w:val="en-US" w:eastAsia="zh-CN"/>
        </w:rPr>
      </w:pPr>
      <w:r>
        <w:rPr>
          <w:rFonts w:hint="eastAsia"/>
          <w:color w:val="auto"/>
          <w:lang w:val="en-US" w:eastAsia="zh-CN"/>
        </w:rPr>
        <w:t>3.1</w:t>
      </w:r>
    </w:p>
    <w:p>
      <w:pPr>
        <w:pStyle w:val="105"/>
        <w:numPr>
          <w:ilvl w:val="0"/>
          <w:numId w:val="0"/>
        </w:numPr>
        <w:spacing w:before="156" w:after="156"/>
        <w:ind w:firstLine="420" w:firstLineChars="200"/>
        <w:rPr>
          <w:rFonts w:hint="default" w:eastAsia="黑体"/>
          <w:highlight w:val="none"/>
          <w:lang w:val="en-US" w:eastAsia="zh-CN"/>
        </w:rPr>
      </w:pPr>
      <w:r>
        <w:rPr>
          <w:rFonts w:hint="eastAsia"/>
          <w:highlight w:val="none"/>
          <w:lang w:val="en-US" w:eastAsia="zh-CN"/>
        </w:rPr>
        <w:t>折耳根（鱼腥草）</w:t>
      </w:r>
    </w:p>
    <w:p>
      <w:pPr>
        <w:pStyle w:val="56"/>
        <w:ind w:firstLine="420"/>
        <w:rPr>
          <w:highlight w:val="none"/>
        </w:rPr>
      </w:pPr>
      <w:r>
        <w:rPr>
          <w:rFonts w:hint="eastAsia"/>
          <w:highlight w:val="none"/>
        </w:rPr>
        <w:t>三白草科植物蕺菜</w:t>
      </w:r>
      <w:r>
        <w:rPr>
          <w:rFonts w:hint="eastAsia" w:ascii="仿宋" w:hAnsi="仿宋" w:eastAsia="仿宋"/>
          <w:sz w:val="24"/>
          <w:szCs w:val="24"/>
          <w:highlight w:val="none"/>
        </w:rPr>
        <w:t>（</w:t>
      </w:r>
      <w:r>
        <w:rPr>
          <w:rFonts w:hint="eastAsia" w:ascii="仿宋" w:hAnsi="仿宋" w:eastAsia="仿宋"/>
          <w:i/>
          <w:iCs/>
          <w:sz w:val="24"/>
          <w:szCs w:val="24"/>
          <w:highlight w:val="none"/>
        </w:rPr>
        <w:t>Houttuynia cordata</w:t>
      </w:r>
      <w:r>
        <w:rPr>
          <w:rFonts w:hint="eastAsia" w:ascii="仿宋" w:hAnsi="仿宋" w:eastAsia="仿宋"/>
          <w:sz w:val="24"/>
          <w:szCs w:val="24"/>
          <w:highlight w:val="none"/>
        </w:rPr>
        <w:t xml:space="preserve"> Thunb.）</w:t>
      </w:r>
      <w:r>
        <w:rPr>
          <w:rFonts w:hint="eastAsia"/>
          <w:highlight w:val="none"/>
        </w:rPr>
        <w:t>的新鲜</w:t>
      </w:r>
      <w:r>
        <w:rPr>
          <w:rFonts w:hint="eastAsia"/>
          <w:highlight w:val="none"/>
          <w:lang w:val="en-US" w:eastAsia="zh-CN"/>
        </w:rPr>
        <w:t>全草，植物全株一并采收或者根茎和叶片分开采收，经除杂、摘洗、沥干后市售的地域特色蔬菜</w:t>
      </w:r>
      <w:r>
        <w:rPr>
          <w:rFonts w:hint="eastAsia"/>
          <w:highlight w:val="none"/>
        </w:rPr>
        <w:t>。</w:t>
      </w:r>
    </w:p>
    <w:p>
      <w:pPr>
        <w:pStyle w:val="104"/>
        <w:spacing w:before="312" w:after="312"/>
        <w:rPr>
          <w:highlight w:val="none"/>
        </w:rPr>
      </w:pPr>
      <w:bookmarkStart w:id="50" w:name="_Toc93581658"/>
      <w:bookmarkStart w:id="51" w:name="_Toc93580538"/>
      <w:r>
        <w:rPr>
          <w:rFonts w:hint="eastAsia"/>
          <w:highlight w:val="none"/>
        </w:rPr>
        <w:t>要求</w:t>
      </w:r>
      <w:bookmarkEnd w:id="50"/>
      <w:bookmarkEnd w:id="51"/>
    </w:p>
    <w:p>
      <w:pPr>
        <w:pStyle w:val="105"/>
        <w:spacing w:before="156" w:after="156"/>
      </w:pPr>
      <w:r>
        <w:rPr>
          <w:rFonts w:hint="eastAsia"/>
        </w:rPr>
        <w:t>原料要求</w:t>
      </w:r>
    </w:p>
    <w:p>
      <w:pPr>
        <w:pStyle w:val="56"/>
        <w:ind w:firstLine="420"/>
      </w:pPr>
      <w:r>
        <w:rPr>
          <w:rFonts w:hint="eastAsia"/>
        </w:rPr>
        <w:t>应新鲜，无</w:t>
      </w:r>
      <w:r>
        <w:rPr>
          <w:rFonts w:hint="eastAsia"/>
          <w:lang w:val="en-US" w:eastAsia="zh-CN"/>
        </w:rPr>
        <w:t>腐烂</w:t>
      </w:r>
      <w:r>
        <w:rPr>
          <w:rFonts w:hint="eastAsia"/>
        </w:rPr>
        <w:t>、无污染</w:t>
      </w:r>
      <w:r>
        <w:rPr>
          <w:rFonts w:hint="eastAsia"/>
          <w:lang w:eastAsia="zh-CN"/>
        </w:rPr>
        <w:t>，</w:t>
      </w:r>
      <w:r>
        <w:rPr>
          <w:rFonts w:hint="eastAsia"/>
          <w:lang w:val="en-US" w:eastAsia="zh-CN"/>
        </w:rPr>
        <w:t>鱼腥味</w:t>
      </w:r>
      <w:r>
        <w:rPr>
          <w:rFonts w:hint="eastAsia"/>
        </w:rPr>
        <w:t>特征明显。</w:t>
      </w:r>
    </w:p>
    <w:p>
      <w:pPr>
        <w:pStyle w:val="105"/>
        <w:spacing w:before="156" w:after="156"/>
      </w:pPr>
      <w:r>
        <w:rPr>
          <w:rFonts w:hint="eastAsia"/>
        </w:rPr>
        <w:t>感官要求</w:t>
      </w:r>
    </w:p>
    <w:p>
      <w:pPr>
        <w:pStyle w:val="56"/>
        <w:ind w:firstLine="420"/>
      </w:pPr>
      <w:r>
        <w:rPr>
          <w:rFonts w:hint="eastAsia"/>
        </w:rPr>
        <w:t>应符合表1的规定。</w:t>
      </w:r>
    </w:p>
    <w:p>
      <w:pPr>
        <w:pStyle w:val="112"/>
        <w:spacing w:before="156" w:after="156"/>
      </w:pPr>
      <w:r>
        <w:t>感官要求</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60"/>
        <w:gridCol w:w="4237"/>
        <w:gridCol w:w="2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blHeader/>
          <w:jc w:val="center"/>
        </w:trPr>
        <w:tc>
          <w:tcPr>
            <w:tcW w:w="2460" w:type="dxa"/>
            <w:tcBorders>
              <w:top w:val="single" w:color="auto" w:sz="8" w:space="0"/>
            </w:tcBorders>
            <w:shd w:val="clear" w:color="auto" w:fill="auto"/>
            <w:vAlign w:val="center"/>
          </w:tcPr>
          <w:p>
            <w:pPr>
              <w:pStyle w:val="178"/>
            </w:pPr>
            <w:r>
              <w:t>项</w:t>
            </w:r>
            <w:r>
              <w:rPr>
                <w:rFonts w:hint="eastAsia"/>
              </w:rPr>
              <w:t xml:space="preserve"> </w:t>
            </w:r>
            <w:r>
              <w:t>目</w:t>
            </w:r>
          </w:p>
        </w:tc>
        <w:tc>
          <w:tcPr>
            <w:tcW w:w="4237" w:type="dxa"/>
            <w:tcBorders>
              <w:top w:val="single" w:color="auto" w:sz="8" w:space="0"/>
            </w:tcBorders>
            <w:shd w:val="clear" w:color="auto" w:fill="auto"/>
            <w:vAlign w:val="center"/>
          </w:tcPr>
          <w:p>
            <w:pPr>
              <w:pStyle w:val="178"/>
            </w:pPr>
            <w:r>
              <w:t>要</w:t>
            </w:r>
            <w:r>
              <w:rPr>
                <w:rFonts w:hint="eastAsia"/>
              </w:rPr>
              <w:t xml:space="preserve"> </w:t>
            </w:r>
            <w:r>
              <w:t>求</w:t>
            </w:r>
          </w:p>
        </w:tc>
        <w:tc>
          <w:tcPr>
            <w:tcW w:w="2677" w:type="dxa"/>
            <w:tcBorders>
              <w:top w:val="single" w:color="auto" w:sz="8" w:space="0"/>
            </w:tcBorders>
            <w:shd w:val="clear" w:color="auto" w:fill="auto"/>
            <w:vAlign w:val="center"/>
          </w:tcPr>
          <w:p>
            <w:pPr>
              <w:pStyle w:val="178"/>
            </w:pPr>
            <w: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60" w:type="dxa"/>
            <w:shd w:val="clear" w:color="auto" w:fill="auto"/>
            <w:vAlign w:val="center"/>
          </w:tcPr>
          <w:p>
            <w:pPr>
              <w:pStyle w:val="178"/>
            </w:pPr>
            <w:r>
              <w:t>色</w:t>
            </w:r>
            <w:r>
              <w:rPr>
                <w:rFonts w:hint="eastAsia"/>
              </w:rPr>
              <w:t xml:space="preserve"> </w:t>
            </w:r>
            <w:r>
              <w:t>泽</w:t>
            </w:r>
          </w:p>
        </w:tc>
        <w:tc>
          <w:tcPr>
            <w:tcW w:w="4237" w:type="dxa"/>
            <w:shd w:val="clear" w:color="auto" w:fill="auto"/>
            <w:vAlign w:val="center"/>
          </w:tcPr>
          <w:p>
            <w:pPr>
              <w:pStyle w:val="178"/>
              <w:rPr>
                <w:rFonts w:hint="eastAsia"/>
                <w:highlight w:val="none"/>
                <w:lang w:val="en-US" w:eastAsia="zh-CN"/>
              </w:rPr>
            </w:pPr>
            <w:r>
              <w:rPr>
                <w:rFonts w:hint="eastAsia"/>
                <w:highlight w:val="none"/>
                <w:lang w:val="en-US" w:eastAsia="zh-CN"/>
              </w:rPr>
              <w:t>叶片上表面呈绿色、下表面常紫红色，根茎呈白色</w:t>
            </w:r>
          </w:p>
        </w:tc>
        <w:tc>
          <w:tcPr>
            <w:tcW w:w="2677" w:type="dxa"/>
            <w:vMerge w:val="restart"/>
            <w:shd w:val="clear" w:color="auto" w:fill="auto"/>
            <w:vAlign w:val="center"/>
          </w:tcPr>
          <w:p>
            <w:pPr>
              <w:pStyle w:val="178"/>
              <w:ind w:firstLine="360" w:firstLineChars="200"/>
              <w:jc w:val="both"/>
            </w:pPr>
            <w:r>
              <w:rPr>
                <w:rFonts w:hint="eastAsia"/>
              </w:rPr>
              <w:t>取适量样品置于洁净白色瓷盘中，在自然光线下目测其色泽、杂质，嗅其气味</w:t>
            </w:r>
            <w:r>
              <w:rPr>
                <w:rFonts w:hint="eastAsia"/>
                <w:lang w:eastAsia="zh-CN"/>
              </w:rPr>
              <w:t>、</w:t>
            </w:r>
            <w:r>
              <w:rPr>
                <w:rFonts w:hint="eastAsia"/>
              </w:rPr>
              <w:t>尝其滋味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60" w:type="dxa"/>
            <w:shd w:val="clear" w:color="auto" w:fill="auto"/>
            <w:vAlign w:val="center"/>
          </w:tcPr>
          <w:p>
            <w:pPr>
              <w:pStyle w:val="178"/>
            </w:pPr>
            <w:r>
              <w:t>组织形态</w:t>
            </w:r>
          </w:p>
        </w:tc>
        <w:tc>
          <w:tcPr>
            <w:tcW w:w="4237" w:type="dxa"/>
            <w:shd w:val="clear" w:color="auto" w:fill="auto"/>
            <w:vAlign w:val="center"/>
          </w:tcPr>
          <w:p>
            <w:pPr>
              <w:pStyle w:val="178"/>
              <w:rPr>
                <w:rFonts w:hint="eastAsia"/>
                <w:highlight w:val="none"/>
                <w:lang w:val="en-US" w:eastAsia="zh-CN"/>
              </w:rPr>
            </w:pPr>
            <w:r>
              <w:rPr>
                <w:rFonts w:hint="eastAsia"/>
                <w:highlight w:val="none"/>
              </w:rPr>
              <w:t>叶互生，叶片呈心形</w:t>
            </w:r>
            <w:r>
              <w:rPr>
                <w:rFonts w:hint="eastAsia"/>
                <w:highlight w:val="none"/>
                <w:lang w:eastAsia="zh-CN"/>
              </w:rPr>
              <w:t>，</w:t>
            </w:r>
            <w:r>
              <w:rPr>
                <w:rFonts w:hint="eastAsia"/>
                <w:highlight w:val="none"/>
              </w:rPr>
              <w:t>先端渐尖，全缘</w:t>
            </w:r>
            <w:r>
              <w:rPr>
                <w:rFonts w:hint="eastAsia"/>
                <w:highlight w:val="none"/>
                <w:lang w:eastAsia="zh-CN"/>
              </w:rPr>
              <w:t>，</w:t>
            </w:r>
            <w:r>
              <w:rPr>
                <w:rFonts w:hint="eastAsia"/>
                <w:highlight w:val="none"/>
                <w:lang w:val="en-US" w:eastAsia="zh-CN"/>
              </w:rPr>
              <w:t>上表面密生腺点；</w:t>
            </w:r>
            <w:r>
              <w:rPr>
                <w:rFonts w:hint="eastAsia"/>
                <w:highlight w:val="none"/>
              </w:rPr>
              <w:t>叶柄细长，基部与托叶合生成鞘状</w:t>
            </w:r>
            <w:r>
              <w:rPr>
                <w:rFonts w:hint="eastAsia"/>
                <w:highlight w:val="none"/>
                <w:lang w:eastAsia="zh-CN"/>
              </w:rPr>
              <w:t>；</w:t>
            </w:r>
            <w:r>
              <w:rPr>
                <w:rFonts w:hint="eastAsia"/>
                <w:highlight w:val="none"/>
                <w:lang w:val="en-US" w:eastAsia="zh-CN"/>
              </w:rPr>
              <w:t>根茎呈</w:t>
            </w:r>
            <w:r>
              <w:rPr>
                <w:rFonts w:hint="eastAsia"/>
                <w:highlight w:val="none"/>
              </w:rPr>
              <w:t>圆柱形，节明显，节上有残存须根</w:t>
            </w:r>
            <w:r>
              <w:rPr>
                <w:rFonts w:hint="eastAsia"/>
                <w:highlight w:val="none"/>
                <w:lang w:eastAsia="zh-CN"/>
              </w:rPr>
              <w:t>，</w:t>
            </w:r>
            <w:r>
              <w:rPr>
                <w:rFonts w:hint="eastAsia"/>
                <w:highlight w:val="none"/>
              </w:rPr>
              <w:t>质脆，易折断</w:t>
            </w:r>
          </w:p>
        </w:tc>
        <w:tc>
          <w:tcPr>
            <w:tcW w:w="2677"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60" w:type="dxa"/>
            <w:shd w:val="clear" w:color="auto" w:fill="auto"/>
            <w:vAlign w:val="center"/>
          </w:tcPr>
          <w:p>
            <w:pPr>
              <w:pStyle w:val="178"/>
              <w:ind w:firstLine="0" w:firstLineChars="0"/>
              <w:rPr>
                <w:rFonts w:ascii="宋体" w:hAnsi="Times New Roman" w:eastAsia="宋体" w:cs="Times New Roman"/>
                <w:sz w:val="18"/>
                <w:lang w:val="en-US" w:eastAsia="zh-CN" w:bidi="ar-SA"/>
              </w:rPr>
            </w:pPr>
            <w:r>
              <w:t>气味、滋味</w:t>
            </w:r>
          </w:p>
        </w:tc>
        <w:tc>
          <w:tcPr>
            <w:tcW w:w="4237" w:type="dxa"/>
            <w:shd w:val="clear" w:color="auto" w:fill="auto"/>
            <w:vAlign w:val="center"/>
          </w:tcPr>
          <w:p>
            <w:pPr>
              <w:pStyle w:val="178"/>
              <w:ind w:firstLine="0" w:firstLineChars="0"/>
              <w:rPr>
                <w:rFonts w:hint="eastAsia" w:ascii="宋体" w:hAnsi="Times New Roman" w:eastAsia="宋体" w:cs="Times New Roman"/>
                <w:sz w:val="18"/>
                <w:highlight w:val="none"/>
                <w:lang w:val="en-US" w:eastAsia="zh-CN" w:bidi="ar-SA"/>
              </w:rPr>
            </w:pPr>
            <w:r>
              <w:rPr>
                <w:rFonts w:hint="eastAsia"/>
                <w:highlight w:val="none"/>
              </w:rPr>
              <w:t>搓碎有鱼腥气味</w:t>
            </w:r>
            <w:r>
              <w:rPr>
                <w:rFonts w:hint="eastAsia"/>
                <w:highlight w:val="none"/>
                <w:lang w:eastAsia="zh-CN"/>
              </w:rPr>
              <w:t>、</w:t>
            </w:r>
            <w:r>
              <w:rPr>
                <w:rFonts w:hint="eastAsia"/>
                <w:highlight w:val="none"/>
                <w:lang w:val="en-US" w:eastAsia="zh-CN"/>
              </w:rPr>
              <w:t>味涩</w:t>
            </w:r>
          </w:p>
        </w:tc>
        <w:tc>
          <w:tcPr>
            <w:tcW w:w="2677"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60" w:type="dxa"/>
            <w:shd w:val="clear" w:color="auto" w:fill="auto"/>
            <w:vAlign w:val="center"/>
          </w:tcPr>
          <w:p>
            <w:pPr>
              <w:pStyle w:val="178"/>
            </w:pPr>
            <w:r>
              <w:t>杂</w:t>
            </w:r>
            <w:r>
              <w:rPr>
                <w:rFonts w:hint="eastAsia"/>
              </w:rPr>
              <w:t xml:space="preserve"> 质</w:t>
            </w:r>
          </w:p>
        </w:tc>
        <w:tc>
          <w:tcPr>
            <w:tcW w:w="4237" w:type="dxa"/>
            <w:shd w:val="clear" w:color="auto" w:fill="auto"/>
            <w:vAlign w:val="center"/>
          </w:tcPr>
          <w:p>
            <w:pPr>
              <w:pStyle w:val="178"/>
            </w:pPr>
            <w:r>
              <w:rPr>
                <w:rFonts w:hint="eastAsia"/>
              </w:rPr>
              <w:t>无肉眼可见外来杂质</w:t>
            </w:r>
          </w:p>
        </w:tc>
        <w:tc>
          <w:tcPr>
            <w:tcW w:w="2677" w:type="dxa"/>
            <w:vMerge w:val="continue"/>
            <w:shd w:val="clear" w:color="auto" w:fill="auto"/>
            <w:vAlign w:val="center"/>
          </w:tcPr>
          <w:p>
            <w:pPr>
              <w:pStyle w:val="178"/>
            </w:pPr>
          </w:p>
        </w:tc>
      </w:tr>
    </w:tbl>
    <w:p>
      <w:pPr>
        <w:pStyle w:val="105"/>
        <w:numPr>
          <w:ilvl w:val="2"/>
          <w:numId w:val="0"/>
        </w:numPr>
        <w:spacing w:before="156" w:after="156"/>
        <w:ind w:leftChars="0"/>
      </w:pPr>
      <w:r>
        <w:rPr>
          <w:rFonts w:hint="eastAsia"/>
          <w:lang w:val="en-US" w:eastAsia="zh-CN"/>
        </w:rPr>
        <w:t xml:space="preserve">4.2 </w:t>
      </w:r>
      <w:r>
        <w:t>污染物限量</w:t>
      </w:r>
    </w:p>
    <w:p>
      <w:pPr>
        <w:pStyle w:val="56"/>
        <w:ind w:firstLine="420"/>
      </w:pPr>
      <w:r>
        <w:rPr>
          <w:rFonts w:hint="eastAsia"/>
        </w:rPr>
        <w:t>应符合表</w:t>
      </w:r>
      <w:r>
        <w:rPr>
          <w:rFonts w:hint="eastAsia"/>
          <w:lang w:val="en-US" w:eastAsia="zh-CN"/>
        </w:rPr>
        <w:t>2</w:t>
      </w:r>
      <w:r>
        <w:rPr>
          <w:rFonts w:hint="eastAsia"/>
        </w:rPr>
        <w:t>的规定。</w:t>
      </w:r>
    </w:p>
    <w:p>
      <w:pPr>
        <w:pStyle w:val="112"/>
        <w:spacing w:before="156" w:after="156"/>
      </w:pPr>
      <w:r>
        <w:t>污染物限量</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324"/>
        <w:gridCol w:w="3045"/>
        <w:gridCol w:w="3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324" w:type="dxa"/>
            <w:tcBorders>
              <w:top w:val="single" w:color="auto" w:sz="8" w:space="0"/>
            </w:tcBorders>
            <w:shd w:val="clear" w:color="auto" w:fill="auto"/>
            <w:vAlign w:val="center"/>
          </w:tcPr>
          <w:p>
            <w:pPr>
              <w:pStyle w:val="178"/>
            </w:pPr>
            <w:r>
              <w:t>项</w:t>
            </w:r>
            <w:r>
              <w:rPr>
                <w:rFonts w:hint="eastAsia"/>
                <w:lang w:val="en-US" w:eastAsia="zh-CN"/>
              </w:rPr>
              <w:t xml:space="preserve"> </w:t>
            </w:r>
            <w:r>
              <w:t>目</w:t>
            </w:r>
          </w:p>
        </w:tc>
        <w:tc>
          <w:tcPr>
            <w:tcW w:w="3045" w:type="dxa"/>
            <w:tcBorders>
              <w:top w:val="single" w:color="auto" w:sz="8" w:space="0"/>
              <w:bottom w:val="single" w:color="auto" w:sz="8" w:space="0"/>
            </w:tcBorders>
            <w:shd w:val="clear" w:color="auto" w:fill="auto"/>
            <w:vAlign w:val="center"/>
          </w:tcPr>
          <w:p>
            <w:pPr>
              <w:pStyle w:val="178"/>
            </w:pPr>
            <w:r>
              <w:t>指</w:t>
            </w:r>
            <w:r>
              <w:rPr>
                <w:rFonts w:hint="eastAsia"/>
                <w:lang w:val="en-US" w:eastAsia="zh-CN"/>
              </w:rPr>
              <w:t xml:space="preserve"> </w:t>
            </w:r>
            <w:r>
              <w:t>标</w:t>
            </w:r>
          </w:p>
        </w:tc>
        <w:tc>
          <w:tcPr>
            <w:tcW w:w="3005" w:type="dxa"/>
            <w:tcBorders>
              <w:top w:val="single" w:color="auto" w:sz="8" w:space="0"/>
            </w:tcBorders>
            <w:shd w:val="clear" w:color="auto" w:fill="auto"/>
            <w:vAlign w:val="center"/>
          </w:tcPr>
          <w:p>
            <w:pPr>
              <w:pStyle w:val="178"/>
            </w:pPr>
            <w: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24" w:type="dxa"/>
            <w:vMerge w:val="restart"/>
            <w:tcBorders>
              <w:top w:val="single" w:color="auto" w:sz="8" w:space="0"/>
            </w:tcBorders>
            <w:shd w:val="clear" w:color="auto" w:fill="auto"/>
            <w:vAlign w:val="center"/>
          </w:tcPr>
          <w:p>
            <w:pPr>
              <w:pStyle w:val="178"/>
            </w:pPr>
            <w:r>
              <w:rPr>
                <w:rFonts w:hint="eastAsia"/>
              </w:rPr>
              <w:t>铅（以Pb计）/(mg/kg)</w:t>
            </w:r>
            <w:r>
              <w:rPr>
                <w:rFonts w:hint="eastAsia"/>
                <w:lang w:val="en-US" w:eastAsia="zh-CN"/>
              </w:rPr>
              <w:t xml:space="preserve">    </w:t>
            </w:r>
            <w:r>
              <w:rPr>
                <w:rFonts w:hint="eastAsia"/>
              </w:rPr>
              <w:t xml:space="preserve"> ≤</w:t>
            </w:r>
          </w:p>
        </w:tc>
        <w:tc>
          <w:tcPr>
            <w:tcW w:w="3045" w:type="dxa"/>
            <w:vMerge w:val="restart"/>
            <w:tcBorders>
              <w:top w:val="single" w:color="auto" w:sz="8" w:space="0"/>
            </w:tcBorders>
            <w:shd w:val="clear" w:color="auto" w:fill="auto"/>
            <w:vAlign w:val="center"/>
          </w:tcPr>
          <w:p>
            <w:pPr>
              <w:pStyle w:val="178"/>
              <w:rPr>
                <w:rFonts w:hint="eastAsia" w:eastAsia="宋体"/>
                <w:lang w:eastAsia="zh-CN"/>
              </w:rPr>
            </w:pPr>
            <w:r>
              <w:rPr>
                <w:rFonts w:hint="eastAsia"/>
                <w:lang w:val="en-US" w:eastAsia="zh-CN"/>
              </w:rPr>
              <w:t>0</w:t>
            </w:r>
            <w:r>
              <w:rPr>
                <w:rFonts w:hint="eastAsia"/>
              </w:rPr>
              <w:t>.</w:t>
            </w:r>
            <w:r>
              <w:rPr>
                <w:rFonts w:hint="eastAsia"/>
                <w:lang w:val="en-US" w:eastAsia="zh-CN"/>
              </w:rPr>
              <w:t>5</w:t>
            </w:r>
          </w:p>
        </w:tc>
        <w:tc>
          <w:tcPr>
            <w:tcW w:w="3005" w:type="dxa"/>
            <w:tcBorders>
              <w:top w:val="single" w:color="auto" w:sz="8" w:space="0"/>
            </w:tcBorders>
            <w:shd w:val="clear" w:color="auto" w:fill="auto"/>
            <w:vAlign w:val="center"/>
          </w:tcPr>
          <w:p>
            <w:pPr>
              <w:pStyle w:val="178"/>
            </w:pPr>
            <w:r>
              <w:rPr>
                <w:rFonts w:hint="eastAsia"/>
              </w:rPr>
              <w:t>GB 5009.12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24" w:type="dxa"/>
            <w:vMerge w:val="continue"/>
            <w:shd w:val="clear" w:color="auto" w:fill="auto"/>
            <w:vAlign w:val="center"/>
          </w:tcPr>
          <w:p>
            <w:pPr>
              <w:pStyle w:val="178"/>
            </w:pPr>
          </w:p>
        </w:tc>
        <w:tc>
          <w:tcPr>
            <w:tcW w:w="3045" w:type="dxa"/>
            <w:vMerge w:val="continue"/>
            <w:shd w:val="clear" w:color="auto" w:fill="auto"/>
            <w:vAlign w:val="center"/>
          </w:tcPr>
          <w:p>
            <w:pPr>
              <w:pStyle w:val="178"/>
            </w:pPr>
          </w:p>
        </w:tc>
        <w:tc>
          <w:tcPr>
            <w:tcW w:w="3005" w:type="dxa"/>
            <w:shd w:val="clear" w:color="auto" w:fill="auto"/>
            <w:vAlign w:val="center"/>
          </w:tcPr>
          <w:p>
            <w:pPr>
              <w:pStyle w:val="178"/>
            </w:pPr>
            <w:r>
              <w:rPr>
                <w:rFonts w:hint="eastAsia"/>
              </w:rPr>
              <w:t>GB 5009.268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24" w:type="dxa"/>
            <w:vMerge w:val="restart"/>
            <w:shd w:val="clear" w:color="auto" w:fill="auto"/>
            <w:vAlign w:val="center"/>
          </w:tcPr>
          <w:p>
            <w:pPr>
              <w:pStyle w:val="178"/>
              <w:rPr>
                <w:rFonts w:hint="eastAsia" w:eastAsia="宋体"/>
                <w:lang w:val="en-US" w:eastAsia="zh-CN"/>
              </w:rPr>
            </w:pPr>
            <w:r>
              <w:rPr>
                <w:rFonts w:hint="eastAsia"/>
                <w:lang w:val="en-US" w:eastAsia="zh-CN"/>
              </w:rPr>
              <w:t>镉</w:t>
            </w:r>
            <w:r>
              <w:rPr>
                <w:rFonts w:hint="eastAsia"/>
              </w:rPr>
              <w:t>（以</w:t>
            </w:r>
            <w:r>
              <w:rPr>
                <w:rFonts w:hint="eastAsia"/>
                <w:lang w:val="en-US" w:eastAsia="zh-CN"/>
              </w:rPr>
              <w:t>Cd</w:t>
            </w:r>
            <w:r>
              <w:rPr>
                <w:rFonts w:hint="eastAsia"/>
              </w:rPr>
              <w:t>计）/(mg/kg)</w:t>
            </w:r>
            <w:r>
              <w:rPr>
                <w:rFonts w:hint="eastAsia"/>
                <w:lang w:val="en-US" w:eastAsia="zh-CN"/>
              </w:rPr>
              <w:t xml:space="preserve">    </w:t>
            </w:r>
            <w:r>
              <w:rPr>
                <w:rFonts w:hint="eastAsia"/>
              </w:rPr>
              <w:t xml:space="preserve"> ≤</w:t>
            </w:r>
          </w:p>
        </w:tc>
        <w:tc>
          <w:tcPr>
            <w:tcW w:w="3045" w:type="dxa"/>
            <w:vMerge w:val="restart"/>
            <w:shd w:val="clear" w:color="auto" w:fill="auto"/>
            <w:vAlign w:val="center"/>
          </w:tcPr>
          <w:p>
            <w:pPr>
              <w:pStyle w:val="178"/>
              <w:rPr>
                <w:rFonts w:hint="default"/>
                <w:lang w:val="en-US" w:eastAsia="zh-CN"/>
              </w:rPr>
            </w:pPr>
            <w:r>
              <w:rPr>
                <w:rFonts w:hint="eastAsia"/>
                <w:lang w:val="en-US" w:eastAsia="zh-CN"/>
              </w:rPr>
              <w:t>0.3</w:t>
            </w:r>
          </w:p>
        </w:tc>
        <w:tc>
          <w:tcPr>
            <w:tcW w:w="3005" w:type="dxa"/>
            <w:tcBorders>
              <w:bottom w:val="single" w:color="auto" w:sz="8" w:space="0"/>
            </w:tcBorders>
            <w:shd w:val="clear" w:color="auto" w:fill="auto"/>
            <w:vAlign w:val="center"/>
          </w:tcPr>
          <w:p>
            <w:pPr>
              <w:pStyle w:val="178"/>
              <w:ind w:firstLine="0" w:firstLineChars="0"/>
              <w:rPr>
                <w:rFonts w:hint="eastAsia" w:eastAsia="宋体"/>
                <w:lang w:eastAsia="zh-CN"/>
              </w:rPr>
            </w:pPr>
            <w:r>
              <w:rPr>
                <w:rFonts w:hint="eastAsia"/>
              </w:rPr>
              <w:t>GB 5009.1</w:t>
            </w: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24" w:type="dxa"/>
            <w:vMerge w:val="continue"/>
            <w:shd w:val="clear" w:color="auto" w:fill="auto"/>
            <w:vAlign w:val="center"/>
          </w:tcPr>
          <w:p>
            <w:pPr>
              <w:pStyle w:val="178"/>
              <w:rPr>
                <w:rFonts w:hint="eastAsia"/>
              </w:rPr>
            </w:pPr>
          </w:p>
        </w:tc>
        <w:tc>
          <w:tcPr>
            <w:tcW w:w="3045" w:type="dxa"/>
            <w:vMerge w:val="continue"/>
            <w:shd w:val="clear" w:color="auto" w:fill="auto"/>
            <w:vAlign w:val="center"/>
          </w:tcPr>
          <w:p>
            <w:pPr>
              <w:pStyle w:val="178"/>
              <w:rPr>
                <w:rFonts w:hint="eastAsia"/>
                <w:lang w:val="en-US" w:eastAsia="zh-CN"/>
              </w:rPr>
            </w:pPr>
          </w:p>
        </w:tc>
        <w:tc>
          <w:tcPr>
            <w:tcW w:w="3005" w:type="dxa"/>
            <w:tcBorders>
              <w:bottom w:val="single" w:color="auto" w:sz="8" w:space="0"/>
            </w:tcBorders>
            <w:shd w:val="clear" w:color="auto" w:fill="auto"/>
            <w:vAlign w:val="center"/>
          </w:tcPr>
          <w:p>
            <w:pPr>
              <w:pStyle w:val="178"/>
              <w:ind w:firstLine="0" w:firstLineChars="0"/>
              <w:rPr>
                <w:rFonts w:hint="eastAsia"/>
              </w:rPr>
            </w:pPr>
            <w:r>
              <w:rPr>
                <w:rFonts w:hint="eastAsia"/>
              </w:rPr>
              <w:t>GB 5009.268</w:t>
            </w:r>
          </w:p>
        </w:tc>
      </w:tr>
    </w:tbl>
    <w:p>
      <w:pPr>
        <w:pStyle w:val="105"/>
        <w:spacing w:before="156" w:after="156"/>
      </w:pPr>
      <w:r>
        <w:rPr>
          <w:rFonts w:hint="eastAsia"/>
        </w:rPr>
        <w:t>农药残留限量</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324"/>
        <w:gridCol w:w="3045"/>
        <w:gridCol w:w="3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324" w:type="dxa"/>
            <w:tcBorders>
              <w:top w:val="single" w:color="auto" w:sz="8" w:space="0"/>
            </w:tcBorders>
            <w:shd w:val="clear" w:color="auto" w:fill="auto"/>
            <w:vAlign w:val="center"/>
          </w:tcPr>
          <w:p>
            <w:pPr>
              <w:pStyle w:val="178"/>
            </w:pPr>
            <w:r>
              <w:t>项</w:t>
            </w:r>
            <w:r>
              <w:rPr>
                <w:rFonts w:hint="eastAsia"/>
                <w:lang w:val="en-US" w:eastAsia="zh-CN"/>
              </w:rPr>
              <w:t xml:space="preserve"> </w:t>
            </w:r>
            <w:r>
              <w:t>目</w:t>
            </w:r>
          </w:p>
        </w:tc>
        <w:tc>
          <w:tcPr>
            <w:tcW w:w="3045" w:type="dxa"/>
            <w:tcBorders>
              <w:top w:val="single" w:color="auto" w:sz="8" w:space="0"/>
              <w:bottom w:val="single" w:color="auto" w:sz="8" w:space="0"/>
            </w:tcBorders>
            <w:shd w:val="clear" w:color="auto" w:fill="auto"/>
            <w:vAlign w:val="center"/>
          </w:tcPr>
          <w:p>
            <w:pPr>
              <w:pStyle w:val="178"/>
            </w:pPr>
            <w:r>
              <w:t>指</w:t>
            </w:r>
            <w:r>
              <w:rPr>
                <w:rFonts w:hint="eastAsia"/>
                <w:lang w:val="en-US" w:eastAsia="zh-CN"/>
              </w:rPr>
              <w:t xml:space="preserve"> </w:t>
            </w:r>
            <w:r>
              <w:t>标</w:t>
            </w:r>
          </w:p>
        </w:tc>
        <w:tc>
          <w:tcPr>
            <w:tcW w:w="3005" w:type="dxa"/>
            <w:tcBorders>
              <w:top w:val="single" w:color="auto" w:sz="8" w:space="0"/>
            </w:tcBorders>
            <w:shd w:val="clear" w:color="auto" w:fill="auto"/>
            <w:vAlign w:val="center"/>
          </w:tcPr>
          <w:p>
            <w:pPr>
              <w:pStyle w:val="178"/>
            </w:pPr>
            <w: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24" w:type="dxa"/>
            <w:tcBorders>
              <w:top w:val="single" w:color="auto" w:sz="8" w:space="0"/>
            </w:tcBorders>
            <w:shd w:val="clear" w:color="auto" w:fill="auto"/>
            <w:vAlign w:val="center"/>
          </w:tcPr>
          <w:p>
            <w:pPr>
              <w:pStyle w:val="178"/>
            </w:pPr>
            <w:r>
              <w:rPr>
                <w:rFonts w:hint="eastAsia"/>
                <w:lang w:val="en-US" w:eastAsia="zh-CN"/>
              </w:rPr>
              <w:t>六六六</w:t>
            </w:r>
            <w:r>
              <w:rPr>
                <w:rFonts w:hint="eastAsia"/>
              </w:rPr>
              <w:t>/(mg/kg)</w:t>
            </w:r>
            <w:r>
              <w:rPr>
                <w:rFonts w:hint="eastAsia"/>
                <w:lang w:val="en-US" w:eastAsia="zh-CN"/>
              </w:rPr>
              <w:t xml:space="preserve">    </w:t>
            </w:r>
            <w:r>
              <w:rPr>
                <w:rFonts w:hint="eastAsia"/>
              </w:rPr>
              <w:t xml:space="preserve"> ≤</w:t>
            </w:r>
          </w:p>
        </w:tc>
        <w:tc>
          <w:tcPr>
            <w:tcW w:w="3045" w:type="dxa"/>
            <w:tcBorders>
              <w:top w:val="single" w:color="auto" w:sz="8" w:space="0"/>
            </w:tcBorders>
            <w:shd w:val="clear" w:color="auto" w:fill="auto"/>
            <w:vAlign w:val="center"/>
          </w:tcPr>
          <w:p>
            <w:pPr>
              <w:pStyle w:val="178"/>
              <w:rPr>
                <w:rFonts w:hint="eastAsia" w:eastAsia="宋体"/>
                <w:lang w:eastAsia="zh-CN"/>
              </w:rPr>
            </w:pPr>
            <w:r>
              <w:rPr>
                <w:rFonts w:hint="eastAsia"/>
                <w:lang w:val="en-US" w:eastAsia="zh-CN"/>
              </w:rPr>
              <w:t>0</w:t>
            </w:r>
            <w:r>
              <w:rPr>
                <w:rFonts w:hint="eastAsia"/>
              </w:rPr>
              <w:t>.</w:t>
            </w:r>
            <w:r>
              <w:rPr>
                <w:rFonts w:hint="eastAsia"/>
                <w:lang w:val="en-US" w:eastAsia="zh-CN"/>
              </w:rPr>
              <w:t>05</w:t>
            </w:r>
          </w:p>
        </w:tc>
        <w:tc>
          <w:tcPr>
            <w:tcW w:w="3005" w:type="dxa"/>
            <w:vMerge w:val="restart"/>
            <w:tcBorders>
              <w:top w:val="single" w:color="auto" w:sz="8" w:space="0"/>
            </w:tcBorders>
            <w:shd w:val="clear" w:color="auto" w:fill="auto"/>
            <w:vAlign w:val="center"/>
          </w:tcPr>
          <w:p>
            <w:pPr>
              <w:pStyle w:val="178"/>
              <w:rPr>
                <w:rFonts w:hint="eastAsia"/>
              </w:rPr>
            </w:pPr>
            <w:r>
              <w:rPr>
                <w:rFonts w:hint="eastAsia"/>
              </w:rPr>
              <w:t xml:space="preserve">GB </w:t>
            </w:r>
            <w:r>
              <w:rPr>
                <w:rFonts w:hint="eastAsia"/>
                <w:lang w:val="en-US" w:eastAsia="zh-CN"/>
              </w:rPr>
              <w:t>23200</w:t>
            </w:r>
            <w:r>
              <w:rPr>
                <w:rFonts w:hint="eastAsia"/>
              </w:rPr>
              <w:t>.1</w:t>
            </w:r>
            <w:r>
              <w:rPr>
                <w:rFonts w:hint="eastAsia"/>
                <w:lang w:val="en-US" w:eastAsia="zh-CN"/>
              </w:rPr>
              <w:t>13</w:t>
            </w:r>
          </w:p>
          <w:p>
            <w:pPr>
              <w:pStyle w:val="178"/>
              <w:ind w:firstLine="0" w:firstLineChars="0"/>
              <w:rPr>
                <w:rFonts w:hint="eastAsia" w:eastAsia="宋体"/>
                <w:lang w:eastAsia="zh-CN"/>
              </w:rPr>
            </w:pPr>
            <w:r>
              <w:rPr>
                <w:rFonts w:hint="eastAsia"/>
              </w:rPr>
              <w:t>GB</w:t>
            </w:r>
            <w:r>
              <w:rPr>
                <w:rFonts w:hint="eastAsia"/>
                <w:lang w:val="en-US" w:eastAsia="zh-CN"/>
              </w:rPr>
              <w:t>/T</w:t>
            </w:r>
            <w:r>
              <w:rPr>
                <w:rFonts w:hint="eastAsia"/>
              </w:rPr>
              <w:t xml:space="preserve"> 5009.</w:t>
            </w:r>
            <w:r>
              <w:rPr>
                <w:rFonts w:hint="eastAsia"/>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24" w:type="dxa"/>
            <w:shd w:val="clear" w:color="auto" w:fill="auto"/>
            <w:vAlign w:val="center"/>
          </w:tcPr>
          <w:p>
            <w:pPr>
              <w:pStyle w:val="178"/>
              <w:rPr>
                <w:rFonts w:hint="eastAsia" w:eastAsia="宋体"/>
                <w:lang w:val="en-US" w:eastAsia="zh-CN"/>
              </w:rPr>
            </w:pPr>
            <w:r>
              <w:rPr>
                <w:rFonts w:hint="eastAsia"/>
                <w:lang w:val="en-US" w:eastAsia="zh-CN"/>
              </w:rPr>
              <w:t>滴滴涕</w:t>
            </w:r>
            <w:r>
              <w:rPr>
                <w:rFonts w:hint="eastAsia"/>
              </w:rPr>
              <w:t>/(mg/kg)</w:t>
            </w:r>
            <w:r>
              <w:rPr>
                <w:rFonts w:hint="eastAsia"/>
                <w:lang w:val="en-US" w:eastAsia="zh-CN"/>
              </w:rPr>
              <w:t xml:space="preserve">    </w:t>
            </w:r>
            <w:r>
              <w:rPr>
                <w:rFonts w:hint="eastAsia"/>
              </w:rPr>
              <w:t xml:space="preserve"> ≤</w:t>
            </w:r>
          </w:p>
        </w:tc>
        <w:tc>
          <w:tcPr>
            <w:tcW w:w="3045" w:type="dxa"/>
            <w:shd w:val="clear" w:color="auto" w:fill="auto"/>
            <w:vAlign w:val="center"/>
          </w:tcPr>
          <w:p>
            <w:pPr>
              <w:pStyle w:val="178"/>
              <w:rPr>
                <w:rFonts w:hint="default"/>
                <w:lang w:val="en-US" w:eastAsia="zh-CN"/>
              </w:rPr>
            </w:pPr>
            <w:r>
              <w:rPr>
                <w:rFonts w:hint="eastAsia"/>
                <w:lang w:val="en-US" w:eastAsia="zh-CN"/>
              </w:rPr>
              <w:t>0.05</w:t>
            </w:r>
          </w:p>
        </w:tc>
        <w:tc>
          <w:tcPr>
            <w:tcW w:w="3005" w:type="dxa"/>
            <w:vMerge w:val="continue"/>
            <w:tcBorders>
              <w:bottom w:val="single" w:color="auto" w:sz="8" w:space="0"/>
            </w:tcBorders>
            <w:shd w:val="clear" w:color="auto" w:fill="auto"/>
            <w:vAlign w:val="center"/>
          </w:tcPr>
          <w:p>
            <w:pPr>
              <w:pStyle w:val="178"/>
              <w:ind w:firstLine="0" w:firstLineChars="0"/>
              <w:rPr>
                <w:rFonts w:hint="eastAsia" w:eastAsia="宋体"/>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9374" w:type="dxa"/>
            <w:gridSpan w:val="3"/>
            <w:shd w:val="clear" w:color="auto" w:fill="auto"/>
            <w:vAlign w:val="center"/>
          </w:tcPr>
          <w:p>
            <w:pPr>
              <w:pStyle w:val="178"/>
              <w:jc w:val="left"/>
              <w:rPr>
                <w:rFonts w:hint="default" w:eastAsia="宋体"/>
                <w:lang w:val="en-US" w:eastAsia="zh-CN"/>
              </w:rPr>
            </w:pPr>
            <w:r>
              <w:rPr>
                <w:rFonts w:hint="eastAsia"/>
                <w:lang w:val="en-US" w:eastAsia="zh-CN"/>
              </w:rPr>
              <w:t xml:space="preserve">注：其他农药残留限量应符合GB </w:t>
            </w:r>
            <w:r>
              <w:rPr>
                <w:rFonts w:hint="eastAsia"/>
                <w:highlight w:val="none"/>
                <w:lang w:val="en-US" w:eastAsia="zh-CN"/>
              </w:rPr>
              <w:t>2763 药用植物非临时限量</w:t>
            </w:r>
            <w:r>
              <w:rPr>
                <w:rFonts w:hint="eastAsia"/>
                <w:lang w:val="en-US" w:eastAsia="zh-CN"/>
              </w:rPr>
              <w:t>限值要求。</w:t>
            </w:r>
          </w:p>
        </w:tc>
      </w:tr>
      <w:bookmarkEnd w:id="25"/>
    </w:tbl>
    <w:p>
      <w:pPr>
        <w:pStyle w:val="56"/>
        <w:ind w:firstLine="0" w:firstLineChars="0"/>
        <w:jc w:val="center"/>
      </w:pPr>
      <w:bookmarkStart w:id="52" w:name="BookMark8"/>
    </w:p>
    <w:p>
      <w:pPr>
        <w:pStyle w:val="56"/>
        <w:ind w:firstLine="0" w:firstLineChars="0"/>
        <w:jc w:val="center"/>
      </w:pPr>
    </w:p>
    <w:p>
      <w:pPr>
        <w:pStyle w:val="56"/>
        <w:ind w:firstLine="0" w:firstLineChars="0"/>
        <w:jc w:val="center"/>
      </w:pPr>
    </w:p>
    <w:p>
      <w:pPr>
        <w:pStyle w:val="56"/>
        <w:ind w:firstLine="0" w:firstLineChars="0"/>
        <w:jc w:val="center"/>
      </w:pPr>
    </w:p>
    <w:bookmarkEnd w:id="52"/>
    <w:p>
      <w:pPr>
        <w:pStyle w:val="56"/>
        <w:ind w:firstLine="0" w:firstLineChars="0"/>
        <w:jc w:val="center"/>
        <w:rPr>
          <w:rFonts w:hint="default" w:eastAsia="宋体"/>
          <w:u w:val="single"/>
          <w:lang w:val="en-US" w:eastAsia="zh-CN"/>
        </w:rPr>
      </w:pPr>
      <w:r>
        <w:rPr>
          <w:rFonts w:hint="eastAsia"/>
          <w:u w:val="single"/>
          <w:lang w:val="en-US" w:eastAsia="zh-CN"/>
        </w:rPr>
        <w:t xml:space="preserve">             </w:t>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DBS52/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DBS52/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NTY2MTY0ZjE3YWRkOTFhYjk0ZmU5NWFlZDc1MDgifQ=="/>
  </w:docVars>
  <w:rsids>
    <w:rsidRoot w:val="005D3A2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CCB"/>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D8E"/>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E01"/>
    <w:rsid w:val="000F4AEA"/>
    <w:rsid w:val="000F633F"/>
    <w:rsid w:val="000F67E9"/>
    <w:rsid w:val="00104926"/>
    <w:rsid w:val="00113B1E"/>
    <w:rsid w:val="0011711C"/>
    <w:rsid w:val="0012059C"/>
    <w:rsid w:val="00124C90"/>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A8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E3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4C4"/>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D4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96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3A89"/>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ED5"/>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DA"/>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12B"/>
    <w:rsid w:val="003F6272"/>
    <w:rsid w:val="00400E72"/>
    <w:rsid w:val="00401400"/>
    <w:rsid w:val="00404869"/>
    <w:rsid w:val="00405884"/>
    <w:rsid w:val="004060FA"/>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BB6"/>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523"/>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A28"/>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725"/>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564"/>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921"/>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386"/>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D9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765"/>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844"/>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14B"/>
    <w:rsid w:val="00B447A5"/>
    <w:rsid w:val="00B4654C"/>
    <w:rsid w:val="00B47293"/>
    <w:rsid w:val="00B50E50"/>
    <w:rsid w:val="00B52120"/>
    <w:rsid w:val="00B54ABC"/>
    <w:rsid w:val="00B54DDE"/>
    <w:rsid w:val="00B56FBE"/>
    <w:rsid w:val="00B60ACF"/>
    <w:rsid w:val="00B625D0"/>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3B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4776"/>
    <w:rsid w:val="00D4514F"/>
    <w:rsid w:val="00D451E2"/>
    <w:rsid w:val="00D45E89"/>
    <w:rsid w:val="00D45E8D"/>
    <w:rsid w:val="00D466AE"/>
    <w:rsid w:val="00D4734F"/>
    <w:rsid w:val="00D51BF3"/>
    <w:rsid w:val="00D66846"/>
    <w:rsid w:val="00D675FB"/>
    <w:rsid w:val="00D71F25"/>
    <w:rsid w:val="00D72A9C"/>
    <w:rsid w:val="00D77031"/>
    <w:rsid w:val="00D847A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C3C"/>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8F3"/>
    <w:rsid w:val="00EE54A6"/>
    <w:rsid w:val="00EE613F"/>
    <w:rsid w:val="00EE7295"/>
    <w:rsid w:val="00EE7869"/>
    <w:rsid w:val="00EF054A"/>
    <w:rsid w:val="00EF3235"/>
    <w:rsid w:val="00EF513A"/>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C0138"/>
    <w:rsid w:val="01145609"/>
    <w:rsid w:val="01560297"/>
    <w:rsid w:val="022618A1"/>
    <w:rsid w:val="02D856C8"/>
    <w:rsid w:val="03B95FF4"/>
    <w:rsid w:val="0535554E"/>
    <w:rsid w:val="058273D3"/>
    <w:rsid w:val="05ED1043"/>
    <w:rsid w:val="07EB6D02"/>
    <w:rsid w:val="087220A0"/>
    <w:rsid w:val="08FA2DE2"/>
    <w:rsid w:val="0A1963FF"/>
    <w:rsid w:val="0BE856C8"/>
    <w:rsid w:val="0BEC12B8"/>
    <w:rsid w:val="0C5464DF"/>
    <w:rsid w:val="0CB741CD"/>
    <w:rsid w:val="0CCF0F3E"/>
    <w:rsid w:val="0EB23F45"/>
    <w:rsid w:val="100F01FC"/>
    <w:rsid w:val="118C5113"/>
    <w:rsid w:val="1347361C"/>
    <w:rsid w:val="13877E96"/>
    <w:rsid w:val="149E4DC2"/>
    <w:rsid w:val="150A5B57"/>
    <w:rsid w:val="15986FFE"/>
    <w:rsid w:val="17510AA9"/>
    <w:rsid w:val="18F30A59"/>
    <w:rsid w:val="19C75026"/>
    <w:rsid w:val="1ADE1D3D"/>
    <w:rsid w:val="1B3A3153"/>
    <w:rsid w:val="1B697C85"/>
    <w:rsid w:val="1BC74A78"/>
    <w:rsid w:val="1CAE7975"/>
    <w:rsid w:val="1DE07F8D"/>
    <w:rsid w:val="1DF2681E"/>
    <w:rsid w:val="1E0F11DA"/>
    <w:rsid w:val="1F6738B4"/>
    <w:rsid w:val="207D067D"/>
    <w:rsid w:val="22222E58"/>
    <w:rsid w:val="229D4016"/>
    <w:rsid w:val="23510871"/>
    <w:rsid w:val="247D4AB1"/>
    <w:rsid w:val="266F2816"/>
    <w:rsid w:val="27EB3482"/>
    <w:rsid w:val="286F2FA1"/>
    <w:rsid w:val="29EF6F9A"/>
    <w:rsid w:val="2B0D3202"/>
    <w:rsid w:val="2BDA67DF"/>
    <w:rsid w:val="2C703BA8"/>
    <w:rsid w:val="2CD002EC"/>
    <w:rsid w:val="30B57CC4"/>
    <w:rsid w:val="319C292D"/>
    <w:rsid w:val="32A95656"/>
    <w:rsid w:val="362476C6"/>
    <w:rsid w:val="38B82954"/>
    <w:rsid w:val="393417A4"/>
    <w:rsid w:val="3C682477"/>
    <w:rsid w:val="3C830972"/>
    <w:rsid w:val="3CB06E89"/>
    <w:rsid w:val="3D354562"/>
    <w:rsid w:val="3FC442ED"/>
    <w:rsid w:val="417D5346"/>
    <w:rsid w:val="41994793"/>
    <w:rsid w:val="420F0B18"/>
    <w:rsid w:val="47F17889"/>
    <w:rsid w:val="486F335A"/>
    <w:rsid w:val="48706899"/>
    <w:rsid w:val="49B02FC2"/>
    <w:rsid w:val="4A6329C8"/>
    <w:rsid w:val="4BA7072B"/>
    <w:rsid w:val="4C0D64AA"/>
    <w:rsid w:val="4C3420CE"/>
    <w:rsid w:val="4C576EBC"/>
    <w:rsid w:val="4CE4648B"/>
    <w:rsid w:val="4FC30F5C"/>
    <w:rsid w:val="507A4776"/>
    <w:rsid w:val="50A94E5A"/>
    <w:rsid w:val="51EB103B"/>
    <w:rsid w:val="54EE7FA8"/>
    <w:rsid w:val="55DB56A9"/>
    <w:rsid w:val="585B234B"/>
    <w:rsid w:val="59F108AF"/>
    <w:rsid w:val="5AFC1BC3"/>
    <w:rsid w:val="5DB25244"/>
    <w:rsid w:val="5E2D6260"/>
    <w:rsid w:val="5F8475B4"/>
    <w:rsid w:val="62890F6A"/>
    <w:rsid w:val="63A13917"/>
    <w:rsid w:val="68006E85"/>
    <w:rsid w:val="695F79A5"/>
    <w:rsid w:val="6986318A"/>
    <w:rsid w:val="69BC5D2E"/>
    <w:rsid w:val="6C75594E"/>
    <w:rsid w:val="6D5D656E"/>
    <w:rsid w:val="6F1D4A96"/>
    <w:rsid w:val="7065490D"/>
    <w:rsid w:val="73201CEA"/>
    <w:rsid w:val="73E95DE4"/>
    <w:rsid w:val="74085791"/>
    <w:rsid w:val="74187EE1"/>
    <w:rsid w:val="744E655D"/>
    <w:rsid w:val="76A52686"/>
    <w:rsid w:val="76C874CD"/>
    <w:rsid w:val="77E40C9D"/>
    <w:rsid w:val="78C0717D"/>
    <w:rsid w:val="7B74368A"/>
    <w:rsid w:val="7C9F63FA"/>
    <w:rsid w:val="7D020DFD"/>
    <w:rsid w:val="7D966685"/>
    <w:rsid w:val="7EBE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rFonts w:ascii="Times New Roman" w:hAnsi="Times New Roman" w:eastAsia="宋体" w:cs="Times New Roman"/>
      <w:b/>
      <w:bCs/>
      <w:kern w:val="44"/>
      <w:sz w:val="44"/>
      <w:szCs w:val="44"/>
    </w:rPr>
  </w:style>
  <w:style w:type="character" w:customStyle="1" w:styleId="35">
    <w:name w:val="标题 2 Char"/>
    <w:link w:val="3"/>
    <w:autoRedefine/>
    <w:qFormat/>
    <w:uiPriority w:val="0"/>
    <w:rPr>
      <w:rFonts w:ascii="Arial" w:hAnsi="Arial" w:eastAsia="黑体" w:cs="Times New Roman"/>
      <w:b/>
      <w:bCs/>
      <w:sz w:val="32"/>
      <w:szCs w:val="32"/>
    </w:rPr>
  </w:style>
  <w:style w:type="character" w:customStyle="1" w:styleId="36">
    <w:name w:val="标题 3 Char"/>
    <w:link w:val="4"/>
    <w:autoRedefine/>
    <w:qFormat/>
    <w:uiPriority w:val="0"/>
    <w:rPr>
      <w:rFonts w:ascii="Times New Roman" w:hAnsi="Times New Roman" w:eastAsia="宋体" w:cs="Times New Roman"/>
      <w:b/>
      <w:bCs/>
      <w:sz w:val="32"/>
      <w:szCs w:val="32"/>
    </w:rPr>
  </w:style>
  <w:style w:type="character" w:customStyle="1" w:styleId="37">
    <w:name w:val="标题 4 Char"/>
    <w:link w:val="5"/>
    <w:autoRedefine/>
    <w:qFormat/>
    <w:uiPriority w:val="0"/>
    <w:rPr>
      <w:rFonts w:ascii="Arial" w:hAnsi="Arial" w:eastAsia="黑体" w:cs="Times New Roman"/>
      <w:b/>
      <w:bCs/>
      <w:sz w:val="28"/>
      <w:szCs w:val="28"/>
    </w:rPr>
  </w:style>
  <w:style w:type="character" w:customStyle="1" w:styleId="38">
    <w:name w:val="标题 5 Char"/>
    <w:link w:val="6"/>
    <w:autoRedefine/>
    <w:qFormat/>
    <w:uiPriority w:val="0"/>
    <w:rPr>
      <w:rFonts w:ascii="Times New Roman" w:hAnsi="Times New Roman" w:eastAsia="宋体" w:cs="Times New Roman"/>
      <w:b/>
      <w:bCs/>
      <w:sz w:val="28"/>
      <w:szCs w:val="28"/>
    </w:rPr>
  </w:style>
  <w:style w:type="character" w:customStyle="1" w:styleId="39">
    <w:name w:val="标题 6 Char"/>
    <w:link w:val="7"/>
    <w:autoRedefine/>
    <w:qFormat/>
    <w:uiPriority w:val="0"/>
    <w:rPr>
      <w:rFonts w:ascii="Arial" w:hAnsi="Arial" w:eastAsia="黑体" w:cs="Times New Roman"/>
      <w:b/>
      <w:bCs/>
      <w:sz w:val="24"/>
      <w:szCs w:val="24"/>
    </w:rPr>
  </w:style>
  <w:style w:type="character" w:customStyle="1" w:styleId="40">
    <w:name w:val="标题 7 Char"/>
    <w:link w:val="8"/>
    <w:autoRedefine/>
    <w:qFormat/>
    <w:uiPriority w:val="0"/>
    <w:rPr>
      <w:rFonts w:ascii="Times New Roman" w:hAnsi="Times New Roman" w:eastAsia="宋体" w:cs="Times New Roman"/>
      <w:b/>
      <w:bCs/>
      <w:sz w:val="24"/>
      <w:szCs w:val="24"/>
    </w:rPr>
  </w:style>
  <w:style w:type="character" w:customStyle="1" w:styleId="41">
    <w:name w:val="标题 8 Char"/>
    <w:link w:val="9"/>
    <w:autoRedefine/>
    <w:qFormat/>
    <w:uiPriority w:val="0"/>
    <w:rPr>
      <w:rFonts w:ascii="Arial" w:hAnsi="Arial" w:eastAsia="黑体" w:cs="Times New Roman"/>
      <w:sz w:val="24"/>
      <w:szCs w:val="24"/>
    </w:rPr>
  </w:style>
  <w:style w:type="character" w:customStyle="1" w:styleId="42">
    <w:name w:val="标题 9 Char"/>
    <w:link w:val="10"/>
    <w:autoRedefine/>
    <w:qFormat/>
    <w:uiPriority w:val="0"/>
    <w:rPr>
      <w:rFonts w:ascii="Arial" w:hAnsi="Arial" w:eastAsia="黑体" w:cs="Times New Roman"/>
      <w:szCs w:val="21"/>
    </w:rPr>
  </w:style>
  <w:style w:type="character" w:customStyle="1" w:styleId="43">
    <w:name w:val="页眉 Char"/>
    <w:link w:val="18"/>
    <w:autoRedefine/>
    <w:qFormat/>
    <w:uiPriority w:val="99"/>
    <w:rPr>
      <w:rFonts w:ascii="Times New Roman" w:hAnsi="Times New Roman" w:eastAsia="宋体" w:cs="Times New Roman"/>
      <w:sz w:val="18"/>
      <w:szCs w:val="18"/>
    </w:rPr>
  </w:style>
  <w:style w:type="character" w:customStyle="1" w:styleId="44">
    <w:name w:val="页脚 Char"/>
    <w:link w:val="17"/>
    <w:autoRedefine/>
    <w:qFormat/>
    <w:uiPriority w:val="99"/>
    <w:rPr>
      <w:rFonts w:ascii="宋体" w:hAnsi="Times New Roman" w:eastAsia="宋体" w:cs="Times New Roman"/>
      <w:sz w:val="18"/>
      <w:szCs w:val="18"/>
    </w:rPr>
  </w:style>
  <w:style w:type="character" w:customStyle="1" w:styleId="45">
    <w:name w:val="批注框文本 Char"/>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rPr>
  </w:style>
  <w:style w:type="character" w:customStyle="1" w:styleId="48">
    <w:name w:val="标题 Char"/>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1BEEEB7A2B4DA6B6329DFDC4B63CA3"/>
        <w:style w:val=""/>
        <w:category>
          <w:name w:val="常规"/>
          <w:gallery w:val="placeholder"/>
        </w:category>
        <w:types>
          <w:type w:val="bbPlcHdr"/>
        </w:types>
        <w:behaviors>
          <w:behavior w:val="content"/>
        </w:behaviors>
        <w:description w:val=""/>
        <w:guid w:val="{FC3297CA-6812-482E-A6BE-52757F515D83}"/>
      </w:docPartPr>
      <w:docPartBody>
        <w:p>
          <w:pPr>
            <w:pStyle w:val="5"/>
          </w:pPr>
          <w:r>
            <w:rPr>
              <w:rStyle w:val="4"/>
              <w:rFonts w:hint="eastAsia"/>
            </w:rPr>
            <w:t>单击或点击此处输入文字。</w:t>
          </w:r>
        </w:p>
      </w:docPartBody>
    </w:docPart>
    <w:docPart>
      <w:docPartPr>
        <w:name w:val="D30823D385044F8EA5B8AC615F8E267B"/>
        <w:style w:val=""/>
        <w:category>
          <w:name w:val="常规"/>
          <w:gallery w:val="placeholder"/>
        </w:category>
        <w:types>
          <w:type w:val="bbPlcHdr"/>
        </w:types>
        <w:behaviors>
          <w:behavior w:val="content"/>
        </w:behaviors>
        <w:description w:val=""/>
        <w:guid w:val="{54EDB209-8BAC-4509-95DD-42C0314FE389}"/>
      </w:docPartPr>
      <w:docPartBody>
        <w:p>
          <w:pPr>
            <w:pStyle w:val="6"/>
          </w:pPr>
          <w:r>
            <w:rPr>
              <w:rStyle w:val="4"/>
              <w:rFonts w:hint="eastAsia"/>
            </w:rPr>
            <w:t>选择一项。</w:t>
          </w:r>
        </w:p>
      </w:docPartBody>
    </w:docPart>
    <w:docPart>
      <w:docPartPr>
        <w:name w:val="789FB71EFBF446E3957D8937BB50226C"/>
        <w:style w:val=""/>
        <w:category>
          <w:name w:val="常规"/>
          <w:gallery w:val="placeholder"/>
        </w:category>
        <w:types>
          <w:type w:val="bbPlcHdr"/>
        </w:types>
        <w:behaviors>
          <w:behavior w:val="content"/>
        </w:behaviors>
        <w:description w:val=""/>
        <w:guid w:val="{85813F54-4096-4A93-A8D0-6776F21671F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63"/>
    <w:rsid w:val="00062F2C"/>
    <w:rsid w:val="00215997"/>
    <w:rsid w:val="00853D3F"/>
    <w:rsid w:val="008F07E7"/>
    <w:rsid w:val="00995F51"/>
    <w:rsid w:val="00AB1589"/>
    <w:rsid w:val="00C1560D"/>
    <w:rsid w:val="00CC2D98"/>
    <w:rsid w:val="00CE3890"/>
    <w:rsid w:val="00DC0C63"/>
    <w:rsid w:val="00F1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B1BEEEB7A2B4DA6B6329DFDC4B63CA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30823D385044F8EA5B8AC615F8E267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89FB71EFBF446E3957D8937BB50226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D4F82-B54B-4BCD-9BB2-D2DF85F4651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1021</Words>
  <Characters>1250</Characters>
  <Lines>21</Lines>
  <Paragraphs>6</Paragraphs>
  <TotalTime>73</TotalTime>
  <ScaleCrop>false</ScaleCrop>
  <LinksUpToDate>false</LinksUpToDate>
  <CharactersWithSpaces>1349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2022-01-20T01:30:00Z</dcterms:created>
  <dc:creator>黄康</dc:creator>
  <dc:description>&lt;config cover="true" show_menu="true" version="1.0.0" doctype="SDKXY"&gt;_x000d_
&lt;/config&gt;</dc:description>
  <cp:lastModifiedBy>刘利亚</cp:lastModifiedBy>
  <cp:lastPrinted>2022-01-20T06:59:00Z</cp:lastPrinted>
  <dcterms:modified xsi:type="dcterms:W3CDTF">2024-02-26T05:42:54Z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3327E562ECFA4D6EBBB99504B0C131AC_13</vt:lpwstr>
  </property>
</Properties>
</file>