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662" w:type="dxa"/>
        <w:tblInd w:w="-109"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Layout w:type="fixed"/>
        <w:tblCellMar>
          <w:top w:w="0" w:type="dxa"/>
          <w:left w:w="108" w:type="dxa"/>
          <w:bottom w:w="0" w:type="dxa"/>
          <w:right w:w="108" w:type="dxa"/>
        </w:tblCellMar>
      </w:tblPr>
      <w:tblGrid>
        <w:gridCol w:w="804"/>
        <w:gridCol w:w="2211"/>
        <w:gridCol w:w="6975"/>
        <w:gridCol w:w="3166"/>
        <w:gridCol w:w="1506"/>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75" w:hRule="atLeast"/>
          <w:tblHeader/>
        </w:trPr>
        <w:tc>
          <w:tcPr>
            <w:tcW w:w="804" w:type="dxa"/>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序列</w:t>
            </w:r>
          </w:p>
        </w:tc>
        <w:tc>
          <w:tcPr>
            <w:tcW w:w="2211" w:type="dxa"/>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国家标准编号</w:t>
            </w:r>
          </w:p>
        </w:tc>
        <w:tc>
          <w:tcPr>
            <w:tcW w:w="6975" w:type="dxa"/>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国  家  标  准  名  称</w:t>
            </w:r>
          </w:p>
        </w:tc>
        <w:tc>
          <w:tcPr>
            <w:tcW w:w="3166" w:type="dxa"/>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代替标准号</w:t>
            </w:r>
          </w:p>
        </w:tc>
        <w:tc>
          <w:tcPr>
            <w:tcW w:w="1506" w:type="dxa"/>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实施日期</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op w:val="single" w:color="000000" w:sz="4" w:space="0"/>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11" w:type="dxa"/>
            <w:tcBorders>
              <w:top w:val="single" w:color="000000" w:sz="4" w:space="0"/>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223.60—2024</w:t>
            </w:r>
          </w:p>
        </w:tc>
        <w:tc>
          <w:tcPr>
            <w:tcW w:w="6975" w:type="dxa"/>
            <w:tcBorders>
              <w:top w:val="single" w:color="000000" w:sz="4" w:space="0"/>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钢铁及合金 硅含量的测定 重量法</w:t>
            </w:r>
          </w:p>
        </w:tc>
        <w:tc>
          <w:tcPr>
            <w:tcW w:w="3166" w:type="dxa"/>
            <w:tcBorders>
              <w:top w:val="single" w:color="000000" w:sz="4" w:space="0"/>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223.60—1997</w:t>
            </w:r>
          </w:p>
        </w:tc>
        <w:tc>
          <w:tcPr>
            <w:tcW w:w="1506" w:type="dxa"/>
            <w:tcBorders>
              <w:top w:val="single" w:color="000000" w:sz="4" w:space="0"/>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754—2024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发电用汽轮机参数系列</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754—2007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铁矿石分析方法总则及一般规定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1361—2008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铸钢轧辊</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1503—2008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3428—2024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架空导线用镀锌钢线</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3428—2012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3594—2024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渔船用电子设备电源技术要求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3594—2007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3648—2024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钨铁</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3648—2013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3880.2—2024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一般工业用铝及铝合金板、带材 第2部分：力学性能</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3880.2—2012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3880.3—2024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一般工业用铝及铝合金板、带材 第3部分：尺寸偏差</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3880.3—2012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第1部分：一般规定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4074.1—2008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第2部分：尺寸测量</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4074.2—2008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第3部分：机械性能</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4074.3—2008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第4部分：化学性能</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4074.4—2008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第5部分：电性能</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4074.5—2008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绕组线试验方法 第6部分：热性能</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4074.6—2008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4103.18—2024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铅及铅合金化学分析方法 第18部分：银、铜、铋、砷、锑、锡、锌、铁、镉、镍、镁、铝、钙、硒和碲含量的测定  电感耦合等离子体质谱法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4137—2024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稀土硅铁合金</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4137—2015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4138—2024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稀土镁硅铁合金</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4138—2015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农用挂车</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4330—2003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农用挂车  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4331—2003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4701.12—2024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钛铁 钛含量的测定 二安替吡啉甲烷分光光度法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4701.13—2024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钛铁 硅、锰、磷、铬、铝、镁、铜、钒、镍含量的测定 电感耦合等离子体原子发射光谱法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4797.3—2024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环境条件分类 自然环境条件 第3部分：生物</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4797.3—2014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5121.8—2024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铜及铜合金化学分析方法 第8部分：氧、氮、氢含量的测定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5121.8—2008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5324—2024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棉与涤纶混纺本色纱线</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5324—2009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5484—2024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石膏化学分析方法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5484—2012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5683—2024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铬铁</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5683—2008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5762—2024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建材用石灰石、生石灰和熟石灰化学分析方法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5762—2012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6730.73—2024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铁矿石 全铁含量的测定 EDTA光度滴定法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6730.73—2016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8122—2024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内径指示表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8122—2004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8177—2024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两点内径千分尺</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8177—2004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8492—2024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一般用途耐热钢及合金铸件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8492—2014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9058—2024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奇数沟千分尺</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9058—2004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9442—2024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铸造用硅砂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9442—2010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10395.28—2024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农业机械 安全 第28部分：移动式谷物螺旋输送机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10932—2024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螺纹千分尺</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10932—2004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11066.12—2024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金化学分析方法 第12 部分： 银、铜、铁、铅、铋、锑、镁、镍、锰、钯、铬、铂、铑、钛、锌、砷、锡、硅、钴、钙、钾、锂、钠、碲、钒、锆、镉、钼、铼、铝含量的测定 电感耦合等离子体原子发射光谱法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11091—2024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电缆用铜带箔材</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11091—2014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11420—2024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搪瓷制品和瓷釉 光泽度测试方法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11420—1989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12690.12—2024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稀土金属及其氧化物中非稀土杂质 化学分析方法 第12部分：钍、铀量的测定 电感耦合等离子体质谱法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12690.12—2003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12705.2—2024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纺织品 防钻绒性试验方法 第2部分：转箱法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12705.2—2009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12916—2024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船用金属螺旋桨技术条件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12916—2010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12959—2024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水泥水化热测定方法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12959—2008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13077—2024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铝合金无缝气瓶定期检验与评定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13077—2004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13210—2024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柑橘罐头质量通则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13210—2014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13539.6—2024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低压熔断器 第6部分：太阳能光伏系统保护用熔断体的补充要求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13539.6—2013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13539.7—2024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低压熔断器 第7部分：电池和电池系统保护用熔断体的补充要求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13748.20—2024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镁及镁合金化学分析方法 第20部分：元素含量的测定 电感耦合等离子体原子发射光谱法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13748.20—2009</w:t>
            </w:r>
          </w:p>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13748.5—2005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9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13818—2024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压铸锌合金</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13818—2009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13929—2024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水环真空泵和水环压缩机 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13929—2010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13930—2024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水环真空泵和水环压缩机 气量测定方法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13930—2010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14048.11—2024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低压开关设备和控制设备 第6-1部分：多功能电器 转换开关电器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14048.11—2016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14207—2024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夹层结构或芯子吸水性试验方法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14207—2008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14264—2024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半导体材料术语</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14264—2009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14408—2024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一般工程与结构用低合金钢铸件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14408—2014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14949.7—2024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锰矿石 钠和钾含量的测定 火焰原子吸收光谱法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14949.7—1994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15115—2024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压铸铝合金</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15115—2009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15148—2024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电力负荷管理系统技术规范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15148—2008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15579.1—2024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弧焊设备 第1部分：焊接电源</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15579.1—2013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16477.1—2024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稀土硅铁合金及镁硅铁合金化学分析方法 第1部分：稀土总量、十五个稀土元素含量的测定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16477.1—2010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16659—2024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煤中汞的测定方法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16659—2008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17215.301—2024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电测量设备（交流） 特殊要求 第1部分：多功能电能表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17215.301—2007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17215.302—2024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电测量设备（交流） 特殊要求 第2部分：静止式谐波有功电能表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17215.302—2013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铸铁管法兰 第1部分：PN系列</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17241.1—1998[部]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17241.2—1998[部]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17241.3—1998[部]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17241.4—1998[部]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17241.5—1998[部]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17241.6—2008[部]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17241.7—1998[部]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17241.1—1998[代完]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17241.2—1998[代完]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17241.3—1998[代完]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17241.4—1998[代完]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17241.5—1998[代完]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17241.6—2008[代完]</w:t>
            </w:r>
          </w:p>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17241.7—1998[代完]</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铸铁管法兰 第2部分：Class系列</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17241.1—1998[部]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17241.2—1998[部]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17241.3—1998[部]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17241.4—1998[部]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17241.5—1998[部]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17241.6—2008[部]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17241.7—1998[部]</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17241.1—1998[代完]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17241.2—1998[代完]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17241.3—1998[代完]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17241.4—1998[代完]</w: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17241.5—1998[代完]</w:t>
            </w:r>
          </w:p>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17241.6—2008[代完]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17241.7—1998[代完]</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17259—2024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机动车用液化石油气钢瓶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17259—2009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17737.10—2024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同轴通信电缆 第10部分：含氟聚合物绝缘半硬电缆分规范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17737.2—2000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17737.11—2024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同轴通信电缆 第11部分：聚乙烯绝缘半硬电缆分规范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17737.119—2024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同轴通信电缆 第1-119部分：电气试验方法 同轴电缆及电缆组件的射频功率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17737.9—2024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同轴通信电缆 第9部分：柔软射频同轴电缆分规范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17937—2024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电工用铝包钢线</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17937—2009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18153—2024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机械安全 用于确定可接触热表面温度限值的安全数据</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18153—2000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18222.2—2024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小艇 用操纵速度确定最大推进额定功率 第2部分：艇体长度在8m～24m之间的艇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2025-05-01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信息技术安全评估准则 第1部分：简介和一般模型</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18336.1—2015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信息技术安全评估准则 第2部分：安全功能组件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18336.2—2015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信息技术安全评估准则 第3部分：安全保障组件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18336.3—2015[部]</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信息技术安全评估准则 第4部分：评估方法和活动的规范框架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18336.3—2015[部]</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信息技术安全评估准则 第5部分：预定义的安全要求包</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18336.3—2015[部]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18336.3—2015[代完]</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18891—2024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三相交流系统相位差的钟时序数标识</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18891—2009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第1-1部分：总规范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18910.1—2012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第1-2部分：术语和符号</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18910.11—2012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第2-1部分：无源矩阵单色液晶显示模块  空白详细规范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18910.21—2007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第2部分：液晶显示模块 分规范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18910.2—2003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第2-2部分：彩色矩阵液晶显示模块 空白详细规范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18910.22—2008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第3部分：液晶显示屏 分规范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18910.3—2008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18910.63—2024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液晶显示器件 第6-3部分：液晶显示模块测试方法 有源矩阵液晶显示模块运动伪像</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19318—2024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小艇 远程液压操舵系统</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19318—2003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2025-05-01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19533—2024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汽车用压缩天然气钢瓶定期检验与评定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19533—2004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19544—2024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脊柱矫形器的分类及通用技术条件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19544—2004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19960—2024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风能发电系统 风力发电机组通用技术条件和试验方法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19960.1—2005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19960.2—2005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植物保护机械 喷雾设备 第1部分：喷雾机喷头试验方法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20183.1—2006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植物保护机械 喷雾设备 第2部分：评价液力喷雾机水平横向分布的试验方法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20183.2—2006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植物保护机械 喷雾设备 第3部分：评价单位面积施药液量调节系统性能的试验方法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20183.3—2006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20340.1—2024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农用挂车和被牵引设备 牵引杆千斤顶 第1部分：设计安全、试验方法和验收条件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20340—2006[部]</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20340.2—2024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农用挂车和被牵引设备 牵引杆千斤顶 第2部分：应用安全、试验方法和验收条件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20340—2006[部]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20340—2006[代完]</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20790—2024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半喂入联合收割机 技术条件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20790—2006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20871.12—2024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有机发光二极管显示器件 第1-2部分：术语与文字符号</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20871.2—2007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20871.61—2024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有机发光二极管显示器件 第6-1部分：光学和光电参数测试方法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20871.61—2013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21832.3—2024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奥氏体-铁素体型双相不锈钢焊接钢管 第3部分：油气输送用管</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21833.3—2024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奥氏体-铁素体型双相不锈钢无缝钢管 第3部分：油气输送用管</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21836—2024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四氧化三锰</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21836—2008</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21956.1—2024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农林拖拉机 窄轮距轮式拖拉机翻滚防护装置  第1部分：前置式</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21956.1—2015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21956.2—2015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21956.2—2024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农林拖拉机 窄轮距轮式拖拉机翻滚防护装置  第2部分：后置式</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21956.3—2015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,GB/T 21956.4—2009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23561.11—2024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煤和岩石物理力学性质测定方法 第11部分：煤和岩石抗剪强度测定方法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23561.11—2010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23561.1—2024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煤和岩石物理力学性质测定方法 第1部分：采样一般规定</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23561.1—2009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24675.1—2024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保护性耕作机械 第1部分：浅松机</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24675.1—2009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24675.2—2024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保护性耕作机械 第2部分：深松机</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24675.2—2009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25049—2024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镍铁</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25049—2010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25390—2024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风能发电系统 风力发电机组球墨铸铁件</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25390—2010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25392—2024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农业工程 电气和电子设备 耐环境试验</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25392—2010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25632—2024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增材制造机床软件数据接口格式</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25632—2010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26027—2024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高损伤容限铝合金型材</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26027—2010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26080—2024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塔机用冷弯矩形管</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26080—2010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26114—2024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液体过滤用过滤器 通用技术规范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26114—2010</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26527—2024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有机硅消泡剂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26527—2011</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26600—2024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显微镜 光学显微术用浸液</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26600—2011</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27692—2024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高炉用铁球团矿</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27692—2011</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2820.9—2024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往复式内燃机驱动的交流发电机组 第9部分：机械振动的测量和评价</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2820.9—2002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28629—2024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水泥熟料中游离二氧化硅化学分析方法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28629—2012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28780—2024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机械安全 机器用整体照明系统</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28780—2012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28884—2024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大容积气瓶用无缝钢管</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28884—2012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2900.17—2024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电工术语 量度继电器和保护设备</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2900.17—2009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2910.11—2024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纺织品 定量化学分析 第11部分：某些纤维素纤维与某些其他纤维的混合物（硫酸法）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2910.11—2009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2026-05-01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29284—2024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聚乳酸</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29284—2012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29324—2024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架空导线用碳纤维增强复合材料芯</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29324—2012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29335—2024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食品容器用爪式旋开盖质量通则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29335—2012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29603—2024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食品容器用镀锡或镀铬薄钢板全开式易开盖质量通则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29603—2013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30117.1—2024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非相干光产品的光生物安全 第1部分：通用要求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30177.2—2024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过滤机性能测试方法 第2部分：真空过滤机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30270—2024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信息技术安全评估方法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30270—2013</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31211.1—2024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无损检测 超声导波检测 第1部分：总则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31211—2014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31211.2—2024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无损检测 超声导波检测 第2部分：磁致伸缩法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28704—2012</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31268—2024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限制商品过度包装  通则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31268—2014</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32270—2024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压力管道规范 动力管道</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32270—2015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32285—2024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热轧H型钢桩</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32285—2015</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32590.1—2024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轨道交通 市域铁路和城轨交通运输管理和指令/控制系统 第1部分：系统原理和基本概念</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32590.1—2016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32590.2—2024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轨道交通 市域铁路和城轨交通运输管理和指令/控制系统 第2部分：功能需求规范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32590.3—2024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轨道交通 市域铁路和城轨交通运输管理和指令/控制系统 第3部分：系统需求规范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33352—2024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电子电气产品中限用物质筛选应用通则 X射线荧光光谱法</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33352—2016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33423—2024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沿海及海上风电机组腐蚀控制技术规范</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33423—2016</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33488.5—2024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化工用塑料焊接制承压设备检验方法 第5部分：衍射时差法超声检测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33563—2024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无线局域网客户端安全技术要求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33563—2017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33565—2024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无线局域网接入系统安全技术要求</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33565—2017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34549—2024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卫生洁具 智能坐便器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34549—2017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34924—2024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低压电气设备安全风险评估和风险降低指南</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34924—2017</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36450.3—2024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信息技术 存储管理 第3部分：通用轮廓</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37820.1—2024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船舶与海上技术  船舶安全标志、防火控制图标志、安全提示和安全标记的设计、位置和使用  第1部分：设计原则</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37820.—2019</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38001.51—2024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柔性显示器件 第5-1部分：光学性能测试方法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38001.52—2024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柔性显示器件 第5-2部分：非便携式曲面显示器件光学性能测试方法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38001.53—2024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柔性显示器件 第5-3部分：目视评价方法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38216.5—2024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钢渣 氧化锰含量的测定 火焰原子吸收光谱法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40096.6—2024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就地化继电保护装置技术规范 第6部分：母线保护</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40096.7—2024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就地化继电保护装置技术规范 第7部分：变压器保护</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40344.3—2024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真空技术 真空泵性能测量标准方法  第3部分：机械增压泵的特定参数</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40565.1—2024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液压传动连接 快换接头 第1部分：通用型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42126.5—2024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基于蜂窝网络的工业无线通信规范 第5部分:应用要求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42151.4—2024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电力自动化通信网络和系统 第4部分：系统和项目管理</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42513.6—2024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第6部分：钼含量的测定 电感耦合等离子体原子发射光谱法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42513.7—2024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镍合金化学分析方法 第7部分：钴、铬、铜、铁和锰含量的测定 火焰原子吸收光谱法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43130.2—2024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液化天然气装置和设备 浮式液化天然气装置的设计 第2部分：浮式储存和再气化装置的特殊要求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43259.556—2024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能量管理系统应用程序接口（EMS-API）第556部分：基于CIM图形交换格式（CIM/G）</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43590.504—2024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激光显示器件 第5-4部分：彩色散斑的光学测试方法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43694—2024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证书应用综合服务接口规范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43696—2024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零信任参考体系架构</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43698—2024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软件供应链安全要求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43739—2024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数据安全技术 应用商店的移动互联网应用程序（App）个人信息处理规范性审核与管理指南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43741—2024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网络安全众测服务要求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43746.1—2024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钻孔和基础施工设备安全要求 第1部分：通用要求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43746.2—2024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钻孔和基础施工设备安全要求 第2部分：建筑施工用移动式钻机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43746.3—2024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钻孔和基础施工设备安全要求 第3部分：桩和其他基础施工设备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43779—2024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基于密码令牌的主叫用户可信身份鉴别技术规范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网络协同制造平台数据服务要求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IPv6地址分配和编码规则 接口标识符</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基于扫描氮-空位探针的微弱静磁场成像测量方法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显微镜 显微镜物镜的命名 第1部分：像场平面度/平场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显微镜 显微镜物镜的命名 第2部分：色差校正</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显微镜 显微镜物镜的命名 第3部分：光谱透射率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光学和光子学 光谱波段</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网络安全技术 软件产品开源代码安全评价方法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43849—2024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水下机器人整机及零部件基本环境试验方法 水静压力试验方法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面向装备制造业的研发设计资源分类及编码</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制造物流系统互联互通通用要求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激光修复层高温摩擦磨损性能试验 球-盘法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衣物洗涤质量要求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印刷技术 印刷工作流程的颜色一致性</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教学设施安全和管理要求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陆地生态系统生物长期监测规范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43859—2024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水分活度仪性能测定方法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43860.1210—2024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触摸和交互显示 第12-10部分：触摸显示测试方法  触摸和电性能</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43860.1220—2024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触摸和交互显示 第12-20 部分：触摸显示测试方法  多点触摸性能</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43860.12—2024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触摸和交互显示 第1-2部分：术语和文字符号</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微波等离子体原子发射光谱方法通则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智能电视交互应用接口技术要求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大规模集成电路（LSI） 封装 印制电路板共通设计结构</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43864.12—2024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显示光源组件 第1-2部分：术语和文字符号</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直接进样测汞分析方法通则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企业能源计量器具配备率检查方法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电气运输设备 术语和分类</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电化学储能电站启动验收规程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43869—2024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船舶交通管理系统监视雷达通用技术要求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磁性材料居里温度的测量方法 第1部分：永磁材料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磁性材料居里温度的测量方法 第2部分：软磁材料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水泥氯离子固化率检测方法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超薄玻璃退火上下限温度试验方法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玻璃材料及制品压缩性能试验方法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水泥原材料中总铬的测定方法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水泥净浆黏度测定方法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铁矿石 同化性能测定方法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43878—2024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旋挖钻机截齿</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低膨胀玻璃线热膨胀系数试验方法 激光干涉法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净味沥青混凝土</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微束分析 分析电子显微术 金属中纳米颗粒数密度的测定方法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金属覆盖层 钢铁制件的锌扩散层-渗锌 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碳化硅外延片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影像材料 已加工彩色照片 热稳定性测量方法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核级柔性石墨板材</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钢轨超声检测方法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43889—2024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微束分析 电子探针显微分析仪（EPMA）质量保证程序实施导则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非金属化工设备 不透性石墨换热器传热系数和流阻性能测试方法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石英玻璃光谱透射比试验方法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装配式钢结构建筑用热轧型钢</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43894.1—2024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半导体晶片近边缘几何形态评价  第1部分：高度径向二阶导数法（ZDD）</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增材制造 材料 模具钢粉</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金属材料 超高周疲劳 超声疲劳试验方法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铸造高温合金 母合金  单晶</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工程机械液压缸用精密无缝钢管</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43899—2024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生铁  多元素含量的测定 火花放电原子发射光谱法（常规法）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钢产品无损检测 轴类构件扭转残余应力分布状态超声检测方法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镍铁 砷、锡、锑、铅和铋含量 电感耦合等离子体质谱法（ICP-MS）</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绿色制造 制造企业绿色供应链管理 实施指南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绿色制造 制造企业绿色供应链管理 信息追溯及披露要求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风能发电系统 风力发电机组运行评价指标体系</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第1部分：电弧焊中烟尘排放速率的测定和分析用烟尘的收集</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第2部分：电弧焊、切割及气刨中一氧化碳、二氧化碳、一氧化氮、二氧化氮排放速率的测定</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第3部分：电弧焊中臭氧排放速率的测定</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第4部分：焊接材料焊接烟尘排放限值</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第5部分：基于热解-气相色谱-质谱法的焊接或切割中有机材料热降解物的识别</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43905.6—2024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焊接及相关工艺中烟尘和气体取样的实验室方法 第6部分：电阻点焊中烟尘和气体的定量化测定</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金属材料硬钎焊质量要求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农林拖拉机和机械 拖拉机与机具间的摄像头接口 第1部分：模拟摄像头接口</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水肥一体化设备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43909—2024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叉车属具  安全要求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物流仓储设备 术语</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锅炉热工性能试验不确定度的评定方法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铸造机械 再制造 通用技术规范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钢制异径短节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绿色制造 评价指标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纳米几何量标准样板测试方法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真空技术 真空计 电容薄膜真空计的规范、校准和测量不确定度</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焊接烟尘捕集和分离设备 第1部分：一般要求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43917.2—2024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焊接烟尘捕集和分离设备 第2部分：分离效率的测试和标记要求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43917.3—2024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焊接烟尘捕集和分离设备 第3部分：焊枪上烟尘吸气装置捕集效率的测定</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43917.4—2024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焊接烟尘捕集和分离设备 第4部分：捕集装置最小风量的测定</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交流标准电能表</w:t>
            </w:r>
          </w:p>
        </w:tc>
        <w:tc>
          <w:tcPr>
            <w:tcW w:w="316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17215.701—2011</w:t>
            </w: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43919—2024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民用航空锻件数字化生产车间集成要求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压铸用铝液集中熔炼配送通用技术规范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无损检测 超声检测 全矩阵采集/全聚焦技术（FMC/TFM）</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在役聚乙烯燃气管道检验与评价</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工业车辆 操作手册</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43924.1—2024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航空航天 MJ螺纹 第1部分：通用要求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43924.2—2024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航空航天 MJ螺纹 第2部分：螺栓和螺母螺纹的极限尺寸</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航空航天 MJ螺纹 第3部分：流体系统管路件螺纹的极限尺寸</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套管和油管全尺寸拉伸应力腐蚀试验方法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油气输送管道事故后状态评估技术规范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航天器用锂离子蓄电池组安全设计与控制要求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宇航用商业现货（COTS）器件保证指南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43929—2024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空间用纤维光学器件测试指南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宇航用电磁继电器通用规范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岩溶流域碳循环监测及增汇评价指南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金属矿土地复垦与生态修复技术规范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煤矿土地复垦与生态修复技术规范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矿山土地复垦与生态修复监测评价技术规范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石油天然气项目土地复垦与生态修复技术规范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岩溶区水土资源开发利用规范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43938.1—2024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碳纤维增强复合材料薄壁管件力学性能试验方法 第1部分：拉伸试验</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43938.2—2024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碳纤维增强复合材料薄壁管件力学性能试验方法 第2部分：压缩试验</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43939—2024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宇航用石英挠性加速度计伺服电路通用测试方法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4Mb/s数字式时分制指令/响应型多路传输数据总线测试方法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星地数据传输中高速调制解调器技术要求和测试方法 第1部分:调制器 </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智能船舶风险评估方法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船舶环境噪声</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船舶内装材料计权隔声指数测量方法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基于统计能量分析的船舶舱室噪声预报</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低速线控底盘通用技术要求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小艇 操舵装置 缆索滑轮传动系统</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2025-05-01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43949—2024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海洋移动钻井平台钻井系统  配置和技术要求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工业浓盐水回用技术导则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食品容器用覆膜铁、覆膜铝质量通则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全生物降解聚乙醇酸（PGA）</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重瓣红玫瑰精油</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棉及化纤纯纺、混纺纱线检验、标志与包装</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中尺度全球地表覆盖制图数据产品规范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林草物联网 面向视频的无线传感器网络媒体访问控制和物理层协议</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林草物联网 面向视频的无线传感器网络技术要求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43959—2024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锅炉火焰检测系统技术规范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云制造服务平台开放接口要求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制造系统诊断维护技术与应用集成通用要求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43962.1—2024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动力电池数字化车间集成 第1部分：通用要求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家用和类似用途电自动控制器空中下载（OTA）技术要求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电子级正硅酸乙酯</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高效液相色谱-四极杆电感耦合等离子体质谱联用法通则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空间环境 宇航用半导体器件单粒子效应脉冲激光试验方法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高效液相色谱-原子荧光光谱仪联用分析方法通则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43969—2024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智能语音控制器通用安全技术要求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化学蒸气发生-原子荧光光谱分析方法通则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遥感器定标用积分球光源测试规范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集成电路封装设备远程运维 状态监测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载物电气运输设备通用规范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船舶交通管理系统数据综合处理器技术规范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电子气体 四氟甲烷</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电子气体 八氟环丁烷</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室内LED显示屏光舒适度评价要求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43979—2024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室内LED显示屏光舒适度评价方法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43980—2024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口译服务 医疗口译要求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43981—2024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基层减灾能力评估技术规范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城市隧道运维服务规范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城市光环境建设服务质量评价规范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城市公共设施 电子围网系统 运行规范</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粮食安全储存水分</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43997.1—2024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地表温度热红外遥感反演 第1部分：单通道法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43997.2—2024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地表温度热红外遥感反演 第2部分：分裂窗法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43999—2024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应急呼吸道传染病患者转运设备技术要求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空间环境 材料空间环境效应地面模拟试验装置通用要求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空间环境 地磁场参考模型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力学性能测量 REBCO涂层导体（镀铜）脱层强度测试方法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纳米技术 有机晶体管和材料表征试验方法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红外图像温度表示规则 RGB法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纳米技术 纳米多孔材料储氢量测定  气体吸附法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应急医用模块化集成系统通用技术要求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44009—2024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绿色产品评价  染料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44010—2024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救灾帐篷 通用技术要求</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44011.1—2024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自然灾害综合风险评估技术规范 第1部分：房屋建筑</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应急避难场所 术语</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44013—2024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应急避难场所 分级及分类</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44014—2024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应急避难场所 标志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44020—2024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信息技术 计算机图形图像处理和环境数据表示 混合与增强现实中实时人物肖像和实体的表示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第1部分：总则</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第2部分：测试信号和媒介</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第3部分：电视机</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第4部分：录像设备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44021.5—2024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第5部分：机顶盒（STB）</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44021.6—2024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音视频及相关设备 功耗测量 第6部分：音频设备</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3480.4—2024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直齿轮和斜齿轮承载能力计算  第4部分：齿面断裂承载能力计算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344</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3480.22—2024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直齿轮和斜齿轮承载能力计算  第22部分：微点蚀承载能力计算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345</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14048.24—2024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低压开关设备和控制设备 第7-5部分：辅助器件 铝导体的接线端子排</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346</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29014.3—2024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切削刀具数据表达与交换 第3部分：刀具项目参考字典</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347</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42151.77—2024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电力自动化通信网络和系统 第7-7部分：用于工具的IEC 61850相关数据模型机器可处理格式</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348</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43963—2024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确定额定电压在交流1000V以上至2000V，直流1500V以上至3000V间设备的电气间隙、爬电距离的数值以及对固体绝缘要求的指南</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349</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43973—2024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非介入式负荷监测（NILM）系统用感知装置</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43996.2—2024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微细气泡技术 农业应用 第2部分：评价大麦种子发芽促进作用的测试方法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351</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43998—2024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纳米技术 混合粉尘制造环境空气中纳米级炭黑和无定形二氧化硅浓度的测量方法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352</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44002—2024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空间环境 太阳能量质子注量和峰值通量的确定方法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70" w:hRule="atLeast"/>
        </w:trPr>
        <w:tc>
          <w:tcPr>
            <w:tcW w:w="804"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353</w:t>
            </w:r>
          </w:p>
        </w:tc>
        <w:tc>
          <w:tcPr>
            <w:tcW w:w="2211"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GB/Z 44005.1—2024</w:t>
            </w:r>
          </w:p>
        </w:tc>
        <w:tc>
          <w:tcPr>
            <w:tcW w:w="6975"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纳米技术 黏土纳米材料 第1部分：层状黏土的特性及测量方法</w:t>
            </w:r>
          </w:p>
        </w:tc>
        <w:tc>
          <w:tcPr>
            <w:tcW w:w="3166" w:type="dxa"/>
            <w:tcBorders>
              <w:tl2br w:val="nil"/>
              <w:tr2bl w:val="nil"/>
            </w:tcBorders>
            <w:shd w:val="clear" w:color="auto" w:fill="auto"/>
            <w:noWrap/>
            <w:vAlign w:val="center"/>
          </w:tcPr>
          <w:p>
            <w:pPr>
              <w:jc w:val="both"/>
              <w:rPr>
                <w:rFonts w:hint="eastAsia" w:asciiTheme="minorEastAsia" w:hAnsiTheme="minorEastAsia" w:eastAsiaTheme="minorEastAsia" w:cstheme="minorEastAsia"/>
                <w:i w:val="0"/>
                <w:iCs w:val="0"/>
                <w:color w:val="000000"/>
                <w:kern w:val="0"/>
                <w:sz w:val="20"/>
                <w:szCs w:val="20"/>
                <w:u w:val="none"/>
                <w:lang w:val="en-US" w:eastAsia="zh-CN" w:bidi="ar"/>
              </w:rPr>
            </w:pPr>
          </w:p>
        </w:tc>
        <w:tc>
          <w:tcPr>
            <w:tcW w:w="1506" w:type="dxa"/>
            <w:tcBorders>
              <w:tl2br w:val="nil"/>
              <w:tr2bl w:val="nil"/>
            </w:tcBorders>
            <w:shd w:val="clear" w:color="auto" w:fill="auto"/>
            <w:noWrap/>
            <w:vAlign w:val="center"/>
          </w:tcPr>
          <w:p>
            <w:pPr>
              <w:keepNext w:val="0"/>
              <w:keepLines w:val="0"/>
              <w:widowControl/>
              <w:suppressLineNumbers w:val="0"/>
              <w:jc w:val="both"/>
              <w:textAlignment w:val="bottom"/>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2024-11-01</w:t>
            </w:r>
          </w:p>
        </w:tc>
      </w:tr>
    </w:tbl>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eastAsia" w:ascii="黑体" w:hAnsi="黑体" w:eastAsia="黑体" w:cs="Times New Roman"/>
          <w:sz w:val="32"/>
          <w:szCs w:val="32"/>
          <w:lang w:val="en-US" w:eastAsia="zh-CN"/>
        </w:rPr>
      </w:pPr>
    </w:p>
    <w:p>
      <w:pPr>
        <w:widowControl/>
        <w:numPr>
          <w:ilvl w:val="0"/>
          <w:numId w:val="0"/>
        </w:numPr>
        <w:ind w:firstLine="654" w:firstLineChars="200"/>
        <w:jc w:val="left"/>
        <w:rPr>
          <w:rFonts w:hint="eastAsia" w:ascii="黑体" w:hAnsi="黑体" w:eastAsia="黑体" w:cs="Times New Roman"/>
          <w:sz w:val="32"/>
          <w:szCs w:val="32"/>
          <w:lang w:val="en-US" w:eastAsia="zh-CN"/>
        </w:rPr>
      </w:pPr>
    </w:p>
    <w:p>
      <w:pPr>
        <w:widowControl/>
        <w:numPr>
          <w:ilvl w:val="0"/>
          <w:numId w:val="0"/>
        </w:numPr>
        <w:ind w:firstLine="654" w:firstLineChars="200"/>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二、国家标准修改单</w:t>
      </w:r>
    </w:p>
    <w:tbl>
      <w:tblPr>
        <w:tblStyle w:val="10"/>
        <w:tblW w:w="147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2143"/>
        <w:gridCol w:w="7104"/>
        <w:gridCol w:w="3180"/>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blHeader/>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序列</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国家标准编号</w:t>
            </w:r>
          </w:p>
        </w:tc>
        <w:tc>
          <w:tcPr>
            <w:tcW w:w="7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国  家  标  准  名  称</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代替标准号</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bCs/>
                <w:i w:val="0"/>
                <w:iCs w:val="0"/>
                <w:color w:val="000000"/>
                <w:kern w:val="0"/>
                <w:sz w:val="20"/>
                <w:szCs w:val="20"/>
                <w:u w:val="none"/>
                <w:lang w:val="en-US" w:eastAsia="zh-CN" w:bidi="ar"/>
              </w:rPr>
              <w:t>实施日期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21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609—2018</w:t>
            </w:r>
          </w:p>
        </w:tc>
        <w:tc>
          <w:tcPr>
            <w:tcW w:w="710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化学试剂 总氮量测定通用方法 《第1号修改单》</w:t>
            </w:r>
          </w:p>
        </w:tc>
        <w:tc>
          <w:tcPr>
            <w:tcW w:w="318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609—2006</w:t>
            </w:r>
          </w:p>
        </w:tc>
        <w:tc>
          <w:tcPr>
            <w:tcW w:w="149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25"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w:t>
            </w:r>
          </w:p>
        </w:tc>
        <w:tc>
          <w:tcPr>
            <w:tcW w:w="2143"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626—2006</w:t>
            </w:r>
          </w:p>
        </w:tc>
        <w:tc>
          <w:tcPr>
            <w:tcW w:w="7104"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化学试剂 硝酸 《第1号修改单》</w:t>
            </w:r>
          </w:p>
        </w:tc>
        <w:tc>
          <w:tcPr>
            <w:tcW w:w="318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626—1989</w:t>
            </w:r>
          </w:p>
        </w:tc>
        <w:tc>
          <w:tcPr>
            <w:tcW w:w="149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25"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2143"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18369—2022</w:t>
            </w:r>
          </w:p>
        </w:tc>
        <w:tc>
          <w:tcPr>
            <w:tcW w:w="7104"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玻璃纤维无捻粗纱 《第1号修改单》</w:t>
            </w:r>
          </w:p>
        </w:tc>
        <w:tc>
          <w:tcPr>
            <w:tcW w:w="318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18369—2008</w:t>
            </w:r>
          </w:p>
        </w:tc>
        <w:tc>
          <w:tcPr>
            <w:tcW w:w="1497"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1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19624—2019</w:t>
            </w:r>
          </w:p>
        </w:tc>
        <w:tc>
          <w:tcPr>
            <w:tcW w:w="710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在用含缺陷压力容器安全评定 《第1号修改单》</w:t>
            </w:r>
          </w:p>
        </w:tc>
        <w:tc>
          <w:tcPr>
            <w:tcW w:w="31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GB/T 19624—2004</w:t>
            </w:r>
          </w:p>
        </w:tc>
        <w:tc>
          <w:tcPr>
            <w:tcW w:w="149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2024-04-25</w:t>
            </w:r>
          </w:p>
        </w:tc>
      </w:tr>
    </w:tbl>
    <w:p>
      <w:pPr>
        <w:keepNext w:val="0"/>
        <w:keepLines w:val="0"/>
        <w:pageBreakBefore w:val="0"/>
        <w:widowControl w:val="0"/>
        <w:pBdr>
          <w:top w:val="single" w:color="auto" w:sz="4" w:space="1"/>
          <w:left w:val="none" w:color="auto" w:sz="0" w:space="4"/>
          <w:bottom w:val="single" w:color="000000" w:themeColor="text1" w:sz="12" w:space="1"/>
          <w:right w:val="none" w:color="auto" w:sz="0" w:space="4"/>
          <w:between w:val="none" w:color="auto" w:sz="0" w:space="0"/>
        </w:pBdr>
        <w:tabs>
          <w:tab w:val="left" w:pos="3721"/>
        </w:tabs>
        <w:kinsoku w:val="0"/>
        <w:wordWrap/>
        <w:overflowPunct w:val="0"/>
        <w:topLinePunct w:val="0"/>
        <w:autoSpaceDE w:val="0"/>
        <w:autoSpaceDN w:val="0"/>
        <w:bidi w:val="0"/>
        <w:adjustRightInd w:val="0"/>
        <w:snapToGrid w:val="0"/>
        <w:spacing w:after="71" w:afterLines="23" w:afterAutospacing="0" w:line="500" w:lineRule="exact"/>
        <w:ind w:right="0" w:rightChars="0"/>
        <w:jc w:val="left"/>
        <w:textAlignment w:val="auto"/>
        <w:rPr>
          <w:rFonts w:hint="eastAsia" w:ascii="方正小标宋简体" w:eastAsia="方正小标宋简体"/>
          <w:sz w:val="32"/>
          <w:szCs w:val="32"/>
          <w:lang w:eastAsia="zh-CN"/>
        </w:rPr>
      </w:pPr>
      <w:bookmarkStart w:id="0" w:name="_GoBack"/>
      <w:bookmarkEnd w:id="0"/>
    </w:p>
    <w:sectPr>
      <w:footerReference r:id="rId3" w:type="default"/>
      <w:footerReference r:id="rId4" w:type="even"/>
      <w:pgSz w:w="16838" w:h="11906" w:orient="landscape"/>
      <w:pgMar w:top="1984" w:right="1474" w:bottom="1644" w:left="1474" w:header="851" w:footer="1191" w:gutter="0"/>
      <w:pgBorders>
        <w:top w:val="none" w:sz="0" w:space="0"/>
        <w:left w:val="none" w:sz="0" w:space="0"/>
        <w:bottom w:val="none" w:sz="0" w:space="0"/>
        <w:right w:val="none" w:sz="0" w:space="0"/>
      </w:pgBorders>
      <w:cols w:space="0" w:num="1"/>
      <w:rtlGutter w:val="0"/>
      <w:docGrid w:type="linesAndChars" w:linePitch="307" w:charSpace="1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86"/>
    <w:family w:val="roman"/>
    <w:pitch w:val="default"/>
    <w:sig w:usb0="00000000" w:usb1="00000000" w:usb2="02000000" w:usb3="00000000" w:csb0="2000019F" w:csb1="00000000"/>
  </w:font>
  <w:font w:name="Droid Sans Japanese">
    <w:panose1 w:val="020B0502000000000001"/>
    <w:charset w:val="00"/>
    <w:family w:val="auto"/>
    <w:pitch w:val="default"/>
    <w:sig w:usb0="80000000" w:usb1="08070000" w:usb2="0000001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TrueTypeFonts/>
  <w:saveSubsetFonts/>
  <w:bordersDoNotSurroundHeader w:val="false"/>
  <w:bordersDoNotSurroundFooter w:val="false"/>
  <w:documentProtection w:enforcement="0"/>
  <w:defaultTabStop w:val="419"/>
  <w:evenAndOddHeaders w:val="true"/>
  <w:drawingGridHorizontalSpacing w:val="109"/>
  <w:drawingGridVerticalSpacing w:val="15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hMDM1MjRmZDAyODkwN2UxM2JkZDc4YWExZDg0MTAifQ=="/>
  </w:docVars>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1583748"/>
    <w:rsid w:val="04465C25"/>
    <w:rsid w:val="04BD1014"/>
    <w:rsid w:val="050C4E4D"/>
    <w:rsid w:val="064551F9"/>
    <w:rsid w:val="0CD30E4B"/>
    <w:rsid w:val="0D701F12"/>
    <w:rsid w:val="0F506799"/>
    <w:rsid w:val="0FF0E79A"/>
    <w:rsid w:val="101D74BB"/>
    <w:rsid w:val="12986199"/>
    <w:rsid w:val="137110B8"/>
    <w:rsid w:val="15130C7A"/>
    <w:rsid w:val="16754BEE"/>
    <w:rsid w:val="17137D16"/>
    <w:rsid w:val="19673738"/>
    <w:rsid w:val="1A4F22A1"/>
    <w:rsid w:val="1CEC4122"/>
    <w:rsid w:val="1D3F1EDF"/>
    <w:rsid w:val="1EE33029"/>
    <w:rsid w:val="1F3E183E"/>
    <w:rsid w:val="1FFF148E"/>
    <w:rsid w:val="24F51523"/>
    <w:rsid w:val="26DC42BD"/>
    <w:rsid w:val="297237DD"/>
    <w:rsid w:val="29EE26A2"/>
    <w:rsid w:val="2A2E2FA6"/>
    <w:rsid w:val="2CC22420"/>
    <w:rsid w:val="2CC3523C"/>
    <w:rsid w:val="2D4EEE79"/>
    <w:rsid w:val="2FF85849"/>
    <w:rsid w:val="2FFD168E"/>
    <w:rsid w:val="31077699"/>
    <w:rsid w:val="31A041CB"/>
    <w:rsid w:val="31E31DB8"/>
    <w:rsid w:val="329B4D38"/>
    <w:rsid w:val="32B209C7"/>
    <w:rsid w:val="333D7989"/>
    <w:rsid w:val="33BF7C44"/>
    <w:rsid w:val="33D74DBE"/>
    <w:rsid w:val="344B6E69"/>
    <w:rsid w:val="35511F61"/>
    <w:rsid w:val="35AC3113"/>
    <w:rsid w:val="36B31F95"/>
    <w:rsid w:val="37DDF9A5"/>
    <w:rsid w:val="37DE12D8"/>
    <w:rsid w:val="37DF7C21"/>
    <w:rsid w:val="38AE0930"/>
    <w:rsid w:val="394C172B"/>
    <w:rsid w:val="399D3B0C"/>
    <w:rsid w:val="39D7204E"/>
    <w:rsid w:val="3BE7D995"/>
    <w:rsid w:val="3D3CF64F"/>
    <w:rsid w:val="3D778139"/>
    <w:rsid w:val="3D7F33FA"/>
    <w:rsid w:val="3DFF8090"/>
    <w:rsid w:val="3E8F38B7"/>
    <w:rsid w:val="3EF752DA"/>
    <w:rsid w:val="3F0B26CC"/>
    <w:rsid w:val="3F7F6977"/>
    <w:rsid w:val="3FD39FA3"/>
    <w:rsid w:val="41127064"/>
    <w:rsid w:val="43B850E8"/>
    <w:rsid w:val="441023D1"/>
    <w:rsid w:val="47070DC3"/>
    <w:rsid w:val="4748745A"/>
    <w:rsid w:val="47687178"/>
    <w:rsid w:val="47AC01B5"/>
    <w:rsid w:val="47D4726C"/>
    <w:rsid w:val="4A103EFD"/>
    <w:rsid w:val="4A2B73D1"/>
    <w:rsid w:val="4C44287B"/>
    <w:rsid w:val="4C79ECF4"/>
    <w:rsid w:val="4D906D33"/>
    <w:rsid w:val="4DBFAA61"/>
    <w:rsid w:val="51433C13"/>
    <w:rsid w:val="52136962"/>
    <w:rsid w:val="52934F0B"/>
    <w:rsid w:val="529770AE"/>
    <w:rsid w:val="52FA253D"/>
    <w:rsid w:val="53823A42"/>
    <w:rsid w:val="53E978BF"/>
    <w:rsid w:val="54041E64"/>
    <w:rsid w:val="54D332BF"/>
    <w:rsid w:val="55037E8F"/>
    <w:rsid w:val="570222DE"/>
    <w:rsid w:val="57BF2DA2"/>
    <w:rsid w:val="57BF5C28"/>
    <w:rsid w:val="58D6785F"/>
    <w:rsid w:val="5BBEB2B6"/>
    <w:rsid w:val="5BCE6E37"/>
    <w:rsid w:val="5CA6175E"/>
    <w:rsid w:val="5D10443D"/>
    <w:rsid w:val="5EFD5329"/>
    <w:rsid w:val="5F59C619"/>
    <w:rsid w:val="5F5C1672"/>
    <w:rsid w:val="5FAA231C"/>
    <w:rsid w:val="5FCF1ED4"/>
    <w:rsid w:val="60AE416C"/>
    <w:rsid w:val="61CA3494"/>
    <w:rsid w:val="642FECCE"/>
    <w:rsid w:val="64DA3411"/>
    <w:rsid w:val="67FF56DD"/>
    <w:rsid w:val="681775CB"/>
    <w:rsid w:val="69015752"/>
    <w:rsid w:val="6A0E7CE5"/>
    <w:rsid w:val="6A1C3809"/>
    <w:rsid w:val="6B3E1D84"/>
    <w:rsid w:val="6B751AD0"/>
    <w:rsid w:val="6E485159"/>
    <w:rsid w:val="6F1E5FD8"/>
    <w:rsid w:val="6F643D9C"/>
    <w:rsid w:val="6F73B507"/>
    <w:rsid w:val="6FEFC31E"/>
    <w:rsid w:val="6FFC2F0D"/>
    <w:rsid w:val="6FFF7B69"/>
    <w:rsid w:val="71AF5789"/>
    <w:rsid w:val="7202194A"/>
    <w:rsid w:val="72A777B7"/>
    <w:rsid w:val="737FD0F5"/>
    <w:rsid w:val="75E7EEBA"/>
    <w:rsid w:val="76C3431C"/>
    <w:rsid w:val="76FD37A6"/>
    <w:rsid w:val="777D522F"/>
    <w:rsid w:val="77FCF56B"/>
    <w:rsid w:val="78AA6CAB"/>
    <w:rsid w:val="7A6EC2D7"/>
    <w:rsid w:val="7A7E19B1"/>
    <w:rsid w:val="7ADA7712"/>
    <w:rsid w:val="7B97E44A"/>
    <w:rsid w:val="7BF29DDC"/>
    <w:rsid w:val="7BFFB60F"/>
    <w:rsid w:val="7BFFFC6E"/>
    <w:rsid w:val="7CAC5332"/>
    <w:rsid w:val="7CFF80E2"/>
    <w:rsid w:val="7D35C1EF"/>
    <w:rsid w:val="7D6E116E"/>
    <w:rsid w:val="7E054E0B"/>
    <w:rsid w:val="7EDD5827"/>
    <w:rsid w:val="7EEF95A2"/>
    <w:rsid w:val="7EEFFF58"/>
    <w:rsid w:val="7F1A7C91"/>
    <w:rsid w:val="7F7B04FD"/>
    <w:rsid w:val="7F7E7A17"/>
    <w:rsid w:val="7F7F6001"/>
    <w:rsid w:val="7F99FC5B"/>
    <w:rsid w:val="7F9E8A32"/>
    <w:rsid w:val="7FB42EA2"/>
    <w:rsid w:val="7FDB167C"/>
    <w:rsid w:val="7FDF107F"/>
    <w:rsid w:val="7FF96D3E"/>
    <w:rsid w:val="7FFD9934"/>
    <w:rsid w:val="9D67A2C0"/>
    <w:rsid w:val="9F7BEE54"/>
    <w:rsid w:val="9F7E2AB4"/>
    <w:rsid w:val="9FF5E299"/>
    <w:rsid w:val="A9FF6337"/>
    <w:rsid w:val="B4F37FEF"/>
    <w:rsid w:val="B5BF5F1C"/>
    <w:rsid w:val="B7FBB37D"/>
    <w:rsid w:val="B7FF3E56"/>
    <w:rsid w:val="BFCFFCC5"/>
    <w:rsid w:val="BFFBF86A"/>
    <w:rsid w:val="C9FB471B"/>
    <w:rsid w:val="CD751717"/>
    <w:rsid w:val="CDFFA9D5"/>
    <w:rsid w:val="CF5F37ED"/>
    <w:rsid w:val="CF7F238C"/>
    <w:rsid w:val="D17D6641"/>
    <w:rsid w:val="D3B476BF"/>
    <w:rsid w:val="D7F695FA"/>
    <w:rsid w:val="DBB2E1D7"/>
    <w:rsid w:val="DD7A6D75"/>
    <w:rsid w:val="DD7EF1E6"/>
    <w:rsid w:val="DDBD8110"/>
    <w:rsid w:val="DEDC2DA5"/>
    <w:rsid w:val="DFAE6267"/>
    <w:rsid w:val="DFDE3E94"/>
    <w:rsid w:val="DFFFE7A0"/>
    <w:rsid w:val="EAECF2AB"/>
    <w:rsid w:val="EBFD0A8E"/>
    <w:rsid w:val="EBFED6CD"/>
    <w:rsid w:val="ECFEBF52"/>
    <w:rsid w:val="EFBF7C8F"/>
    <w:rsid w:val="EFDBCF90"/>
    <w:rsid w:val="EFE7B9D5"/>
    <w:rsid w:val="EFF8DF10"/>
    <w:rsid w:val="EFFDF953"/>
    <w:rsid w:val="F3D9E9A7"/>
    <w:rsid w:val="F4B5C90B"/>
    <w:rsid w:val="F76FA196"/>
    <w:rsid w:val="F78F1209"/>
    <w:rsid w:val="F7EF154F"/>
    <w:rsid w:val="F7F7B6E2"/>
    <w:rsid w:val="F8CF3082"/>
    <w:rsid w:val="F97F74E5"/>
    <w:rsid w:val="FAFDB0EA"/>
    <w:rsid w:val="FAFF9CD1"/>
    <w:rsid w:val="FB4D65D5"/>
    <w:rsid w:val="FB7FF94F"/>
    <w:rsid w:val="FCDA5816"/>
    <w:rsid w:val="FD334D73"/>
    <w:rsid w:val="FD7BA495"/>
    <w:rsid w:val="FDBFD245"/>
    <w:rsid w:val="FDD328D6"/>
    <w:rsid w:val="FDE718AE"/>
    <w:rsid w:val="FDFB2B11"/>
    <w:rsid w:val="FE2D6750"/>
    <w:rsid w:val="FE3B76DC"/>
    <w:rsid w:val="FE3BA5E3"/>
    <w:rsid w:val="FE53D536"/>
    <w:rsid w:val="FEBF307D"/>
    <w:rsid w:val="FEC300EB"/>
    <w:rsid w:val="FEF13415"/>
    <w:rsid w:val="FEF37F87"/>
    <w:rsid w:val="FEFBDD17"/>
    <w:rsid w:val="FF7EFB2E"/>
    <w:rsid w:val="FFBFB4AD"/>
    <w:rsid w:val="FFDE03C7"/>
    <w:rsid w:val="FFF7804D"/>
    <w:rsid w:val="FFFD2855"/>
    <w:rsid w:val="FFFDC65E"/>
    <w:rsid w:val="FFFFF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46">
    <w:name w:val="font11"/>
    <w:basedOn w:val="12"/>
    <w:qFormat/>
    <w:uiPriority w:val="0"/>
    <w:rPr>
      <w:rFonts w:ascii="Droid Sans Japanese" w:hAnsi="Droid Sans Japanese" w:eastAsia="Droid Sans Japanese" w:cs="Droid Sans Japanese"/>
      <w:color w:val="000000"/>
      <w:sz w:val="20"/>
      <w:szCs w:val="20"/>
      <w:u w:val="none"/>
    </w:rPr>
  </w:style>
  <w:style w:type="character" w:customStyle="1" w:styleId="47">
    <w:name w:val="font0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10395</Words>
  <Characters>22808</Characters>
  <Lines>192</Lines>
  <Paragraphs>54</Paragraphs>
  <TotalTime>70</TotalTime>
  <ScaleCrop>false</ScaleCrop>
  <LinksUpToDate>false</LinksUpToDate>
  <CharactersWithSpaces>23966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2020-03-22T18:48:00Z</dcterms:created>
  <dc:creator>langlf</dc:creator>
  <cp:lastModifiedBy>greatwall</cp:lastModifiedBy>
  <cp:lastPrinted>2024-04-23T09:08:00Z</cp:lastPrinted>
  <dcterms:modified xsi:type="dcterms:W3CDTF">2024-04-29T15:32:48Z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3F24A43BF8D342D6BE583FB369549F22_12</vt:lpwstr>
  </property>
</Properties>
</file>