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rPr>
          <w:color w:val="auto"/>
        </w:rPr>
      </w:pPr>
      <w:r>
        <w:rPr>
          <w:color w:val="auto"/>
        </w:rPr>
        <w:t xml:space="preserve"> </w:t>
      </w: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9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1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7216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yK4v7NUAAAAHAQAADwAAAAAAAAABACAAAAA4AAAAZHJzL2Rvd25yZXYu&#10;eG1sUEsBAhQAFAAAAAgAh07iQJKDD5CvAQAAZwMAAA4AAAAAAAAAAQAgAAAAOgEAAGRycy9lMm9E&#10;b2MueG1sUEsFBgAAAAAGAAYAWQEAAFs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19"/>
        <w:rPr>
          <w:rFonts w:hint="eastAsia"/>
          <w:color w:val="auto"/>
        </w:rPr>
      </w:pPr>
    </w:p>
    <w:p>
      <w:pPr>
        <w:pStyle w:val="105"/>
        <w:rPr>
          <w:color w:val="auto"/>
        </w:rPr>
      </w:pPr>
      <w:r>
        <w:rPr>
          <w:rFonts w:hint="eastAsia"/>
          <w:color w:val="auto"/>
        </w:rPr>
        <w:t>DBS51</w:t>
      </w:r>
    </w:p>
    <w:p>
      <w:pPr>
        <w:pStyle w:val="106"/>
        <w:ind w:right="113" w:rightChars="54"/>
        <w:rPr>
          <w:rFonts w:hint="eastAsia" w:ascii="黑体" w:hAnsi="黑体" w:eastAsia="宋体" w:cs="黑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</w:rPr>
        <w:t>四川省地方标准</w:t>
      </w:r>
    </w:p>
    <w:p>
      <w:pPr>
        <w:pStyle w:val="43"/>
        <w:framePr w:wrap="around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DBS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51/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002</w:t>
      </w:r>
      <w:r>
        <w:rPr>
          <w:rFonts w:hint="eastAsia" w:ascii="黑体" w:hAnsi="黑体" w:eastAsia="黑体" w:cs="黑体"/>
          <w:color w:val="auto"/>
          <w:spacing w:val="8"/>
          <w:kern w:val="0"/>
          <w:sz w:val="28"/>
          <w:szCs w:val="28"/>
        </w:rPr>
        <w:t>-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XXXX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2"/>
              <w:rPr>
                <w:rFonts w:hint="eastAsia" w:ascii="Times New Roman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4744720</wp:posOffset>
                      </wp:positionH>
                      <wp:positionV relativeFrom="paragraph">
                        <wp:posOffset>43815</wp:posOffset>
                      </wp:positionV>
                      <wp:extent cx="1143000" cy="228600"/>
                      <wp:effectExtent l="0" t="0" r="0" b="0"/>
                      <wp:wrapNone/>
                      <wp:docPr id="2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3.6pt;margin-top:3.45pt;height:18pt;width:90pt;z-index:-251656192;mso-width-relative:page;mso-height-relative:page;" fillcolor="#FFFFFF" filled="t" stroked="f" coordsize="21600,21600" o:gfxdata="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Cxg9Ul1gAAAAgBAAAPAAAAAAAAAAEAIAAAADgAAABkcnMvZG93bnJldi54bWxQ&#10;SwECFAAUAAAACACHTuJAF/AMPqoBAABnAwAADgAAAAAAAAABACAAAAA7AQAAZHJzL2Uyb0RvYy54&#10;bWxQSwUGAAAAAAYABgBZAQAAV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43"/>
        <w:rPr>
          <w:rFonts w:hint="eastAsia" w:ascii="Times New Roman"/>
          <w:color w:val="auto"/>
        </w:rPr>
      </w:pPr>
    </w:p>
    <w:p>
      <w:pPr>
        <w:pStyle w:val="43"/>
        <w:rPr>
          <w:rFonts w:hint="eastAsia" w:ascii="Times New Roman"/>
          <w:color w:val="auto"/>
        </w:rPr>
      </w:pPr>
    </w:p>
    <w:p>
      <w:pPr>
        <w:pStyle w:val="7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Times New Roman"/>
          <w:color w:val="auto"/>
        </w:rPr>
      </w:pPr>
      <w:bookmarkStart w:id="27" w:name="_GoBack"/>
      <w:r>
        <w:rPr>
          <w:rFonts w:hint="eastAsia" w:ascii="Times New Roman"/>
          <w:color w:val="auto"/>
        </w:rPr>
        <w:t>食品</w:t>
      </w:r>
      <w:r>
        <w:rPr>
          <w:rFonts w:hint="eastAsia" w:ascii="Times New Roman"/>
          <w:b w:val="0"/>
          <w:bCs w:val="0"/>
          <w:color w:val="auto"/>
        </w:rPr>
        <w:t>安全地方</w:t>
      </w:r>
      <w:r>
        <w:rPr>
          <w:rFonts w:hint="eastAsia" w:ascii="Times New Roman"/>
          <w:color w:val="auto"/>
        </w:rPr>
        <w:t>标准</w:t>
      </w:r>
    </w:p>
    <w:p>
      <w:pPr>
        <w:pStyle w:val="7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default" w:ascii="Times New Roman" w:eastAsia="黑体"/>
          <w:color w:val="auto"/>
          <w:lang w:val="en-US" w:eastAsia="zh-CN"/>
        </w:rPr>
      </w:pPr>
      <w:r>
        <w:rPr>
          <w:rFonts w:hint="eastAsia" w:ascii="Times New Roman"/>
          <w:color w:val="auto"/>
          <w:lang w:val="en-US" w:eastAsia="zh-CN"/>
        </w:rPr>
        <w:t>酸菜类调料</w:t>
      </w:r>
    </w:p>
    <w:p>
      <w:pPr>
        <w:pStyle w:val="7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Times New Roman"/>
          <w:color w:val="auto"/>
          <w:sz w:val="28"/>
          <w:szCs w:val="28"/>
        </w:rPr>
      </w:pPr>
      <w:r>
        <w:rPr>
          <w:rFonts w:hint="eastAsia" w:hAnsi="黑体"/>
          <w:color w:val="auto"/>
          <w:sz w:val="28"/>
          <w:szCs w:val="28"/>
        </w:rPr>
        <w:t>（征求意见稿）</w:t>
      </w:r>
    </w:p>
    <w:bookmarkEnd w:id="27"/>
    <w:p>
      <w:pPr>
        <w:pStyle w:val="75"/>
        <w:rPr>
          <w:rFonts w:hint="eastAsia"/>
          <w:color w:val="auto"/>
        </w:rPr>
      </w:pPr>
    </w:p>
    <w:p>
      <w:pPr>
        <w:pStyle w:val="76"/>
        <w:rPr>
          <w:rFonts w:hint="eastAsia"/>
          <w:color w:val="auto"/>
        </w:rPr>
      </w:pP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7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8"/>
              <w:tabs>
                <w:tab w:val="left" w:pos="4049"/>
              </w:tabs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ab/>
            </w:r>
          </w:p>
        </w:tc>
      </w:tr>
    </w:tbl>
    <w:p>
      <w:pPr>
        <w:pStyle w:val="126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-11430</wp:posOffset>
                </wp:positionH>
                <wp:positionV relativeFrom="page">
                  <wp:posOffset>9253220</wp:posOffset>
                </wp:positionV>
                <wp:extent cx="6047740" cy="635"/>
                <wp:effectExtent l="0" t="0" r="0" b="0"/>
                <wp:wrapNone/>
                <wp:docPr id="3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-0.9pt;margin-top:728.6pt;height:0.05pt;width:476.2pt;mso-position-vertical-relative:page;z-index:251661312;mso-width-relative:page;mso-height-relative:page;" filled="f" stroked="t" coordsize="21600,21600" o:gfxdata="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MHaDBjYAAAADAEAAA8AAAAAAAAAAQAgAAAAOAAAAGRycy9kb3du&#10;cmV2LnhtbFBLAQIUABQAAAAIAIdO4kCxQ/nx6QEAAN4DAAAOAAAAAAAAAAEAIAAAAD0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auto"/>
        </w:rPr>
        <w:t>20</w:t>
      </w:r>
      <w:r>
        <w:rPr>
          <w:rFonts w:hint="eastAsia" w:ascii="黑体" w:hAnsi="黑体" w:cs="黑体"/>
          <w:color w:val="auto"/>
          <w:lang w:val="en-US" w:eastAsia="zh-CN"/>
        </w:rPr>
        <w:t>2X</w:t>
      </w:r>
      <w:r>
        <w:rPr>
          <w:rFonts w:hint="eastAsia" w:ascii="黑体" w:hAnsi="黑体" w:eastAsia="黑体" w:cs="黑体"/>
          <w:color w:val="auto"/>
        </w:rPr>
        <w:t>-XX-XX发布</w:t>
      </w:r>
    </w:p>
    <w:p>
      <w:pPr>
        <w:pStyle w:val="127"/>
        <w:framePr w:w="3832" w:wrap="around"/>
        <w:wordWrap w:val="0"/>
        <w:rPr>
          <w:rFonts w:hint="eastAsia" w:eastAsia="黑体"/>
          <w:color w:val="auto"/>
          <w:lang w:val="en-US" w:eastAsia="zh-CN"/>
        </w:rPr>
      </w:pPr>
      <w:r>
        <w:rPr>
          <w:rFonts w:hint="eastAsia" w:ascii="黑体"/>
          <w:color w:val="auto"/>
        </w:rPr>
        <w:t>20</w:t>
      </w:r>
      <w:r>
        <w:rPr>
          <w:rFonts w:hint="eastAsia" w:ascii="黑体"/>
          <w:color w:val="auto"/>
          <w:lang w:val="en-US" w:eastAsia="zh-CN"/>
        </w:rPr>
        <w:t>2X</w:t>
      </w:r>
      <w:r>
        <w:rPr>
          <w:rFonts w:hint="eastAsia" w:ascii="黑体"/>
          <w:color w:val="auto"/>
        </w:rPr>
        <w:t>-</w:t>
      </w:r>
      <w:r>
        <w:rPr>
          <w:rFonts w:ascii="黑体"/>
          <w:color w:val="auto"/>
        </w:rPr>
        <w:t>XX</w:t>
      </w:r>
      <w:r>
        <w:rPr>
          <w:rFonts w:hint="eastAsia" w:ascii="黑体"/>
          <w:color w:val="auto"/>
        </w:rPr>
        <w:t>-</w:t>
      </w:r>
      <w:r>
        <w:rPr>
          <w:rFonts w:ascii="黑体"/>
          <w:color w:val="auto"/>
        </w:rPr>
        <w:t>XX</w:t>
      </w:r>
      <w:r>
        <w:rPr>
          <w:rFonts w:hint="eastAsia"/>
          <w:color w:val="auto"/>
        </w:rPr>
        <w:t>实施</w:t>
      </w:r>
    </w:p>
    <w:p>
      <w:pPr>
        <w:pStyle w:val="107"/>
        <w:framePr w:w="8348" w:h="743" w:hRule="exact" w:x="2015" w:y="14978"/>
        <w:jc w:val="distribute"/>
        <w:rPr>
          <w:rFonts w:hint="eastAsia"/>
          <w:color w:val="auto"/>
          <w:sz w:val="44"/>
          <w:szCs w:val="44"/>
        </w:rPr>
      </w:pPr>
      <w:r>
        <w:rPr>
          <w:rFonts w:hint="eastAsia" w:ascii="宋体" w:hAnsi="宋体" w:eastAsia="宋体"/>
          <w:color w:val="auto"/>
          <w:sz w:val="40"/>
          <w:szCs w:val="40"/>
        </w:rPr>
        <w:t>四川省卫生健康委员会</w:t>
      </w:r>
      <w:r>
        <w:rPr>
          <w:rFonts w:hint="eastAsia"/>
          <w:color w:val="auto"/>
          <w:sz w:val="44"/>
          <w:szCs w:val="44"/>
        </w:rPr>
        <w:t xml:space="preserve"> </w:t>
      </w:r>
      <w:r>
        <w:rPr>
          <w:rStyle w:val="69"/>
          <w:rFonts w:hint="eastAsia"/>
          <w:color w:val="auto"/>
        </w:rPr>
        <w:t>发布</w:t>
      </w:r>
    </w:p>
    <w:p>
      <w:pPr>
        <w:pStyle w:val="20"/>
        <w:rPr>
          <w:rFonts w:hint="eastAsia"/>
          <w:color w:val="auto"/>
        </w:rPr>
        <w:sectPr>
          <w:headerReference r:id="rId3" w:type="default"/>
          <w:pgSz w:w="11906" w:h="16838"/>
          <w:pgMar w:top="567" w:right="1134" w:bottom="1134" w:left="1418" w:header="1418" w:footer="1134" w:gutter="0"/>
          <w:pgNumType w:start="1"/>
          <w:cols w:space="720" w:num="1"/>
          <w:formProt w:val="0"/>
          <w:docGrid w:type="lines" w:linePitch="312" w:charSpace="0"/>
        </w:sect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1287780</wp:posOffset>
                </wp:positionV>
                <wp:extent cx="6047740" cy="635"/>
                <wp:effectExtent l="0" t="0" r="0" b="0"/>
                <wp:wrapNone/>
                <wp:docPr id="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-5.25pt;margin-top:101.4pt;height:0.05pt;width:476.2pt;z-index:251662336;mso-width-relative:page;mso-height-relative:page;" filled="f" stroked="t" coordsize="21600,21600" o:gfxdata="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1v/iH2AAAAAsBAAAPAAAAAAAAAAEAIAAAADgAAABkcnMvZG93&#10;bnJldi54bWxQSwECFAAUAAAACACHTuJAStidYeoBAADeAwAADgAAAAAAAAABACAAAAA9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6"/>
        <w:shd w:val="clear" w:color="FFFFFF" w:fill="FFFFFF"/>
        <w:rPr>
          <w:rFonts w:hint="eastAsia" w:hAnsi="Times New Roman" w:cs="Times New Roman"/>
          <w:color w:val="auto"/>
        </w:rPr>
      </w:pPr>
      <w:r>
        <w:rPr>
          <w:rFonts w:hint="eastAsia" w:hAnsi="Times New Roman" w:cs="Times New Roman"/>
          <w:color w:val="auto"/>
        </w:rPr>
        <w:t>前   言</w:t>
      </w:r>
    </w:p>
    <w:p>
      <w:pPr>
        <w:pStyle w:val="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本标准代替</w:t>
      </w:r>
      <w:r>
        <w:rPr>
          <w:rFonts w:hint="default" w:ascii="Times New Roman" w:hAnsi="Times New Roman" w:eastAsia="宋体" w:cs="Times New Roman"/>
          <w:color w:val="auto"/>
        </w:rPr>
        <w:t>DBS51/002-2016</w:t>
      </w:r>
      <w:r>
        <w:rPr>
          <w:rFonts w:hint="eastAsia" w:ascii="宋体" w:hAnsi="宋体" w:eastAsia="宋体" w:cs="宋体"/>
          <w:color w:val="auto"/>
        </w:rPr>
        <w:t>《食品安全地方标准 酸菜类调料》。</w:t>
      </w:r>
    </w:p>
    <w:p>
      <w:pPr>
        <w:pStyle w:val="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本标准与</w:t>
      </w:r>
      <w:r>
        <w:rPr>
          <w:rFonts w:hint="default" w:ascii="Times New Roman" w:hAnsi="Times New Roman" w:eastAsia="宋体" w:cs="Times New Roman"/>
          <w:color w:val="auto"/>
        </w:rPr>
        <w:t>DBS51/002-2016</w:t>
      </w:r>
      <w:r>
        <w:rPr>
          <w:rFonts w:hint="eastAsia" w:ascii="宋体" w:hAnsi="宋体" w:eastAsia="宋体" w:cs="宋体"/>
          <w:color w:val="auto"/>
        </w:rPr>
        <w:t>相比</w:t>
      </w:r>
      <w:r>
        <w:rPr>
          <w:rFonts w:hint="eastAsia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</w:rPr>
        <w:t>主要变化如下：</w:t>
      </w:r>
    </w:p>
    <w:p>
      <w:pPr>
        <w:pStyle w:val="20"/>
        <w:rPr>
          <w:rFonts w:hint="eastAsia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——修改了范围</w:t>
      </w:r>
      <w:r>
        <w:rPr>
          <w:rFonts w:hint="eastAsia" w:ascii="宋体" w:hAnsi="宋体" w:eastAsia="宋体" w:cs="宋体"/>
          <w:color w:val="auto"/>
          <w:lang w:val="en-US" w:eastAsia="zh-CN"/>
        </w:rPr>
        <w:t>的</w:t>
      </w:r>
      <w:r>
        <w:rPr>
          <w:rFonts w:hint="eastAsia" w:hAnsi="宋体" w:eastAsia="宋体" w:cs="宋体"/>
          <w:color w:val="auto"/>
          <w:lang w:val="en-US" w:eastAsia="zh-CN"/>
        </w:rPr>
        <w:t>描述；</w:t>
      </w:r>
    </w:p>
    <w:p>
      <w:pPr>
        <w:pStyle w:val="20"/>
        <w:rPr>
          <w:rFonts w:hint="eastAsia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——修改了术语和定义</w:t>
      </w:r>
      <w:r>
        <w:rPr>
          <w:rFonts w:hint="eastAsia" w:hAnsi="宋体" w:eastAsia="宋体" w:cs="宋体"/>
          <w:color w:val="auto"/>
          <w:lang w:val="en-US" w:eastAsia="zh-CN"/>
        </w:rPr>
        <w:t>；</w:t>
      </w:r>
    </w:p>
    <w:p>
      <w:pPr>
        <w:pStyle w:val="20"/>
        <w:rPr>
          <w:rFonts w:hint="eastAsia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——删除了</w:t>
      </w:r>
      <w:r>
        <w:rPr>
          <w:rFonts w:hint="eastAsia" w:ascii="宋体" w:hAnsi="宋体" w:eastAsia="宋体" w:cs="宋体"/>
          <w:color w:val="auto"/>
          <w:lang w:val="en-US" w:eastAsia="zh-CN"/>
        </w:rPr>
        <w:t>规范性引用文件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pStyle w:val="134"/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——修改了理化指标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pStyle w:val="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——删除了微生物限量</w:t>
      </w:r>
      <w:r>
        <w:rPr>
          <w:rFonts w:hint="eastAsia" w:hAnsi="宋体" w:eastAsia="宋体" w:cs="宋体"/>
          <w:color w:val="auto"/>
          <w:lang w:val="en-US" w:eastAsia="zh-CN"/>
        </w:rPr>
        <w:t>指标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pStyle w:val="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——删除了</w:t>
      </w:r>
      <w:r>
        <w:rPr>
          <w:rStyle w:val="135"/>
          <w:rFonts w:hint="eastAsia" w:ascii="宋体" w:hAnsi="宋体" w:eastAsia="宋体" w:cs="宋体"/>
          <w:color w:val="auto"/>
          <w:sz w:val="21"/>
          <w:szCs w:val="21"/>
        </w:rPr>
        <w:t>农药残留限量</w:t>
      </w:r>
      <w:r>
        <w:rPr>
          <w:rStyle w:val="135"/>
          <w:rFonts w:hint="eastAsia" w:hAnsi="宋体" w:cs="宋体"/>
          <w:color w:val="auto"/>
          <w:sz w:val="21"/>
          <w:szCs w:val="21"/>
          <w:lang w:val="en-US" w:eastAsia="zh-CN"/>
        </w:rPr>
        <w:t>指标和</w:t>
      </w:r>
      <w:r>
        <w:rPr>
          <w:rStyle w:val="135"/>
          <w:rFonts w:hint="eastAsia" w:ascii="宋体" w:hAnsi="宋体" w:eastAsia="宋体" w:cs="宋体"/>
          <w:color w:val="auto"/>
          <w:sz w:val="21"/>
          <w:szCs w:val="21"/>
        </w:rPr>
        <w:t>兽药残留限量</w:t>
      </w:r>
      <w:r>
        <w:rPr>
          <w:rStyle w:val="135"/>
          <w:rFonts w:hint="eastAsia" w:hAnsi="宋体" w:cs="宋体"/>
          <w:color w:val="auto"/>
          <w:sz w:val="21"/>
          <w:szCs w:val="21"/>
          <w:lang w:val="en-US" w:eastAsia="zh-CN"/>
        </w:rPr>
        <w:t>指标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pStyle w:val="2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——删除了生产加工过程的卫生要求</w:t>
      </w:r>
      <w:r>
        <w:rPr>
          <w:rFonts w:hint="eastAsia" w:hAnsi="宋体" w:cs="宋体"/>
          <w:color w:val="auto"/>
          <w:lang w:val="en-US" w:eastAsia="zh-CN"/>
        </w:rPr>
        <w:t>和</w:t>
      </w:r>
      <w:r>
        <w:rPr>
          <w:rStyle w:val="135"/>
          <w:rFonts w:hint="eastAsia" w:hAnsi="宋体" w:cs="宋体"/>
          <w:color w:val="auto"/>
          <w:sz w:val="21"/>
          <w:szCs w:val="21"/>
          <w:lang w:val="en-US" w:eastAsia="zh-CN"/>
        </w:rPr>
        <w:t>标志、标签要求</w:t>
      </w:r>
      <w:r>
        <w:rPr>
          <w:rFonts w:hint="eastAsia" w:hAnsi="宋体" w:eastAsia="宋体" w:cs="宋体"/>
          <w:color w:val="auto"/>
          <w:lang w:eastAsia="zh-CN"/>
        </w:rPr>
        <w:t>；</w:t>
      </w:r>
    </w:p>
    <w:p>
      <w:pPr>
        <w:pStyle w:val="134"/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——</w:t>
      </w:r>
      <w:r>
        <w:rPr>
          <w:rStyle w:val="135"/>
          <w:rFonts w:hint="eastAsia" w:hAnsi="宋体" w:cs="宋体"/>
          <w:color w:val="auto"/>
          <w:sz w:val="21"/>
          <w:szCs w:val="21"/>
          <w:lang w:val="en-US" w:eastAsia="zh-CN"/>
        </w:rPr>
        <w:t>增加了检验样品预处理要求</w:t>
      </w:r>
      <w:r>
        <w:rPr>
          <w:rStyle w:val="135"/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标准起草单位：四川省调味品协会、四川省疾病预防控制中心、四川旅游学院烹饪学院、四川省轻工业研究设计院有限公司、四川天味食品集团股份有限公司、四川省味聚特食品有限公司、四川李记酱菜调味品有限公司、四川道泉老坛酸菜股份有限公司、四川金宫川派味业有限公司、四川丁点儿食品开发股份有限公司、四川川娃子食品有限公司、成都扬名食品有限公司。</w:t>
      </w:r>
    </w:p>
    <w:p>
      <w:pPr>
        <w:pStyle w:val="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标准主要起草人：李幼筠、李想、徐轲鹏、辛松林、林黎、兰真、鲁时旭、王三跃、李霁、胡小梅、白李娜、丁江枫、王传明、单义琴、余慧、鲍永碧、唐晓慧、李国斌、李博、龚永泽、尹宗德、邓志会、任康、罗强祖、李杰、唐磊、但晓容、周后成、吴昌建、杨永昌、王芳、张岚。</w:t>
      </w:r>
    </w:p>
    <w:p>
      <w:pPr>
        <w:pStyle w:val="20"/>
        <w:ind w:left="0" w:leftChars="0" w:firstLine="0" w:firstLineChars="0"/>
        <w:rPr>
          <w:color w:val="auto"/>
        </w:rPr>
        <w:sectPr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46"/>
        <w:keepNext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/>
          <w:color w:val="auto"/>
        </w:rPr>
      </w:pPr>
      <w:bookmarkStart w:id="0" w:name="_Toc112163703"/>
      <w:r>
        <w:rPr>
          <w:rFonts w:hint="eastAsia"/>
          <w:color w:val="auto"/>
        </w:rPr>
        <w:t xml:space="preserve">食品安全地方标准                                         </w:t>
      </w:r>
      <w:bookmarkEnd w:id="0"/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酸菜类调料</w:t>
      </w:r>
    </w:p>
    <w:p>
      <w:pPr>
        <w:pStyle w:val="136"/>
        <w:spacing w:line="360" w:lineRule="auto"/>
        <w:rPr>
          <w:color w:val="auto"/>
        </w:rPr>
      </w:pPr>
      <w:bookmarkStart w:id="1" w:name="_Toc97191423"/>
      <w:bookmarkStart w:id="2" w:name="_Toc26718930"/>
      <w:bookmarkStart w:id="3" w:name="_Toc17233325"/>
      <w:bookmarkStart w:id="4" w:name="_Toc26986530"/>
      <w:bookmarkStart w:id="5" w:name="_Toc17233333"/>
      <w:bookmarkStart w:id="6" w:name="_Toc166312602"/>
      <w:bookmarkStart w:id="7" w:name="_Toc26648465"/>
      <w:bookmarkStart w:id="8" w:name="_Toc24884211"/>
      <w:bookmarkStart w:id="9" w:name="_Toc24884218"/>
      <w:bookmarkStart w:id="10" w:name="_Toc26986771"/>
      <w:r>
        <w:rPr>
          <w:rFonts w:hint="eastAsia"/>
          <w:color w:val="auto"/>
        </w:rPr>
        <w:t>范围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133"/>
        <w:spacing w:line="360" w:lineRule="auto"/>
        <w:ind w:firstLine="420"/>
        <w:rPr>
          <w:color w:val="auto"/>
        </w:rPr>
      </w:pPr>
      <w:bookmarkStart w:id="11" w:name="_Toc17233334"/>
      <w:bookmarkStart w:id="12" w:name="_Toc26648466"/>
      <w:bookmarkStart w:id="13" w:name="_Toc24884212"/>
      <w:bookmarkStart w:id="14" w:name="_Toc17233326"/>
      <w:bookmarkStart w:id="15" w:name="_Toc24884219"/>
      <w:r>
        <w:rPr>
          <w:rFonts w:hint="eastAsia"/>
          <w:color w:val="auto"/>
        </w:rPr>
        <w:t>本标准适用于预包装酸菜类调料。</w:t>
      </w:r>
    </w:p>
    <w:bookmarkEnd w:id="11"/>
    <w:bookmarkEnd w:id="12"/>
    <w:bookmarkEnd w:id="13"/>
    <w:bookmarkEnd w:id="14"/>
    <w:bookmarkEnd w:id="15"/>
    <w:p>
      <w:pPr>
        <w:pStyle w:val="136"/>
        <w:spacing w:line="360" w:lineRule="auto"/>
        <w:rPr>
          <w:rFonts w:hint="eastAsia" w:hAnsi="宋体" w:cs="宋体"/>
          <w:color w:val="auto"/>
          <w:lang w:val="en-US" w:eastAsia="zh-CN"/>
        </w:rPr>
      </w:pPr>
      <w:r>
        <w:rPr>
          <w:rFonts w:hint="eastAsia"/>
          <w:color w:val="auto"/>
        </w:rPr>
        <w:t>术语和定义</w:t>
      </w:r>
      <w:bookmarkStart w:id="16" w:name="_Hlk164936215"/>
    </w:p>
    <w:p>
      <w:pPr>
        <w:pStyle w:val="137"/>
        <w:spacing w:line="360" w:lineRule="auto"/>
        <w:rPr>
          <w:color w:val="auto"/>
        </w:rPr>
      </w:pPr>
      <w:r>
        <w:rPr>
          <w:rFonts w:hint="eastAsia"/>
          <w:color w:val="auto"/>
        </w:rPr>
        <w:t>酸菜</w:t>
      </w:r>
      <w:r>
        <w:rPr>
          <w:rFonts w:hint="eastAsia"/>
          <w:color w:val="auto"/>
          <w:lang w:val="en-US" w:eastAsia="zh-CN"/>
        </w:rPr>
        <w:t>类</w:t>
      </w:r>
      <w:r>
        <w:rPr>
          <w:rFonts w:hint="eastAsia"/>
          <w:color w:val="auto"/>
        </w:rPr>
        <w:t>调料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Ansi="宋体" w:cs="宋体"/>
          <w:color w:val="auto"/>
          <w:lang w:val="zh-CN"/>
        </w:rPr>
      </w:pPr>
      <w:bookmarkStart w:id="17" w:name="_Hlk164866219"/>
      <w:r>
        <w:rPr>
          <w:rFonts w:hint="eastAsia" w:hAnsi="宋体" w:cs="宋体"/>
          <w:color w:val="auto"/>
          <w:lang w:val="zh-CN"/>
        </w:rPr>
        <w:t>以腌渍蔬菜为主要原料，辅以食用植物油、其他辅料、食品添加剂，</w:t>
      </w:r>
      <w:r>
        <w:rPr>
          <w:rFonts w:hint="eastAsia" w:hAnsi="宋体" w:cs="宋体"/>
          <w:color w:val="auto"/>
          <w:lang w:val="en-US" w:eastAsia="zh-CN"/>
        </w:rPr>
        <w:t>按一定配方和工艺加工</w:t>
      </w:r>
      <w:r>
        <w:rPr>
          <w:rFonts w:hint="eastAsia" w:hAnsi="宋体" w:cs="宋体"/>
          <w:color w:val="auto"/>
          <w:lang w:val="zh-CN"/>
        </w:rPr>
        <w:t>而成</w:t>
      </w:r>
      <w:r>
        <w:rPr>
          <w:rFonts w:hint="eastAsia" w:hAnsi="宋体" w:cs="宋体"/>
          <w:color w:val="auto"/>
          <w:lang w:val="en-US" w:eastAsia="zh-CN"/>
        </w:rPr>
        <w:t>的非即食调味料</w:t>
      </w:r>
      <w:r>
        <w:rPr>
          <w:rFonts w:hint="eastAsia" w:hAnsi="宋体" w:cs="宋体"/>
          <w:color w:val="auto"/>
          <w:lang w:val="zh-CN"/>
        </w:rPr>
        <w:t>。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420"/>
        <w:textAlignment w:val="auto"/>
        <w:rPr>
          <w:rFonts w:hint="eastAsia" w:hAnsi="宋体" w:cs="宋体"/>
          <w:color w:val="auto"/>
          <w:lang w:val="en-US" w:eastAsia="zh-CN"/>
        </w:rPr>
      </w:pPr>
      <w:r>
        <w:rPr>
          <w:rFonts w:hint="eastAsia" w:hAnsi="宋体" w:cs="宋体"/>
          <w:color w:val="auto"/>
          <w:lang w:val="en-US" w:eastAsia="zh-CN"/>
        </w:rPr>
        <w:t>酸菜类调料以</w:t>
      </w:r>
      <w:r>
        <w:rPr>
          <w:rFonts w:hint="eastAsia" w:hAnsi="宋体" w:cs="宋体"/>
          <w:color w:val="auto"/>
          <w:lang w:val="zh-CN" w:eastAsia="zh-CN"/>
        </w:rPr>
        <w:t>酸菜调</w:t>
      </w:r>
      <w:r>
        <w:rPr>
          <w:rFonts w:hint="eastAsia" w:hAnsi="宋体" w:cs="宋体"/>
          <w:color w:val="auto"/>
          <w:lang w:val="en-US" w:eastAsia="zh-CN"/>
        </w:rPr>
        <w:t>味</w:t>
      </w:r>
      <w:r>
        <w:rPr>
          <w:rFonts w:hint="eastAsia" w:hAnsi="宋体" w:cs="宋体"/>
          <w:color w:val="auto"/>
          <w:lang w:val="zh-CN" w:eastAsia="zh-CN"/>
        </w:rPr>
        <w:t>料包</w:t>
      </w:r>
      <w:r>
        <w:rPr>
          <w:rFonts w:hint="eastAsia" w:hAnsi="宋体" w:cs="宋体"/>
          <w:color w:val="auto"/>
          <w:lang w:val="en-US" w:eastAsia="zh-CN"/>
        </w:rPr>
        <w:t>为主，配备或不配备</w:t>
      </w:r>
      <w:r>
        <w:rPr>
          <w:rFonts w:hint="eastAsia" w:hAnsi="宋体" w:cs="宋体"/>
          <w:color w:val="auto"/>
          <w:lang w:val="zh-CN" w:eastAsia="zh-CN"/>
        </w:rPr>
        <w:t>粉料包、油料包、</w:t>
      </w:r>
      <w:r>
        <w:rPr>
          <w:rFonts w:hint="eastAsia" w:hAnsi="宋体" w:cs="宋体"/>
          <w:color w:val="auto"/>
          <w:lang w:val="en-US" w:eastAsia="zh-CN"/>
        </w:rPr>
        <w:t>其他调味料包</w:t>
      </w:r>
      <w:bookmarkEnd w:id="17"/>
      <w:r>
        <w:rPr>
          <w:rFonts w:hint="eastAsia" w:hAnsi="宋体" w:cs="宋体"/>
          <w:color w:val="auto"/>
          <w:lang w:val="en-US" w:eastAsia="zh-CN"/>
        </w:rPr>
        <w:t>。</w:t>
      </w:r>
      <w:bookmarkEnd w:id="16"/>
    </w:p>
    <w:p>
      <w:pPr>
        <w:pStyle w:val="137"/>
        <w:rPr>
          <w:color w:val="auto"/>
        </w:rPr>
      </w:pPr>
      <w:r>
        <w:rPr>
          <w:rFonts w:hint="eastAsia"/>
          <w:color w:val="auto"/>
        </w:rPr>
        <w:t>酸菜调味料包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eastAsia="宋体"/>
          <w:color w:val="auto"/>
          <w:lang w:val="en-US" w:eastAsia="zh-CN"/>
        </w:rPr>
      </w:pPr>
      <w:r>
        <w:rPr>
          <w:rFonts w:hint="eastAsia" w:hAnsi="宋体" w:cs="宋体"/>
          <w:color w:val="auto"/>
          <w:lang w:val="zh-CN"/>
        </w:rPr>
        <w:t>以腌渍蔬菜为主要原料，辅以食用植物油、其他辅料、食品添加剂，经预处理、配制、加工，混合包装或分料包装而成的</w:t>
      </w:r>
      <w:r>
        <w:rPr>
          <w:rFonts w:hint="eastAsia"/>
          <w:color w:val="auto"/>
        </w:rPr>
        <w:t>酸菜调味料包</w:t>
      </w:r>
      <w:r>
        <w:rPr>
          <w:rFonts w:hint="eastAsia"/>
          <w:color w:val="auto"/>
          <w:lang w:eastAsia="zh-CN"/>
        </w:rPr>
        <w:t>。</w:t>
      </w:r>
    </w:p>
    <w:p>
      <w:pPr>
        <w:pStyle w:val="137"/>
        <w:rPr>
          <w:color w:val="auto"/>
        </w:rPr>
      </w:pPr>
      <w:r>
        <w:rPr>
          <w:rFonts w:hint="eastAsia"/>
          <w:color w:val="auto"/>
        </w:rPr>
        <w:t>粉料包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420"/>
        <w:textAlignment w:val="auto"/>
        <w:rPr>
          <w:color w:val="auto"/>
        </w:rPr>
      </w:pPr>
      <w:r>
        <w:rPr>
          <w:rFonts w:hint="eastAsia"/>
          <w:color w:val="auto"/>
        </w:rPr>
        <w:t>以食用淀粉、食用盐为主要原料，添加或不添加其他辅料、食品添加剂，经预处理、混合、包装而成的用于辅助烹饪的粉状调味料包。</w:t>
      </w:r>
    </w:p>
    <w:p>
      <w:pPr>
        <w:pStyle w:val="137"/>
        <w:rPr>
          <w:color w:val="auto"/>
        </w:rPr>
      </w:pPr>
      <w:r>
        <w:rPr>
          <w:rFonts w:hint="eastAsia"/>
          <w:color w:val="auto"/>
        </w:rPr>
        <w:t>油料包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420"/>
        <w:textAlignment w:val="auto"/>
        <w:rPr>
          <w:color w:val="auto"/>
        </w:rPr>
      </w:pPr>
      <w:r>
        <w:rPr>
          <w:rFonts w:hint="eastAsia"/>
          <w:color w:val="auto"/>
        </w:rPr>
        <w:t>以食用植物油和（或）食用动物油脂为主要原料，添加或不添加香辛料等其他辅料、食品添加剂，经相应工艺加工制成的油状调味料包。</w:t>
      </w:r>
    </w:p>
    <w:p>
      <w:pPr>
        <w:pStyle w:val="137"/>
        <w:rPr>
          <w:color w:val="auto"/>
        </w:rPr>
      </w:pPr>
      <w:r>
        <w:rPr>
          <w:rFonts w:hint="eastAsia"/>
          <w:color w:val="auto"/>
        </w:rPr>
        <w:t>其他调味料包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420"/>
        <w:textAlignment w:val="auto"/>
        <w:rPr>
          <w:color w:val="auto"/>
        </w:rPr>
      </w:pPr>
      <w:r>
        <w:rPr>
          <w:rFonts w:hint="eastAsia"/>
          <w:color w:val="auto"/>
        </w:rPr>
        <w:t>以调味料、香辛料中的一种或多种为原料，添加或不添加其他辅料，经相应工艺加工，混合包装或分料包装制成的调味料包。</w:t>
      </w:r>
    </w:p>
    <w:p>
      <w:pPr>
        <w:pStyle w:val="136"/>
        <w:rPr>
          <w:color w:val="auto"/>
        </w:rPr>
      </w:pPr>
      <w:bookmarkStart w:id="18" w:name="_Toc166312605"/>
      <w:r>
        <w:rPr>
          <w:rFonts w:hint="eastAsia"/>
          <w:color w:val="auto"/>
        </w:rPr>
        <w:t>技术要求</w:t>
      </w:r>
      <w:bookmarkEnd w:id="18"/>
    </w:p>
    <w:p>
      <w:pPr>
        <w:pStyle w:val="139"/>
        <w:rPr>
          <w:color w:val="auto"/>
        </w:rPr>
      </w:pPr>
      <w:bookmarkStart w:id="19" w:name="_Toc166312606"/>
      <w:r>
        <w:rPr>
          <w:rFonts w:hint="eastAsia"/>
          <w:color w:val="auto"/>
        </w:rPr>
        <w:t>原辅料要求</w:t>
      </w:r>
      <w:bookmarkEnd w:id="19"/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渍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蔬菜应符合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zh-CN" w:eastAsia="zh-CN" w:bidi="ar-SA"/>
        </w:rPr>
        <w:t xml:space="preserve">GB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2714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的规定。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食用植物油应符合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zh-CN" w:eastAsia="zh-CN" w:bidi="ar-SA"/>
        </w:rPr>
        <w:t>GB 2716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的规定。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食用动物油脂应符合</w:t>
      </w:r>
      <w:bookmarkStart w:id="20" w:name="_Hlk164935959"/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zh-CN" w:eastAsia="zh-CN" w:bidi="ar-SA"/>
        </w:rPr>
        <w:t>GB 10146</w:t>
      </w:r>
      <w:bookmarkEnd w:id="20"/>
      <w:r>
        <w:rPr>
          <w:rFonts w:hint="eastAsia" w:ascii="宋体" w:hAnsi="宋体" w:eastAsia="宋体" w:cs="宋体"/>
          <w:color w:val="auto"/>
          <w:sz w:val="21"/>
          <w:szCs w:val="21"/>
        </w:rPr>
        <w:t>的规定。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食用盐应符合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GB 2721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的规定。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香辛料应符合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GB/T 15691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的规定。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食用淀粉应符合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GB 31637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的规定。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其他原辅料应符合相应的食品安全标准和有关规定。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食品添加剂应符合食品安全标准和有关规定。</w:t>
      </w:r>
    </w:p>
    <w:p>
      <w:pPr>
        <w:pStyle w:val="139"/>
        <w:spacing w:line="360" w:lineRule="auto"/>
        <w:rPr>
          <w:color w:val="auto"/>
        </w:rPr>
      </w:pPr>
      <w:bookmarkStart w:id="21" w:name="_Toc166312607"/>
      <w:r>
        <w:rPr>
          <w:rFonts w:hint="eastAsia"/>
          <w:color w:val="auto"/>
        </w:rPr>
        <w:t>感官要求</w:t>
      </w:r>
      <w:bookmarkEnd w:id="21"/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应符合表1的而规定。</w:t>
      </w:r>
    </w:p>
    <w:p>
      <w:pPr>
        <w:pStyle w:val="143"/>
        <w:rPr>
          <w:color w:val="auto"/>
        </w:rPr>
      </w:pPr>
      <w:r>
        <w:rPr>
          <w:rFonts w:hint="eastAsia"/>
          <w:color w:val="auto"/>
        </w:rPr>
        <w:t>感官要求</w:t>
      </w:r>
    </w:p>
    <w:tbl>
      <w:tblPr>
        <w:tblStyle w:val="29"/>
        <w:tblW w:w="488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4484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rFonts w:ascii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项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目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rFonts w:ascii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宋体"/>
                <w:bCs/>
                <w:color w:val="auto"/>
                <w:sz w:val="18"/>
                <w:szCs w:val="18"/>
              </w:rPr>
              <w:t>要</w:t>
            </w:r>
            <w:r>
              <w:rPr>
                <w:rFonts w:hint="eastAsia" w:ascii="Times New Roman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/>
                <w:bCs/>
                <w:color w:val="auto"/>
                <w:sz w:val="18"/>
                <w:szCs w:val="18"/>
              </w:rPr>
              <w:t>求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色泽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具有产品应有的色泽。</w:t>
            </w:r>
          </w:p>
        </w:tc>
        <w:tc>
          <w:tcPr>
            <w:tcW w:w="1644" w:type="pct"/>
            <w:vMerge w:val="restar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   取适量样品，在自然光线下，将样品置于洁净的白色搪瓷盘中，观察其外观、色泽、状态、有无异物，根据食用方法嗅其气味、品尝其滋味。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滋味、气味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具有产品应有的滋味和气味，无异味、无异嗅。</w:t>
            </w:r>
          </w:p>
        </w:tc>
        <w:tc>
          <w:tcPr>
            <w:tcW w:w="1644" w:type="pct"/>
            <w:vMerge w:val="continue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状态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具有产品应有的状态。无肉眼可见外来异物。</w:t>
            </w:r>
          </w:p>
        </w:tc>
        <w:tc>
          <w:tcPr>
            <w:tcW w:w="1644" w:type="pct"/>
            <w:vMerge w:val="continue"/>
            <w:noWrap w:val="0"/>
            <w:vAlign w:val="center"/>
          </w:tcPr>
          <w:p>
            <w:pPr>
              <w:pStyle w:val="133"/>
              <w:ind w:firstLine="0" w:firstLineChars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pStyle w:val="1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color w:val="auto"/>
        </w:rPr>
      </w:pPr>
      <w:bookmarkStart w:id="22" w:name="_Toc166312608"/>
      <w:r>
        <w:rPr>
          <w:rFonts w:hint="eastAsia"/>
          <w:color w:val="auto"/>
        </w:rPr>
        <w:t>理化指标</w:t>
      </w:r>
      <w:bookmarkEnd w:id="22"/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25" w:firstLineChars="250"/>
        <w:textAlignment w:val="auto"/>
        <w:rPr>
          <w:color w:val="auto"/>
        </w:rPr>
      </w:pPr>
      <w:r>
        <w:rPr>
          <w:rFonts w:hint="eastAsia"/>
          <w:color w:val="auto"/>
        </w:rPr>
        <w:t>应符合表2的规定。</w:t>
      </w:r>
    </w:p>
    <w:p>
      <w:pPr>
        <w:pStyle w:val="143"/>
        <w:rPr>
          <w:rFonts w:hint="eastAsia"/>
          <w:color w:val="auto"/>
        </w:rPr>
      </w:pPr>
      <w:bookmarkStart w:id="23" w:name="_Hlk166249430"/>
      <w:r>
        <w:rPr>
          <w:rFonts w:hint="eastAsia"/>
          <w:color w:val="auto"/>
        </w:rPr>
        <w:t>理化指标</w:t>
      </w:r>
    </w:p>
    <w:tbl>
      <w:tblPr>
        <w:tblStyle w:val="29"/>
        <w:tblW w:w="499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4617"/>
        <w:gridCol w:w="1189"/>
        <w:gridCol w:w="1189"/>
        <w:gridCol w:w="1189"/>
        <w:gridCol w:w="1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4" w:hRule="exact"/>
          <w:tblHeader/>
          <w:jc w:val="center"/>
        </w:trPr>
        <w:tc>
          <w:tcPr>
            <w:tcW w:w="2413" w:type="pct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44"/>
              <w:jc w:val="center"/>
              <w:rPr>
                <w:rFonts w:hAnsi="宋体"/>
                <w:color w:val="auto"/>
                <w:szCs w:val="18"/>
              </w:rPr>
            </w:pPr>
            <w:r>
              <w:rPr>
                <w:rFonts w:hint="eastAsia" w:hAnsi="宋体"/>
                <w:color w:val="auto"/>
                <w:szCs w:val="18"/>
              </w:rPr>
              <w:t>项</w:t>
            </w: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Cs w:val="18"/>
              </w:rPr>
              <w:t>目</w:t>
            </w:r>
          </w:p>
        </w:tc>
        <w:tc>
          <w:tcPr>
            <w:tcW w:w="1863" w:type="pct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int="eastAsia" w:hAnsi="宋体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>指  标</w:t>
            </w:r>
          </w:p>
        </w:tc>
        <w:tc>
          <w:tcPr>
            <w:tcW w:w="723" w:type="pct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44"/>
              <w:jc w:val="center"/>
              <w:rPr>
                <w:rFonts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检验方法</w:t>
            </w:r>
          </w:p>
        </w:tc>
      </w:tr>
      <w:bookmarkEnd w:id="2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4" w:hRule="exact"/>
          <w:tblHeader/>
          <w:jc w:val="center"/>
        </w:trPr>
        <w:tc>
          <w:tcPr>
            <w:tcW w:w="2413" w:type="pct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int="eastAsia" w:hAnsi="宋体"/>
                <w:color w:val="auto"/>
                <w:szCs w:val="18"/>
              </w:rPr>
              <w:t>调味料包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vertAlign w:val="superscript"/>
              </w:rPr>
              <w:t>a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int="eastAsia" w:hAnsi="宋体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>粉料包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int="eastAsia" w:hAnsi="宋体"/>
                <w:color w:val="auto"/>
                <w:szCs w:val="18"/>
              </w:rPr>
              <w:t>油料包</w:t>
            </w:r>
          </w:p>
        </w:tc>
        <w:tc>
          <w:tcPr>
            <w:tcW w:w="723" w:type="pct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jc w:val="center"/>
              <w:rPr>
                <w:rFonts w:hAnsi="宋体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241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90" w:firstLineChars="50"/>
              <w:jc w:val="both"/>
              <w:textAlignment w:val="auto"/>
              <w:rPr>
                <w:rFonts w:hint="default" w:hAnsi="宋体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color w:val="auto"/>
                <w:szCs w:val="18"/>
                <w:lang w:val="en-US" w:eastAsia="zh-CN"/>
              </w:rPr>
              <w:t>水分</w:t>
            </w:r>
            <w:r>
              <w:rPr>
                <w:rFonts w:hAnsi="宋体"/>
                <w:bCs/>
                <w:color w:val="auto"/>
                <w:szCs w:val="18"/>
              </w:rPr>
              <w:t>/</w:t>
            </w:r>
            <w:r>
              <w:rPr>
                <w:rFonts w:hint="eastAsia" w:hAnsi="宋体"/>
                <w:b w:val="0"/>
                <w:bCs/>
                <w:color w:val="auto"/>
                <w:szCs w:val="18"/>
                <w:lang w:val="en-US" w:eastAsia="zh-CN"/>
              </w:rPr>
              <w:t xml:space="preserve">(g/100g)  </w:t>
            </w:r>
            <w:r>
              <w:rPr>
                <w:rFonts w:hint="eastAsia" w:hAnsi="宋体"/>
                <w:bCs/>
                <w:color w:val="auto"/>
                <w:szCs w:val="18"/>
                <w:lang w:val="en-US" w:eastAsia="zh-CN"/>
              </w:rPr>
              <w:t xml:space="preserve">                              ≤                              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int="eastAsia"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―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int="default" w:hAnsi="宋体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>15.0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int="eastAsia"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―</w:t>
            </w:r>
          </w:p>
        </w:tc>
        <w:tc>
          <w:tcPr>
            <w:tcW w:w="72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jc w:val="center"/>
              <w:rPr>
                <w:rFonts w:hint="eastAsia" w:ascii="Times New Roman" w:hAnsi="Times New Roman" w:eastAsia="宋体" w:cs="Times New Roman"/>
                <w:color w:val="auto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</w:rPr>
              <w:t>GB 5009.</w:t>
            </w:r>
            <w:r>
              <w:rPr>
                <w:rFonts w:hint="eastAsia" w:ascii="Times New Roman" w:cs="Times New Roman"/>
                <w:color w:val="auto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241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90" w:firstLineChars="50"/>
              <w:jc w:val="both"/>
              <w:textAlignment w:val="auto"/>
              <w:rPr>
                <w:rFonts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酸价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vertAlign w:val="superscript"/>
              </w:rPr>
              <w:t>b</w:t>
            </w:r>
            <w:r>
              <w:rPr>
                <w:rFonts w:hAnsi="宋体"/>
                <w:color w:val="auto"/>
                <w:szCs w:val="18"/>
              </w:rPr>
              <w:t>（以脂肪计）（</w:t>
            </w:r>
            <w:r>
              <w:rPr>
                <w:rFonts w:hint="default" w:ascii="Times New Roman" w:hAnsi="Times New Roman" w:cs="Times New Roman"/>
                <w:color w:val="auto"/>
                <w:szCs w:val="18"/>
              </w:rPr>
              <w:t>KOH</w:t>
            </w:r>
            <w:r>
              <w:rPr>
                <w:rFonts w:hAnsi="宋体"/>
                <w:color w:val="auto"/>
                <w:szCs w:val="18"/>
              </w:rPr>
              <w:t>）/</w:t>
            </w:r>
            <w:r>
              <w:rPr>
                <w:rFonts w:hAnsi="宋体"/>
                <w:bCs/>
                <w:color w:val="auto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18"/>
              </w:rPr>
              <w:t>mg/g</w:t>
            </w:r>
            <w:r>
              <w:rPr>
                <w:rFonts w:hAnsi="宋体"/>
                <w:bCs/>
                <w:color w:val="auto"/>
                <w:szCs w:val="18"/>
              </w:rPr>
              <w:t>）</w:t>
            </w:r>
            <w:r>
              <w:rPr>
                <w:rFonts w:hint="eastAsia" w:hAnsi="宋体"/>
                <w:bCs/>
                <w:color w:val="auto"/>
                <w:szCs w:val="18"/>
              </w:rPr>
              <w:t xml:space="preserve">  </w:t>
            </w:r>
            <w:r>
              <w:rPr>
                <w:rFonts w:hint="eastAsia" w:hAnsi="宋体"/>
                <w:color w:val="auto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Cs w:val="18"/>
              </w:rPr>
              <w:t xml:space="preserve">  </w:t>
            </w: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 xml:space="preserve">    </w:t>
            </w:r>
            <w:r>
              <w:rPr>
                <w:rFonts w:hAnsi="宋体"/>
                <w:color w:val="auto"/>
                <w:szCs w:val="18"/>
              </w:rPr>
              <w:t xml:space="preserve">≤ 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int="eastAsia" w:hAnsi="宋体"/>
                <w:color w:val="auto"/>
                <w:szCs w:val="18"/>
              </w:rPr>
              <w:t>3.5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int="eastAsia"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―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int="eastAsia" w:hAnsi="宋体"/>
                <w:color w:val="auto"/>
                <w:szCs w:val="18"/>
              </w:rPr>
              <w:t>3.0</w:t>
            </w:r>
          </w:p>
        </w:tc>
        <w:tc>
          <w:tcPr>
            <w:tcW w:w="72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jc w:val="center"/>
              <w:rPr>
                <w:rFonts w:hAnsi="宋体"/>
                <w:color w:val="auto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</w:rPr>
              <w:t>GB 5009.229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241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90" w:firstLineChars="50"/>
              <w:jc w:val="both"/>
              <w:textAlignment w:val="auto"/>
              <w:rPr>
                <w:rFonts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过氧化值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vertAlign w:val="superscript"/>
              </w:rPr>
              <w:t>b</w:t>
            </w:r>
            <w:r>
              <w:rPr>
                <w:rFonts w:hAnsi="宋体"/>
                <w:color w:val="auto"/>
                <w:szCs w:val="18"/>
              </w:rPr>
              <w:t>（以脂肪计）/</w:t>
            </w:r>
            <w:r>
              <w:rPr>
                <w:rFonts w:hAnsi="宋体"/>
                <w:bCs/>
                <w:color w:val="auto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18"/>
              </w:rPr>
              <w:t>g/100g</w:t>
            </w:r>
            <w:r>
              <w:rPr>
                <w:rFonts w:hAnsi="宋体"/>
                <w:bCs/>
                <w:color w:val="auto"/>
                <w:szCs w:val="18"/>
              </w:rPr>
              <w:t>）</w:t>
            </w:r>
            <w:r>
              <w:rPr>
                <w:rFonts w:hint="eastAsia" w:hAnsi="宋体"/>
                <w:color w:val="auto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Cs w:val="18"/>
              </w:rPr>
              <w:t xml:space="preserve">     </w:t>
            </w:r>
            <w:r>
              <w:rPr>
                <w:rFonts w:hAnsi="宋体"/>
                <w:color w:val="auto"/>
                <w:szCs w:val="18"/>
              </w:rPr>
              <w:t xml:space="preserve"> ≤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int="eastAsia" w:hAnsi="宋体"/>
                <w:color w:val="auto"/>
                <w:szCs w:val="18"/>
              </w:rPr>
              <w:t>0.25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int="eastAsia"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―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int="eastAsia" w:hAnsi="宋体"/>
                <w:color w:val="auto"/>
                <w:szCs w:val="18"/>
              </w:rPr>
              <w:t>0.25</w:t>
            </w:r>
          </w:p>
        </w:tc>
        <w:tc>
          <w:tcPr>
            <w:tcW w:w="72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jc w:val="center"/>
              <w:rPr>
                <w:rFonts w:hint="default" w:ascii="Times New Roman" w:hAnsi="Times New Roman" w:cs="Times New Roman"/>
                <w:color w:val="auto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</w:rPr>
              <w:t>GB 5009.227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4" w:hRule="atLeast"/>
          <w:jc w:val="center"/>
        </w:trPr>
        <w:tc>
          <w:tcPr>
            <w:tcW w:w="241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90" w:firstLineChars="50"/>
              <w:jc w:val="both"/>
              <w:textAlignment w:val="auto"/>
              <w:rPr>
                <w:rFonts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亚硝酸盐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vertAlign w:val="superscript"/>
              </w:rPr>
              <w:t>c</w:t>
            </w:r>
            <w:r>
              <w:rPr>
                <w:rFonts w:hAnsi="宋体"/>
                <w:color w:val="auto"/>
                <w:szCs w:val="18"/>
              </w:rPr>
              <w:t>（以</w:t>
            </w:r>
            <w:r>
              <w:rPr>
                <w:rFonts w:hint="default" w:ascii="Times New Roman" w:hAnsi="Times New Roman" w:cs="Times New Roman"/>
                <w:color w:val="auto"/>
                <w:szCs w:val="18"/>
              </w:rPr>
              <w:t>NaNO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Cs w:val="18"/>
              </w:rPr>
              <w:t>2</w:t>
            </w:r>
            <w:r>
              <w:rPr>
                <w:rFonts w:hAnsi="宋体"/>
                <w:color w:val="auto"/>
                <w:szCs w:val="18"/>
              </w:rPr>
              <w:t>计）/</w:t>
            </w:r>
            <w:r>
              <w:rPr>
                <w:rFonts w:hAnsi="宋体"/>
                <w:bCs/>
                <w:color w:val="auto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18"/>
              </w:rPr>
              <w:t>mg/kg</w:t>
            </w:r>
            <w:r>
              <w:rPr>
                <w:rFonts w:hAnsi="宋体"/>
                <w:bCs/>
                <w:color w:val="auto"/>
                <w:szCs w:val="18"/>
              </w:rPr>
              <w:t>）</w:t>
            </w:r>
            <w:r>
              <w:rPr>
                <w:rFonts w:hAnsi="宋体"/>
                <w:color w:val="auto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Cs w:val="18"/>
              </w:rPr>
              <w:t xml:space="preserve">   </w:t>
            </w:r>
            <w:r>
              <w:rPr>
                <w:rFonts w:hAnsi="宋体"/>
                <w:color w:val="auto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Cs w:val="18"/>
              </w:rPr>
              <w:t xml:space="preserve">  </w:t>
            </w:r>
            <w:r>
              <w:rPr>
                <w:rFonts w:hint="eastAsia" w:hAnsi="宋体"/>
                <w:color w:val="auto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auto"/>
                <w:szCs w:val="18"/>
              </w:rPr>
              <w:t xml:space="preserve"> </w:t>
            </w:r>
            <w:r>
              <w:rPr>
                <w:rFonts w:hAnsi="宋体"/>
                <w:color w:val="auto"/>
                <w:szCs w:val="18"/>
              </w:rPr>
              <w:t xml:space="preserve">≤ 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int="eastAsia" w:hAnsi="宋体"/>
                <w:color w:val="auto"/>
                <w:szCs w:val="18"/>
              </w:rPr>
              <w:t>20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―</w:t>
            </w:r>
          </w:p>
        </w:tc>
        <w:tc>
          <w:tcPr>
            <w:tcW w:w="62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rPr>
                <w:rFonts w:hAnsi="宋体"/>
                <w:color w:val="auto"/>
                <w:szCs w:val="18"/>
              </w:rPr>
            </w:pPr>
            <w:r>
              <w:rPr>
                <w:rFonts w:hAnsi="宋体"/>
                <w:color w:val="auto"/>
                <w:szCs w:val="18"/>
              </w:rPr>
              <w:t>―</w:t>
            </w:r>
          </w:p>
        </w:tc>
        <w:tc>
          <w:tcPr>
            <w:tcW w:w="72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144"/>
              <w:jc w:val="center"/>
              <w:rPr>
                <w:rFonts w:hint="default" w:ascii="Times New Roman" w:hAnsi="Times New Roman" w:cs="Times New Roman"/>
                <w:color w:val="auto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</w:rPr>
              <w:t>GB 5009.33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4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vertAlign w:val="superscript"/>
              </w:rPr>
              <w:t>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color w:val="auto"/>
              </w:rPr>
              <w:t>调味料包含酸菜调味料包、其他调味料包。</w:t>
            </w:r>
          </w:p>
          <w:p>
            <w:pPr>
              <w:pStyle w:val="14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vertAlign w:val="superscript"/>
              </w:rPr>
              <w:t>b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color w:val="auto"/>
              </w:rPr>
              <w:t>仅限于含有油脂的调味料包和</w:t>
            </w:r>
            <w:r>
              <w:rPr>
                <w:rFonts w:hint="eastAsia"/>
                <w:color w:val="auto"/>
              </w:rPr>
              <w:t>油料</w:t>
            </w:r>
            <w:r>
              <w:rPr>
                <w:color w:val="auto"/>
              </w:rPr>
              <w:t>包。其中，调味料包的酸价项目不适用于含腌渍蔬菜、食醋、柠檬酸等酸性配料的料包。</w:t>
            </w:r>
          </w:p>
          <w:p>
            <w:pPr>
              <w:pStyle w:val="14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2"/>
                <w:vertAlign w:val="superscript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color w:val="auto"/>
              </w:rPr>
              <w:t>仅限于含腌渍蔬菜的调味料包。</w:t>
            </w:r>
          </w:p>
        </w:tc>
      </w:tr>
    </w:tbl>
    <w:p>
      <w:pPr>
        <w:pStyle w:val="1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color w:val="auto"/>
        </w:rPr>
      </w:pPr>
      <w:r>
        <w:rPr>
          <w:rFonts w:hint="eastAsia"/>
          <w:color w:val="auto"/>
        </w:rPr>
        <w:t>真菌毒素限量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25" w:firstLineChars="250"/>
        <w:textAlignment w:val="auto"/>
        <w:rPr>
          <w:rFonts w:ascii="Times New Roman" w:hAnsi="Times New Roman"/>
          <w:color w:val="auto"/>
          <w:sz w:val="21"/>
        </w:rPr>
      </w:pPr>
      <w:r>
        <w:rPr>
          <w:rFonts w:hint="eastAsia" w:ascii="Times New Roman" w:hAnsi="Times New Roman"/>
          <w:color w:val="auto"/>
          <w:sz w:val="21"/>
        </w:rPr>
        <w:t>应</w:t>
      </w:r>
      <w:r>
        <w:rPr>
          <w:rFonts w:hint="eastAsia" w:ascii="Times New Roman" w:hAnsi="Times New Roman" w:eastAsia="宋体" w:cs="宋体"/>
          <w:color w:val="auto"/>
          <w:sz w:val="21"/>
        </w:rPr>
        <w:t>符合</w:t>
      </w:r>
      <w:r>
        <w:rPr>
          <w:rFonts w:hint="eastAsia" w:ascii="Times New Roman" w:hAnsi="Times New Roman" w:eastAsia="宋体" w:cs="Times New Roman"/>
          <w:color w:val="auto"/>
          <w:sz w:val="21"/>
        </w:rPr>
        <w:t>GB 276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宋体" w:cs="Times New Roman"/>
          <w:color w:val="auto"/>
          <w:sz w:val="21"/>
          <w:szCs w:val="20"/>
        </w:rPr>
        <w:t> </w:t>
      </w:r>
      <w:r>
        <w:rPr>
          <w:rFonts w:hint="eastAsia" w:ascii="Times New Roman" w:hAnsi="Times New Roman" w:eastAsia="宋体" w:cs="宋体"/>
          <w:color w:val="auto"/>
          <w:sz w:val="21"/>
        </w:rPr>
        <w:t>的规</w:t>
      </w:r>
      <w:r>
        <w:rPr>
          <w:rFonts w:hint="eastAsia" w:ascii="Times New Roman" w:hAnsi="Times New Roman"/>
          <w:color w:val="auto"/>
          <w:sz w:val="21"/>
        </w:rPr>
        <w:t>定。</w:t>
      </w:r>
    </w:p>
    <w:p>
      <w:pPr>
        <w:pStyle w:val="139"/>
        <w:spacing w:line="360" w:lineRule="auto"/>
        <w:rPr>
          <w:color w:val="auto"/>
        </w:rPr>
      </w:pPr>
      <w:r>
        <w:rPr>
          <w:rFonts w:hint="eastAsia"/>
          <w:color w:val="auto"/>
        </w:rPr>
        <w:t>污染物限量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应</w:t>
      </w:r>
      <w:r>
        <w:rPr>
          <w:rFonts w:hint="eastAsia" w:ascii="Times New Roman" w:hAnsi="Times New Roman" w:eastAsia="宋体" w:cs="宋体"/>
          <w:color w:val="auto"/>
          <w:sz w:val="21"/>
        </w:rPr>
        <w:t>符</w:t>
      </w:r>
      <w:r>
        <w:rPr>
          <w:rFonts w:hint="eastAsia" w:ascii="Times New Roman" w:hAnsi="Times New Roman" w:eastAsia="宋体" w:cs="Times New Roman"/>
          <w:color w:val="auto"/>
          <w:sz w:val="21"/>
        </w:rPr>
        <w:t>合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 w:bidi="ar-SA"/>
        </w:rPr>
        <w:t>GB 2762</w:t>
      </w:r>
      <w:r>
        <w:rPr>
          <w:rFonts w:ascii="Times New Roman" w:eastAsia="宋体" w:cs="Times New Roman"/>
          <w:color w:val="auto"/>
          <w:sz w:val="21"/>
          <w:szCs w:val="20"/>
        </w:rPr>
        <w:t> </w:t>
      </w:r>
      <w:r>
        <w:rPr>
          <w:rFonts w:hint="eastAsia" w:ascii="Times New Roman" w:hAnsi="Times New Roman" w:eastAsia="宋体" w:cs="Times New Roman"/>
          <w:color w:val="auto"/>
          <w:sz w:val="21"/>
        </w:rPr>
        <w:t>的规定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139"/>
        <w:spacing w:line="360" w:lineRule="auto"/>
        <w:rPr>
          <w:color w:val="auto"/>
        </w:rPr>
      </w:pPr>
      <w:bookmarkStart w:id="24" w:name="_Toc166312612"/>
      <w:bookmarkStart w:id="25" w:name="_Toc164869518"/>
      <w:r>
        <w:rPr>
          <w:rFonts w:hint="eastAsia"/>
          <w:color w:val="auto"/>
        </w:rPr>
        <w:t>食品添加剂</w:t>
      </w:r>
      <w:bookmarkEnd w:id="24"/>
      <w:bookmarkEnd w:id="25"/>
      <w:r>
        <w:rPr>
          <w:rFonts w:hint="eastAsia"/>
          <w:color w:val="auto"/>
          <w:lang w:val="en-US" w:eastAsia="zh-CN"/>
        </w:rPr>
        <w:t>的使用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25" w:firstLineChars="250"/>
        <w:textAlignment w:val="auto"/>
        <w:rPr>
          <w:color w:val="auto"/>
        </w:rPr>
      </w:pPr>
      <w:r>
        <w:rPr>
          <w:rFonts w:hint="eastAsia"/>
          <w:color w:val="auto"/>
        </w:rPr>
        <w:t>应符合</w:t>
      </w:r>
      <w:bookmarkStart w:id="26" w:name="_Hlk164936038"/>
      <w:r>
        <w:rPr>
          <w:rFonts w:hint="default" w:ascii="Times New Roman" w:hAnsi="Times New Roman" w:cs="Times New Roman"/>
          <w:color w:val="auto"/>
        </w:rPr>
        <w:t>GB 2760</w:t>
      </w:r>
      <w:bookmarkEnd w:id="26"/>
      <w:r>
        <w:rPr>
          <w:rFonts w:ascii="Times New Roman" w:eastAsia="宋体"/>
          <w:color w:val="auto"/>
          <w:szCs w:val="20"/>
        </w:rPr>
        <w:t> </w:t>
      </w:r>
      <w:r>
        <w:rPr>
          <w:rFonts w:hint="eastAsia"/>
          <w:color w:val="auto"/>
        </w:rPr>
        <w:t>的规定。</w:t>
      </w:r>
    </w:p>
    <w:p>
      <w:pPr>
        <w:pStyle w:val="136"/>
        <w:spacing w:line="360" w:lineRule="auto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其他</w:t>
      </w:r>
    </w:p>
    <w:p>
      <w:pPr>
        <w:pStyle w:val="1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25" w:firstLineChars="25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检验样品预处理：</w:t>
      </w:r>
      <w:r>
        <w:rPr>
          <w:rFonts w:hint="eastAsia"/>
          <w:color w:val="auto"/>
        </w:rPr>
        <w:t>对分料包装的</w:t>
      </w:r>
      <w:r>
        <w:rPr>
          <w:rFonts w:hint="eastAsia"/>
          <w:color w:val="auto"/>
          <w:lang w:val="en-US" w:eastAsia="zh-CN"/>
        </w:rPr>
        <w:t>样品</w:t>
      </w:r>
      <w:r>
        <w:rPr>
          <w:rFonts w:hint="eastAsia"/>
          <w:color w:val="auto"/>
        </w:rPr>
        <w:t>，除理化指标备注的要求外，其他指标各分料包混合后取样检验。</w:t>
      </w:r>
    </w:p>
    <w:p>
      <w:pPr>
        <w:pStyle w:val="20"/>
        <w:ind w:firstLine="0" w:firstLineChars="0"/>
        <w:jc w:val="center"/>
        <w:rPr>
          <w:color w:val="auto"/>
        </w:rPr>
      </w:pPr>
      <w:r>
        <w:rPr>
          <w:color w:val="auto"/>
        </w:rPr>
        <w:t>_________________________________</w:t>
      </w:r>
    </w:p>
    <w:p>
      <w:pPr>
        <w:pStyle w:val="20"/>
        <w:ind w:left="0" w:leftChars="0" w:firstLine="0" w:firstLineChars="0"/>
        <w:rPr>
          <w:color w:val="auto"/>
        </w:rPr>
      </w:pPr>
    </w:p>
    <w:sectPr>
      <w:headerReference r:id="rId5" w:type="default"/>
      <w:pgSz w:w="11906" w:h="16838"/>
      <w:pgMar w:top="14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FoelDeAQAAvgMAAA4AAABkcnMv&#10;ZTJvRG9jLnhtbK1TwY7TMBC9I/EPlu802UqL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X3PmhKWBn79/O//4df75lS2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sWh6U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rPr>
        <w:rFonts w:hint="eastAsia" w:ascii="Times New Roman" w:hAnsi="Times New Roman" w:cs="Times New Roman"/>
      </w:rPr>
      <w:t>DBS</w:t>
    </w:r>
    <w:r>
      <w:rPr>
        <w:rFonts w:hint="eastAsia" w:ascii="黑体" w:hAnsi="黑体" w:eastAsia="黑体" w:cs="黑体"/>
        <w:color w:val="000000"/>
      </w:rPr>
      <w:t>51/</w:t>
    </w:r>
    <w:r>
      <w:rPr>
        <w:rFonts w:hint="eastAsia" w:hAnsi="黑体" w:cs="黑体"/>
        <w:color w:val="000000"/>
        <w:lang w:val="en-US" w:eastAsia="zh-CN"/>
      </w:rPr>
      <w:t>002</w:t>
    </w:r>
    <w:r>
      <w:rPr>
        <w:rFonts w:hint="eastAsia" w:ascii="黑体" w:hAnsi="黑体" w:eastAsia="黑体" w:cs="黑体"/>
        <w:color w:val="000000"/>
      </w:rPr>
      <w:t>-</w:t>
    </w:r>
    <w:r>
      <w:rPr>
        <w:rFonts w:hint="eastAsia" w:hAnsi="黑体" w:cs="黑体"/>
        <w:color w:val="000000"/>
        <w:lang w:val="en-US" w:eastAsia="zh-CN"/>
      </w:rPr>
      <w:t>XXXX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rPr>
        <w:rFonts w:hint="default" w:eastAsia="黑体"/>
        <w:lang w:val="en-US" w:eastAsia="zh-CN"/>
      </w:rPr>
    </w:pPr>
    <w:r>
      <w:rPr>
        <w:rFonts w:hint="eastAsia" w:ascii="Times New Roman" w:hAnsi="Times New Roman" w:cs="Times New Roman"/>
      </w:rPr>
      <w:t>DBS</w:t>
    </w:r>
    <w:r>
      <w:rPr>
        <w:rFonts w:hint="eastAsia" w:ascii="黑体" w:hAnsi="黑体" w:eastAsia="黑体" w:cs="黑体"/>
        <w:color w:val="000000"/>
      </w:rPr>
      <w:t>51/</w:t>
    </w:r>
    <w:r>
      <w:rPr>
        <w:rFonts w:hint="eastAsia" w:hAnsi="黑体" w:cs="黑体"/>
        <w:color w:val="000000"/>
        <w:lang w:val="en-US" w:eastAsia="zh-CN"/>
      </w:rPr>
      <w:t>002</w:t>
    </w:r>
    <w:r>
      <w:rPr>
        <w:rFonts w:hint="eastAsia" w:ascii="黑体" w:hAnsi="黑体" w:eastAsia="黑体" w:cs="黑体"/>
        <w:color w:val="000000"/>
      </w:rPr>
      <w:t>-</w:t>
    </w:r>
    <w:r>
      <w:rPr>
        <w:rFonts w:hint="eastAsia" w:hAnsi="黑体" w:cs="黑体"/>
        <w:color w:val="000000"/>
        <w:lang w:val="en-US"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2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2F04FB2"/>
    <w:multiLevelType w:val="multilevel"/>
    <w:tmpl w:val="32F04FB2"/>
    <w:lvl w:ilvl="0" w:tentative="0">
      <w:start w:val="1"/>
      <w:numFmt w:val="lowerLetter"/>
      <w:pStyle w:val="145"/>
      <w:lvlText w:val="%1"/>
      <w:lvlJc w:val="left"/>
      <w:pPr>
        <w:tabs>
          <w:tab w:val="left" w:pos="539"/>
        </w:tabs>
        <w:ind w:left="539" w:hanging="119"/>
      </w:pPr>
      <w:rPr>
        <w:rFonts w:hint="default"/>
        <w:b w:val="0"/>
        <w:bCs w:val="0"/>
        <w:caps w:val="0"/>
        <w:strike w:val="0"/>
        <w:dstrike w:val="0"/>
        <w:vanish w:val="0"/>
        <w:sz w:val="21"/>
        <w:szCs w:val="21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4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3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42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 w:tentative="0">
      <w:start w:val="1"/>
      <w:numFmt w:val="none"/>
      <w:pStyle w:val="5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18"/>
  </w:num>
  <w:num w:numId="7">
    <w:abstractNumId w:val="0"/>
  </w:num>
  <w:num w:numId="8">
    <w:abstractNumId w:val="11"/>
  </w:num>
  <w:num w:numId="9">
    <w:abstractNumId w:val="4"/>
  </w:num>
  <w:num w:numId="10">
    <w:abstractNumId w:val="15"/>
  </w:num>
  <w:num w:numId="11">
    <w:abstractNumId w:val="13"/>
  </w:num>
  <w:num w:numId="12">
    <w:abstractNumId w:val="17"/>
  </w:num>
  <w:num w:numId="13">
    <w:abstractNumId w:val="6"/>
  </w:num>
  <w:num w:numId="14">
    <w:abstractNumId w:val="1"/>
  </w:num>
  <w:num w:numId="15">
    <w:abstractNumId w:val="3"/>
  </w:num>
  <w:num w:numId="16">
    <w:abstractNumId w:val="14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DVkY2I5NGRmYTA3NGU1OGJhNDc2OTQwZTIzMTcifQ=="/>
  </w:docVars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849CD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258AA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9500E"/>
    <w:rsid w:val="002A1924"/>
    <w:rsid w:val="002A7420"/>
    <w:rsid w:val="002B0F12"/>
    <w:rsid w:val="002B1308"/>
    <w:rsid w:val="002B1BC9"/>
    <w:rsid w:val="002B4554"/>
    <w:rsid w:val="002C17DD"/>
    <w:rsid w:val="002C72D8"/>
    <w:rsid w:val="002D11FA"/>
    <w:rsid w:val="002E0DDF"/>
    <w:rsid w:val="002E2906"/>
    <w:rsid w:val="002E5450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8785E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81B1A"/>
    <w:rsid w:val="004A35F9"/>
    <w:rsid w:val="004B24C1"/>
    <w:rsid w:val="004C292F"/>
    <w:rsid w:val="004D78BC"/>
    <w:rsid w:val="004E6BB9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45A"/>
    <w:rsid w:val="00682682"/>
    <w:rsid w:val="00682702"/>
    <w:rsid w:val="00692136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BCA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D560D"/>
    <w:rsid w:val="007E1980"/>
    <w:rsid w:val="007E4B76"/>
    <w:rsid w:val="007E5EA8"/>
    <w:rsid w:val="007E7F0C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B77EB"/>
    <w:rsid w:val="009C2D0E"/>
    <w:rsid w:val="009C3DAC"/>
    <w:rsid w:val="009C42E0"/>
    <w:rsid w:val="009D5362"/>
    <w:rsid w:val="009E1415"/>
    <w:rsid w:val="009E6116"/>
    <w:rsid w:val="009F4833"/>
    <w:rsid w:val="00A02E43"/>
    <w:rsid w:val="00A05D0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2E93"/>
    <w:rsid w:val="00AA7A09"/>
    <w:rsid w:val="00AB3B50"/>
    <w:rsid w:val="00AC05B1"/>
    <w:rsid w:val="00AD356C"/>
    <w:rsid w:val="00AE2914"/>
    <w:rsid w:val="00AE6D15"/>
    <w:rsid w:val="00B04182"/>
    <w:rsid w:val="00B078F4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91A7D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246"/>
    <w:rsid w:val="00D54CC3"/>
    <w:rsid w:val="00D6041A"/>
    <w:rsid w:val="00D633EB"/>
    <w:rsid w:val="00D638EE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0C3"/>
    <w:rsid w:val="00F92FD9"/>
    <w:rsid w:val="00FA6684"/>
    <w:rsid w:val="00FA731E"/>
    <w:rsid w:val="00FB2B38"/>
    <w:rsid w:val="00FC1B35"/>
    <w:rsid w:val="00FC6358"/>
    <w:rsid w:val="00FD320D"/>
    <w:rsid w:val="00FE23DE"/>
    <w:rsid w:val="026A1302"/>
    <w:rsid w:val="08792514"/>
    <w:rsid w:val="08BB5CBC"/>
    <w:rsid w:val="09BD032F"/>
    <w:rsid w:val="0B782892"/>
    <w:rsid w:val="0DB97F2F"/>
    <w:rsid w:val="0E982682"/>
    <w:rsid w:val="100A0FFE"/>
    <w:rsid w:val="116765BC"/>
    <w:rsid w:val="116B3F29"/>
    <w:rsid w:val="11800CFF"/>
    <w:rsid w:val="13A67AC1"/>
    <w:rsid w:val="1B0C5418"/>
    <w:rsid w:val="1B520FEA"/>
    <w:rsid w:val="1EE20554"/>
    <w:rsid w:val="1F4700F9"/>
    <w:rsid w:val="209660F5"/>
    <w:rsid w:val="20BA1A01"/>
    <w:rsid w:val="22F6169C"/>
    <w:rsid w:val="233B0C3B"/>
    <w:rsid w:val="26850EB0"/>
    <w:rsid w:val="284C4266"/>
    <w:rsid w:val="29E51041"/>
    <w:rsid w:val="2A823AFD"/>
    <w:rsid w:val="34515C51"/>
    <w:rsid w:val="3653711E"/>
    <w:rsid w:val="380D1E8F"/>
    <w:rsid w:val="38FD431F"/>
    <w:rsid w:val="3D0A1F5D"/>
    <w:rsid w:val="3EA07C1B"/>
    <w:rsid w:val="3F5FAE6C"/>
    <w:rsid w:val="3F9C138B"/>
    <w:rsid w:val="4038148A"/>
    <w:rsid w:val="45361BAB"/>
    <w:rsid w:val="46315F44"/>
    <w:rsid w:val="479E2B03"/>
    <w:rsid w:val="48C207EE"/>
    <w:rsid w:val="4A515FA3"/>
    <w:rsid w:val="4B071FEE"/>
    <w:rsid w:val="4B1D43D5"/>
    <w:rsid w:val="4B8D4514"/>
    <w:rsid w:val="4C4036B6"/>
    <w:rsid w:val="4CB614C5"/>
    <w:rsid w:val="4CBA4CCB"/>
    <w:rsid w:val="4F5D6FDD"/>
    <w:rsid w:val="56FB6CDB"/>
    <w:rsid w:val="5898574B"/>
    <w:rsid w:val="58B959EF"/>
    <w:rsid w:val="663D33A9"/>
    <w:rsid w:val="666402D4"/>
    <w:rsid w:val="6BDB1CE9"/>
    <w:rsid w:val="6BFE0212"/>
    <w:rsid w:val="71CFC765"/>
    <w:rsid w:val="73A330CC"/>
    <w:rsid w:val="74024296"/>
    <w:rsid w:val="7BDB7D5A"/>
    <w:rsid w:val="7BFBB4BF"/>
    <w:rsid w:val="7DF20DF0"/>
    <w:rsid w:val="7EA73659"/>
    <w:rsid w:val="7ED93B5A"/>
    <w:rsid w:val="7EED2129"/>
    <w:rsid w:val="7F2C21C7"/>
    <w:rsid w:val="7FBF80C4"/>
    <w:rsid w:val="7FF96143"/>
    <w:rsid w:val="8DBB8336"/>
    <w:rsid w:val="9FDF85F1"/>
    <w:rsid w:val="F9FB7361"/>
    <w:rsid w:val="FE672B1E"/>
    <w:rsid w:val="FF3D1566"/>
    <w:rsid w:val="FF5EE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link w:val="36"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qFormat/>
    <w:uiPriority w:val="0"/>
    <w:rPr>
      <w:vertAlign w:val="superscript"/>
    </w:rPr>
  </w:style>
  <w:style w:type="character" w:styleId="32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Hyperlink"/>
    <w:basedOn w:val="30"/>
    <w:qFormat/>
    <w:uiPriority w:val="0"/>
    <w:rPr>
      <w:color w:val="0000FF"/>
      <w:spacing w:val="0"/>
      <w:w w:val="100"/>
      <w:szCs w:val="21"/>
      <w:u w:val="single"/>
    </w:rPr>
  </w:style>
  <w:style w:type="character" w:styleId="35">
    <w:name w:val="footnote reference"/>
    <w:basedOn w:val="30"/>
    <w:semiHidden/>
    <w:qFormat/>
    <w:uiPriority w:val="0"/>
    <w:rPr>
      <w:vertAlign w:val="superscript"/>
    </w:rPr>
  </w:style>
  <w:style w:type="character" w:customStyle="1" w:styleId="36">
    <w:name w:val="页眉 Char"/>
    <w:link w:val="15"/>
    <w:qFormat/>
    <w:uiPriority w:val="99"/>
    <w:rPr>
      <w:kern w:val="2"/>
      <w:sz w:val="18"/>
      <w:szCs w:val="18"/>
    </w:rPr>
  </w:style>
  <w:style w:type="character" w:customStyle="1" w:styleId="37">
    <w:name w:val="段 Char"/>
    <w:basedOn w:val="30"/>
    <w:link w:val="20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0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0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0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0"/>
    <w:qFormat/>
    <w:uiPriority w:val="0"/>
    <w:pPr>
      <w:numPr>
        <w:ilvl w:val="3"/>
        <w:numId w:val="2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0"/>
    <w:qFormat/>
    <w:uiPriority w:val="0"/>
    <w:pPr>
      <w:numPr>
        <w:ilvl w:val="4"/>
        <w:numId w:val="2"/>
      </w:numPr>
      <w:outlineLvl w:val="5"/>
    </w:pPr>
  </w:style>
  <w:style w:type="paragraph" w:customStyle="1" w:styleId="52">
    <w:name w:val="五级条标题"/>
    <w:basedOn w:val="51"/>
    <w:next w:val="20"/>
    <w:qFormat/>
    <w:uiPriority w:val="0"/>
    <w:pPr>
      <w:numPr>
        <w:ilvl w:val="5"/>
        <w:numId w:val="2"/>
      </w:numPr>
      <w:outlineLvl w:val="6"/>
    </w:pPr>
  </w:style>
  <w:style w:type="paragraph" w:customStyle="1" w:styleId="53">
    <w:name w:val="注："/>
    <w:next w:val="20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60">
    <w:name w:val="注：（正文）"/>
    <w:basedOn w:val="53"/>
    <w:next w:val="20"/>
    <w:qFormat/>
    <w:uiPriority w:val="0"/>
  </w:style>
  <w:style w:type="paragraph" w:customStyle="1" w:styleId="61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basedOn w:val="3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0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0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0"/>
    <w:next w:val="2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0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0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0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6">
    <w:name w:val="附录公式"/>
    <w:basedOn w:val="20"/>
    <w:next w:val="20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</w:style>
  <w:style w:type="paragraph" w:customStyle="1" w:styleId="88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0"/>
    <w:qFormat/>
    <w:uiPriority w:val="0"/>
    <w:pPr>
      <w:numPr>
        <w:ilvl w:val="4"/>
        <w:numId w:val="10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0"/>
    <w:qFormat/>
    <w:uiPriority w:val="0"/>
    <w:pPr>
      <w:numPr>
        <w:ilvl w:val="5"/>
        <w:numId w:val="10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0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0"/>
    <w:qFormat/>
    <w:uiPriority w:val="0"/>
    <w:pPr>
      <w:numPr>
        <w:ilvl w:val="6"/>
        <w:numId w:val="10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8">
    <w:name w:val="附录章标题"/>
    <w:next w:val="20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0"/>
    <w:qFormat/>
    <w:uiPriority w:val="0"/>
    <w:pPr>
      <w:numPr>
        <w:ilvl w:val="2"/>
        <w:numId w:val="10"/>
      </w:numPr>
      <w:autoSpaceDN w:val="0"/>
      <w:spacing w:before="50" w:beforeLines="50" w:after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0">
    <w:name w:val="实施日期"/>
    <w:basedOn w:val="71"/>
    <w:qFormat/>
    <w:uiPriority w:val="0"/>
    <w:pPr>
      <w:framePr w:vAnchor="page" w:hAnchor="page"/>
      <w:jc w:val="right"/>
    </w:pPr>
  </w:style>
  <w:style w:type="paragraph" w:customStyle="1" w:styleId="111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0"/>
    <w:link w:val="113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basedOn w:val="30"/>
    <w:link w:val="112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4">
    <w:name w:val="四级无"/>
    <w:basedOn w:val="5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5">
    <w:name w:val="条文脚注"/>
    <w:basedOn w:val="21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6">
    <w:name w:val="图标脚注说明"/>
    <w:basedOn w:val="2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正文表标题"/>
    <w:next w:val="20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24">
    <w:name w:val="正文图标题"/>
    <w:next w:val="20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basedOn w:val="71"/>
    <w:qFormat/>
    <w:uiPriority w:val="0"/>
    <w:pPr>
      <w:framePr w:vAnchor="page" w:hAnchor="page" w:x="1419"/>
    </w:p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="630"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标准文件_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5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36">
    <w:name w:val="标准文件_章标题"/>
    <w:next w:val="133"/>
    <w:qFormat/>
    <w:uiPriority w:val="0"/>
    <w:pPr>
      <w:numPr>
        <w:ilvl w:val="1"/>
        <w:numId w:val="18"/>
      </w:num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7">
    <w:name w:val="标准文件_术语条一"/>
    <w:basedOn w:val="138"/>
    <w:next w:val="133"/>
    <w:qFormat/>
    <w:uiPriority w:val="0"/>
    <w:rPr>
      <w:rFonts w:ascii="黑体" w:hAnsi="黑体" w:eastAsia="黑体"/>
    </w:rPr>
  </w:style>
  <w:style w:type="paragraph" w:customStyle="1" w:styleId="138">
    <w:name w:val="标准文件_一级无标题"/>
    <w:basedOn w:val="139"/>
    <w:qFormat/>
    <w:uiPriority w:val="0"/>
    <w:pPr>
      <w:outlineLvl w:val="9"/>
    </w:pPr>
    <w:rPr>
      <w:rFonts w:ascii="宋体" w:eastAsia="宋体"/>
    </w:rPr>
  </w:style>
  <w:style w:type="paragraph" w:customStyle="1" w:styleId="139">
    <w:name w:val="标准文件_一级条标题"/>
    <w:basedOn w:val="136"/>
    <w:next w:val="133"/>
    <w:qFormat/>
    <w:uiPriority w:val="0"/>
    <w:pPr>
      <w:numPr>
        <w:ilvl w:val="2"/>
      </w:numPr>
    </w:pPr>
  </w:style>
  <w:style w:type="paragraph" w:customStyle="1" w:styleId="140">
    <w:name w:val="标准文件_注："/>
    <w:next w:val="133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1">
    <w:name w:val="标准文件_二级无标题"/>
    <w:basedOn w:val="14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42">
    <w:name w:val="标准文件_二级条标题"/>
    <w:next w:val="133"/>
    <w:qFormat/>
    <w:uiPriority w:val="0"/>
    <w:pPr>
      <w:widowControl w:val="0"/>
      <w:numPr>
        <w:ilvl w:val="3"/>
        <w:numId w:val="18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3">
    <w:name w:val="标准文件_正文表标题"/>
    <w:next w:val="133"/>
    <w:qFormat/>
    <w:uiPriority w:val="0"/>
    <w:pPr>
      <w:numPr>
        <w:ilvl w:val="0"/>
        <w:numId w:val="16"/>
      </w:num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4">
    <w:name w:val="标准文件_表格"/>
    <w:basedOn w:val="133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45">
    <w:name w:val="标准文件_图表脚注"/>
    <w:basedOn w:val="1"/>
    <w:next w:val="133"/>
    <w:qFormat/>
    <w:uiPriority w:val="0"/>
    <w:pPr>
      <w:numPr>
        <w:ilvl w:val="0"/>
        <w:numId w:val="19"/>
      </w:numPr>
      <w:spacing w:line="240" w:lineRule="auto"/>
      <w:jc w:val="left"/>
    </w:pPr>
    <w:rPr>
      <w:rFonts w:ascii="宋体" w:hAnsi="宋体"/>
      <w:sz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4</Pages>
  <Words>1447</Words>
  <Characters>1653</Characters>
  <Lines>14</Lines>
  <Paragraphs>4</Paragraphs>
  <TotalTime>19</TotalTime>
  <ScaleCrop>false</ScaleCrop>
  <LinksUpToDate>false</LinksUpToDate>
  <CharactersWithSpaces>1832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2018-07-05T16:05:00Z</dcterms:created>
  <dc:creator>CNIS</dc:creator>
  <cp:lastModifiedBy>李庆</cp:lastModifiedBy>
  <cp:lastPrinted>2018-06-16T15:28:00Z</cp:lastPrinted>
  <dcterms:modified xsi:type="dcterms:W3CDTF">2024-07-01T09:31:30Z</dcterms:modified>
  <dc:title>标准名称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DB47D2074AA4AC8EA78E7366E023F37A</vt:lpwstr>
  </property>
</Properties>
</file>