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440" w:lineRule="exact"/>
        <w:jc w:val="center"/>
        <w:textAlignment w:val="baseline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 xml:space="preserve">《食品安全地方标准 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酸菜类调料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440" w:lineRule="exact"/>
        <w:jc w:val="center"/>
        <w:textAlignment w:val="baseline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征求意见稿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编制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说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/>
        <w:spacing w:line="440" w:lineRule="exact"/>
        <w:textAlignment w:val="baseline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-SA"/>
        </w:rPr>
        <w:t>一、</w:t>
      </w:r>
      <w:bookmarkStart w:id="0" w:name="_Toc15937"/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-SA"/>
        </w:rPr>
        <w:t>标准起草基本情况</w:t>
      </w:r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napToGrid/>
        <w:spacing w:line="400" w:lineRule="exact"/>
        <w:ind w:firstLine="480" w:firstLineChars="200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 xml:space="preserve">本标准于2020年立项修订，项目承担单位为四川省调味品协会。2020年10月至2021年2月开展国家及省内外相关法规标准、文献、检验数据、行业意见建议的收集；2021年3月召开标准修订专家论证会议，提出了具体的修订建议方案。2021年7月形成《食品安全地方标准 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酸菜类调料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 xml:space="preserve">》草案。2021年7月至2021年10月，起草单位通过网络平台征求行业企业意见。2022年至2023年，根据食品安全标准跟踪评价工作反馈意见对标准进一步修改、完善，在多轮数据检测、多维度对比分析、多方意见征求、反复修改斟酌之后，形成《食品安全地方标准 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酸菜类调料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》送审稿。2024年5月，经四川省食品安全标准委员会秘书处初步审查，形成征求意见稿。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-SA"/>
        </w:rPr>
        <w:t>二、标准的主要技术内容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napToGrid/>
        <w:spacing w:line="400" w:lineRule="exact"/>
        <w:ind w:firstLine="480" w:firstLineChars="200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本标准是对《食品安全地方标准 酸菜类调料》（DBS51/002-2016）的修订，主要修订内容如下：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范围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rPr>
          <w:rFonts w:hint="default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/>
          <w:sz w:val="24"/>
          <w:szCs w:val="24"/>
          <w:lang w:val="en-US" w:eastAsia="zh-CN"/>
        </w:rPr>
        <w:t>标准适用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范围</w:t>
      </w:r>
      <w:r>
        <w:rPr>
          <w:rFonts w:hint="eastAsia" w:ascii="Times New Roman"/>
          <w:sz w:val="24"/>
          <w:szCs w:val="24"/>
          <w:lang w:val="en-US" w:eastAsia="zh-CN"/>
        </w:rPr>
        <w:t>修改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为“</w:t>
      </w:r>
      <w:r>
        <w:rPr>
          <w:rFonts w:hint="eastAsia" w:ascii="Times New Roman" w:hAnsi="Times New Roman" w:eastAsia="宋体"/>
          <w:sz w:val="24"/>
          <w:szCs w:val="24"/>
          <w:lang w:val="zh-CN"/>
        </w:rPr>
        <w:t>本标准适用于预包装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酸菜类调料”</w:t>
      </w:r>
      <w:r>
        <w:rPr>
          <w:rFonts w:hint="eastAsia" w:ascii="Times New Roman" w:hAnsi="Times New Roman" w:eastAsia="宋体"/>
          <w:sz w:val="24"/>
          <w:szCs w:val="24"/>
          <w:lang w:val="zh-CN"/>
        </w:rPr>
        <w:t>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rPr>
          <w:rFonts w:hint="default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术语和定义</w:t>
      </w:r>
    </w:p>
    <w:p>
      <w:pPr>
        <w:pStyle w:val="55"/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Times New Roman" w:cs="宋体"/>
          <w:color w:val="000000"/>
          <w:kern w:val="0"/>
          <w:sz w:val="24"/>
          <w:szCs w:val="24"/>
          <w:lang w:val="en-US" w:eastAsia="zh-CN" w:bidi="ar-SA"/>
        </w:rPr>
        <w:t>增加术语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“酸菜类调料”</w:t>
      </w:r>
      <w:r>
        <w:rPr>
          <w:rFonts w:hint="eastAsia" w:ascii="Times New Roman" w:cs="宋体"/>
          <w:color w:val="000000"/>
          <w:kern w:val="0"/>
          <w:sz w:val="24"/>
          <w:szCs w:val="24"/>
          <w:lang w:val="en-US" w:eastAsia="zh-CN" w:bidi="ar-SA"/>
        </w:rPr>
        <w:t>。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定义</w:t>
      </w:r>
      <w:bookmarkStart w:id="1" w:name="_Hlk164866219"/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为</w:t>
      </w:r>
      <w:r>
        <w:rPr>
          <w:rFonts w:hint="eastAsia" w:ascii="Times New Roman" w:cs="宋体"/>
          <w:color w:val="000000"/>
          <w:kern w:val="0"/>
          <w:sz w:val="24"/>
          <w:szCs w:val="24"/>
          <w:lang w:val="en-US" w:eastAsia="zh-CN" w:bidi="ar-SA"/>
        </w:rPr>
        <w:t>“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以腌渍蔬菜为主要原料，辅以食用植物油、其他辅料、食品添加剂，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按一定配方和工艺加工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而成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的非即食调味料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。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酸菜类调料以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酸菜调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味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料包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为主，配备或不配备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粉料包、油料包、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其他调味料包</w:t>
      </w:r>
      <w:bookmarkEnd w:id="1"/>
      <w:r>
        <w:rPr>
          <w:rFonts w:hint="eastAsia" w:ascii="Times New Roman" w:cs="宋体"/>
          <w:color w:val="000000"/>
          <w:kern w:val="0"/>
          <w:sz w:val="24"/>
          <w:szCs w:val="24"/>
          <w:lang w:val="en-US" w:eastAsia="zh-CN" w:bidi="ar-SA"/>
        </w:rPr>
        <w:t>”。明确产品为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“非即食调味料”</w:t>
      </w:r>
      <w:r>
        <w:rPr>
          <w:rFonts w:hint="eastAsia" w:ascii="Times New Roman" w:cs="宋体"/>
          <w:color w:val="000000"/>
          <w:kern w:val="0"/>
          <w:sz w:val="24"/>
          <w:szCs w:val="24"/>
          <w:lang w:val="en-US" w:eastAsia="zh-CN" w:bidi="ar-SA"/>
        </w:rPr>
        <w:t>；“酸菜调味料包”为主料包；除“酸菜调味料包”外的其他料包限于“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粉料包</w:t>
      </w:r>
      <w:r>
        <w:rPr>
          <w:rFonts w:hint="eastAsia" w:ascii="Times New Roman" w:cs="宋体"/>
          <w:color w:val="000000"/>
          <w:kern w:val="0"/>
          <w:sz w:val="24"/>
          <w:szCs w:val="24"/>
          <w:lang w:val="en-US" w:eastAsia="zh-CN" w:bidi="ar-SA"/>
        </w:rPr>
        <w:t>”“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油料包</w:t>
      </w:r>
      <w:r>
        <w:rPr>
          <w:rFonts w:hint="eastAsia" w:ascii="Times New Roman" w:cs="宋体"/>
          <w:color w:val="000000"/>
          <w:kern w:val="0"/>
          <w:sz w:val="24"/>
          <w:szCs w:val="24"/>
          <w:lang w:val="en-US" w:eastAsia="zh-CN" w:bidi="ar-SA"/>
        </w:rPr>
        <w:t>”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“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其他调味料包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”。</w:t>
      </w:r>
    </w:p>
    <w:p>
      <w:pPr>
        <w:pStyle w:val="55"/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术语“调味料包”修改为“酸菜调味料包”。</w:t>
      </w:r>
    </w:p>
    <w:p>
      <w:pPr>
        <w:pStyle w:val="55"/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增加术语“油料包”</w:t>
      </w:r>
      <w:r>
        <w:rPr>
          <w:rFonts w:hint="eastAsia" w:ascii="Times New Roman" w:cs="宋体"/>
          <w:color w:val="000000"/>
          <w:kern w:val="0"/>
          <w:sz w:val="24"/>
          <w:szCs w:val="24"/>
          <w:lang w:val="en-US" w:eastAsia="zh-CN" w:bidi="ar-SA"/>
        </w:rPr>
        <w:t>。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定义</w:t>
      </w:r>
      <w:r>
        <w:rPr>
          <w:rFonts w:hint="eastAsia" w:ascii="Times New Roman" w:cs="宋体"/>
          <w:color w:val="000000"/>
          <w:kern w:val="0"/>
          <w:sz w:val="24"/>
          <w:szCs w:val="24"/>
          <w:lang w:val="en-US" w:eastAsia="zh-CN" w:bidi="ar-SA"/>
        </w:rPr>
        <w:t>为“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以食用植物油和（或）食用动物油脂为主要原料，添加或不添加香辛料等其他辅料、食品添加剂，经相应工艺加工制成的油状调味料包</w:t>
      </w:r>
      <w:r>
        <w:rPr>
          <w:rFonts w:hint="eastAsia" w:ascii="Times New Roman" w:cs="宋体"/>
          <w:color w:val="000000"/>
          <w:kern w:val="0"/>
          <w:sz w:val="24"/>
          <w:szCs w:val="24"/>
          <w:lang w:val="en-US" w:eastAsia="zh-CN" w:bidi="ar-SA"/>
        </w:rPr>
        <w:t>”。</w:t>
      </w:r>
    </w:p>
    <w:p>
      <w:pPr>
        <w:pStyle w:val="55"/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增加术语“其他调味料包”</w:t>
      </w:r>
      <w:r>
        <w:rPr>
          <w:rFonts w:hint="eastAsia" w:ascii="Times New Roman" w:cs="宋体"/>
          <w:color w:val="000000"/>
          <w:kern w:val="0"/>
          <w:sz w:val="24"/>
          <w:szCs w:val="24"/>
          <w:lang w:val="en-US" w:eastAsia="zh-CN" w:bidi="ar-SA"/>
        </w:rPr>
        <w:t>。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定义</w:t>
      </w:r>
      <w:r>
        <w:rPr>
          <w:rFonts w:hint="eastAsia" w:ascii="Times New Roman" w:cs="宋体"/>
          <w:color w:val="000000"/>
          <w:kern w:val="0"/>
          <w:sz w:val="24"/>
          <w:szCs w:val="24"/>
          <w:lang w:val="en-US" w:eastAsia="zh-CN" w:bidi="ar-SA"/>
        </w:rPr>
        <w:t>为“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以调味料、香辛料中的一种或多种为原料，添加或不添加其他辅料，经相应工艺加工，混合包装或分料包装制成的调味料包</w:t>
      </w:r>
      <w:r>
        <w:rPr>
          <w:rFonts w:hint="eastAsia" w:ascii="Times New Roman" w:cs="宋体"/>
          <w:color w:val="000000"/>
          <w:kern w:val="0"/>
          <w:sz w:val="24"/>
          <w:szCs w:val="24"/>
          <w:lang w:val="en-US" w:eastAsia="zh-CN" w:bidi="ar-SA"/>
        </w:rPr>
        <w:t>”。</w:t>
      </w:r>
    </w:p>
    <w:p>
      <w:pPr>
        <w:pStyle w:val="55"/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cs="宋体"/>
          <w:color w:val="000000"/>
          <w:kern w:val="0"/>
          <w:sz w:val="24"/>
          <w:szCs w:val="24"/>
          <w:lang w:val="en-US" w:eastAsia="zh-CN" w:bidi="ar-SA"/>
        </w:rPr>
        <w:t>术语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“粉料包”</w:t>
      </w:r>
      <w:r>
        <w:rPr>
          <w:rFonts w:hint="eastAsia" w:ascii="Times New Roman" w:cs="宋体"/>
          <w:color w:val="000000"/>
          <w:kern w:val="0"/>
          <w:sz w:val="24"/>
          <w:szCs w:val="24"/>
          <w:lang w:val="en-US" w:eastAsia="zh-CN" w:bidi="ar-SA"/>
        </w:rPr>
        <w:t>的定义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增加</w:t>
      </w:r>
      <w:r>
        <w:rPr>
          <w:rFonts w:hint="eastAsia" w:ascii="Times New Roman" w:cs="宋体"/>
          <w:color w:val="000000"/>
          <w:kern w:val="0"/>
          <w:sz w:val="24"/>
          <w:szCs w:val="24"/>
          <w:lang w:val="en-US" w:eastAsia="zh-CN" w:bidi="ar-SA"/>
        </w:rPr>
        <w:t>原料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“食用盐”。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（三）技术要求</w:t>
      </w:r>
    </w:p>
    <w:p>
      <w:pPr>
        <w:pStyle w:val="55"/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原辅料要求</w:t>
      </w:r>
    </w:p>
    <w:p>
      <w:pPr>
        <w:pStyle w:val="58"/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bidi w:val="0"/>
        <w:snapToGrid/>
        <w:spacing w:line="400" w:lineRule="exact"/>
        <w:ind w:leftChars="0" w:firstLine="480" w:firstLineChars="200"/>
        <w:jc w:val="left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Times New Roman" w:hAnsi="Times New Roman" w:eastAsia="宋体" w:cs="仿宋"/>
          <w:sz w:val="24"/>
          <w:szCs w:val="24"/>
          <w:lang w:val="en-US" w:eastAsia="zh-CN"/>
        </w:rPr>
        <w:t>与术语和定义相匹配要求，增加原料“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食用动物油脂应符合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GB 10146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的规定”；“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食用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盐应符合GB 2721的规定”；“香辛料应符合GB/T 15691的规定”；“食用淀粉应符合</w:t>
      </w:r>
      <w:r>
        <w:rPr>
          <w:rFonts w:hint="default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GB 31637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 xml:space="preserve">的规定”。   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修改原料“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腌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渍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 xml:space="preserve">蔬菜应符合GB 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2714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的规定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”，以食品安全国家标准作为基本要求。删除“生产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用水应符合GB 5749的规定”，GB5749是生产用水的</w:t>
      </w:r>
      <w:r>
        <w:rPr>
          <w:rFonts w:hint="eastAsia" w:ascii="Times New Roman" w:cs="宋体"/>
          <w:color w:val="000000"/>
          <w:kern w:val="0"/>
          <w:sz w:val="24"/>
          <w:szCs w:val="24"/>
          <w:lang w:val="en-US" w:eastAsia="zh-CN" w:bidi="ar-SA"/>
        </w:rPr>
        <w:t>强制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要求。</w:t>
      </w:r>
      <w:bookmarkStart w:id="4" w:name="_GoBack"/>
      <w:bookmarkEnd w:id="4"/>
    </w:p>
    <w:p>
      <w:pPr>
        <w:pStyle w:val="55"/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感官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napToGrid/>
        <w:spacing w:line="400" w:lineRule="exact"/>
        <w:ind w:firstLine="480" w:firstLineChars="200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修改了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感官中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“状态”描述。修改为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“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具有产品应有的状态，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无肉眼可见外来异物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”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。</w:t>
      </w:r>
    </w:p>
    <w:p>
      <w:pPr>
        <w:pStyle w:val="55"/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理化指标</w:t>
      </w:r>
    </w:p>
    <w:p>
      <w:pPr>
        <w:pStyle w:val="58"/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bidi w:val="0"/>
        <w:snapToGrid/>
        <w:spacing w:line="400" w:lineRule="exact"/>
        <w:ind w:leftChars="0" w:firstLine="480" w:firstLineChars="200"/>
        <w:jc w:val="left"/>
        <w:outlineLvl w:val="9"/>
        <w:rPr>
          <w:rFonts w:hint="default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本产品是以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酱腌菜为主要原料的调味料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，根据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酱腌菜生产加工工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艺和相关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检验数据，产品黄曲霉毒素B1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风险低，参考相关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食品安全国家标准要求，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删除“黄曲霉毒素B1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”限量指标。生产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企业应加强油脂及其制品、调味品、坚果及籽类等原料的验收，加强生产加工过程管理，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严格控制黄曲霉毒素B1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的风险。</w:t>
      </w:r>
    </w:p>
    <w:p>
      <w:pPr>
        <w:pStyle w:val="58"/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bidi w:val="0"/>
        <w:snapToGrid/>
        <w:spacing w:line="400" w:lineRule="exact"/>
        <w:ind w:leftChars="0" w:firstLine="480" w:firstLineChars="200"/>
        <w:jc w:val="left"/>
        <w:outlineLvl w:val="9"/>
        <w:rPr>
          <w:rFonts w:hint="default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增加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“油料包”的理化限量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指标。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限量要求是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 xml:space="preserve">“酸价≤ 3.0 </w:t>
      </w:r>
      <w:r>
        <w:rPr>
          <w:rFonts w:hint="default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mg/g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 xml:space="preserve">”“过氧化值≤0.25 </w:t>
      </w:r>
      <w:r>
        <w:rPr>
          <w:rFonts w:hint="default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g/100g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”。</w:t>
      </w:r>
    </w:p>
    <w:p>
      <w:pPr>
        <w:pStyle w:val="58"/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bidi w:val="0"/>
        <w:snapToGrid/>
        <w:spacing w:line="400" w:lineRule="exact"/>
        <w:ind w:leftChars="0" w:firstLine="480" w:firstLineChars="200"/>
        <w:jc w:val="left"/>
        <w:outlineLvl w:val="9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增加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 xml:space="preserve">表 2 中理化指标“调味料包”的脚注a，“a调味料包含酸菜调味料包、其他调味料包。”；“酸价”和“过氧化值”项目的脚注 b，“b 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仅限于含有油脂的料包。其中，酸价项目不适用于含腌渍蔬菜、食醋、柠檬酸等酸性配料的料包。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”；“亚硝酸盐”的脚注c，“c仅限于含腌渍蔬菜的调味料包”。</w:t>
      </w:r>
    </w:p>
    <w:p>
      <w:pPr>
        <w:pStyle w:val="58"/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bidi w:val="0"/>
        <w:snapToGrid/>
        <w:spacing w:line="400" w:lineRule="exact"/>
        <w:ind w:leftChars="0" w:firstLine="480" w:firstLineChars="200"/>
        <w:jc w:val="left"/>
        <w:outlineLvl w:val="9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修改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表 2 中理化指标检验方法</w:t>
      </w:r>
      <w:r>
        <w:rPr>
          <w:rFonts w:hint="eastAsia" w:ascii="Times New Roman" w:cs="宋体"/>
          <w:color w:val="000000"/>
          <w:kern w:val="0"/>
          <w:sz w:val="24"/>
          <w:szCs w:val="24"/>
          <w:lang w:val="en-US" w:eastAsia="zh-CN" w:bidi="ar-SA"/>
        </w:rPr>
        <w:t>。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酸价和过氧化值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的检验方法GB/T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 xml:space="preserve"> 20293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 xml:space="preserve"> 、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GB /T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5009.37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修改为 GB 5009.229、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GB 5009.227，与最新的检验方法国家标准保持一致。</w:t>
      </w:r>
    </w:p>
    <w:p>
      <w:pPr>
        <w:pStyle w:val="58"/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bidi w:val="0"/>
        <w:snapToGrid/>
        <w:spacing w:line="400" w:lineRule="exact"/>
        <w:ind w:leftChars="0" w:firstLine="480" w:firstLineChars="200"/>
        <w:jc w:val="left"/>
        <w:outlineLvl w:val="9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删除“总砷”和“铅”限量指标</w:t>
      </w:r>
      <w:r>
        <w:rPr>
          <w:rFonts w:hint="eastAsia" w:ascii="Times New Roman" w:cs="宋体"/>
          <w:color w:val="000000"/>
          <w:kern w:val="0"/>
          <w:sz w:val="24"/>
          <w:szCs w:val="24"/>
          <w:lang w:val="en-US" w:eastAsia="zh-CN" w:bidi="ar-SA"/>
        </w:rPr>
        <w:t>。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《食品安全国家标准 食品中污染物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限量》（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GB 2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762-2022）已将调味料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纳入其中，污染物限量没有特殊要求</w:t>
      </w:r>
      <w:r>
        <w:rPr>
          <w:rFonts w:hint="eastAsia" w:ascii="Times New Roman" w:cs="宋体"/>
          <w:color w:val="000000"/>
          <w:kern w:val="0"/>
          <w:sz w:val="24"/>
          <w:szCs w:val="24"/>
          <w:lang w:val="en-US" w:eastAsia="zh-CN" w:bidi="ar-SA"/>
        </w:rPr>
        <w:t>。本标准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污染物限量按照“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应符合 GB 2762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 xml:space="preserve"> 的规定”执行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napToGrid/>
        <w:spacing w:line="400" w:lineRule="exact"/>
        <w:ind w:firstLine="480" w:firstLineChars="200"/>
        <w:rPr>
          <w:rFonts w:hint="default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4.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微生物</w:t>
      </w:r>
      <w:r>
        <w:rPr>
          <w:rFonts w:hint="default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限量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jc w:val="left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Style w:val="51"/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 w:bidi="ar-SA"/>
        </w:rPr>
        <w:t>酸菜类调料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产品为非即食调味料，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参考相关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食品安全国家标准对该类产品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的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要求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，删除“微生物限量指标”。根据</w:t>
      </w:r>
      <w:r>
        <w:rPr>
          <w:rStyle w:val="51"/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 w:bidi="ar-SA"/>
        </w:rPr>
        <w:t>酸菜类调料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生产加工工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艺和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相关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检验数据，产品大肠菌群污染风险低。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napToGrid/>
        <w:spacing w:line="400" w:lineRule="exact"/>
        <w:ind w:firstLine="480" w:firstLineChars="200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5.农药残留限量、兽药残留限量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jc w:val="left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参考相关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食品安全国家标准对该类产品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的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要求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，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删除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“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农药残留限量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”和“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兽药残留限量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”指标。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生产企业应加强原料验收，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原料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农药残留、兽药残留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应符合《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食品安全国家标准 食品中农药最大残留限量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》（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GB 2763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）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《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食品安全国家标准 食品中兽药最大残留限量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》（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GB 31650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zh-CN" w:eastAsia="zh-CN" w:bidi="ar-SA"/>
        </w:rPr>
        <w:t>）和有关规定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napToGrid/>
        <w:spacing w:line="400" w:lineRule="exact"/>
        <w:ind w:firstLine="480" w:firstLineChars="200"/>
        <w:rPr>
          <w:rFonts w:hint="default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6.食品加工过程的卫生要求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napToGrid/>
        <w:spacing w:line="400" w:lineRule="exact"/>
        <w:ind w:leftChars="0" w:firstLine="480" w:firstLineChars="200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删除“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食品加工过程的卫生要求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”指标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。酸菜类调料生产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加工过程的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卫生应严格执行《食品安全国家标准 食品生产通用卫生规范》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（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GB 14881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）的要求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napToGrid/>
        <w:spacing w:line="400" w:lineRule="exact"/>
        <w:ind w:firstLine="480" w:firstLineChars="200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7.标志、标签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napToGrid/>
        <w:spacing w:line="400" w:lineRule="exact"/>
        <w:ind w:firstLine="480" w:firstLineChars="200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删除“标志、标签”指标。酸菜类调料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产品应执行《食品安全国家标准 预包装食品标签通则》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（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GB 7718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）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、《食品安全国家标准 预包装食品营养标签通则》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（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GB 28050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）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的规定，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产品的标志和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标签没有其他特殊要求。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napToGrid/>
        <w:spacing w:line="400" w:lineRule="exact"/>
        <w:ind w:firstLine="480" w:firstLineChars="200"/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>（四）其他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napToGrid/>
        <w:spacing w:line="400" w:lineRule="exact"/>
        <w:ind w:firstLine="480" w:firstLineChars="200"/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cs="宋体"/>
          <w:color w:val="000000"/>
          <w:kern w:val="0"/>
          <w:sz w:val="24"/>
          <w:szCs w:val="24"/>
          <w:lang w:val="en-US" w:eastAsia="zh-CN" w:bidi="ar-SA"/>
        </w:rPr>
        <w:t xml:space="preserve"> 增加“检验样品预处理”指标要求，避免样品处理方法不一致导致的数据差异。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leftChars="0" w:firstLine="480" w:firstLineChars="200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-SA"/>
        </w:rPr>
        <w:t>三、国内外相关法规标准情况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本标准在修订过程中，对国家标准、行业标准、地方标准、团体标准进行了汇总、比较，在充分考虑已有的相关标准的基础上，结合酸菜类调料的原辅料、加工工艺特性，作出相应的规定。参考的相关标准主要有《食品安全国家标准 复合调味料》（GB 31644-2018）；《食品安全地方标准 泡菜类调料》（DBS50/020-2021）。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-SA"/>
        </w:rPr>
        <w:t>四、其他需要说明的事项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00" w:lineRule="exact"/>
        <w:ind w:leftChars="0" w:firstLine="480" w:firstLineChars="200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-SA"/>
        </w:rPr>
        <w:t>无。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line="400" w:lineRule="exact"/>
        <w:ind w:firstLine="640"/>
        <w:jc w:val="both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</w:t>
      </w:r>
    </w:p>
    <w:sectPr>
      <w:headerReference r:id="rId6" w:type="first"/>
      <w:footerReference r:id="rId7" w:type="default"/>
      <w:headerReference r:id="rId5" w:type="even"/>
      <w:footerReference r:id="rId8" w:type="even"/>
      <w:pgSz w:w="11907" w:h="16840"/>
      <w:pgMar w:top="1440" w:right="1746" w:bottom="1440" w:left="1746" w:header="851" w:footer="992" w:gutter="0"/>
      <w:pgNumType w:fmt="decimal"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M6pebnPAAAABQEAAA8AAAAAAAAAAQAgAAAAOAAAAGRycy9kb3ducmV2LnhtbFBLAQIUABQAAAAI&#10;AIdO4kCPWgCY4AEAAMEDAAAOAAAAAAAAAAEAIAAAADQBAABkcnMvZTJvRG9jLnhtbFBLBQYAAAAA&#10;BgAGAFkBAACG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5</w:t>
    </w:r>
    <w:r>
      <w:fldChar w:fldCharType="end"/>
    </w:r>
  </w:p>
  <w:p>
    <w:pPr>
      <w:pStyle w:val="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eastAsia="Times New Roman"/>
      </w:rPr>
    </w:pPr>
    <w:bookmarkStart w:id="3" w:name="aliashBlankHTML1HeaderEvenPages"/>
    <w:bookmarkEnd w:id="3"/>
  </w:p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eastAsia="Times New Roman"/>
      </w:rPr>
    </w:pPr>
    <w:bookmarkStart w:id="2" w:name="aliashBlankHTML1HeaderFirstPage"/>
    <w:bookmarkEnd w:id="2"/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68EEB6"/>
    <w:multiLevelType w:val="singleLevel"/>
    <w:tmpl w:val="B268EEB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86B51DC"/>
    <w:multiLevelType w:val="singleLevel"/>
    <w:tmpl w:val="C86B51D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0000017"/>
    <w:multiLevelType w:val="multilevel"/>
    <w:tmpl w:val="00000017"/>
    <w:lvl w:ilvl="0" w:tentative="0">
      <w:start w:val="1"/>
      <w:numFmt w:val="none"/>
      <w:pStyle w:val="39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34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33"/>
      <w:suff w:val="nothing"/>
      <w:lvlText w:val="%1%2.%3　"/>
      <w:lvlJc w:val="left"/>
      <w:pPr>
        <w:ind w:left="21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32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46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45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50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07A3529D"/>
    <w:multiLevelType w:val="singleLevel"/>
    <w:tmpl w:val="07A3529D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12AD3BDC"/>
    <w:multiLevelType w:val="singleLevel"/>
    <w:tmpl w:val="12AD3BD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2B6DA8F2"/>
    <w:multiLevelType w:val="singleLevel"/>
    <w:tmpl w:val="2B6DA8F2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3D733618"/>
    <w:multiLevelType w:val="multilevel"/>
    <w:tmpl w:val="3D733618"/>
    <w:lvl w:ilvl="0" w:tentative="0">
      <w:start w:val="1"/>
      <w:numFmt w:val="decimal"/>
      <w:pStyle w:val="11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7">
    <w:nsid w:val="44C50F90"/>
    <w:multiLevelType w:val="multilevel"/>
    <w:tmpl w:val="44C50F90"/>
    <w:lvl w:ilvl="0" w:tentative="0">
      <w:start w:val="1"/>
      <w:numFmt w:val="lowerLetter"/>
      <w:pStyle w:val="57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8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56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62"/>
      <w:suff w:val="nothing"/>
      <w:lvlText w:val="%1%2.%3　"/>
      <w:lvlJc w:val="left"/>
      <w:pPr>
        <w:ind w:left="142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59"/>
      <w:suff w:val="nothing"/>
      <w:lvlText w:val="%1%2.%3.%4　"/>
      <w:lvlJc w:val="left"/>
      <w:pPr>
        <w:ind w:left="426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9">
    <w:nsid w:val="6DBF04F4"/>
    <w:multiLevelType w:val="multilevel"/>
    <w:tmpl w:val="6DBF04F4"/>
    <w:lvl w:ilvl="0" w:tentative="0">
      <w:start w:val="1"/>
      <w:numFmt w:val="none"/>
      <w:pStyle w:val="54"/>
      <w:lvlText w:val="%1注："/>
      <w:lvlJc w:val="left"/>
      <w:pPr>
        <w:ind w:left="737" w:hanging="374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MGJkZDg0NmYyNWJiZWNlOTcxMTk3M2ZhOGZmNTAifQ=="/>
    <w:docVar w:name="KSO_WPS_MARK_KEY" w:val="f59d6e87-f7d0-44d6-83cb-94096e8fd03f"/>
  </w:docVars>
  <w:rsids>
    <w:rsidRoot w:val="00172A27"/>
    <w:rsid w:val="00000CD7"/>
    <w:rsid w:val="000029A4"/>
    <w:rsid w:val="000117C4"/>
    <w:rsid w:val="00017173"/>
    <w:rsid w:val="00025A73"/>
    <w:rsid w:val="00034414"/>
    <w:rsid w:val="000347B7"/>
    <w:rsid w:val="00044235"/>
    <w:rsid w:val="00052950"/>
    <w:rsid w:val="00055E90"/>
    <w:rsid w:val="00060CBE"/>
    <w:rsid w:val="0006427E"/>
    <w:rsid w:val="00066215"/>
    <w:rsid w:val="000663B2"/>
    <w:rsid w:val="00066CB5"/>
    <w:rsid w:val="000678A5"/>
    <w:rsid w:val="00077304"/>
    <w:rsid w:val="00077EAE"/>
    <w:rsid w:val="000820D3"/>
    <w:rsid w:val="000823FE"/>
    <w:rsid w:val="00085F34"/>
    <w:rsid w:val="00087A76"/>
    <w:rsid w:val="00097422"/>
    <w:rsid w:val="000A678F"/>
    <w:rsid w:val="000B50A1"/>
    <w:rsid w:val="000D7270"/>
    <w:rsid w:val="000D77C6"/>
    <w:rsid w:val="000E275C"/>
    <w:rsid w:val="000F616A"/>
    <w:rsid w:val="000F661B"/>
    <w:rsid w:val="000F72C7"/>
    <w:rsid w:val="00106EB8"/>
    <w:rsid w:val="0011215D"/>
    <w:rsid w:val="00113CB8"/>
    <w:rsid w:val="00115216"/>
    <w:rsid w:val="00120E71"/>
    <w:rsid w:val="00121041"/>
    <w:rsid w:val="0012149E"/>
    <w:rsid w:val="00122F7C"/>
    <w:rsid w:val="001236C5"/>
    <w:rsid w:val="00124CAA"/>
    <w:rsid w:val="00124D38"/>
    <w:rsid w:val="00127178"/>
    <w:rsid w:val="001302CE"/>
    <w:rsid w:val="00152275"/>
    <w:rsid w:val="001575FC"/>
    <w:rsid w:val="00163820"/>
    <w:rsid w:val="0016735A"/>
    <w:rsid w:val="001710E8"/>
    <w:rsid w:val="00172A27"/>
    <w:rsid w:val="00173742"/>
    <w:rsid w:val="001922EF"/>
    <w:rsid w:val="00193E92"/>
    <w:rsid w:val="001940B6"/>
    <w:rsid w:val="001A1329"/>
    <w:rsid w:val="001A1B8D"/>
    <w:rsid w:val="001A55AE"/>
    <w:rsid w:val="001B2366"/>
    <w:rsid w:val="001B23C0"/>
    <w:rsid w:val="001C1493"/>
    <w:rsid w:val="001C1CDB"/>
    <w:rsid w:val="001C388F"/>
    <w:rsid w:val="001C6286"/>
    <w:rsid w:val="001D3C86"/>
    <w:rsid w:val="001E2687"/>
    <w:rsid w:val="001E704A"/>
    <w:rsid w:val="001F02CC"/>
    <w:rsid w:val="001F1E40"/>
    <w:rsid w:val="001F6A6C"/>
    <w:rsid w:val="00200158"/>
    <w:rsid w:val="00201DA2"/>
    <w:rsid w:val="00207B6E"/>
    <w:rsid w:val="00210191"/>
    <w:rsid w:val="002203B2"/>
    <w:rsid w:val="00223D28"/>
    <w:rsid w:val="00226309"/>
    <w:rsid w:val="00230113"/>
    <w:rsid w:val="002322BA"/>
    <w:rsid w:val="00237D45"/>
    <w:rsid w:val="0024109D"/>
    <w:rsid w:val="0024215D"/>
    <w:rsid w:val="002433D9"/>
    <w:rsid w:val="00243E48"/>
    <w:rsid w:val="00246825"/>
    <w:rsid w:val="002515E8"/>
    <w:rsid w:val="002536ED"/>
    <w:rsid w:val="00256F0C"/>
    <w:rsid w:val="00263372"/>
    <w:rsid w:val="00265D5A"/>
    <w:rsid w:val="002664A8"/>
    <w:rsid w:val="00266545"/>
    <w:rsid w:val="0027512A"/>
    <w:rsid w:val="0027779A"/>
    <w:rsid w:val="0028096A"/>
    <w:rsid w:val="002850A9"/>
    <w:rsid w:val="002968C7"/>
    <w:rsid w:val="002A0C7D"/>
    <w:rsid w:val="002B0D3A"/>
    <w:rsid w:val="002C1019"/>
    <w:rsid w:val="002D2079"/>
    <w:rsid w:val="002D563A"/>
    <w:rsid w:val="002E171F"/>
    <w:rsid w:val="002E18E1"/>
    <w:rsid w:val="002E405B"/>
    <w:rsid w:val="002E47EE"/>
    <w:rsid w:val="002E5B67"/>
    <w:rsid w:val="002F15AF"/>
    <w:rsid w:val="002F2C98"/>
    <w:rsid w:val="002F5EFB"/>
    <w:rsid w:val="00307A81"/>
    <w:rsid w:val="00325EBD"/>
    <w:rsid w:val="0032630F"/>
    <w:rsid w:val="00330FDF"/>
    <w:rsid w:val="003331AC"/>
    <w:rsid w:val="0034212F"/>
    <w:rsid w:val="00346318"/>
    <w:rsid w:val="003466D9"/>
    <w:rsid w:val="00350E67"/>
    <w:rsid w:val="00352963"/>
    <w:rsid w:val="00360FF6"/>
    <w:rsid w:val="00361FF3"/>
    <w:rsid w:val="00365D1A"/>
    <w:rsid w:val="003667CD"/>
    <w:rsid w:val="003934BF"/>
    <w:rsid w:val="0039575F"/>
    <w:rsid w:val="003973DA"/>
    <w:rsid w:val="003A04FE"/>
    <w:rsid w:val="003A1E5E"/>
    <w:rsid w:val="003A2D66"/>
    <w:rsid w:val="003A3AF0"/>
    <w:rsid w:val="003B17F5"/>
    <w:rsid w:val="003B3D88"/>
    <w:rsid w:val="003C188F"/>
    <w:rsid w:val="003C474A"/>
    <w:rsid w:val="003D2F4C"/>
    <w:rsid w:val="003D4EBF"/>
    <w:rsid w:val="003D5203"/>
    <w:rsid w:val="003D65CC"/>
    <w:rsid w:val="003D7F5D"/>
    <w:rsid w:val="003E5FFA"/>
    <w:rsid w:val="003E645B"/>
    <w:rsid w:val="003E676B"/>
    <w:rsid w:val="003F51F2"/>
    <w:rsid w:val="003F616E"/>
    <w:rsid w:val="00402042"/>
    <w:rsid w:val="00402DDC"/>
    <w:rsid w:val="00406018"/>
    <w:rsid w:val="0040691A"/>
    <w:rsid w:val="0041374A"/>
    <w:rsid w:val="00415204"/>
    <w:rsid w:val="004158EF"/>
    <w:rsid w:val="004216DF"/>
    <w:rsid w:val="00422162"/>
    <w:rsid w:val="004221C0"/>
    <w:rsid w:val="0043161B"/>
    <w:rsid w:val="00432B80"/>
    <w:rsid w:val="00433CF3"/>
    <w:rsid w:val="004369F9"/>
    <w:rsid w:val="004459E5"/>
    <w:rsid w:val="00450E6C"/>
    <w:rsid w:val="004523B1"/>
    <w:rsid w:val="004531D5"/>
    <w:rsid w:val="00455587"/>
    <w:rsid w:val="004601FD"/>
    <w:rsid w:val="00463EB0"/>
    <w:rsid w:val="00465F01"/>
    <w:rsid w:val="00466313"/>
    <w:rsid w:val="00466470"/>
    <w:rsid w:val="0046765B"/>
    <w:rsid w:val="0047343D"/>
    <w:rsid w:val="00477D0B"/>
    <w:rsid w:val="00480878"/>
    <w:rsid w:val="004820C4"/>
    <w:rsid w:val="0048634C"/>
    <w:rsid w:val="004873B2"/>
    <w:rsid w:val="004A1752"/>
    <w:rsid w:val="004A4503"/>
    <w:rsid w:val="004A53ED"/>
    <w:rsid w:val="004A5C21"/>
    <w:rsid w:val="004A6FBF"/>
    <w:rsid w:val="004B408C"/>
    <w:rsid w:val="004C1210"/>
    <w:rsid w:val="004C1663"/>
    <w:rsid w:val="004C5290"/>
    <w:rsid w:val="004C727D"/>
    <w:rsid w:val="004C7976"/>
    <w:rsid w:val="004D0D95"/>
    <w:rsid w:val="004E0DBE"/>
    <w:rsid w:val="004E7B53"/>
    <w:rsid w:val="004F23B1"/>
    <w:rsid w:val="004F37F2"/>
    <w:rsid w:val="00501A2D"/>
    <w:rsid w:val="00503CD9"/>
    <w:rsid w:val="0050780F"/>
    <w:rsid w:val="00514640"/>
    <w:rsid w:val="00516BF2"/>
    <w:rsid w:val="005310DD"/>
    <w:rsid w:val="00535468"/>
    <w:rsid w:val="005409F6"/>
    <w:rsid w:val="005418F2"/>
    <w:rsid w:val="00542C61"/>
    <w:rsid w:val="005514F3"/>
    <w:rsid w:val="00562CA5"/>
    <w:rsid w:val="00565748"/>
    <w:rsid w:val="0057348C"/>
    <w:rsid w:val="00574703"/>
    <w:rsid w:val="005760FE"/>
    <w:rsid w:val="00577129"/>
    <w:rsid w:val="005824AC"/>
    <w:rsid w:val="00590380"/>
    <w:rsid w:val="00591151"/>
    <w:rsid w:val="005927EA"/>
    <w:rsid w:val="00596CB2"/>
    <w:rsid w:val="00596F09"/>
    <w:rsid w:val="00597853"/>
    <w:rsid w:val="005A4338"/>
    <w:rsid w:val="005A5FAB"/>
    <w:rsid w:val="005B68CC"/>
    <w:rsid w:val="005D39B2"/>
    <w:rsid w:val="005D5585"/>
    <w:rsid w:val="005D63BC"/>
    <w:rsid w:val="005D652E"/>
    <w:rsid w:val="005D790E"/>
    <w:rsid w:val="005D7E70"/>
    <w:rsid w:val="005E03F2"/>
    <w:rsid w:val="005E09C4"/>
    <w:rsid w:val="005E75AF"/>
    <w:rsid w:val="005F1C69"/>
    <w:rsid w:val="005F370F"/>
    <w:rsid w:val="005F3724"/>
    <w:rsid w:val="005F6282"/>
    <w:rsid w:val="00602CA9"/>
    <w:rsid w:val="00603D8A"/>
    <w:rsid w:val="00616794"/>
    <w:rsid w:val="00623060"/>
    <w:rsid w:val="006239C3"/>
    <w:rsid w:val="00635C72"/>
    <w:rsid w:val="00642876"/>
    <w:rsid w:val="006550C8"/>
    <w:rsid w:val="0066335E"/>
    <w:rsid w:val="006635B5"/>
    <w:rsid w:val="006656DA"/>
    <w:rsid w:val="00670A59"/>
    <w:rsid w:val="006763EE"/>
    <w:rsid w:val="00676FBD"/>
    <w:rsid w:val="0068052F"/>
    <w:rsid w:val="0068125F"/>
    <w:rsid w:val="006817DE"/>
    <w:rsid w:val="00683CC2"/>
    <w:rsid w:val="006869B2"/>
    <w:rsid w:val="00692DF5"/>
    <w:rsid w:val="00693E34"/>
    <w:rsid w:val="006A78C3"/>
    <w:rsid w:val="006B7287"/>
    <w:rsid w:val="006B7326"/>
    <w:rsid w:val="006B7B19"/>
    <w:rsid w:val="006D360C"/>
    <w:rsid w:val="006E196B"/>
    <w:rsid w:val="006E37F1"/>
    <w:rsid w:val="006E444D"/>
    <w:rsid w:val="006E5631"/>
    <w:rsid w:val="006F53DD"/>
    <w:rsid w:val="00703D46"/>
    <w:rsid w:val="00704955"/>
    <w:rsid w:val="00712813"/>
    <w:rsid w:val="00717542"/>
    <w:rsid w:val="007207C9"/>
    <w:rsid w:val="00723DA8"/>
    <w:rsid w:val="0073247E"/>
    <w:rsid w:val="0073354A"/>
    <w:rsid w:val="0074165B"/>
    <w:rsid w:val="007510B2"/>
    <w:rsid w:val="00757EE5"/>
    <w:rsid w:val="00762B52"/>
    <w:rsid w:val="00762FC8"/>
    <w:rsid w:val="00770880"/>
    <w:rsid w:val="00782299"/>
    <w:rsid w:val="00786DFA"/>
    <w:rsid w:val="00787305"/>
    <w:rsid w:val="0079296A"/>
    <w:rsid w:val="00795870"/>
    <w:rsid w:val="007A326D"/>
    <w:rsid w:val="007A4009"/>
    <w:rsid w:val="007A4D92"/>
    <w:rsid w:val="007D479D"/>
    <w:rsid w:val="007E7163"/>
    <w:rsid w:val="007F1EB6"/>
    <w:rsid w:val="007F3114"/>
    <w:rsid w:val="007F6B89"/>
    <w:rsid w:val="008028B7"/>
    <w:rsid w:val="00802AF1"/>
    <w:rsid w:val="00802B04"/>
    <w:rsid w:val="00804040"/>
    <w:rsid w:val="008046DF"/>
    <w:rsid w:val="008065D3"/>
    <w:rsid w:val="0080676D"/>
    <w:rsid w:val="00806B8D"/>
    <w:rsid w:val="0081386F"/>
    <w:rsid w:val="008143E2"/>
    <w:rsid w:val="008266E3"/>
    <w:rsid w:val="00827AD7"/>
    <w:rsid w:val="00833A1B"/>
    <w:rsid w:val="00843B8F"/>
    <w:rsid w:val="00844106"/>
    <w:rsid w:val="00850511"/>
    <w:rsid w:val="00850A49"/>
    <w:rsid w:val="00854B52"/>
    <w:rsid w:val="00854FFE"/>
    <w:rsid w:val="00866737"/>
    <w:rsid w:val="0086763D"/>
    <w:rsid w:val="008755AE"/>
    <w:rsid w:val="008848BD"/>
    <w:rsid w:val="00886AD3"/>
    <w:rsid w:val="008A0F2B"/>
    <w:rsid w:val="008B0206"/>
    <w:rsid w:val="008B5F42"/>
    <w:rsid w:val="008C378A"/>
    <w:rsid w:val="008C7460"/>
    <w:rsid w:val="008C74DF"/>
    <w:rsid w:val="008D3EFF"/>
    <w:rsid w:val="008D3FA3"/>
    <w:rsid w:val="008D706F"/>
    <w:rsid w:val="008D74DE"/>
    <w:rsid w:val="008E3130"/>
    <w:rsid w:val="008E629C"/>
    <w:rsid w:val="008E6340"/>
    <w:rsid w:val="00900C3D"/>
    <w:rsid w:val="0090269C"/>
    <w:rsid w:val="009053EC"/>
    <w:rsid w:val="009142CE"/>
    <w:rsid w:val="00914BAE"/>
    <w:rsid w:val="009202EC"/>
    <w:rsid w:val="009218FA"/>
    <w:rsid w:val="00935949"/>
    <w:rsid w:val="00936743"/>
    <w:rsid w:val="00943DEC"/>
    <w:rsid w:val="0095107F"/>
    <w:rsid w:val="00952739"/>
    <w:rsid w:val="00956E46"/>
    <w:rsid w:val="0095736D"/>
    <w:rsid w:val="009609D5"/>
    <w:rsid w:val="009714BC"/>
    <w:rsid w:val="009830A0"/>
    <w:rsid w:val="00983381"/>
    <w:rsid w:val="00984F55"/>
    <w:rsid w:val="009876EC"/>
    <w:rsid w:val="0098772D"/>
    <w:rsid w:val="00994EB5"/>
    <w:rsid w:val="009A3B8B"/>
    <w:rsid w:val="009A488A"/>
    <w:rsid w:val="009A66C3"/>
    <w:rsid w:val="009B0088"/>
    <w:rsid w:val="009B1C4A"/>
    <w:rsid w:val="009B1C95"/>
    <w:rsid w:val="009B2847"/>
    <w:rsid w:val="009B68A7"/>
    <w:rsid w:val="009C153D"/>
    <w:rsid w:val="009C1DAA"/>
    <w:rsid w:val="009C3032"/>
    <w:rsid w:val="009C3A98"/>
    <w:rsid w:val="009D20EC"/>
    <w:rsid w:val="009D4170"/>
    <w:rsid w:val="009D41A7"/>
    <w:rsid w:val="009E03DC"/>
    <w:rsid w:val="009E0860"/>
    <w:rsid w:val="009E1489"/>
    <w:rsid w:val="009E1FF6"/>
    <w:rsid w:val="009F0207"/>
    <w:rsid w:val="009F0D31"/>
    <w:rsid w:val="009F1D83"/>
    <w:rsid w:val="009F2B16"/>
    <w:rsid w:val="00A01B45"/>
    <w:rsid w:val="00A10B23"/>
    <w:rsid w:val="00A130B8"/>
    <w:rsid w:val="00A17F39"/>
    <w:rsid w:val="00A2130F"/>
    <w:rsid w:val="00A248CB"/>
    <w:rsid w:val="00A27EE6"/>
    <w:rsid w:val="00A30D04"/>
    <w:rsid w:val="00A37B0E"/>
    <w:rsid w:val="00A411F6"/>
    <w:rsid w:val="00A4454F"/>
    <w:rsid w:val="00A454D3"/>
    <w:rsid w:val="00A50DA9"/>
    <w:rsid w:val="00A6395A"/>
    <w:rsid w:val="00A64D59"/>
    <w:rsid w:val="00A65A36"/>
    <w:rsid w:val="00A6790C"/>
    <w:rsid w:val="00A70D2C"/>
    <w:rsid w:val="00A76887"/>
    <w:rsid w:val="00A76D28"/>
    <w:rsid w:val="00A8092A"/>
    <w:rsid w:val="00A8500F"/>
    <w:rsid w:val="00A86368"/>
    <w:rsid w:val="00A9201D"/>
    <w:rsid w:val="00A947D6"/>
    <w:rsid w:val="00A951F0"/>
    <w:rsid w:val="00A952FD"/>
    <w:rsid w:val="00A961FD"/>
    <w:rsid w:val="00AA0124"/>
    <w:rsid w:val="00AA7C2B"/>
    <w:rsid w:val="00AB17B8"/>
    <w:rsid w:val="00AB5D86"/>
    <w:rsid w:val="00AC0F34"/>
    <w:rsid w:val="00AC67C0"/>
    <w:rsid w:val="00AD1DE3"/>
    <w:rsid w:val="00AD38BB"/>
    <w:rsid w:val="00AE3B70"/>
    <w:rsid w:val="00AF4E92"/>
    <w:rsid w:val="00AF7BB3"/>
    <w:rsid w:val="00B00FC4"/>
    <w:rsid w:val="00B05EE5"/>
    <w:rsid w:val="00B07265"/>
    <w:rsid w:val="00B125F5"/>
    <w:rsid w:val="00B2718D"/>
    <w:rsid w:val="00B332F0"/>
    <w:rsid w:val="00B35B08"/>
    <w:rsid w:val="00B37FCE"/>
    <w:rsid w:val="00B4418B"/>
    <w:rsid w:val="00B46AFD"/>
    <w:rsid w:val="00B46B9C"/>
    <w:rsid w:val="00B47845"/>
    <w:rsid w:val="00B47F29"/>
    <w:rsid w:val="00B51FC6"/>
    <w:rsid w:val="00B5399E"/>
    <w:rsid w:val="00B6225F"/>
    <w:rsid w:val="00B727AD"/>
    <w:rsid w:val="00B73664"/>
    <w:rsid w:val="00B742AD"/>
    <w:rsid w:val="00B751EE"/>
    <w:rsid w:val="00B838CF"/>
    <w:rsid w:val="00BA0150"/>
    <w:rsid w:val="00BA0188"/>
    <w:rsid w:val="00BA0A24"/>
    <w:rsid w:val="00BA1144"/>
    <w:rsid w:val="00BB4DC9"/>
    <w:rsid w:val="00BB6B74"/>
    <w:rsid w:val="00BB7961"/>
    <w:rsid w:val="00BC72EB"/>
    <w:rsid w:val="00BD7297"/>
    <w:rsid w:val="00BE1E61"/>
    <w:rsid w:val="00BE43DB"/>
    <w:rsid w:val="00BE617D"/>
    <w:rsid w:val="00BF21FB"/>
    <w:rsid w:val="00C028AC"/>
    <w:rsid w:val="00C040FC"/>
    <w:rsid w:val="00C05F20"/>
    <w:rsid w:val="00C07DEF"/>
    <w:rsid w:val="00C102F0"/>
    <w:rsid w:val="00C11492"/>
    <w:rsid w:val="00C22C21"/>
    <w:rsid w:val="00C23BAA"/>
    <w:rsid w:val="00C269E7"/>
    <w:rsid w:val="00C2766E"/>
    <w:rsid w:val="00C31B25"/>
    <w:rsid w:val="00C36CE4"/>
    <w:rsid w:val="00C42DAE"/>
    <w:rsid w:val="00C44054"/>
    <w:rsid w:val="00C53B68"/>
    <w:rsid w:val="00C55036"/>
    <w:rsid w:val="00C62568"/>
    <w:rsid w:val="00C66834"/>
    <w:rsid w:val="00C74416"/>
    <w:rsid w:val="00C844C7"/>
    <w:rsid w:val="00C86FA5"/>
    <w:rsid w:val="00C92756"/>
    <w:rsid w:val="00C9688E"/>
    <w:rsid w:val="00CB036D"/>
    <w:rsid w:val="00CB58BE"/>
    <w:rsid w:val="00CB7D0B"/>
    <w:rsid w:val="00CC4024"/>
    <w:rsid w:val="00CC788B"/>
    <w:rsid w:val="00CD0B24"/>
    <w:rsid w:val="00CD2165"/>
    <w:rsid w:val="00CD5EF0"/>
    <w:rsid w:val="00CE14BD"/>
    <w:rsid w:val="00CE2599"/>
    <w:rsid w:val="00CE4869"/>
    <w:rsid w:val="00D0277B"/>
    <w:rsid w:val="00D06964"/>
    <w:rsid w:val="00D15DC8"/>
    <w:rsid w:val="00D17AD1"/>
    <w:rsid w:val="00D20D9C"/>
    <w:rsid w:val="00D26BA8"/>
    <w:rsid w:val="00D26EC9"/>
    <w:rsid w:val="00D27FAD"/>
    <w:rsid w:val="00D31859"/>
    <w:rsid w:val="00D41AC2"/>
    <w:rsid w:val="00D44885"/>
    <w:rsid w:val="00D47510"/>
    <w:rsid w:val="00D64289"/>
    <w:rsid w:val="00D66DB1"/>
    <w:rsid w:val="00D80AEC"/>
    <w:rsid w:val="00D873E8"/>
    <w:rsid w:val="00D937A6"/>
    <w:rsid w:val="00D93F59"/>
    <w:rsid w:val="00D977B1"/>
    <w:rsid w:val="00DB0AE7"/>
    <w:rsid w:val="00DB1287"/>
    <w:rsid w:val="00DB35DC"/>
    <w:rsid w:val="00DB49AE"/>
    <w:rsid w:val="00DB4A8D"/>
    <w:rsid w:val="00DD58CA"/>
    <w:rsid w:val="00DE045F"/>
    <w:rsid w:val="00DE6938"/>
    <w:rsid w:val="00DF434D"/>
    <w:rsid w:val="00DF73CC"/>
    <w:rsid w:val="00DF7C2F"/>
    <w:rsid w:val="00E024EB"/>
    <w:rsid w:val="00E06877"/>
    <w:rsid w:val="00E11450"/>
    <w:rsid w:val="00E1403D"/>
    <w:rsid w:val="00E15F28"/>
    <w:rsid w:val="00E16C90"/>
    <w:rsid w:val="00E25EA0"/>
    <w:rsid w:val="00E267F4"/>
    <w:rsid w:val="00E3069C"/>
    <w:rsid w:val="00E37477"/>
    <w:rsid w:val="00E422E7"/>
    <w:rsid w:val="00E4647A"/>
    <w:rsid w:val="00E47630"/>
    <w:rsid w:val="00E512C6"/>
    <w:rsid w:val="00E569FA"/>
    <w:rsid w:val="00E62948"/>
    <w:rsid w:val="00E65F71"/>
    <w:rsid w:val="00E673C9"/>
    <w:rsid w:val="00E73DBF"/>
    <w:rsid w:val="00E74EC4"/>
    <w:rsid w:val="00E75E10"/>
    <w:rsid w:val="00E77020"/>
    <w:rsid w:val="00E84DA4"/>
    <w:rsid w:val="00E90BD1"/>
    <w:rsid w:val="00EA061F"/>
    <w:rsid w:val="00EA30FC"/>
    <w:rsid w:val="00EA48F8"/>
    <w:rsid w:val="00EA5FA0"/>
    <w:rsid w:val="00EB0A48"/>
    <w:rsid w:val="00EB1732"/>
    <w:rsid w:val="00EB30C0"/>
    <w:rsid w:val="00EB4185"/>
    <w:rsid w:val="00EB5CF4"/>
    <w:rsid w:val="00EC3128"/>
    <w:rsid w:val="00EE14A8"/>
    <w:rsid w:val="00EE2D29"/>
    <w:rsid w:val="00EE7F5F"/>
    <w:rsid w:val="00EF2A1C"/>
    <w:rsid w:val="00EF731D"/>
    <w:rsid w:val="00EF7FDA"/>
    <w:rsid w:val="00F01AC5"/>
    <w:rsid w:val="00F02157"/>
    <w:rsid w:val="00F028ED"/>
    <w:rsid w:val="00F13FC5"/>
    <w:rsid w:val="00F14DE0"/>
    <w:rsid w:val="00F17662"/>
    <w:rsid w:val="00F2099E"/>
    <w:rsid w:val="00F21518"/>
    <w:rsid w:val="00F23530"/>
    <w:rsid w:val="00F25BFB"/>
    <w:rsid w:val="00F3431E"/>
    <w:rsid w:val="00F34FE4"/>
    <w:rsid w:val="00F374E1"/>
    <w:rsid w:val="00F43067"/>
    <w:rsid w:val="00F431B2"/>
    <w:rsid w:val="00F443AE"/>
    <w:rsid w:val="00F456B2"/>
    <w:rsid w:val="00F510F4"/>
    <w:rsid w:val="00F5340C"/>
    <w:rsid w:val="00F54138"/>
    <w:rsid w:val="00F61AD1"/>
    <w:rsid w:val="00F61C9A"/>
    <w:rsid w:val="00F7175C"/>
    <w:rsid w:val="00F72734"/>
    <w:rsid w:val="00F72A23"/>
    <w:rsid w:val="00F750E0"/>
    <w:rsid w:val="00F80603"/>
    <w:rsid w:val="00F84169"/>
    <w:rsid w:val="00F87C66"/>
    <w:rsid w:val="00F96B96"/>
    <w:rsid w:val="00FA0677"/>
    <w:rsid w:val="00FA0835"/>
    <w:rsid w:val="00FB454A"/>
    <w:rsid w:val="00FB55BE"/>
    <w:rsid w:val="00FB5B8B"/>
    <w:rsid w:val="00FC4CD1"/>
    <w:rsid w:val="00FD5D07"/>
    <w:rsid w:val="00FD6A82"/>
    <w:rsid w:val="00FE42A4"/>
    <w:rsid w:val="00FF0099"/>
    <w:rsid w:val="00FF2467"/>
    <w:rsid w:val="03B37E16"/>
    <w:rsid w:val="04050263"/>
    <w:rsid w:val="059D77C1"/>
    <w:rsid w:val="05A45D8B"/>
    <w:rsid w:val="06F57D13"/>
    <w:rsid w:val="0A322311"/>
    <w:rsid w:val="0A397E8E"/>
    <w:rsid w:val="0C514C17"/>
    <w:rsid w:val="0D613EAF"/>
    <w:rsid w:val="12280CA8"/>
    <w:rsid w:val="140D19EA"/>
    <w:rsid w:val="147804A6"/>
    <w:rsid w:val="17925CF4"/>
    <w:rsid w:val="18510A99"/>
    <w:rsid w:val="197467ED"/>
    <w:rsid w:val="1A233F3A"/>
    <w:rsid w:val="1A8B2040"/>
    <w:rsid w:val="1E7129EE"/>
    <w:rsid w:val="1E8B2530"/>
    <w:rsid w:val="1EA64180"/>
    <w:rsid w:val="1F552E6D"/>
    <w:rsid w:val="1F882670"/>
    <w:rsid w:val="20400370"/>
    <w:rsid w:val="2059498F"/>
    <w:rsid w:val="2086292F"/>
    <w:rsid w:val="20CB44E2"/>
    <w:rsid w:val="20CE70B3"/>
    <w:rsid w:val="21230D1E"/>
    <w:rsid w:val="21382BF7"/>
    <w:rsid w:val="21D73397"/>
    <w:rsid w:val="22284619"/>
    <w:rsid w:val="22711FC7"/>
    <w:rsid w:val="22E27404"/>
    <w:rsid w:val="233427F1"/>
    <w:rsid w:val="24991246"/>
    <w:rsid w:val="2584004C"/>
    <w:rsid w:val="25A15492"/>
    <w:rsid w:val="25A717A5"/>
    <w:rsid w:val="268A4393"/>
    <w:rsid w:val="26947242"/>
    <w:rsid w:val="299B2824"/>
    <w:rsid w:val="2CBC28B4"/>
    <w:rsid w:val="2E5D1AEE"/>
    <w:rsid w:val="2ED25582"/>
    <w:rsid w:val="2F2B69A6"/>
    <w:rsid w:val="2F9376F4"/>
    <w:rsid w:val="2FB4573E"/>
    <w:rsid w:val="2FE00909"/>
    <w:rsid w:val="30090664"/>
    <w:rsid w:val="3086421F"/>
    <w:rsid w:val="30EE495A"/>
    <w:rsid w:val="3137734B"/>
    <w:rsid w:val="31753A31"/>
    <w:rsid w:val="322B72A5"/>
    <w:rsid w:val="34A54E56"/>
    <w:rsid w:val="358F6D85"/>
    <w:rsid w:val="36116DC6"/>
    <w:rsid w:val="36F97AA2"/>
    <w:rsid w:val="37464019"/>
    <w:rsid w:val="388E289A"/>
    <w:rsid w:val="3A2046F1"/>
    <w:rsid w:val="3A3E76A5"/>
    <w:rsid w:val="3A7D4B09"/>
    <w:rsid w:val="3A824DB6"/>
    <w:rsid w:val="3ABE667C"/>
    <w:rsid w:val="3C390D2C"/>
    <w:rsid w:val="3D1617E6"/>
    <w:rsid w:val="3F480DA0"/>
    <w:rsid w:val="3F5721AF"/>
    <w:rsid w:val="3FBC40C0"/>
    <w:rsid w:val="40282BED"/>
    <w:rsid w:val="40E131E7"/>
    <w:rsid w:val="40F03D22"/>
    <w:rsid w:val="41C07C1D"/>
    <w:rsid w:val="421B3B68"/>
    <w:rsid w:val="4222749D"/>
    <w:rsid w:val="4352109E"/>
    <w:rsid w:val="436E5AC7"/>
    <w:rsid w:val="44B72A72"/>
    <w:rsid w:val="460C19D8"/>
    <w:rsid w:val="47906638"/>
    <w:rsid w:val="489807E2"/>
    <w:rsid w:val="48FE0D6C"/>
    <w:rsid w:val="49AC029F"/>
    <w:rsid w:val="4BB42C4A"/>
    <w:rsid w:val="4CE646FE"/>
    <w:rsid w:val="4D391A28"/>
    <w:rsid w:val="4D8E53C8"/>
    <w:rsid w:val="4F3A50EB"/>
    <w:rsid w:val="5023059A"/>
    <w:rsid w:val="50A46CA3"/>
    <w:rsid w:val="50A72C5B"/>
    <w:rsid w:val="50CA60D9"/>
    <w:rsid w:val="51840FBC"/>
    <w:rsid w:val="51B612C5"/>
    <w:rsid w:val="51BA678C"/>
    <w:rsid w:val="54172468"/>
    <w:rsid w:val="54204DF7"/>
    <w:rsid w:val="54FD53FA"/>
    <w:rsid w:val="55B77D28"/>
    <w:rsid w:val="55B921AE"/>
    <w:rsid w:val="55E40E17"/>
    <w:rsid w:val="560242D3"/>
    <w:rsid w:val="56787366"/>
    <w:rsid w:val="56951575"/>
    <w:rsid w:val="56F80E4B"/>
    <w:rsid w:val="5728063B"/>
    <w:rsid w:val="586C3590"/>
    <w:rsid w:val="58D3630A"/>
    <w:rsid w:val="591C0001"/>
    <w:rsid w:val="5A077ED1"/>
    <w:rsid w:val="5AA700D1"/>
    <w:rsid w:val="5AD527F0"/>
    <w:rsid w:val="5AF2343A"/>
    <w:rsid w:val="5B9A2195"/>
    <w:rsid w:val="5BC56459"/>
    <w:rsid w:val="5BFDAA94"/>
    <w:rsid w:val="5D115FE4"/>
    <w:rsid w:val="5D344E39"/>
    <w:rsid w:val="5D3A0D94"/>
    <w:rsid w:val="5D88046C"/>
    <w:rsid w:val="5DC170F4"/>
    <w:rsid w:val="5EB87A15"/>
    <w:rsid w:val="5F4B6855"/>
    <w:rsid w:val="60B9296F"/>
    <w:rsid w:val="60DB671F"/>
    <w:rsid w:val="61C55714"/>
    <w:rsid w:val="631F7B3C"/>
    <w:rsid w:val="65233810"/>
    <w:rsid w:val="658409AE"/>
    <w:rsid w:val="66CC6729"/>
    <w:rsid w:val="670A0F59"/>
    <w:rsid w:val="6A44150A"/>
    <w:rsid w:val="6B426AD1"/>
    <w:rsid w:val="6B9C7099"/>
    <w:rsid w:val="6CED2CC8"/>
    <w:rsid w:val="6DAB5C4D"/>
    <w:rsid w:val="6DBE5BA3"/>
    <w:rsid w:val="6DE763F3"/>
    <w:rsid w:val="6E3E3969"/>
    <w:rsid w:val="6E411B42"/>
    <w:rsid w:val="6E437B98"/>
    <w:rsid w:val="6EFE2C7D"/>
    <w:rsid w:val="6FC52247"/>
    <w:rsid w:val="70446A9C"/>
    <w:rsid w:val="70673B2B"/>
    <w:rsid w:val="70F03B20"/>
    <w:rsid w:val="72111FA0"/>
    <w:rsid w:val="72516841"/>
    <w:rsid w:val="73546599"/>
    <w:rsid w:val="74896728"/>
    <w:rsid w:val="7570457A"/>
    <w:rsid w:val="757D4A73"/>
    <w:rsid w:val="760A5194"/>
    <w:rsid w:val="769150B7"/>
    <w:rsid w:val="79283153"/>
    <w:rsid w:val="79DC08AE"/>
    <w:rsid w:val="7A601949"/>
    <w:rsid w:val="7A7D7837"/>
    <w:rsid w:val="7BE7B027"/>
    <w:rsid w:val="7C0454CD"/>
    <w:rsid w:val="7C7852AE"/>
    <w:rsid w:val="7C9F5B2F"/>
    <w:rsid w:val="7CAA5590"/>
    <w:rsid w:val="7D0D0F73"/>
    <w:rsid w:val="7D96647C"/>
    <w:rsid w:val="7DFD2953"/>
    <w:rsid w:val="7E161E0B"/>
    <w:rsid w:val="7E5F7095"/>
    <w:rsid w:val="BFFF5B19"/>
    <w:rsid w:val="CF8FFFAC"/>
    <w:rsid w:val="DBF8E823"/>
    <w:rsid w:val="DD9D2BD3"/>
    <w:rsid w:val="F2EF9A14"/>
    <w:rsid w:val="FDCFAFA4"/>
    <w:rsid w:val="FF6E53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qFormat="1" w:unhideWhenUsed="0" w:uiPriority="0" w:semiHidden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uto"/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21"/>
    <w:qFormat/>
    <w:uiPriority w:val="99"/>
    <w:pPr>
      <w:keepNext/>
      <w:keepLines/>
      <w:jc w:val="left"/>
      <w:outlineLvl w:val="1"/>
    </w:pPr>
    <w:rPr>
      <w:rFonts w:ascii="Arial" w:hAnsi="Arial" w:eastAsia="方正黑体_GBK"/>
    </w:rPr>
  </w:style>
  <w:style w:type="paragraph" w:styleId="3">
    <w:name w:val="heading 3"/>
    <w:basedOn w:val="1"/>
    <w:next w:val="1"/>
    <w:link w:val="22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qFormat/>
    <w:uiPriority w:val="0"/>
    <w:pPr>
      <w:tabs>
        <w:tab w:val="right" w:leader="dot" w:pos="9241"/>
      </w:tabs>
      <w:adjustRightInd/>
      <w:spacing w:line="240" w:lineRule="auto"/>
      <w:ind w:firstLine="505" w:firstLineChars="500"/>
      <w:jc w:val="left"/>
      <w:textAlignment w:val="auto"/>
    </w:pPr>
    <w:rPr>
      <w:rFonts w:ascii="宋体"/>
      <w:szCs w:val="21"/>
    </w:rPr>
  </w:style>
  <w:style w:type="paragraph" w:styleId="5">
    <w:name w:val="annotation text"/>
    <w:basedOn w:val="1"/>
    <w:link w:val="23"/>
    <w:qFormat/>
    <w:uiPriority w:val="0"/>
    <w:pPr>
      <w:jc w:val="left"/>
    </w:pPr>
  </w:style>
  <w:style w:type="paragraph" w:styleId="6">
    <w:name w:val="Body Text"/>
    <w:basedOn w:val="1"/>
    <w:qFormat/>
    <w:uiPriority w:val="0"/>
    <w:rPr>
      <w:sz w:val="18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4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1">
    <w:name w:val="footnote text"/>
    <w:basedOn w:val="1"/>
    <w:link w:val="25"/>
    <w:qFormat/>
    <w:uiPriority w:val="0"/>
    <w:pPr>
      <w:numPr>
        <w:ilvl w:val="0"/>
        <w:numId w:val="1"/>
      </w:numPr>
      <w:adjustRightInd/>
      <w:snapToGrid w:val="0"/>
      <w:spacing w:line="240" w:lineRule="auto"/>
      <w:jc w:val="left"/>
      <w:textAlignment w:val="auto"/>
    </w:pPr>
    <w:rPr>
      <w:rFonts w:ascii="宋体"/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adjustRightInd/>
      <w:spacing w:before="100" w:beforeAutospacing="1" w:after="100" w:afterAutospacing="1"/>
      <w:jc w:val="left"/>
      <w:textAlignment w:val="auto"/>
    </w:pPr>
    <w:rPr>
      <w:rFonts w:hint="eastAsia" w:ascii="宋体" w:hAnsi="宋体"/>
      <w:kern w:val="0"/>
      <w:sz w:val="24"/>
      <w:szCs w:val="24"/>
    </w:rPr>
  </w:style>
  <w:style w:type="paragraph" w:styleId="13">
    <w:name w:val="annotation subject"/>
    <w:basedOn w:val="5"/>
    <w:next w:val="5"/>
    <w:qFormat/>
    <w:uiPriority w:val="0"/>
    <w:rPr>
      <w:b/>
      <w:bCs/>
    </w:rPr>
  </w:style>
  <w:style w:type="table" w:styleId="15">
    <w:name w:val="Table Grid"/>
    <w:basedOn w:val="14"/>
    <w:qFormat/>
    <w:uiPriority w:val="59"/>
    <w:pPr>
      <w:widowControl w:val="0"/>
      <w:adjustRightInd w:val="0"/>
      <w:spacing w:line="360" w:lineRule="auto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qFormat/>
    <w:uiPriority w:val="0"/>
  </w:style>
  <w:style w:type="character" w:styleId="19">
    <w:name w:val="Emphasis"/>
    <w:qFormat/>
    <w:uiPriority w:val="0"/>
    <w:rPr>
      <w:i/>
      <w:iCs/>
    </w:rPr>
  </w:style>
  <w:style w:type="character" w:styleId="20">
    <w:name w:val="annotation reference"/>
    <w:qFormat/>
    <w:uiPriority w:val="0"/>
    <w:rPr>
      <w:sz w:val="21"/>
      <w:szCs w:val="21"/>
    </w:rPr>
  </w:style>
  <w:style w:type="character" w:customStyle="1" w:styleId="21">
    <w:name w:val="标题 2 字符"/>
    <w:link w:val="2"/>
    <w:qFormat/>
    <w:locked/>
    <w:uiPriority w:val="99"/>
    <w:rPr>
      <w:rFonts w:ascii="Arial" w:hAnsi="Arial" w:eastAsia="方正黑体_GBK"/>
    </w:rPr>
  </w:style>
  <w:style w:type="character" w:customStyle="1" w:styleId="22">
    <w:name w:val="标题 3 字符"/>
    <w:link w:val="3"/>
    <w:semiHidden/>
    <w:qFormat/>
    <w:uiPriority w:val="0"/>
    <w:rPr>
      <w:b/>
      <w:bCs/>
      <w:kern w:val="2"/>
      <w:sz w:val="32"/>
      <w:szCs w:val="32"/>
    </w:rPr>
  </w:style>
  <w:style w:type="character" w:customStyle="1" w:styleId="23">
    <w:name w:val="批注文字 字符"/>
    <w:link w:val="5"/>
    <w:qFormat/>
    <w:uiPriority w:val="0"/>
    <w:rPr>
      <w:kern w:val="2"/>
      <w:sz w:val="21"/>
    </w:rPr>
  </w:style>
  <w:style w:type="character" w:customStyle="1" w:styleId="24">
    <w:name w:val="副标题 字符"/>
    <w:link w:val="10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脚注文本 字符"/>
    <w:link w:val="11"/>
    <w:qFormat/>
    <w:uiPriority w:val="0"/>
    <w:rPr>
      <w:rFonts w:ascii="宋体"/>
      <w:kern w:val="2"/>
      <w:sz w:val="18"/>
      <w:szCs w:val="18"/>
    </w:rPr>
  </w:style>
  <w:style w:type="character" w:customStyle="1" w:styleId="26">
    <w:name w:val="段 Char Char"/>
    <w:link w:val="27"/>
    <w:qFormat/>
    <w:uiPriority w:val="99"/>
    <w:rPr>
      <w:rFonts w:ascii="宋体"/>
      <w:sz w:val="21"/>
      <w:lang w:val="en-US" w:eastAsia="zh-CN" w:bidi="ar-SA"/>
    </w:rPr>
  </w:style>
  <w:style w:type="paragraph" w:customStyle="1" w:styleId="27">
    <w:name w:val="段"/>
    <w:link w:val="26"/>
    <w:qFormat/>
    <w:uiPriority w:val="99"/>
    <w:pPr>
      <w:autoSpaceDE w:val="0"/>
      <w:autoSpaceDN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8">
    <w:name w:val="段 Char"/>
    <w:qFormat/>
    <w:uiPriority w:val="99"/>
    <w:rPr>
      <w:rFonts w:ascii="宋体" w:eastAsia="宋体"/>
      <w:sz w:val="21"/>
      <w:lang w:val="en-US" w:eastAsia="zh-CN" w:bidi="ar-SA"/>
    </w:rPr>
  </w:style>
  <w:style w:type="character" w:customStyle="1" w:styleId="29">
    <w:name w:val="Strong1"/>
    <w:qFormat/>
    <w:uiPriority w:val="0"/>
    <w:rPr>
      <w:b/>
    </w:rPr>
  </w:style>
  <w:style w:type="character" w:customStyle="1" w:styleId="30">
    <w:name w:val="样式 二级条标题 + Times New Roman1 Char Char"/>
    <w:link w:val="31"/>
    <w:qFormat/>
    <w:uiPriority w:val="0"/>
    <w:rPr>
      <w:rFonts w:ascii="黑体" w:hAnsi="Verdana" w:eastAsia="黑体"/>
      <w:sz w:val="21"/>
      <w:lang w:val="en-US" w:eastAsia="zh-CN" w:bidi="ar-SA"/>
    </w:rPr>
  </w:style>
  <w:style w:type="paragraph" w:customStyle="1" w:styleId="31">
    <w:name w:val="样式 二级条标题 + Times New Roman1"/>
    <w:basedOn w:val="32"/>
    <w:link w:val="30"/>
    <w:qFormat/>
    <w:uiPriority w:val="0"/>
    <w:pPr>
      <w:spacing w:line="240" w:lineRule="auto"/>
    </w:pPr>
    <w:rPr>
      <w:rFonts w:hAnsi="Verdana"/>
    </w:rPr>
  </w:style>
  <w:style w:type="paragraph" w:customStyle="1" w:styleId="32">
    <w:name w:val="二级条标题"/>
    <w:basedOn w:val="33"/>
    <w:next w:val="1"/>
    <w:qFormat/>
    <w:uiPriority w:val="0"/>
    <w:pPr>
      <w:numPr>
        <w:ilvl w:val="3"/>
      </w:numPr>
      <w:outlineLvl w:val="3"/>
    </w:pPr>
  </w:style>
  <w:style w:type="paragraph" w:customStyle="1" w:styleId="33">
    <w:name w:val="一级条标题"/>
    <w:basedOn w:val="34"/>
    <w:next w:val="1"/>
    <w:qFormat/>
    <w:uiPriority w:val="99"/>
    <w:pPr>
      <w:numPr>
        <w:ilvl w:val="2"/>
      </w:numPr>
      <w:spacing w:beforeLines="0" w:afterLines="0"/>
      <w:outlineLvl w:val="2"/>
    </w:pPr>
  </w:style>
  <w:style w:type="paragraph" w:customStyle="1" w:styleId="34">
    <w:name w:val="章标题"/>
    <w:next w:val="1"/>
    <w:qFormat/>
    <w:uiPriority w:val="0"/>
    <w:pPr>
      <w:numPr>
        <w:ilvl w:val="1"/>
        <w:numId w:val="2"/>
      </w:numPr>
      <w:spacing w:beforeLines="50" w:afterLines="50" w:line="360" w:lineRule="auto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35">
    <w:name w:val="样式 二级条标题 + Times New Roman Char Char"/>
    <w:link w:val="36"/>
    <w:qFormat/>
    <w:uiPriority w:val="0"/>
    <w:rPr>
      <w:rFonts w:ascii="黑体" w:hAnsi="黑体" w:eastAsia="黑体"/>
      <w:color w:val="000000"/>
      <w:sz w:val="21"/>
      <w:szCs w:val="21"/>
      <w:lang w:val="en-US" w:eastAsia="zh-CN" w:bidi="ar-SA"/>
    </w:rPr>
  </w:style>
  <w:style w:type="paragraph" w:customStyle="1" w:styleId="36">
    <w:name w:val="样式 二级条标题 + Times New Roman"/>
    <w:basedOn w:val="32"/>
    <w:link w:val="35"/>
    <w:qFormat/>
    <w:uiPriority w:val="0"/>
    <w:pPr>
      <w:spacing w:line="300" w:lineRule="auto"/>
      <w:ind w:left="709"/>
    </w:pPr>
    <w:rPr>
      <w:rFonts w:hAnsi="黑体"/>
      <w:color w:val="000000"/>
      <w:szCs w:val="21"/>
    </w:rPr>
  </w:style>
  <w:style w:type="paragraph" w:customStyle="1" w:styleId="37">
    <w:name w:val="Body Text 21"/>
    <w:basedOn w:val="1"/>
    <w:qFormat/>
    <w:uiPriority w:val="0"/>
    <w:pPr>
      <w:ind w:firstLine="720"/>
    </w:pPr>
    <w:rPr>
      <w:sz w:val="24"/>
    </w:rPr>
  </w:style>
  <w:style w:type="paragraph" w:customStyle="1" w:styleId="38">
    <w:name w:val="Char Char Char1 Char Char Char Char Char Char Char Char Char Char Char Char Char"/>
    <w:basedOn w:val="1"/>
    <w:qFormat/>
    <w:uiPriority w:val="0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kern w:val="0"/>
      <w:sz w:val="18"/>
      <w:lang w:eastAsia="en-US"/>
    </w:rPr>
  </w:style>
  <w:style w:type="paragraph" w:customStyle="1" w:styleId="39">
    <w:name w:val="前言、引言标题"/>
    <w:next w:val="1"/>
    <w:qFormat/>
    <w:uiPriority w:val="0"/>
    <w:pPr>
      <w:numPr>
        <w:ilvl w:val="0"/>
        <w:numId w:val="2"/>
      </w:numPr>
      <w:shd w:val="clear" w:color="FFFFFF" w:fill="FFFFFF"/>
      <w:spacing w:before="640" w:after="560" w:line="360" w:lineRule="auto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40">
    <w:name w:val="CM11"/>
    <w:basedOn w:val="41"/>
    <w:next w:val="41"/>
    <w:qFormat/>
    <w:uiPriority w:val="99"/>
    <w:pPr>
      <w:spacing w:after="250" w:line="240" w:lineRule="auto"/>
      <w:jc w:val="left"/>
    </w:pPr>
    <w:rPr>
      <w:rFonts w:ascii="Arial" w:hAnsi="Arial" w:cs="Arial"/>
      <w:color w:val="auto"/>
    </w:rPr>
  </w:style>
  <w:style w:type="paragraph" w:customStyle="1" w:styleId="41">
    <w:name w:val="Default"/>
    <w:qFormat/>
    <w:uiPriority w:val="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42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43">
    <w:name w:val="Char"/>
    <w:basedOn w:val="1"/>
    <w:qFormat/>
    <w:uiPriority w:val="0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kern w:val="0"/>
      <w:sz w:val="18"/>
      <w:lang w:eastAsia="en-US"/>
    </w:rPr>
  </w:style>
  <w:style w:type="paragraph" w:customStyle="1" w:styleId="44">
    <w:name w:val="Char Char1"/>
    <w:basedOn w:val="1"/>
    <w:qFormat/>
    <w:uiPriority w:val="0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kern w:val="0"/>
      <w:sz w:val="18"/>
      <w:lang w:eastAsia="en-US"/>
    </w:rPr>
  </w:style>
  <w:style w:type="paragraph" w:customStyle="1" w:styleId="45">
    <w:name w:val="四级条标题"/>
    <w:basedOn w:val="46"/>
    <w:next w:val="1"/>
    <w:qFormat/>
    <w:uiPriority w:val="0"/>
    <w:pPr>
      <w:numPr>
        <w:ilvl w:val="5"/>
      </w:numPr>
      <w:outlineLvl w:val="5"/>
    </w:pPr>
  </w:style>
  <w:style w:type="paragraph" w:customStyle="1" w:styleId="46">
    <w:name w:val="三级条标题"/>
    <w:basedOn w:val="32"/>
    <w:next w:val="1"/>
    <w:qFormat/>
    <w:uiPriority w:val="0"/>
    <w:pPr>
      <w:numPr>
        <w:ilvl w:val="4"/>
      </w:numPr>
      <w:outlineLvl w:val="4"/>
    </w:pPr>
  </w:style>
  <w:style w:type="paragraph" w:customStyle="1" w:styleId="47">
    <w:name w:val="附录标识"/>
    <w:basedOn w:val="39"/>
    <w:qFormat/>
    <w:uiPriority w:val="0"/>
    <w:pPr>
      <w:numPr>
        <w:ilvl w:val="0"/>
        <w:numId w:val="0"/>
      </w:numPr>
      <w:tabs>
        <w:tab w:val="left" w:pos="6405"/>
      </w:tabs>
      <w:spacing w:after="200" w:line="240" w:lineRule="auto"/>
    </w:pPr>
    <w:rPr>
      <w:sz w:val="21"/>
    </w:rPr>
  </w:style>
  <w:style w:type="paragraph" w:customStyle="1" w:styleId="48">
    <w:name w:val="Normal (Web)1"/>
    <w:basedOn w:val="1"/>
    <w:qFormat/>
    <w:uiPriority w:val="0"/>
    <w:pPr>
      <w:widowControl/>
      <w:spacing w:before="100" w:after="100"/>
      <w:jc w:val="left"/>
    </w:pPr>
    <w:rPr>
      <w:rFonts w:ascii="宋体" w:hAnsi="宋体"/>
      <w:kern w:val="0"/>
      <w:sz w:val="24"/>
    </w:rPr>
  </w:style>
  <w:style w:type="paragraph" w:customStyle="1" w:styleId="49">
    <w:name w:val="Body Text 22"/>
    <w:basedOn w:val="1"/>
    <w:qFormat/>
    <w:uiPriority w:val="0"/>
    <w:pPr>
      <w:ind w:firstLine="720"/>
    </w:pPr>
    <w:rPr>
      <w:sz w:val="24"/>
    </w:rPr>
  </w:style>
  <w:style w:type="paragraph" w:customStyle="1" w:styleId="50">
    <w:name w:val="五级条标题"/>
    <w:basedOn w:val="45"/>
    <w:next w:val="1"/>
    <w:qFormat/>
    <w:uiPriority w:val="0"/>
    <w:pPr>
      <w:numPr>
        <w:ilvl w:val="6"/>
      </w:numPr>
      <w:outlineLvl w:val="6"/>
    </w:pPr>
  </w:style>
  <w:style w:type="character" w:customStyle="1" w:styleId="51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styleId="52">
    <w:name w:val="List Paragraph"/>
    <w:basedOn w:val="1"/>
    <w:qFormat/>
    <w:uiPriority w:val="34"/>
    <w:pPr>
      <w:adjustRightInd/>
      <w:spacing w:line="240" w:lineRule="auto"/>
      <w:ind w:firstLine="420" w:firstLineChars="200"/>
      <w:textAlignment w:val="auto"/>
    </w:pPr>
    <w:rPr>
      <w:rFonts w:ascii="Calibri" w:hAnsi="Calibri" w:eastAsia="宋体" w:cs="Times New Roman"/>
      <w:szCs w:val="22"/>
    </w:rPr>
  </w:style>
  <w:style w:type="paragraph" w:customStyle="1" w:styleId="53">
    <w:name w:val="章"/>
    <w:basedOn w:val="3"/>
    <w:qFormat/>
    <w:uiPriority w:val="0"/>
    <w:pPr>
      <w:adjustRightInd/>
      <w:spacing w:line="415" w:lineRule="auto"/>
      <w:textAlignment w:val="auto"/>
    </w:pPr>
    <w:rPr>
      <w:rFonts w:eastAsia="黑体"/>
      <w:b w:val="0"/>
      <w:sz w:val="21"/>
    </w:rPr>
  </w:style>
  <w:style w:type="paragraph" w:customStyle="1" w:styleId="54">
    <w:name w:val="标准文件_注："/>
    <w:next w:val="55"/>
    <w:qFormat/>
    <w:uiPriority w:val="0"/>
    <w:pPr>
      <w:widowControl w:val="0"/>
      <w:numPr>
        <w:ilvl w:val="0"/>
        <w:numId w:val="3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标准文件_段"/>
    <w:qFormat/>
    <w:uiPriority w:val="0"/>
    <w:pPr>
      <w:autoSpaceDE w:val="0"/>
      <w:autoSpaceDN w:val="0"/>
      <w:spacing w:line="320" w:lineRule="exact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标准文件_章标题"/>
    <w:next w:val="55"/>
    <w:qFormat/>
    <w:uiPriority w:val="0"/>
    <w:pPr>
      <w:numPr>
        <w:ilvl w:val="1"/>
        <w:numId w:val="4"/>
      </w:numPr>
      <w:spacing w:before="100" w:beforeLines="100" w:after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7">
    <w:name w:val="标准文件_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标准文件_二级无标题"/>
    <w:basedOn w:val="59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59">
    <w:name w:val="标准文件_二级条标题"/>
    <w:next w:val="55"/>
    <w:qFormat/>
    <w:uiPriority w:val="0"/>
    <w:pPr>
      <w:widowControl w:val="0"/>
      <w:numPr>
        <w:ilvl w:val="3"/>
        <w:numId w:val="4"/>
      </w:numPr>
      <w:spacing w:before="50" w:beforeLines="50" w:after="50" w:afterLines="50"/>
      <w:ind w:left="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0">
    <w:name w:val="标准文件_术语条一"/>
    <w:basedOn w:val="61"/>
    <w:next w:val="55"/>
    <w:qFormat/>
    <w:uiPriority w:val="0"/>
    <w:rPr>
      <w:rFonts w:ascii="黑体" w:hAnsi="黑体" w:eastAsia="黑体"/>
    </w:rPr>
  </w:style>
  <w:style w:type="paragraph" w:customStyle="1" w:styleId="61">
    <w:name w:val="标准文件_一级无标题"/>
    <w:basedOn w:val="62"/>
    <w:qFormat/>
    <w:uiPriority w:val="0"/>
    <w:pPr>
      <w:outlineLvl w:val="9"/>
    </w:pPr>
    <w:rPr>
      <w:rFonts w:ascii="宋体" w:eastAsia="宋体"/>
    </w:rPr>
  </w:style>
  <w:style w:type="paragraph" w:customStyle="1" w:styleId="62">
    <w:name w:val="标准文件_一级条标题"/>
    <w:basedOn w:val="56"/>
    <w:next w:val="55"/>
    <w:qFormat/>
    <w:uiPriority w:val="0"/>
    <w:pPr>
      <w:numPr>
        <w:ilvl w:val="2"/>
      </w:numPr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chinadairy</Company>
  <Pages>5</Pages>
  <Words>2167</Words>
  <Characters>2358</Characters>
  <Lines>28</Lines>
  <Paragraphs>7</Paragraphs>
  <TotalTime>2</TotalTime>
  <ScaleCrop>false</ScaleCrop>
  <LinksUpToDate>false</LinksUpToDate>
  <CharactersWithSpaces>2433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2021-08-31T09:37:00Z</dcterms:created>
  <dc:creator>chinadairy</dc:creator>
  <cp:lastModifiedBy>李庆</cp:lastModifiedBy>
  <cp:lastPrinted>2021-09-17T07:37:00Z</cp:lastPrinted>
  <dcterms:modified xsi:type="dcterms:W3CDTF">2024-06-27T17:34:03Z</dcterms:modified>
  <dc:title>“乳粉” 编制说明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46cf5539-65d4-41e3-97c9-d05aa531e336</vt:lpwstr>
  </property>
  <property fmtid="{D5CDD505-2E9C-101B-9397-08002B2CF9AE}" pid="3" name="aliashBlankHTML">
    <vt:lpwstr>Dow Corning</vt:lpwstr>
  </property>
  <property fmtid="{D5CDD505-2E9C-101B-9397-08002B2CF9AE}" pid="4" name="KSOProductBuildVer">
    <vt:lpwstr>2052-11.8.2.11958</vt:lpwstr>
  </property>
  <property fmtid="{D5CDD505-2E9C-101B-9397-08002B2CF9AE}" pid="5" name="IAM_LGL_ENTITY">
    <vt:lpwstr>Dow Corning</vt:lpwstr>
  </property>
  <property fmtid="{D5CDD505-2E9C-101B-9397-08002B2CF9AE}" pid="6" name="IAM_SECURITY_CLASS">
    <vt:lpwstr>Non-Classified</vt:lpwstr>
  </property>
  <property fmtid="{D5CDD505-2E9C-101B-9397-08002B2CF9AE}" pid="7" name="ICV">
    <vt:lpwstr>A9855D519FB9289E958E736673710EF3</vt:lpwstr>
  </property>
</Properties>
</file>