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rPr>
        <w:t>食品安全</w:t>
      </w:r>
      <w:r>
        <w:rPr>
          <w:rFonts w:hint="eastAsia" w:ascii="黑体" w:hAnsi="黑体" w:eastAsia="黑体" w:cs="黑体"/>
          <w:b w:val="0"/>
          <w:bCs w:val="0"/>
          <w:sz w:val="32"/>
          <w:szCs w:val="32"/>
          <w:highlight w:val="none"/>
          <w:lang w:val="en-US" w:eastAsia="zh-CN"/>
        </w:rPr>
        <w:t>地方</w:t>
      </w:r>
      <w:r>
        <w:rPr>
          <w:rFonts w:hint="eastAsia" w:ascii="黑体" w:hAnsi="黑体" w:eastAsia="黑体" w:cs="黑体"/>
          <w:b w:val="0"/>
          <w:bCs w:val="0"/>
          <w:sz w:val="32"/>
          <w:szCs w:val="32"/>
          <w:highlight w:val="none"/>
        </w:rPr>
        <w:t>标准</w:t>
      </w:r>
      <w:r>
        <w:rPr>
          <w:rFonts w:hint="eastAsia" w:ascii="黑体" w:hAnsi="黑体" w:eastAsia="黑体" w:cs="黑体"/>
          <w:b w:val="0"/>
          <w:bCs w:val="0"/>
          <w:sz w:val="32"/>
          <w:szCs w:val="32"/>
          <w:highlight w:val="none"/>
          <w:lang w:val="en-US" w:eastAsia="zh-CN"/>
        </w:rPr>
        <w:t xml:space="preserve"> 牡丹木槿花》编制说明</w:t>
      </w:r>
    </w:p>
    <w:p>
      <w:pPr>
        <w:jc w:val="cente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（征求意见稿）</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default" w:ascii="宋体" w:hAnsi="宋体" w:eastAsia="宋体" w:cs="宋体"/>
          <w:b/>
          <w:bCs/>
          <w:kern w:val="2"/>
          <w:sz w:val="28"/>
          <w:szCs w:val="28"/>
          <w:highlight w:val="none"/>
          <w:lang w:val="en-US" w:eastAsia="zh-CN" w:bidi="ar-SA"/>
        </w:rPr>
      </w:pPr>
      <w:r>
        <w:rPr>
          <w:rFonts w:hint="default" w:ascii="宋体" w:hAnsi="宋体" w:eastAsia="宋体" w:cs="宋体"/>
          <w:b/>
          <w:bCs/>
          <w:kern w:val="2"/>
          <w:sz w:val="28"/>
          <w:szCs w:val="28"/>
          <w:highlight w:val="none"/>
          <w:lang w:val="en-US" w:eastAsia="zh-CN" w:bidi="ar-SA"/>
        </w:rPr>
        <w:t>一、标准制定背景</w:t>
      </w:r>
    </w:p>
    <w:p>
      <w:pPr>
        <w:pageBreakBefore w:val="0"/>
        <w:widowControl w:val="0"/>
        <w:wordWrap w:val="0"/>
        <w:bidi w:val="0"/>
        <w:spacing w:line="360" w:lineRule="auto"/>
        <w:ind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木槿别称“懒家柳”，是集食用、观赏、绿化为一体的生态经济木本植物。全世界有木槿属植物200余种（《中国树木志》第三卷），在我省各地有大规模种植牡丹木槿，其花景观价值高，花期长（5月-10月）、花量大；食用价值高，营养丰富、口感细腻，得到人民的喜爱。牡丹木槿花平均一亩可收入1万元左右，能为当地百姓提高经济收入。</w:t>
      </w:r>
      <w:r>
        <w:rPr>
          <w:rFonts w:hint="eastAsia" w:ascii="宋体" w:hAnsi="宋体" w:cs="宋体"/>
          <w:kern w:val="2"/>
          <w:sz w:val="28"/>
          <w:szCs w:val="28"/>
          <w:highlight w:val="none"/>
          <w:lang w:val="en-US" w:eastAsia="zh-CN" w:bidi="ar-SA"/>
        </w:rPr>
        <w:t>在湖南</w:t>
      </w:r>
      <w:r>
        <w:rPr>
          <w:rFonts w:hint="eastAsia" w:ascii="宋体" w:hAnsi="宋体" w:eastAsia="宋体" w:cs="宋体"/>
          <w:kern w:val="2"/>
          <w:sz w:val="28"/>
          <w:szCs w:val="28"/>
          <w:highlight w:val="none"/>
          <w:lang w:val="en-US" w:eastAsia="zh-CN" w:bidi="ar-SA"/>
        </w:rPr>
        <w:t>牡丹木槿种植面积</w:t>
      </w:r>
      <w:r>
        <w:rPr>
          <w:rFonts w:hint="eastAsia" w:ascii="宋体" w:hAnsi="宋体" w:cs="宋体"/>
          <w:kern w:val="2"/>
          <w:sz w:val="28"/>
          <w:szCs w:val="28"/>
          <w:highlight w:val="none"/>
          <w:lang w:val="en-US" w:eastAsia="zh-CN" w:bidi="ar-SA"/>
        </w:rPr>
        <w:t>约五万</w:t>
      </w:r>
      <w:r>
        <w:rPr>
          <w:rFonts w:hint="eastAsia" w:ascii="宋体" w:hAnsi="宋体" w:eastAsia="宋体" w:cs="宋体"/>
          <w:kern w:val="2"/>
          <w:sz w:val="28"/>
          <w:szCs w:val="28"/>
          <w:highlight w:val="none"/>
          <w:lang w:val="en-US" w:eastAsia="zh-CN" w:bidi="ar-SA"/>
        </w:rPr>
        <w:t>多亩，鲜花年产量</w:t>
      </w:r>
      <w:r>
        <w:rPr>
          <w:rFonts w:hint="eastAsia" w:ascii="宋体" w:hAnsi="宋体" w:cs="宋体"/>
          <w:kern w:val="2"/>
          <w:sz w:val="28"/>
          <w:szCs w:val="28"/>
          <w:highlight w:val="none"/>
          <w:lang w:val="en-US" w:eastAsia="zh-CN" w:bidi="ar-SA"/>
        </w:rPr>
        <w:t>50</w:t>
      </w:r>
      <w:r>
        <w:rPr>
          <w:rFonts w:hint="eastAsia" w:ascii="宋体" w:hAnsi="宋体" w:eastAsia="宋体" w:cs="宋体"/>
          <w:kern w:val="2"/>
          <w:sz w:val="28"/>
          <w:szCs w:val="28"/>
          <w:highlight w:val="none"/>
          <w:lang w:val="en-US" w:eastAsia="zh-CN" w:bidi="ar-SA"/>
        </w:rPr>
        <w:t>000吨（按1吨/亩计算），</w:t>
      </w:r>
      <w:r>
        <w:rPr>
          <w:rFonts w:hint="eastAsia" w:ascii="宋体" w:hAnsi="宋体" w:cs="宋体"/>
          <w:kern w:val="2"/>
          <w:sz w:val="28"/>
          <w:szCs w:val="28"/>
          <w:highlight w:val="none"/>
          <w:lang w:val="en-US" w:eastAsia="zh-CN" w:bidi="ar-SA"/>
        </w:rPr>
        <w:t>已初步</w:t>
      </w:r>
      <w:r>
        <w:rPr>
          <w:rFonts w:hint="eastAsia" w:ascii="宋体" w:hAnsi="宋体" w:eastAsia="宋体" w:cs="宋体"/>
          <w:kern w:val="2"/>
          <w:sz w:val="28"/>
          <w:szCs w:val="28"/>
          <w:highlight w:val="none"/>
          <w:lang w:val="en-US" w:eastAsia="zh-CN" w:bidi="ar-SA"/>
        </w:rPr>
        <w:t>形成了以牡丹木槿花茶、花饼、花面、花酒、全花宴、奶茶、咖啡等综合性食品产业体系。</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由于牡丹木槿花目前没有对其食品属性进行</w:t>
      </w:r>
      <w:r>
        <w:rPr>
          <w:rFonts w:hint="eastAsia" w:ascii="宋体" w:hAnsi="宋体" w:cs="宋体"/>
          <w:kern w:val="2"/>
          <w:sz w:val="28"/>
          <w:szCs w:val="28"/>
          <w:highlight w:val="none"/>
          <w:lang w:val="en-US" w:eastAsia="zh-CN" w:bidi="ar-SA"/>
        </w:rPr>
        <w:t>认定</w:t>
      </w:r>
      <w:r>
        <w:rPr>
          <w:rFonts w:hint="eastAsia" w:ascii="宋体" w:hAnsi="宋体" w:eastAsia="宋体" w:cs="宋体"/>
          <w:kern w:val="2"/>
          <w:sz w:val="28"/>
          <w:szCs w:val="28"/>
          <w:highlight w:val="none"/>
          <w:lang w:val="en-US" w:eastAsia="zh-CN" w:bidi="ar-SA"/>
        </w:rPr>
        <w:t>，其价值未得到充分的开发，牡丹木槿花因此存在市场流通问题，阻碍了当地农民脱贫致富的发展。故对其食品属性进行</w:t>
      </w:r>
      <w:r>
        <w:rPr>
          <w:rFonts w:hint="eastAsia" w:ascii="宋体" w:hAnsi="宋体" w:cs="宋体"/>
          <w:kern w:val="2"/>
          <w:sz w:val="28"/>
          <w:szCs w:val="28"/>
          <w:highlight w:val="none"/>
          <w:lang w:val="en-US" w:eastAsia="zh-CN" w:bidi="ar-SA"/>
        </w:rPr>
        <w:t>认定</w:t>
      </w:r>
      <w:r>
        <w:rPr>
          <w:rFonts w:hint="eastAsia" w:ascii="宋体" w:hAnsi="宋体" w:eastAsia="宋体" w:cs="宋体"/>
          <w:kern w:val="2"/>
          <w:sz w:val="28"/>
          <w:szCs w:val="28"/>
          <w:highlight w:val="none"/>
          <w:lang w:val="en-US" w:eastAsia="zh-CN" w:bidi="ar-SA"/>
        </w:rPr>
        <w:t>，可为当地产业发展拓宽路子，合理开发利用牡丹木槿资源，提高牡丹木槿种植业经济效益，促进牡丹木槿产业可持续发展具有重要意义。为解决牡丹木槿花在市场流通方面的阻碍，保障人民身体健康，提升产品质量，让监管有据可依，也为更好地开发利用湖南省的这一特色产品，提高牡丹木槿花种植业的经济效益，促进牡丹木槿花产业可持续发展，特制定《湖南省食品安全地方标准 牡丹木槿花》。</w:t>
      </w:r>
    </w:p>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default"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二、牡丹木槿花的地</w:t>
      </w:r>
      <w:r>
        <w:rPr>
          <w:rFonts w:hint="eastAsia" w:ascii="宋体" w:hAnsi="宋体" w:cs="宋体"/>
          <w:b/>
          <w:bCs/>
          <w:kern w:val="2"/>
          <w:sz w:val="28"/>
          <w:szCs w:val="28"/>
          <w:highlight w:val="none"/>
          <w:lang w:val="en-US" w:eastAsia="zh-CN" w:bidi="ar-SA"/>
        </w:rPr>
        <w:t>方</w:t>
      </w:r>
      <w:r>
        <w:rPr>
          <w:rFonts w:hint="eastAsia" w:ascii="宋体" w:hAnsi="宋体" w:eastAsia="宋体" w:cs="宋体"/>
          <w:b/>
          <w:bCs/>
          <w:kern w:val="2"/>
          <w:sz w:val="28"/>
          <w:szCs w:val="28"/>
          <w:highlight w:val="none"/>
          <w:lang w:val="en-US" w:eastAsia="zh-CN" w:bidi="ar-SA"/>
        </w:rPr>
        <w:t>特色</w:t>
      </w:r>
    </w:p>
    <w:p>
      <w:pPr>
        <w:pageBreakBefore w:val="0"/>
        <w:widowControl w:val="0"/>
        <w:wordWrap w:val="0"/>
        <w:bidi w:val="0"/>
        <w:spacing w:line="360" w:lineRule="auto"/>
        <w:ind w:left="0" w:leftChars="0"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牡丹木槿花为湖南地域性特色植物，在各市各地拥有悠久的种植历史和应用传统。牡丹木槿从花朵的观赏，到食用开发，再到乡村农文旅融合发展，促成牡丹木槿花在湖南不仅可供观赏，而且成了一种特色产业，成了湖南的特色区域品牌。</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通过文献查找发现木槿</w:t>
      </w:r>
      <w:r>
        <w:rPr>
          <w:rFonts w:hint="eastAsia" w:ascii="宋体" w:hAnsi="宋体" w:cs="宋体"/>
          <w:kern w:val="2"/>
          <w:sz w:val="28"/>
          <w:szCs w:val="28"/>
          <w:highlight w:val="none"/>
          <w:lang w:val="en-US" w:eastAsia="zh-CN" w:bidi="ar-SA"/>
        </w:rPr>
        <w:t>花</w:t>
      </w:r>
      <w:r>
        <w:rPr>
          <w:rFonts w:hint="eastAsia" w:ascii="宋体" w:hAnsi="宋体" w:eastAsia="宋体" w:cs="宋体"/>
          <w:kern w:val="2"/>
          <w:sz w:val="28"/>
          <w:szCs w:val="28"/>
          <w:highlight w:val="none"/>
          <w:lang w:val="en-US" w:eastAsia="zh-CN" w:bidi="ar-SA"/>
        </w:rPr>
        <w:t>历史文化悠久，早在《诗经》中就有煮食木槿花的吃法，西汉《尔雅·释草》中记载“华朝生夕陨，可食”。晋朝顾徽《广州记》记载，“平兴县有华树似有似桑，四时长有花，可食，甜滑无子，此葬木(即木槿花)也”。《外国图》载“君子之国多木槿之花，人民食之”。唐·昝殷的《食医心鉴》收有“煮木花方”即“木槿花1斤，以少豉汁和椒盐葱白煮令熟，空腹食之。治五痔下血不止”。</w:t>
      </w:r>
    </w:p>
    <w:p>
      <w:pPr>
        <w:pageBreakBefore w:val="0"/>
        <w:widowControl w:val="0"/>
        <w:wordWrap w:val="0"/>
        <w:bidi w:val="0"/>
        <w:spacing w:line="360" w:lineRule="auto"/>
        <w:ind w:left="0" w:leftChars="0"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对我省的县志进行查找，牡丹木槿花在我省的多个地方志都有食用记载，如：益阳的资阳区、赫山区，娄底市，湘潭的湘乡市等。其中益阳资阳区人民政府和赫山区人民政府分别出具的《牡丹木槿花的食用历史证明》中，均证明牡丹木槿花在当地有90年的食用历史</w:t>
      </w:r>
      <w:r>
        <w:rPr>
          <w:rFonts w:hint="eastAsia" w:ascii="宋体" w:hAnsi="宋体" w:cs="宋体"/>
          <w:kern w:val="2"/>
          <w:sz w:val="28"/>
          <w:szCs w:val="28"/>
          <w:highlight w:val="none"/>
          <w:lang w:val="en-US" w:eastAsia="zh-CN" w:bidi="ar-SA"/>
        </w:rPr>
        <w:t>（见附件三）</w:t>
      </w:r>
      <w:r>
        <w:rPr>
          <w:rFonts w:hint="eastAsia" w:ascii="宋体" w:hAnsi="宋体" w:eastAsia="宋体" w:cs="宋体"/>
          <w:kern w:val="2"/>
          <w:sz w:val="28"/>
          <w:szCs w:val="28"/>
          <w:highlight w:val="none"/>
          <w:lang w:val="en-US" w:eastAsia="zh-CN" w:bidi="ar-SA"/>
        </w:rPr>
        <w:t>；娄底市人民政府办公室出具的《证明》中，证明1997年的《娄底地区志》记载:娄底地区食用植物中，以嫩叶代菜或以花、花托、序托作菜或食用的品种有木槿花，经娄底市农业农村局相关科室调查了解，娄底市域的主栽木槿花品种为牡丹木槿花，同时该品种为娄底居民食用最多的木槿花品种</w:t>
      </w:r>
      <w:r>
        <w:rPr>
          <w:rFonts w:hint="eastAsia" w:ascii="宋体" w:hAnsi="宋体" w:cs="宋体"/>
          <w:kern w:val="2"/>
          <w:sz w:val="28"/>
          <w:szCs w:val="28"/>
          <w:highlight w:val="none"/>
          <w:lang w:val="en-US" w:eastAsia="zh-CN" w:bidi="ar-SA"/>
        </w:rPr>
        <w:t>（见附件三）</w:t>
      </w:r>
      <w:r>
        <w:rPr>
          <w:rFonts w:hint="eastAsia" w:ascii="宋体" w:hAnsi="宋体" w:eastAsia="宋体" w:cs="宋体"/>
          <w:kern w:val="2"/>
          <w:sz w:val="28"/>
          <w:szCs w:val="28"/>
          <w:highlight w:val="none"/>
          <w:lang w:val="en-US" w:eastAsia="zh-CN" w:bidi="ar-SA"/>
        </w:rPr>
        <w:t>；另外，1993年的《湘乡县志》中，记载湘乡县地区主要蔬菜种类中含有木槿花，通过调研确定当地木槿花主要品种为牡丹木槿花。</w:t>
      </w:r>
    </w:p>
    <w:p>
      <w:pPr>
        <w:pageBreakBefore w:val="0"/>
        <w:widowControl w:val="0"/>
        <w:wordWrap w:val="0"/>
        <w:bidi w:val="0"/>
        <w:spacing w:line="360" w:lineRule="auto"/>
        <w:ind w:left="0" w:leftChars="0"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目前</w:t>
      </w:r>
      <w:r>
        <w:rPr>
          <w:rFonts w:hint="eastAsia" w:ascii="宋体" w:hAnsi="宋体" w:eastAsia="宋体" w:cs="宋体"/>
          <w:kern w:val="2"/>
          <w:sz w:val="28"/>
          <w:szCs w:val="28"/>
          <w:highlight w:val="none"/>
          <w:lang w:val="en-US" w:eastAsia="zh-CN" w:bidi="ar-SA"/>
        </w:rPr>
        <w:t>在我省，牡丹木槿花的</w:t>
      </w:r>
      <w:r>
        <w:rPr>
          <w:rFonts w:hint="eastAsia" w:ascii="宋体" w:hAnsi="宋体" w:cs="宋体"/>
          <w:kern w:val="2"/>
          <w:sz w:val="28"/>
          <w:szCs w:val="28"/>
          <w:highlight w:val="none"/>
          <w:lang w:val="en-US" w:eastAsia="zh-CN" w:bidi="ar-SA"/>
        </w:rPr>
        <w:t>食用人群广泛，</w:t>
      </w:r>
      <w:r>
        <w:rPr>
          <w:rFonts w:hint="eastAsia" w:ascii="宋体" w:hAnsi="宋体" w:eastAsia="宋体" w:cs="宋体"/>
          <w:kern w:val="2"/>
          <w:sz w:val="28"/>
          <w:szCs w:val="28"/>
          <w:highlight w:val="none"/>
          <w:lang w:val="en-US" w:eastAsia="zh-CN" w:bidi="ar-SA"/>
        </w:rPr>
        <w:t>食用方式多样，有</w:t>
      </w:r>
      <w:r>
        <w:rPr>
          <w:rFonts w:hint="eastAsia" w:ascii="宋体" w:hAnsi="宋体" w:cs="宋体"/>
          <w:kern w:val="2"/>
          <w:sz w:val="28"/>
          <w:szCs w:val="28"/>
          <w:highlight w:val="none"/>
          <w:lang w:val="en-US" w:eastAsia="zh-CN" w:bidi="ar-SA"/>
        </w:rPr>
        <w:t>主食、糕点、</w:t>
      </w:r>
      <w:r>
        <w:rPr>
          <w:rFonts w:hint="eastAsia" w:ascii="宋体" w:hAnsi="宋体" w:eastAsia="宋体" w:cs="宋体"/>
          <w:kern w:val="2"/>
          <w:sz w:val="28"/>
          <w:szCs w:val="28"/>
          <w:highlight w:val="none"/>
          <w:lang w:val="en-US" w:eastAsia="zh-CN" w:bidi="ar-SA"/>
        </w:rPr>
        <w:t>泡水</w:t>
      </w:r>
      <w:r>
        <w:rPr>
          <w:rFonts w:hint="eastAsia" w:ascii="宋体" w:hAnsi="宋体" w:cs="宋体"/>
          <w:kern w:val="2"/>
          <w:sz w:val="28"/>
          <w:szCs w:val="28"/>
          <w:highlight w:val="none"/>
          <w:lang w:val="en-US" w:eastAsia="zh-CN" w:bidi="ar-SA"/>
        </w:rPr>
        <w:t>、菜肴</w:t>
      </w:r>
      <w:r>
        <w:rPr>
          <w:rFonts w:hint="eastAsia" w:ascii="宋体" w:hAnsi="宋体" w:eastAsia="宋体" w:cs="宋体"/>
          <w:kern w:val="2"/>
          <w:sz w:val="28"/>
          <w:szCs w:val="28"/>
          <w:highlight w:val="none"/>
          <w:lang w:val="en-US" w:eastAsia="zh-CN" w:bidi="ar-SA"/>
        </w:rPr>
        <w:t>(爆炒、火锅、炖汤、凉拌</w:t>
      </w:r>
      <w:r>
        <w:rPr>
          <w:rFonts w:hint="eastAsia" w:ascii="宋体" w:hAnsi="宋体" w:cs="宋体"/>
          <w:kern w:val="2"/>
          <w:sz w:val="28"/>
          <w:szCs w:val="28"/>
          <w:highlight w:val="none"/>
          <w:lang w:val="en-US" w:eastAsia="zh-CN" w:bidi="ar-SA"/>
        </w:rPr>
        <w:t>）、泡酒等</w:t>
      </w:r>
      <w:r>
        <w:rPr>
          <w:rFonts w:hint="eastAsia" w:ascii="宋体" w:hAnsi="宋体" w:eastAsia="宋体" w:cs="宋体"/>
          <w:kern w:val="2"/>
          <w:sz w:val="28"/>
          <w:szCs w:val="28"/>
          <w:highlight w:val="none"/>
          <w:lang w:val="en-US" w:eastAsia="zh-CN" w:bidi="ar-SA"/>
        </w:rPr>
        <w:t>。</w:t>
      </w:r>
      <w:r>
        <w:rPr>
          <w:rFonts w:hint="eastAsia" w:ascii="宋体" w:hAnsi="宋体" w:cs="宋体"/>
          <w:kern w:val="2"/>
          <w:sz w:val="28"/>
          <w:szCs w:val="28"/>
          <w:highlight w:val="none"/>
          <w:lang w:val="en-US" w:eastAsia="zh-CN" w:bidi="ar-SA"/>
        </w:rPr>
        <w:t>见下图。</w:t>
      </w:r>
    </w:p>
    <w:p>
      <w:pPr>
        <w:pageBreakBefore w:val="0"/>
        <w:widowControl w:val="0"/>
        <w:wordWrap w:val="0"/>
        <w:bidi w:val="0"/>
        <w:spacing w:line="360" w:lineRule="auto"/>
        <w:ind w:left="0" w:leftChars="0" w:firstLine="560" w:firstLineChars="200"/>
        <w:jc w:val="left"/>
        <w:rPr>
          <w:rFonts w:hint="eastAsia" w:ascii="宋体" w:hAnsi="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牡丹木槿花花饼是以牡丹木槿花鲜花为馅料做成的主食、糕点(饼和面包)，见图1。</w:t>
      </w:r>
    </w:p>
    <w:p>
      <w:pPr>
        <w:pageBreakBefore w:val="0"/>
        <w:widowControl w:val="0"/>
        <w:wordWrap w:val="0"/>
        <w:bidi w:val="0"/>
        <w:spacing w:line="360" w:lineRule="auto"/>
        <w:ind w:left="0" w:leftChars="0" w:firstLine="480" w:firstLineChars="200"/>
        <w:jc w:val="center"/>
        <w:rPr>
          <w:rFonts w:hint="default" w:ascii="宋体" w:hAnsi="宋体" w:eastAsia="宋体" w:cs="宋体"/>
          <w:kern w:val="2"/>
          <w:sz w:val="28"/>
          <w:szCs w:val="28"/>
          <w:highlight w:val="none"/>
          <w:lang w:val="en-US" w:eastAsia="zh-CN" w:bidi="ar-SA"/>
        </w:rPr>
      </w:pPr>
      <w:r>
        <w:rPr>
          <w:rFonts w:hint="default"/>
          <w:vertAlign w:val="superscript"/>
          <w:lang w:val="en-US" w:eastAsia="zh-CN"/>
        </w:rPr>
        <w:drawing>
          <wp:anchor distT="0" distB="0" distL="114300" distR="114300" simplePos="0" relativeHeight="251666432" behindDoc="0" locked="0" layoutInCell="1" allowOverlap="1">
            <wp:simplePos x="0" y="0"/>
            <wp:positionH relativeFrom="column">
              <wp:posOffset>2945130</wp:posOffset>
            </wp:positionH>
            <wp:positionV relativeFrom="page">
              <wp:posOffset>2390775</wp:posOffset>
            </wp:positionV>
            <wp:extent cx="1332230" cy="1544320"/>
            <wp:effectExtent l="0" t="0" r="1270" b="17780"/>
            <wp:wrapTopAndBottom/>
            <wp:docPr id="18" name="图片 183" descr="木槿花蛋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3" descr="木槿花蛋挞"/>
                    <pic:cNvPicPr>
                      <a:picLocks noChangeAspect="1"/>
                    </pic:cNvPicPr>
                  </pic:nvPicPr>
                  <pic:blipFill>
                    <a:blip r:embed="rId5"/>
                    <a:srcRect b="5351"/>
                    <a:stretch>
                      <a:fillRect/>
                    </a:stretch>
                  </pic:blipFill>
                  <pic:spPr>
                    <a:xfrm>
                      <a:off x="0" y="0"/>
                      <a:ext cx="1332230" cy="1544320"/>
                    </a:xfrm>
                    <a:prstGeom prst="rect">
                      <a:avLst/>
                    </a:prstGeom>
                    <a:noFill/>
                    <a:ln>
                      <a:noFill/>
                    </a:ln>
                  </pic:spPr>
                </pic:pic>
              </a:graphicData>
            </a:graphic>
          </wp:anchor>
        </w:drawing>
      </w:r>
      <w:r>
        <w:rPr>
          <w:rStyle w:val="16"/>
          <w:rFonts w:hint="default" w:ascii="Times New Roman" w:hAnsi="Times New Roman" w:eastAsia="宋体" w:cs="Times New Roman"/>
          <w:lang w:val="en-US" w:eastAsia="zh-CN"/>
        </w:rPr>
        <w:drawing>
          <wp:anchor distT="0" distB="0" distL="114300" distR="114300" simplePos="0" relativeHeight="251665408" behindDoc="0" locked="0" layoutInCell="1" allowOverlap="1">
            <wp:simplePos x="0" y="0"/>
            <wp:positionH relativeFrom="column">
              <wp:posOffset>698500</wp:posOffset>
            </wp:positionH>
            <wp:positionV relativeFrom="page">
              <wp:posOffset>2371090</wp:posOffset>
            </wp:positionV>
            <wp:extent cx="2073910" cy="1555750"/>
            <wp:effectExtent l="0" t="0" r="2540" b="6350"/>
            <wp:wrapTopAndBottom/>
            <wp:docPr id="19" name="图片 187" descr="木槿花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7" descr="木槿花饼1"/>
                    <pic:cNvPicPr>
                      <a:picLocks noChangeAspect="1"/>
                    </pic:cNvPicPr>
                  </pic:nvPicPr>
                  <pic:blipFill>
                    <a:blip r:embed="rId6"/>
                    <a:stretch>
                      <a:fillRect/>
                    </a:stretch>
                  </pic:blipFill>
                  <pic:spPr>
                    <a:xfrm>
                      <a:off x="0" y="0"/>
                      <a:ext cx="2073910" cy="1555750"/>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图1 牡丹木槿花饼和</w:t>
      </w:r>
      <w:r>
        <w:rPr>
          <w:rFonts w:hint="eastAsia" w:ascii="Times New Roman" w:eastAsia="宋体"/>
          <w:lang w:val="en-US" w:eastAsia="zh-CN"/>
        </w:rPr>
        <w:t>蛋挞</w:t>
      </w:r>
    </w:p>
    <w:p>
      <w:pPr>
        <w:pageBreakBefore w:val="0"/>
        <w:widowControl w:val="0"/>
        <w:wordWrap w:val="0"/>
        <w:bidi w:val="0"/>
        <w:spacing w:line="360" w:lineRule="auto"/>
        <w:ind w:left="0" w:leftChars="0" w:firstLine="560" w:firstLineChars="200"/>
        <w:jc w:val="left"/>
        <w:rPr>
          <w:rFonts w:hint="default" w:ascii="宋体" w:hAnsi="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牡丹木槿花茶是以牡丹木槿花的花朵为原料制成的代用茶产品，见图2。</w:t>
      </w:r>
    </w:p>
    <w:p>
      <w:pPr>
        <w:pageBreakBefore w:val="0"/>
        <w:widowControl w:val="0"/>
        <w:wordWrap w:val="0"/>
        <w:bidi w:val="0"/>
        <w:spacing w:line="360" w:lineRule="auto"/>
        <w:ind w:left="0" w:leftChars="0" w:firstLine="480" w:firstLineChars="200"/>
        <w:jc w:val="center"/>
        <w:rPr>
          <w:rFonts w:hint="eastAsia" w:ascii="宋体" w:hAnsi="宋体" w:cs="宋体"/>
          <w:kern w:val="2"/>
          <w:sz w:val="28"/>
          <w:szCs w:val="28"/>
          <w:highlight w:val="none"/>
          <w:lang w:val="en-US" w:eastAsia="zh-CN" w:bidi="ar-SA"/>
        </w:rPr>
      </w:pPr>
      <w:r>
        <w:rPr>
          <w:rFonts w:hint="default"/>
          <w:lang w:val="en-US" w:eastAsia="zh-CN"/>
        </w:rPr>
        <w:drawing>
          <wp:anchor distT="0" distB="0" distL="114300" distR="114300" simplePos="0" relativeHeight="251667456" behindDoc="0" locked="0" layoutInCell="1" allowOverlap="1">
            <wp:simplePos x="0" y="0"/>
            <wp:positionH relativeFrom="column">
              <wp:posOffset>702945</wp:posOffset>
            </wp:positionH>
            <wp:positionV relativeFrom="page">
              <wp:posOffset>5407660</wp:posOffset>
            </wp:positionV>
            <wp:extent cx="1837055" cy="1139190"/>
            <wp:effectExtent l="0" t="0" r="10795" b="3810"/>
            <wp:wrapTopAndBottom/>
            <wp:docPr id="20" name="图片 27" descr="ef906d359fb5c99d7ac67d3c48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ef906d359fb5c99d7ac67d3c4892016"/>
                    <pic:cNvPicPr>
                      <a:picLocks noChangeAspect="1"/>
                    </pic:cNvPicPr>
                  </pic:nvPicPr>
                  <pic:blipFill>
                    <a:blip r:embed="rId7"/>
                    <a:stretch>
                      <a:fillRect/>
                    </a:stretch>
                  </pic:blipFill>
                  <pic:spPr>
                    <a:xfrm>
                      <a:off x="0" y="0"/>
                      <a:ext cx="1837055" cy="1139190"/>
                    </a:xfrm>
                    <a:prstGeom prst="rect">
                      <a:avLst/>
                    </a:prstGeom>
                    <a:noFill/>
                    <a:ln>
                      <a:noFill/>
                    </a:ln>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2671445</wp:posOffset>
            </wp:positionH>
            <wp:positionV relativeFrom="page">
              <wp:posOffset>5401310</wp:posOffset>
            </wp:positionV>
            <wp:extent cx="1759585" cy="1131570"/>
            <wp:effectExtent l="0" t="0" r="12065" b="11430"/>
            <wp:wrapTopAndBottom/>
            <wp:docPr id="21" name="图片 28" descr="250a18ed68c5a640979a29f4913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250a18ed68c5a640979a29f491380b1"/>
                    <pic:cNvPicPr>
                      <a:picLocks noChangeAspect="1"/>
                    </pic:cNvPicPr>
                  </pic:nvPicPr>
                  <pic:blipFill>
                    <a:blip r:embed="rId8"/>
                    <a:stretch>
                      <a:fillRect/>
                    </a:stretch>
                  </pic:blipFill>
                  <pic:spPr>
                    <a:xfrm>
                      <a:off x="0" y="0"/>
                      <a:ext cx="1759585" cy="1131570"/>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图2 牡丹木槿花茶</w:t>
      </w:r>
    </w:p>
    <w:p>
      <w:pPr>
        <w:pageBreakBefore w:val="0"/>
        <w:widowControl w:val="0"/>
        <w:wordWrap w:val="0"/>
        <w:bidi w:val="0"/>
        <w:spacing w:line="360" w:lineRule="auto"/>
        <w:ind w:left="0" w:leftChars="0" w:firstLine="480" w:firstLineChars="200"/>
        <w:jc w:val="left"/>
        <w:rPr>
          <w:rFonts w:hint="default" w:ascii="宋体" w:hAnsi="宋体" w:cs="宋体"/>
          <w:kern w:val="2"/>
          <w:sz w:val="28"/>
          <w:szCs w:val="28"/>
          <w:highlight w:val="none"/>
          <w:lang w:val="en-US" w:eastAsia="zh-CN" w:bidi="ar-SA"/>
        </w:rPr>
      </w:pPr>
      <w:r>
        <w:rPr>
          <w:i w:val="0"/>
          <w:iCs w:val="0"/>
          <w:sz w:val="24"/>
        </w:rPr>
        <mc:AlternateContent>
          <mc:Choice Requires="wps">
            <w:drawing>
              <wp:anchor distT="0" distB="0" distL="114300" distR="114300" simplePos="0" relativeHeight="251676672" behindDoc="0" locked="0" layoutInCell="1" allowOverlap="1">
                <wp:simplePos x="0" y="0"/>
                <wp:positionH relativeFrom="column">
                  <wp:posOffset>741045</wp:posOffset>
                </wp:positionH>
                <wp:positionV relativeFrom="paragraph">
                  <wp:posOffset>1844040</wp:posOffset>
                </wp:positionV>
                <wp:extent cx="1541780" cy="276225"/>
                <wp:effectExtent l="0" t="0" r="1270" b="9525"/>
                <wp:wrapNone/>
                <wp:docPr id="22" name="文本框 22"/>
                <wp:cNvGraphicFramePr/>
                <a:graphic xmlns:a="http://schemas.openxmlformats.org/drawingml/2006/main">
                  <a:graphicData uri="http://schemas.microsoft.com/office/word/2010/wordprocessingShape">
                    <wps:wsp>
                      <wps:cNvSpPr txBox="1"/>
                      <wps:spPr>
                        <a:xfrm>
                          <a:off x="0" y="0"/>
                          <a:ext cx="1541780" cy="276225"/>
                        </a:xfrm>
                        <a:prstGeom prst="rect">
                          <a:avLst/>
                        </a:prstGeom>
                        <a:solidFill>
                          <a:srgbClr val="FFFFFF"/>
                        </a:solidFill>
                        <a:ln w="9525" cap="flat" cmpd="sng">
                          <a:no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牡丹木槿花炖汤</w:t>
                            </w:r>
                          </w:p>
                        </w:txbxContent>
                      </wps:txbx>
                      <wps:bodyPr upright="1"/>
                    </wps:wsp>
                  </a:graphicData>
                </a:graphic>
              </wp:anchor>
            </w:drawing>
          </mc:Choice>
          <mc:Fallback>
            <w:pict>
              <v:shape id="_x0000_s1026" o:spid="_x0000_s1026" o:spt="202" type="#_x0000_t202" style="position:absolute;left:0pt;margin-left:58.35pt;margin-top:145.2pt;height:21.75pt;width:121.4pt;z-index:251676672;mso-width-relative:page;mso-height-relative:page;" fillcolor="#FFFFFF" filled="t" stroked="f" coordsize="21600,21600" o:gfxdata="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XbxLZAAAACwEAAA8AAAAAAAAAAQAgAAAA&#10;IgAAAGRycy9kb3ducmV2LnhtbFBLAQIUABQAAAAIAIdO4kACQ1PzCgIAAB0EAAAOAAAAAAAAAAEA&#10;IAAAACgBAABkcnMvZTJvRG9jLnhtbFBLBQYAAAAABgAGAFkBAACkBQAAAAA=&#10;">
                <v:fill on="t" focussize="0,0"/>
                <v:stroke on="f" joinstyle="miter"/>
                <v:imagedata o:title=""/>
                <o:lock v:ext="edit" aspectratio="f"/>
                <v:textbox>
                  <w:txbxContent>
                    <w:p>
                      <w:pPr>
                        <w:rPr>
                          <w:rFonts w:hint="default" w:eastAsia="宋体"/>
                          <w:lang w:val="en-US" w:eastAsia="zh-CN"/>
                        </w:rPr>
                      </w:pPr>
                      <w:r>
                        <w:rPr>
                          <w:rFonts w:hint="eastAsia"/>
                          <w:lang w:val="en-US" w:eastAsia="zh-CN"/>
                        </w:rPr>
                        <w:t>牡丹木槿花炖汤</w:t>
                      </w:r>
                    </w:p>
                  </w:txbxContent>
                </v:textbox>
              </v:shape>
            </w:pict>
          </mc:Fallback>
        </mc:AlternateContent>
      </w:r>
      <w:r>
        <w:rPr>
          <w:i w:val="0"/>
          <w:iCs w:val="0"/>
          <w:sz w:val="24"/>
        </w:rPr>
        <mc:AlternateContent>
          <mc:Choice Requires="wps">
            <w:drawing>
              <wp:anchor distT="0" distB="0" distL="114300" distR="114300" simplePos="0" relativeHeight="251673600" behindDoc="0" locked="0" layoutInCell="1" allowOverlap="1">
                <wp:simplePos x="0" y="0"/>
                <wp:positionH relativeFrom="column">
                  <wp:posOffset>2707005</wp:posOffset>
                </wp:positionH>
                <wp:positionV relativeFrom="paragraph">
                  <wp:posOffset>1816735</wp:posOffset>
                </wp:positionV>
                <wp:extent cx="1541780" cy="276225"/>
                <wp:effectExtent l="0" t="0" r="1270" b="9525"/>
                <wp:wrapNone/>
                <wp:docPr id="23" name="文本框 23"/>
                <wp:cNvGraphicFramePr/>
                <a:graphic xmlns:a="http://schemas.openxmlformats.org/drawingml/2006/main">
                  <a:graphicData uri="http://schemas.microsoft.com/office/word/2010/wordprocessingShape">
                    <wps:wsp>
                      <wps:cNvSpPr txBox="1"/>
                      <wps:spPr>
                        <a:xfrm>
                          <a:off x="0" y="0"/>
                          <a:ext cx="1541780" cy="276225"/>
                        </a:xfrm>
                        <a:prstGeom prst="rect">
                          <a:avLst/>
                        </a:prstGeom>
                        <a:solidFill>
                          <a:srgbClr val="FFFFFF"/>
                        </a:solidFill>
                        <a:ln w="9525" cap="flat" cmpd="sng">
                          <a:no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牡丹木槿花鱼汤</w:t>
                            </w:r>
                          </w:p>
                        </w:txbxContent>
                      </wps:txbx>
                      <wps:bodyPr upright="1"/>
                    </wps:wsp>
                  </a:graphicData>
                </a:graphic>
              </wp:anchor>
            </w:drawing>
          </mc:Choice>
          <mc:Fallback>
            <w:pict>
              <v:shape id="_x0000_s1026" o:spid="_x0000_s1026" o:spt="202" type="#_x0000_t202" style="position:absolute;left:0pt;margin-left:213.15pt;margin-top:143.05pt;height:21.75pt;width:121.4pt;z-index:251673600;mso-width-relative:page;mso-height-relative:page;" fillcolor="#FFFFFF" filled="t" stroked="f" coordsize="21600,21600" o:gfxdata="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NuVo2QAAAAsBAAAPAAAAAAAAAAEAIAAA&#10;ACIAAABkcnMvZG93bnJldi54bWxQSwECFAAUAAAACACHTuJAbWhWlAsCAAAdBAAADgAAAAAAAAAB&#10;ACAAAAAoAQAAZHJzL2Uyb0RvYy54bWxQSwUGAAAAAAYABgBZAQAApQUAAAAA&#10;">
                <v:fill on="t" focussize="0,0"/>
                <v:stroke on="f" joinstyle="miter"/>
                <v:imagedata o:title=""/>
                <o:lock v:ext="edit" aspectratio="f"/>
                <v:textbox>
                  <w:txbxContent>
                    <w:p>
                      <w:pPr>
                        <w:rPr>
                          <w:rFonts w:hint="default" w:eastAsia="宋体"/>
                          <w:lang w:val="en-US" w:eastAsia="zh-CN"/>
                        </w:rPr>
                      </w:pPr>
                      <w:r>
                        <w:rPr>
                          <w:rFonts w:hint="eastAsia"/>
                          <w:lang w:val="en-US" w:eastAsia="zh-CN"/>
                        </w:rPr>
                        <w:t>牡丹木槿花鱼汤</w:t>
                      </w:r>
                    </w:p>
                  </w:txbxContent>
                </v:textbox>
              </v:shape>
            </w:pict>
          </mc:Fallback>
        </mc:AlternateContent>
      </w:r>
      <w:r>
        <w:rPr>
          <w:rStyle w:val="16"/>
          <w:rFonts w:hint="default" w:ascii="Times New Roman" w:hAnsi="Times New Roman" w:eastAsia="宋体" w:cs="Times New Roman"/>
          <w:lang w:val="en-US" w:eastAsia="zh-CN"/>
        </w:rPr>
        <w:drawing>
          <wp:anchor distT="0" distB="0" distL="114300" distR="114300" simplePos="0" relativeHeight="251671552" behindDoc="0" locked="0" layoutInCell="1" allowOverlap="1">
            <wp:simplePos x="0" y="0"/>
            <wp:positionH relativeFrom="column">
              <wp:posOffset>2580005</wp:posOffset>
            </wp:positionH>
            <wp:positionV relativeFrom="page">
              <wp:posOffset>7414260</wp:posOffset>
            </wp:positionV>
            <wp:extent cx="1755775" cy="1221105"/>
            <wp:effectExtent l="0" t="0" r="15875" b="17145"/>
            <wp:wrapTopAndBottom/>
            <wp:docPr id="24" name="图片 188" descr="微信图片_2021092417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8" descr="微信图片_20210924173202"/>
                    <pic:cNvPicPr>
                      <a:picLocks noChangeAspect="1"/>
                    </pic:cNvPicPr>
                  </pic:nvPicPr>
                  <pic:blipFill>
                    <a:blip r:embed="rId9"/>
                    <a:stretch>
                      <a:fillRect/>
                    </a:stretch>
                  </pic:blipFill>
                  <pic:spPr>
                    <a:xfrm>
                      <a:off x="0" y="0"/>
                      <a:ext cx="1755775" cy="1221105"/>
                    </a:xfrm>
                    <a:prstGeom prst="rect">
                      <a:avLst/>
                    </a:prstGeom>
                    <a:noFill/>
                    <a:ln>
                      <a:noFill/>
                    </a:ln>
                  </pic:spPr>
                </pic:pic>
              </a:graphicData>
            </a:graphic>
          </wp:anchor>
        </w:drawing>
      </w:r>
      <w:r>
        <w:rPr>
          <w:rStyle w:val="16"/>
          <w:rFonts w:hint="default" w:ascii="Times New Roman" w:hAnsi="Times New Roman" w:eastAsia="宋体" w:cs="Times New Roman"/>
          <w:lang w:val="en-US" w:eastAsia="zh-CN"/>
        </w:rPr>
        <w:drawing>
          <wp:anchor distT="0" distB="0" distL="114300" distR="114300" simplePos="0" relativeHeight="251670528" behindDoc="0" locked="0" layoutInCell="1" allowOverlap="1">
            <wp:simplePos x="0" y="0"/>
            <wp:positionH relativeFrom="column">
              <wp:posOffset>606425</wp:posOffset>
            </wp:positionH>
            <wp:positionV relativeFrom="page">
              <wp:posOffset>7430135</wp:posOffset>
            </wp:positionV>
            <wp:extent cx="1756410" cy="1216025"/>
            <wp:effectExtent l="0" t="0" r="15240" b="3175"/>
            <wp:wrapTopAndBottom/>
            <wp:docPr id="25" name="图片 186" descr="繁花似锦（天麻槿花汽锅肚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6" descr="繁花似锦（天麻槿花汽锅肚条）"/>
                    <pic:cNvPicPr>
                      <a:picLocks noChangeAspect="1"/>
                    </pic:cNvPicPr>
                  </pic:nvPicPr>
                  <pic:blipFill>
                    <a:blip r:embed="rId10"/>
                    <a:srcRect t="53873"/>
                    <a:stretch>
                      <a:fillRect/>
                    </a:stretch>
                  </pic:blipFill>
                  <pic:spPr>
                    <a:xfrm>
                      <a:off x="0" y="0"/>
                      <a:ext cx="1756410" cy="1216025"/>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以牡丹木槿花为原料制作而成的菜肴，见图3。</w:t>
      </w:r>
    </w:p>
    <w:p/>
    <w:p/>
    <w:p>
      <w:r>
        <w:rPr>
          <w:sz w:val="24"/>
        </w:rPr>
        <mc:AlternateContent>
          <mc:Choice Requires="wps">
            <w:drawing>
              <wp:anchor distT="0" distB="0" distL="114300" distR="114300" simplePos="0" relativeHeight="251674624" behindDoc="0" locked="0" layoutInCell="1" allowOverlap="1">
                <wp:simplePos x="0" y="0"/>
                <wp:positionH relativeFrom="column">
                  <wp:posOffset>1136015</wp:posOffset>
                </wp:positionH>
                <wp:positionV relativeFrom="paragraph">
                  <wp:posOffset>1456690</wp:posOffset>
                </wp:positionV>
                <wp:extent cx="1254125" cy="288925"/>
                <wp:effectExtent l="0" t="0" r="3175" b="15875"/>
                <wp:wrapNone/>
                <wp:docPr id="26" name="文本框 26"/>
                <wp:cNvGraphicFramePr/>
                <a:graphic xmlns:a="http://schemas.openxmlformats.org/drawingml/2006/main">
                  <a:graphicData uri="http://schemas.microsoft.com/office/word/2010/wordprocessingShape">
                    <wps:wsp>
                      <wps:cNvSpPr txBox="1"/>
                      <wps:spPr>
                        <a:xfrm>
                          <a:off x="1898015" y="2499360"/>
                          <a:ext cx="125412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油炸牡丹木槿花</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5pt;margin-top:114.7pt;height:22.75pt;width:98.75pt;z-index:251674624;mso-width-relative:page;mso-height-relative:page;" fillcolor="#FFFFFF [3201]" filled="t" stroked="f" coordsize="21600,21600" o:gfxdata="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M0jIdYA&#10;AAALAQAADwAAAAAAAAABACAAAAAiAAAAZHJzL2Rvd25yZXYueG1sUEsBAhQAFAAAAAgAh07iQJcM&#10;lKJaAgAAnQQAAA4AAAAAAAAAAQAgAAAAJQEAAGRycy9lMm9Eb2MueG1sUEsFBgAAAAAGAAYAWQEA&#10;APEFAAAAAA==&#10;">
                <v:fill on="t" focussize="0,0"/>
                <v:stroke on="f" weight="0.5pt"/>
                <v:imagedata o:title=""/>
                <o:lock v:ext="edit" aspectratio="f"/>
                <v:textbox>
                  <w:txbxContent>
                    <w:p>
                      <w:pPr>
                        <w:rPr>
                          <w:rFonts w:hint="default" w:eastAsia="宋体"/>
                          <w:lang w:val="en-US" w:eastAsia="zh-CN"/>
                        </w:rPr>
                      </w:pPr>
                      <w:r>
                        <w:rPr>
                          <w:rFonts w:hint="eastAsia"/>
                          <w:lang w:val="en-US" w:eastAsia="zh-CN"/>
                        </w:rPr>
                        <w:t>油炸牡丹木槿花</w:t>
                      </w:r>
                    </w:p>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2886710</wp:posOffset>
                </wp:positionH>
                <wp:positionV relativeFrom="paragraph">
                  <wp:posOffset>1410335</wp:posOffset>
                </wp:positionV>
                <wp:extent cx="1649730" cy="306070"/>
                <wp:effectExtent l="0" t="0" r="7620" b="17780"/>
                <wp:wrapNone/>
                <wp:docPr id="27" name="文本框 27"/>
                <wp:cNvGraphicFramePr/>
                <a:graphic xmlns:a="http://schemas.openxmlformats.org/drawingml/2006/main">
                  <a:graphicData uri="http://schemas.microsoft.com/office/word/2010/wordprocessingShape">
                    <wps:wsp>
                      <wps:cNvSpPr txBox="1"/>
                      <wps:spPr>
                        <a:xfrm>
                          <a:off x="4000500" y="2508250"/>
                          <a:ext cx="1649730" cy="3060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eastAsia="宋体"/>
                                <w:lang w:val="en-US" w:eastAsia="zh-CN"/>
                              </w:rPr>
                              <w:t>牡丹木槿花凉拌皮蛋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3pt;margin-top:111.05pt;height:24.1pt;width:129.9pt;z-index:251675648;mso-width-relative:page;mso-height-relative:page;" fillcolor="#FFFFFF [3201]" filled="t" stroked="f" coordsize="21600,21600" o:gfxdata="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9fe5&#10;1wAAAAsBAAAPAAAAAAAAAAEAIAAAACIAAABkcnMvZG93bnJldi54bWxQSwECFAAUAAAACACHTuJA&#10;DYO2ElsCAACdBAAADgAAAAAAAAABACAAAAAmAQAAZHJzL2Uyb0RvYy54bWxQSwUGAAAAAAYABgBZ&#10;AQAA8wUAAAAA&#10;">
                <v:fill on="t" focussize="0,0"/>
                <v:stroke on="f" weight="0.5pt"/>
                <v:imagedata o:title=""/>
                <o:lock v:ext="edit" aspectratio="f"/>
                <v:textbox>
                  <w:txbxContent>
                    <w:p>
                      <w:r>
                        <w:rPr>
                          <w:rFonts w:hint="eastAsia" w:ascii="Times New Roman" w:eastAsia="宋体"/>
                          <w:lang w:val="en-US" w:eastAsia="zh-CN"/>
                        </w:rPr>
                        <w:t>牡丹木槿花凉拌皮蛋</w:t>
                      </w:r>
                    </w:p>
                  </w:txbxContent>
                </v:textbox>
              </v:shape>
            </w:pict>
          </mc:Fallback>
        </mc:AlternateContent>
      </w:r>
      <w:r>
        <w:rPr>
          <w:rFonts w:hint="default"/>
          <w:vertAlign w:val="superscript"/>
          <w:lang w:val="en-US" w:eastAsia="zh-CN"/>
        </w:rPr>
        <w:drawing>
          <wp:anchor distT="0" distB="0" distL="114300" distR="114300" simplePos="0" relativeHeight="251672576" behindDoc="0" locked="0" layoutInCell="1" allowOverlap="1">
            <wp:simplePos x="0" y="0"/>
            <wp:positionH relativeFrom="column">
              <wp:posOffset>2841625</wp:posOffset>
            </wp:positionH>
            <wp:positionV relativeFrom="page">
              <wp:posOffset>892810</wp:posOffset>
            </wp:positionV>
            <wp:extent cx="1980565" cy="1320800"/>
            <wp:effectExtent l="0" t="0" r="635" b="12700"/>
            <wp:wrapTopAndBottom/>
            <wp:docPr id="28" name="图片 181" descr="微信图片_2021092417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1" descr="微信图片_202109241732022"/>
                    <pic:cNvPicPr>
                      <a:picLocks noChangeAspect="1"/>
                    </pic:cNvPicPr>
                  </pic:nvPicPr>
                  <pic:blipFill>
                    <a:blip r:embed="rId11"/>
                    <a:stretch>
                      <a:fillRect/>
                    </a:stretch>
                  </pic:blipFill>
                  <pic:spPr>
                    <a:xfrm>
                      <a:off x="0" y="0"/>
                      <a:ext cx="1980565" cy="1320800"/>
                    </a:xfrm>
                    <a:prstGeom prst="rect">
                      <a:avLst/>
                    </a:prstGeom>
                    <a:noFill/>
                    <a:ln>
                      <a:noFill/>
                    </a:ln>
                  </pic:spPr>
                </pic:pic>
              </a:graphicData>
            </a:graphic>
          </wp:anchor>
        </w:drawing>
      </w:r>
      <w:r>
        <w:rPr>
          <w:rFonts w:hint="default"/>
          <w:vertAlign w:val="superscript"/>
          <w:lang w:val="en-US" w:eastAsia="zh-CN"/>
        </w:rPr>
        <w:drawing>
          <wp:anchor distT="0" distB="0" distL="114300" distR="114300" simplePos="0" relativeHeight="251669504" behindDoc="0" locked="0" layoutInCell="1" allowOverlap="1">
            <wp:simplePos x="0" y="0"/>
            <wp:positionH relativeFrom="column">
              <wp:posOffset>676275</wp:posOffset>
            </wp:positionH>
            <wp:positionV relativeFrom="page">
              <wp:posOffset>918210</wp:posOffset>
            </wp:positionV>
            <wp:extent cx="1978025" cy="1319530"/>
            <wp:effectExtent l="0" t="0" r="3175" b="13970"/>
            <wp:wrapTopAndBottom/>
            <wp:docPr id="29" name="图片 180" descr="微信图片_2021092417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0" descr="微信图片_202109241732029"/>
                    <pic:cNvPicPr>
                      <a:picLocks noChangeAspect="1"/>
                    </pic:cNvPicPr>
                  </pic:nvPicPr>
                  <pic:blipFill>
                    <a:blip r:embed="rId12"/>
                    <a:stretch>
                      <a:fillRect/>
                    </a:stretch>
                  </pic:blipFill>
                  <pic:spPr>
                    <a:xfrm>
                      <a:off x="0" y="0"/>
                      <a:ext cx="1978025" cy="1319530"/>
                    </a:xfrm>
                    <a:prstGeom prst="rect">
                      <a:avLst/>
                    </a:prstGeom>
                    <a:noFill/>
                    <a:ln>
                      <a:noFill/>
                    </a:ln>
                  </pic:spPr>
                </pic:pic>
              </a:graphicData>
            </a:graphic>
          </wp:anchor>
        </w:drawing>
      </w:r>
    </w:p>
    <w:p/>
    <w:p>
      <w:pPr>
        <w:jc w:val="center"/>
        <w:rPr>
          <w:rFonts w:hint="default"/>
          <w:lang w:val="en-US"/>
        </w:rPr>
      </w:pPr>
      <w:r>
        <w:rPr>
          <w:rFonts w:hint="eastAsia" w:ascii="宋体" w:hAnsi="宋体" w:cs="宋体"/>
          <w:kern w:val="2"/>
          <w:sz w:val="28"/>
          <w:szCs w:val="28"/>
          <w:highlight w:val="none"/>
          <w:lang w:val="en-US" w:eastAsia="zh-CN" w:bidi="ar-SA"/>
        </w:rPr>
        <w:t>图3 牡丹木槿花菜肴</w:t>
      </w:r>
    </w:p>
    <w:p/>
    <w:p/>
    <w:p>
      <w:pPr>
        <w:spacing w:line="240" w:lineRule="auto"/>
        <w:ind w:firstLine="527"/>
        <w:rPr>
          <w:b/>
          <w:bCs w:val="0"/>
        </w:rPr>
      </w:pPr>
      <w:r>
        <w:rPr>
          <w:rFonts w:hint="eastAsia"/>
          <w:b/>
          <w:bCs w:val="0"/>
          <w:sz w:val="28"/>
          <w:szCs w:val="28"/>
          <w:lang w:val="en-US" w:eastAsia="zh-CN"/>
        </w:rPr>
        <w:t>三</w:t>
      </w:r>
      <w:r>
        <w:rPr>
          <w:b/>
          <w:bCs w:val="0"/>
          <w:sz w:val="28"/>
          <w:szCs w:val="28"/>
        </w:rPr>
        <w:t>、标准起草基本情况</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（一）任务来源、起草单位和起草人</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1.任务来源</w:t>
      </w:r>
    </w:p>
    <w:p>
      <w:pPr>
        <w:pageBreakBefore w:val="0"/>
        <w:widowControl w:val="0"/>
        <w:wordWrap w:val="0"/>
        <w:bidi w:val="0"/>
        <w:spacing w:line="360" w:lineRule="auto"/>
        <w:ind w:left="0" w:leftChars="0"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《食品安全地方标准 木槿花》列入2022年第三批湖南省食品安全地方标准计划项目。2023年对申报物质进行</w:t>
      </w:r>
      <w:r>
        <w:rPr>
          <w:rFonts w:hint="eastAsia" w:ascii="宋体" w:hAnsi="宋体" w:eastAsia="宋体" w:cs="宋体"/>
          <w:kern w:val="2"/>
          <w:sz w:val="28"/>
          <w:szCs w:val="28"/>
          <w:highlight w:val="none"/>
          <w:u w:val="none"/>
          <w:lang w:val="en-US" w:eastAsia="zh-CN" w:bidi="ar-SA"/>
        </w:rPr>
        <w:t>种属鉴定</w:t>
      </w:r>
      <w:r>
        <w:rPr>
          <w:rFonts w:hint="eastAsia" w:ascii="宋体" w:hAnsi="宋体" w:eastAsia="宋体" w:cs="宋体"/>
          <w:kern w:val="2"/>
          <w:sz w:val="28"/>
          <w:szCs w:val="28"/>
          <w:highlight w:val="none"/>
          <w:lang w:val="en-US" w:eastAsia="zh-CN" w:bidi="ar-SA"/>
        </w:rPr>
        <w:t>，确定其申报物质为牡丹木槿花，是木兰纲锦葵目锦葵科木槿属植物，改其申报</w:t>
      </w:r>
      <w:r>
        <w:rPr>
          <w:rFonts w:hint="eastAsia" w:ascii="宋体" w:hAnsi="宋体" w:cs="宋体"/>
          <w:kern w:val="2"/>
          <w:sz w:val="28"/>
          <w:szCs w:val="28"/>
          <w:highlight w:val="none"/>
          <w:lang w:val="en-US" w:eastAsia="zh-CN" w:bidi="ar-SA"/>
        </w:rPr>
        <w:t>标准</w:t>
      </w:r>
      <w:r>
        <w:rPr>
          <w:rFonts w:hint="eastAsia" w:ascii="宋体" w:hAnsi="宋体" w:eastAsia="宋体" w:cs="宋体"/>
          <w:kern w:val="2"/>
          <w:sz w:val="28"/>
          <w:szCs w:val="28"/>
          <w:highlight w:val="none"/>
          <w:lang w:val="en-US" w:eastAsia="zh-CN" w:bidi="ar-SA"/>
        </w:rPr>
        <w:t>名称为《食品安全地方标准 牡丹木槿花》。</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2.起草单位。湖南省中医药研究院、湖南省食品标准化协会、益阳市资阳区省级农业科技园管委会。</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3.起草人。彭艳梅、胡坤、蔡媛、李鹏辉、张金龙、曹达兵、龚凯、谢晶、徐破冰、张毅、郭立新、张胜前、夏国民、龚先按、徐勇。</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（二）标准制定过程</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本标准在制定过程中，参考了国内外有关的食品标准、检验方法标准。经过调查研究</w:t>
      </w:r>
      <w:r>
        <w:rPr>
          <w:rFonts w:hint="eastAsia" w:ascii="宋体" w:hAnsi="宋体" w:cs="宋体"/>
          <w:kern w:val="2"/>
          <w:sz w:val="28"/>
          <w:szCs w:val="28"/>
          <w:highlight w:val="none"/>
          <w:lang w:val="en-US" w:eastAsia="zh-CN" w:bidi="ar-SA"/>
        </w:rPr>
        <w:t>、检验</w:t>
      </w:r>
      <w:r>
        <w:rPr>
          <w:rFonts w:hint="eastAsia" w:ascii="宋体" w:hAnsi="宋体" w:eastAsia="宋体" w:cs="宋体"/>
          <w:kern w:val="2"/>
          <w:sz w:val="28"/>
          <w:szCs w:val="28"/>
          <w:highlight w:val="none"/>
          <w:lang w:val="en-US" w:eastAsia="zh-CN" w:bidi="ar-SA"/>
        </w:rPr>
        <w:t>和综合分析，并根据牡丹木槿花的特性制定了各项技术指标及限量值，对本标准进行编写。</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1.实地调研与资料收集</w:t>
      </w:r>
      <w:r>
        <w:rPr>
          <w:rFonts w:hint="eastAsia" w:ascii="宋体" w:hAnsi="宋体" w:cs="宋体"/>
          <w:kern w:val="2"/>
          <w:sz w:val="28"/>
          <w:szCs w:val="28"/>
          <w:highlight w:val="none"/>
          <w:lang w:val="en-US" w:eastAsia="zh-CN" w:bidi="ar-SA"/>
        </w:rPr>
        <w:t>。</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2022年7月，牵头单位湖南省中医药研究院和湖南省食品标准化协会开展实地调研，了解牡丹木槿花在当地的生产及食用等情况；并成立标准制订工作组，查阅了有关牡丹木槿花的国内外文献，尤其是对其成分分析、毒理方面、食用历史、种植及加工方式等方面的研究文献进行了查找，了解牡丹木槿花在国内外的现状。</w:t>
      </w:r>
    </w:p>
    <w:p>
      <w:pPr>
        <w:pageBreakBefore w:val="0"/>
        <w:widowControl w:val="0"/>
        <w:numPr>
          <w:ilvl w:val="0"/>
          <w:numId w:val="3"/>
        </w:numPr>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开展样品采集。</w:t>
      </w:r>
    </w:p>
    <w:p>
      <w:pPr>
        <w:pageBreakBefore w:val="0"/>
        <w:widowControl w:val="0"/>
        <w:numPr>
          <w:ilvl w:val="0"/>
          <w:numId w:val="0"/>
        </w:numPr>
        <w:wordWrap w:val="0"/>
        <w:bidi w:val="0"/>
        <w:spacing w:line="360" w:lineRule="auto"/>
        <w:ind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在2022年9月底，根据牡丹木槿花在湖南省的分布情况对省内的益阳、娄底、常德、岳阳、湘潭、长沙、怀化等多个地</w:t>
      </w:r>
      <w:r>
        <w:rPr>
          <w:rFonts w:hint="eastAsia" w:ascii="宋体" w:hAnsi="宋体" w:cs="宋体"/>
          <w:kern w:val="2"/>
          <w:sz w:val="28"/>
          <w:szCs w:val="28"/>
          <w:highlight w:val="none"/>
          <w:lang w:val="en-US" w:eastAsia="zh-CN" w:bidi="ar-SA"/>
        </w:rPr>
        <w:t>区</w:t>
      </w:r>
      <w:r>
        <w:rPr>
          <w:rFonts w:hint="eastAsia" w:ascii="宋体" w:hAnsi="宋体" w:eastAsia="宋体" w:cs="宋体"/>
          <w:kern w:val="2"/>
          <w:sz w:val="28"/>
          <w:szCs w:val="28"/>
          <w:highlight w:val="none"/>
          <w:lang w:val="en-US" w:eastAsia="zh-CN" w:bidi="ar-SA"/>
        </w:rPr>
        <w:t>进行牡丹木槿花的采样工作。</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3.开展</w:t>
      </w:r>
      <w:r>
        <w:rPr>
          <w:rFonts w:hint="eastAsia" w:ascii="宋体" w:hAnsi="宋体" w:cs="宋体"/>
          <w:kern w:val="2"/>
          <w:sz w:val="28"/>
          <w:szCs w:val="28"/>
          <w:highlight w:val="none"/>
          <w:lang w:val="en-US" w:eastAsia="zh-CN" w:bidi="ar-SA"/>
        </w:rPr>
        <w:t>试验及调查。</w:t>
      </w:r>
    </w:p>
    <w:p>
      <w:pPr>
        <w:pageBreakBefore w:val="0"/>
        <w:widowControl w:val="0"/>
        <w:wordWrap w:val="0"/>
        <w:bidi w:val="0"/>
        <w:spacing w:line="360" w:lineRule="auto"/>
        <w:ind w:left="0" w:leftChars="0"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2022年10月，委托有资质的湖南山水检测有限公司开展了对牡丹木槿花的急性经口毒性试验、细菌回复突变试验、哺乳动物红细胞微核试验、小鼠精母细胞染色体畸变试验、致畸试验和90天经口毒性试验</w:t>
      </w:r>
      <w:r>
        <w:rPr>
          <w:rFonts w:hint="eastAsia" w:ascii="宋体" w:hAnsi="宋体" w:cs="宋体"/>
          <w:kern w:val="2"/>
          <w:sz w:val="28"/>
          <w:szCs w:val="28"/>
          <w:highlight w:val="none"/>
          <w:lang w:val="en-US" w:eastAsia="zh-CN" w:bidi="ar-SA"/>
        </w:rPr>
        <w:t>。其中急性经口毒性试验半数致死量(LD50)大于10.0g/kgBW，属实际无毒级;3项遗传毒性试验(哺乳动物红细胞微核试验、细菌回复突变试验、小鼠精母细胞染色体畸变试验)结果为阴性。90天喂养试验NOAEL为雌性9.57g/kgBW，雄性8.45g/kgBW。致畸试验结果显示无致畸性，NOAEL为1.67g/kgBW。</w:t>
      </w:r>
    </w:p>
    <w:p>
      <w:pPr>
        <w:pageBreakBefore w:val="0"/>
        <w:widowControl w:val="0"/>
        <w:wordWrap w:val="0"/>
        <w:bidi w:val="0"/>
        <w:spacing w:line="360" w:lineRule="auto"/>
        <w:ind w:left="0" w:leftChars="0" w:firstLine="560" w:firstLineChars="200"/>
        <w:jc w:val="left"/>
        <w:rPr>
          <w:rFonts w:hint="eastAsia" w:ascii="宋体" w:hAnsi="宋体" w:cs="宋体"/>
          <w:kern w:val="2"/>
          <w:sz w:val="28"/>
          <w:szCs w:val="28"/>
          <w:highlight w:val="none"/>
          <w:u w:val="none"/>
          <w:lang w:val="en-US" w:eastAsia="zh-CN" w:bidi="ar-SA"/>
        </w:rPr>
      </w:pPr>
      <w:r>
        <w:rPr>
          <w:rFonts w:hint="eastAsia" w:ascii="宋体" w:hAnsi="宋体" w:eastAsia="宋体" w:cs="宋体"/>
          <w:kern w:val="2"/>
          <w:sz w:val="28"/>
          <w:szCs w:val="28"/>
          <w:highlight w:val="none"/>
          <w:u w:val="none"/>
          <w:lang w:val="en-US" w:eastAsia="zh-CN" w:bidi="ar-SA"/>
        </w:rPr>
        <w:t>委托有资质的湖南山水检测有限公司</w:t>
      </w:r>
      <w:r>
        <w:rPr>
          <w:rFonts w:hint="eastAsia" w:ascii="宋体" w:hAnsi="宋体" w:cs="宋体"/>
          <w:kern w:val="2"/>
          <w:sz w:val="28"/>
          <w:szCs w:val="28"/>
          <w:highlight w:val="none"/>
          <w:u w:val="none"/>
          <w:lang w:val="en-US" w:eastAsia="zh-CN" w:bidi="ar-SA"/>
        </w:rPr>
        <w:t>进行</w:t>
      </w:r>
      <w:r>
        <w:rPr>
          <w:rFonts w:hint="eastAsia" w:ascii="宋体" w:hAnsi="宋体" w:eastAsia="宋体" w:cs="宋体"/>
          <w:kern w:val="2"/>
          <w:sz w:val="28"/>
          <w:szCs w:val="28"/>
          <w:highlight w:val="none"/>
          <w:u w:val="none"/>
          <w:lang w:val="en-US" w:eastAsia="zh-CN" w:bidi="ar-SA"/>
        </w:rPr>
        <w:t>污染物</w:t>
      </w:r>
      <w:r>
        <w:rPr>
          <w:rFonts w:hint="eastAsia" w:ascii="宋体" w:hAnsi="宋体" w:cs="宋体"/>
          <w:kern w:val="2"/>
          <w:sz w:val="28"/>
          <w:szCs w:val="28"/>
          <w:highlight w:val="none"/>
          <w:u w:val="none"/>
          <w:lang w:val="en-US" w:eastAsia="zh-CN" w:bidi="ar-SA"/>
        </w:rPr>
        <w:t>限量（见表6-10）</w:t>
      </w:r>
      <w:r>
        <w:rPr>
          <w:rFonts w:hint="eastAsia" w:ascii="宋体" w:hAnsi="宋体" w:eastAsia="宋体" w:cs="宋体"/>
          <w:kern w:val="2"/>
          <w:sz w:val="28"/>
          <w:szCs w:val="28"/>
          <w:highlight w:val="none"/>
          <w:u w:val="none"/>
          <w:lang w:val="en-US" w:eastAsia="zh-CN" w:bidi="ar-SA"/>
        </w:rPr>
        <w:t>、</w:t>
      </w:r>
      <w:r>
        <w:rPr>
          <w:rFonts w:hint="eastAsia" w:ascii="宋体" w:hAnsi="宋体" w:cs="宋体"/>
          <w:kern w:val="2"/>
          <w:sz w:val="28"/>
          <w:szCs w:val="28"/>
          <w:highlight w:val="none"/>
          <w:u w:val="none"/>
          <w:lang w:val="en-US" w:eastAsia="zh-CN" w:bidi="ar-SA"/>
        </w:rPr>
        <w:t>农药最大残留限量（见表13、14）和</w:t>
      </w:r>
      <w:r>
        <w:rPr>
          <w:rFonts w:hint="eastAsia" w:ascii="宋体" w:hAnsi="宋体" w:eastAsia="宋体" w:cs="宋体"/>
          <w:kern w:val="2"/>
          <w:sz w:val="28"/>
          <w:szCs w:val="28"/>
          <w:highlight w:val="none"/>
          <w:u w:val="none"/>
          <w:lang w:val="en-US" w:eastAsia="zh-CN" w:bidi="ar-SA"/>
        </w:rPr>
        <w:t>营养成分指标检测；委托沈阳医科大学进行牡丹木槿花化学成分分析；委托通标标准技术服务（上海）有限公司进行氨基酸含量检测</w:t>
      </w:r>
      <w:r>
        <w:rPr>
          <w:rFonts w:hint="eastAsia" w:ascii="宋体" w:hAnsi="宋体" w:cs="宋体"/>
          <w:kern w:val="2"/>
          <w:sz w:val="28"/>
          <w:szCs w:val="28"/>
          <w:highlight w:val="none"/>
          <w:u w:val="none"/>
          <w:lang w:val="en-US" w:eastAsia="zh-CN" w:bidi="ar-SA"/>
        </w:rPr>
        <w:t>。其中牡丹木槿花的营养成分包括蛋白质、脂肪、碳水化合物、氨基酸、矿物质、维生素等，氨基酸总量为0.62%，活性成分分离后主要有黄酮类、多酚、花青素。</w:t>
      </w:r>
    </w:p>
    <w:p>
      <w:pPr>
        <w:pageBreakBefore w:val="0"/>
        <w:widowControl w:val="0"/>
        <w:wordWrap w:val="0"/>
        <w:bidi w:val="0"/>
        <w:spacing w:line="360" w:lineRule="auto"/>
        <w:ind w:left="0" w:leftChars="0" w:firstLine="560" w:firstLineChars="200"/>
        <w:jc w:val="left"/>
        <w:rPr>
          <w:rFonts w:hint="eastAsia" w:ascii="宋体" w:hAnsi="宋体" w:cs="宋体"/>
          <w:kern w:val="2"/>
          <w:sz w:val="28"/>
          <w:szCs w:val="28"/>
          <w:highlight w:val="none"/>
          <w:u w:val="none"/>
          <w:lang w:val="en-US" w:eastAsia="zh-CN" w:bidi="ar-SA"/>
        </w:rPr>
      </w:pPr>
      <w:r>
        <w:rPr>
          <w:rFonts w:hint="eastAsia" w:ascii="宋体" w:hAnsi="宋体" w:eastAsia="宋体" w:cs="宋体"/>
          <w:kern w:val="2"/>
          <w:sz w:val="28"/>
          <w:szCs w:val="28"/>
          <w:highlight w:val="none"/>
          <w:u w:val="none"/>
          <w:lang w:val="en-US" w:eastAsia="zh-CN" w:bidi="ar-SA"/>
        </w:rPr>
        <w:t>委托湖南省中医药研究院进行牡丹木槿花的种属鉴定</w:t>
      </w:r>
      <w:r>
        <w:rPr>
          <w:rFonts w:hint="eastAsia" w:ascii="宋体" w:hAnsi="宋体" w:cs="宋体"/>
          <w:kern w:val="2"/>
          <w:sz w:val="28"/>
          <w:szCs w:val="28"/>
          <w:highlight w:val="none"/>
          <w:u w:val="none"/>
          <w:lang w:val="en-US" w:eastAsia="zh-CN" w:bidi="ar-SA"/>
        </w:rPr>
        <w:t>，</w:t>
      </w:r>
      <w:r>
        <w:rPr>
          <w:rFonts w:hint="eastAsia" w:ascii="宋体" w:hAnsi="宋体" w:eastAsia="宋体" w:cs="宋体"/>
          <w:kern w:val="2"/>
          <w:sz w:val="28"/>
          <w:szCs w:val="28"/>
          <w:highlight w:val="none"/>
          <w:lang w:val="en-US" w:eastAsia="zh-CN" w:bidi="ar-SA"/>
        </w:rPr>
        <w:t>符合《中国植物志》中关于牡丹木槿（</w:t>
      </w:r>
      <w:r>
        <w:rPr>
          <w:rFonts w:hint="eastAsia" w:ascii="Times New Roman" w:hAnsi="Times New Roman" w:eastAsia="宋体" w:cs="Times New Roman"/>
          <w:i/>
          <w:iCs/>
          <w:sz w:val="28"/>
          <w:szCs w:val="28"/>
          <w:highlight w:val="none"/>
          <w:lang w:val="en-US" w:eastAsia="zh-CN" w:bidi="ar-SA"/>
        </w:rPr>
        <w:t xml:space="preserve">Hibiscus syriacus </w:t>
      </w:r>
      <w:r>
        <w:rPr>
          <w:rFonts w:hint="eastAsia" w:ascii="Times New Roman" w:hAnsi="Times New Roman" w:eastAsia="宋体" w:cs="Times New Roman"/>
          <w:i w:val="0"/>
          <w:iCs w:val="0"/>
          <w:sz w:val="28"/>
          <w:szCs w:val="28"/>
          <w:highlight w:val="none"/>
          <w:lang w:val="en-US" w:eastAsia="zh-CN" w:bidi="ar-SA"/>
        </w:rPr>
        <w:t>Linn f</w:t>
      </w:r>
      <w:r>
        <w:rPr>
          <w:rFonts w:hint="eastAsia" w:ascii="Times New Roman" w:hAnsi="Times New Roman" w:eastAsia="宋体" w:cs="Times New Roman"/>
          <w:i/>
          <w:iCs/>
          <w:sz w:val="28"/>
          <w:szCs w:val="28"/>
          <w:highlight w:val="none"/>
          <w:lang w:val="en-US" w:eastAsia="zh-CN" w:bidi="ar-SA"/>
        </w:rPr>
        <w:t xml:space="preserve">. paeoniflorus </w:t>
      </w:r>
      <w:r>
        <w:rPr>
          <w:rFonts w:hint="eastAsia" w:ascii="Times New Roman" w:hAnsi="Times New Roman" w:eastAsia="宋体" w:cs="Times New Roman"/>
          <w:i w:val="0"/>
          <w:iCs w:val="0"/>
          <w:sz w:val="28"/>
          <w:szCs w:val="28"/>
          <w:highlight w:val="none"/>
          <w:lang w:val="en-US" w:eastAsia="zh-CN" w:bidi="ar-SA"/>
        </w:rPr>
        <w:t>Gagnep .f）</w:t>
      </w:r>
      <w:r>
        <w:rPr>
          <w:rFonts w:hint="eastAsia" w:ascii="宋体" w:hAnsi="宋体" w:eastAsia="宋体" w:cs="宋体"/>
          <w:kern w:val="2"/>
          <w:sz w:val="28"/>
          <w:szCs w:val="28"/>
          <w:highlight w:val="none"/>
          <w:lang w:val="en-US" w:eastAsia="zh-CN" w:bidi="ar-SA"/>
        </w:rPr>
        <w:t>的描述，鉴定标本为锦葵科（</w:t>
      </w:r>
      <w:r>
        <w:rPr>
          <w:rFonts w:hint="eastAsia" w:ascii="Times New Roman" w:hAnsi="Times New Roman" w:eastAsia="宋体" w:cs="Times New Roman"/>
          <w:i/>
          <w:iCs/>
          <w:sz w:val="28"/>
          <w:szCs w:val="28"/>
          <w:highlight w:val="none"/>
          <w:lang w:val="en-US" w:eastAsia="zh-CN" w:bidi="ar-SA"/>
        </w:rPr>
        <w:t>Malvaceae）</w:t>
      </w:r>
      <w:r>
        <w:rPr>
          <w:rFonts w:hint="eastAsia" w:ascii="宋体" w:hAnsi="宋体" w:eastAsia="宋体" w:cs="宋体"/>
          <w:kern w:val="2"/>
          <w:sz w:val="28"/>
          <w:szCs w:val="28"/>
          <w:highlight w:val="none"/>
          <w:lang w:val="en-US" w:eastAsia="zh-CN" w:bidi="ar-SA"/>
        </w:rPr>
        <w:t>木槿属（</w:t>
      </w:r>
      <w:r>
        <w:rPr>
          <w:rFonts w:hint="eastAsia" w:ascii="Times New Roman" w:hAnsi="Times New Roman" w:eastAsia="宋体" w:cs="Times New Roman"/>
          <w:i/>
          <w:iCs/>
          <w:sz w:val="28"/>
          <w:szCs w:val="28"/>
          <w:highlight w:val="none"/>
          <w:lang w:val="en-US" w:eastAsia="zh-CN" w:bidi="ar-SA"/>
        </w:rPr>
        <w:t>Hibiscus）</w:t>
      </w:r>
      <w:r>
        <w:rPr>
          <w:rFonts w:hint="eastAsia" w:ascii="宋体" w:hAnsi="宋体" w:eastAsia="宋体" w:cs="宋体"/>
          <w:kern w:val="2"/>
          <w:sz w:val="28"/>
          <w:szCs w:val="28"/>
          <w:highlight w:val="none"/>
          <w:lang w:val="en-US" w:eastAsia="zh-CN" w:bidi="ar-SA"/>
        </w:rPr>
        <w:t>植物牡丹木槿（</w:t>
      </w:r>
      <w:r>
        <w:rPr>
          <w:rFonts w:hint="eastAsia" w:ascii="Times New Roman" w:hAnsi="Times New Roman" w:eastAsia="宋体" w:cs="Times New Roman"/>
          <w:i/>
          <w:iCs/>
          <w:sz w:val="28"/>
          <w:szCs w:val="28"/>
          <w:highlight w:val="none"/>
          <w:lang w:val="en-US" w:eastAsia="zh-CN" w:bidi="ar-SA"/>
        </w:rPr>
        <w:t xml:space="preserve">Hibiscus syriacus </w:t>
      </w:r>
      <w:r>
        <w:rPr>
          <w:rFonts w:hint="eastAsia" w:ascii="Times New Roman" w:hAnsi="Times New Roman" w:eastAsia="宋体" w:cs="Times New Roman"/>
          <w:i w:val="0"/>
          <w:iCs w:val="0"/>
          <w:sz w:val="28"/>
          <w:szCs w:val="28"/>
          <w:highlight w:val="none"/>
          <w:lang w:val="en-US" w:eastAsia="zh-CN" w:bidi="ar-SA"/>
        </w:rPr>
        <w:t>f</w:t>
      </w:r>
      <w:r>
        <w:rPr>
          <w:rFonts w:hint="eastAsia" w:ascii="Times New Roman" w:hAnsi="Times New Roman" w:eastAsia="宋体" w:cs="Times New Roman"/>
          <w:i/>
          <w:iCs/>
          <w:sz w:val="28"/>
          <w:szCs w:val="28"/>
          <w:highlight w:val="none"/>
          <w:lang w:val="en-US" w:eastAsia="zh-CN" w:bidi="ar-SA"/>
        </w:rPr>
        <w:t xml:space="preserve">. paeoniflorus </w:t>
      </w:r>
      <w:r>
        <w:rPr>
          <w:rFonts w:hint="eastAsia" w:ascii="Times New Roman" w:hAnsi="Times New Roman" w:eastAsia="宋体" w:cs="Times New Roman"/>
          <w:i w:val="0"/>
          <w:iCs w:val="0"/>
          <w:sz w:val="28"/>
          <w:szCs w:val="28"/>
          <w:highlight w:val="none"/>
          <w:lang w:val="en-US" w:eastAsia="zh-CN" w:bidi="ar-SA"/>
        </w:rPr>
        <w:t>Gagnep. f.)</w:t>
      </w:r>
      <w:r>
        <w:rPr>
          <w:rFonts w:hint="eastAsia" w:cs="Times New Roman"/>
          <w:i w:val="0"/>
          <w:iCs w:val="0"/>
          <w:sz w:val="28"/>
          <w:szCs w:val="28"/>
          <w:highlight w:val="none"/>
          <w:lang w:val="en-US" w:eastAsia="zh-CN" w:bidi="ar-SA"/>
        </w:rPr>
        <w:t xml:space="preserve">。     </w:t>
      </w:r>
      <w:r>
        <w:rPr>
          <w:rFonts w:hint="eastAsia" w:ascii="宋体" w:hAnsi="宋体" w:eastAsia="宋体" w:cs="宋体"/>
          <w:kern w:val="2"/>
          <w:sz w:val="28"/>
          <w:szCs w:val="28"/>
          <w:highlight w:val="none"/>
          <w:u w:val="none"/>
          <w:lang w:val="en-US" w:eastAsia="zh-CN" w:bidi="ar-SA"/>
        </w:rPr>
        <w:t>委托湖北省疾控预防控制中心进行</w:t>
      </w:r>
      <w:r>
        <w:rPr>
          <w:rFonts w:hint="eastAsia" w:ascii="宋体" w:hAnsi="宋体" w:cs="宋体"/>
          <w:kern w:val="2"/>
          <w:sz w:val="28"/>
          <w:szCs w:val="28"/>
          <w:highlight w:val="none"/>
          <w:u w:val="none"/>
          <w:lang w:val="en-US" w:eastAsia="zh-CN" w:bidi="ar-SA"/>
        </w:rPr>
        <w:t>地方特色食品原料</w:t>
      </w:r>
      <w:r>
        <w:rPr>
          <w:rFonts w:hint="eastAsia" w:ascii="宋体" w:hAnsi="宋体" w:eastAsia="宋体" w:cs="宋体"/>
          <w:kern w:val="2"/>
          <w:sz w:val="28"/>
          <w:szCs w:val="28"/>
          <w:highlight w:val="none"/>
          <w:u w:val="none"/>
          <w:lang w:val="en-US" w:eastAsia="zh-CN" w:bidi="ar-SA"/>
        </w:rPr>
        <w:t>安全</w:t>
      </w:r>
      <w:r>
        <w:rPr>
          <w:rFonts w:hint="eastAsia" w:ascii="宋体" w:hAnsi="宋体" w:cs="宋体"/>
          <w:kern w:val="2"/>
          <w:sz w:val="28"/>
          <w:szCs w:val="28"/>
          <w:highlight w:val="none"/>
          <w:u w:val="none"/>
          <w:lang w:val="en-US" w:eastAsia="zh-CN" w:bidi="ar-SA"/>
        </w:rPr>
        <w:t>性评估，其结论为</w:t>
      </w:r>
      <w:r>
        <w:rPr>
          <w:rFonts w:hint="default" w:ascii="宋体" w:hAnsi="宋体" w:cs="宋体"/>
          <w:kern w:val="2"/>
          <w:sz w:val="28"/>
          <w:szCs w:val="28"/>
          <w:highlight w:val="none"/>
          <w:u w:val="none"/>
          <w:lang w:val="en-US" w:eastAsia="zh-CN" w:bidi="ar-SA"/>
        </w:rPr>
        <w:t>食用牡丹木</w:t>
      </w:r>
      <w:r>
        <w:rPr>
          <w:rFonts w:hint="eastAsia" w:ascii="宋体" w:hAnsi="宋体" w:cs="宋体"/>
          <w:kern w:val="2"/>
          <w:sz w:val="28"/>
          <w:szCs w:val="28"/>
          <w:highlight w:val="none"/>
          <w:u w:val="none"/>
          <w:lang w:val="en-US" w:eastAsia="zh-CN" w:bidi="ar-SA"/>
        </w:rPr>
        <w:t>槿</w:t>
      </w:r>
      <w:r>
        <w:rPr>
          <w:rFonts w:hint="default" w:ascii="宋体" w:hAnsi="宋体" w:cs="宋体"/>
          <w:kern w:val="2"/>
          <w:sz w:val="28"/>
          <w:szCs w:val="28"/>
          <w:highlight w:val="none"/>
          <w:u w:val="none"/>
          <w:lang w:val="en-US" w:eastAsia="zh-CN" w:bidi="ar-SA"/>
        </w:rPr>
        <w:t>花未发现该原料存在健康风险</w:t>
      </w:r>
      <w:r>
        <w:rPr>
          <w:rFonts w:hint="eastAsia" w:ascii="宋体" w:hAnsi="宋体" w:cs="宋体"/>
          <w:kern w:val="2"/>
          <w:sz w:val="28"/>
          <w:szCs w:val="28"/>
          <w:highlight w:val="none"/>
          <w:u w:val="none"/>
          <w:lang w:val="en-US" w:eastAsia="zh-CN" w:bidi="ar-SA"/>
        </w:rPr>
        <w:t>。</w:t>
      </w:r>
    </w:p>
    <w:p>
      <w:pPr>
        <w:pageBreakBefore w:val="0"/>
        <w:widowControl w:val="0"/>
        <w:wordWrap w:val="0"/>
        <w:bidi w:val="0"/>
        <w:spacing w:line="360" w:lineRule="auto"/>
        <w:ind w:left="0" w:leftChars="0" w:firstLine="560" w:firstLineChars="200"/>
        <w:jc w:val="left"/>
        <w:rPr>
          <w:rFonts w:hint="eastAsia" w:ascii="宋体" w:hAnsi="宋体" w:cs="宋体"/>
          <w:kern w:val="2"/>
          <w:sz w:val="28"/>
          <w:szCs w:val="28"/>
          <w:highlight w:val="none"/>
          <w:u w:val="none"/>
          <w:lang w:val="en-US" w:eastAsia="zh-CN" w:bidi="ar-SA"/>
        </w:rPr>
      </w:pPr>
      <w:r>
        <w:rPr>
          <w:rFonts w:hint="eastAsia" w:ascii="宋体" w:hAnsi="宋体" w:cs="宋体"/>
          <w:kern w:val="2"/>
          <w:sz w:val="28"/>
          <w:szCs w:val="28"/>
          <w:highlight w:val="none"/>
          <w:u w:val="none"/>
          <w:lang w:val="en-US" w:eastAsia="zh-CN" w:bidi="ar-SA"/>
        </w:rPr>
        <w:t>对产区当地人群食用牡丹木花的情况进行调查，被调查者来自湖南省益阳市，调查人数834人。调查人群食用牡丹木花(按鲜品计)的平均消费量为148.4g/d，P50消费量为125g/d，P95消费量为250g/d。被调查者均未观察到不良反应。</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4</w:t>
      </w:r>
      <w:r>
        <w:rPr>
          <w:rFonts w:hint="default" w:ascii="宋体" w:hAnsi="宋体" w:eastAsia="宋体" w:cs="宋体"/>
          <w:kern w:val="2"/>
          <w:sz w:val="28"/>
          <w:szCs w:val="28"/>
          <w:highlight w:val="none"/>
          <w:lang w:val="en-US" w:eastAsia="zh-CN" w:bidi="ar-SA"/>
        </w:rPr>
        <w:t>.</w:t>
      </w:r>
      <w:r>
        <w:rPr>
          <w:rFonts w:hint="eastAsia" w:ascii="宋体" w:hAnsi="宋体" w:eastAsia="宋体" w:cs="宋体"/>
          <w:kern w:val="2"/>
          <w:sz w:val="28"/>
          <w:szCs w:val="28"/>
          <w:highlight w:val="none"/>
          <w:lang w:val="en-US" w:eastAsia="zh-CN" w:bidi="ar-SA"/>
        </w:rPr>
        <w:t>标准起草</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ascii="宋体" w:hAnsi="宋体" w:eastAsia="宋体" w:cs="宋体"/>
          <w:kern w:val="2"/>
          <w:sz w:val="28"/>
          <w:szCs w:val="28"/>
          <w:highlight w:val="none"/>
          <w:lang w:val="en-US" w:eastAsia="zh-CN" w:bidi="ar-SA"/>
        </w:rPr>
      </w:pPr>
      <w:r>
        <w:rPr>
          <w:rFonts w:hint="default" w:ascii="宋体" w:hAnsi="宋体" w:eastAsia="宋体" w:cs="宋体"/>
          <w:kern w:val="2"/>
          <w:sz w:val="28"/>
          <w:szCs w:val="28"/>
          <w:highlight w:val="none"/>
          <w:lang w:val="en-US" w:eastAsia="zh-CN" w:bidi="ar-SA"/>
        </w:rPr>
        <w:t>202</w:t>
      </w:r>
      <w:r>
        <w:rPr>
          <w:rFonts w:hint="eastAsia" w:ascii="宋体" w:hAnsi="宋体" w:eastAsia="宋体" w:cs="宋体"/>
          <w:kern w:val="2"/>
          <w:sz w:val="28"/>
          <w:szCs w:val="28"/>
          <w:highlight w:val="none"/>
          <w:lang w:val="en-US" w:eastAsia="zh-CN" w:bidi="ar-SA"/>
        </w:rPr>
        <w:t>4</w:t>
      </w:r>
      <w:r>
        <w:rPr>
          <w:rFonts w:hint="default" w:ascii="宋体" w:hAnsi="宋体" w:eastAsia="宋体" w:cs="宋体"/>
          <w:kern w:val="2"/>
          <w:sz w:val="28"/>
          <w:szCs w:val="28"/>
          <w:highlight w:val="none"/>
          <w:lang w:val="en-US" w:eastAsia="zh-CN" w:bidi="ar-SA"/>
        </w:rPr>
        <w:t>年，起草组多次召开起草组工作会及专家咨询会，对标准框架、制定依据、文本内容等进行讨论，完成标准初稿的起草工作。在完成标准初稿后，</w:t>
      </w:r>
      <w:r>
        <w:rPr>
          <w:rFonts w:hint="eastAsia" w:ascii="宋体" w:hAnsi="宋体" w:cs="宋体"/>
          <w:kern w:val="2"/>
          <w:sz w:val="28"/>
          <w:szCs w:val="28"/>
          <w:highlight w:val="none"/>
          <w:lang w:val="en-US" w:eastAsia="zh-CN" w:bidi="ar-SA"/>
        </w:rPr>
        <w:t>征集</w:t>
      </w:r>
      <w:r>
        <w:rPr>
          <w:rFonts w:hint="default" w:ascii="宋体" w:hAnsi="宋体" w:eastAsia="宋体" w:cs="宋体"/>
          <w:kern w:val="2"/>
          <w:sz w:val="28"/>
          <w:szCs w:val="28"/>
          <w:highlight w:val="none"/>
          <w:lang w:val="en-US" w:eastAsia="zh-CN" w:bidi="ar-SA"/>
        </w:rPr>
        <w:t>专家意见，并根据反馈的意见与建议，对标准初稿进行了修改、补充和完善，形成了</w:t>
      </w:r>
      <w:r>
        <w:rPr>
          <w:rFonts w:hint="eastAsia" w:ascii="宋体" w:hAnsi="宋体" w:cs="宋体"/>
          <w:kern w:val="2"/>
          <w:sz w:val="28"/>
          <w:szCs w:val="28"/>
          <w:highlight w:val="none"/>
          <w:lang w:val="en-US" w:eastAsia="zh-CN" w:bidi="ar-SA"/>
        </w:rPr>
        <w:t>草</w:t>
      </w:r>
      <w:r>
        <w:rPr>
          <w:rFonts w:hint="default" w:ascii="宋体" w:hAnsi="宋体" w:eastAsia="宋体" w:cs="宋体"/>
          <w:kern w:val="2"/>
          <w:sz w:val="28"/>
          <w:szCs w:val="28"/>
          <w:highlight w:val="none"/>
          <w:lang w:val="en-US" w:eastAsia="zh-CN" w:bidi="ar-SA"/>
        </w:rPr>
        <w:t>稿</w:t>
      </w:r>
      <w:r>
        <w:rPr>
          <w:rFonts w:hint="eastAsia" w:ascii="宋体" w:hAnsi="宋体" w:cs="宋体"/>
          <w:kern w:val="2"/>
          <w:sz w:val="28"/>
          <w:szCs w:val="28"/>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default"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四</w:t>
      </w:r>
      <w:r>
        <w:rPr>
          <w:rFonts w:hint="default" w:ascii="宋体" w:hAnsi="宋体" w:eastAsia="宋体" w:cs="宋体"/>
          <w:b/>
          <w:bCs/>
          <w:kern w:val="2"/>
          <w:sz w:val="28"/>
          <w:szCs w:val="28"/>
          <w:highlight w:val="none"/>
          <w:lang w:val="en-US" w:eastAsia="zh-CN" w:bidi="ar-SA"/>
        </w:rPr>
        <w:t>、标准的主要技术内容</w:t>
      </w:r>
      <w:r>
        <w:rPr>
          <w:rFonts w:hint="eastAsia" w:ascii="宋体" w:hAnsi="宋体" w:cs="宋体"/>
          <w:b/>
          <w:bCs/>
          <w:kern w:val="2"/>
          <w:sz w:val="28"/>
          <w:szCs w:val="28"/>
          <w:highlight w:val="none"/>
          <w:lang w:val="en-US" w:eastAsia="zh-CN" w:bidi="ar-SA"/>
        </w:rPr>
        <w:t>制定依据</w:t>
      </w:r>
    </w:p>
    <w:p>
      <w:pPr>
        <w:ind w:firstLine="560" w:firstLineChars="200"/>
        <w:rPr>
          <w:sz w:val="28"/>
          <w:szCs w:val="28"/>
        </w:rPr>
      </w:pPr>
      <w:r>
        <w:rPr>
          <w:sz w:val="28"/>
          <w:szCs w:val="28"/>
        </w:rPr>
        <w:t>（</w:t>
      </w:r>
      <w:r>
        <w:rPr>
          <w:rFonts w:hint="eastAsia"/>
          <w:sz w:val="28"/>
          <w:szCs w:val="28"/>
          <w:lang w:val="en-US" w:eastAsia="zh-CN"/>
        </w:rPr>
        <w:t>一</w:t>
      </w:r>
      <w:r>
        <w:rPr>
          <w:sz w:val="28"/>
          <w:szCs w:val="28"/>
        </w:rPr>
        <w:t>）术语和定义</w:t>
      </w:r>
    </w:p>
    <w:p>
      <w:pPr>
        <w:widowControl w:val="0"/>
        <w:adjustRightInd/>
        <w:snapToGrid/>
        <w:spacing w:after="0" w:line="336" w:lineRule="auto"/>
        <w:ind w:left="0" w:right="345" w:firstLine="560" w:firstLineChars="200"/>
        <w:jc w:val="both"/>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通过</w:t>
      </w:r>
      <w:r>
        <w:rPr>
          <w:rFonts w:hint="eastAsia" w:ascii="宋体" w:hAnsi="宋体" w:cs="宋体"/>
          <w:kern w:val="2"/>
          <w:sz w:val="28"/>
          <w:szCs w:val="28"/>
          <w:highlight w:val="none"/>
          <w:lang w:val="en-US" w:eastAsia="zh-CN" w:bidi="ar-SA"/>
        </w:rPr>
        <w:t>查阅文献、</w:t>
      </w:r>
      <w:r>
        <w:rPr>
          <w:rFonts w:hint="eastAsia" w:ascii="宋体" w:hAnsi="宋体" w:eastAsia="宋体" w:cs="宋体"/>
          <w:kern w:val="2"/>
          <w:sz w:val="28"/>
          <w:szCs w:val="28"/>
          <w:highlight w:val="none"/>
          <w:u w:val="none"/>
          <w:lang w:val="en-US" w:eastAsia="zh-CN" w:bidi="ar-SA"/>
        </w:rPr>
        <w:t>种属鉴定</w:t>
      </w:r>
      <w:r>
        <w:rPr>
          <w:rFonts w:hint="eastAsia" w:ascii="宋体" w:hAnsi="宋体" w:cs="宋体"/>
          <w:kern w:val="2"/>
          <w:sz w:val="28"/>
          <w:szCs w:val="28"/>
          <w:highlight w:val="none"/>
          <w:u w:val="none"/>
          <w:lang w:val="en-US" w:eastAsia="zh-CN" w:bidi="ar-SA"/>
        </w:rPr>
        <w:t>、</w:t>
      </w:r>
      <w:r>
        <w:rPr>
          <w:rFonts w:hint="eastAsia" w:ascii="宋体" w:hAnsi="宋体" w:eastAsia="宋体" w:cs="宋体"/>
          <w:kern w:val="2"/>
          <w:sz w:val="28"/>
          <w:szCs w:val="28"/>
          <w:highlight w:val="none"/>
          <w:lang w:val="en-US" w:eastAsia="zh-CN" w:bidi="ar-SA"/>
        </w:rPr>
        <w:t>市场调研，综合生产企业、监管部门、相关专家等各方意见，明确了“牡丹木槿花”的定义。牡丹木槿花为锦葵科植物牡丹木槿（</w:t>
      </w:r>
      <w:r>
        <w:rPr>
          <w:rFonts w:hint="default" w:ascii="Times New Roman" w:hAnsi="Times New Roman" w:eastAsia="宋体" w:cs="Times New Roman"/>
          <w:i/>
          <w:iCs/>
          <w:sz w:val="28"/>
          <w:szCs w:val="28"/>
          <w:highlight w:val="none"/>
          <w:lang w:val="en-US" w:eastAsia="zh-CN" w:bidi="ar-SA"/>
        </w:rPr>
        <w:t>Hibiscus syriacus</w:t>
      </w:r>
      <w:r>
        <w:rPr>
          <w:rFonts w:hint="default" w:ascii="Times New Roman" w:hAnsi="Times New Roman" w:eastAsia="宋体" w:cs="Times New Roman"/>
          <w:sz w:val="28"/>
          <w:szCs w:val="28"/>
          <w:highlight w:val="none"/>
          <w:lang w:val="en-US" w:eastAsia="zh-CN" w:bidi="ar-SA"/>
        </w:rPr>
        <w:t xml:space="preserve"> f.</w:t>
      </w:r>
      <w:r>
        <w:rPr>
          <w:rFonts w:hint="eastAsia" w:ascii="Times New Roman" w:hAnsi="Times New Roman" w:eastAsia="宋体" w:cs="Times New Roman"/>
          <w:sz w:val="28"/>
          <w:szCs w:val="28"/>
          <w:highlight w:val="none"/>
          <w:lang w:val="en-US" w:eastAsia="zh-CN" w:bidi="ar-SA"/>
        </w:rPr>
        <w:t xml:space="preserve"> </w:t>
      </w:r>
      <w:r>
        <w:rPr>
          <w:rFonts w:hint="default" w:ascii="Times New Roman" w:hAnsi="Times New Roman" w:eastAsia="宋体" w:cs="Times New Roman"/>
          <w:i/>
          <w:iCs/>
          <w:sz w:val="28"/>
          <w:szCs w:val="28"/>
          <w:highlight w:val="none"/>
          <w:lang w:val="en-US" w:eastAsia="zh-CN" w:bidi="ar-SA"/>
        </w:rPr>
        <w:t>paeoniflorus</w:t>
      </w:r>
      <w:r>
        <w:rPr>
          <w:rFonts w:hint="default" w:ascii="Times New Roman" w:hAnsi="Times New Roman" w:eastAsia="宋体" w:cs="Times New Roman"/>
          <w:sz w:val="28"/>
          <w:szCs w:val="28"/>
          <w:highlight w:val="none"/>
          <w:lang w:val="en-US" w:eastAsia="zh-CN" w:bidi="ar-SA"/>
        </w:rPr>
        <w:t xml:space="preserve"> Gagnep. f</w:t>
      </w:r>
      <w:r>
        <w:rPr>
          <w:rFonts w:hint="eastAsia" w:ascii="宋体" w:hAnsi="Times New Roman" w:eastAsia="宋体" w:cs="Times New Roman"/>
          <w:sz w:val="28"/>
          <w:szCs w:val="28"/>
          <w:highlight w:val="none"/>
          <w:lang w:val="en-US" w:eastAsia="zh-CN" w:bidi="ar-SA"/>
        </w:rPr>
        <w:t>.）</w:t>
      </w:r>
      <w:r>
        <w:rPr>
          <w:rFonts w:hint="eastAsia" w:ascii="宋体" w:hAnsi="宋体" w:eastAsia="宋体" w:cs="宋体"/>
          <w:kern w:val="2"/>
          <w:sz w:val="28"/>
          <w:szCs w:val="28"/>
          <w:highlight w:val="none"/>
          <w:lang w:val="en-US" w:eastAsia="zh-CN" w:bidi="ar-SA"/>
        </w:rPr>
        <w:t>的花及花蕾。</w:t>
      </w:r>
    </w:p>
    <w:p>
      <w:pPr>
        <w:numPr>
          <w:ilvl w:val="0"/>
          <w:numId w:val="0"/>
        </w:numPr>
        <w:ind w:firstLine="560" w:firstLineChars="200"/>
        <w:rPr>
          <w:rFonts w:hint="eastAsia"/>
          <w:sz w:val="28"/>
          <w:szCs w:val="28"/>
          <w:lang w:val="en-US" w:eastAsia="zh-CN"/>
        </w:rPr>
      </w:pPr>
      <w:r>
        <w:rPr>
          <w:rFonts w:hint="eastAsia"/>
          <w:sz w:val="28"/>
          <w:szCs w:val="28"/>
          <w:lang w:val="en-US" w:eastAsia="zh-CN"/>
        </w:rPr>
        <w:t>（二）感官要求</w:t>
      </w:r>
    </w:p>
    <w:p>
      <w:pPr>
        <w:widowControl w:val="0"/>
        <w:adjustRightInd/>
        <w:snapToGrid/>
        <w:spacing w:after="0" w:line="360" w:lineRule="auto"/>
        <w:ind w:right="345"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根</w:t>
      </w:r>
      <w:r>
        <w:rPr>
          <w:rFonts w:hint="eastAsia" w:ascii="宋体" w:hAnsi="宋体" w:cs="宋体"/>
          <w:kern w:val="2"/>
          <w:sz w:val="28"/>
          <w:szCs w:val="28"/>
          <w:highlight w:val="none"/>
          <w:u w:val="none"/>
          <w:lang w:val="en-US" w:eastAsia="zh-CN" w:bidi="ar-SA"/>
        </w:rPr>
        <w:t>据</w:t>
      </w:r>
      <w:r>
        <w:rPr>
          <w:rFonts w:hint="eastAsia" w:ascii="宋体" w:hAnsi="宋体" w:eastAsia="宋体" w:cs="宋体"/>
          <w:kern w:val="2"/>
          <w:sz w:val="28"/>
          <w:szCs w:val="28"/>
          <w:highlight w:val="none"/>
          <w:u w:val="none"/>
          <w:lang w:val="en-US" w:eastAsia="zh-CN" w:bidi="ar-SA"/>
        </w:rPr>
        <w:t>湖南省中医药研究院进行牡丹木槿花的种属鉴定</w:t>
      </w:r>
      <w:r>
        <w:rPr>
          <w:rFonts w:hint="eastAsia" w:ascii="宋体" w:hAnsi="宋体" w:cs="宋体"/>
          <w:kern w:val="2"/>
          <w:sz w:val="28"/>
          <w:szCs w:val="28"/>
          <w:highlight w:val="none"/>
          <w:u w:val="none"/>
          <w:lang w:val="en-US" w:eastAsia="zh-CN" w:bidi="ar-SA"/>
        </w:rPr>
        <w:t>报告（见附录一）</w:t>
      </w:r>
      <w:r>
        <w:rPr>
          <w:rFonts w:hint="eastAsia" w:ascii="宋体" w:hAnsi="宋体" w:eastAsia="宋体" w:cs="宋体"/>
          <w:kern w:val="2"/>
          <w:sz w:val="28"/>
          <w:szCs w:val="28"/>
          <w:highlight w:val="none"/>
          <w:u w:val="none"/>
          <w:lang w:val="en-US" w:eastAsia="zh-CN" w:bidi="ar-SA"/>
        </w:rPr>
        <w:t>：经过对牡丹</w:t>
      </w:r>
      <w:r>
        <w:rPr>
          <w:rFonts w:hint="eastAsia" w:ascii="宋体" w:hAnsi="宋体" w:eastAsia="宋体" w:cs="宋体"/>
          <w:kern w:val="2"/>
          <w:sz w:val="28"/>
          <w:szCs w:val="28"/>
          <w:highlight w:val="none"/>
          <w:lang w:val="en-US" w:eastAsia="zh-CN" w:bidi="ar-SA"/>
        </w:rPr>
        <w:t>木槿花的品种进行鉴定，根据样品形态鉴定其为木槿属植物，并具备关键特征：①直立灌木；②叶卵圆形或菱状卵圆形，基部楔形至宽楔形，有3～5脉；叶缘具锯齿或齿牙，叶片肥厚；③花直立，花单生于叶腋；④小苞片线形或卵形，先端锐；⑤花粉红色或淡紫色，重瓣，直径7～9厘米，雄蕊柱不伸出花外。在《中国植物志》木槿属中检索，样品形态特征符合《中国植物志》中关于牡丹木槿（</w:t>
      </w:r>
      <w:r>
        <w:rPr>
          <w:rFonts w:hint="eastAsia" w:ascii="Times New Roman" w:hAnsi="Times New Roman" w:eastAsia="宋体" w:cs="Times New Roman"/>
          <w:i/>
          <w:iCs/>
          <w:sz w:val="28"/>
          <w:szCs w:val="28"/>
          <w:highlight w:val="none"/>
          <w:lang w:val="en-US" w:eastAsia="zh-CN" w:bidi="ar-SA"/>
        </w:rPr>
        <w:t xml:space="preserve">Hibiscus syriacus </w:t>
      </w:r>
      <w:r>
        <w:rPr>
          <w:rFonts w:hint="eastAsia" w:ascii="Times New Roman" w:hAnsi="Times New Roman" w:eastAsia="宋体" w:cs="Times New Roman"/>
          <w:i w:val="0"/>
          <w:iCs w:val="0"/>
          <w:sz w:val="28"/>
          <w:szCs w:val="28"/>
          <w:highlight w:val="none"/>
          <w:lang w:val="en-US" w:eastAsia="zh-CN" w:bidi="ar-SA"/>
        </w:rPr>
        <w:t>Linn f</w:t>
      </w:r>
      <w:r>
        <w:rPr>
          <w:rFonts w:hint="eastAsia" w:ascii="Times New Roman" w:hAnsi="Times New Roman" w:eastAsia="宋体" w:cs="Times New Roman"/>
          <w:i/>
          <w:iCs/>
          <w:sz w:val="28"/>
          <w:szCs w:val="28"/>
          <w:highlight w:val="none"/>
          <w:lang w:val="en-US" w:eastAsia="zh-CN" w:bidi="ar-SA"/>
        </w:rPr>
        <w:t xml:space="preserve">. paeoniflorus </w:t>
      </w:r>
      <w:r>
        <w:rPr>
          <w:rFonts w:hint="eastAsia" w:ascii="Times New Roman" w:hAnsi="Times New Roman" w:eastAsia="宋体" w:cs="Times New Roman"/>
          <w:i w:val="0"/>
          <w:iCs w:val="0"/>
          <w:sz w:val="28"/>
          <w:szCs w:val="28"/>
          <w:highlight w:val="none"/>
          <w:lang w:val="en-US" w:eastAsia="zh-CN" w:bidi="ar-SA"/>
        </w:rPr>
        <w:t>Gagnep .f）</w:t>
      </w:r>
      <w:r>
        <w:rPr>
          <w:rFonts w:hint="eastAsia" w:ascii="宋体" w:hAnsi="宋体" w:eastAsia="宋体" w:cs="宋体"/>
          <w:kern w:val="2"/>
          <w:sz w:val="28"/>
          <w:szCs w:val="28"/>
          <w:highlight w:val="none"/>
          <w:lang w:val="en-US" w:eastAsia="zh-CN" w:bidi="ar-SA"/>
        </w:rPr>
        <w:t>的描述，鉴定标本为锦葵科（</w:t>
      </w:r>
      <w:r>
        <w:rPr>
          <w:rFonts w:hint="eastAsia" w:ascii="Times New Roman" w:hAnsi="Times New Roman" w:eastAsia="宋体" w:cs="Times New Roman"/>
          <w:i/>
          <w:iCs/>
          <w:sz w:val="28"/>
          <w:szCs w:val="28"/>
          <w:highlight w:val="none"/>
          <w:lang w:val="en-US" w:eastAsia="zh-CN" w:bidi="ar-SA"/>
        </w:rPr>
        <w:t>Malvaceae）</w:t>
      </w:r>
      <w:r>
        <w:rPr>
          <w:rFonts w:hint="eastAsia" w:ascii="宋体" w:hAnsi="宋体" w:eastAsia="宋体" w:cs="宋体"/>
          <w:kern w:val="2"/>
          <w:sz w:val="28"/>
          <w:szCs w:val="28"/>
          <w:highlight w:val="none"/>
          <w:lang w:val="en-US" w:eastAsia="zh-CN" w:bidi="ar-SA"/>
        </w:rPr>
        <w:t>木槿属（</w:t>
      </w:r>
      <w:r>
        <w:rPr>
          <w:rFonts w:hint="eastAsia" w:ascii="Times New Roman" w:hAnsi="Times New Roman" w:eastAsia="宋体" w:cs="Times New Roman"/>
          <w:i/>
          <w:iCs/>
          <w:sz w:val="28"/>
          <w:szCs w:val="28"/>
          <w:highlight w:val="none"/>
          <w:lang w:val="en-US" w:eastAsia="zh-CN" w:bidi="ar-SA"/>
        </w:rPr>
        <w:t>Hibiscus）</w:t>
      </w:r>
      <w:r>
        <w:rPr>
          <w:rFonts w:hint="eastAsia" w:ascii="宋体" w:hAnsi="宋体" w:eastAsia="宋体" w:cs="宋体"/>
          <w:kern w:val="2"/>
          <w:sz w:val="28"/>
          <w:szCs w:val="28"/>
          <w:highlight w:val="none"/>
          <w:lang w:val="en-US" w:eastAsia="zh-CN" w:bidi="ar-SA"/>
        </w:rPr>
        <w:t>植物牡丹木槿（</w:t>
      </w:r>
      <w:r>
        <w:rPr>
          <w:rFonts w:hint="eastAsia" w:ascii="Times New Roman" w:hAnsi="Times New Roman" w:eastAsia="宋体" w:cs="Times New Roman"/>
          <w:i/>
          <w:iCs/>
          <w:sz w:val="28"/>
          <w:szCs w:val="28"/>
          <w:highlight w:val="none"/>
          <w:lang w:val="en-US" w:eastAsia="zh-CN" w:bidi="ar-SA"/>
        </w:rPr>
        <w:t xml:space="preserve">Hibiscus syriacus </w:t>
      </w:r>
      <w:r>
        <w:rPr>
          <w:rFonts w:hint="eastAsia" w:ascii="Times New Roman" w:hAnsi="Times New Roman" w:eastAsia="宋体" w:cs="Times New Roman"/>
          <w:i w:val="0"/>
          <w:iCs w:val="0"/>
          <w:sz w:val="28"/>
          <w:szCs w:val="28"/>
          <w:highlight w:val="none"/>
          <w:lang w:val="en-US" w:eastAsia="zh-CN" w:bidi="ar-SA"/>
        </w:rPr>
        <w:t>f</w:t>
      </w:r>
      <w:r>
        <w:rPr>
          <w:rFonts w:hint="eastAsia" w:ascii="Times New Roman" w:hAnsi="Times New Roman" w:eastAsia="宋体" w:cs="Times New Roman"/>
          <w:i/>
          <w:iCs/>
          <w:sz w:val="28"/>
          <w:szCs w:val="28"/>
          <w:highlight w:val="none"/>
          <w:lang w:val="en-US" w:eastAsia="zh-CN" w:bidi="ar-SA"/>
        </w:rPr>
        <w:t xml:space="preserve">. paeoniflorus </w:t>
      </w:r>
      <w:r>
        <w:rPr>
          <w:rFonts w:hint="eastAsia" w:ascii="Times New Roman" w:hAnsi="Times New Roman" w:eastAsia="宋体" w:cs="Times New Roman"/>
          <w:i w:val="0"/>
          <w:iCs w:val="0"/>
          <w:sz w:val="28"/>
          <w:szCs w:val="28"/>
          <w:highlight w:val="none"/>
          <w:lang w:val="en-US" w:eastAsia="zh-CN" w:bidi="ar-SA"/>
        </w:rPr>
        <w:t>Gagnep. f.)，英文名：Rose-of-Sharon</w:t>
      </w:r>
      <w:r>
        <w:rPr>
          <w:rFonts w:hint="eastAsia" w:ascii="宋体" w:hAnsi="宋体" w:eastAsia="宋体" w:cs="宋体"/>
          <w:kern w:val="2"/>
          <w:sz w:val="28"/>
          <w:szCs w:val="28"/>
          <w:highlight w:val="none"/>
          <w:lang w:val="en-US" w:eastAsia="zh-CN" w:bidi="ar-SA"/>
        </w:rPr>
        <w:t>。从牡丹木槿花的形态、色泽、滋味及气味等方面</w:t>
      </w:r>
      <w:r>
        <w:rPr>
          <w:rFonts w:hint="eastAsia" w:ascii="宋体" w:hAnsi="宋体" w:cs="宋体"/>
          <w:kern w:val="2"/>
          <w:sz w:val="28"/>
          <w:szCs w:val="28"/>
          <w:highlight w:val="none"/>
          <w:lang w:val="en-US" w:eastAsia="zh-CN" w:bidi="ar-SA"/>
        </w:rPr>
        <w:t>进行要求</w:t>
      </w:r>
      <w:r>
        <w:rPr>
          <w:rFonts w:hint="eastAsia" w:ascii="宋体" w:hAnsi="宋体" w:eastAsia="宋体" w:cs="宋体"/>
          <w:kern w:val="2"/>
          <w:sz w:val="28"/>
          <w:szCs w:val="28"/>
          <w:highlight w:val="none"/>
          <w:lang w:val="en-US" w:eastAsia="zh-CN" w:bidi="ar-SA"/>
        </w:rPr>
        <w:t>。</w:t>
      </w:r>
    </w:p>
    <w:p>
      <w:pPr>
        <w:widowControl w:val="0"/>
        <w:adjustRightInd/>
        <w:snapToGrid/>
        <w:spacing w:after="0" w:line="360" w:lineRule="auto"/>
        <w:ind w:right="345" w:firstLine="560" w:firstLineChars="200"/>
        <w:jc w:val="left"/>
        <w:rPr>
          <w:rFonts w:hint="eastAsia"/>
          <w:sz w:val="28"/>
          <w:szCs w:val="28"/>
          <w:lang w:val="en-US" w:eastAsia="zh-CN"/>
        </w:rPr>
      </w:pPr>
      <w:r>
        <w:rPr>
          <w:rFonts w:hint="eastAsia" w:ascii="宋体" w:hAnsi="宋体" w:eastAsia="宋体" w:cs="宋体"/>
          <w:kern w:val="2"/>
          <w:sz w:val="28"/>
          <w:szCs w:val="28"/>
          <w:highlight w:val="none"/>
          <w:lang w:val="en-US" w:eastAsia="zh-CN" w:bidi="ar-SA"/>
        </w:rPr>
        <w:t>牡丹木槿花干品因</w:t>
      </w:r>
      <w:r>
        <w:rPr>
          <w:rFonts w:hint="eastAsia" w:ascii="宋体" w:hAnsi="宋体" w:cs="宋体"/>
          <w:kern w:val="2"/>
          <w:sz w:val="28"/>
          <w:szCs w:val="28"/>
          <w:highlight w:val="none"/>
          <w:lang w:val="en-US" w:eastAsia="zh-CN" w:bidi="ar-SA"/>
        </w:rPr>
        <w:t>干燥</w:t>
      </w:r>
      <w:r>
        <w:rPr>
          <w:rFonts w:hint="eastAsia" w:ascii="宋体" w:hAnsi="宋体" w:eastAsia="宋体" w:cs="宋体"/>
          <w:kern w:val="2"/>
          <w:sz w:val="28"/>
          <w:szCs w:val="28"/>
          <w:highlight w:val="none"/>
          <w:lang w:val="en-US" w:eastAsia="zh-CN" w:bidi="ar-SA"/>
        </w:rPr>
        <w:t>方式不同会导致其色泽差异较大，在色泽方面表述为具有产品应有的色泽；新鲜的牡丹木槿花呈粉红色至淡紫色。气味与滋味表述为具有牡丹木槿花固有的气味、滋味，无其他异味。在组织形态上鲜品表述为重瓣，允许有花梗，新鲜，无虫蛀，无霉变，无腐烂；干品表述为重瓣，允许有花梗，无虫蛀，无霉变。在杂质方面，无正常视力可见外来杂质。</w:t>
      </w:r>
      <w:r>
        <w:rPr>
          <w:rFonts w:hint="eastAsia" w:ascii="宋体" w:hAnsi="宋体" w:cs="宋体"/>
          <w:kern w:val="2"/>
          <w:sz w:val="28"/>
          <w:szCs w:val="28"/>
          <w:highlight w:val="none"/>
          <w:lang w:val="en-US" w:eastAsia="zh-CN" w:bidi="ar-SA"/>
        </w:rPr>
        <w:t>其检测方法：</w:t>
      </w:r>
      <w:r>
        <w:rPr>
          <w:rFonts w:hint="eastAsia" w:ascii="宋体" w:hAnsi="宋体" w:eastAsia="宋体" w:cs="宋体"/>
          <w:kern w:val="2"/>
          <w:sz w:val="28"/>
          <w:szCs w:val="28"/>
          <w:highlight w:val="none"/>
          <w:lang w:val="en-US" w:eastAsia="zh-CN" w:bidi="ar-SA"/>
        </w:rPr>
        <w:t>置于洁净的白瓷盘中，在自然光下观察其色泽、组织形态，检查其是否含有杂质，闻其气味，用温开水漱口后品尝其滋味</w:t>
      </w:r>
      <w:r>
        <w:rPr>
          <w:rFonts w:hint="eastAsia" w:ascii="宋体" w:hAnsi="宋体" w:cs="宋体"/>
          <w:kern w:val="2"/>
          <w:sz w:val="28"/>
          <w:szCs w:val="28"/>
          <w:highlight w:val="none"/>
          <w:lang w:val="en-US" w:eastAsia="zh-CN" w:bidi="ar-SA"/>
        </w:rPr>
        <w:t>。</w:t>
      </w:r>
    </w:p>
    <w:p>
      <w:pPr>
        <w:numPr>
          <w:ilvl w:val="0"/>
          <w:numId w:val="0"/>
        </w:numPr>
        <w:ind w:firstLine="560" w:firstLineChars="200"/>
        <w:rPr>
          <w:rFonts w:hint="eastAsia"/>
          <w:sz w:val="28"/>
          <w:szCs w:val="28"/>
          <w:lang w:val="en-US" w:eastAsia="zh-CN"/>
        </w:rPr>
      </w:pPr>
      <w:r>
        <w:rPr>
          <w:rFonts w:hint="eastAsia"/>
          <w:sz w:val="28"/>
          <w:szCs w:val="28"/>
          <w:lang w:val="en-US" w:eastAsia="zh-CN"/>
        </w:rPr>
        <w:t>（三）水分</w:t>
      </w:r>
    </w:p>
    <w:p>
      <w:pPr>
        <w:widowControl w:val="0"/>
        <w:adjustRightInd/>
        <w:snapToGrid/>
        <w:spacing w:after="0" w:line="360" w:lineRule="auto"/>
        <w:ind w:right="345"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水分检测方法</w:t>
      </w:r>
      <w:r>
        <w:rPr>
          <w:rFonts w:hint="eastAsia" w:ascii="宋体" w:hAnsi="宋体" w:cs="宋体"/>
          <w:kern w:val="2"/>
          <w:sz w:val="28"/>
          <w:szCs w:val="28"/>
          <w:highlight w:val="none"/>
          <w:lang w:val="en-US" w:eastAsia="zh-CN" w:bidi="ar-SA"/>
        </w:rPr>
        <w:t>按照</w:t>
      </w:r>
      <w:r>
        <w:rPr>
          <w:rFonts w:hint="eastAsia" w:ascii="宋体" w:hAnsi="宋体" w:eastAsia="宋体" w:cs="宋体"/>
          <w:kern w:val="2"/>
          <w:sz w:val="28"/>
          <w:szCs w:val="28"/>
          <w:highlight w:val="none"/>
          <w:lang w:val="en-US" w:eastAsia="zh-CN" w:bidi="ar-SA"/>
        </w:rPr>
        <w:t>GB 5009.3《食品安全国家标准 食品中水分的测定》执行。样品测定结果见表1和表2。</w:t>
      </w:r>
    </w:p>
    <w:p>
      <w:pPr>
        <w:widowControl w:val="0"/>
        <w:adjustRightInd/>
        <w:snapToGrid/>
        <w:spacing w:after="0" w:line="360" w:lineRule="auto"/>
        <w:ind w:right="345"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指标确定依据：水分指标分为牡丹木槿花干品和鲜品分别进行检测。检测10个批次牡丹木槿花干品的水分和30个批次牡丹木槿花鲜品的水分，结果显示牡丹木槿花干品的水分含量在10.2～10.7g/100g之间，平均值为10.4g/100g，详见表1，牡丹木槿花鲜品水分含量在92.4～93.7g/100g之间，平均值为92.94g/100g，详见表2。</w:t>
      </w:r>
    </w:p>
    <w:p>
      <w:pPr>
        <w:widowControl w:val="0"/>
        <w:adjustRightInd/>
        <w:snapToGrid/>
        <w:spacing w:after="0" w:line="360" w:lineRule="auto"/>
        <w:ind w:right="345"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参照表3中不同蔬菜、食用花卉及代用茶水分、灰分汇总对比表，结合牡丹木槿花干品的检测数据，考虑到各地湿度的差异，在本标准中规定了牡丹木槿花干品的水分为≤12.0g/100g；结合牡丹木槿花鲜品检测数据，将其鲜品水分定为75～95g/100g。</w:t>
      </w:r>
    </w:p>
    <w:p>
      <w:pPr>
        <w:pStyle w:val="6"/>
        <w:jc w:val="center"/>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表</w:t>
      </w:r>
      <w:r>
        <w:rPr>
          <w:rFonts w:hint="eastAsia" w:ascii="黑体" w:hAnsi="黑体" w:cs="黑体"/>
          <w:color w:val="auto"/>
          <w:kern w:val="2"/>
          <w:sz w:val="28"/>
          <w:szCs w:val="28"/>
          <w:highlight w:val="none"/>
          <w:lang w:val="en-US" w:eastAsia="zh-CN" w:bidi="ar-SA"/>
        </w:rPr>
        <w:t>1</w:t>
      </w:r>
      <w:r>
        <w:rPr>
          <w:rFonts w:hint="eastAsia" w:ascii="黑体" w:hAnsi="黑体" w:eastAsia="黑体" w:cs="黑体"/>
          <w:color w:val="auto"/>
          <w:kern w:val="2"/>
          <w:sz w:val="28"/>
          <w:szCs w:val="28"/>
          <w:highlight w:val="none"/>
          <w:lang w:val="en-US" w:eastAsia="zh-CN" w:bidi="ar-SA"/>
        </w:rPr>
        <w:t xml:space="preserve">  </w:t>
      </w:r>
      <w:r>
        <w:rPr>
          <w:rFonts w:hint="eastAsia" w:ascii="黑体" w:hAnsi="黑体" w:cs="黑体"/>
          <w:color w:val="auto"/>
          <w:kern w:val="2"/>
          <w:sz w:val="28"/>
          <w:szCs w:val="28"/>
          <w:highlight w:val="none"/>
          <w:lang w:val="en-US" w:eastAsia="zh-CN" w:bidi="ar-SA"/>
        </w:rPr>
        <w:t>牡丹木槿花干品</w:t>
      </w:r>
      <w:r>
        <w:rPr>
          <w:rFonts w:hint="eastAsia" w:ascii="黑体" w:hAnsi="黑体" w:eastAsia="黑体" w:cs="黑体"/>
          <w:color w:val="auto"/>
          <w:kern w:val="2"/>
          <w:sz w:val="28"/>
          <w:szCs w:val="28"/>
          <w:highlight w:val="none"/>
          <w:lang w:val="en-US" w:eastAsia="zh-CN" w:bidi="ar-SA"/>
        </w:rPr>
        <w:t>的水分含量</w:t>
      </w:r>
    </w:p>
    <w:tbl>
      <w:tblPr>
        <w:tblStyle w:val="11"/>
        <w:tblW w:w="899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1"/>
        <w:gridCol w:w="2125"/>
        <w:gridCol w:w="4531"/>
        <w:gridCol w:w="17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581" w:type="dxa"/>
            <w:tcBorders>
              <w:left w:val="nil"/>
              <w:bottom w:val="single"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序号</w:t>
            </w:r>
          </w:p>
        </w:tc>
        <w:tc>
          <w:tcPr>
            <w:tcW w:w="2125" w:type="dxa"/>
            <w:tcBorders>
              <w:left w:val="nil"/>
              <w:bottom w:val="single" w:color="auto" w:sz="4" w:space="0"/>
              <w:right w:val="nil"/>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编号</w:t>
            </w:r>
          </w:p>
        </w:tc>
        <w:tc>
          <w:tcPr>
            <w:tcW w:w="4531" w:type="dxa"/>
            <w:tcBorders>
              <w:left w:val="nil"/>
              <w:bottom w:val="single" w:color="auto" w:sz="4" w:space="0"/>
              <w:right w:val="nil"/>
            </w:tcBorders>
            <w:noWrap w:val="0"/>
            <w:vAlign w:val="center"/>
          </w:tcPr>
          <w:p>
            <w:pPr>
              <w:keepNext w:val="0"/>
              <w:keepLines w:val="0"/>
              <w:widowControl/>
              <w:suppressLineNumbers w:val="0"/>
              <w:jc w:val="center"/>
              <w:textAlignment w:val="center"/>
              <w:rPr>
                <w:rFonts w:hint="default"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采样地</w:t>
            </w:r>
          </w:p>
        </w:tc>
        <w:tc>
          <w:tcPr>
            <w:tcW w:w="1762" w:type="dxa"/>
            <w:tcBorders>
              <w:left w:val="nil"/>
              <w:bottom w:val="single" w:color="auto" w:sz="4" w:space="0"/>
              <w:right w:val="nil"/>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水分/（g/100g）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single"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1</w:t>
            </w:r>
          </w:p>
        </w:tc>
        <w:tc>
          <w:tcPr>
            <w:tcW w:w="2125" w:type="dxa"/>
            <w:tcBorders>
              <w:top w:val="single"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FW2304861-001</w:t>
            </w:r>
          </w:p>
        </w:tc>
        <w:tc>
          <w:tcPr>
            <w:tcW w:w="4531" w:type="dxa"/>
            <w:tcBorders>
              <w:top w:val="single"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娄底市娄星区杉山镇万乐村</w:t>
            </w:r>
          </w:p>
        </w:tc>
        <w:tc>
          <w:tcPr>
            <w:tcW w:w="1762" w:type="dxa"/>
            <w:tcBorders>
              <w:top w:val="single"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2</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FW2304861-002</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岳阳平江龙门镇新和村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3</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FW2304861-003</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湖南省常德市汉寿县蒋家嘴镇沙湖村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4</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FW2304861-004</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长沙雨花区跳马镇跳马村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5</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FW2304861-005</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长沙雨花区跳马镇关刀村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6</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FW2304861-006</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长沙浏阳市柏加镇仙湖村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7</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FW2304861-007</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湘潭市岳塘区昭山乡马鞍村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8</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FW2304861-008</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益阳市资阳区迎风桥镇新花园村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9</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FW2304861-009</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益阳市资阳区长春镇先锋桥村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10</w:t>
            </w:r>
          </w:p>
        </w:tc>
        <w:tc>
          <w:tcPr>
            <w:tcW w:w="2125"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FW2304861-010</w:t>
            </w:r>
          </w:p>
        </w:tc>
        <w:tc>
          <w:tcPr>
            <w:tcW w:w="4531"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益阳市资阳区迎风桥镇邹家桥村</w:t>
            </w:r>
          </w:p>
        </w:tc>
        <w:tc>
          <w:tcPr>
            <w:tcW w:w="1762" w:type="dxa"/>
            <w:tcBorders>
              <w:top w:val="dashed" w:color="auto" w:sz="4" w:space="0"/>
              <w:left w:val="nil"/>
              <w:bottom w:val="dashed"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lang w:val="en-US"/>
              </w:rPr>
            </w:pPr>
            <w:r>
              <w:rPr>
                <w:rFonts w:hint="eastAsia" w:ascii="黑体" w:hAnsi="黑体" w:eastAsia="黑体" w:cs="黑体"/>
                <w:i w:val="0"/>
                <w:iCs w:val="0"/>
                <w:color w:val="000000"/>
                <w:kern w:val="0"/>
                <w:sz w:val="24"/>
                <w:szCs w:val="24"/>
                <w:highlight w:val="none"/>
                <w:u w:val="none"/>
                <w:lang w:val="en-US" w:eastAsia="zh-CN" w:bidi="ar"/>
              </w:rPr>
              <w:t>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1" w:type="dxa"/>
            <w:tcBorders>
              <w:top w:val="dashed" w:color="auto" w:sz="4" w:space="0"/>
              <w:left w:val="nil"/>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p>
        </w:tc>
        <w:tc>
          <w:tcPr>
            <w:tcW w:w="2125" w:type="dxa"/>
            <w:tcBorders>
              <w:top w:val="dashed" w:color="auto" w:sz="4" w:space="0"/>
              <w:left w:val="nil"/>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平均值</w:t>
            </w:r>
          </w:p>
        </w:tc>
        <w:tc>
          <w:tcPr>
            <w:tcW w:w="4531" w:type="dxa"/>
            <w:tcBorders>
              <w:top w:val="dashed" w:color="auto" w:sz="4" w:space="0"/>
              <w:left w:val="nil"/>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p>
        </w:tc>
        <w:tc>
          <w:tcPr>
            <w:tcW w:w="1762" w:type="dxa"/>
            <w:tcBorders>
              <w:top w:val="dashed" w:color="auto" w:sz="4" w:space="0"/>
              <w:left w:val="nil"/>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10.4</w:t>
            </w:r>
          </w:p>
        </w:tc>
      </w:tr>
    </w:tbl>
    <w:p>
      <w:pPr>
        <w:pStyle w:val="6"/>
        <w:jc w:val="center"/>
        <w:rPr>
          <w:rFonts w:hint="eastAsia" w:ascii="黑体" w:hAnsi="黑体" w:eastAsia="黑体" w:cs="黑体"/>
          <w:sz w:val="28"/>
          <w:szCs w:val="28"/>
          <w:highlight w:val="none"/>
        </w:rPr>
      </w:pPr>
    </w:p>
    <w:p>
      <w:pPr>
        <w:pStyle w:val="6"/>
        <w:jc w:val="center"/>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rPr>
        <w:t>表</w:t>
      </w:r>
      <w:r>
        <w:rPr>
          <w:rFonts w:hint="eastAsia" w:ascii="黑体" w:hAnsi="黑体" w:cs="黑体"/>
          <w:sz w:val="28"/>
          <w:szCs w:val="28"/>
          <w:highlight w:val="none"/>
          <w:lang w:val="en-US" w:eastAsia="zh-CN"/>
        </w:rPr>
        <w:t>2</w:t>
      </w:r>
      <w:r>
        <w:rPr>
          <w:rFonts w:hint="eastAsia" w:ascii="黑体" w:hAnsi="黑体" w:eastAsia="黑体" w:cs="黑体"/>
          <w:sz w:val="28"/>
          <w:szCs w:val="28"/>
          <w:highlight w:val="none"/>
          <w:lang w:eastAsia="zh-CN"/>
        </w:rPr>
        <w:t xml:space="preserve">  </w:t>
      </w:r>
      <w:r>
        <w:rPr>
          <w:rFonts w:hint="eastAsia" w:ascii="黑体" w:hAnsi="黑体" w:cs="黑体"/>
          <w:sz w:val="28"/>
          <w:szCs w:val="28"/>
          <w:highlight w:val="none"/>
          <w:lang w:eastAsia="zh-CN"/>
        </w:rPr>
        <w:t>牡丹木槿花鲜品</w:t>
      </w:r>
      <w:r>
        <w:rPr>
          <w:rFonts w:hint="eastAsia" w:ascii="黑体" w:hAnsi="黑体" w:eastAsia="黑体" w:cs="黑体"/>
          <w:sz w:val="28"/>
          <w:szCs w:val="28"/>
          <w:highlight w:val="none"/>
          <w:lang w:eastAsia="zh-CN"/>
        </w:rPr>
        <w:t>的水分含量</w:t>
      </w:r>
    </w:p>
    <w:tbl>
      <w:tblPr>
        <w:tblStyle w:val="11"/>
        <w:tblW w:w="870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592"/>
        <w:gridCol w:w="4604"/>
        <w:gridCol w:w="176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blHeader/>
          <w:jc w:val="center"/>
        </w:trPr>
        <w:tc>
          <w:tcPr>
            <w:tcW w:w="750" w:type="dxa"/>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1592" w:type="dxa"/>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4604"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w:t>
            </w:r>
          </w:p>
        </w:tc>
        <w:tc>
          <w:tcPr>
            <w:tcW w:w="1763"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水分/（g/100g）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592"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20220928001</w:t>
            </w:r>
          </w:p>
        </w:tc>
        <w:tc>
          <w:tcPr>
            <w:tcW w:w="4604" w:type="dxa"/>
            <w:tcBorders>
              <w:top w:val="single"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益阳市资阳区长春镇先锋桥村宗堂湾组</w:t>
            </w:r>
          </w:p>
        </w:tc>
        <w:tc>
          <w:tcPr>
            <w:tcW w:w="1763"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益阳市资阳区长春镇先锋桥村宗世宗公组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20220928003</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益阳沅江市榨南湖村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20220928004</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益阳沅江市华星村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怀化市溆浦县卢峰镇长乐村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怀化市溆浦县卢峰镇桔花园村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益阳市资阳区迎风桥镇新花园村金鸡组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益阳市资阳区迎风桥镇邹家桥村刘家远组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娄底市娄星区杉山镇万乐村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娄底市娄星区杉山镇集云村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益阳欧江岔泞湖村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资阳区迎风桥镇邹家桥村九水湾组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20221007003</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常德汉寿百禄桥乡桂花村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20221007004</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湖南省常德市汉寿县蒋家嘴镇沙湖村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资阳区迎风桥镇邹家桥村唐村组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资阳区迎风桥镇邹家桥村藕塘组</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20221005003</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岳阳平江龙门镇新和村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20221005004</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岳阳平江龙门镇南坪村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长沙县黄兴镇沿江山村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长沙县黄花镇新江村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20221003003</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长沙雨花区跳马镇跳马村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20221003004</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长沙雨花区跳马镇关刀村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20221003005</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长沙天心区暮云镇高云村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20221003006</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长沙天心区暮云镇西湖村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20221004001</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长沙浏阳市柏加镇双源村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26</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20221004002</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长沙浏阳市柏加镇仙湖村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27</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20221004003</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湘潭市岳塘区昭山乡马鞍村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28</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20221004004</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湘潭市岳塘区昭山乡金兰村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29</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20221004005</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湘潭市岳塘区昭山乡七星村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1592"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20221004006</w:t>
            </w:r>
          </w:p>
        </w:tc>
        <w:tc>
          <w:tcPr>
            <w:tcW w:w="4604" w:type="dxa"/>
            <w:tcBorders>
              <w:top w:val="dashed" w:color="auto" w:sz="4" w:space="0"/>
              <w:bottom w:val="dashed" w:color="auto" w:sz="4" w:space="0"/>
              <w:tl2br w:val="nil"/>
              <w:tr2bl w:val="nil"/>
            </w:tcBorders>
            <w:noWrap/>
            <w:vAlign w:val="center"/>
          </w:tcPr>
          <w:p>
            <w:pPr>
              <w:keepNext w:val="0"/>
              <w:keepLines w:val="0"/>
              <w:widowControl/>
              <w:suppressLineNumbers w:val="0"/>
              <w:jc w:val="center"/>
              <w:textAlignment w:val="center"/>
              <w:rPr>
                <w:rFonts w:hint="eastAsia" w:ascii="黑体" w:hAnsi="黑体" w:eastAsia="黑体" w:cs="黑体"/>
                <w:kern w:val="2"/>
                <w:sz w:val="24"/>
                <w:szCs w:val="24"/>
                <w:highlight w:val="none"/>
                <w:lang w:val="en-US" w:eastAsia="zh-CN" w:bidi="ar-SA"/>
              </w:rPr>
            </w:pPr>
            <w:r>
              <w:rPr>
                <w:rFonts w:hint="eastAsia" w:ascii="黑体" w:hAnsi="黑体" w:eastAsia="黑体" w:cs="黑体"/>
                <w:i w:val="0"/>
                <w:iCs w:val="0"/>
                <w:color w:val="000000"/>
                <w:kern w:val="0"/>
                <w:sz w:val="24"/>
                <w:szCs w:val="24"/>
                <w:highlight w:val="none"/>
                <w:u w:val="none"/>
                <w:lang w:val="en-US" w:eastAsia="zh-CN" w:bidi="ar"/>
              </w:rPr>
              <w:t>湘潭市岳塘区昭山乡新民村</w:t>
            </w:r>
          </w:p>
        </w:tc>
        <w:tc>
          <w:tcPr>
            <w:tcW w:w="1763"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1592"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4604"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p>
        </w:tc>
        <w:tc>
          <w:tcPr>
            <w:tcW w:w="1763"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92.94</w:t>
            </w:r>
          </w:p>
        </w:tc>
      </w:tr>
    </w:tbl>
    <w:p>
      <w:pPr>
        <w:pStyle w:val="6"/>
        <w:jc w:val="center"/>
        <w:rPr>
          <w:rFonts w:hint="eastAsia" w:ascii="黑体" w:hAnsi="黑体" w:eastAsia="黑体" w:cs="黑体"/>
          <w:kern w:val="2"/>
          <w:sz w:val="28"/>
          <w:szCs w:val="28"/>
          <w:highlight w:val="none"/>
          <w:lang w:val="en-US" w:eastAsia="zh-CN" w:bidi="ar-SA"/>
        </w:rPr>
      </w:pPr>
    </w:p>
    <w:p>
      <w:pPr>
        <w:pStyle w:val="6"/>
        <w:jc w:val="center"/>
        <w:rPr>
          <w:rFonts w:hint="eastAsia" w:eastAsia="宋体"/>
          <w:highlight w:val="none"/>
          <w:lang w:eastAsia="zh-CN"/>
        </w:rPr>
      </w:pPr>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 xml:space="preserve">3  </w:t>
      </w:r>
      <w:r>
        <w:rPr>
          <w:rFonts w:hint="eastAsia" w:ascii="黑体" w:hAnsi="黑体" w:eastAsia="黑体" w:cs="黑体"/>
          <w:kern w:val="2"/>
          <w:sz w:val="28"/>
          <w:szCs w:val="28"/>
          <w:highlight w:val="none"/>
          <w:lang w:val="en-US" w:eastAsia="zh-CN" w:bidi="ar-SA"/>
        </w:rPr>
        <w:t>不同蔬菜、食用花卉及代用茶</w:t>
      </w:r>
      <w:r>
        <w:rPr>
          <w:rFonts w:hint="eastAsia" w:ascii="黑体" w:hAnsi="黑体" w:cs="黑体"/>
          <w:kern w:val="2"/>
          <w:sz w:val="28"/>
          <w:szCs w:val="28"/>
          <w:highlight w:val="none"/>
          <w:lang w:val="en-US" w:eastAsia="zh-CN" w:bidi="ar-SA"/>
        </w:rPr>
        <w:t>水分、灰分</w:t>
      </w:r>
      <w:r>
        <w:rPr>
          <w:rFonts w:hint="eastAsia" w:ascii="黑体" w:hAnsi="黑体" w:eastAsia="黑体" w:cs="黑体"/>
          <w:kern w:val="2"/>
          <w:sz w:val="28"/>
          <w:szCs w:val="28"/>
          <w:highlight w:val="none"/>
          <w:lang w:val="en-US" w:eastAsia="zh-CN" w:bidi="ar-SA"/>
        </w:rPr>
        <w:t>汇总对比</w:t>
      </w:r>
    </w:p>
    <w:tbl>
      <w:tblPr>
        <w:tblStyle w:val="11"/>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2"/>
        <w:gridCol w:w="2092"/>
        <w:gridCol w:w="3066"/>
        <w:gridCol w:w="1416"/>
        <w:gridCol w:w="14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序号</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标准号</w:t>
            </w:r>
          </w:p>
        </w:tc>
        <w:tc>
          <w:tcPr>
            <w:tcW w:w="306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标准名称</w:t>
            </w:r>
          </w:p>
        </w:tc>
        <w:tc>
          <w:tcPr>
            <w:tcW w:w="129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水分</w:t>
            </w:r>
            <w:r>
              <w:rPr>
                <w:rFonts w:hint="eastAsia" w:ascii="黑体" w:hAnsi="黑体" w:eastAsia="黑体" w:cs="黑体"/>
                <w:i w:val="0"/>
                <w:iCs w:val="0"/>
                <w:color w:val="000000"/>
                <w:kern w:val="0"/>
                <w:sz w:val="24"/>
                <w:szCs w:val="24"/>
                <w:highlight w:val="none"/>
                <w:u w:val="none"/>
                <w:lang w:val="en-US" w:eastAsia="zh-CN" w:bidi="ar"/>
              </w:rPr>
              <w:t>/（g/100g）</w:t>
            </w:r>
            <w:r>
              <w:rPr>
                <w:rFonts w:hint="eastAsia" w:ascii="黑体" w:hAnsi="黑体" w:eastAsia="黑体" w:cs="黑体"/>
                <w:kern w:val="2"/>
                <w:sz w:val="24"/>
                <w:szCs w:val="24"/>
                <w:highlight w:val="none"/>
                <w:lang w:val="en-US" w:eastAsia="zh-CN" w:bidi="ar-SA"/>
              </w:rPr>
              <w:t>（</w:t>
            </w:r>
            <w:r>
              <w:rPr>
                <w:rFonts w:hint="eastAsia" w:ascii="宋体" w:hAnsi="宋体" w:eastAsia="宋体" w:cs="宋体"/>
                <w:kern w:val="0"/>
                <w:sz w:val="20"/>
                <w:szCs w:val="20"/>
                <w:highlight w:val="none"/>
                <w:lang w:eastAsia="zh-CN" w:bidi="ar"/>
              </w:rPr>
              <w:t>≦</w:t>
            </w:r>
            <w:r>
              <w:rPr>
                <w:rFonts w:hint="eastAsia" w:ascii="黑体" w:hAnsi="黑体" w:eastAsia="黑体" w:cs="黑体"/>
                <w:kern w:val="2"/>
                <w:sz w:val="24"/>
                <w:szCs w:val="24"/>
                <w:highlight w:val="none"/>
                <w:lang w:val="en-US" w:eastAsia="zh-CN" w:bidi="ar-SA"/>
              </w:rPr>
              <w:t>）</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灰分</w:t>
            </w:r>
            <w:r>
              <w:rPr>
                <w:rFonts w:hint="eastAsia" w:ascii="黑体" w:hAnsi="黑体" w:eastAsia="黑体" w:cs="黑体"/>
                <w:i w:val="0"/>
                <w:iCs w:val="0"/>
                <w:color w:val="000000"/>
                <w:kern w:val="0"/>
                <w:sz w:val="24"/>
                <w:szCs w:val="24"/>
                <w:highlight w:val="none"/>
                <w:u w:val="none"/>
                <w:lang w:val="en-US" w:eastAsia="zh-CN" w:bidi="ar"/>
              </w:rPr>
              <w:t>/（g/100g）</w:t>
            </w:r>
            <w:r>
              <w:rPr>
                <w:rFonts w:hint="eastAsia" w:ascii="黑体" w:hAnsi="黑体" w:eastAsia="黑体" w:cs="黑体"/>
                <w:kern w:val="2"/>
                <w:sz w:val="24"/>
                <w:szCs w:val="24"/>
                <w:highlight w:val="none"/>
                <w:lang w:val="en-US" w:eastAsia="zh-CN" w:bidi="ar-SA"/>
              </w:rPr>
              <w:t>（</w:t>
            </w:r>
            <w:r>
              <w:rPr>
                <w:rFonts w:hint="eastAsia" w:ascii="宋体" w:hAnsi="宋体" w:eastAsia="宋体" w:cs="宋体"/>
                <w:kern w:val="0"/>
                <w:sz w:val="20"/>
                <w:szCs w:val="20"/>
                <w:highlight w:val="none"/>
                <w:lang w:eastAsia="zh-CN" w:bidi="ar"/>
              </w:rPr>
              <w:t>≦</w:t>
            </w: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0"/>
                <w:sz w:val="24"/>
                <w:szCs w:val="24"/>
                <w:highlight w:val="none"/>
                <w:lang w:eastAsia="zh-CN" w:bidi="ar"/>
              </w:rPr>
              <w:t>GB/T 20353—2006</w:t>
            </w:r>
          </w:p>
        </w:tc>
        <w:tc>
          <w:tcPr>
            <w:tcW w:w="3067"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0"/>
                <w:sz w:val="24"/>
                <w:szCs w:val="24"/>
                <w:highlight w:val="none"/>
                <w:lang w:eastAsia="zh-CN" w:bidi="ar"/>
              </w:rPr>
              <w:t>地理标志产品 怀菊花</w:t>
            </w:r>
            <w:r>
              <w:rPr>
                <w:rFonts w:hint="eastAsia" w:ascii="黑体" w:hAnsi="黑体" w:eastAsia="黑体" w:cs="黑体"/>
                <w:kern w:val="2"/>
                <w:sz w:val="24"/>
                <w:szCs w:val="24"/>
                <w:highlight w:val="none"/>
                <w:lang w:val="en-US" w:eastAsia="zh-CN" w:bidi="ar-SA"/>
              </w:rPr>
              <w:t>（干）</w:t>
            </w:r>
          </w:p>
        </w:tc>
        <w:tc>
          <w:tcPr>
            <w:tcW w:w="129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13.0</w:t>
            </w:r>
          </w:p>
        </w:tc>
        <w:tc>
          <w:tcPr>
            <w:tcW w:w="1229"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DB41/T 613-2024</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地理标志产品 淮阳黄花菜（干）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15.0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DB52/T 1060—2015</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绥阳金银花（干）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 xml:space="preserve">GH/T 1091—2014 </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代用茶（干）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DBS53/030—2021</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干制铁皮石斛花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11.0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DBS52/049—2021</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金钗石斛花（干制品）</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DBS52/045—2020</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铁皮石斛花（干制品）</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13.0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DBS45/062—2019</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铁皮石斛花（鲜）</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DBS35/001—2020</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铁皮石斛花（干）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8.0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DB33/3011—2020</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干制铁皮石斛花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DBS23/006—2019</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干制黄芪花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DBS53/023—2017</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干制三七花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13.0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DBS13/017—2023</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干制文冠果叶（花）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8.5</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DBS50/031—2023</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山银花及其制品（干）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DBS62/005—2020</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金银花（干）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DBS37/001—2022</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金银花（开放花）（干）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DBS14/006—2023</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流苏花（鲜）</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DBS14/006—2023</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流苏花（干）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7.5</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DBS13/015—2021</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干制金莲花</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11.0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DBS45/069—2020</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金花茶花（干）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13.0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DBS44/018—2022</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鸡蛋花（干）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15.0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DBS45/079—2024</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茉莉花（鲜）</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DBS45/079—2024</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茉莉花（干）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DBS35/010—2024</w:t>
            </w:r>
          </w:p>
        </w:tc>
        <w:tc>
          <w:tcPr>
            <w:tcW w:w="3067"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柚子花（干）</w:t>
            </w:r>
          </w:p>
        </w:tc>
        <w:tc>
          <w:tcPr>
            <w:tcW w:w="129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12.0</w:t>
            </w:r>
          </w:p>
        </w:tc>
        <w:tc>
          <w:tcPr>
            <w:tcW w:w="1229"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0" w:type="auto"/>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DB54/T 0245—2021</w:t>
            </w:r>
          </w:p>
        </w:tc>
        <w:tc>
          <w:tcPr>
            <w:tcW w:w="3067"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西藏藏红花（干）</w:t>
            </w:r>
          </w:p>
        </w:tc>
        <w:tc>
          <w:tcPr>
            <w:tcW w:w="1296"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9.0</w:t>
            </w:r>
          </w:p>
        </w:tc>
        <w:tc>
          <w:tcPr>
            <w:tcW w:w="1229"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7.0</w:t>
            </w:r>
          </w:p>
        </w:tc>
      </w:tr>
    </w:tbl>
    <w:p>
      <w:pPr>
        <w:pageBreakBefore w:val="0"/>
        <w:widowControl w:val="0"/>
        <w:wordWrap w:val="0"/>
        <w:bidi w:val="0"/>
        <w:spacing w:line="360" w:lineRule="auto"/>
        <w:ind w:left="0" w:leftChars="0" w:firstLine="562" w:firstLineChars="200"/>
        <w:jc w:val="left"/>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（四）</w:t>
      </w:r>
      <w:r>
        <w:rPr>
          <w:rFonts w:hint="eastAsia" w:ascii="宋体" w:hAnsi="宋体" w:eastAsia="宋体" w:cs="宋体"/>
          <w:b/>
          <w:bCs/>
          <w:kern w:val="2"/>
          <w:sz w:val="28"/>
          <w:szCs w:val="28"/>
          <w:highlight w:val="none"/>
          <w:lang w:val="en-US" w:eastAsia="zh-CN" w:bidi="ar-SA"/>
        </w:rPr>
        <w:t>总灰分</w:t>
      </w:r>
    </w:p>
    <w:p>
      <w:pPr>
        <w:widowControl w:val="0"/>
        <w:adjustRightInd/>
        <w:snapToGrid/>
        <w:spacing w:after="0" w:line="360" w:lineRule="auto"/>
        <w:ind w:right="345"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总灰分检测方法</w:t>
      </w:r>
      <w:r>
        <w:rPr>
          <w:rFonts w:hint="eastAsia" w:ascii="宋体" w:hAnsi="宋体" w:cs="宋体"/>
          <w:kern w:val="2"/>
          <w:sz w:val="28"/>
          <w:szCs w:val="28"/>
          <w:highlight w:val="none"/>
          <w:lang w:val="en-US" w:eastAsia="zh-CN" w:bidi="ar-SA"/>
        </w:rPr>
        <w:t>按照</w:t>
      </w:r>
      <w:r>
        <w:rPr>
          <w:rFonts w:hint="eastAsia" w:ascii="宋体" w:hAnsi="宋体" w:eastAsia="宋体" w:cs="宋体"/>
          <w:kern w:val="2"/>
          <w:sz w:val="28"/>
          <w:szCs w:val="28"/>
          <w:highlight w:val="none"/>
          <w:lang w:val="en-US" w:eastAsia="zh-CN" w:bidi="ar-SA"/>
        </w:rPr>
        <w:t>GB 5009.4《食品安全国家标准 食品中灰分的测定》执行。样品测定结果见表4和表5。</w:t>
      </w:r>
    </w:p>
    <w:p>
      <w:pPr>
        <w:keepNext w:val="0"/>
        <w:keepLines w:val="0"/>
        <w:pageBreakBefore w:val="0"/>
        <w:widowControl w:val="0"/>
        <w:kinsoku/>
        <w:wordWrap/>
        <w:overflowPunct/>
        <w:topLinePunct w:val="0"/>
        <w:autoSpaceDE/>
        <w:autoSpaceDN/>
        <w:bidi w:val="0"/>
        <w:adjustRightInd/>
        <w:snapToGrid/>
        <w:spacing w:after="0" w:line="360" w:lineRule="auto"/>
        <w:ind w:right="346" w:firstLine="560" w:firstLineChars="200"/>
        <w:jc w:val="left"/>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指标确定依据：对30批牡丹木槿花鲜品进行了总灰分的测定。结果显示牡丹木槿花鲜品的总灰分0.50～0.55g/100g，平均值为0.522g/100g；10批牡丹木槿花干品的总灰分5.40～5.70g/100g，平均值为5.60g/100g。</w:t>
      </w:r>
    </w:p>
    <w:p>
      <w:pPr>
        <w:keepNext w:val="0"/>
        <w:keepLines w:val="0"/>
        <w:pageBreakBefore w:val="0"/>
        <w:widowControl w:val="0"/>
        <w:kinsoku/>
        <w:wordWrap/>
        <w:overflowPunct/>
        <w:topLinePunct w:val="0"/>
        <w:autoSpaceDE/>
        <w:autoSpaceDN/>
        <w:bidi w:val="0"/>
        <w:adjustRightInd/>
        <w:snapToGrid/>
        <w:spacing w:after="0" w:line="360" w:lineRule="auto"/>
        <w:ind w:right="346" w:firstLine="560" w:firstLineChars="200"/>
        <w:jc w:val="left"/>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参照表3中不同蔬菜、食用花卉及代用茶水分、灰分汇总对比分析，考虑到不同季节与土壤的差异，指标制订数值略高于检测值，故牡丹木槿花鲜品的总灰分量指标定为≤0.7g/100g，牡丹木槿花干品的总灰分量指标定为≤7.0g/100g。</w:t>
      </w:r>
    </w:p>
    <w:p>
      <w:pPr>
        <w:widowControl w:val="0"/>
        <w:adjustRightInd/>
        <w:snapToGrid/>
        <w:spacing w:after="0" w:line="336" w:lineRule="auto"/>
        <w:ind w:left="0" w:right="345" w:firstLine="560" w:firstLineChars="200"/>
        <w:jc w:val="center"/>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表4  牡丹木槿花干品的灰分含量</w:t>
      </w:r>
    </w:p>
    <w:tbl>
      <w:tblPr>
        <w:tblStyle w:val="11"/>
        <w:tblW w:w="825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4"/>
        <w:gridCol w:w="3122"/>
        <w:gridCol w:w="31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2014" w:type="dxa"/>
            <w:tcBorders>
              <w:left w:val="nil"/>
              <w:bottom w:val="single" w:color="auto" w:sz="4" w:space="0"/>
              <w:right w:val="nil"/>
            </w:tcBorders>
            <w:noWrap/>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序号</w:t>
            </w:r>
          </w:p>
        </w:tc>
        <w:tc>
          <w:tcPr>
            <w:tcW w:w="3122" w:type="dxa"/>
            <w:tcBorders>
              <w:left w:val="nil"/>
              <w:bottom w:val="single" w:color="auto" w:sz="4" w:space="0"/>
              <w:right w:val="nil"/>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highlight w:val="none"/>
                <w:u w:val="none"/>
                <w:lang w:val="en-US" w:eastAsia="zh-CN" w:bidi="ar"/>
              </w:rPr>
            </w:pPr>
            <w:r>
              <w:rPr>
                <w:rFonts w:hint="eastAsia" w:ascii="黑体" w:hAnsi="黑体" w:eastAsia="黑体" w:cs="黑体"/>
                <w:i w:val="0"/>
                <w:iCs w:val="0"/>
                <w:color w:val="000000"/>
                <w:kern w:val="0"/>
                <w:sz w:val="24"/>
                <w:szCs w:val="24"/>
                <w:highlight w:val="none"/>
                <w:u w:val="none"/>
                <w:lang w:val="en-US" w:eastAsia="zh-CN" w:bidi="ar"/>
              </w:rPr>
              <w:t>编号</w:t>
            </w:r>
          </w:p>
        </w:tc>
        <w:tc>
          <w:tcPr>
            <w:tcW w:w="3122" w:type="dxa"/>
            <w:tcBorders>
              <w:left w:val="nil"/>
              <w:bottom w:val="single" w:color="auto" w:sz="4" w:space="0"/>
              <w:right w:val="nil"/>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灰分 /（g/100g）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3122" w:type="dxa"/>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FW2304861-001</w:t>
            </w:r>
          </w:p>
        </w:tc>
        <w:tc>
          <w:tcPr>
            <w:tcW w:w="3122" w:type="dxa"/>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FW2304861-002</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FW2304861-003</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FW2304861-004</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FW2304861-005</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FW2304861-006</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FW2304861-007</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FW2304861-008</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FW2304861-009</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FW2304861-010</w:t>
            </w:r>
          </w:p>
        </w:tc>
        <w:tc>
          <w:tcPr>
            <w:tcW w:w="3122" w:type="dxa"/>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14" w:type="dxa"/>
            <w:tcBorders>
              <w:top w:val="dashed" w:color="auto" w:sz="4" w:space="0"/>
              <w:left w:val="nil"/>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p>
        </w:tc>
        <w:tc>
          <w:tcPr>
            <w:tcW w:w="3122" w:type="dxa"/>
            <w:tcBorders>
              <w:top w:val="dashed" w:color="auto" w:sz="4" w:space="0"/>
              <w:left w:val="nil"/>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3122" w:type="dxa"/>
            <w:tcBorders>
              <w:top w:val="dashed" w:color="auto" w:sz="4" w:space="0"/>
              <w:left w:val="nil"/>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5.60</w:t>
            </w:r>
          </w:p>
        </w:tc>
      </w:tr>
    </w:tbl>
    <w:p>
      <w:pPr>
        <w:pStyle w:val="6"/>
        <w:jc w:val="both"/>
        <w:rPr>
          <w:rFonts w:hint="eastAsia" w:ascii="黑体" w:hAnsi="黑体" w:eastAsia="黑体" w:cs="黑体"/>
          <w:kern w:val="2"/>
          <w:sz w:val="28"/>
          <w:szCs w:val="28"/>
          <w:highlight w:val="none"/>
          <w:lang w:val="en-US" w:eastAsia="zh-CN" w:bidi="ar-SA"/>
        </w:rPr>
      </w:pPr>
      <w:r>
        <w:rPr>
          <w:rFonts w:hint="eastAsia" w:ascii="黑体" w:hAnsi="黑体" w:cs="黑体"/>
          <w:kern w:val="2"/>
          <w:sz w:val="28"/>
          <w:szCs w:val="28"/>
          <w:highlight w:val="none"/>
          <w:lang w:val="en-US" w:eastAsia="zh-CN" w:bidi="ar-SA"/>
        </w:rPr>
        <w:t>注：采样地见表1。</w:t>
      </w:r>
    </w:p>
    <w:p>
      <w:pPr>
        <w:pStyle w:val="6"/>
        <w:jc w:val="center"/>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5</w:t>
      </w:r>
      <w:r>
        <w:rPr>
          <w:rFonts w:hint="eastAsia" w:ascii="黑体" w:hAnsi="黑体" w:eastAsia="黑体" w:cs="黑体"/>
          <w:kern w:val="2"/>
          <w:sz w:val="28"/>
          <w:szCs w:val="28"/>
          <w:highlight w:val="none"/>
          <w:lang w:val="en-US" w:eastAsia="zh-CN" w:bidi="ar-SA"/>
        </w:rPr>
        <w:t xml:space="preserve">  </w:t>
      </w:r>
      <w:r>
        <w:rPr>
          <w:rFonts w:hint="eastAsia" w:ascii="黑体" w:hAnsi="黑体" w:cs="黑体"/>
          <w:kern w:val="2"/>
          <w:sz w:val="28"/>
          <w:szCs w:val="28"/>
          <w:highlight w:val="none"/>
          <w:lang w:val="en-US" w:eastAsia="zh-CN" w:bidi="ar-SA"/>
        </w:rPr>
        <w:t>牡丹木槿花鲜品</w:t>
      </w:r>
      <w:r>
        <w:rPr>
          <w:rFonts w:hint="eastAsia" w:ascii="黑体" w:hAnsi="黑体" w:eastAsia="黑体" w:cs="黑体"/>
          <w:kern w:val="2"/>
          <w:sz w:val="28"/>
          <w:szCs w:val="28"/>
          <w:highlight w:val="none"/>
          <w:lang w:val="en-US" w:eastAsia="zh-CN" w:bidi="ar-SA"/>
        </w:rPr>
        <w:t>的总灰分含量</w:t>
      </w:r>
    </w:p>
    <w:tbl>
      <w:tblPr>
        <w:tblStyle w:val="11"/>
        <w:tblW w:w="835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0"/>
        <w:gridCol w:w="3351"/>
        <w:gridCol w:w="315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blHeader/>
          <w:jc w:val="center"/>
        </w:trPr>
        <w:tc>
          <w:tcPr>
            <w:tcW w:w="1850" w:type="dxa"/>
            <w:tcBorders>
              <w:bottom w:val="single" w:color="auto" w:sz="4" w:space="0"/>
              <w:tl2br w:val="nil"/>
              <w:tr2bl w:val="nil"/>
            </w:tcBorders>
            <w:noWrap/>
            <w:vAlign w:val="center"/>
          </w:tcPr>
          <w:p>
            <w:pPr>
              <w:widowControl w:val="0"/>
              <w:adjustRightInd/>
              <w:snapToGrid/>
              <w:spacing w:after="0" w:line="336" w:lineRule="auto"/>
              <w:ind w:right="345"/>
              <w:jc w:val="center"/>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3351" w:type="dxa"/>
            <w:tcBorders>
              <w:bottom w:val="single" w:color="auto" w:sz="4" w:space="0"/>
              <w:tl2br w:val="nil"/>
              <w:tr2bl w:val="nil"/>
            </w:tcBorders>
            <w:noWrap/>
            <w:vAlign w:val="center"/>
          </w:tcPr>
          <w:p>
            <w:pPr>
              <w:widowControl w:val="0"/>
              <w:adjustRightInd/>
              <w:snapToGrid/>
              <w:spacing w:after="0" w:line="336" w:lineRule="auto"/>
              <w:ind w:right="345"/>
              <w:jc w:val="center"/>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3157" w:type="dxa"/>
            <w:tcBorders>
              <w:bottom w:val="single" w:color="auto" w:sz="4" w:space="0"/>
              <w:tl2br w:val="nil"/>
              <w:tr2bl w:val="nil"/>
            </w:tcBorders>
            <w:noWrap w:val="0"/>
            <w:vAlign w:val="center"/>
          </w:tcPr>
          <w:p>
            <w:pPr>
              <w:widowControl w:val="0"/>
              <w:adjustRightInd/>
              <w:snapToGrid/>
              <w:spacing w:after="0" w:line="336" w:lineRule="auto"/>
              <w:ind w:right="345"/>
              <w:jc w:val="center"/>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灰分 /（g/100g）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3351"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20220928001</w:t>
            </w:r>
          </w:p>
        </w:tc>
        <w:tc>
          <w:tcPr>
            <w:tcW w:w="3157" w:type="dxa"/>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20220928003</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20220928004</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20221007003</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20221007004</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20221005003</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20221005004</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20221003003</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20221003004</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20221003005</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20221003006</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20221004001</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26</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20221004002</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27</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20221004003</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28</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20221004004</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29</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20221004005</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3351"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20221004006</w:t>
            </w:r>
          </w:p>
        </w:tc>
        <w:tc>
          <w:tcPr>
            <w:tcW w:w="3157" w:type="dxa"/>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8" w:hRule="exact"/>
          <w:tblHeader/>
          <w:jc w:val="center"/>
        </w:trPr>
        <w:tc>
          <w:tcPr>
            <w:tcW w:w="1850"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3351"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3157" w:type="dxa"/>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0.522</w:t>
            </w:r>
          </w:p>
        </w:tc>
      </w:tr>
    </w:tbl>
    <w:p>
      <w:pPr>
        <w:pageBreakBefore w:val="0"/>
        <w:widowControl w:val="0"/>
        <w:wordWrap w:val="0"/>
        <w:bidi w:val="0"/>
        <w:spacing w:line="360" w:lineRule="auto"/>
        <w:ind w:left="0" w:leftChars="0" w:firstLine="562" w:firstLineChars="200"/>
        <w:jc w:val="left"/>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注：采样地见表2。</w:t>
      </w:r>
    </w:p>
    <w:p>
      <w:pPr>
        <w:pageBreakBefore w:val="0"/>
        <w:widowControl w:val="0"/>
        <w:wordWrap w:val="0"/>
        <w:bidi w:val="0"/>
        <w:spacing w:line="360" w:lineRule="auto"/>
        <w:jc w:val="left"/>
        <w:rPr>
          <w:rFonts w:hint="default"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（五）</w:t>
      </w:r>
      <w:r>
        <w:rPr>
          <w:rFonts w:hint="eastAsia" w:ascii="宋体" w:hAnsi="宋体" w:eastAsia="宋体" w:cs="宋体"/>
          <w:b/>
          <w:bCs/>
          <w:kern w:val="2"/>
          <w:sz w:val="28"/>
          <w:szCs w:val="28"/>
          <w:highlight w:val="none"/>
          <w:lang w:val="en-US" w:eastAsia="zh-CN" w:bidi="ar-SA"/>
        </w:rPr>
        <w:t>污染物</w:t>
      </w:r>
      <w:r>
        <w:rPr>
          <w:rFonts w:hint="eastAsia" w:ascii="宋体" w:hAnsi="宋体" w:cs="宋体"/>
          <w:b/>
          <w:bCs/>
          <w:kern w:val="2"/>
          <w:sz w:val="28"/>
          <w:szCs w:val="28"/>
          <w:highlight w:val="none"/>
          <w:lang w:val="en-US" w:eastAsia="zh-CN" w:bidi="ar-SA"/>
        </w:rPr>
        <w:t>限量</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w:t>
      </w:r>
      <w:r>
        <w:rPr>
          <w:rFonts w:hint="eastAsia" w:ascii="宋体" w:hAnsi="宋体" w:eastAsia="宋体" w:cs="宋体"/>
          <w:color w:val="000000"/>
          <w:kern w:val="0"/>
          <w:sz w:val="28"/>
          <w:szCs w:val="28"/>
          <w:highlight w:val="none"/>
          <w:lang w:val="en-US" w:eastAsia="zh-CN" w:bidi="ar"/>
        </w:rPr>
        <w:t>实际污染水平</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鉴于湖南当地牡丹木槿花的食用习惯与蔬菜较为接近，标准起草组参考</w:t>
      </w:r>
      <w:r>
        <w:rPr>
          <w:rFonts w:hint="default" w:ascii="宋体" w:hAnsi="宋体" w:eastAsia="宋体" w:cs="宋体"/>
          <w:color w:val="000000"/>
          <w:kern w:val="0"/>
          <w:sz w:val="28"/>
          <w:szCs w:val="28"/>
          <w:highlight w:val="none"/>
          <w:lang w:val="en-US" w:eastAsia="zh-CN" w:bidi="ar"/>
        </w:rPr>
        <w:t>GB 2762-20</w:t>
      </w:r>
      <w:r>
        <w:rPr>
          <w:rFonts w:hint="eastAsia" w:ascii="宋体" w:hAnsi="宋体" w:eastAsia="宋体" w:cs="宋体"/>
          <w:color w:val="000000"/>
          <w:kern w:val="0"/>
          <w:sz w:val="28"/>
          <w:szCs w:val="28"/>
          <w:highlight w:val="none"/>
          <w:lang w:val="en-US" w:eastAsia="zh-CN" w:bidi="ar"/>
        </w:rPr>
        <w:t>22《食品安全国家标准 食品中污染物限量》中蔬菜及其制品相关指标要求，对牡丹木槿花鲜品及干品两种情况下的铅、镉、汞、砷、铬指标进行了实际检测，检测方法采用GB 5009.268-2016。检测结果如下，见表6</w:t>
      </w:r>
      <w:r>
        <w:rPr>
          <w:rFonts w:hint="eastAsia" w:ascii="宋体" w:hAnsi="宋体" w:cs="宋体"/>
          <w:color w:val="000000"/>
          <w:kern w:val="0"/>
          <w:sz w:val="28"/>
          <w:szCs w:val="28"/>
          <w:highlight w:val="none"/>
          <w:lang w:val="en-US" w:eastAsia="zh-CN" w:bidi="ar"/>
        </w:rPr>
        <w:t>。</w:t>
      </w: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6</w:t>
      </w:r>
      <w:r>
        <w:rPr>
          <w:rFonts w:hint="eastAsia" w:ascii="黑体" w:hAnsi="黑体" w:eastAsia="黑体" w:cs="黑体"/>
          <w:kern w:val="2"/>
          <w:sz w:val="28"/>
          <w:szCs w:val="28"/>
          <w:highlight w:val="none"/>
          <w:lang w:val="en-US" w:eastAsia="zh-CN" w:bidi="ar-SA"/>
        </w:rPr>
        <w:t xml:space="preserve">  </w:t>
      </w:r>
      <w:r>
        <w:rPr>
          <w:rFonts w:hint="eastAsia" w:ascii="黑体" w:hAnsi="黑体" w:cs="黑体"/>
          <w:kern w:val="2"/>
          <w:sz w:val="28"/>
          <w:szCs w:val="28"/>
          <w:highlight w:val="none"/>
          <w:lang w:val="en-US" w:eastAsia="zh-CN" w:bidi="ar-SA"/>
        </w:rPr>
        <w:t>牡丹木槿花鲜品</w:t>
      </w:r>
      <w:r>
        <w:rPr>
          <w:rFonts w:hint="eastAsia" w:ascii="黑体" w:hAnsi="黑体" w:eastAsia="黑体" w:cs="黑体"/>
          <w:kern w:val="2"/>
          <w:sz w:val="28"/>
          <w:szCs w:val="28"/>
          <w:highlight w:val="none"/>
          <w:lang w:val="en-US" w:eastAsia="zh-CN" w:bidi="ar-SA"/>
        </w:rPr>
        <w:t>五种重金属含量</w:t>
      </w:r>
      <w:r>
        <w:rPr>
          <w:rFonts w:hint="eastAsia" w:ascii="黑体" w:hAnsi="黑体" w:cs="黑体"/>
          <w:kern w:val="2"/>
          <w:sz w:val="28"/>
          <w:szCs w:val="28"/>
          <w:highlight w:val="none"/>
          <w:lang w:val="en-US" w:eastAsia="zh-CN" w:bidi="ar-SA"/>
        </w:rPr>
        <w:t>详情</w:t>
      </w:r>
      <w:r>
        <w:rPr>
          <w:rFonts w:hint="eastAsia" w:ascii="黑体" w:hAnsi="黑体" w:eastAsia="黑体" w:cs="黑体"/>
          <w:kern w:val="2"/>
          <w:sz w:val="28"/>
          <w:szCs w:val="28"/>
          <w:highlight w:val="none"/>
          <w:lang w:val="en-US" w:eastAsia="zh-CN" w:bidi="ar-SA"/>
        </w:rPr>
        <w:t>（mg/kg）</w:t>
      </w:r>
    </w:p>
    <w:tbl>
      <w:tblPr>
        <w:tblStyle w:val="11"/>
        <w:tblW w:w="5229"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3"/>
        <w:gridCol w:w="1738"/>
        <w:gridCol w:w="1200"/>
        <w:gridCol w:w="1317"/>
        <w:gridCol w:w="1331"/>
        <w:gridCol w:w="1243"/>
        <w:gridCol w:w="13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422" w:type="pct"/>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974" w:type="pct"/>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673"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铅（Pb）</w:t>
            </w:r>
          </w:p>
        </w:tc>
        <w:tc>
          <w:tcPr>
            <w:tcW w:w="738"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镉（Cd）</w:t>
            </w:r>
          </w:p>
        </w:tc>
        <w:tc>
          <w:tcPr>
            <w:tcW w:w="746"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总砷（As）</w:t>
            </w:r>
          </w:p>
        </w:tc>
        <w:tc>
          <w:tcPr>
            <w:tcW w:w="697"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铬（Cr）</w:t>
            </w:r>
          </w:p>
        </w:tc>
        <w:tc>
          <w:tcPr>
            <w:tcW w:w="746"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总汞（Hg）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974"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20220928001</w:t>
            </w:r>
          </w:p>
        </w:tc>
        <w:tc>
          <w:tcPr>
            <w:tcW w:w="673"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0.0125</w:t>
            </w:r>
          </w:p>
        </w:tc>
        <w:tc>
          <w:tcPr>
            <w:tcW w:w="746"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0.0239</w:t>
            </w:r>
          </w:p>
        </w:tc>
        <w:tc>
          <w:tcPr>
            <w:tcW w:w="697"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0.0126</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0.0229</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20220928003</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20220928004</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0.0223</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0.0106</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0.0233</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0.0105</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0.0209</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0.00967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0.0173</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0.00863</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0.0145</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0.00792</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0.0165</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0.00744</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0.0157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0.0137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0.0222</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0.0137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0.0238</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20221007003</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0.0121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0.0232</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20221007004</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0.0114</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0.0216</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0.0118</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0.0231</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0.0337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20221005003</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0.0103</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0.0314</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20221005004</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0.0087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0.0277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0.00812</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0.00861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0.0265</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20221003003</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0.0112</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0.0255</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20221003004</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0.0122</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0.0219</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20221003005</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0.0109</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0.0224</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20221003006</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0.0109</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20221004001</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0.0104</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26</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20221004002</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0.0288</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27</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20221004003</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0.0108</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0.0283</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28</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20221004004</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0.0106</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0.0264</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29</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20221004005</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0.0107</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0.0251</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97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20221004006</w:t>
            </w:r>
          </w:p>
        </w:tc>
        <w:tc>
          <w:tcPr>
            <w:tcW w:w="673"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3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0.0247</w:t>
            </w:r>
          </w:p>
        </w:tc>
        <w:tc>
          <w:tcPr>
            <w:tcW w:w="69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746"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22"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974"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673"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738"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0.01073</w:t>
            </w:r>
          </w:p>
        </w:tc>
        <w:tc>
          <w:tcPr>
            <w:tcW w:w="746"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0.0237</w:t>
            </w:r>
          </w:p>
        </w:tc>
        <w:tc>
          <w:tcPr>
            <w:tcW w:w="697"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746" w:type="pct"/>
            <w:tcBorders>
              <w:top w:val="dashed" w:color="auto" w:sz="4" w:space="0"/>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bl>
    <w:p>
      <w:pPr>
        <w:jc w:val="both"/>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注：采样地见表2。</w:t>
      </w:r>
    </w:p>
    <w:p>
      <w:pPr>
        <w:jc w:val="center"/>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表7  牡丹木槿花鲜品五种重金属检测结果（mg/kg）</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5"/>
        <w:gridCol w:w="826"/>
        <w:gridCol w:w="713"/>
        <w:gridCol w:w="971"/>
        <w:gridCol w:w="850"/>
        <w:gridCol w:w="850"/>
        <w:gridCol w:w="850"/>
        <w:gridCol w:w="850"/>
        <w:gridCol w:w="851"/>
        <w:gridCol w:w="9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5"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项目</w:t>
            </w:r>
          </w:p>
        </w:tc>
        <w:tc>
          <w:tcPr>
            <w:tcW w:w="826"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样本量</w:t>
            </w:r>
          </w:p>
        </w:tc>
        <w:tc>
          <w:tcPr>
            <w:tcW w:w="713"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检出率%</w:t>
            </w:r>
          </w:p>
        </w:tc>
        <w:tc>
          <w:tcPr>
            <w:tcW w:w="971"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检出限 mg/kg</w:t>
            </w:r>
          </w:p>
        </w:tc>
        <w:tc>
          <w:tcPr>
            <w:tcW w:w="5187" w:type="dxa"/>
            <w:gridSpan w:val="6"/>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含量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5"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826"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713"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971"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mean</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P50</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P75</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P90</w:t>
            </w:r>
          </w:p>
        </w:tc>
        <w:tc>
          <w:tcPr>
            <w:tcW w:w="851"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P95</w:t>
            </w:r>
          </w:p>
        </w:tc>
        <w:tc>
          <w:tcPr>
            <w:tcW w:w="936"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w:t>
            </w:r>
          </w:p>
        </w:tc>
        <w:tc>
          <w:tcPr>
            <w:tcW w:w="82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713"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w:t>
            </w:r>
          </w:p>
        </w:tc>
        <w:tc>
          <w:tcPr>
            <w:tcW w:w="971"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1"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93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w:t>
            </w:r>
          </w:p>
        </w:tc>
        <w:tc>
          <w:tcPr>
            <w:tcW w:w="82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713"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c>
          <w:tcPr>
            <w:tcW w:w="97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0.002</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0.011</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0.012</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0.013</w:t>
            </w:r>
          </w:p>
        </w:tc>
        <w:tc>
          <w:tcPr>
            <w:tcW w:w="85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0.014</w:t>
            </w:r>
          </w:p>
        </w:tc>
        <w:tc>
          <w:tcPr>
            <w:tcW w:w="93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总汞</w:t>
            </w:r>
          </w:p>
        </w:tc>
        <w:tc>
          <w:tcPr>
            <w:tcW w:w="82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713"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w:t>
            </w:r>
          </w:p>
        </w:tc>
        <w:tc>
          <w:tcPr>
            <w:tcW w:w="97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0.003</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93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总砷</w:t>
            </w:r>
          </w:p>
        </w:tc>
        <w:tc>
          <w:tcPr>
            <w:tcW w:w="82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713"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c>
          <w:tcPr>
            <w:tcW w:w="97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0.002</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0.026</w:t>
            </w:r>
          </w:p>
        </w:tc>
        <w:tc>
          <w:tcPr>
            <w:tcW w:w="850"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0.029</w:t>
            </w:r>
          </w:p>
        </w:tc>
        <w:tc>
          <w:tcPr>
            <w:tcW w:w="851"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0.032</w:t>
            </w:r>
          </w:p>
        </w:tc>
        <w:tc>
          <w:tcPr>
            <w:tcW w:w="936" w:type="dxa"/>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铬</w:t>
            </w:r>
          </w:p>
        </w:tc>
        <w:tc>
          <w:tcPr>
            <w:tcW w:w="826"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713"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w:t>
            </w:r>
          </w:p>
        </w:tc>
        <w:tc>
          <w:tcPr>
            <w:tcW w:w="971"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851"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936"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bl>
    <w:p>
      <w:pPr>
        <w:pStyle w:val="6"/>
        <w:jc w:val="center"/>
        <w:rPr>
          <w:rFonts w:hint="eastAsia" w:eastAsia="宋体"/>
          <w:highlight w:val="none"/>
          <w:lang w:eastAsia="zh-CN"/>
        </w:rPr>
      </w:pPr>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8</w:t>
      </w:r>
      <w:r>
        <w:rPr>
          <w:rFonts w:hint="eastAsia" w:ascii="黑体" w:hAnsi="黑体" w:eastAsia="黑体" w:cs="黑体"/>
          <w:kern w:val="2"/>
          <w:sz w:val="28"/>
          <w:szCs w:val="28"/>
          <w:highlight w:val="none"/>
          <w:lang w:val="en-US" w:eastAsia="zh-CN" w:bidi="ar-SA"/>
        </w:rPr>
        <w:t xml:space="preserve">  </w:t>
      </w:r>
      <w:r>
        <w:rPr>
          <w:rFonts w:hint="eastAsia" w:ascii="黑体" w:hAnsi="黑体" w:cs="黑体"/>
          <w:kern w:val="2"/>
          <w:sz w:val="28"/>
          <w:szCs w:val="28"/>
          <w:highlight w:val="none"/>
          <w:lang w:val="en-US" w:eastAsia="zh-CN" w:bidi="ar-SA"/>
        </w:rPr>
        <w:t>牡丹木槿花干品</w:t>
      </w:r>
      <w:r>
        <w:rPr>
          <w:rFonts w:hint="eastAsia" w:ascii="黑体" w:hAnsi="黑体" w:eastAsia="黑体" w:cs="黑体"/>
          <w:kern w:val="2"/>
          <w:sz w:val="28"/>
          <w:szCs w:val="28"/>
          <w:highlight w:val="none"/>
          <w:lang w:val="en-US" w:eastAsia="zh-CN" w:bidi="ar-SA"/>
        </w:rPr>
        <w:t>五种重金属含量（mg/kg）</w:t>
      </w:r>
    </w:p>
    <w:tbl>
      <w:tblPr>
        <w:tblStyle w:val="11"/>
        <w:tblW w:w="5284"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3"/>
        <w:gridCol w:w="3618"/>
        <w:gridCol w:w="956"/>
        <w:gridCol w:w="817"/>
        <w:gridCol w:w="1096"/>
        <w:gridCol w:w="870"/>
        <w:gridCol w:w="87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29" w:type="pct"/>
            <w:tcBorders>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2008" w:type="pct"/>
            <w:tcBorders>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530" w:type="pct"/>
            <w:tcBorders>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铅（Pb）</w:t>
            </w:r>
          </w:p>
        </w:tc>
        <w:tc>
          <w:tcPr>
            <w:tcW w:w="453" w:type="pct"/>
            <w:tcBorders>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镉（Cd）</w:t>
            </w:r>
          </w:p>
        </w:tc>
        <w:tc>
          <w:tcPr>
            <w:tcW w:w="608" w:type="pct"/>
            <w:tcBorders>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总砷（As）</w:t>
            </w:r>
          </w:p>
        </w:tc>
        <w:tc>
          <w:tcPr>
            <w:tcW w:w="482" w:type="pct"/>
            <w:tcBorders>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总汞（Hg）</w:t>
            </w:r>
          </w:p>
        </w:tc>
        <w:tc>
          <w:tcPr>
            <w:tcW w:w="486" w:type="pct"/>
            <w:tcBorders>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铬（Cr）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29" w:type="pct"/>
            <w:tcBorders>
              <w:top w:val="single" w:color="auto" w:sz="4" w:space="0"/>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2008" w:type="pct"/>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20240724001</w:t>
            </w:r>
          </w:p>
          <w:p>
            <w:pPr>
              <w:keepNext w:val="0"/>
              <w:keepLines w:val="0"/>
              <w:pageBreakBefore w:val="0"/>
              <w:widowControl w:val="0"/>
              <w:kinsoku/>
              <w:wordWrap/>
              <w:overflowPunct/>
              <w:topLinePunct w:val="0"/>
              <w:autoSpaceDE/>
              <w:autoSpaceDN/>
              <w:bidi w:val="0"/>
              <w:adjustRightInd/>
              <w:snapToGrid/>
              <w:spacing w:after="0" w:line="240" w:lineRule="auto"/>
              <w:ind w:right="0"/>
              <w:jc w:val="left"/>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（采样地：长春镇先锋桥村）</w:t>
            </w:r>
          </w:p>
        </w:tc>
        <w:tc>
          <w:tcPr>
            <w:tcW w:w="530" w:type="pct"/>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0.0706</w:t>
            </w:r>
          </w:p>
        </w:tc>
        <w:tc>
          <w:tcPr>
            <w:tcW w:w="453" w:type="pct"/>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0.122</w:t>
            </w:r>
          </w:p>
        </w:tc>
        <w:tc>
          <w:tcPr>
            <w:tcW w:w="608" w:type="pct"/>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0.023</w:t>
            </w:r>
          </w:p>
        </w:tc>
        <w:tc>
          <w:tcPr>
            <w:tcW w:w="482" w:type="pct"/>
            <w:tcBorders>
              <w:top w:val="single"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486" w:type="pct"/>
            <w:tcBorders>
              <w:top w:val="single" w:color="auto" w:sz="4" w:space="0"/>
              <w:left w:val="nil"/>
              <w:bottom w:val="dashed"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29" w:type="pct"/>
            <w:tcBorders>
              <w:top w:val="dashed" w:color="auto" w:sz="4" w:space="0"/>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2008"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20240724002</w:t>
            </w:r>
          </w:p>
          <w:p>
            <w:pPr>
              <w:keepNext w:val="0"/>
              <w:keepLines w:val="0"/>
              <w:pageBreakBefore w:val="0"/>
              <w:widowControl w:val="0"/>
              <w:kinsoku/>
              <w:wordWrap/>
              <w:overflowPunct/>
              <w:topLinePunct w:val="0"/>
              <w:autoSpaceDE/>
              <w:autoSpaceDN/>
              <w:bidi w:val="0"/>
              <w:adjustRightInd/>
              <w:snapToGrid/>
              <w:spacing w:after="0" w:line="240" w:lineRule="auto"/>
              <w:ind w:right="0"/>
              <w:jc w:val="left"/>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（采样地：长春镇先锋桥村）</w:t>
            </w:r>
          </w:p>
        </w:tc>
        <w:tc>
          <w:tcPr>
            <w:tcW w:w="530"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0.0702</w:t>
            </w:r>
          </w:p>
        </w:tc>
        <w:tc>
          <w:tcPr>
            <w:tcW w:w="453"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0.115</w:t>
            </w:r>
          </w:p>
        </w:tc>
        <w:tc>
          <w:tcPr>
            <w:tcW w:w="608"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0.025</w:t>
            </w:r>
          </w:p>
        </w:tc>
        <w:tc>
          <w:tcPr>
            <w:tcW w:w="482"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486" w:type="pct"/>
            <w:tcBorders>
              <w:top w:val="dashed" w:color="auto" w:sz="4" w:space="0"/>
              <w:left w:val="nil"/>
              <w:bottom w:val="dashed"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429" w:type="pct"/>
            <w:tcBorders>
              <w:top w:val="dashed" w:color="auto" w:sz="4" w:space="0"/>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2008"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20240724003</w:t>
            </w:r>
          </w:p>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（采样地：迎风桥镇新花园村）</w:t>
            </w:r>
          </w:p>
        </w:tc>
        <w:tc>
          <w:tcPr>
            <w:tcW w:w="530"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0.0697</w:t>
            </w:r>
          </w:p>
        </w:tc>
        <w:tc>
          <w:tcPr>
            <w:tcW w:w="453"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0.105</w:t>
            </w:r>
          </w:p>
        </w:tc>
        <w:tc>
          <w:tcPr>
            <w:tcW w:w="608"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482" w:type="pct"/>
            <w:tcBorders>
              <w:top w:val="dashed" w:color="auto" w:sz="4" w:space="0"/>
              <w:left w:val="nil"/>
              <w:bottom w:val="dashed"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486" w:type="pct"/>
            <w:tcBorders>
              <w:top w:val="dashed" w:color="auto" w:sz="4" w:space="0"/>
              <w:left w:val="nil"/>
              <w:bottom w:val="dashed"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29" w:type="pct"/>
            <w:tcBorders>
              <w:top w:val="dashed" w:color="auto" w:sz="4" w:space="0"/>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2008" w:type="pct"/>
            <w:tcBorders>
              <w:top w:val="dashed" w:color="auto" w:sz="4" w:space="0"/>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530" w:type="pct"/>
            <w:tcBorders>
              <w:top w:val="dashed" w:color="auto" w:sz="4" w:space="0"/>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0.0702</w:t>
            </w:r>
          </w:p>
        </w:tc>
        <w:tc>
          <w:tcPr>
            <w:tcW w:w="453" w:type="pct"/>
            <w:tcBorders>
              <w:top w:val="dashed" w:color="auto" w:sz="4" w:space="0"/>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0.114</w:t>
            </w:r>
          </w:p>
        </w:tc>
        <w:tc>
          <w:tcPr>
            <w:tcW w:w="608" w:type="pct"/>
            <w:tcBorders>
              <w:top w:val="dashed" w:color="auto" w:sz="4" w:space="0"/>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0.024</w:t>
            </w:r>
          </w:p>
        </w:tc>
        <w:tc>
          <w:tcPr>
            <w:tcW w:w="482" w:type="pct"/>
            <w:tcBorders>
              <w:top w:val="dashed" w:color="auto" w:sz="4" w:space="0"/>
              <w:left w:val="nil"/>
              <w:bottom w:val="single" w:color="auto" w:sz="4" w:space="0"/>
              <w:right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486" w:type="pct"/>
            <w:tcBorders>
              <w:top w:val="dashed" w:color="auto" w:sz="4" w:space="0"/>
              <w:left w:val="nil"/>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0.330</w:t>
            </w:r>
          </w:p>
        </w:tc>
      </w:tr>
    </w:tbl>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从表6、表7和表8的检测结果看见，牡丹木槿花中汞、砷和铬污染水平极低，特别是汞无论是鲜品还是干品都是未检出。鉴于湖南地区镉的膳食暴露水平略高，有必要予以关注；同时，考虑到国际上已于2010年取消了铅的健康指导值，要求各国严控铅污染。因此，建议将铅和镉作为鲜牡丹木槿花和干牡丹木槿花污染物方面的管控指标。</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为更好地</w:t>
      </w:r>
      <w:r>
        <w:rPr>
          <w:rFonts w:hint="eastAsia" w:ascii="宋体" w:hAnsi="宋体" w:eastAsia="宋体" w:cs="宋体"/>
          <w:color w:val="000000"/>
          <w:kern w:val="0"/>
          <w:sz w:val="28"/>
          <w:szCs w:val="28"/>
          <w:highlight w:val="none"/>
          <w:lang w:val="en-US" w:eastAsia="zh-CN" w:bidi="ar"/>
        </w:rPr>
        <w:t>摸清干牡丹木槿花中铅、镉实际污染水平，起草组进一步收集了20份干牡丹木槿花样品，结合前面的三份样品检测结果，分析结果见表9。</w:t>
      </w:r>
    </w:p>
    <w:p>
      <w:pPr>
        <w:jc w:val="center"/>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表9  牡丹木槿花鲜品五种重金属检测结果（mg/kg）</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5"/>
        <w:gridCol w:w="826"/>
        <w:gridCol w:w="713"/>
        <w:gridCol w:w="971"/>
        <w:gridCol w:w="850"/>
        <w:gridCol w:w="850"/>
        <w:gridCol w:w="850"/>
        <w:gridCol w:w="850"/>
        <w:gridCol w:w="851"/>
        <w:gridCol w:w="9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5"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项目</w:t>
            </w:r>
          </w:p>
        </w:tc>
        <w:tc>
          <w:tcPr>
            <w:tcW w:w="826"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样本量</w:t>
            </w:r>
          </w:p>
        </w:tc>
        <w:tc>
          <w:tcPr>
            <w:tcW w:w="713"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检出率%</w:t>
            </w:r>
          </w:p>
        </w:tc>
        <w:tc>
          <w:tcPr>
            <w:tcW w:w="971" w:type="dxa"/>
            <w:vMerge w:val="restart"/>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检出限 mg/kg</w:t>
            </w:r>
          </w:p>
        </w:tc>
        <w:tc>
          <w:tcPr>
            <w:tcW w:w="5187" w:type="dxa"/>
            <w:gridSpan w:val="6"/>
            <w:tcBorders>
              <w:top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含量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5"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826"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713"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971" w:type="dxa"/>
            <w:vMerge w:val="continue"/>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mean</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P50</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P75</w:t>
            </w:r>
          </w:p>
        </w:tc>
        <w:tc>
          <w:tcPr>
            <w:tcW w:w="850"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P90</w:t>
            </w:r>
          </w:p>
        </w:tc>
        <w:tc>
          <w:tcPr>
            <w:tcW w:w="851"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P95</w:t>
            </w:r>
          </w:p>
        </w:tc>
        <w:tc>
          <w:tcPr>
            <w:tcW w:w="936"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w:t>
            </w:r>
          </w:p>
        </w:tc>
        <w:tc>
          <w:tcPr>
            <w:tcW w:w="82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713"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c>
          <w:tcPr>
            <w:tcW w:w="971"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0.02</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0.130</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0.154</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0.171</w:t>
            </w:r>
          </w:p>
        </w:tc>
        <w:tc>
          <w:tcPr>
            <w:tcW w:w="850"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0.186</w:t>
            </w:r>
          </w:p>
        </w:tc>
        <w:tc>
          <w:tcPr>
            <w:tcW w:w="851"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0.187</w:t>
            </w:r>
          </w:p>
        </w:tc>
        <w:tc>
          <w:tcPr>
            <w:tcW w:w="93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5"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w:t>
            </w:r>
          </w:p>
        </w:tc>
        <w:tc>
          <w:tcPr>
            <w:tcW w:w="826"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713"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100</w:t>
            </w:r>
          </w:p>
        </w:tc>
        <w:tc>
          <w:tcPr>
            <w:tcW w:w="971"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0.002</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0.390</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0.405</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0.468</w:t>
            </w:r>
          </w:p>
        </w:tc>
        <w:tc>
          <w:tcPr>
            <w:tcW w:w="850"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0.481</w:t>
            </w:r>
          </w:p>
        </w:tc>
        <w:tc>
          <w:tcPr>
            <w:tcW w:w="851"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0.519</w:t>
            </w:r>
          </w:p>
        </w:tc>
        <w:tc>
          <w:tcPr>
            <w:tcW w:w="936" w:type="dxa"/>
            <w:tcBorders>
              <w:top w:val="dashed"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0.580</w:t>
            </w:r>
          </w:p>
        </w:tc>
      </w:tr>
    </w:tbl>
    <w:p>
      <w:pPr>
        <w:widowControl w:val="0"/>
        <w:jc w:val="center"/>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表10  20批次牡丹木槿花干品铅、镉重金属含量详情（mg/kg）</w:t>
      </w:r>
    </w:p>
    <w:tbl>
      <w:tblPr>
        <w:tblStyle w:val="11"/>
        <w:tblW w:w="495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4"/>
        <w:gridCol w:w="1617"/>
        <w:gridCol w:w="2313"/>
        <w:gridCol w:w="2140"/>
        <w:gridCol w:w="163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434" w:type="pct"/>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958" w:type="pct"/>
            <w:tcBorders>
              <w:bottom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1370"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w:t>
            </w:r>
          </w:p>
        </w:tc>
        <w:tc>
          <w:tcPr>
            <w:tcW w:w="1268"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铅（Pb）</w:t>
            </w:r>
          </w:p>
        </w:tc>
        <w:tc>
          <w:tcPr>
            <w:tcW w:w="967"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镉（Cd）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434"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958"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20241015001</w:t>
            </w:r>
          </w:p>
        </w:tc>
        <w:tc>
          <w:tcPr>
            <w:tcW w:w="1370" w:type="pct"/>
            <w:tcBorders>
              <w:top w:val="single"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迎风桥镇新花园村</w:t>
            </w:r>
          </w:p>
        </w:tc>
        <w:tc>
          <w:tcPr>
            <w:tcW w:w="1268"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0.187</w:t>
            </w:r>
          </w:p>
        </w:tc>
        <w:tc>
          <w:tcPr>
            <w:tcW w:w="967" w:type="pct"/>
            <w:tcBorders>
              <w:top w:val="single"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20241015002</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迎风桥镇新花园村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0.0658</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20241015003</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迎风桥镇新花园村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0.180</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20241015004</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长春镇先锋桥村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0.187</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20241015005</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长春镇先锋桥村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0.163</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20241015006</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长春镇先锋桥村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0.168</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20241015007</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长春镇先锋桥村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0.157</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20241015008</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茈湖口镇马王山村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0.176</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20241015009</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茈湖口镇马王山村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0.0648</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20241015010</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茈湖口镇马王山村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0.0926</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20241015011</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茈湖口镇马王山村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0.154</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20241015012</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长春镇皇家湖村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0.0832</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20241015013</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长春镇皇家湖村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0.0727</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20241015014</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长春镇皇家湖村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0.189</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20241015015</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长春镇皇家湖村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0.167</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20241015016</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沙头镇文兴村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0.151</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20241015017</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沙头镇文兴村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0.173</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20241015018</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沙头镇文兴村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0.151</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20241015019</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沙头镇文兴村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0.158</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434"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95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20241015020</w:t>
            </w:r>
          </w:p>
        </w:tc>
        <w:tc>
          <w:tcPr>
            <w:tcW w:w="1370" w:type="pct"/>
            <w:tcBorders>
              <w:top w:val="dashed" w:color="auto" w:sz="4" w:space="0"/>
              <w:bottom w:val="dashed" w:color="auto" w:sz="4" w:space="0"/>
              <w:tl2br w:val="nil"/>
              <w:tr2bl w:val="nil"/>
            </w:tcBorders>
            <w:noWrap/>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沙头镇文兴村</w:t>
            </w:r>
          </w:p>
        </w:tc>
        <w:tc>
          <w:tcPr>
            <w:tcW w:w="1268"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0.146</w:t>
            </w:r>
          </w:p>
        </w:tc>
        <w:tc>
          <w:tcPr>
            <w:tcW w:w="967" w:type="pct"/>
            <w:tcBorders>
              <w:top w:val="dashed" w:color="auto" w:sz="4" w:space="0"/>
              <w:bottom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434" w:type="pct"/>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958" w:type="pct"/>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1370" w:type="pct"/>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1268" w:type="pct"/>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0.144</w:t>
            </w:r>
          </w:p>
        </w:tc>
        <w:tc>
          <w:tcPr>
            <w:tcW w:w="967" w:type="pct"/>
            <w:tcBorders>
              <w:top w:val="dashed"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0.433</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w:t>
      </w:r>
      <w:r>
        <w:rPr>
          <w:rFonts w:hint="eastAsia" w:ascii="宋体" w:hAnsi="宋体" w:eastAsia="宋体" w:cs="宋体"/>
          <w:color w:val="000000"/>
          <w:kern w:val="0"/>
          <w:sz w:val="28"/>
          <w:szCs w:val="28"/>
          <w:highlight w:val="none"/>
          <w:lang w:val="en-US" w:eastAsia="zh-CN" w:bidi="ar"/>
        </w:rPr>
        <w:t>相关标准情况</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除对样本进行检测外，起草组还对比分析了蔬菜、食用花卉及代用茶等同类产品标准中的污染物限量设置情况（见表11）。</w:t>
      </w:r>
    </w:p>
    <w:p>
      <w:pPr>
        <w:pStyle w:val="6"/>
        <w:jc w:val="center"/>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 xml:space="preserve">11 </w:t>
      </w:r>
      <w:r>
        <w:rPr>
          <w:rFonts w:hint="eastAsia" w:ascii="黑体" w:hAnsi="黑体" w:eastAsia="黑体" w:cs="黑体"/>
          <w:kern w:val="2"/>
          <w:sz w:val="28"/>
          <w:szCs w:val="28"/>
          <w:highlight w:val="none"/>
          <w:lang w:val="en-US" w:eastAsia="zh-CN" w:bidi="ar-SA"/>
        </w:rPr>
        <w:t xml:space="preserve"> 不同蔬菜、食用花卉及代用茶污染物限量汇总对比（mg/kg）</w:t>
      </w:r>
    </w:p>
    <w:tbl>
      <w:tblPr>
        <w:tblStyle w:val="11"/>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8"/>
        <w:gridCol w:w="2128"/>
        <w:gridCol w:w="2226"/>
        <w:gridCol w:w="696"/>
        <w:gridCol w:w="816"/>
        <w:gridCol w:w="816"/>
        <w:gridCol w:w="696"/>
        <w:gridCol w:w="5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序号</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标准号</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标准名称</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铅</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镉</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总汞</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总砷</w:t>
            </w:r>
          </w:p>
        </w:tc>
        <w:tc>
          <w:tcPr>
            <w:tcW w:w="0" w:type="auto"/>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铬</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GB 2762-2022</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食品中污染物限量 新鲜蔬菜</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0.05</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GB 2762-2022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食品中污染物限量 干制蔬菜</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0.8</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NY/T 1506—2015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绿色食品 食用花卉（鲜）</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 xml:space="preserve">GH/T 1091—2014 </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代用茶（干）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DBS53/030—2021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干制铁皮石斛花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DBS52/049—2021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金钗石斛花（干制品）</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DBS52/045—2020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铁皮石斛花（干制品）</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DBS45/062—2019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铁皮石斛花（鲜）</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DBS35/001—2020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铁皮石斛花（干）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DB33/3011—2020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干制铁皮石斛花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DBS23/006—2019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干制黄芪花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DBS53/023—2017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干制三七花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DBS13/017—2023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干制文冠果叶（花）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DBS50/031—2023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山银花及其制品（干）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DBS62/005—2020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金银花（干）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DBS37/001—2022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金银花（开放花）（干）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5.0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DBS14/006—2023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流苏花（鲜）</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DBS14/006—2023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流苏花（干）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DBS13/015—2021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干制金莲花</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DBS45/069—2020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金花茶花（干）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DBS44/018—2022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鸡蛋花（干）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3.0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en-US"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DBS45/079—2024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茉莉花（鲜）</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DBS45/079—2024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茉莉花（干）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DBS35/010—2024</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柚子花（干）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GB/T 20353—2006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怀菊花（干）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26</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DB54/T 0245—2021</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西藏藏红花（干）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0.50</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27</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DB52/T 1060—2015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绥阳金银花（干）</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0" w:type="auto"/>
            <w:tcBorders>
              <w:top w:val="dashed"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28</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DB41/T 613-2024</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地理标志产品 淮阳黄花菜（干）</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0.8</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0.019</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0.004</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0" w:type="auto"/>
            <w:tcBorders>
              <w:top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w:t>
      </w:r>
      <w:r>
        <w:rPr>
          <w:rFonts w:hint="eastAsia" w:ascii="宋体" w:hAnsi="宋体" w:eastAsia="宋体" w:cs="宋体"/>
          <w:color w:val="000000"/>
          <w:kern w:val="0"/>
          <w:sz w:val="28"/>
          <w:szCs w:val="28"/>
          <w:highlight w:val="none"/>
          <w:lang w:val="en-US" w:eastAsia="zh-CN" w:bidi="ar"/>
        </w:rPr>
        <w:t>指标设置</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对照GB 2762-2022对新鲜蔬菜及蔬菜干制品的污染物指标要求，标准起草小组充分考虑牡丹木槿花种植和加工过程中可能引入的污染物的情况，结合样品实际检验数据，拟将铅、镉列入污染物控制指标。通过对比分析相关标准指标设置情况，样品实际检测结果以及配套检验方法标准定量限，拟将限量值设置如下（表12）：</w:t>
      </w:r>
    </w:p>
    <w:p>
      <w:pPr>
        <w:pStyle w:val="6"/>
        <w:jc w:val="center"/>
        <w:rPr>
          <w:rFonts w:hint="eastAsia" w:ascii="黑体" w:hAnsi="黑体" w:cs="黑体"/>
          <w:kern w:val="2"/>
          <w:sz w:val="28"/>
          <w:szCs w:val="28"/>
          <w:highlight w:val="none"/>
          <w:lang w:val="en-US" w:eastAsia="zh-CN" w:bidi="ar-SA"/>
        </w:rPr>
      </w:pPr>
      <w:r>
        <w:rPr>
          <w:rFonts w:hint="eastAsia" w:ascii="黑体" w:hAnsi="黑体" w:cs="黑体"/>
          <w:kern w:val="2"/>
          <w:sz w:val="28"/>
          <w:szCs w:val="28"/>
          <w:highlight w:val="none"/>
          <w:lang w:val="en-US" w:eastAsia="zh-CN" w:bidi="ar-SA"/>
        </w:rPr>
        <w:t>表12 牡丹木槿花污染物指标值</w:t>
      </w:r>
    </w:p>
    <w:tbl>
      <w:tblPr>
        <w:tblStyle w:val="12"/>
        <w:tblW w:w="799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55"/>
        <w:gridCol w:w="1433"/>
        <w:gridCol w:w="1331"/>
        <w:gridCol w:w="27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5" w:hRule="atLeast"/>
          <w:tblHeader/>
          <w:jc w:val="center"/>
        </w:trPr>
        <w:tc>
          <w:tcPr>
            <w:tcW w:w="2455" w:type="dxa"/>
            <w:vMerge w:val="restart"/>
            <w:noWrap w:val="0"/>
            <w:vAlign w:val="center"/>
          </w:tcPr>
          <w:p>
            <w:pPr>
              <w:autoSpaceDE w:val="0"/>
              <w:autoSpaceDN w:val="0"/>
              <w:ind w:firstLine="0" w:firstLineChars="0"/>
              <w:jc w:val="center"/>
              <w:rPr>
                <w:rFonts w:ascii="宋体" w:hAnsi="Times New Roman" w:eastAsia="宋体" w:cs="Times New Roman"/>
                <w:sz w:val="21"/>
                <w:szCs w:val="21"/>
                <w:highlight w:val="none"/>
                <w:lang w:val="en-US" w:eastAsia="zh-CN" w:bidi="ar-SA"/>
              </w:rPr>
            </w:pPr>
            <w:r>
              <w:rPr>
                <w:rFonts w:hint="eastAsia" w:ascii="宋体" w:hAnsi="Times New Roman" w:eastAsia="宋体" w:cs="Times New Roman"/>
                <w:sz w:val="21"/>
                <w:szCs w:val="21"/>
                <w:highlight w:val="none"/>
                <w:lang w:val="en-US" w:eastAsia="zh-CN" w:bidi="ar-SA"/>
              </w:rPr>
              <w:t>项目</w:t>
            </w:r>
          </w:p>
        </w:tc>
        <w:tc>
          <w:tcPr>
            <w:tcW w:w="2764" w:type="dxa"/>
            <w:gridSpan w:val="2"/>
            <w:noWrap w:val="0"/>
            <w:vAlign w:val="center"/>
          </w:tcPr>
          <w:p>
            <w:pPr>
              <w:autoSpaceDE w:val="0"/>
              <w:autoSpaceDN w:val="0"/>
              <w:ind w:firstLine="0" w:firstLineChars="0"/>
              <w:jc w:val="center"/>
              <w:rPr>
                <w:rFonts w:hint="eastAsia" w:ascii="宋体" w:hAnsi="Times New Roman" w:eastAsia="宋体" w:cs="Times New Roman"/>
                <w:sz w:val="21"/>
                <w:szCs w:val="21"/>
                <w:highlight w:val="none"/>
                <w:lang w:val="en-US" w:eastAsia="zh-CN" w:bidi="ar-SA"/>
              </w:rPr>
            </w:pPr>
            <w:r>
              <w:rPr>
                <w:rFonts w:hint="eastAsia" w:ascii="宋体" w:hAnsi="Times New Roman" w:eastAsia="宋体" w:cs="Times New Roman"/>
                <w:sz w:val="21"/>
                <w:szCs w:val="21"/>
                <w:highlight w:val="none"/>
                <w:lang w:val="en-US" w:eastAsia="zh-CN" w:bidi="ar-SA"/>
              </w:rPr>
              <w:t>限量</w:t>
            </w:r>
          </w:p>
        </w:tc>
        <w:tc>
          <w:tcPr>
            <w:tcW w:w="2776" w:type="dxa"/>
            <w:vMerge w:val="restart"/>
            <w:noWrap w:val="0"/>
            <w:vAlign w:val="center"/>
          </w:tcPr>
          <w:p>
            <w:pPr>
              <w:autoSpaceDE w:val="0"/>
              <w:autoSpaceDN w:val="0"/>
              <w:ind w:firstLine="0" w:firstLineChars="0"/>
              <w:jc w:val="center"/>
              <w:rPr>
                <w:rFonts w:ascii="宋体" w:hAnsi="Times New Roman" w:eastAsia="宋体" w:cs="Times New Roman"/>
                <w:sz w:val="21"/>
                <w:szCs w:val="21"/>
                <w:highlight w:val="none"/>
                <w:lang w:val="en-US" w:eastAsia="zh-CN" w:bidi="ar-SA"/>
              </w:rPr>
            </w:pPr>
            <w:r>
              <w:rPr>
                <w:rFonts w:hint="eastAsia" w:ascii="宋体" w:hAnsi="Times New Roman" w:eastAsia="宋体" w:cs="Times New Roman"/>
                <w:sz w:val="21"/>
                <w:szCs w:val="21"/>
                <w:highlight w:val="none"/>
                <w:lang w:val="en-US" w:eastAsia="zh-CN" w:bidi="ar-SA"/>
              </w:rPr>
              <w:t>检验方法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27" w:hRule="atLeast"/>
          <w:tblHeader/>
          <w:jc w:val="center"/>
        </w:trPr>
        <w:tc>
          <w:tcPr>
            <w:tcW w:w="2455" w:type="dxa"/>
            <w:vMerge w:val="continue"/>
            <w:tcBorders>
              <w:bottom w:val="single" w:color="auto" w:sz="4" w:space="0"/>
            </w:tcBorders>
            <w:noWrap w:val="0"/>
            <w:vAlign w:val="center"/>
          </w:tcPr>
          <w:p>
            <w:pPr>
              <w:autoSpaceDE w:val="0"/>
              <w:autoSpaceDN w:val="0"/>
              <w:ind w:firstLine="0" w:firstLineChars="0"/>
              <w:jc w:val="center"/>
              <w:rPr>
                <w:rFonts w:hint="eastAsia" w:ascii="宋体" w:hAnsi="Times New Roman" w:eastAsia="宋体" w:cs="Times New Roman"/>
                <w:sz w:val="21"/>
                <w:szCs w:val="21"/>
                <w:highlight w:val="none"/>
                <w:lang w:val="en-US" w:eastAsia="zh-CN" w:bidi="ar-SA"/>
              </w:rPr>
            </w:pPr>
          </w:p>
        </w:tc>
        <w:tc>
          <w:tcPr>
            <w:tcW w:w="1433" w:type="dxa"/>
            <w:tcBorders>
              <w:bottom w:val="single" w:color="auto" w:sz="4" w:space="0"/>
            </w:tcBorders>
            <w:noWrap w:val="0"/>
            <w:vAlign w:val="center"/>
          </w:tcPr>
          <w:p>
            <w:pPr>
              <w:autoSpaceDE w:val="0"/>
              <w:autoSpaceDN w:val="0"/>
              <w:ind w:firstLine="0" w:firstLineChars="0"/>
              <w:jc w:val="center"/>
              <w:rPr>
                <w:rFonts w:hint="default" w:ascii="宋体" w:hAnsi="Times New Roman" w:eastAsia="宋体" w:cs="Times New Roman"/>
                <w:sz w:val="21"/>
                <w:szCs w:val="21"/>
                <w:highlight w:val="none"/>
                <w:lang w:val="en-US" w:eastAsia="zh-CN" w:bidi="ar-SA"/>
              </w:rPr>
            </w:pPr>
            <w:r>
              <w:rPr>
                <w:rFonts w:hint="eastAsia" w:ascii="宋体" w:hAnsi="Times New Roman" w:eastAsia="宋体" w:cs="Times New Roman"/>
                <w:sz w:val="21"/>
                <w:szCs w:val="21"/>
                <w:highlight w:val="none"/>
                <w:lang w:val="en-US" w:eastAsia="zh-CN" w:bidi="ar-SA"/>
              </w:rPr>
              <w:t>鲜品</w:t>
            </w:r>
          </w:p>
        </w:tc>
        <w:tc>
          <w:tcPr>
            <w:tcW w:w="1331" w:type="dxa"/>
            <w:tcBorders>
              <w:bottom w:val="single" w:color="auto" w:sz="4" w:space="0"/>
            </w:tcBorders>
            <w:noWrap w:val="0"/>
            <w:vAlign w:val="center"/>
          </w:tcPr>
          <w:p>
            <w:pPr>
              <w:autoSpaceDE w:val="0"/>
              <w:autoSpaceDN w:val="0"/>
              <w:ind w:firstLine="0" w:firstLineChars="0"/>
              <w:jc w:val="center"/>
              <w:rPr>
                <w:rFonts w:hint="default" w:ascii="宋体" w:hAnsi="Times New Roman" w:eastAsia="宋体" w:cs="Times New Roman"/>
                <w:sz w:val="21"/>
                <w:szCs w:val="21"/>
                <w:highlight w:val="none"/>
                <w:lang w:val="en-US" w:eastAsia="zh-CN" w:bidi="ar-SA"/>
              </w:rPr>
            </w:pPr>
            <w:r>
              <w:rPr>
                <w:rFonts w:hint="eastAsia" w:ascii="宋体" w:hAnsi="Times New Roman" w:eastAsia="宋体" w:cs="Times New Roman"/>
                <w:sz w:val="21"/>
                <w:szCs w:val="21"/>
                <w:highlight w:val="none"/>
                <w:lang w:val="en-US" w:eastAsia="zh-CN" w:bidi="ar-SA"/>
              </w:rPr>
              <w:t>干品</w:t>
            </w:r>
          </w:p>
        </w:tc>
        <w:tc>
          <w:tcPr>
            <w:tcW w:w="2776" w:type="dxa"/>
            <w:vMerge w:val="continue"/>
            <w:tcBorders>
              <w:bottom w:val="single" w:color="auto" w:sz="4" w:space="0"/>
            </w:tcBorders>
            <w:noWrap w:val="0"/>
            <w:vAlign w:val="center"/>
          </w:tcPr>
          <w:p>
            <w:pPr>
              <w:autoSpaceDE w:val="0"/>
              <w:autoSpaceDN w:val="0"/>
              <w:ind w:firstLine="0" w:firstLineChars="0"/>
              <w:jc w:val="center"/>
              <w:rPr>
                <w:rFonts w:hint="eastAsia" w:ascii="宋体" w:hAnsi="Times New Roman" w:eastAsia="宋体" w:cs="Times New Roman"/>
                <w:sz w:val="21"/>
                <w:szCs w:val="21"/>
                <w:highlight w:val="none"/>
                <w:lang w:val="en-US" w:eastAsia="zh-CN" w:bidi="ar-S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455"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铅（以Pb计）/（mg/kg）</w:t>
            </w:r>
          </w:p>
        </w:tc>
        <w:tc>
          <w:tcPr>
            <w:tcW w:w="1433"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1331"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2776" w:type="dxa"/>
            <w:tcBorders>
              <w:top w:val="single" w:color="auto" w:sz="4" w:space="0"/>
              <w:bottom w:val="dashed"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GB 5009.12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455" w:type="dxa"/>
            <w:tcBorders>
              <w:top w:val="dashed"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镉（以Cd计）/(mg/kg)</w:t>
            </w:r>
          </w:p>
        </w:tc>
        <w:tc>
          <w:tcPr>
            <w:tcW w:w="1433" w:type="dxa"/>
            <w:tcBorders>
              <w:top w:val="dashed"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0.05</w:t>
            </w:r>
          </w:p>
        </w:tc>
        <w:tc>
          <w:tcPr>
            <w:tcW w:w="1331" w:type="dxa"/>
            <w:tcBorders>
              <w:top w:val="dashed"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2776" w:type="dxa"/>
            <w:tcBorders>
              <w:top w:val="dashed"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GB 5009.15</w:t>
            </w:r>
          </w:p>
        </w:tc>
      </w:tr>
    </w:tbl>
    <w:p>
      <w:pPr>
        <w:pageBreakBefore w:val="0"/>
        <w:widowControl w:val="0"/>
        <w:wordWrap w:val="0"/>
        <w:bidi w:val="0"/>
        <w:spacing w:line="360" w:lineRule="auto"/>
        <w:jc w:val="left"/>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（六）</w:t>
      </w:r>
      <w:r>
        <w:rPr>
          <w:rFonts w:hint="eastAsia" w:ascii="宋体" w:hAnsi="宋体" w:eastAsia="宋体" w:cs="宋体"/>
          <w:b/>
          <w:bCs/>
          <w:kern w:val="2"/>
          <w:sz w:val="28"/>
          <w:szCs w:val="28"/>
          <w:highlight w:val="none"/>
          <w:lang w:val="en-US" w:eastAsia="zh-CN" w:bidi="ar-SA"/>
        </w:rPr>
        <w:t>农药残留量测定方法及指标确定依据</w:t>
      </w:r>
    </w:p>
    <w:p>
      <w:pPr>
        <w:widowControl w:val="0"/>
        <w:adjustRightInd/>
        <w:snapToGrid/>
        <w:spacing w:after="0" w:line="360" w:lineRule="auto"/>
        <w:ind w:right="345" w:firstLine="560" w:firstLineChars="200"/>
        <w:jc w:val="left"/>
        <w:rPr>
          <w:rFonts w:hint="default" w:ascii="宋体" w:hAnsi="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1.</w:t>
      </w:r>
      <w:r>
        <w:rPr>
          <w:rFonts w:hint="eastAsia" w:ascii="宋体" w:hAnsi="宋体" w:eastAsia="宋体" w:cs="宋体"/>
          <w:color w:val="000000"/>
          <w:kern w:val="0"/>
          <w:sz w:val="28"/>
          <w:szCs w:val="28"/>
          <w:highlight w:val="none"/>
          <w:lang w:val="en-US" w:eastAsia="zh-CN" w:bidi="ar"/>
        </w:rPr>
        <w:t>实际污染水平</w:t>
      </w:r>
    </w:p>
    <w:p>
      <w:pPr>
        <w:widowControl w:val="0"/>
        <w:adjustRightInd/>
        <w:snapToGrid/>
        <w:spacing w:after="0" w:line="360" w:lineRule="auto"/>
        <w:ind w:right="345"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经调研，当地种植农户在牡丹木槿花开花期间均不使用任何农药，在花期前后会用吡虫啉、啶虫脒、氯氰菊酯、腈苯唑四种农药对蚜虫、鳞翅目蛾类、鞘翅目甲虫类、煤污病、褐斑病、叶斑病等进行预防。</w:t>
      </w:r>
      <w:r>
        <w:rPr>
          <w:rFonts w:hint="eastAsia" w:ascii="宋体" w:hAnsi="宋体" w:cs="宋体"/>
          <w:kern w:val="2"/>
          <w:sz w:val="28"/>
          <w:szCs w:val="28"/>
          <w:highlight w:val="none"/>
          <w:lang w:val="en-US" w:eastAsia="zh-CN" w:bidi="ar-SA"/>
        </w:rPr>
        <w:t>同时，益阳市资阳区农业农村局出具了《益阳市资阳区牡丹木槿主要病虫害防控说明》（见附录二），允许使用的农药为吡虫啉、啶虫脒、氯氰菊酯和腈苯唑。鉴于湖南当地牡丹木槿花的食用习惯与蔬菜较为接近，标准起草组参考</w:t>
      </w:r>
      <w:r>
        <w:rPr>
          <w:rFonts w:hint="eastAsia" w:ascii="宋体" w:hAnsi="宋体" w:eastAsia="宋体" w:cs="宋体"/>
          <w:color w:val="000000"/>
          <w:kern w:val="0"/>
          <w:sz w:val="28"/>
          <w:szCs w:val="28"/>
          <w:highlight w:val="none"/>
          <w:lang w:val="en-US" w:eastAsia="zh-CN" w:bidi="ar"/>
        </w:rPr>
        <w:t>食品安全国家标准 食品中农药最大残留限量</w:t>
      </w:r>
      <w:r>
        <w:rPr>
          <w:rFonts w:hint="eastAsia" w:ascii="宋体" w:hAnsi="宋体" w:cs="宋体"/>
          <w:color w:val="000000"/>
          <w:kern w:val="0"/>
          <w:sz w:val="28"/>
          <w:szCs w:val="28"/>
          <w:highlight w:val="none"/>
          <w:lang w:val="en-US" w:eastAsia="zh-CN" w:bidi="ar"/>
        </w:rPr>
        <w:t>》（GB 2763-2021）</w:t>
      </w:r>
      <w:r>
        <w:rPr>
          <w:rFonts w:hint="eastAsia" w:ascii="宋体" w:hAnsi="宋体" w:eastAsia="宋体" w:cs="宋体"/>
          <w:color w:val="000000"/>
          <w:kern w:val="0"/>
          <w:sz w:val="28"/>
          <w:szCs w:val="28"/>
          <w:highlight w:val="none"/>
          <w:lang w:val="en-US" w:eastAsia="zh-CN" w:bidi="ar"/>
        </w:rPr>
        <w:t>中蔬菜</w:t>
      </w:r>
      <w:r>
        <w:rPr>
          <w:rFonts w:hint="eastAsia" w:ascii="宋体" w:hAnsi="宋体" w:eastAsia="宋体" w:cs="宋体"/>
          <w:kern w:val="2"/>
          <w:sz w:val="28"/>
          <w:szCs w:val="28"/>
          <w:highlight w:val="none"/>
          <w:lang w:val="en-US" w:eastAsia="zh-CN" w:bidi="ar-SA"/>
        </w:rPr>
        <w:t>吡虫啉、啶虫脒、氯氰菊酯、腈苯唑</w:t>
      </w:r>
      <w:r>
        <w:rPr>
          <w:rFonts w:hint="eastAsia" w:ascii="宋体" w:hAnsi="宋体" w:cs="宋体"/>
          <w:kern w:val="2"/>
          <w:sz w:val="28"/>
          <w:szCs w:val="28"/>
          <w:highlight w:val="none"/>
          <w:lang w:val="en-US" w:eastAsia="zh-CN" w:bidi="ar-SA"/>
        </w:rPr>
        <w:t>的</w:t>
      </w:r>
      <w:r>
        <w:rPr>
          <w:rFonts w:hint="eastAsia" w:ascii="宋体" w:hAnsi="宋体" w:eastAsia="宋体" w:cs="宋体"/>
          <w:color w:val="000000"/>
          <w:kern w:val="0"/>
          <w:sz w:val="28"/>
          <w:szCs w:val="28"/>
          <w:highlight w:val="none"/>
          <w:lang w:val="en-US" w:eastAsia="zh-CN" w:bidi="ar"/>
        </w:rPr>
        <w:t>要求</w:t>
      </w:r>
      <w:r>
        <w:rPr>
          <w:rFonts w:hint="eastAsia" w:ascii="宋体" w:hAnsi="宋体" w:cs="宋体"/>
          <w:color w:val="000000"/>
          <w:kern w:val="0"/>
          <w:sz w:val="28"/>
          <w:szCs w:val="28"/>
          <w:highlight w:val="none"/>
          <w:lang w:val="en-US" w:eastAsia="zh-CN" w:bidi="ar"/>
        </w:rPr>
        <w:t>，</w:t>
      </w:r>
      <w:r>
        <w:rPr>
          <w:rFonts w:hint="eastAsia" w:ascii="宋体" w:hAnsi="宋体" w:eastAsia="宋体" w:cs="宋体"/>
          <w:kern w:val="2"/>
          <w:sz w:val="28"/>
          <w:szCs w:val="28"/>
          <w:highlight w:val="none"/>
          <w:lang w:val="en-US" w:eastAsia="zh-CN" w:bidi="ar-SA"/>
        </w:rPr>
        <w:t>进行30批次鲜品和2批次干品的吡虫啉、啶虫脒、氯氰菊酯、腈苯唑农药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宋体" w:hAnsi="宋体" w:eastAsia="宋体" w:cs="宋体"/>
          <w:kern w:val="2"/>
          <w:sz w:val="28"/>
          <w:szCs w:val="28"/>
          <w:highlight w:val="none"/>
          <w:lang w:val="en-US" w:eastAsia="zh-CN" w:bidi="ar-SA"/>
        </w:rPr>
        <w:t>检测</w:t>
      </w:r>
      <w:r>
        <w:rPr>
          <w:rFonts w:hint="eastAsia" w:ascii="宋体" w:hAnsi="宋体" w:cs="宋体"/>
          <w:kern w:val="2"/>
          <w:sz w:val="28"/>
          <w:szCs w:val="28"/>
          <w:highlight w:val="none"/>
          <w:lang w:val="en-US" w:eastAsia="zh-CN" w:bidi="ar-SA"/>
        </w:rPr>
        <w:t>（见表13、表14）</w:t>
      </w:r>
      <w:r>
        <w:rPr>
          <w:rFonts w:hint="eastAsia" w:ascii="宋体" w:hAnsi="宋体" w:eastAsia="宋体" w:cs="宋体"/>
          <w:kern w:val="2"/>
          <w:sz w:val="28"/>
          <w:szCs w:val="28"/>
          <w:highlight w:val="none"/>
          <w:lang w:val="en-US" w:eastAsia="zh-CN" w:bidi="ar-SA"/>
        </w:rPr>
        <w:t>。</w:t>
      </w:r>
    </w:p>
    <w:p>
      <w:pPr>
        <w:pStyle w:val="6"/>
        <w:jc w:val="center"/>
        <w:rPr>
          <w:rFonts w:hint="eastAsia" w:eastAsia="宋体"/>
          <w:highlight w:val="none"/>
          <w:lang w:eastAsia="zh-CN"/>
        </w:rPr>
      </w:pPr>
      <w:bookmarkStart w:id="0" w:name="_Toc12383"/>
      <w:bookmarkStart w:id="1" w:name="_Toc23755"/>
      <w:r>
        <w:rPr>
          <w:rFonts w:hint="eastAsia" w:ascii="黑体" w:hAnsi="黑体" w:eastAsia="黑体" w:cs="黑体"/>
          <w:kern w:val="2"/>
          <w:sz w:val="28"/>
          <w:szCs w:val="28"/>
          <w:highlight w:val="none"/>
          <w:lang w:val="en-US" w:eastAsia="zh-CN" w:bidi="ar-SA"/>
        </w:rPr>
        <w:t>表</w:t>
      </w:r>
      <w:r>
        <w:rPr>
          <w:rFonts w:hint="eastAsia" w:ascii="黑体" w:hAnsi="黑体" w:cs="黑体"/>
          <w:kern w:val="2"/>
          <w:sz w:val="28"/>
          <w:szCs w:val="28"/>
          <w:highlight w:val="none"/>
          <w:lang w:val="en-US" w:eastAsia="zh-CN" w:bidi="ar-SA"/>
        </w:rPr>
        <w:t>13</w:t>
      </w:r>
      <w:r>
        <w:rPr>
          <w:rFonts w:hint="eastAsia" w:ascii="黑体" w:hAnsi="黑体" w:eastAsia="黑体" w:cs="黑体"/>
          <w:kern w:val="2"/>
          <w:sz w:val="28"/>
          <w:szCs w:val="28"/>
          <w:highlight w:val="none"/>
          <w:lang w:val="en-US" w:eastAsia="zh-CN" w:bidi="ar-SA"/>
        </w:rPr>
        <w:t xml:space="preserve">  </w:t>
      </w:r>
      <w:r>
        <w:rPr>
          <w:rFonts w:hint="eastAsia" w:ascii="黑体" w:hAnsi="黑体" w:cs="黑体"/>
          <w:kern w:val="2"/>
          <w:sz w:val="28"/>
          <w:szCs w:val="28"/>
          <w:highlight w:val="none"/>
          <w:lang w:val="en-US" w:eastAsia="zh-CN" w:bidi="ar-SA"/>
        </w:rPr>
        <w:t>牡丹木槿花鲜品四</w:t>
      </w:r>
      <w:r>
        <w:rPr>
          <w:rFonts w:hint="eastAsia" w:ascii="黑体" w:hAnsi="黑体" w:eastAsia="黑体" w:cs="黑体"/>
          <w:kern w:val="2"/>
          <w:sz w:val="28"/>
          <w:szCs w:val="28"/>
          <w:highlight w:val="none"/>
          <w:lang w:val="en-US" w:eastAsia="zh-CN" w:bidi="ar-SA"/>
        </w:rPr>
        <w:t>项</w:t>
      </w:r>
      <w:r>
        <w:rPr>
          <w:rFonts w:hint="eastAsia" w:ascii="宋体" w:hAnsi="宋体" w:eastAsia="宋体" w:cs="宋体"/>
          <w:kern w:val="2"/>
          <w:sz w:val="28"/>
          <w:szCs w:val="28"/>
          <w:highlight w:val="none"/>
          <w:lang w:val="en-US" w:eastAsia="zh-CN" w:bidi="ar-SA"/>
        </w:rPr>
        <w:t>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黑体" w:hAnsi="黑体" w:eastAsia="黑体" w:cs="黑体"/>
          <w:kern w:val="2"/>
          <w:sz w:val="28"/>
          <w:szCs w:val="28"/>
          <w:highlight w:val="none"/>
          <w:lang w:val="en-US" w:eastAsia="zh-CN" w:bidi="ar-SA"/>
        </w:rPr>
        <w:t>检测表（mg/kg）</w:t>
      </w:r>
    </w:p>
    <w:tbl>
      <w:tblPr>
        <w:tblStyle w:val="12"/>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63"/>
        <w:gridCol w:w="2176"/>
        <w:gridCol w:w="1393"/>
        <w:gridCol w:w="1393"/>
        <w:gridCol w:w="1394"/>
        <w:gridCol w:w="140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tblHeader/>
        </w:trPr>
        <w:tc>
          <w:tcPr>
            <w:tcW w:w="76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217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139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氯氰菊酯</w:t>
            </w:r>
          </w:p>
        </w:tc>
        <w:tc>
          <w:tcPr>
            <w:tcW w:w="139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吡虫啉</w:t>
            </w:r>
          </w:p>
        </w:tc>
        <w:tc>
          <w:tcPr>
            <w:tcW w:w="139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啶虫脒</w:t>
            </w:r>
          </w:p>
        </w:tc>
        <w:tc>
          <w:tcPr>
            <w:tcW w:w="140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腈苯唑</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2176" w:type="dxa"/>
            <w:tcBorders>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20220928001</w:t>
            </w:r>
          </w:p>
        </w:tc>
        <w:tc>
          <w:tcPr>
            <w:tcW w:w="1393" w:type="dxa"/>
            <w:tcBorders>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20220928004</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20220929002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20221002002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20221006002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20221007004</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16</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17</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18</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20221005004</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19</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21</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22</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20221003004</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23</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20221003005</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24</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20221003006</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25</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20221004001</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26</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20221004002</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27</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28</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20221004004</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29</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20221004005</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30</w:t>
            </w:r>
          </w:p>
        </w:tc>
        <w:tc>
          <w:tcPr>
            <w:tcW w:w="2176" w:type="dxa"/>
            <w:tcBorders>
              <w:top w:val="dashed" w:color="auto" w:sz="4" w:space="0"/>
              <w:bottom w:val="dashed"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20221004006</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2176"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检出限</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0.003</w:t>
            </w:r>
          </w:p>
        </w:tc>
        <w:tc>
          <w:tcPr>
            <w:tcW w:w="139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0.0055</w:t>
            </w:r>
          </w:p>
        </w:tc>
        <w:tc>
          <w:tcPr>
            <w:tcW w:w="1394"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0.00036</w:t>
            </w:r>
          </w:p>
        </w:tc>
        <w:tc>
          <w:tcPr>
            <w:tcW w:w="1403" w:type="dxa"/>
            <w:tcBorders>
              <w:top w:val="dashed" w:color="auto" w:sz="4" w:space="0"/>
              <w:bottom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0.00041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blHeader/>
        </w:trPr>
        <w:tc>
          <w:tcPr>
            <w:tcW w:w="763"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2176"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1393"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393"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394"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403" w:type="dxa"/>
            <w:tcBorders>
              <w:top w:val="dashed"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bl>
    <w:p>
      <w:pPr>
        <w:jc w:val="both"/>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注：采样地见表2。</w:t>
      </w: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rPr>
      </w:pP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highlight w:val="none"/>
          <w:lang w:eastAsia="zh-CN"/>
        </w:rPr>
      </w:pPr>
      <w:r>
        <w:rPr>
          <w:rFonts w:hint="eastAsia" w:ascii="黑体" w:hAnsi="黑体" w:eastAsia="黑体" w:cs="黑体"/>
          <w:sz w:val="28"/>
          <w:szCs w:val="28"/>
          <w:highlight w:val="none"/>
        </w:rPr>
        <w:t>表</w:t>
      </w:r>
      <w:r>
        <w:rPr>
          <w:rFonts w:hint="eastAsia" w:ascii="黑体" w:hAnsi="黑体" w:eastAsia="黑体" w:cs="黑体"/>
          <w:sz w:val="28"/>
          <w:szCs w:val="28"/>
          <w:highlight w:val="none"/>
          <w:lang w:eastAsia="zh-CN"/>
        </w:rPr>
        <w:t>1</w:t>
      </w:r>
      <w:r>
        <w:rPr>
          <w:rFonts w:hint="eastAsia" w:ascii="黑体" w:hAnsi="黑体" w:cs="黑体"/>
          <w:sz w:val="28"/>
          <w:szCs w:val="28"/>
          <w:highlight w:val="none"/>
          <w:lang w:val="en-US" w:eastAsia="zh-CN"/>
        </w:rPr>
        <w:t>4</w:t>
      </w:r>
      <w:r>
        <w:rPr>
          <w:rFonts w:hint="eastAsia" w:ascii="黑体" w:hAnsi="黑体" w:eastAsia="黑体" w:cs="黑体"/>
          <w:sz w:val="28"/>
          <w:szCs w:val="28"/>
          <w:highlight w:val="none"/>
          <w:lang w:eastAsia="zh-CN"/>
        </w:rPr>
        <w:t xml:space="preserve">  </w:t>
      </w:r>
      <w:r>
        <w:rPr>
          <w:rFonts w:hint="eastAsia" w:ascii="黑体" w:hAnsi="黑体" w:cs="黑体"/>
          <w:sz w:val="28"/>
          <w:szCs w:val="28"/>
          <w:highlight w:val="none"/>
          <w:lang w:eastAsia="zh-CN"/>
        </w:rPr>
        <w:t>牡丹木槿花干品</w:t>
      </w:r>
      <w:r>
        <w:rPr>
          <w:rFonts w:hint="eastAsia" w:ascii="黑体" w:hAnsi="黑体" w:cs="黑体"/>
          <w:sz w:val="28"/>
          <w:szCs w:val="28"/>
          <w:highlight w:val="none"/>
          <w:lang w:val="en-US" w:eastAsia="zh-CN"/>
        </w:rPr>
        <w:t>四</w:t>
      </w:r>
      <w:r>
        <w:rPr>
          <w:rFonts w:hint="eastAsia" w:ascii="黑体" w:hAnsi="黑体" w:eastAsia="黑体" w:cs="黑体"/>
          <w:sz w:val="28"/>
          <w:szCs w:val="28"/>
          <w:highlight w:val="none"/>
          <w:lang w:eastAsia="zh-CN"/>
        </w:rPr>
        <w:t>项</w:t>
      </w:r>
      <w:r>
        <w:rPr>
          <w:rFonts w:hint="eastAsia" w:ascii="宋体" w:hAnsi="宋体" w:eastAsia="宋体" w:cs="宋体"/>
          <w:kern w:val="2"/>
          <w:sz w:val="28"/>
          <w:szCs w:val="28"/>
          <w:highlight w:val="none"/>
          <w:lang w:val="en-US" w:eastAsia="zh-CN" w:bidi="ar-SA"/>
        </w:rPr>
        <w:t>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黑体" w:hAnsi="黑体" w:eastAsia="黑体" w:cs="黑体"/>
          <w:sz w:val="28"/>
          <w:szCs w:val="28"/>
          <w:highlight w:val="none"/>
          <w:lang w:eastAsia="zh-CN"/>
        </w:rPr>
        <w:t>检测表（mg/kg）</w:t>
      </w:r>
    </w:p>
    <w:tbl>
      <w:tblPr>
        <w:tblStyle w:val="12"/>
        <w:tblpPr w:leftFromText="180" w:rightFromText="180" w:vertAnchor="text" w:horzAnchor="page" w:tblpX="1752"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349"/>
        <w:gridCol w:w="1252"/>
        <w:gridCol w:w="974"/>
        <w:gridCol w:w="1113"/>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6"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3349"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编号</w:t>
            </w:r>
          </w:p>
        </w:tc>
        <w:tc>
          <w:tcPr>
            <w:tcW w:w="1252"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氯氰菊酯</w:t>
            </w:r>
          </w:p>
        </w:tc>
        <w:tc>
          <w:tcPr>
            <w:tcW w:w="974"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吡虫啉</w:t>
            </w:r>
          </w:p>
        </w:tc>
        <w:tc>
          <w:tcPr>
            <w:tcW w:w="1113"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啶虫脒</w:t>
            </w:r>
          </w:p>
        </w:tc>
        <w:tc>
          <w:tcPr>
            <w:tcW w:w="1088"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腈苯唑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tcBorders>
              <w:top w:val="single" w:color="000000"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3349" w:type="dxa"/>
            <w:tcBorders>
              <w:top w:val="single" w:color="000000"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FW2206689001</w:t>
            </w:r>
          </w:p>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采样地：长春镇先锋桥村）</w:t>
            </w:r>
          </w:p>
        </w:tc>
        <w:tc>
          <w:tcPr>
            <w:tcW w:w="1252"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974"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113"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088"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3349"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FW2206688001</w:t>
            </w:r>
          </w:p>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（采样地：迎风桥镇新花园村）</w:t>
            </w:r>
          </w:p>
        </w:tc>
        <w:tc>
          <w:tcPr>
            <w:tcW w:w="1252"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974"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113"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c>
          <w:tcPr>
            <w:tcW w:w="1088"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3349"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检出限</w:t>
            </w:r>
          </w:p>
        </w:tc>
        <w:tc>
          <w:tcPr>
            <w:tcW w:w="1252"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0.003</w:t>
            </w:r>
          </w:p>
        </w:tc>
        <w:tc>
          <w:tcPr>
            <w:tcW w:w="974"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0.0055</w:t>
            </w:r>
          </w:p>
        </w:tc>
        <w:tc>
          <w:tcPr>
            <w:tcW w:w="1113"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0.00036</w:t>
            </w:r>
          </w:p>
        </w:tc>
        <w:tc>
          <w:tcPr>
            <w:tcW w:w="1088"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p>
        </w:tc>
        <w:tc>
          <w:tcPr>
            <w:tcW w:w="3349"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平均值</w:t>
            </w:r>
          </w:p>
        </w:tc>
        <w:tc>
          <w:tcPr>
            <w:tcW w:w="1252"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974"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113"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088" w:type="dxa"/>
            <w:tcBorders>
              <w:top w:val="dashed" w:color="auto"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bookmarkEnd w:id="0"/>
      <w:bookmarkEnd w:id="1"/>
    </w:tbl>
    <w:p>
      <w:pPr>
        <w:widowControl w:val="0"/>
        <w:adjustRightInd/>
        <w:snapToGrid/>
        <w:spacing w:after="0" w:line="360" w:lineRule="auto"/>
        <w:ind w:right="345" w:firstLine="560" w:firstLineChars="200"/>
        <w:jc w:val="left"/>
        <w:rPr>
          <w:rFonts w:hint="eastAsia" w:ascii="宋体" w:hAnsi="宋体" w:cs="宋体"/>
          <w:kern w:val="2"/>
          <w:sz w:val="28"/>
          <w:szCs w:val="28"/>
          <w:highlight w:val="none"/>
          <w:lang w:val="en-US" w:eastAsia="zh-CN" w:bidi="ar-SA"/>
        </w:rPr>
      </w:pPr>
      <w:r>
        <w:rPr>
          <w:rFonts w:hint="eastAsia" w:ascii="宋体" w:hAnsi="宋体" w:cs="宋体"/>
          <w:color w:val="000000"/>
          <w:kern w:val="0"/>
          <w:sz w:val="28"/>
          <w:szCs w:val="28"/>
          <w:highlight w:val="none"/>
          <w:lang w:val="en-US" w:eastAsia="zh-CN" w:bidi="ar"/>
        </w:rPr>
        <w:t>从表13、表14的检测结果看见，牡丹木槿花中</w:t>
      </w:r>
      <w:r>
        <w:rPr>
          <w:rFonts w:hint="eastAsia" w:ascii="宋体" w:hAnsi="宋体" w:eastAsia="宋体" w:cs="宋体"/>
          <w:kern w:val="2"/>
          <w:sz w:val="28"/>
          <w:szCs w:val="28"/>
          <w:highlight w:val="none"/>
          <w:lang w:val="en-US" w:eastAsia="zh-CN" w:bidi="ar-SA"/>
        </w:rPr>
        <w:t>吡虫啉、啶虫脒、氯氰菊酯、腈苯唑农药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宋体" w:hAnsi="宋体" w:eastAsia="宋体" w:cs="宋体"/>
          <w:kern w:val="2"/>
          <w:sz w:val="28"/>
          <w:szCs w:val="28"/>
          <w:highlight w:val="none"/>
          <w:lang w:val="en-US" w:eastAsia="zh-CN" w:bidi="ar-SA"/>
        </w:rPr>
        <w:t>均</w:t>
      </w:r>
      <w:r>
        <w:rPr>
          <w:rFonts w:hint="eastAsia" w:ascii="宋体" w:hAnsi="宋体" w:cs="宋体"/>
          <w:kern w:val="2"/>
          <w:sz w:val="28"/>
          <w:szCs w:val="28"/>
          <w:highlight w:val="none"/>
          <w:lang w:val="en-US" w:eastAsia="zh-CN" w:bidi="ar-SA"/>
        </w:rPr>
        <w:t>未检出。</w:t>
      </w:r>
    </w:p>
    <w:p>
      <w:pPr>
        <w:widowControl w:val="0"/>
        <w:adjustRightInd/>
        <w:snapToGrid/>
        <w:spacing w:after="0" w:line="360" w:lineRule="auto"/>
        <w:ind w:right="345"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起草组考虑到牡丹木槿花产区附近农林业生产中常用的农药、近年来国家禁限用农药、半衰期特别长的农药及制定标准前瞻性等情况，对相关60项农残（敌敌畏、甲胺磷、乙酰甲胺磷、灭线磷、氧乐果、乐果、毒死蜱、倍硫磷、杀螟硫磷、对硫磷、狄氏剂、水胺硫磷、杀扑磷、三唑磷、艾氏剂、二嗪磷、甲基对硫磷、马拉硫磷、丙溴磷、亚胺硫磷、伏杀硫磷、六六六、滴滴涕、五氯硝基苯、百菌清、乙烯菌核利、三唑酮、腐霉利、异菌脲、联苯菊酯、甲氰菊酯、氯氟氰菊酯、氟氯氰菊酯、氯菊酯、氯氰菊酯、氰戊菊酯、溴氰菊酯、三氯杀螨醇、氟胺氰菊酯、氟氰戊菊酯、七氯、灭蝇胺、丙环唑、多菌灵、甲氨基阿维菌素苯甲酸盐、螺螨酯、戊唑醇、烯酰吗啉、辛硫磷、吡虫啉、啶虫脒、噻虫嗪、腈苯唑、克百威、克螨特、氯虫苯甲酰胺、茚虫威、咪鲜胺、涕灭威、甲萘威）进行一批次的牡丹木槿花鲜品检测，检测结果除了吡虫啉检测出0.052mg/kg外，其他显示未检出。参考GB 2763-2021其他类蔬菜对吡虫啉的限量要求，其结果</w:t>
      </w:r>
      <w:r>
        <w:rPr>
          <w:rFonts w:hint="eastAsia" w:ascii="宋体" w:hAnsi="宋体" w:cs="宋体"/>
          <w:color w:val="000000"/>
          <w:kern w:val="0"/>
          <w:sz w:val="28"/>
          <w:szCs w:val="28"/>
          <w:highlight w:val="none"/>
          <w:lang w:val="en-US" w:eastAsia="zh-CN" w:bidi="ar"/>
        </w:rPr>
        <w:t>符合</w:t>
      </w:r>
      <w:r>
        <w:rPr>
          <w:rFonts w:hint="eastAsia" w:ascii="宋体" w:hAnsi="宋体" w:eastAsia="宋体" w:cs="宋体"/>
          <w:color w:val="000000"/>
          <w:kern w:val="0"/>
          <w:sz w:val="28"/>
          <w:szCs w:val="28"/>
          <w:highlight w:val="none"/>
          <w:lang w:val="en-US" w:eastAsia="zh-CN" w:bidi="ar"/>
        </w:rPr>
        <w:t>其他类蔬菜对吡虫啉的限量</w:t>
      </w:r>
      <w:r>
        <w:rPr>
          <w:rFonts w:hint="eastAsia" w:ascii="宋体" w:hAnsi="宋体" w:cs="宋体"/>
          <w:color w:val="000000"/>
          <w:kern w:val="0"/>
          <w:sz w:val="28"/>
          <w:szCs w:val="28"/>
          <w:highlight w:val="none"/>
          <w:lang w:val="en-US" w:eastAsia="zh-CN" w:bidi="ar"/>
        </w:rPr>
        <w:t>要求</w:t>
      </w:r>
      <w:r>
        <w:rPr>
          <w:rFonts w:hint="eastAsia" w:ascii="宋体" w:hAnsi="宋体" w:eastAsia="宋体" w:cs="宋体"/>
          <w:color w:val="000000"/>
          <w:kern w:val="0"/>
          <w:sz w:val="28"/>
          <w:szCs w:val="28"/>
          <w:highlight w:val="none"/>
          <w:lang w:val="en-US" w:eastAsia="zh-CN" w:bidi="ar"/>
        </w:rPr>
        <w:t>。</w:t>
      </w:r>
    </w:p>
    <w:p>
      <w:pPr>
        <w:widowControl w:val="0"/>
        <w:adjustRightInd/>
        <w:snapToGrid/>
        <w:spacing w:after="0" w:line="360" w:lineRule="auto"/>
        <w:ind w:right="345" w:firstLine="560" w:firstLineChars="200"/>
        <w:jc w:val="left"/>
        <w:rPr>
          <w:rFonts w:hint="default" w:ascii="宋体" w:hAnsi="宋体" w:eastAsia="宋体" w:cs="宋体"/>
          <w:kern w:val="2"/>
          <w:sz w:val="28"/>
          <w:szCs w:val="28"/>
          <w:highlight w:val="none"/>
          <w:lang w:val="en-US" w:eastAsia="zh-CN" w:bidi="ar-SA"/>
        </w:rPr>
      </w:pPr>
      <w:bookmarkStart w:id="5" w:name="_GoBack"/>
      <w:bookmarkEnd w:id="5"/>
      <w:r>
        <w:rPr>
          <w:rFonts w:hint="eastAsia" w:ascii="宋体" w:hAnsi="宋体" w:cs="宋体"/>
          <w:color w:val="000000"/>
          <w:kern w:val="0"/>
          <w:sz w:val="28"/>
          <w:szCs w:val="28"/>
          <w:highlight w:val="none"/>
          <w:lang w:val="en-US" w:eastAsia="zh-CN" w:bidi="ar"/>
        </w:rPr>
        <w:t>起草组</w:t>
      </w:r>
      <w:r>
        <w:rPr>
          <w:rFonts w:hint="eastAsia" w:ascii="宋体" w:hAnsi="宋体" w:cs="宋体"/>
          <w:kern w:val="2"/>
          <w:sz w:val="28"/>
          <w:szCs w:val="28"/>
          <w:highlight w:val="none"/>
          <w:lang w:val="en-US" w:eastAsia="zh-CN" w:bidi="ar-SA"/>
        </w:rPr>
        <w:t>进一步</w:t>
      </w:r>
      <w:r>
        <w:rPr>
          <w:rFonts w:hint="eastAsia" w:ascii="宋体" w:hAnsi="宋体" w:eastAsia="宋体" w:cs="宋体"/>
          <w:kern w:val="2"/>
          <w:sz w:val="28"/>
          <w:szCs w:val="28"/>
          <w:highlight w:val="none"/>
          <w:lang w:val="en-US" w:eastAsia="zh-CN" w:bidi="ar-SA"/>
        </w:rPr>
        <w:t>检测30批次鲜品与2批次干品的农药残留为以下20项：敌敌畏、甲胺磷、乙酰甲胺磷、灭线磷、氧乐果、乐果、毒死蜱、氯菊酯、氯氰菊酯、氰戊菊酯、溴氰菊酯、三氯杀螨醇、胺氰菊酯、氟氰戊菊酯、吡虫啉、啶虫脒、噻虫嗪、腈苯唑、克百威、克螨特，结果显示所检项目均未检出。</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cs="宋体"/>
          <w:kern w:val="2"/>
          <w:sz w:val="28"/>
          <w:szCs w:val="28"/>
          <w:highlight w:val="none"/>
          <w:lang w:val="en-US" w:eastAsia="zh-CN" w:bidi="ar-SA"/>
        </w:rPr>
        <w:t>2.</w:t>
      </w:r>
      <w:r>
        <w:rPr>
          <w:rFonts w:hint="eastAsia" w:ascii="宋体" w:hAnsi="宋体" w:eastAsia="宋体" w:cs="宋体"/>
          <w:color w:val="000000"/>
          <w:kern w:val="0"/>
          <w:sz w:val="28"/>
          <w:szCs w:val="28"/>
          <w:highlight w:val="none"/>
          <w:lang w:val="en-US" w:eastAsia="zh-CN" w:bidi="ar"/>
        </w:rPr>
        <w:t>相关标准情况</w:t>
      </w:r>
    </w:p>
    <w:p>
      <w:pPr>
        <w:widowControl w:val="0"/>
        <w:adjustRightInd/>
        <w:snapToGrid/>
        <w:spacing w:after="0" w:line="360" w:lineRule="auto"/>
        <w:ind w:right="345" w:firstLine="560" w:firstLineChars="200"/>
        <w:jc w:val="left"/>
        <w:rPr>
          <w:rFonts w:hint="default" w:ascii="宋体" w:hAnsi="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除了对样品进行检测外，</w:t>
      </w:r>
      <w:r>
        <w:rPr>
          <w:rFonts w:hint="eastAsia" w:ascii="宋体" w:hAnsi="宋体" w:eastAsia="宋体" w:cs="宋体"/>
          <w:color w:val="000000"/>
          <w:kern w:val="0"/>
          <w:sz w:val="28"/>
          <w:szCs w:val="28"/>
          <w:highlight w:val="none"/>
          <w:lang w:val="en-US" w:eastAsia="zh-CN" w:bidi="ar"/>
        </w:rPr>
        <w:t>起草组还对比分析GB 2763-2021蔬菜和饮料</w:t>
      </w:r>
      <w:r>
        <w:rPr>
          <w:rFonts w:hint="eastAsia" w:ascii="宋体" w:hAnsi="宋体" w:cs="宋体"/>
          <w:color w:val="000000"/>
          <w:kern w:val="0"/>
          <w:sz w:val="28"/>
          <w:szCs w:val="28"/>
          <w:highlight w:val="none"/>
          <w:lang w:val="en-US" w:eastAsia="zh-CN" w:bidi="ar"/>
        </w:rPr>
        <w:t>类别</w:t>
      </w:r>
      <w:r>
        <w:rPr>
          <w:rFonts w:hint="eastAsia" w:ascii="宋体" w:hAnsi="宋体" w:eastAsia="宋体" w:cs="宋体"/>
          <w:color w:val="000000"/>
          <w:kern w:val="0"/>
          <w:sz w:val="28"/>
          <w:szCs w:val="28"/>
          <w:highlight w:val="none"/>
          <w:lang w:val="en-US" w:eastAsia="zh-CN" w:bidi="ar"/>
        </w:rPr>
        <w:t>中</w:t>
      </w:r>
      <w:r>
        <w:rPr>
          <w:rFonts w:hint="eastAsia" w:ascii="宋体" w:hAnsi="宋体" w:cs="宋体"/>
          <w:color w:val="000000"/>
          <w:kern w:val="0"/>
          <w:sz w:val="28"/>
          <w:szCs w:val="28"/>
          <w:highlight w:val="none"/>
          <w:lang w:val="en-US" w:eastAsia="zh-CN" w:bidi="ar"/>
        </w:rPr>
        <w:t>对</w:t>
      </w:r>
      <w:r>
        <w:rPr>
          <w:rFonts w:hint="eastAsia" w:ascii="宋体" w:hAnsi="宋体" w:eastAsia="宋体" w:cs="宋体"/>
          <w:kern w:val="2"/>
          <w:sz w:val="28"/>
          <w:szCs w:val="28"/>
          <w:highlight w:val="none"/>
          <w:lang w:val="en-US" w:eastAsia="zh-CN" w:bidi="ar-SA"/>
        </w:rPr>
        <w:t>吡虫啉、啶虫脒、氯氰菊酯、腈苯唑</w:t>
      </w:r>
      <w:r>
        <w:rPr>
          <w:rFonts w:hint="eastAsia" w:ascii="宋体" w:hAnsi="宋体" w:eastAsia="宋体" w:cs="宋体"/>
          <w:color w:val="000000"/>
          <w:kern w:val="0"/>
          <w:sz w:val="28"/>
          <w:szCs w:val="28"/>
          <w:highlight w:val="none"/>
          <w:lang w:val="en-US" w:eastAsia="zh-CN" w:bidi="ar"/>
        </w:rPr>
        <w:t>四种</w:t>
      </w:r>
      <w:r>
        <w:rPr>
          <w:rFonts w:hint="eastAsia" w:ascii="宋体" w:hAnsi="宋体" w:eastAsia="宋体" w:cs="宋体"/>
          <w:kern w:val="2"/>
          <w:sz w:val="28"/>
          <w:szCs w:val="28"/>
          <w:highlight w:val="none"/>
          <w:lang w:val="en-US" w:eastAsia="zh-CN" w:bidi="ar-SA"/>
        </w:rPr>
        <w:t>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宋体" w:hAnsi="宋体" w:cs="宋体"/>
          <w:color w:val="000000"/>
          <w:kern w:val="0"/>
          <w:sz w:val="28"/>
          <w:szCs w:val="28"/>
          <w:highlight w:val="none"/>
          <w:lang w:val="en-US" w:eastAsia="zh-CN" w:bidi="ar"/>
        </w:rPr>
        <w:t>设置情况</w:t>
      </w:r>
      <w:r>
        <w:rPr>
          <w:rFonts w:hint="eastAsia" w:ascii="宋体" w:hAnsi="宋体" w:eastAsia="宋体" w:cs="宋体"/>
          <w:color w:val="000000"/>
          <w:kern w:val="0"/>
          <w:sz w:val="28"/>
          <w:szCs w:val="28"/>
          <w:highlight w:val="none"/>
          <w:lang w:val="en-US" w:eastAsia="zh-CN" w:bidi="ar"/>
        </w:rPr>
        <w:t>（</w:t>
      </w:r>
      <w:r>
        <w:rPr>
          <w:rFonts w:hint="eastAsia" w:ascii="宋体" w:hAnsi="宋体" w:cs="宋体"/>
          <w:color w:val="000000"/>
          <w:kern w:val="0"/>
          <w:sz w:val="28"/>
          <w:szCs w:val="28"/>
          <w:highlight w:val="none"/>
          <w:lang w:val="en-US" w:eastAsia="zh-CN" w:bidi="ar"/>
        </w:rPr>
        <w:t>见</w:t>
      </w:r>
      <w:r>
        <w:rPr>
          <w:rFonts w:hint="eastAsia" w:ascii="宋体" w:hAnsi="宋体" w:eastAsia="宋体" w:cs="宋体"/>
          <w:color w:val="000000"/>
          <w:kern w:val="0"/>
          <w:sz w:val="28"/>
          <w:szCs w:val="28"/>
          <w:highlight w:val="none"/>
          <w:lang w:val="en-US" w:eastAsia="zh-CN" w:bidi="ar"/>
        </w:rPr>
        <w:t>表15），和对</w:t>
      </w:r>
      <w:r>
        <w:rPr>
          <w:rFonts w:hint="eastAsia" w:ascii="宋体" w:hAnsi="宋体" w:cs="宋体"/>
          <w:color w:val="000000"/>
          <w:kern w:val="0"/>
          <w:sz w:val="28"/>
          <w:szCs w:val="28"/>
          <w:highlight w:val="none"/>
          <w:lang w:val="en-US" w:eastAsia="zh-CN" w:bidi="ar"/>
        </w:rPr>
        <w:t>比</w:t>
      </w:r>
      <w:r>
        <w:rPr>
          <w:rFonts w:hint="eastAsia" w:ascii="宋体" w:hAnsi="宋体" w:eastAsia="宋体" w:cs="宋体"/>
          <w:color w:val="000000"/>
          <w:kern w:val="0"/>
          <w:sz w:val="28"/>
          <w:szCs w:val="28"/>
          <w:highlight w:val="none"/>
          <w:lang w:val="en-US" w:eastAsia="zh-CN" w:bidi="ar"/>
        </w:rPr>
        <w:t>不同食用花卉、代用茶和蔬菜的</w:t>
      </w:r>
      <w:r>
        <w:rPr>
          <w:rFonts w:hint="eastAsia" w:ascii="宋体" w:hAnsi="宋体" w:eastAsia="宋体" w:cs="宋体"/>
          <w:kern w:val="2"/>
          <w:sz w:val="28"/>
          <w:szCs w:val="28"/>
          <w:highlight w:val="none"/>
          <w:lang w:val="en-US" w:eastAsia="zh-CN" w:bidi="ar-SA"/>
        </w:rPr>
        <w:t>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宋体" w:hAnsi="宋体" w:cs="宋体"/>
          <w:color w:val="000000"/>
          <w:kern w:val="0"/>
          <w:sz w:val="28"/>
          <w:szCs w:val="28"/>
          <w:highlight w:val="none"/>
          <w:lang w:val="en-US" w:eastAsia="zh-CN" w:bidi="ar"/>
        </w:rPr>
        <w:t>的设置情况</w:t>
      </w:r>
      <w:r>
        <w:rPr>
          <w:rFonts w:hint="eastAsia" w:ascii="宋体" w:hAnsi="宋体" w:eastAsia="宋体" w:cs="宋体"/>
          <w:color w:val="000000"/>
          <w:kern w:val="0"/>
          <w:sz w:val="28"/>
          <w:szCs w:val="28"/>
          <w:highlight w:val="none"/>
          <w:lang w:val="en-US" w:eastAsia="zh-CN" w:bidi="ar"/>
        </w:rPr>
        <w:t>（</w:t>
      </w:r>
      <w:r>
        <w:rPr>
          <w:rFonts w:hint="eastAsia" w:ascii="宋体" w:hAnsi="宋体" w:cs="宋体"/>
          <w:color w:val="000000"/>
          <w:kern w:val="0"/>
          <w:sz w:val="28"/>
          <w:szCs w:val="28"/>
          <w:highlight w:val="none"/>
          <w:lang w:val="en-US" w:eastAsia="zh-CN" w:bidi="ar"/>
        </w:rPr>
        <w:t>见</w:t>
      </w:r>
      <w:r>
        <w:rPr>
          <w:rFonts w:hint="eastAsia" w:ascii="宋体" w:hAnsi="宋体" w:eastAsia="宋体" w:cs="宋体"/>
          <w:color w:val="000000"/>
          <w:kern w:val="0"/>
          <w:sz w:val="28"/>
          <w:szCs w:val="28"/>
          <w:highlight w:val="none"/>
          <w:lang w:val="en-US" w:eastAsia="zh-CN" w:bidi="ar"/>
        </w:rPr>
        <w:t>表16）</w:t>
      </w:r>
      <w:r>
        <w:rPr>
          <w:rFonts w:hint="eastAsia" w:ascii="宋体" w:hAnsi="宋体" w:cs="宋体"/>
          <w:color w:val="000000"/>
          <w:kern w:val="0"/>
          <w:sz w:val="28"/>
          <w:szCs w:val="28"/>
          <w:highlight w:val="none"/>
          <w:lang w:val="en-US" w:eastAsia="zh-CN" w:bidi="ar"/>
        </w:rPr>
        <w:t>。</w:t>
      </w: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highlight w:val="none"/>
          <w:lang w:eastAsia="zh-CN"/>
        </w:rPr>
      </w:pPr>
      <w:r>
        <w:rPr>
          <w:rFonts w:hint="eastAsia" w:ascii="黑体" w:hAnsi="黑体" w:eastAsia="黑体" w:cs="黑体"/>
          <w:sz w:val="28"/>
          <w:szCs w:val="28"/>
          <w:highlight w:val="none"/>
        </w:rPr>
        <w:t>表</w:t>
      </w:r>
      <w:r>
        <w:rPr>
          <w:rFonts w:hint="eastAsia" w:ascii="黑体" w:hAnsi="黑体" w:eastAsia="黑体" w:cs="黑体"/>
          <w:sz w:val="28"/>
          <w:szCs w:val="28"/>
          <w:highlight w:val="none"/>
          <w:lang w:eastAsia="zh-CN"/>
        </w:rPr>
        <w:t>1</w:t>
      </w:r>
      <w:r>
        <w:rPr>
          <w:rFonts w:hint="eastAsia" w:ascii="黑体" w:hAnsi="黑体" w:cs="黑体"/>
          <w:sz w:val="28"/>
          <w:szCs w:val="28"/>
          <w:highlight w:val="none"/>
          <w:lang w:val="en-US" w:eastAsia="zh-CN"/>
        </w:rPr>
        <w:t>5</w:t>
      </w:r>
      <w:r>
        <w:rPr>
          <w:rFonts w:hint="eastAsia" w:ascii="黑体" w:hAnsi="黑体" w:eastAsia="黑体" w:cs="黑体"/>
          <w:sz w:val="28"/>
          <w:szCs w:val="28"/>
          <w:highlight w:val="none"/>
          <w:lang w:eastAsia="zh-CN"/>
        </w:rPr>
        <w:t xml:space="preserve">  </w:t>
      </w:r>
      <w:r>
        <w:rPr>
          <w:rFonts w:hint="eastAsia" w:ascii="黑体" w:hAnsi="黑体" w:cs="黑体"/>
          <w:sz w:val="28"/>
          <w:szCs w:val="28"/>
          <w:highlight w:val="none"/>
          <w:lang w:val="en-US" w:eastAsia="zh-CN"/>
        </w:rPr>
        <w:t>GB 2763-2021四</w:t>
      </w:r>
      <w:r>
        <w:rPr>
          <w:rFonts w:hint="eastAsia" w:ascii="黑体" w:hAnsi="黑体" w:eastAsia="黑体" w:cs="黑体"/>
          <w:sz w:val="28"/>
          <w:szCs w:val="28"/>
          <w:highlight w:val="none"/>
          <w:lang w:eastAsia="zh-CN"/>
        </w:rPr>
        <w:t>项</w:t>
      </w:r>
      <w:r>
        <w:rPr>
          <w:rFonts w:hint="eastAsia" w:ascii="宋体" w:hAnsi="宋体" w:eastAsia="宋体" w:cs="宋体"/>
          <w:kern w:val="2"/>
          <w:sz w:val="28"/>
          <w:szCs w:val="28"/>
          <w:highlight w:val="none"/>
          <w:lang w:val="en-US" w:eastAsia="zh-CN" w:bidi="ar-SA"/>
        </w:rPr>
        <w:t>农药</w:t>
      </w:r>
      <w:r>
        <w:rPr>
          <w:rFonts w:hint="eastAsia" w:ascii="宋体" w:hAnsi="宋体" w:cs="宋体"/>
          <w:kern w:val="2"/>
          <w:sz w:val="28"/>
          <w:szCs w:val="28"/>
          <w:highlight w:val="none"/>
          <w:lang w:val="en-US" w:eastAsia="zh-CN" w:bidi="ar-SA"/>
        </w:rPr>
        <w:t>最大</w:t>
      </w:r>
      <w:r>
        <w:rPr>
          <w:rFonts w:hint="eastAsia" w:ascii="宋体" w:hAnsi="宋体" w:eastAsia="宋体" w:cs="宋体"/>
          <w:kern w:val="2"/>
          <w:sz w:val="28"/>
          <w:szCs w:val="28"/>
          <w:highlight w:val="none"/>
          <w:lang w:val="en-US" w:eastAsia="zh-CN" w:bidi="ar-SA"/>
        </w:rPr>
        <w:t>残留</w:t>
      </w:r>
      <w:r>
        <w:rPr>
          <w:rFonts w:hint="eastAsia" w:ascii="宋体" w:hAnsi="宋体" w:cs="宋体"/>
          <w:kern w:val="2"/>
          <w:sz w:val="28"/>
          <w:szCs w:val="28"/>
          <w:highlight w:val="none"/>
          <w:lang w:val="en-US" w:eastAsia="zh-CN" w:bidi="ar-SA"/>
        </w:rPr>
        <w:t>限量</w:t>
      </w:r>
      <w:r>
        <w:rPr>
          <w:rFonts w:hint="eastAsia" w:ascii="黑体" w:hAnsi="黑体" w:cs="黑体"/>
          <w:sz w:val="28"/>
          <w:szCs w:val="28"/>
          <w:highlight w:val="none"/>
          <w:lang w:val="en-US" w:eastAsia="zh-CN"/>
        </w:rPr>
        <w:t>汇总</w:t>
      </w:r>
      <w:r>
        <w:rPr>
          <w:rFonts w:hint="eastAsia" w:ascii="黑体" w:hAnsi="黑体" w:eastAsia="黑体" w:cs="黑体"/>
          <w:sz w:val="28"/>
          <w:szCs w:val="28"/>
          <w:highlight w:val="none"/>
          <w:lang w:eastAsia="zh-CN"/>
        </w:rPr>
        <w:t>表（mg/kg）</w:t>
      </w:r>
    </w:p>
    <w:tbl>
      <w:tblPr>
        <w:tblStyle w:val="12"/>
        <w:tblpPr w:leftFromText="180" w:rightFromText="180" w:vertAnchor="text" w:horzAnchor="page" w:tblpX="1752" w:tblpY="255"/>
        <w:tblOverlap w:val="never"/>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616"/>
        <w:gridCol w:w="1247"/>
        <w:gridCol w:w="1247"/>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0" w:type="auto"/>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0" w:type="auto"/>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类别</w:t>
            </w:r>
          </w:p>
        </w:tc>
        <w:tc>
          <w:tcPr>
            <w:tcW w:w="1247"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氯氰菊酯</w:t>
            </w:r>
          </w:p>
        </w:tc>
        <w:tc>
          <w:tcPr>
            <w:tcW w:w="1247"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吡虫啉</w:t>
            </w:r>
          </w:p>
        </w:tc>
        <w:tc>
          <w:tcPr>
            <w:tcW w:w="1247"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啶虫脒</w:t>
            </w:r>
          </w:p>
        </w:tc>
        <w:tc>
          <w:tcPr>
            <w:tcW w:w="1247" w:type="dxa"/>
            <w:tcBorders>
              <w:top w:val="single" w:color="000000" w:sz="4" w:space="0"/>
              <w:left w:val="nil"/>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腈苯唑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single" w:color="000000"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0" w:type="auto"/>
            <w:tcBorders>
              <w:top w:val="single" w:color="000000"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干制蔬菜（黄花菜干）</w:t>
            </w:r>
          </w:p>
        </w:tc>
        <w:tc>
          <w:tcPr>
            <w:tcW w:w="1247"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1247"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single" w:color="000000"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蔬菜（青花菜）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0.7</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蔬菜（菠菜）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蔬菜（普通白菜）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蔬菜（油麦菜）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蔬菜（番茄）</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蔬菜（大白菜）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蔬菜（韭菜）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蔬菜（辣椒）</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蔬菜（黄瓜）</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11</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饮料类（茶叶）</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20</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0.5</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1247" w:type="dxa"/>
            <w:tcBorders>
              <w:top w:val="dashed" w:color="auto" w:sz="4" w:space="0"/>
              <w:left w:val="nil"/>
              <w:bottom w:val="dashed"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12</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饮料类（菊花鲜）</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13</w:t>
            </w:r>
          </w:p>
        </w:tc>
        <w:tc>
          <w:tcPr>
            <w:tcW w:w="0" w:type="auto"/>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饮料类（菊花干）</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dashed"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0" w:type="auto"/>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14</w:t>
            </w:r>
          </w:p>
        </w:tc>
        <w:tc>
          <w:tcPr>
            <w:tcW w:w="0" w:type="auto"/>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饮料类（茉莉花）</w:t>
            </w:r>
          </w:p>
        </w:tc>
        <w:tc>
          <w:tcPr>
            <w:tcW w:w="1247" w:type="dxa"/>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c>
          <w:tcPr>
            <w:tcW w:w="1247" w:type="dxa"/>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0.3</w:t>
            </w:r>
          </w:p>
        </w:tc>
        <w:tc>
          <w:tcPr>
            <w:tcW w:w="1247" w:type="dxa"/>
            <w:tcBorders>
              <w:top w:val="dashed" w:color="auto" w:sz="4"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w:t>
            </w:r>
          </w:p>
        </w:tc>
      </w:tr>
    </w:tbl>
    <w:p>
      <w:pPr>
        <w:keepNext/>
        <w:keepLines/>
        <w:widowControl w:val="0"/>
        <w:bidi w:val="0"/>
        <w:spacing w:before="340" w:beforeLines="0" w:beforeAutospacing="0" w:after="330" w:afterLines="0" w:afterAutospacing="0" w:line="360" w:lineRule="auto"/>
        <w:jc w:val="left"/>
        <w:outlineLvl w:val="0"/>
        <w:rPr>
          <w:rFonts w:hint="eastAsia" w:ascii="Calibri" w:hAnsi="Calibri" w:eastAsia="黑体" w:cs="Times New Roman"/>
          <w:b w:val="0"/>
          <w:bCs/>
          <w:kern w:val="44"/>
          <w:sz w:val="32"/>
          <w:szCs w:val="28"/>
          <w:highlight w:val="none"/>
          <w:lang w:val="en-US" w:eastAsia="zh-CN" w:bidi="ar-S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0"/>
        </w:numPr>
        <w:tabs>
          <w:tab w:val="left" w:pos="0"/>
          <w:tab w:val="left" w:pos="539"/>
        </w:tabs>
        <w:spacing w:before="120" w:beforeLines="50" w:after="120" w:afterLines="50" w:line="360" w:lineRule="auto"/>
        <w:jc w:val="center"/>
        <w:rPr>
          <w:rFonts w:hint="default"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表16  不同食用花卉、代用茶和蔬菜农药残留限量汇总对比</w:t>
      </w:r>
    </w:p>
    <w:tbl>
      <w:tblPr>
        <w:tblStyle w:val="11"/>
        <w:tblW w:w="5599" w:type="pct"/>
        <w:jc w:val="center"/>
        <w:tblLayout w:type="fixed"/>
        <w:tblCellMar>
          <w:top w:w="0" w:type="dxa"/>
          <w:left w:w="57" w:type="dxa"/>
          <w:bottom w:w="0" w:type="dxa"/>
          <w:right w:w="57" w:type="dxa"/>
        </w:tblCellMar>
      </w:tblPr>
      <w:tblGrid>
        <w:gridCol w:w="341"/>
        <w:gridCol w:w="745"/>
        <w:gridCol w:w="438"/>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45"/>
        <w:gridCol w:w="345"/>
        <w:gridCol w:w="345"/>
        <w:gridCol w:w="345"/>
        <w:gridCol w:w="345"/>
        <w:gridCol w:w="345"/>
        <w:gridCol w:w="345"/>
        <w:gridCol w:w="345"/>
        <w:gridCol w:w="345"/>
        <w:gridCol w:w="345"/>
        <w:gridCol w:w="345"/>
        <w:gridCol w:w="345"/>
        <w:gridCol w:w="373"/>
        <w:gridCol w:w="345"/>
        <w:gridCol w:w="345"/>
        <w:gridCol w:w="453"/>
      </w:tblGrid>
      <w:tr>
        <w:tblPrEx>
          <w:tblCellMar>
            <w:top w:w="0" w:type="dxa"/>
            <w:left w:w="57" w:type="dxa"/>
            <w:bottom w:w="0" w:type="dxa"/>
            <w:right w:w="57" w:type="dxa"/>
          </w:tblCellMar>
        </w:tblPrEx>
        <w:trPr>
          <w:trHeight w:val="398" w:hRule="atLeast"/>
          <w:tblHeader/>
          <w:jc w:val="center"/>
        </w:trPr>
        <w:tc>
          <w:tcPr>
            <w:tcW w:w="10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val="en-US" w:eastAsia="zh-CN" w:bidi="ar"/>
              </w:rPr>
            </w:pPr>
            <w:r>
              <w:rPr>
                <w:rFonts w:hint="eastAsia" w:ascii="黑体" w:hAnsi="黑体" w:eastAsia="黑体" w:cs="黑体"/>
                <w:b w:val="0"/>
                <w:bCs w:val="0"/>
                <w:kern w:val="0"/>
                <w:sz w:val="24"/>
                <w:szCs w:val="24"/>
                <w:highlight w:val="none"/>
                <w:lang w:val="en-US" w:eastAsia="zh-CN" w:bidi="ar"/>
              </w:rPr>
              <w:t>序号</w:t>
            </w:r>
          </w:p>
        </w:tc>
        <w:tc>
          <w:tcPr>
            <w:tcW w:w="23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标准号</w:t>
            </w:r>
          </w:p>
        </w:tc>
        <w:tc>
          <w:tcPr>
            <w:tcW w:w="1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标准名称</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00" w:lineRule="exact"/>
              <w:jc w:val="center"/>
              <w:rPr>
                <w:rFonts w:hint="eastAsia" w:ascii="黑体" w:hAnsi="黑体" w:eastAsia="黑体" w:cs="黑体"/>
                <w:b w:val="0"/>
                <w:bCs w:val="0"/>
                <w:kern w:val="0"/>
                <w:sz w:val="24"/>
                <w:szCs w:val="24"/>
                <w:highlight w:val="none"/>
                <w:lang w:eastAsia="zh-CN"/>
              </w:rPr>
            </w:pPr>
            <w:r>
              <w:rPr>
                <w:rFonts w:hint="eastAsia" w:ascii="黑体" w:hAnsi="黑体" w:eastAsia="黑体" w:cs="黑体"/>
                <w:b w:val="0"/>
                <w:bCs w:val="0"/>
                <w:kern w:val="0"/>
                <w:sz w:val="24"/>
                <w:szCs w:val="24"/>
                <w:highlight w:val="none"/>
                <w:lang w:eastAsia="zh-CN" w:bidi="ar"/>
              </w:rPr>
              <w:t>农药残留限量（mg/kg）</w:t>
            </w:r>
          </w:p>
        </w:tc>
      </w:tr>
      <w:tr>
        <w:tblPrEx>
          <w:tblCellMar>
            <w:top w:w="0" w:type="dxa"/>
            <w:left w:w="57" w:type="dxa"/>
            <w:bottom w:w="0" w:type="dxa"/>
            <w:right w:w="57" w:type="dxa"/>
          </w:tblCellMar>
        </w:tblPrEx>
        <w:trPr>
          <w:trHeight w:val="1558" w:hRule="atLeast"/>
          <w:tblHeader/>
          <w:jc w:val="center"/>
        </w:trPr>
        <w:tc>
          <w:tcPr>
            <w:tcW w:w="10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00" w:lineRule="exact"/>
              <w:jc w:val="center"/>
              <w:rPr>
                <w:rFonts w:hint="eastAsia" w:ascii="黑体" w:hAnsi="黑体" w:eastAsia="黑体" w:cs="黑体"/>
                <w:b w:val="0"/>
                <w:bCs w:val="0"/>
                <w:kern w:val="0"/>
                <w:sz w:val="24"/>
                <w:szCs w:val="24"/>
                <w:highlight w:val="none"/>
                <w:lang w:eastAsia="zh-CN"/>
              </w:rPr>
            </w:pPr>
          </w:p>
        </w:tc>
        <w:tc>
          <w:tcPr>
            <w:tcW w:w="23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00" w:lineRule="exact"/>
              <w:jc w:val="center"/>
              <w:rPr>
                <w:rFonts w:hint="eastAsia" w:ascii="黑体" w:hAnsi="黑体" w:eastAsia="黑体" w:cs="黑体"/>
                <w:b w:val="0"/>
                <w:bCs w:val="0"/>
                <w:kern w:val="0"/>
                <w:sz w:val="24"/>
                <w:szCs w:val="24"/>
                <w:highlight w:val="none"/>
                <w:lang w:eastAsia="zh-CN"/>
              </w:rPr>
            </w:pPr>
          </w:p>
        </w:tc>
        <w:tc>
          <w:tcPr>
            <w:tcW w:w="13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00" w:lineRule="exact"/>
              <w:jc w:val="center"/>
              <w:rPr>
                <w:rFonts w:hint="eastAsia" w:ascii="黑体" w:hAnsi="黑体" w:eastAsia="黑体" w:cs="黑体"/>
                <w:b w:val="0"/>
                <w:bCs w:val="0"/>
                <w:kern w:val="0"/>
                <w:sz w:val="24"/>
                <w:szCs w:val="24"/>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六六六</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滴滴涕</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百菌清</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多菌灵</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敌百虫</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溴氰菊酯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毒死蜱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敌敌畏</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乐果</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甲氰菊酯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氯氰菊酯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氯氟氰菊酯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联苯菊酯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腐霉利</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吡虫啉</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甲基硫菌灵</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啶虫脒</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哒螨灵</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克百威</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三唑磷</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杀螟硫磷</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三氯杀螨醇</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咪鲜胺</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嘧霉胺</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醚菌酯</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苯醚甲环唑</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晴菌唑</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甲霜灵</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恶霜灵</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井冈霉素</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喹啉铜</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噻呋酰胺</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四聚乙醛</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烯酰吗啉</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啶氧菌酯</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氰戊菊酯</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eastAsia="en-US"/>
              </w:rPr>
            </w:pPr>
            <w:r>
              <w:rPr>
                <w:rFonts w:hint="eastAsia" w:ascii="黑体" w:hAnsi="黑体" w:eastAsia="黑体" w:cs="黑体"/>
                <w:b w:val="0"/>
                <w:bCs w:val="0"/>
                <w:kern w:val="0"/>
                <w:sz w:val="24"/>
                <w:szCs w:val="24"/>
                <w:highlight w:val="none"/>
                <w:lang w:eastAsia="zh-CN" w:bidi="ar"/>
              </w:rPr>
              <w:t>乙酰甲胺磷</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val="en-US" w:eastAsia="zh-CN" w:bidi="ar"/>
              </w:rPr>
            </w:pPr>
            <w:r>
              <w:rPr>
                <w:rFonts w:hint="eastAsia" w:ascii="黑体" w:hAnsi="黑体" w:eastAsia="黑体" w:cs="黑体"/>
                <w:b w:val="0"/>
                <w:bCs w:val="0"/>
                <w:kern w:val="0"/>
                <w:sz w:val="24"/>
                <w:szCs w:val="24"/>
                <w:highlight w:val="none"/>
                <w:lang w:val="en-US" w:eastAsia="zh-CN" w:bidi="ar"/>
              </w:rPr>
              <w:t>氯氰菊酯</w:t>
            </w: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00" w:lineRule="exact"/>
              <w:jc w:val="center"/>
              <w:textAlignment w:val="center"/>
              <w:rPr>
                <w:rFonts w:hint="eastAsia" w:ascii="黑体" w:hAnsi="黑体" w:eastAsia="黑体" w:cs="黑体"/>
                <w:b w:val="0"/>
                <w:bCs w:val="0"/>
                <w:kern w:val="0"/>
                <w:sz w:val="24"/>
                <w:szCs w:val="24"/>
                <w:highlight w:val="none"/>
                <w:lang w:val="en-US" w:eastAsia="zh-CN" w:bidi="ar"/>
              </w:rPr>
            </w:pPr>
            <w:r>
              <w:rPr>
                <w:rFonts w:hint="eastAsia" w:ascii="黑体" w:hAnsi="黑体" w:eastAsia="黑体" w:cs="黑体"/>
                <w:b w:val="0"/>
                <w:bCs w:val="0"/>
                <w:kern w:val="0"/>
                <w:sz w:val="24"/>
                <w:szCs w:val="24"/>
                <w:highlight w:val="none"/>
                <w:lang w:eastAsia="zh-CN" w:bidi="ar"/>
              </w:rPr>
              <w:t>吡</w:t>
            </w:r>
            <w:r>
              <w:rPr>
                <w:rFonts w:hint="eastAsia" w:ascii="黑体" w:hAnsi="黑体" w:eastAsia="黑体" w:cs="黑体"/>
                <w:b w:val="0"/>
                <w:bCs w:val="0"/>
                <w:kern w:val="0"/>
                <w:sz w:val="24"/>
                <w:szCs w:val="24"/>
                <w:highlight w:val="none"/>
                <w:lang w:val="en-US" w:eastAsia="zh-CN" w:bidi="ar"/>
              </w:rPr>
              <w:t>唑醚菌</w:t>
            </w:r>
            <w:r>
              <w:rPr>
                <w:rFonts w:hint="eastAsia" w:ascii="黑体" w:hAnsi="黑体" w:eastAsia="黑体" w:cs="黑体"/>
                <w:b w:val="0"/>
                <w:bCs w:val="0"/>
                <w:kern w:val="0"/>
                <w:sz w:val="24"/>
                <w:szCs w:val="24"/>
                <w:highlight w:val="none"/>
                <w:lang w:eastAsia="zh-CN" w:bidi="ar"/>
              </w:rPr>
              <w:t>酯</w:t>
            </w:r>
          </w:p>
        </w:tc>
      </w:tr>
      <w:tr>
        <w:tblPrEx>
          <w:tblCellMar>
            <w:top w:w="0" w:type="dxa"/>
            <w:left w:w="57" w:type="dxa"/>
            <w:bottom w:w="0" w:type="dxa"/>
            <w:right w:w="57" w:type="dxa"/>
          </w:tblCellMar>
        </w:tblPrEx>
        <w:trPr>
          <w:trHeight w:val="970"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GB/T 20353—2006</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地理标志产品 怀菊花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88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NY</w:t>
            </w:r>
            <w:r>
              <w:rPr>
                <w:rFonts w:hint="eastAsia" w:ascii="黑体" w:hAnsi="黑体" w:eastAsia="黑体" w:cs="黑体"/>
                <w:kern w:val="0"/>
                <w:sz w:val="18"/>
                <w:szCs w:val="18"/>
                <w:highlight w:val="none"/>
                <w:lang w:val="en-US" w:eastAsia="zh-CN" w:bidi="ar"/>
              </w:rPr>
              <w:t>/</w:t>
            </w:r>
            <w:r>
              <w:rPr>
                <w:rFonts w:hint="eastAsia" w:ascii="黑体" w:hAnsi="黑体" w:eastAsia="黑体" w:cs="黑体"/>
                <w:kern w:val="0"/>
                <w:sz w:val="18"/>
                <w:szCs w:val="18"/>
                <w:highlight w:val="none"/>
                <w:lang w:eastAsia="zh-CN" w:bidi="ar"/>
              </w:rPr>
              <w:t>T</w:t>
            </w:r>
            <w:r>
              <w:rPr>
                <w:rFonts w:hint="eastAsia" w:ascii="黑体" w:hAnsi="黑体" w:eastAsia="黑体" w:cs="黑体"/>
                <w:kern w:val="0"/>
                <w:sz w:val="18"/>
                <w:szCs w:val="18"/>
                <w:highlight w:val="none"/>
                <w:lang w:val="en-US" w:eastAsia="zh-CN" w:bidi="ar"/>
              </w:rPr>
              <w:t xml:space="preserve"> </w:t>
            </w:r>
            <w:r>
              <w:rPr>
                <w:rFonts w:hint="eastAsia" w:ascii="黑体" w:hAnsi="黑体" w:eastAsia="黑体" w:cs="黑体"/>
                <w:kern w:val="0"/>
                <w:sz w:val="18"/>
                <w:szCs w:val="18"/>
                <w:highlight w:val="none"/>
                <w:lang w:eastAsia="zh-CN" w:bidi="ar"/>
              </w:rPr>
              <w:t>1506—2015</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绿色食品 食用花卉</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647"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GH/T 1091</w:t>
            </w:r>
            <w:r>
              <w:rPr>
                <w:rFonts w:hint="eastAsia" w:ascii="黑体" w:hAnsi="黑体" w:eastAsia="黑体" w:cs="黑体"/>
                <w:kern w:val="0"/>
                <w:sz w:val="18"/>
                <w:szCs w:val="18"/>
                <w:highlight w:val="none"/>
                <w:lang w:eastAsia="zh-CN" w:bidi="ar"/>
              </w:rPr>
              <w:t>—</w:t>
            </w:r>
            <w:r>
              <w:rPr>
                <w:rFonts w:hint="eastAsia" w:ascii="黑体" w:hAnsi="黑体" w:eastAsia="黑体" w:cs="黑体"/>
                <w:color w:val="auto"/>
                <w:kern w:val="0"/>
                <w:sz w:val="18"/>
                <w:szCs w:val="18"/>
                <w:highlight w:val="none"/>
                <w:u w:val="none"/>
                <w:lang w:eastAsia="zh-CN" w:bidi="ar"/>
              </w:rPr>
              <w:t>2014</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color w:val="auto"/>
                <w:kern w:val="0"/>
                <w:sz w:val="16"/>
                <w:szCs w:val="16"/>
                <w:highlight w:val="none"/>
                <w:u w:val="none"/>
                <w:lang w:eastAsia="zh-CN" w:bidi="ar"/>
              </w:rPr>
              <w:t>代用茶</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≦1.0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r>
      <w:tr>
        <w:tblPrEx>
          <w:tblCellMar>
            <w:top w:w="0" w:type="dxa"/>
            <w:left w:w="57" w:type="dxa"/>
            <w:bottom w:w="0" w:type="dxa"/>
            <w:right w:w="57" w:type="dxa"/>
          </w:tblCellMar>
        </w:tblPrEx>
        <w:trPr>
          <w:trHeight w:val="90"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NY/T 2140</w:t>
            </w:r>
            <w:r>
              <w:rPr>
                <w:rFonts w:hint="eastAsia" w:ascii="黑体" w:hAnsi="黑体" w:eastAsia="黑体" w:cs="黑体"/>
                <w:kern w:val="0"/>
                <w:sz w:val="18"/>
                <w:szCs w:val="18"/>
                <w:highlight w:val="none"/>
                <w:lang w:eastAsia="zh-CN" w:bidi="ar"/>
              </w:rPr>
              <w:t>—</w:t>
            </w:r>
            <w:r>
              <w:rPr>
                <w:rFonts w:hint="eastAsia" w:ascii="黑体" w:hAnsi="黑体" w:eastAsia="黑体" w:cs="黑体"/>
                <w:color w:val="auto"/>
                <w:kern w:val="0"/>
                <w:sz w:val="18"/>
                <w:szCs w:val="18"/>
                <w:highlight w:val="none"/>
                <w:u w:val="none"/>
                <w:lang w:eastAsia="zh-CN" w:bidi="ar"/>
              </w:rPr>
              <w:t>2015</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color w:val="auto"/>
                <w:kern w:val="0"/>
                <w:sz w:val="16"/>
                <w:szCs w:val="16"/>
                <w:highlight w:val="none"/>
                <w:u w:val="none"/>
                <w:lang w:eastAsia="zh-CN" w:bidi="ar"/>
              </w:rPr>
              <w:t>绿色食品 代用茶</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≦0.01</w:t>
            </w: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758" w:hRule="atLeast"/>
          <w:jc w:val="center"/>
        </w:trPr>
        <w:tc>
          <w:tcPr>
            <w:tcW w:w="10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eastAsia="zh-CN" w:bidi="ar"/>
              </w:rPr>
            </w:pPr>
            <w:r>
              <w:rPr>
                <w:rFonts w:hint="eastAsia" w:ascii="黑体" w:hAnsi="黑体" w:eastAsia="黑体" w:cs="黑体"/>
                <w:color w:val="auto"/>
                <w:kern w:val="0"/>
                <w:sz w:val="18"/>
                <w:szCs w:val="18"/>
                <w:highlight w:val="none"/>
                <w:u w:val="none"/>
                <w:lang w:eastAsia="zh-CN" w:bidi="ar"/>
              </w:rPr>
              <w:t>NY/T 1045-2014</w:t>
            </w:r>
          </w:p>
        </w:tc>
        <w:tc>
          <w:tcPr>
            <w:tcW w:w="13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6"/>
                <w:szCs w:val="16"/>
                <w:highlight w:val="none"/>
                <w:lang w:eastAsia="zh-CN" w:bidi="ar"/>
              </w:rPr>
            </w:pPr>
            <w:r>
              <w:rPr>
                <w:rFonts w:hint="eastAsia" w:ascii="黑体" w:hAnsi="黑体" w:eastAsia="黑体" w:cs="黑体"/>
                <w:color w:val="auto"/>
                <w:kern w:val="0"/>
                <w:sz w:val="16"/>
                <w:szCs w:val="16"/>
                <w:highlight w:val="none"/>
                <w:u w:val="none"/>
                <w:lang w:eastAsia="zh-CN" w:bidi="ar"/>
              </w:rPr>
              <w:t>绿色食品 脱水蔬菜</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7</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3</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w:t>
            </w:r>
            <w:r>
              <w:rPr>
                <w:rFonts w:hint="eastAsia" w:ascii="黑体" w:hAnsi="黑体" w:eastAsia="黑体" w:cs="黑体"/>
                <w:color w:val="auto"/>
                <w:kern w:val="0"/>
                <w:sz w:val="18"/>
                <w:szCs w:val="18"/>
                <w:highlight w:val="none"/>
                <w:u w:val="none"/>
                <w:lang w:val="en-US" w:eastAsia="zh-CN" w:bidi="ar"/>
              </w:rPr>
              <w:t>1.4</w:t>
            </w:r>
          </w:p>
        </w:tc>
        <w:tc>
          <w:tcPr>
            <w:tcW w:w="11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6</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6</w:t>
            </w:r>
          </w:p>
        </w:tc>
        <w:tc>
          <w:tcPr>
            <w:tcW w:w="11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6</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318" w:hRule="atLeast"/>
          <w:jc w:val="center"/>
        </w:trPr>
        <w:tc>
          <w:tcPr>
            <w:tcW w:w="10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tabs>
                <w:tab w:val="left" w:pos="420"/>
              </w:tabs>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eastAsia="zh-CN" w:bidi="ar"/>
              </w:rPr>
            </w:pPr>
          </w:p>
        </w:tc>
        <w:tc>
          <w:tcPr>
            <w:tcW w:w="13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6"/>
                <w:szCs w:val="16"/>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3</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color w:val="auto"/>
                <w:kern w:val="0"/>
                <w:sz w:val="18"/>
                <w:szCs w:val="18"/>
                <w:highlight w:val="none"/>
                <w:u w:val="none"/>
                <w:lang w:eastAsia="zh-CN" w:bidi="ar"/>
              </w:rPr>
              <w:t>≦0.</w:t>
            </w:r>
            <w:r>
              <w:rPr>
                <w:rFonts w:hint="eastAsia" w:ascii="黑体" w:hAnsi="黑体" w:eastAsia="黑体" w:cs="黑体"/>
                <w:color w:val="auto"/>
                <w:kern w:val="0"/>
                <w:sz w:val="18"/>
                <w:szCs w:val="18"/>
                <w:highlight w:val="none"/>
                <w:u w:val="none"/>
                <w:lang w:val="en-US" w:eastAsia="zh-CN" w:bidi="ar"/>
              </w:rPr>
              <w:t>6</w:t>
            </w:r>
          </w:p>
        </w:tc>
        <w:tc>
          <w:tcPr>
            <w:tcW w:w="11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1192"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eastAsia="zh-CN" w:bidi="ar"/>
              </w:rPr>
            </w:pPr>
            <w:r>
              <w:rPr>
                <w:rFonts w:hint="eastAsia" w:ascii="黑体" w:hAnsi="黑体" w:eastAsia="黑体" w:cs="黑体"/>
                <w:color w:val="auto"/>
                <w:kern w:val="0"/>
                <w:sz w:val="18"/>
                <w:szCs w:val="18"/>
                <w:highlight w:val="none"/>
                <w:u w:val="none"/>
                <w:lang w:eastAsia="zh-CN" w:bidi="ar"/>
              </w:rPr>
              <w:t>NY</w:t>
            </w:r>
            <w:r>
              <w:rPr>
                <w:rFonts w:hint="eastAsia" w:ascii="黑体" w:hAnsi="黑体" w:eastAsia="黑体" w:cs="黑体"/>
                <w:color w:val="auto"/>
                <w:kern w:val="0"/>
                <w:sz w:val="18"/>
                <w:szCs w:val="18"/>
                <w:highlight w:val="none"/>
                <w:u w:val="none"/>
                <w:lang w:val="en-US" w:eastAsia="zh-CN" w:bidi="ar"/>
              </w:rPr>
              <w:t>/</w:t>
            </w:r>
            <w:r>
              <w:rPr>
                <w:rFonts w:hint="eastAsia" w:ascii="黑体" w:hAnsi="黑体" w:eastAsia="黑体" w:cs="黑体"/>
                <w:color w:val="auto"/>
                <w:kern w:val="0"/>
                <w:sz w:val="18"/>
                <w:szCs w:val="18"/>
                <w:highlight w:val="none"/>
                <w:u w:val="none"/>
                <w:lang w:eastAsia="zh-CN" w:bidi="ar"/>
              </w:rPr>
              <w:t>T</w:t>
            </w:r>
            <w:r>
              <w:rPr>
                <w:rFonts w:hint="eastAsia" w:ascii="黑体" w:hAnsi="黑体" w:eastAsia="黑体" w:cs="黑体"/>
                <w:color w:val="auto"/>
                <w:kern w:val="0"/>
                <w:sz w:val="18"/>
                <w:szCs w:val="18"/>
                <w:highlight w:val="none"/>
                <w:u w:val="none"/>
                <w:lang w:val="en-US" w:eastAsia="zh-CN" w:bidi="ar"/>
              </w:rPr>
              <w:t xml:space="preserve"> </w:t>
            </w:r>
            <w:r>
              <w:rPr>
                <w:rFonts w:hint="eastAsia" w:ascii="黑体" w:hAnsi="黑体" w:eastAsia="黑体" w:cs="黑体"/>
                <w:color w:val="auto"/>
                <w:kern w:val="0"/>
                <w:sz w:val="18"/>
                <w:szCs w:val="18"/>
                <w:highlight w:val="none"/>
                <w:u w:val="none"/>
                <w:lang w:eastAsia="zh-CN" w:bidi="ar"/>
              </w:rPr>
              <w:t>746—2020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6"/>
                <w:szCs w:val="16"/>
                <w:highlight w:val="none"/>
                <w:lang w:eastAsia="zh-CN" w:bidi="ar"/>
              </w:rPr>
            </w:pPr>
            <w:r>
              <w:rPr>
                <w:rFonts w:hint="eastAsia" w:ascii="黑体" w:hAnsi="黑体" w:eastAsia="黑体" w:cs="黑体"/>
                <w:color w:val="auto"/>
                <w:kern w:val="0"/>
                <w:sz w:val="16"/>
                <w:szCs w:val="16"/>
                <w:highlight w:val="none"/>
                <w:u w:val="none"/>
                <w:lang w:eastAsia="zh-CN" w:bidi="ar"/>
              </w:rPr>
              <w:t>绿色食品 甘蓝类蔬菜</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color w:val="auto"/>
                <w:kern w:val="0"/>
                <w:sz w:val="18"/>
                <w:szCs w:val="18"/>
                <w:highlight w:val="none"/>
                <w:lang w:val="en-US" w:eastAsia="zh-CN" w:bidi="ar"/>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val="en-US" w:eastAsia="zh-CN" w:bidi="ar"/>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en-US"/>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1</w:t>
            </w: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71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DBS53/030—2021</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干制铁皮石斛花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83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DBS52/049─2021</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rPr>
            </w:pPr>
            <w:r>
              <w:rPr>
                <w:rFonts w:hint="eastAsia" w:ascii="黑体" w:hAnsi="黑体" w:eastAsia="黑体" w:cs="黑体"/>
                <w:kern w:val="0"/>
                <w:sz w:val="16"/>
                <w:szCs w:val="16"/>
                <w:highlight w:val="none"/>
                <w:lang w:eastAsia="zh-CN" w:bidi="ar"/>
              </w:rPr>
              <w:t>金钗石斛花（干）</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545"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DBS52/045—2020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rPr>
            </w:pPr>
            <w:r>
              <w:rPr>
                <w:rFonts w:hint="eastAsia" w:ascii="黑体" w:hAnsi="黑体" w:eastAsia="黑体" w:cs="黑体"/>
                <w:kern w:val="0"/>
                <w:sz w:val="16"/>
                <w:szCs w:val="16"/>
                <w:highlight w:val="none"/>
                <w:lang w:eastAsia="zh-CN" w:bidi="ar"/>
              </w:rPr>
              <w:t>铁皮石斛花（干）</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1064"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DBS45/062—2019</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铁皮石斛花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811"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DBS35/001—2020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铁皮石斛花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≦3</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761"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DB33/3011—2020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干制铁皮石斛花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244"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DBS23/006—2019</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干制黄芪花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25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DBS53/023—2017</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干制三七花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≦0.05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≦4.0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≦1.5</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≦0.1</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90"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DBS13/017-2023</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干制文冠果叶（花）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712"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DBS50/031—2023</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山银花及其制品</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520"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DBS62/005—2020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金银花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90"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DBS37/001—2022</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金银花（开放花）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321"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DB41/T 1681-2018</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rPr>
            </w:pPr>
            <w:r>
              <w:rPr>
                <w:rFonts w:hint="eastAsia" w:ascii="黑体" w:hAnsi="黑体" w:eastAsia="黑体" w:cs="黑体"/>
                <w:kern w:val="0"/>
                <w:sz w:val="16"/>
                <w:szCs w:val="16"/>
                <w:highlight w:val="none"/>
                <w:lang w:eastAsia="zh-CN" w:bidi="ar"/>
              </w:rPr>
              <w:t>地理标志产品 封丘金银花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294"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DB36/T 691—2018</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金银花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399" w:hRule="atLeast"/>
          <w:jc w:val="center"/>
        </w:trPr>
        <w:tc>
          <w:tcPr>
            <w:tcW w:w="10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DBS14/006—2023</w:t>
            </w:r>
          </w:p>
        </w:tc>
        <w:tc>
          <w:tcPr>
            <w:tcW w:w="1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流苏花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399" w:hRule="atLeast"/>
          <w:jc w:val="center"/>
        </w:trPr>
        <w:tc>
          <w:tcPr>
            <w:tcW w:w="10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tabs>
                <w:tab w:val="left" w:pos="420"/>
              </w:tabs>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en-US"/>
              </w:rPr>
            </w:pPr>
          </w:p>
        </w:tc>
        <w:tc>
          <w:tcPr>
            <w:tcW w:w="23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3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6"/>
                <w:szCs w:val="16"/>
                <w:highlight w:val="none"/>
                <w:lang w:eastAsia="en-US"/>
              </w:rPr>
            </w:pP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471"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DBS13/015—2021</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干制金莲花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1005"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DBS45/069—2020</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金花茶花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≦10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≦0.2</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59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DBS44/018—2022</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en-US"/>
              </w:rPr>
            </w:pPr>
            <w:r>
              <w:rPr>
                <w:rFonts w:hint="eastAsia" w:ascii="黑体" w:hAnsi="黑体" w:eastAsia="黑体" w:cs="黑体"/>
                <w:kern w:val="0"/>
                <w:sz w:val="16"/>
                <w:szCs w:val="16"/>
                <w:highlight w:val="none"/>
                <w:lang w:eastAsia="zh-CN" w:bidi="ar"/>
              </w:rPr>
              <w:t>鸡蛋花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1155"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DB54/T 0245—2021</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rPr>
            </w:pPr>
            <w:r>
              <w:rPr>
                <w:rFonts w:hint="eastAsia" w:ascii="黑体" w:hAnsi="黑体" w:eastAsia="黑体" w:cs="黑体"/>
                <w:kern w:val="0"/>
                <w:sz w:val="16"/>
                <w:szCs w:val="16"/>
                <w:highlight w:val="none"/>
                <w:lang w:eastAsia="zh-CN" w:bidi="ar"/>
              </w:rPr>
              <w:t>地理标志产品 西藏藏红花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≦0.50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en-US"/>
              </w:rPr>
            </w:pPr>
          </w:p>
        </w:tc>
      </w:tr>
      <w:tr>
        <w:tblPrEx>
          <w:tblCellMar>
            <w:top w:w="0" w:type="dxa"/>
            <w:left w:w="57" w:type="dxa"/>
            <w:bottom w:w="0" w:type="dxa"/>
            <w:right w:w="57" w:type="dxa"/>
          </w:tblCellMar>
        </w:tblPrEx>
        <w:trPr>
          <w:trHeight w:val="955"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en-US"/>
              </w:rPr>
            </w:pPr>
            <w:r>
              <w:rPr>
                <w:rFonts w:hint="eastAsia" w:ascii="黑体" w:hAnsi="黑体" w:eastAsia="黑体" w:cs="黑体"/>
                <w:kern w:val="0"/>
                <w:sz w:val="18"/>
                <w:szCs w:val="18"/>
                <w:highlight w:val="none"/>
                <w:lang w:eastAsia="zh-CN" w:bidi="ar"/>
              </w:rPr>
              <w:t>DB35/T 1127—2011</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rPr>
            </w:pPr>
            <w:r>
              <w:rPr>
                <w:rFonts w:hint="eastAsia" w:ascii="黑体" w:hAnsi="黑体" w:eastAsia="黑体" w:cs="黑体"/>
                <w:kern w:val="0"/>
                <w:sz w:val="16"/>
                <w:szCs w:val="16"/>
                <w:highlight w:val="none"/>
                <w:lang w:eastAsia="zh-CN" w:bidi="ar"/>
              </w:rPr>
              <w:t>地理标志产品 浦城桂花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645"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r>
              <w:rPr>
                <w:rFonts w:hint="eastAsia" w:ascii="黑体" w:hAnsi="黑体" w:eastAsia="黑体" w:cs="黑体"/>
                <w:kern w:val="0"/>
                <w:sz w:val="18"/>
                <w:szCs w:val="18"/>
                <w:highlight w:val="none"/>
                <w:lang w:eastAsia="zh-CN" w:bidi="ar"/>
              </w:rPr>
              <w:t>DB52</w:t>
            </w:r>
            <w:r>
              <w:rPr>
                <w:rFonts w:hint="eastAsia" w:ascii="黑体" w:hAnsi="黑体" w:eastAsia="黑体" w:cs="黑体"/>
                <w:kern w:val="0"/>
                <w:sz w:val="18"/>
                <w:szCs w:val="18"/>
                <w:highlight w:val="none"/>
                <w:lang w:val="en-US" w:eastAsia="zh-CN" w:bidi="ar"/>
              </w:rPr>
              <w:t>/</w:t>
            </w:r>
            <w:r>
              <w:rPr>
                <w:rFonts w:hint="eastAsia" w:ascii="黑体" w:hAnsi="黑体" w:eastAsia="黑体" w:cs="黑体"/>
                <w:kern w:val="0"/>
                <w:sz w:val="18"/>
                <w:szCs w:val="18"/>
                <w:highlight w:val="none"/>
                <w:lang w:eastAsia="zh-CN" w:bidi="ar"/>
              </w:rPr>
              <w:t>T</w:t>
            </w:r>
            <w:r>
              <w:rPr>
                <w:rFonts w:hint="eastAsia" w:ascii="黑体" w:hAnsi="黑体" w:eastAsia="黑体" w:cs="黑体"/>
                <w:kern w:val="0"/>
                <w:sz w:val="18"/>
                <w:szCs w:val="18"/>
                <w:highlight w:val="none"/>
                <w:lang w:val="en-US" w:eastAsia="zh-CN" w:bidi="ar"/>
              </w:rPr>
              <w:t xml:space="preserve"> </w:t>
            </w:r>
            <w:r>
              <w:rPr>
                <w:rFonts w:hint="eastAsia" w:ascii="黑体" w:hAnsi="黑体" w:eastAsia="黑体" w:cs="黑体"/>
                <w:kern w:val="0"/>
                <w:sz w:val="18"/>
                <w:szCs w:val="18"/>
                <w:highlight w:val="none"/>
                <w:lang w:eastAsia="zh-CN" w:bidi="ar"/>
              </w:rPr>
              <w:t>1060—2015</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bidi="ar"/>
              </w:rPr>
            </w:pPr>
            <w:r>
              <w:rPr>
                <w:rFonts w:hint="eastAsia" w:ascii="黑体" w:hAnsi="黑体" w:eastAsia="黑体" w:cs="黑体"/>
                <w:kern w:val="0"/>
                <w:sz w:val="16"/>
                <w:szCs w:val="16"/>
                <w:highlight w:val="none"/>
                <w:lang w:eastAsia="zh-CN" w:bidi="ar"/>
              </w:rPr>
              <w:t>地理标志产品 绥阳</w:t>
            </w:r>
            <w:r>
              <w:rPr>
                <w:rFonts w:hint="eastAsia" w:ascii="黑体" w:hAnsi="黑体" w:eastAsia="黑体" w:cs="黑体"/>
                <w:kern w:val="0"/>
                <w:sz w:val="16"/>
                <w:szCs w:val="16"/>
                <w:highlight w:val="none"/>
                <w:lang w:val="en-US" w:eastAsia="zh-CN" w:bidi="ar"/>
              </w:rPr>
              <w:t>金银花</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797"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r>
              <w:rPr>
                <w:rFonts w:hint="eastAsia" w:ascii="黑体" w:hAnsi="黑体" w:eastAsia="黑体" w:cs="黑体"/>
                <w:kern w:val="0"/>
                <w:sz w:val="18"/>
                <w:szCs w:val="18"/>
                <w:highlight w:val="none"/>
                <w:lang w:eastAsia="zh-CN" w:bidi="ar"/>
              </w:rPr>
              <w:t>DB41/T 613-2024</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bidi="ar"/>
              </w:rPr>
            </w:pPr>
            <w:r>
              <w:rPr>
                <w:rFonts w:hint="eastAsia" w:ascii="黑体" w:hAnsi="黑体" w:eastAsia="黑体" w:cs="黑体"/>
                <w:kern w:val="0"/>
                <w:sz w:val="16"/>
                <w:szCs w:val="16"/>
                <w:highlight w:val="none"/>
                <w:lang w:eastAsia="zh-CN" w:bidi="ar"/>
              </w:rPr>
              <w:t>地理标志产品 淮阳黄花菜</w:t>
            </w:r>
          </w:p>
        </w:tc>
        <w:tc>
          <w:tcPr>
            <w:tcW w:w="4516" w:type="pct"/>
            <w:gridSpan w:val="3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1606"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r>
              <w:rPr>
                <w:rFonts w:hint="eastAsia" w:ascii="黑体" w:hAnsi="黑体" w:eastAsia="黑体" w:cs="黑体"/>
                <w:kern w:val="0"/>
                <w:sz w:val="18"/>
                <w:szCs w:val="18"/>
                <w:highlight w:val="none"/>
                <w:lang w:eastAsia="zh-CN" w:bidi="ar"/>
              </w:rPr>
              <w:t>DBS45</w:t>
            </w:r>
            <w:r>
              <w:rPr>
                <w:rFonts w:hint="eastAsia" w:ascii="黑体" w:hAnsi="黑体" w:eastAsia="黑体" w:cs="黑体"/>
                <w:kern w:val="0"/>
                <w:sz w:val="18"/>
                <w:szCs w:val="18"/>
                <w:highlight w:val="none"/>
                <w:lang w:val="en-US" w:eastAsia="zh-CN" w:bidi="ar"/>
              </w:rPr>
              <w:t>/</w:t>
            </w:r>
            <w:r>
              <w:rPr>
                <w:rFonts w:hint="eastAsia" w:ascii="黑体" w:hAnsi="黑体" w:eastAsia="黑体" w:cs="黑体"/>
                <w:kern w:val="0"/>
                <w:sz w:val="18"/>
                <w:szCs w:val="18"/>
                <w:highlight w:val="none"/>
                <w:lang w:eastAsia="zh-CN" w:bidi="ar"/>
              </w:rPr>
              <w:t>079—2024</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bidi="ar"/>
              </w:rPr>
            </w:pPr>
            <w:r>
              <w:rPr>
                <w:rFonts w:hint="eastAsia" w:ascii="黑体" w:hAnsi="黑体" w:eastAsia="黑体" w:cs="黑体"/>
                <w:kern w:val="0"/>
                <w:sz w:val="16"/>
                <w:szCs w:val="16"/>
                <w:highlight w:val="none"/>
                <w:lang w:eastAsia="zh-CN" w:bidi="ar"/>
              </w:rPr>
              <w:t>食品安全地方标准 茉莉花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2.0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15.0</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0.3</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2.0</w:t>
            </w: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r>
      <w:tr>
        <w:tblPrEx>
          <w:tblCellMar>
            <w:top w:w="0" w:type="dxa"/>
            <w:left w:w="57" w:type="dxa"/>
            <w:bottom w:w="0" w:type="dxa"/>
            <w:right w:w="57" w:type="dxa"/>
          </w:tblCellMar>
        </w:tblPrEx>
        <w:trPr>
          <w:trHeight w:val="543" w:hRule="atLeast"/>
          <w:jc w:val="center"/>
        </w:trPr>
        <w:tc>
          <w:tcPr>
            <w:tcW w:w="1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
              </w:numPr>
              <w:kinsoku/>
              <w:wordWrap/>
              <w:overflowPunct/>
              <w:topLinePunct w:val="0"/>
              <w:autoSpaceDE w:val="0"/>
              <w:autoSpaceDN w:val="0"/>
              <w:bidi w:val="0"/>
              <w:adjustRightInd/>
              <w:snapToGrid/>
              <w:spacing w:line="240" w:lineRule="exact"/>
              <w:ind w:left="425" w:hanging="425"/>
              <w:jc w:val="center"/>
              <w:textAlignment w:val="center"/>
              <w:rPr>
                <w:rFonts w:hint="eastAsia" w:ascii="黑体" w:hAnsi="黑体" w:eastAsia="黑体" w:cs="黑体"/>
                <w:color w:val="auto"/>
                <w:kern w:val="0"/>
                <w:sz w:val="18"/>
                <w:szCs w:val="18"/>
                <w:highlight w:val="none"/>
                <w:lang w:eastAsia="zh-CN" w:bidi="ar"/>
              </w:rPr>
            </w:pPr>
          </w:p>
        </w:tc>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8"/>
                <w:szCs w:val="18"/>
                <w:highlight w:val="none"/>
                <w:lang w:eastAsia="zh-CN" w:bidi="ar"/>
              </w:rPr>
            </w:pPr>
            <w:r>
              <w:rPr>
                <w:rFonts w:hint="eastAsia" w:ascii="黑体" w:hAnsi="黑体" w:eastAsia="黑体" w:cs="黑体"/>
                <w:kern w:val="0"/>
                <w:sz w:val="18"/>
                <w:szCs w:val="18"/>
                <w:highlight w:val="none"/>
                <w:lang w:eastAsia="zh-CN" w:bidi="ar"/>
              </w:rPr>
              <w:t>DBS35</w:t>
            </w:r>
            <w:r>
              <w:rPr>
                <w:rFonts w:hint="eastAsia" w:ascii="黑体" w:hAnsi="黑体" w:eastAsia="黑体" w:cs="黑体"/>
                <w:kern w:val="0"/>
                <w:sz w:val="18"/>
                <w:szCs w:val="18"/>
                <w:highlight w:val="none"/>
                <w:lang w:val="en-US" w:eastAsia="zh-CN" w:bidi="ar"/>
              </w:rPr>
              <w:t>/</w:t>
            </w:r>
            <w:r>
              <w:rPr>
                <w:rFonts w:hint="eastAsia" w:ascii="黑体" w:hAnsi="黑体" w:eastAsia="黑体" w:cs="黑体"/>
                <w:kern w:val="0"/>
                <w:sz w:val="18"/>
                <w:szCs w:val="18"/>
                <w:highlight w:val="none"/>
                <w:lang w:eastAsia="zh-CN" w:bidi="ar"/>
              </w:rPr>
              <w:t>010—2024</w:t>
            </w:r>
          </w:p>
        </w:tc>
        <w:tc>
          <w:tcPr>
            <w:tcW w:w="1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exact"/>
              <w:jc w:val="center"/>
              <w:textAlignment w:val="center"/>
              <w:rPr>
                <w:rFonts w:hint="eastAsia" w:ascii="黑体" w:hAnsi="黑体" w:eastAsia="黑体" w:cs="黑体"/>
                <w:kern w:val="0"/>
                <w:sz w:val="16"/>
                <w:szCs w:val="16"/>
                <w:highlight w:val="none"/>
                <w:lang w:eastAsia="zh-CN" w:bidi="ar"/>
              </w:rPr>
            </w:pPr>
            <w:r>
              <w:rPr>
                <w:rFonts w:hint="eastAsia" w:ascii="黑体" w:hAnsi="黑体" w:eastAsia="黑体" w:cs="黑体"/>
                <w:kern w:val="0"/>
                <w:sz w:val="16"/>
                <w:szCs w:val="16"/>
                <w:highlight w:val="none"/>
                <w:lang w:eastAsia="zh-CN" w:bidi="ar"/>
              </w:rPr>
              <w:t xml:space="preserve">食品安全地方标准 </w:t>
            </w:r>
            <w:r>
              <w:rPr>
                <w:rFonts w:hint="eastAsia" w:ascii="黑体" w:hAnsi="黑体" w:eastAsia="黑体" w:cs="黑体"/>
                <w:kern w:val="0"/>
                <w:sz w:val="16"/>
                <w:szCs w:val="16"/>
                <w:highlight w:val="none"/>
                <w:lang w:val="en-US" w:eastAsia="zh-CN" w:bidi="ar"/>
              </w:rPr>
              <w:t>柚子花</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5</w:t>
            </w: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bidi="ar"/>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bidi="ar"/>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eastAsia="zh-CN"/>
              </w:rPr>
            </w:pPr>
          </w:p>
        </w:tc>
        <w:tc>
          <w:tcPr>
            <w:tcW w:w="1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2</w:t>
            </w:r>
          </w:p>
        </w:tc>
        <w:tc>
          <w:tcPr>
            <w:tcW w:w="1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rPr>
                <w:rFonts w:hint="eastAsia" w:ascii="黑体" w:hAnsi="黑体" w:eastAsia="黑体" w:cs="黑体"/>
                <w:kern w:val="0"/>
                <w:sz w:val="18"/>
                <w:szCs w:val="18"/>
                <w:highlight w:val="none"/>
                <w:lang w:val="en-US" w:eastAsia="zh-CN" w:bidi="ar"/>
              </w:rPr>
            </w:pPr>
            <w:r>
              <w:rPr>
                <w:rFonts w:hint="eastAsia" w:ascii="黑体" w:hAnsi="黑体" w:eastAsia="黑体" w:cs="黑体"/>
                <w:kern w:val="0"/>
                <w:sz w:val="18"/>
                <w:szCs w:val="18"/>
                <w:highlight w:val="none"/>
                <w:lang w:eastAsia="zh-CN" w:bidi="ar"/>
              </w:rPr>
              <w:t>≦</w:t>
            </w:r>
            <w:r>
              <w:rPr>
                <w:rFonts w:hint="eastAsia" w:ascii="黑体" w:hAnsi="黑体" w:eastAsia="黑体" w:cs="黑体"/>
                <w:kern w:val="0"/>
                <w:sz w:val="18"/>
                <w:szCs w:val="18"/>
                <w:highlight w:val="none"/>
                <w:lang w:val="en-US" w:eastAsia="zh-CN" w:bidi="ar"/>
              </w:rPr>
              <w:t>3</w:t>
            </w:r>
          </w:p>
        </w:tc>
      </w:tr>
    </w:tbl>
    <w:p>
      <w:pPr>
        <w:keepNext w:val="0"/>
        <w:keepLines w:val="0"/>
        <w:pageBreakBefore w:val="0"/>
        <w:widowControl w:val="0"/>
        <w:kinsoku/>
        <w:wordWrap/>
        <w:overflowPunct/>
        <w:topLinePunct w:val="0"/>
        <w:autoSpaceDE/>
        <w:autoSpaceDN/>
        <w:bidi w:val="0"/>
        <w:adjustRightInd/>
        <w:snapToGrid/>
        <w:spacing w:after="0" w:line="360" w:lineRule="auto"/>
        <w:ind w:right="346" w:firstLine="560" w:firstLineChars="200"/>
        <w:jc w:val="both"/>
        <w:textAlignment w:val="auto"/>
        <w:rPr>
          <w:rFonts w:hint="eastAsia" w:ascii="宋体" w:hAnsi="宋体" w:eastAsia="宋体" w:cs="宋体"/>
          <w:kern w:val="2"/>
          <w:sz w:val="28"/>
          <w:szCs w:val="28"/>
          <w:highlight w:val="none"/>
          <w:lang w:val="en-US" w:eastAsia="zh-CN" w:bidi="ar-SA"/>
        </w:rPr>
        <w:sectPr>
          <w:pgSz w:w="16838" w:h="11906" w:orient="landscape"/>
          <w:pgMar w:top="1800" w:right="1440" w:bottom="1800" w:left="1440" w:header="851" w:footer="992" w:gutter="0"/>
          <w:cols w:space="425" w:num="1"/>
          <w:docGrid w:type="lines" w:linePitch="312" w:charSpace="0"/>
        </w:sectPr>
      </w:pPr>
    </w:p>
    <w:p>
      <w:pPr>
        <w:widowControl w:val="0"/>
        <w:numPr>
          <w:ilvl w:val="0"/>
          <w:numId w:val="3"/>
        </w:numPr>
        <w:adjustRightInd/>
        <w:snapToGrid/>
        <w:spacing w:after="0" w:line="360" w:lineRule="auto"/>
        <w:ind w:left="0" w:leftChars="0" w:right="345" w:firstLine="560" w:firstLineChars="200"/>
        <w:jc w:val="left"/>
        <w:rPr>
          <w:rFonts w:hint="eastAsia" w:ascii="宋体" w:hAnsi="宋体" w:eastAsia="宋体" w:cs="宋体"/>
          <w:kern w:val="2"/>
          <w:sz w:val="28"/>
          <w:szCs w:val="28"/>
          <w:highlight w:val="none"/>
          <w:lang w:val="en-US" w:eastAsia="zh-CN" w:bidi="ar-SA"/>
        </w:rPr>
      </w:pPr>
      <w:r>
        <w:rPr>
          <w:rFonts w:hint="eastAsia" w:ascii="宋体" w:hAnsi="宋体" w:eastAsia="宋体" w:cs="宋体"/>
          <w:color w:val="000000"/>
          <w:kern w:val="0"/>
          <w:sz w:val="28"/>
          <w:szCs w:val="28"/>
          <w:highlight w:val="none"/>
          <w:lang w:val="en-US" w:eastAsia="zh-CN" w:bidi="ar"/>
        </w:rPr>
        <w:t>指标设置</w:t>
      </w:r>
    </w:p>
    <w:p>
      <w:pPr>
        <w:widowControl w:val="0"/>
        <w:numPr>
          <w:ilvl w:val="0"/>
          <w:numId w:val="0"/>
        </w:numPr>
        <w:adjustRightInd/>
        <w:snapToGrid/>
        <w:spacing w:after="0" w:line="360" w:lineRule="auto"/>
        <w:ind w:leftChars="200" w:right="345" w:rightChars="0" w:firstLine="560" w:firstLineChars="200"/>
        <w:jc w:val="left"/>
        <w:rPr>
          <w:rFonts w:hint="default" w:ascii="宋体" w:hAnsi="宋体" w:eastAsia="宋体" w:cs="宋体"/>
          <w:kern w:val="2"/>
          <w:sz w:val="28"/>
          <w:szCs w:val="28"/>
          <w:highlight w:val="none"/>
          <w:lang w:val="en-US" w:eastAsia="zh-CN" w:bidi="ar-SA"/>
        </w:rPr>
      </w:pPr>
      <w:r>
        <w:rPr>
          <w:rFonts w:hint="eastAsia" w:ascii="宋体" w:hAnsi="宋体" w:cs="宋体"/>
          <w:kern w:val="2"/>
          <w:sz w:val="28"/>
          <w:szCs w:val="28"/>
          <w:highlight w:val="none"/>
          <w:lang w:val="en-US" w:eastAsia="zh-CN" w:bidi="ar-SA"/>
        </w:rPr>
        <w:t>由于</w:t>
      </w:r>
      <w:r>
        <w:rPr>
          <w:rFonts w:hint="eastAsia" w:asciiTheme="minorEastAsia" w:hAnsiTheme="minorEastAsia" w:eastAsiaTheme="minorEastAsia" w:cstheme="minorEastAsia"/>
          <w:spacing w:val="6"/>
          <w:sz w:val="28"/>
          <w:szCs w:val="28"/>
          <w:lang w:val="en-US" w:eastAsia="zh-CN"/>
        </w:rPr>
        <w:t>牡丹</w:t>
      </w:r>
      <w:r>
        <w:rPr>
          <w:rFonts w:hint="eastAsia" w:asciiTheme="minorEastAsia" w:hAnsiTheme="minorEastAsia" w:eastAsiaTheme="minorEastAsia" w:cstheme="minorEastAsia"/>
          <w:spacing w:val="6"/>
          <w:sz w:val="28"/>
          <w:szCs w:val="28"/>
        </w:rPr>
        <w:t>木槿</w:t>
      </w:r>
      <w:r>
        <w:rPr>
          <w:rFonts w:hint="eastAsia" w:asciiTheme="minorEastAsia" w:hAnsiTheme="minorEastAsia" w:eastAsiaTheme="minorEastAsia" w:cstheme="minorEastAsia"/>
          <w:spacing w:val="6"/>
          <w:sz w:val="28"/>
          <w:szCs w:val="28"/>
          <w:lang w:val="en-US" w:eastAsia="zh-CN"/>
        </w:rPr>
        <w:t>花做为湖南地方特色食品原料，国家相关标准中对此食品无明确的类别界定，参考</w:t>
      </w:r>
      <w:r>
        <w:rPr>
          <w:rFonts w:hint="eastAsia" w:ascii="宋体" w:hAnsi="宋体" w:eastAsia="宋体" w:cs="宋体"/>
          <w:kern w:val="2"/>
          <w:sz w:val="28"/>
          <w:szCs w:val="28"/>
          <w:highlight w:val="none"/>
          <w:lang w:val="en-US" w:eastAsia="zh-CN" w:bidi="ar-SA"/>
        </w:rPr>
        <w:t>GB 2763-2021对其他类蔬菜和干制蔬菜</w:t>
      </w:r>
      <w:r>
        <w:rPr>
          <w:rFonts w:hint="eastAsia" w:ascii="宋体" w:hAnsi="宋体" w:cs="宋体"/>
          <w:kern w:val="2"/>
          <w:sz w:val="28"/>
          <w:szCs w:val="28"/>
          <w:highlight w:val="none"/>
          <w:lang w:val="en-US" w:eastAsia="zh-CN" w:bidi="ar-SA"/>
        </w:rPr>
        <w:t>的要求，对比</w:t>
      </w:r>
      <w:r>
        <w:rPr>
          <w:rFonts w:hint="eastAsia" w:asciiTheme="minorEastAsia" w:hAnsiTheme="minorEastAsia" w:eastAsiaTheme="minorEastAsia" w:cstheme="minorEastAsia"/>
          <w:spacing w:val="6"/>
          <w:sz w:val="28"/>
          <w:szCs w:val="28"/>
          <w:lang w:val="en-US" w:eastAsia="zh-CN"/>
        </w:rPr>
        <w:t>牡丹木槿花的</w:t>
      </w:r>
      <w:r>
        <w:rPr>
          <w:rFonts w:hint="eastAsia" w:ascii="宋体" w:hAnsi="宋体" w:eastAsia="宋体" w:cs="宋体"/>
          <w:color w:val="000000"/>
          <w:kern w:val="0"/>
          <w:sz w:val="28"/>
          <w:szCs w:val="28"/>
          <w:highlight w:val="none"/>
          <w:lang w:val="en-US" w:eastAsia="zh-CN" w:bidi="ar"/>
        </w:rPr>
        <w:t>农药残留</w:t>
      </w:r>
      <w:r>
        <w:rPr>
          <w:rFonts w:hint="eastAsia" w:asciiTheme="minorEastAsia" w:hAnsiTheme="minorEastAsia" w:eastAsiaTheme="minorEastAsia" w:cstheme="minorEastAsia"/>
          <w:spacing w:val="6"/>
          <w:sz w:val="28"/>
          <w:szCs w:val="28"/>
          <w:lang w:val="en-US" w:eastAsia="zh-CN"/>
        </w:rPr>
        <w:t>检测结果，均符合</w:t>
      </w:r>
      <w:r>
        <w:rPr>
          <w:rFonts w:hint="eastAsia" w:ascii="宋体" w:hAnsi="宋体" w:eastAsia="宋体" w:cs="宋体"/>
          <w:kern w:val="2"/>
          <w:sz w:val="28"/>
          <w:szCs w:val="28"/>
          <w:highlight w:val="none"/>
          <w:lang w:val="en-US" w:eastAsia="zh-CN" w:bidi="ar-SA"/>
        </w:rPr>
        <w:t>GB 2763-2021对其他类蔬菜和干制蔬菜的</w:t>
      </w:r>
      <w:r>
        <w:rPr>
          <w:rFonts w:hint="eastAsia" w:ascii="宋体" w:hAnsi="宋体" w:cs="宋体"/>
          <w:kern w:val="2"/>
          <w:sz w:val="28"/>
          <w:szCs w:val="28"/>
          <w:highlight w:val="none"/>
          <w:lang w:val="en-US" w:eastAsia="zh-CN" w:bidi="ar-SA"/>
        </w:rPr>
        <w:t>农药最大残留限量</w:t>
      </w:r>
      <w:r>
        <w:rPr>
          <w:rFonts w:hint="eastAsia" w:ascii="宋体" w:hAnsi="宋体" w:cs="宋体"/>
          <w:color w:val="000000"/>
          <w:kern w:val="0"/>
          <w:sz w:val="28"/>
          <w:szCs w:val="28"/>
          <w:highlight w:val="none"/>
          <w:lang w:val="en-US" w:eastAsia="zh-CN" w:bidi="ar"/>
        </w:rPr>
        <w:t>要求</w:t>
      </w:r>
      <w:r>
        <w:rPr>
          <w:rFonts w:hint="eastAsia" w:ascii="宋体" w:hAnsi="宋体" w:eastAsia="宋体" w:cs="宋体"/>
          <w:kern w:val="2"/>
          <w:sz w:val="28"/>
          <w:szCs w:val="28"/>
          <w:highlight w:val="none"/>
          <w:lang w:val="en-US" w:eastAsia="zh-CN" w:bidi="ar-SA"/>
        </w:rPr>
        <w:t>。</w:t>
      </w:r>
      <w:r>
        <w:rPr>
          <w:rFonts w:hint="eastAsia" w:ascii="宋体" w:hAnsi="宋体" w:eastAsia="宋体" w:cs="宋体"/>
          <w:color w:val="000000"/>
          <w:kern w:val="0"/>
          <w:sz w:val="28"/>
          <w:szCs w:val="28"/>
          <w:highlight w:val="none"/>
          <w:lang w:val="en-US" w:eastAsia="zh-CN" w:bidi="ar"/>
        </w:rPr>
        <w:t>拟将</w:t>
      </w:r>
      <w:r>
        <w:rPr>
          <w:rFonts w:hint="eastAsia" w:ascii="宋体" w:hAnsi="宋体" w:cs="宋体"/>
          <w:kern w:val="2"/>
          <w:sz w:val="28"/>
          <w:szCs w:val="28"/>
          <w:highlight w:val="none"/>
          <w:lang w:val="en-US" w:eastAsia="zh-CN" w:bidi="ar-SA"/>
        </w:rPr>
        <w:t>农药最大残留限量</w:t>
      </w:r>
      <w:r>
        <w:rPr>
          <w:rFonts w:hint="eastAsia" w:ascii="宋体" w:hAnsi="宋体" w:eastAsia="宋体" w:cs="宋体"/>
          <w:color w:val="000000"/>
          <w:kern w:val="0"/>
          <w:sz w:val="28"/>
          <w:szCs w:val="28"/>
          <w:highlight w:val="none"/>
          <w:lang w:val="en-US" w:eastAsia="zh-CN" w:bidi="ar"/>
        </w:rPr>
        <w:t>设置</w:t>
      </w:r>
      <w:r>
        <w:rPr>
          <w:rFonts w:hint="eastAsia" w:ascii="宋体" w:hAnsi="宋体" w:cs="宋体"/>
          <w:color w:val="000000"/>
          <w:kern w:val="0"/>
          <w:sz w:val="28"/>
          <w:szCs w:val="28"/>
          <w:highlight w:val="none"/>
          <w:lang w:val="en-US" w:eastAsia="zh-CN" w:bidi="ar"/>
        </w:rPr>
        <w:t>为：符合GB 2763及相关规定。</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五</w:t>
      </w:r>
      <w:r>
        <w:rPr>
          <w:rFonts w:hint="eastAsia" w:ascii="宋体" w:hAnsi="宋体" w:eastAsia="宋体" w:cs="宋体"/>
          <w:b/>
          <w:bCs/>
          <w:kern w:val="2"/>
          <w:sz w:val="28"/>
          <w:szCs w:val="28"/>
          <w:highlight w:val="none"/>
          <w:lang w:val="en-US" w:eastAsia="zh-CN" w:bidi="ar-SA"/>
        </w:rPr>
        <w:t>、征求意见的处理经过和依据</w:t>
      </w:r>
    </w:p>
    <w:p>
      <w:pPr>
        <w:widowControl w:val="0"/>
        <w:tabs>
          <w:tab w:val="left" w:pos="2044"/>
        </w:tabs>
        <w:adjustRightInd/>
        <w:snapToGrid/>
        <w:spacing w:after="0" w:line="360" w:lineRule="auto"/>
        <w:ind w:right="345" w:firstLine="560" w:firstLineChars="200"/>
        <w:jc w:val="both"/>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目前征求到专家及行业相关意见，并对其采纳情况如下：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5382"/>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序号</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意见</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“采集新鲜的锦葵科植物牡丹木槿 (Hibiscus syriacus f. paeoniflorus Gagnep. f.)的花”修改为“新鲜采集的锦葵科木槿属植物牡丹木槿 (Hibiscus syriacus f. paeoniflorus Gagnep. f.)的花”。</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2</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定义中为“鲜牡丹木槿花”和“干牡丹木槿花”，表1、表2中表述为“鲜花、干花”，表3中表述为“鲜品、干品”，建议在文本中对“鲜、干”两类牡丹木槿花的表述保持一致。</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3</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重金属的检测方法标准号有误。</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4</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建议进一步考虑污染物指标及限量值的科学性，综合考虑检测样品的代表性和实际检测结果，对重点指标制定合理的污染物限量</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5</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鲜花的颜色描述建议采用具体的表述，例如鲜花描述“呈粉紫色至淡紫色”；干花可以维持现有的描述。</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6</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是否需要考虑牡丹木槿花的特征性指标或成分？</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7</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进一步补充牡丹木槿花作为湖南地方特色食品原料的说明及必要的佐证</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8</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建议鲜花的水分要定一个范围值</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9</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建议结合牡丹木槿花的实际加工情况，确定目前标准提出的“应符合GB 14881、GB 28050的规定、标签”是否去除。</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10</w:t>
            </w:r>
          </w:p>
        </w:tc>
        <w:tc>
          <w:tcPr>
            <w:tcW w:w="538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eastAsia"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要写清农药残留的类别</w:t>
            </w:r>
          </w:p>
        </w:tc>
        <w:tc>
          <w:tcPr>
            <w:tcW w:w="253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采纳</w:t>
            </w:r>
          </w:p>
        </w:tc>
      </w:tr>
    </w:tbl>
    <w:p>
      <w:pPr>
        <w:keepNext w:val="0"/>
        <w:keepLines w:val="0"/>
        <w:pageBreakBefore w:val="0"/>
        <w:widowControl w:val="0"/>
        <w:kinsoku/>
        <w:wordWrap/>
        <w:overflowPunct/>
        <w:topLinePunct w:val="0"/>
        <w:autoSpaceDE/>
        <w:autoSpaceDN/>
        <w:bidi w:val="0"/>
        <w:adjustRightInd/>
        <w:snapToGrid/>
        <w:spacing w:after="0" w:line="240" w:lineRule="auto"/>
        <w:ind w:right="0"/>
        <w:jc w:val="left"/>
        <w:textAlignment w:val="auto"/>
        <w:rPr>
          <w:rFonts w:hint="default" w:ascii="黑体" w:hAnsi="黑体" w:eastAsia="黑体" w:cs="黑体"/>
          <w:color w:val="00000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eastAsia" w:ascii="宋体" w:hAnsi="宋体" w:cs="宋体"/>
          <w:b/>
          <w:bCs/>
          <w:kern w:val="2"/>
          <w:sz w:val="28"/>
          <w:szCs w:val="28"/>
          <w:highlight w:val="none"/>
          <w:lang w:val="en-US" w:eastAsia="zh-CN" w:bidi="ar-SA"/>
        </w:rPr>
      </w:pPr>
      <w:bookmarkStart w:id="2" w:name="_Toc10132"/>
      <w:bookmarkStart w:id="3" w:name="_Toc15882"/>
      <w:bookmarkStart w:id="4" w:name="_Toc25353"/>
      <w:r>
        <w:rPr>
          <w:rFonts w:hint="eastAsia" w:ascii="宋体" w:hAnsi="宋体" w:cs="宋体"/>
          <w:b/>
          <w:bCs/>
          <w:kern w:val="2"/>
          <w:sz w:val="28"/>
          <w:szCs w:val="28"/>
          <w:highlight w:val="none"/>
          <w:lang w:val="en-US" w:eastAsia="zh-CN" w:bidi="ar-SA"/>
        </w:rPr>
        <w:t>六、</w:t>
      </w:r>
      <w:bookmarkEnd w:id="2"/>
      <w:bookmarkEnd w:id="3"/>
      <w:bookmarkEnd w:id="4"/>
      <w:r>
        <w:rPr>
          <w:rFonts w:hint="eastAsia" w:ascii="宋体" w:hAnsi="宋体" w:cs="宋体"/>
          <w:b/>
          <w:bCs/>
          <w:kern w:val="2"/>
          <w:sz w:val="28"/>
          <w:szCs w:val="28"/>
          <w:highlight w:val="none"/>
          <w:lang w:val="en-US" w:eastAsia="zh-CN" w:bidi="ar-SA"/>
        </w:rPr>
        <w:t>国内外相关法规标准情况</w:t>
      </w:r>
    </w:p>
    <w:p>
      <w:pPr>
        <w:pStyle w:val="10"/>
        <w:keepNext w:val="0"/>
        <w:keepLines w:val="0"/>
        <w:pageBreakBefore w:val="0"/>
        <w:widowControl/>
        <w:suppressLineNumbers w:val="0"/>
        <w:kinsoku/>
        <w:wordWrap w:val="0"/>
        <w:overflowPunct/>
        <w:topLinePunct w:val="0"/>
        <w:autoSpaceDE/>
        <w:autoSpaceDN/>
        <w:bidi w:val="0"/>
        <w:adjustRightInd/>
        <w:snapToGrid/>
        <w:spacing w:before="192" w:beforeAutospacing="0" w:line="18" w:lineRule="atLeast"/>
        <w:ind w:left="0"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本标准在制定过程中参考了如下标准：《食品安全国家标准 食品中污染物限量》（</w:t>
      </w:r>
      <w:r>
        <w:rPr>
          <w:rFonts w:hint="default" w:ascii="宋体" w:hAnsi="宋体" w:eastAsia="宋体" w:cs="宋体"/>
          <w:color w:val="000000"/>
          <w:kern w:val="0"/>
          <w:sz w:val="28"/>
          <w:szCs w:val="28"/>
          <w:highlight w:val="none"/>
          <w:lang w:val="en-US" w:eastAsia="zh-CN" w:bidi="ar"/>
        </w:rPr>
        <w:t>GB 2762-20</w:t>
      </w:r>
      <w:r>
        <w:rPr>
          <w:rFonts w:hint="eastAsia" w:ascii="宋体" w:hAnsi="宋体" w:eastAsia="宋体" w:cs="宋体"/>
          <w:color w:val="000000"/>
          <w:kern w:val="0"/>
          <w:sz w:val="28"/>
          <w:szCs w:val="28"/>
          <w:highlight w:val="none"/>
          <w:lang w:val="en-US" w:eastAsia="zh-CN" w:bidi="ar"/>
        </w:rPr>
        <w:t>22）</w:t>
      </w:r>
      <w:r>
        <w:rPr>
          <w:rFonts w:hint="eastAsia" w:ascii="宋体" w:hAnsi="宋体" w:cs="宋体"/>
          <w:color w:val="000000"/>
          <w:kern w:val="0"/>
          <w:sz w:val="28"/>
          <w:szCs w:val="28"/>
          <w:highlight w:val="none"/>
          <w:lang w:val="en-US" w:eastAsia="zh-CN" w:bidi="ar"/>
        </w:rPr>
        <w:t>中</w:t>
      </w:r>
      <w:r>
        <w:rPr>
          <w:rFonts w:hint="eastAsia" w:ascii="宋体" w:hAnsi="宋体" w:eastAsia="宋体" w:cs="宋体"/>
          <w:color w:val="000000"/>
          <w:kern w:val="0"/>
          <w:sz w:val="28"/>
          <w:szCs w:val="28"/>
          <w:highlight w:val="none"/>
          <w:lang w:val="en-US" w:eastAsia="zh-CN" w:bidi="ar"/>
        </w:rPr>
        <w:t>蔬菜及其制品相关污染物限量指标值的要求</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《食品安全国家标准 食品中农药最大残留限量》（GB 2763-2021）、《流苏花》（DBS14/006-2023）、《茉莉花》(DBS45/079-2024)、《地理标志产品 怀菊花》（GB/T 20353-2006）、《干制铁皮石斛花》（DBS53/030-2021）、《金钗石斛花》（DBS52/049-2021）、《干制黄芪花》（DBS23/006-2019）、《干制三七花》（DBS53/023-2017）、《干制文冠果叶（花）》（DBS13/017-2023）、《金银花》（DBS62/005</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2020）、《干制金莲花》（DBS13/015</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2021）、《金花茶花》（DBS45/069</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2020）、《鸡蛋花》（DBS44/018</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2022）、《地理标志产品 淮阳黄花菜》（DB41/T 613-2024）</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《中国植物志》牡丹木槿花的品种鉴定</w:t>
      </w:r>
      <w:r>
        <w:rPr>
          <w:rFonts w:hint="eastAsia" w:ascii="宋体" w:hAnsi="宋体" w:cs="宋体"/>
          <w:color w:val="000000"/>
          <w:kern w:val="0"/>
          <w:sz w:val="28"/>
          <w:szCs w:val="28"/>
          <w:highlight w:val="none"/>
          <w:lang w:val="en-US" w:eastAsia="zh-CN" w:bidi="ar"/>
        </w:rPr>
        <w:t>、</w:t>
      </w:r>
      <w:r>
        <w:rPr>
          <w:rFonts w:hint="eastAsia" w:ascii="宋体" w:hAnsi="宋体" w:eastAsia="宋体" w:cs="宋体"/>
          <w:color w:val="000000"/>
          <w:kern w:val="0"/>
          <w:sz w:val="28"/>
          <w:szCs w:val="28"/>
          <w:highlight w:val="none"/>
          <w:lang w:val="en-US" w:eastAsia="zh-CN" w:bidi="ar"/>
        </w:rPr>
        <w:t>《关于弯曲乳杆菌等24种“三新食品”的公告》（2019年第2号）中“枇杷花”</w:t>
      </w:r>
      <w:r>
        <w:rPr>
          <w:rFonts w:hint="eastAsia" w:ascii="宋体" w:hAnsi="宋体" w:cs="宋体"/>
          <w:color w:val="000000"/>
          <w:kern w:val="0"/>
          <w:sz w:val="28"/>
          <w:szCs w:val="28"/>
          <w:highlight w:val="none"/>
          <w:lang w:val="en-US" w:eastAsia="zh-CN" w:bidi="ar"/>
        </w:rPr>
        <w:t>作</w:t>
      </w:r>
      <w:r>
        <w:rPr>
          <w:rFonts w:hint="eastAsia" w:ascii="宋体" w:hAnsi="宋体" w:eastAsia="宋体" w:cs="宋体"/>
          <w:color w:val="000000"/>
          <w:kern w:val="0"/>
          <w:sz w:val="28"/>
          <w:szCs w:val="28"/>
          <w:highlight w:val="none"/>
          <w:lang w:val="en-US" w:eastAsia="zh-CN" w:bidi="ar"/>
        </w:rPr>
        <w:t>为新食品原料所规定的有关要求</w:t>
      </w:r>
      <w:r>
        <w:rPr>
          <w:rFonts w:hint="eastAsia" w:ascii="宋体" w:hAnsi="宋体" w:cs="宋体"/>
          <w:color w:val="000000"/>
          <w:kern w:val="0"/>
          <w:sz w:val="28"/>
          <w:szCs w:val="28"/>
          <w:highlight w:val="none"/>
          <w:lang w:val="en-US" w:eastAsia="zh-CN" w:bidi="ar"/>
        </w:rPr>
        <w:t>等</w:t>
      </w:r>
      <w:r>
        <w:rPr>
          <w:rFonts w:hint="eastAsia" w:ascii="宋体" w:hAnsi="宋体" w:eastAsia="宋体" w:cs="宋体"/>
          <w:color w:val="000000"/>
          <w:kern w:val="0"/>
          <w:sz w:val="28"/>
          <w:szCs w:val="28"/>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宋体" w:hAnsi="宋体" w:eastAsia="宋体" w:cs="宋体"/>
          <w:color w:val="000000"/>
          <w:kern w:val="0"/>
          <w:sz w:val="28"/>
          <w:szCs w:val="28"/>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after="0" w:line="360" w:lineRule="auto"/>
        <w:ind w:right="346" w:firstLine="560" w:firstLineChars="200"/>
        <w:jc w:val="both"/>
        <w:textAlignment w:val="auto"/>
        <w:rPr>
          <w:rFonts w:hint="eastAsia" w:ascii="宋体" w:hAnsi="宋体" w:eastAsia="宋体" w:cs="宋体"/>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360" w:lineRule="auto"/>
        <w:ind w:right="346" w:firstLine="360" w:firstLineChars="200"/>
        <w:jc w:val="both"/>
        <w:textAlignment w:val="auto"/>
        <w:rPr>
          <w:rFonts w:hint="eastAsia" w:ascii="黑体" w:hAnsi="黑体" w:eastAsia="黑体" w:cs="黑体"/>
          <w:kern w:val="0"/>
          <w:sz w:val="18"/>
          <w:szCs w:val="18"/>
          <w:highlight w:val="none"/>
          <w:lang w:eastAsia="zh-CN" w:bidi="ar"/>
        </w:rPr>
      </w:pPr>
    </w:p>
    <w:p>
      <w:pPr>
        <w:keepNext w:val="0"/>
        <w:keepLines w:val="0"/>
        <w:pageBreakBefore w:val="0"/>
        <w:widowControl w:val="0"/>
        <w:kinsoku/>
        <w:wordWrap/>
        <w:overflowPunct/>
        <w:topLinePunct w:val="0"/>
        <w:autoSpaceDE/>
        <w:autoSpaceDN/>
        <w:bidi w:val="0"/>
        <w:adjustRightInd/>
        <w:snapToGrid/>
        <w:spacing w:after="0" w:line="360" w:lineRule="auto"/>
        <w:ind w:right="346" w:firstLine="360" w:firstLineChars="200"/>
        <w:jc w:val="both"/>
        <w:textAlignment w:val="auto"/>
        <w:rPr>
          <w:rFonts w:hint="eastAsia" w:ascii="黑体" w:hAnsi="黑体" w:eastAsia="黑体" w:cs="黑体"/>
          <w:kern w:val="0"/>
          <w:sz w:val="18"/>
          <w:szCs w:val="18"/>
          <w:highlight w:val="none"/>
          <w:lang w:eastAsia="zh-CN" w:bidi="ar"/>
        </w:rPr>
      </w:pPr>
    </w:p>
    <w:p>
      <w:pPr>
        <w:keepNext w:val="0"/>
        <w:keepLines w:val="0"/>
        <w:pageBreakBefore w:val="0"/>
        <w:widowControl w:val="0"/>
        <w:kinsoku/>
        <w:wordWrap/>
        <w:overflowPunct/>
        <w:topLinePunct w:val="0"/>
        <w:autoSpaceDE/>
        <w:autoSpaceDN/>
        <w:bidi w:val="0"/>
        <w:adjustRightInd/>
        <w:snapToGrid/>
        <w:spacing w:after="0" w:line="360" w:lineRule="auto"/>
        <w:ind w:right="346" w:firstLine="320" w:firstLineChars="200"/>
        <w:jc w:val="both"/>
        <w:textAlignment w:val="auto"/>
        <w:rPr>
          <w:rFonts w:hint="eastAsia" w:ascii="宋体" w:hAnsi="宋体" w:eastAsia="宋体" w:cs="宋体"/>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kern w:val="0"/>
          <w:sz w:val="16"/>
          <w:szCs w:val="16"/>
          <w:highlight w:val="none"/>
          <w:lang w:eastAsia="zh-CN" w:bidi="ar"/>
        </w:rPr>
        <w:t>）</w:t>
      </w:r>
    </w:p>
    <w:p>
      <w:pPr>
        <w:keepNext w:val="0"/>
        <w:keepLines w:val="0"/>
        <w:pageBreakBefore w:val="0"/>
        <w:widowControl w:val="0"/>
        <w:kinsoku/>
        <w:wordWrap/>
        <w:overflowPunct/>
        <w:topLinePunct w:val="0"/>
        <w:autoSpaceDE/>
        <w:autoSpaceDN/>
        <w:bidi w:val="0"/>
        <w:adjustRightInd/>
        <w:snapToGrid/>
        <w:spacing w:after="0" w:line="360" w:lineRule="auto"/>
        <w:ind w:right="346" w:firstLine="480" w:firstLineChars="200"/>
        <w:jc w:val="both"/>
        <w:textAlignment w:val="auto"/>
        <w:rPr>
          <w:rFonts w:hint="default" w:ascii="宋体" w:hAnsi="宋体" w:eastAsia="宋体" w:cs="宋体"/>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1312" behindDoc="1" locked="0" layoutInCell="1" allowOverlap="1">
            <wp:simplePos x="0" y="0"/>
            <wp:positionH relativeFrom="column">
              <wp:posOffset>236855</wp:posOffset>
            </wp:positionH>
            <wp:positionV relativeFrom="paragraph">
              <wp:posOffset>7047865</wp:posOffset>
            </wp:positionV>
            <wp:extent cx="5071110" cy="1993900"/>
            <wp:effectExtent l="0" t="0" r="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rcRect b="22200"/>
                    <a:stretch>
                      <a:fillRect/>
                    </a:stretch>
                  </pic:blipFill>
                  <pic:spPr>
                    <a:xfrm>
                      <a:off x="0" y="0"/>
                      <a:ext cx="5071110" cy="199390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-249555</wp:posOffset>
            </wp:positionH>
            <wp:positionV relativeFrom="paragraph">
              <wp:posOffset>401955</wp:posOffset>
            </wp:positionV>
            <wp:extent cx="5851525" cy="6849745"/>
            <wp:effectExtent l="0" t="0" r="635" b="8255"/>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5851525" cy="6849745"/>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附录一：</w:t>
      </w:r>
    </w:p>
    <w:p>
      <w:pPr>
        <w:keepNext w:val="0"/>
        <w:keepLines w:val="0"/>
        <w:pageBreakBefore w:val="0"/>
        <w:widowControl w:val="0"/>
        <w:kinsoku/>
        <w:wordWrap/>
        <w:overflowPunct/>
        <w:topLinePunct w:val="0"/>
        <w:autoSpaceDE/>
        <w:autoSpaceDN/>
        <w:bidi w:val="0"/>
        <w:adjustRightInd/>
        <w:snapToGrid/>
        <w:spacing w:after="0" w:line="360" w:lineRule="auto"/>
        <w:ind w:right="346" w:firstLine="480" w:firstLineChars="200"/>
        <w:jc w:val="both"/>
        <w:textAlignment w:val="auto"/>
        <w:rPr>
          <w:rFonts w:hint="default" w:ascii="宋体" w:hAnsi="宋体" w:eastAsia="宋体" w:cs="宋体"/>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2336" behindDoc="1" locked="0" layoutInCell="1" allowOverlap="1">
            <wp:simplePos x="0" y="0"/>
            <wp:positionH relativeFrom="column">
              <wp:posOffset>-423545</wp:posOffset>
            </wp:positionH>
            <wp:positionV relativeFrom="paragraph">
              <wp:posOffset>363855</wp:posOffset>
            </wp:positionV>
            <wp:extent cx="6061075" cy="7565390"/>
            <wp:effectExtent l="0" t="0" r="4445" b="889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6061075" cy="7565390"/>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附录二：</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-592455</wp:posOffset>
            </wp:positionH>
            <wp:positionV relativeFrom="page">
              <wp:posOffset>1319530</wp:posOffset>
            </wp:positionV>
            <wp:extent cx="6315710" cy="8634095"/>
            <wp:effectExtent l="0" t="0" r="8890" b="698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6315710" cy="8634095"/>
                    </a:xfrm>
                    <a:prstGeom prst="rect">
                      <a:avLst/>
                    </a:prstGeom>
                    <a:noFill/>
                    <a:ln>
                      <a:noFill/>
                    </a:ln>
                  </pic:spPr>
                </pic:pic>
              </a:graphicData>
            </a:graphic>
          </wp:anchor>
        </w:drawing>
      </w:r>
      <w:r>
        <w:rPr>
          <w:rFonts w:hint="eastAsia" w:ascii="宋体" w:hAnsi="宋体" w:cs="宋体"/>
          <w:kern w:val="2"/>
          <w:sz w:val="28"/>
          <w:szCs w:val="28"/>
          <w:highlight w:val="none"/>
          <w:lang w:val="en-US" w:eastAsia="zh-CN" w:bidi="ar-SA"/>
        </w:rPr>
        <w:t>附录三：</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cs="宋体"/>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-223520</wp:posOffset>
            </wp:positionH>
            <wp:positionV relativeFrom="page">
              <wp:posOffset>1172845</wp:posOffset>
            </wp:positionV>
            <wp:extent cx="5715000" cy="6273800"/>
            <wp:effectExtent l="0" t="0" r="0" b="508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715000" cy="62738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cs="宋体"/>
          <w:kern w:val="2"/>
          <w:sz w:val="28"/>
          <w:szCs w:val="28"/>
          <w:highlight w:val="none"/>
          <w:lang w:val="en-US" w:eastAsia="zh-CN" w:bidi="ar-SA"/>
        </w:rPr>
      </w:pPr>
      <w:r>
        <w:drawing>
          <wp:anchor distT="0" distB="0" distL="114300" distR="114300" simplePos="0" relativeHeight="251664384" behindDoc="0" locked="0" layoutInCell="1" allowOverlap="1">
            <wp:simplePos x="0" y="0"/>
            <wp:positionH relativeFrom="column">
              <wp:posOffset>-1083310</wp:posOffset>
            </wp:positionH>
            <wp:positionV relativeFrom="paragraph">
              <wp:posOffset>-769620</wp:posOffset>
            </wp:positionV>
            <wp:extent cx="7272020" cy="9768205"/>
            <wp:effectExtent l="0" t="0" r="12700" b="635"/>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7272020" cy="976820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BED4D1"/>
    <w:multiLevelType w:val="multilevel"/>
    <w:tmpl w:val="CCBED4D1"/>
    <w:lvl w:ilvl="0" w:tentative="0">
      <w:start w:val="1"/>
      <w:numFmt w:val="japaneseCounting"/>
      <w:pStyle w:val="30"/>
      <w:lvlText w:val="%1、"/>
      <w:lvlJc w:val="left"/>
      <w:pPr>
        <w:ind w:left="1136" w:hanging="576"/>
      </w:pPr>
      <w:rPr>
        <w:rFonts w:hint="eastAsia"/>
      </w:rPr>
    </w:lvl>
    <w:lvl w:ilvl="1" w:tentative="0">
      <w:start w:val="1"/>
      <w:numFmt w:val="lowerLetter"/>
      <w:lvlText w:val="%2)"/>
      <w:lvlJc w:val="left"/>
      <w:pPr>
        <w:ind w:left="1400" w:hanging="420"/>
      </w:pPr>
      <w:rPr>
        <w:rFonts w:hint="eastAsia"/>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1">
    <w:nsid w:val="E3D719EB"/>
    <w:multiLevelType w:val="singleLevel"/>
    <w:tmpl w:val="E3D719EB"/>
    <w:lvl w:ilvl="0" w:tentative="0">
      <w:start w:val="2"/>
      <w:numFmt w:val="decimal"/>
      <w:lvlText w:val="%1."/>
      <w:lvlJc w:val="left"/>
      <w:pPr>
        <w:tabs>
          <w:tab w:val="left" w:pos="312"/>
        </w:tabs>
      </w:pPr>
    </w:lvl>
  </w:abstractNum>
  <w:abstractNum w:abstractNumId="2">
    <w:nsid w:val="F47D9474"/>
    <w:multiLevelType w:val="singleLevel"/>
    <w:tmpl w:val="F47D9474"/>
    <w:lvl w:ilvl="0" w:tentative="0">
      <w:start w:val="1"/>
      <w:numFmt w:val="decimal"/>
      <w:lvlText w:val="%1"/>
      <w:lvlJc w:val="left"/>
      <w:pPr>
        <w:tabs>
          <w:tab w:val="left" w:pos="420"/>
        </w:tabs>
        <w:ind w:left="425" w:hanging="425"/>
      </w:pPr>
      <w:rPr>
        <w:rFonts w:hint="default" w:ascii="黑体" w:hAnsi="黑体" w:eastAsia="黑体" w:cs="黑体"/>
      </w:rPr>
    </w:lvl>
  </w:abstractNum>
  <w:abstractNum w:abstractNumId="3">
    <w:nsid w:val="16420455"/>
    <w:multiLevelType w:val="singleLevel"/>
    <w:tmpl w:val="16420455"/>
    <w:lvl w:ilvl="0" w:tentative="0">
      <w:start w:val="1"/>
      <w:numFmt w:val="chineseCounting"/>
      <w:pStyle w:val="31"/>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Y2RhZGEzNzQ0ZmYwNzIyNjc4NDJlN2NhNjM5MWEifQ=="/>
  </w:docVars>
  <w:rsids>
    <w:rsidRoot w:val="00000000"/>
    <w:rsid w:val="010A1426"/>
    <w:rsid w:val="022311A6"/>
    <w:rsid w:val="038A3BB3"/>
    <w:rsid w:val="04995BC6"/>
    <w:rsid w:val="05421A68"/>
    <w:rsid w:val="08B316A5"/>
    <w:rsid w:val="0A175F9F"/>
    <w:rsid w:val="0EEE39E8"/>
    <w:rsid w:val="124F5C67"/>
    <w:rsid w:val="136924B5"/>
    <w:rsid w:val="140E139C"/>
    <w:rsid w:val="15A83398"/>
    <w:rsid w:val="16767328"/>
    <w:rsid w:val="1A5C1B0C"/>
    <w:rsid w:val="1CD24F6B"/>
    <w:rsid w:val="1E793D07"/>
    <w:rsid w:val="22BB7F06"/>
    <w:rsid w:val="2A8B517D"/>
    <w:rsid w:val="2C724553"/>
    <w:rsid w:val="2FBD0A96"/>
    <w:rsid w:val="30755827"/>
    <w:rsid w:val="38366B33"/>
    <w:rsid w:val="38BF61AA"/>
    <w:rsid w:val="38EC7DF5"/>
    <w:rsid w:val="3CBD6EDF"/>
    <w:rsid w:val="3D5C0682"/>
    <w:rsid w:val="3E380269"/>
    <w:rsid w:val="3E83357E"/>
    <w:rsid w:val="434814AD"/>
    <w:rsid w:val="472351FF"/>
    <w:rsid w:val="49D07E3B"/>
    <w:rsid w:val="4B52775B"/>
    <w:rsid w:val="4C2F52B8"/>
    <w:rsid w:val="4EEC7394"/>
    <w:rsid w:val="4FC70CE3"/>
    <w:rsid w:val="4FDB3478"/>
    <w:rsid w:val="4FE0099B"/>
    <w:rsid w:val="50747381"/>
    <w:rsid w:val="5423153A"/>
    <w:rsid w:val="54E62EE2"/>
    <w:rsid w:val="56FC04D0"/>
    <w:rsid w:val="5D243653"/>
    <w:rsid w:val="602A2D2E"/>
    <w:rsid w:val="61A8009E"/>
    <w:rsid w:val="640C113B"/>
    <w:rsid w:val="659B79AA"/>
    <w:rsid w:val="66BD361A"/>
    <w:rsid w:val="6AD050CC"/>
    <w:rsid w:val="6DB225B5"/>
    <w:rsid w:val="6EE215DB"/>
    <w:rsid w:val="74522F2B"/>
    <w:rsid w:val="7C632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6">
    <w:name w:val="caption"/>
    <w:next w:val="1"/>
    <w:unhideWhenUsed/>
    <w:qFormat/>
    <w:uiPriority w:val="0"/>
    <w:pPr>
      <w:widowControl w:val="0"/>
      <w:jc w:val="both"/>
    </w:pPr>
    <w:rPr>
      <w:rFonts w:ascii="Arial" w:hAnsi="Arial" w:eastAsia="黑体" w:cs="Times New Roman"/>
      <w:kern w:val="2"/>
      <w:sz w:val="20"/>
      <w:szCs w:val="24"/>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link w:val="24"/>
    <w:qFormat/>
    <w:uiPriority w:val="0"/>
    <w:pPr>
      <w:wordWrap w:val="0"/>
      <w:snapToGrid w:val="0"/>
    </w:pPr>
    <w:rPr>
      <w:rFonts w:ascii="仿宋" w:hAnsi="仿宋" w:eastAsia="仿宋" w:cs="Times New Roman"/>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484848"/>
      <w:u w:val="none"/>
    </w:rPr>
  </w:style>
  <w:style w:type="character" w:styleId="15">
    <w:name w:val="Hyperlink"/>
    <w:basedOn w:val="13"/>
    <w:qFormat/>
    <w:uiPriority w:val="0"/>
    <w:rPr>
      <w:color w:val="484848"/>
      <w:u w:val="none"/>
    </w:rPr>
  </w:style>
  <w:style w:type="character" w:styleId="16">
    <w:name w:val="footnote reference"/>
    <w:qFormat/>
    <w:uiPriority w:val="0"/>
    <w:rPr>
      <w:vertAlign w:val="superscript"/>
    </w:rPr>
  </w:style>
  <w:style w:type="paragraph" w:customStyle="1" w:styleId="17">
    <w:name w:val="正文文"/>
    <w:basedOn w:val="1"/>
    <w:qFormat/>
    <w:uiPriority w:val="0"/>
    <w:pPr>
      <w:spacing w:line="360" w:lineRule="auto"/>
      <w:ind w:firstLine="480" w:firstLineChars="200"/>
      <w:jc w:val="both"/>
    </w:pPr>
    <w:rPr>
      <w:rFonts w:hint="default" w:asciiTheme="minorAscii" w:hAnsiTheme="minorAscii" w:eastAsiaTheme="minorEastAsia" w:cstheme="minorEastAsia"/>
      <w:sz w:val="24"/>
      <w:szCs w:val="24"/>
    </w:rPr>
  </w:style>
  <w:style w:type="paragraph" w:customStyle="1" w:styleId="18">
    <w:name w:val="一级"/>
    <w:next w:val="1"/>
    <w:qFormat/>
    <w:uiPriority w:val="0"/>
    <w:pPr>
      <w:spacing w:line="360" w:lineRule="auto"/>
      <w:jc w:val="center"/>
      <w:outlineLvl w:val="0"/>
    </w:pPr>
    <w:rPr>
      <w:rFonts w:hint="eastAsia" w:ascii="黑体" w:hAnsi="黑体" w:eastAsia="黑体" w:cs="黑体"/>
      <w:bCs/>
      <w:color w:val="auto"/>
      <w:sz w:val="32"/>
      <w:szCs w:val="30"/>
    </w:rPr>
  </w:style>
  <w:style w:type="paragraph" w:customStyle="1" w:styleId="19">
    <w:name w:val="二级"/>
    <w:next w:val="1"/>
    <w:qFormat/>
    <w:uiPriority w:val="0"/>
    <w:pPr>
      <w:spacing w:line="360" w:lineRule="auto"/>
      <w:jc w:val="center"/>
      <w:outlineLvl w:val="1"/>
    </w:pPr>
    <w:rPr>
      <w:rFonts w:hint="eastAsia" w:ascii="黑体" w:hAnsi="黑体" w:eastAsia="黑体" w:cs="黑体"/>
      <w:bCs/>
      <w:color w:val="auto"/>
      <w:sz w:val="30"/>
      <w:szCs w:val="30"/>
    </w:rPr>
  </w:style>
  <w:style w:type="paragraph" w:customStyle="1" w:styleId="20">
    <w:name w:val="三级"/>
    <w:basedOn w:val="1"/>
    <w:next w:val="1"/>
    <w:link w:val="21"/>
    <w:qFormat/>
    <w:uiPriority w:val="0"/>
    <w:pPr>
      <w:spacing w:line="360" w:lineRule="auto"/>
      <w:outlineLvl w:val="2"/>
    </w:pPr>
    <w:rPr>
      <w:rFonts w:hint="eastAsia" w:ascii="黑体" w:hAnsi="黑体" w:eastAsia="黑体" w:cs="黑体"/>
      <w:bCs/>
      <w:color w:val="auto"/>
      <w:sz w:val="28"/>
      <w:szCs w:val="30"/>
    </w:rPr>
  </w:style>
  <w:style w:type="character" w:customStyle="1" w:styleId="21">
    <w:name w:val="三级 Char"/>
    <w:link w:val="20"/>
    <w:qFormat/>
    <w:uiPriority w:val="0"/>
    <w:rPr>
      <w:rFonts w:hint="eastAsia" w:ascii="黑体" w:hAnsi="黑体" w:eastAsia="黑体" w:cs="黑体"/>
      <w:bCs/>
      <w:color w:val="auto"/>
      <w:sz w:val="28"/>
      <w:szCs w:val="30"/>
    </w:rPr>
  </w:style>
  <w:style w:type="paragraph" w:customStyle="1" w:styleId="22">
    <w:name w:val="四级"/>
    <w:basedOn w:val="1"/>
    <w:next w:val="1"/>
    <w:link w:val="23"/>
    <w:qFormat/>
    <w:uiPriority w:val="0"/>
    <w:pPr>
      <w:spacing w:line="360" w:lineRule="auto"/>
      <w:outlineLvl w:val="3"/>
    </w:pPr>
    <w:rPr>
      <w:rFonts w:hint="eastAsia" w:ascii="黑体" w:hAnsi="黑体" w:eastAsia="楷体" w:cs="黑体"/>
      <w:bCs/>
      <w:color w:val="auto"/>
      <w:sz w:val="28"/>
      <w:szCs w:val="30"/>
    </w:rPr>
  </w:style>
  <w:style w:type="character" w:customStyle="1" w:styleId="23">
    <w:name w:val="四级 Char"/>
    <w:link w:val="22"/>
    <w:qFormat/>
    <w:uiPriority w:val="0"/>
    <w:rPr>
      <w:rFonts w:hint="eastAsia" w:ascii="黑体" w:hAnsi="黑体" w:eastAsia="楷体" w:cs="黑体"/>
      <w:bCs/>
      <w:color w:val="auto"/>
      <w:sz w:val="28"/>
      <w:szCs w:val="30"/>
    </w:rPr>
  </w:style>
  <w:style w:type="character" w:customStyle="1" w:styleId="24">
    <w:name w:val="脚注文本 字符"/>
    <w:basedOn w:val="13"/>
    <w:link w:val="9"/>
    <w:qFormat/>
    <w:uiPriority w:val="0"/>
    <w:rPr>
      <w:rFonts w:ascii="仿宋" w:hAnsi="仿宋" w:eastAsia="仿宋" w:cs="Times New Roman"/>
      <w:kern w:val="2"/>
      <w:sz w:val="18"/>
      <w:szCs w:val="18"/>
    </w:rPr>
  </w:style>
  <w:style w:type="paragraph" w:customStyle="1" w:styleId="25">
    <w:name w:val="脚注"/>
    <w:next w:val="1"/>
    <w:qFormat/>
    <w:uiPriority w:val="0"/>
    <w:pPr>
      <w:snapToGrid w:val="0"/>
      <w:jc w:val="left"/>
    </w:pPr>
    <w:rPr>
      <w:rFonts w:ascii="Times New Roman" w:hAnsi="Times New Roman" w:eastAsia="楷体" w:cstheme="minorBidi"/>
      <w:sz w:val="21"/>
    </w:rPr>
  </w:style>
  <w:style w:type="paragraph" w:customStyle="1" w:styleId="26">
    <w:name w:val="题注标题"/>
    <w:next w:val="1"/>
    <w:qFormat/>
    <w:uiPriority w:val="0"/>
    <w:pPr>
      <w:spacing w:line="360" w:lineRule="auto"/>
      <w:jc w:val="center"/>
    </w:pPr>
    <w:rPr>
      <w:rFonts w:ascii="Times New Roman" w:hAnsi="Times New Roman" w:eastAsia="楷体" w:cstheme="minorBidi"/>
      <w:sz w:val="21"/>
    </w:rPr>
  </w:style>
  <w:style w:type="paragraph" w:customStyle="1" w:styleId="27">
    <w:name w:val="一级标题"/>
    <w:next w:val="1"/>
    <w:qFormat/>
    <w:uiPriority w:val="0"/>
    <w:pPr>
      <w:keepNext/>
      <w:keepLines/>
      <w:spacing w:before="100" w:beforeLines="100" w:after="100" w:afterLines="100" w:line="360" w:lineRule="auto"/>
      <w:ind w:firstLine="0" w:firstLineChars="0"/>
      <w:jc w:val="center"/>
      <w:outlineLvl w:val="0"/>
    </w:pPr>
    <w:rPr>
      <w:rFonts w:ascii="Times New Roman" w:hAnsi="Times New Roman" w:eastAsia="黑体" w:cs="Times New Roman"/>
      <w:kern w:val="44"/>
      <w:sz w:val="32"/>
      <w:szCs w:val="44"/>
    </w:rPr>
  </w:style>
  <w:style w:type="paragraph" w:customStyle="1" w:styleId="28">
    <w:name w:val="一级标题-x"/>
    <w:next w:val="1"/>
    <w:qFormat/>
    <w:uiPriority w:val="0"/>
    <w:pPr>
      <w:keepNext/>
      <w:keepLines/>
      <w:spacing w:line="360" w:lineRule="auto"/>
      <w:ind w:firstLine="0"/>
      <w:jc w:val="center"/>
      <w:outlineLvl w:val="1"/>
    </w:pPr>
    <w:rPr>
      <w:rFonts w:ascii="Times New Roman" w:hAnsi="Times New Roman" w:eastAsia="黑体" w:cs="Times New Roman"/>
      <w:sz w:val="30"/>
      <w:szCs w:val="32"/>
    </w:rPr>
  </w:style>
  <w:style w:type="paragraph" w:customStyle="1" w:styleId="29">
    <w:name w:val="二级标题"/>
    <w:next w:val="1"/>
    <w:qFormat/>
    <w:uiPriority w:val="0"/>
    <w:pPr>
      <w:keepNext/>
      <w:keepLines/>
      <w:spacing w:before="100" w:beforeLines="100" w:after="100" w:afterLines="100" w:line="360" w:lineRule="auto"/>
      <w:ind w:firstLine="0"/>
      <w:jc w:val="center"/>
      <w:outlineLvl w:val="1"/>
    </w:pPr>
    <w:rPr>
      <w:rFonts w:ascii="Times New Roman" w:hAnsi="Times New Roman" w:eastAsia="黑体" w:cs="Times New Roman"/>
      <w:sz w:val="30"/>
      <w:szCs w:val="32"/>
    </w:rPr>
  </w:style>
  <w:style w:type="paragraph" w:customStyle="1" w:styleId="30">
    <w:name w:val="三级标题"/>
    <w:next w:val="1"/>
    <w:qFormat/>
    <w:uiPriority w:val="0"/>
    <w:pPr>
      <w:keepNext/>
      <w:keepLines/>
      <w:numPr>
        <w:ilvl w:val="0"/>
        <w:numId w:val="1"/>
      </w:numPr>
      <w:spacing w:line="360" w:lineRule="auto"/>
      <w:ind w:left="0" w:firstLine="0" w:firstLineChars="0"/>
      <w:jc w:val="left"/>
      <w:outlineLvl w:val="2"/>
    </w:pPr>
    <w:rPr>
      <w:rFonts w:ascii="Times New Roman" w:hAnsi="Times New Roman" w:eastAsia="黑体" w:cs="Times New Roman"/>
      <w:bCs/>
      <w:sz w:val="28"/>
      <w:szCs w:val="32"/>
    </w:rPr>
  </w:style>
  <w:style w:type="paragraph" w:customStyle="1" w:styleId="31">
    <w:name w:val="四级标题"/>
    <w:basedOn w:val="1"/>
    <w:next w:val="1"/>
    <w:qFormat/>
    <w:uiPriority w:val="0"/>
    <w:pPr>
      <w:numPr>
        <w:ilvl w:val="0"/>
        <w:numId w:val="2"/>
      </w:numPr>
      <w:ind w:firstLine="480"/>
      <w:outlineLvl w:val="3"/>
    </w:pPr>
    <w:rPr>
      <w:rFonts w:eastAsia="楷体" w:cs="Times New Roman"/>
    </w:rPr>
  </w:style>
  <w:style w:type="paragraph" w:customStyle="1" w:styleId="32">
    <w:name w:val="题注引用"/>
    <w:next w:val="1"/>
    <w:qFormat/>
    <w:uiPriority w:val="0"/>
    <w:pPr>
      <w:spacing w:line="360" w:lineRule="auto"/>
      <w:ind w:firstLine="0" w:firstLineChars="0"/>
      <w:jc w:val="center"/>
    </w:pPr>
    <w:rPr>
      <w:rFonts w:ascii="Times New Roman" w:hAnsi="Times New Roman" w:eastAsia="楷体" w:cstheme="minorBidi"/>
      <w:sz w:val="21"/>
    </w:rPr>
  </w:style>
  <w:style w:type="paragraph" w:customStyle="1" w:styleId="33">
    <w:name w:val="题注引用x"/>
    <w:next w:val="1"/>
    <w:qFormat/>
    <w:uiPriority w:val="0"/>
    <w:pPr>
      <w:spacing w:line="360" w:lineRule="auto"/>
      <w:jc w:val="center"/>
    </w:pPr>
    <w:rPr>
      <w:rFonts w:ascii="Times New Roman" w:hAnsi="Times New Roman" w:eastAsia="楷体" w:cstheme="minorBidi"/>
      <w:sz w:val="21"/>
    </w:rPr>
  </w:style>
  <w:style w:type="paragraph" w:customStyle="1" w:styleId="34">
    <w:name w:val="脚注x"/>
    <w:next w:val="1"/>
    <w:qFormat/>
    <w:uiPriority w:val="0"/>
    <w:pPr>
      <w:spacing w:line="240" w:lineRule="auto"/>
      <w:ind w:firstLine="0" w:firstLineChars="0"/>
      <w:jc w:val="left"/>
    </w:pPr>
    <w:rPr>
      <w:rFonts w:ascii="Times New Roman" w:hAnsi="Times New Roman" w:eastAsia="楷体" w:cstheme="minorBidi"/>
      <w:sz w:val="21"/>
    </w:rPr>
  </w:style>
  <w:style w:type="paragraph" w:customStyle="1" w:styleId="35">
    <w:name w:val="节标题"/>
    <w:basedOn w:val="1"/>
    <w:link w:val="36"/>
    <w:qFormat/>
    <w:uiPriority w:val="0"/>
    <w:pPr>
      <w:spacing w:before="100" w:beforeLines="100" w:after="100" w:afterLines="100"/>
      <w:jc w:val="center"/>
    </w:pPr>
    <w:rPr>
      <w:rFonts w:ascii="Calibri" w:hAnsi="Calibri" w:eastAsia="黑体" w:cs="Times New Roman"/>
      <w:sz w:val="30"/>
      <w:szCs w:val="24"/>
    </w:rPr>
  </w:style>
  <w:style w:type="character" w:customStyle="1" w:styleId="36">
    <w:name w:val="节标题 Char"/>
    <w:link w:val="35"/>
    <w:qFormat/>
    <w:uiPriority w:val="0"/>
    <w:rPr>
      <w:rFonts w:ascii="Calibri" w:hAnsi="Calibri" w:eastAsia="黑体" w:cs="Times New Roman"/>
      <w:sz w:val="30"/>
      <w:szCs w:val="24"/>
    </w:rPr>
  </w:style>
  <w:style w:type="paragraph" w:customStyle="1" w:styleId="37">
    <w:name w:val="论文正文"/>
    <w:basedOn w:val="1"/>
    <w:link w:val="38"/>
    <w:qFormat/>
    <w:uiPriority w:val="0"/>
    <w:pPr>
      <w:spacing w:line="360" w:lineRule="auto"/>
      <w:ind w:firstLine="880" w:firstLineChars="200"/>
    </w:pPr>
    <w:rPr>
      <w:rFonts w:ascii="Times New Roman" w:hAnsi="Times New Roman" w:eastAsia="宋体" w:cs="Times New Roman"/>
      <w:sz w:val="24"/>
      <w:szCs w:val="24"/>
    </w:rPr>
  </w:style>
  <w:style w:type="character" w:customStyle="1" w:styleId="38">
    <w:name w:val="论文正文 Char"/>
    <w:link w:val="37"/>
    <w:qFormat/>
    <w:uiPriority w:val="0"/>
    <w:rPr>
      <w:rFonts w:ascii="Times New Roman" w:hAnsi="Times New Roman" w:eastAsia="宋体" w:cs="Times New Roman"/>
      <w:sz w:val="24"/>
      <w:szCs w:val="24"/>
    </w:rPr>
  </w:style>
  <w:style w:type="paragraph" w:customStyle="1" w:styleId="39">
    <w:name w:val="章标题"/>
    <w:next w:val="1"/>
    <w:link w:val="40"/>
    <w:qFormat/>
    <w:uiPriority w:val="0"/>
    <w:pPr>
      <w:spacing w:before="50" w:beforeLines="50" w:after="50" w:afterLines="50" w:line="360" w:lineRule="auto"/>
      <w:jc w:val="center"/>
      <w:outlineLvl w:val="0"/>
    </w:pPr>
    <w:rPr>
      <w:rFonts w:ascii="Times New Roman" w:hAnsi="Times New Roman" w:eastAsia="黑体" w:cstheme="minorBidi"/>
      <w:b/>
      <w:sz w:val="32"/>
    </w:rPr>
  </w:style>
  <w:style w:type="character" w:customStyle="1" w:styleId="40">
    <w:name w:val="章标题 Char"/>
    <w:link w:val="39"/>
    <w:qFormat/>
    <w:uiPriority w:val="0"/>
    <w:rPr>
      <w:rFonts w:ascii="Times New Roman" w:hAnsi="Times New Roman" w:eastAsia="黑体"/>
      <w:b/>
      <w:sz w:val="32"/>
    </w:rPr>
  </w:style>
  <w:style w:type="paragraph" w:customStyle="1" w:styleId="41">
    <w:name w:val="一级标题，论文格式"/>
    <w:basedOn w:val="2"/>
    <w:next w:val="1"/>
    <w:qFormat/>
    <w:uiPriority w:val="0"/>
    <w:pPr>
      <w:spacing w:line="360" w:lineRule="auto"/>
      <w:jc w:val="left"/>
    </w:pPr>
    <w:rPr>
      <w:rFonts w:hint="eastAsia" w:ascii="Calibri" w:hAnsi="Calibri" w:eastAsia="黑体" w:cs="Times New Roman"/>
      <w:b w:val="0"/>
      <w:bCs/>
      <w:sz w:val="32"/>
      <w:szCs w:val="28"/>
    </w:rPr>
  </w:style>
  <w:style w:type="paragraph" w:customStyle="1" w:styleId="42">
    <w:name w:val="二级标题，论文格式"/>
    <w:basedOn w:val="3"/>
    <w:next w:val="1"/>
    <w:qFormat/>
    <w:uiPriority w:val="0"/>
    <w:rPr>
      <w:rFonts w:hint="eastAsia" w:ascii="Calibri" w:hAnsi="Calibri" w:eastAsia="黑体" w:cs="Times New Roman"/>
      <w:snapToGrid w:val="0"/>
      <w:color w:val="000000"/>
      <w:kern w:val="0"/>
      <w:sz w:val="30"/>
      <w:szCs w:val="28"/>
    </w:rPr>
  </w:style>
  <w:style w:type="paragraph" w:customStyle="1" w:styleId="43">
    <w:name w:val="三级标题，论文格式"/>
    <w:basedOn w:val="4"/>
    <w:next w:val="1"/>
    <w:qFormat/>
    <w:uiPriority w:val="0"/>
    <w:pPr>
      <w:spacing w:line="240" w:lineRule="auto"/>
      <w:jc w:val="left"/>
    </w:pPr>
    <w:rPr>
      <w:rFonts w:hint="eastAsia" w:ascii="Calibri" w:hAnsi="Calibri" w:eastAsia="黑体" w:cs="Times New Roman"/>
      <w:b w:val="0"/>
      <w:sz w:val="28"/>
      <w:szCs w:val="28"/>
    </w:rPr>
  </w:style>
  <w:style w:type="paragraph" w:customStyle="1" w:styleId="44">
    <w:name w:val="正文，论文格式"/>
    <w:basedOn w:val="1"/>
    <w:qFormat/>
    <w:uiPriority w:val="0"/>
    <w:pPr>
      <w:pageBreakBefore w:val="0"/>
      <w:widowControl w:val="0"/>
      <w:wordWrap w:val="0"/>
      <w:ind w:left="0" w:leftChars="0" w:firstLine="562" w:firstLineChars="200"/>
      <w:jc w:val="left"/>
    </w:pPr>
    <w:rPr>
      <w:rFonts w:hint="eastAsia" w:ascii="Calibri" w:hAnsi="Calibri" w:eastAsia="宋体" w:cs="Times New Roman"/>
      <w:sz w:val="28"/>
      <w:szCs w:val="28"/>
    </w:rPr>
  </w:style>
  <w:style w:type="paragraph" w:customStyle="1" w:styleId="45">
    <w:name w:val="四级标题，论文格式"/>
    <w:basedOn w:val="5"/>
    <w:next w:val="1"/>
    <w:qFormat/>
    <w:uiPriority w:val="0"/>
    <w:pPr>
      <w:spacing w:line="240" w:lineRule="auto"/>
      <w:jc w:val="left"/>
    </w:pPr>
    <w:rPr>
      <w:rFonts w:ascii="Arial" w:hAnsi="Arial" w:eastAsia="楷体" w:cs="Times New Roman"/>
      <w:b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5640</Words>
  <Characters>8230</Characters>
  <Lines>0</Lines>
  <Paragraphs>0</Paragraphs>
  <TotalTime>22</TotalTime>
  <ScaleCrop>false</ScaleCrop>
  <LinksUpToDate>false</LinksUpToDate>
  <CharactersWithSpaces>8300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2021-12-24T03:38:00Z</dcterms:created>
  <dc:creator>Dell</dc:creator>
  <cp:lastModifiedBy>演示人</cp:lastModifiedBy>
  <dcterms:modified xsi:type="dcterms:W3CDTF">2024-11-11T06:40:15Z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FEC6ECEE6EFE4C8CA24C6964BE5B58E9</vt:lpwstr>
  </property>
</Properties>
</file>