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6AF7B">
      <w:pPr>
        <w:pStyle w:val="13"/>
        <w:rPr>
          <w:snapToGrid w:val="0"/>
          <w:color w:val="000000"/>
        </w:rPr>
      </w:pPr>
      <w:bookmarkStart w:id="0" w:name="SectionMark0"/>
      <w:r>
        <w:rPr>
          <w:snapToGrid w:val="0"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3635375</wp:posOffset>
                </wp:positionV>
                <wp:extent cx="5969000" cy="3071495"/>
                <wp:effectExtent l="0" t="0" r="12700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0" cy="307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A3C7C14">
                            <w:pPr>
                              <w:jc w:val="center"/>
                              <w:rPr>
                                <w:rFonts w:ascii="黑体" w:hAnsi="黑体" w:eastAsia="黑体" w:cs="黑体"/>
                                <w:spacing w:val="-2"/>
                                <w:position w:val="3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pacing w:val="-2"/>
                                <w:position w:val="31"/>
                                <w:sz w:val="52"/>
                                <w:szCs w:val="52"/>
                              </w:rPr>
                              <w:t>食品安全地方标准</w:t>
                            </w:r>
                          </w:p>
                          <w:p w14:paraId="282D9448">
                            <w:pPr>
                              <w:pStyle w:val="18"/>
                              <w:spacing w:before="0" w:line="240" w:lineRule="auto"/>
                              <w:ind w:firstLine="4128" w:firstLineChars="800"/>
                              <w:jc w:val="both"/>
                              <w:rPr>
                                <w:rFonts w:ascii="黑体" w:hAnsi="黑体" w:eastAsia="黑体" w:cs="黑体"/>
                                <w:spacing w:val="-2"/>
                                <w:position w:val="3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pacing w:val="-2"/>
                                <w:position w:val="31"/>
                                <w:sz w:val="52"/>
                                <w:szCs w:val="52"/>
                              </w:rPr>
                              <w:t>灵芝</w:t>
                            </w:r>
                          </w:p>
                          <w:p w14:paraId="2CCE6A03">
                            <w:pPr>
                              <w:pStyle w:val="19"/>
                            </w:pPr>
                          </w:p>
                          <w:p w14:paraId="7F1D3ACA">
                            <w:pPr>
                              <w:pStyle w:val="20"/>
                            </w:pPr>
                          </w:p>
                          <w:p w14:paraId="1D4183B4">
                            <w:pPr>
                              <w:pStyle w:val="21"/>
                            </w:pPr>
                          </w:p>
                          <w:p w14:paraId="54667CF6"/>
                          <w:p w14:paraId="0B5716B3">
                            <w:pPr>
                              <w:pStyle w:val="19"/>
                            </w:pPr>
                          </w:p>
                          <w:p w14:paraId="1496D532">
                            <w:pPr>
                              <w:pStyle w:val="20"/>
                            </w:pPr>
                          </w:p>
                          <w:p w14:paraId="1092D451">
                            <w:pPr>
                              <w:pStyle w:val="21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286.25pt;height:241.85pt;width:470pt;mso-position-horizontal-relative:margin;mso-position-vertical-relative:margin;z-index:251662336;mso-width-relative:page;mso-height-relative:page;" fillcolor="#FFFFFF" filled="t" stroked="f" coordsize="21600,21600" o:gfxdata="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KqA0YfYAAAACQEAAA8AAAAAAAAAAQAgAAAAIgAA&#10;AGRycy9kb3ducmV2LnhtbFBLAQIUABQAAAAIAIdO4kBCpqIxzwEAAJwDAAAOAAAAAAAAAAEAIAAA&#10;ACcBAABkcnMvZTJvRG9jLnhtbFBLBQYAAAAABgAGAFkBAABo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0A3C7C14">
                      <w:pPr>
                        <w:jc w:val="center"/>
                        <w:rPr>
                          <w:rFonts w:ascii="黑体" w:hAnsi="黑体" w:eastAsia="黑体" w:cs="黑体"/>
                          <w:spacing w:val="-2"/>
                          <w:position w:val="31"/>
                          <w:sz w:val="52"/>
                          <w:szCs w:val="5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pacing w:val="-2"/>
                          <w:position w:val="31"/>
                          <w:sz w:val="52"/>
                          <w:szCs w:val="52"/>
                        </w:rPr>
                        <w:t>食品安全地方标准</w:t>
                      </w:r>
                    </w:p>
                    <w:p w14:paraId="282D9448">
                      <w:pPr>
                        <w:pStyle w:val="18"/>
                        <w:spacing w:before="0" w:line="240" w:lineRule="auto"/>
                        <w:ind w:firstLine="4128" w:firstLineChars="800"/>
                        <w:jc w:val="both"/>
                        <w:rPr>
                          <w:rFonts w:ascii="黑体" w:hAnsi="黑体" w:eastAsia="黑体" w:cs="黑体"/>
                          <w:spacing w:val="-2"/>
                          <w:position w:val="31"/>
                          <w:sz w:val="52"/>
                          <w:szCs w:val="5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pacing w:val="-2"/>
                          <w:position w:val="31"/>
                          <w:sz w:val="52"/>
                          <w:szCs w:val="52"/>
                        </w:rPr>
                        <w:t>灵芝</w:t>
                      </w:r>
                    </w:p>
                    <w:p w14:paraId="2CCE6A03">
                      <w:pPr>
                        <w:pStyle w:val="19"/>
                      </w:pPr>
                    </w:p>
                    <w:p w14:paraId="7F1D3ACA">
                      <w:pPr>
                        <w:pStyle w:val="20"/>
                      </w:pPr>
                    </w:p>
                    <w:p w14:paraId="1D4183B4">
                      <w:pPr>
                        <w:pStyle w:val="21"/>
                      </w:pPr>
                    </w:p>
                    <w:p w14:paraId="54667CF6"/>
                    <w:p w14:paraId="0B5716B3">
                      <w:pPr>
                        <w:pStyle w:val="19"/>
                      </w:pPr>
                    </w:p>
                    <w:p w14:paraId="1496D532">
                      <w:pPr>
                        <w:pStyle w:val="20"/>
                      </w:pPr>
                    </w:p>
                    <w:p w14:paraId="1092D451">
                      <w:pPr>
                        <w:pStyle w:val="21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napToGrid w:val="0"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margin">
                  <wp:posOffset>-81280</wp:posOffset>
                </wp:positionH>
                <wp:positionV relativeFrom="margin">
                  <wp:posOffset>1202055</wp:posOffset>
                </wp:positionV>
                <wp:extent cx="6120130" cy="438785"/>
                <wp:effectExtent l="0" t="0" r="13970" b="1841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07BB03B">
                            <w:pPr>
                              <w:pStyle w:val="22"/>
                            </w:pPr>
                            <w:r>
                              <w:rPr>
                                <w:rFonts w:hint="eastAsia"/>
                              </w:rPr>
                              <w:t>山东省食品安全地方标准</w:t>
                            </w:r>
                          </w:p>
                          <w:p w14:paraId="63D8AB85"/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4pt;margin-top:94.65pt;height:34.55pt;width:481.9pt;mso-position-horizontal-relative:margin;mso-position-vertical-relative:margin;z-index:251661312;mso-width-relative:page;mso-height-relative:page;" fillcolor="#FFFFFF" filled="t" stroked="f" coordsize="21600,21600" o:gfxdata="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b6gNZ2gAAAAsBAAAPAAAAAAAA&#10;AAEAIAAAACIAAABkcnMvZG93bnJldi54bWxQSwECFAAUAAAACACHTuJAfbetjtcBAACpAwAADgAA&#10;AAAAAAABACAAAAApAQAAZHJzL2Uyb0RvYy54bWxQSwUGAAAAAAYABgBZAQAAcg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307BB03B">
                      <w:pPr>
                        <w:pStyle w:val="22"/>
                      </w:pPr>
                      <w:r>
                        <w:rPr>
                          <w:rFonts w:hint="eastAsia"/>
                        </w:rPr>
                        <w:t>山东省食品安全地方标准</w:t>
                      </w:r>
                    </w:p>
                    <w:p w14:paraId="63D8AB85"/>
                  </w:txbxContent>
                </v:textbox>
                <w10:anchorlock/>
              </v:shape>
            </w:pict>
          </mc:Fallback>
        </mc:AlternateContent>
      </w:r>
      <w:bookmarkEnd w:id="0"/>
    </w:p>
    <w:p w14:paraId="49E9C7C8">
      <w:pPr>
        <w:pStyle w:val="3"/>
        <w:overflowPunct w:val="0"/>
        <w:spacing w:before="39"/>
        <w:ind w:firstLine="4994" w:firstLineChars="400"/>
        <w:rPr>
          <w:rFonts w:hint="default" w:eastAsia="宋体"/>
          <w:b/>
          <w:w w:val="130"/>
          <w:sz w:val="96"/>
        </w:rPr>
      </w:pPr>
      <w:r>
        <w:rPr>
          <w:rFonts w:hint="default" w:eastAsia="Times New Roman"/>
          <w:b/>
          <w:w w:val="130"/>
          <w:sz w:val="96"/>
        </w:rPr>
        <w:t>DBS</w:t>
      </w:r>
      <w:r>
        <w:rPr>
          <w:rFonts w:eastAsia="宋体"/>
          <w:b/>
          <w:w w:val="130"/>
          <w:sz w:val="96"/>
        </w:rPr>
        <w:t>37</w:t>
      </w:r>
    </w:p>
    <w:p w14:paraId="05A9CB47">
      <w:pPr>
        <w:pStyle w:val="2"/>
        <w:tabs>
          <w:tab w:val="clear" w:pos="360"/>
        </w:tabs>
        <w:overflowPunct w:val="0"/>
        <w:jc w:val="right"/>
        <w:rPr>
          <w:rFonts w:ascii="Times New Roman" w:hAnsi="Times New Roman" w:eastAsia="Times New Roman"/>
          <w:sz w:val="28"/>
          <w:szCs w:val="24"/>
        </w:rPr>
      </w:pPr>
    </w:p>
    <w:p w14:paraId="1F8A2ED8">
      <w:pPr>
        <w:pStyle w:val="2"/>
        <w:tabs>
          <w:tab w:val="clear" w:pos="360"/>
        </w:tabs>
        <w:overflowPunct w:val="0"/>
        <w:ind w:firstLine="6104" w:firstLineChars="1900"/>
        <w:jc w:val="both"/>
        <w:rPr>
          <w:rFonts w:ascii="黑体" w:hAnsi="黑体" w:cs="黑体"/>
          <w:sz w:val="28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359410</wp:posOffset>
                </wp:positionV>
                <wp:extent cx="612140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80000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pt;margin-top:28.3pt;height:0pt;width:482pt;z-index:251663360;mso-width-relative:page;mso-height-relative:page;" filled="f" stroked="t" coordsize="21600,21600" o:gfxdata="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v9&#10;DiHUAAAACAEAAA8AAAAAAAAAAQAgAAAAIgAAAGRycy9kb3ducmV2LnhtbFBLAQIUABQAAAAIAIdO&#10;4kCet34W7gEAANkDAAAOAAAAAAAAAAEAIAAAACMBAABkcnMvZTJvRG9jLnhtbFBLBQYAAAAABgAG&#10;AFkBAACDBQAAAAA=&#10;">
                <v:fill on="f" focussize="0,0"/>
                <v:stroke weight="1pt" color="#800008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 xml:space="preserve">    </w:t>
      </w:r>
      <w:r>
        <w:rPr>
          <w:rFonts w:hint="eastAsia" w:ascii="Times New Roman" w:hAnsi="Times New Roman" w:eastAsia="宋体"/>
          <w:sz w:val="28"/>
          <w:szCs w:val="24"/>
        </w:rPr>
        <w:t>D</w:t>
      </w:r>
      <w:r>
        <w:rPr>
          <w:rFonts w:hint="eastAsia" w:ascii="Times New Roman" w:hAnsi="Times New Roman" w:eastAsia="宋体" w:cs="Times New Roman"/>
          <w:sz w:val="28"/>
          <w:szCs w:val="24"/>
        </w:rPr>
        <w:t>BS</w:t>
      </w:r>
      <w:r>
        <w:rPr>
          <w:rFonts w:ascii="Times New Roman" w:hAnsi="Times New Roman" w:eastAsia="Times New Roman"/>
          <w:b w:val="0"/>
          <w:bCs w:val="0"/>
          <w:sz w:val="28"/>
          <w:szCs w:val="24"/>
        </w:rPr>
        <w:t xml:space="preserve"> </w:t>
      </w:r>
      <w:r>
        <w:rPr>
          <w:rFonts w:hint="eastAsia" w:ascii="黑体" w:hAnsi="黑体" w:cs="黑体"/>
          <w:b w:val="0"/>
          <w:bCs w:val="0"/>
          <w:sz w:val="28"/>
          <w:szCs w:val="24"/>
        </w:rPr>
        <w:t>37/003-2024</w:t>
      </w:r>
    </w:p>
    <w:p w14:paraId="5A6FC4A9">
      <w:pPr>
        <w:pStyle w:val="14"/>
        <w:rPr>
          <w:snapToGrid w:val="0"/>
          <w:color w:val="000000"/>
        </w:rPr>
      </w:pPr>
    </w:p>
    <w:p w14:paraId="613E55B2">
      <w:pPr>
        <w:pStyle w:val="16"/>
        <w:ind w:firstLine="420"/>
      </w:pPr>
    </w:p>
    <w:p w14:paraId="4134C426">
      <w:pPr>
        <w:pStyle w:val="14"/>
        <w:rPr>
          <w:snapToGrid w:val="0"/>
          <w:color w:val="000000"/>
        </w:rPr>
      </w:pPr>
    </w:p>
    <w:p w14:paraId="14D5E56C">
      <w:pPr>
        <w:pStyle w:val="14"/>
        <w:rPr>
          <w:snapToGrid w:val="0"/>
          <w:color w:val="000000"/>
        </w:rPr>
      </w:pPr>
    </w:p>
    <w:p w14:paraId="6BD0E309">
      <w:pPr>
        <w:pStyle w:val="14"/>
        <w:rPr>
          <w:snapToGrid w:val="0"/>
          <w:color w:val="000000"/>
        </w:rPr>
      </w:pPr>
    </w:p>
    <w:p w14:paraId="383FCCA5">
      <w:pPr>
        <w:pStyle w:val="14"/>
        <w:rPr>
          <w:snapToGrid w:val="0"/>
          <w:color w:val="000000"/>
        </w:rPr>
      </w:pPr>
    </w:p>
    <w:p w14:paraId="1F87AF30">
      <w:pPr>
        <w:tabs>
          <w:tab w:val="left" w:pos="360"/>
        </w:tabs>
        <w:spacing w:after="156" w:afterLines="50" w:line="360" w:lineRule="auto"/>
        <w:rPr>
          <w:rFonts w:eastAsia="黑体"/>
          <w:bCs/>
          <w:sz w:val="32"/>
          <w:szCs w:val="32"/>
        </w:rPr>
      </w:pPr>
      <w:r>
        <w:tab/>
      </w:r>
    </w:p>
    <w:p w14:paraId="032580CC">
      <w:pPr>
        <w:pStyle w:val="14"/>
        <w:jc w:val="both"/>
        <w:rPr>
          <w:rFonts w:ascii="Times New Roman"/>
          <w:snapToGrid w:val="0"/>
          <w:color w:val="000000"/>
          <w:sz w:val="28"/>
          <w:szCs w:val="28"/>
        </w:rPr>
      </w:pPr>
    </w:p>
    <w:p w14:paraId="6723AF67">
      <w:pPr>
        <w:pStyle w:val="14"/>
        <w:ind w:firstLine="560" w:firstLineChars="20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napToGrid w:val="0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547370</wp:posOffset>
                </wp:positionV>
                <wp:extent cx="5921375" cy="635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137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80000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1.25pt;margin-top:43.1pt;height:0.05pt;width:466.25pt;z-index:251664384;mso-width-relative:page;mso-height-relative:page;" filled="f" stroked="t" coordsize="21600,21600" o:gfxdata="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SiL5/WAAAACQEAAA8AAAAAAAAAAQAgAAAAIgAAAGRycy9kb3ducmV2LnhtbFBLAQIUABQA&#10;AAAIAIdO4kCfNeLz8gEAANsDAAAOAAAAAAAAAAEAIAAAACUBAABkcnMvZTJvRG9jLnhtbFBLBQYA&#10;AAAABgAGAFkBAACJBQAAAAA=&#10;">
                <v:fill on="f" focussize="0,0"/>
                <v:stroke weight="1pt" color="#800008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/>
          <w:snapToGrid w:val="0"/>
          <w:color w:val="000000"/>
          <w:sz w:val="28"/>
          <w:szCs w:val="28"/>
        </w:rPr>
        <w:t>202</w:t>
      </w:r>
      <w:r>
        <w:rPr>
          <w:rFonts w:hint="eastAsia" w:ascii="Times New Roman"/>
          <w:snapToGrid w:val="0"/>
          <w:color w:val="000000"/>
          <w:sz w:val="28"/>
          <w:szCs w:val="28"/>
          <w:lang w:eastAsia="zh"/>
        </w:rPr>
        <w:t>5</w:t>
      </w:r>
      <w:r>
        <w:rPr>
          <w:rFonts w:ascii="Times New Roman"/>
          <w:snapToGrid w:val="0"/>
          <w:color w:val="000000"/>
          <w:sz w:val="28"/>
          <w:szCs w:val="28"/>
        </w:rPr>
        <w:t>-</w:t>
      </w:r>
      <w:r>
        <w:rPr>
          <w:rFonts w:hint="eastAsia" w:ascii="Times New Roman"/>
          <w:snapToGrid w:val="0"/>
          <w:color w:val="000000"/>
          <w:sz w:val="28"/>
          <w:szCs w:val="28"/>
          <w:lang w:eastAsia="zh"/>
        </w:rPr>
        <w:t>01</w:t>
      </w:r>
      <w:r>
        <w:rPr>
          <w:rFonts w:ascii="Times New Roman"/>
          <w:snapToGrid w:val="0"/>
          <w:color w:val="000000"/>
          <w:sz w:val="28"/>
          <w:szCs w:val="28"/>
        </w:rPr>
        <w:t>-</w:t>
      </w:r>
      <w:r>
        <w:rPr>
          <w:rFonts w:hint="eastAsia" w:ascii="Times New Roman"/>
          <w:snapToGrid w:val="0"/>
          <w:color w:val="000000"/>
          <w:sz w:val="28"/>
          <w:szCs w:val="28"/>
          <w:lang w:eastAsia="zh"/>
        </w:rPr>
        <w:t>13</w:t>
      </w:r>
      <w:r>
        <w:rPr>
          <w:rFonts w:ascii="Times New Roman"/>
          <w:sz w:val="28"/>
          <w:szCs w:val="28"/>
        </w:rPr>
        <w:t xml:space="preserve">发布                </w:t>
      </w:r>
      <w:r>
        <w:rPr>
          <w:rFonts w:hint="eastAsia" w:ascii="Times New Roman"/>
          <w:sz w:val="28"/>
          <w:szCs w:val="28"/>
          <w:lang w:val="en-US" w:eastAsia="zh-CN"/>
        </w:rPr>
        <w:t xml:space="preserve">                   </w:t>
      </w:r>
      <w:bookmarkStart w:id="7" w:name="_GoBack"/>
      <w:bookmarkEnd w:id="7"/>
      <w:r>
        <w:rPr>
          <w:rFonts w:ascii="Times New Roman"/>
          <w:sz w:val="28"/>
          <w:szCs w:val="28"/>
        </w:rPr>
        <w:t xml:space="preserve">           </w:t>
      </w:r>
      <w:r>
        <w:rPr>
          <w:rFonts w:hint="eastAsia" w:ascii="Times New Roman"/>
          <w:sz w:val="28"/>
          <w:szCs w:val="28"/>
        </w:rPr>
        <w:t xml:space="preserve">       </w:t>
      </w:r>
      <w:r>
        <w:rPr>
          <w:rFonts w:ascii="Times New Roman"/>
          <w:sz w:val="28"/>
          <w:szCs w:val="28"/>
        </w:rPr>
        <w:t xml:space="preserve"> </w:t>
      </w:r>
      <w:r>
        <w:rPr>
          <w:rFonts w:hint="eastAsia" w:ascii="Times New Roman"/>
          <w:sz w:val="28"/>
          <w:szCs w:val="28"/>
          <w:lang w:eastAsia="zh"/>
        </w:rPr>
        <w:t>2025</w:t>
      </w:r>
      <w:r>
        <w:rPr>
          <w:rFonts w:ascii="Times New Roman"/>
          <w:sz w:val="28"/>
          <w:szCs w:val="28"/>
        </w:rPr>
        <w:t>-</w:t>
      </w:r>
      <w:r>
        <w:rPr>
          <w:rFonts w:hint="eastAsia" w:ascii="Times New Roman"/>
          <w:sz w:val="28"/>
          <w:szCs w:val="28"/>
          <w:lang w:eastAsia="zh"/>
        </w:rPr>
        <w:t>02</w:t>
      </w:r>
      <w:r>
        <w:rPr>
          <w:rFonts w:ascii="Times New Roman"/>
          <w:sz w:val="28"/>
          <w:szCs w:val="28"/>
        </w:rPr>
        <w:t>-</w:t>
      </w:r>
      <w:r>
        <w:rPr>
          <w:rFonts w:hint="eastAsia" w:ascii="Times New Roman"/>
          <w:sz w:val="28"/>
          <w:szCs w:val="28"/>
          <w:lang w:eastAsia="zh"/>
        </w:rPr>
        <w:t>14</w:t>
      </w:r>
      <w:r>
        <w:rPr>
          <w:rFonts w:ascii="Times New Roman"/>
          <w:sz w:val="28"/>
          <w:szCs w:val="28"/>
        </w:rPr>
        <w:t>实施</w:t>
      </w:r>
    </w:p>
    <w:p w14:paraId="00B10D5D">
      <w:pPr>
        <w:pStyle w:val="14"/>
        <w:ind w:firstLine="1767" w:firstLineChars="400"/>
        <w:jc w:val="both"/>
        <w:rPr>
          <w:sz w:val="28"/>
          <w:szCs w:val="28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7" w:h="16839"/>
          <w:pgMar w:top="1418" w:right="1134" w:bottom="1134" w:left="1418" w:header="1418" w:footer="851" w:gutter="0"/>
          <w:pgNumType w:start="1"/>
          <w:cols w:space="720" w:num="1"/>
          <w:titlePg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山东省卫生健康委员会</w:t>
      </w:r>
      <w:r>
        <w:rPr>
          <w:rFonts w:hint="eastAsia"/>
          <w:sz w:val="36"/>
          <w:szCs w:val="36"/>
        </w:rPr>
        <w:t xml:space="preserve">  </w:t>
      </w:r>
      <w:r>
        <w:rPr>
          <w:rFonts w:hint="eastAsia"/>
          <w:spacing w:val="20"/>
          <w:w w:val="135"/>
          <w:sz w:val="28"/>
          <w:szCs w:val="28"/>
        </w:rPr>
        <w:t>发布</w:t>
      </w:r>
    </w:p>
    <w:p w14:paraId="5381023A">
      <w:pPr>
        <w:spacing w:before="42" w:line="265" w:lineRule="exact"/>
        <w:jc w:val="both"/>
        <w:rPr>
          <w:rFonts w:ascii="黑体" w:hAnsi="黑体" w:eastAsia="黑体" w:cs="黑体"/>
          <w:sz w:val="20"/>
          <w:szCs w:val="20"/>
        </w:rPr>
      </w:pPr>
    </w:p>
    <w:p w14:paraId="145F0AC5">
      <w:pPr>
        <w:spacing w:line="247" w:lineRule="auto"/>
      </w:pPr>
    </w:p>
    <w:p w14:paraId="658A6EE3">
      <w:pPr>
        <w:spacing w:line="277" w:lineRule="auto"/>
      </w:pPr>
    </w:p>
    <w:p w14:paraId="4B761028">
      <w:pPr>
        <w:spacing w:before="100" w:line="228" w:lineRule="auto"/>
        <w:ind w:left="4249"/>
        <w:outlineLvl w:val="0"/>
        <w:rPr>
          <w:rFonts w:ascii="黑体" w:hAnsi="黑体" w:eastAsia="黑体" w:cs="黑体"/>
          <w:sz w:val="31"/>
          <w:szCs w:val="31"/>
        </w:rPr>
      </w:pPr>
      <w:bookmarkStart w:id="1" w:name="_bookmark1"/>
      <w:bookmarkEnd w:id="1"/>
      <w:r>
        <w:rPr>
          <w:rFonts w:ascii="黑体" w:hAnsi="黑体" w:eastAsia="黑体" w:cs="黑体"/>
          <w:spacing w:val="7"/>
          <w:sz w:val="31"/>
          <w:szCs w:val="31"/>
        </w:rPr>
        <w:t>前    言</w:t>
      </w:r>
    </w:p>
    <w:p w14:paraId="384F2C24">
      <w:pPr>
        <w:spacing w:line="269" w:lineRule="auto"/>
      </w:pPr>
    </w:p>
    <w:p w14:paraId="3400AD78">
      <w:pPr>
        <w:spacing w:line="269" w:lineRule="auto"/>
      </w:pPr>
    </w:p>
    <w:p w14:paraId="06D07847">
      <w:pPr>
        <w:pStyle w:val="23"/>
        <w:spacing w:line="360" w:lineRule="auto"/>
        <w:ind w:firstLine="420"/>
        <w:rPr>
          <w:rFonts w:hAnsi="宋体" w:cs="黑体"/>
          <w:snapToGrid w:val="0"/>
          <w:color w:val="000000"/>
          <w:szCs w:val="21"/>
        </w:rPr>
      </w:pPr>
      <w:r>
        <w:rPr>
          <w:rFonts w:hint="eastAsia" w:hAnsi="宋体" w:cs="黑体"/>
          <w:snapToGrid w:val="0"/>
          <w:color w:val="000000"/>
          <w:szCs w:val="21"/>
        </w:rPr>
        <w:t>本标准由山东省卫生健康委员会归口。</w:t>
      </w:r>
    </w:p>
    <w:p w14:paraId="77D7C09F">
      <w:pPr>
        <w:pStyle w:val="23"/>
        <w:spacing w:line="360" w:lineRule="auto"/>
        <w:ind w:firstLine="420"/>
        <w:rPr>
          <w:rFonts w:hAnsi="宋体" w:cs="黑体"/>
          <w:snapToGrid w:val="0"/>
          <w:color w:val="000000"/>
          <w:szCs w:val="21"/>
        </w:rPr>
      </w:pPr>
      <w:r>
        <w:rPr>
          <w:rFonts w:hint="eastAsia" w:hAnsi="宋体" w:cs="黑体"/>
          <w:snapToGrid w:val="0"/>
          <w:color w:val="000000"/>
          <w:szCs w:val="21"/>
        </w:rPr>
        <w:t>本标准起草单位：山东省疾病预防控制中心，聊城市疾病预防控制中心，冠县灵芝协会。</w:t>
      </w:r>
    </w:p>
    <w:p w14:paraId="6967F6CA">
      <w:pPr>
        <w:pStyle w:val="23"/>
        <w:spacing w:line="360" w:lineRule="auto"/>
        <w:ind w:firstLine="420"/>
        <w:rPr>
          <w:rFonts w:hAnsi="宋体" w:cs="黑体"/>
          <w:snapToGrid w:val="0"/>
          <w:color w:val="000000"/>
          <w:szCs w:val="21"/>
        </w:rPr>
      </w:pPr>
      <w:r>
        <w:rPr>
          <w:rFonts w:hint="eastAsia" w:hAnsi="宋体" w:cs="黑体"/>
          <w:snapToGrid w:val="0"/>
          <w:color w:val="000000"/>
          <w:szCs w:val="21"/>
        </w:rPr>
        <w:t>本标准主要起草人：王克波、韩子民、申华伟、陈芳芳、王文超、焦燕妮、庄茂强、姜迎、郭健辉、吴洪杰。</w:t>
      </w:r>
    </w:p>
    <w:p w14:paraId="6AB94FD8">
      <w:pPr>
        <w:pStyle w:val="23"/>
        <w:spacing w:line="360" w:lineRule="auto"/>
        <w:ind w:firstLine="420"/>
        <w:rPr>
          <w:rFonts w:hAnsi="宋体" w:cs="黑体"/>
          <w:snapToGrid w:val="0"/>
          <w:color w:val="000000"/>
          <w:szCs w:val="21"/>
        </w:rPr>
      </w:pPr>
    </w:p>
    <w:p w14:paraId="44297227">
      <w:pPr>
        <w:pStyle w:val="23"/>
        <w:spacing w:line="360" w:lineRule="auto"/>
        <w:ind w:firstLine="420"/>
        <w:rPr>
          <w:rFonts w:hAnsi="宋体" w:cs="黑体"/>
          <w:snapToGrid w:val="0"/>
          <w:color w:val="000000"/>
          <w:szCs w:val="21"/>
        </w:rPr>
        <w:sectPr>
          <w:headerReference r:id="rId7" w:type="default"/>
          <w:footerReference r:id="rId8" w:type="default"/>
          <w:pgSz w:w="11906" w:h="16839"/>
          <w:pgMar w:top="1406" w:right="1133" w:bottom="1311" w:left="1427" w:header="0" w:footer="1134" w:gutter="0"/>
          <w:cols w:space="720" w:num="1"/>
        </w:sectPr>
      </w:pPr>
    </w:p>
    <w:p w14:paraId="66C07FB1">
      <w:pPr>
        <w:spacing w:line="248" w:lineRule="auto"/>
      </w:pPr>
    </w:p>
    <w:p w14:paraId="604FD4DC">
      <w:pPr>
        <w:spacing w:line="254" w:lineRule="auto"/>
      </w:pPr>
    </w:p>
    <w:p w14:paraId="37A5FCAE">
      <w:pPr>
        <w:spacing w:line="254" w:lineRule="auto"/>
      </w:pPr>
    </w:p>
    <w:p w14:paraId="55B94A12">
      <w:pPr>
        <w:spacing w:before="101" w:line="227" w:lineRule="auto"/>
        <w:jc w:val="center"/>
        <w:rPr>
          <w:rFonts w:ascii="黑体" w:hAnsi="黑体" w:eastAsia="黑体" w:cs="黑体"/>
          <w:spacing w:val="15"/>
          <w:sz w:val="31"/>
          <w:szCs w:val="31"/>
        </w:rPr>
      </w:pPr>
      <w:r>
        <w:rPr>
          <w:rFonts w:hint="eastAsia" w:ascii="黑体" w:hAnsi="黑体" w:eastAsia="黑体" w:cs="黑体"/>
          <w:spacing w:val="15"/>
          <w:sz w:val="31"/>
          <w:szCs w:val="31"/>
        </w:rPr>
        <w:t>食品安全地方标准</w:t>
      </w:r>
    </w:p>
    <w:p w14:paraId="23670D6B">
      <w:pPr>
        <w:spacing w:line="320" w:lineRule="auto"/>
        <w:ind w:firstLine="4420" w:firstLineChars="1300"/>
      </w:pPr>
      <w:r>
        <w:rPr>
          <w:rFonts w:hint="eastAsia" w:ascii="黑体" w:hAnsi="黑体" w:eastAsia="黑体" w:cs="黑体"/>
          <w:spacing w:val="15"/>
          <w:sz w:val="31"/>
          <w:szCs w:val="31"/>
        </w:rPr>
        <w:t>灵芝</w:t>
      </w:r>
    </w:p>
    <w:p w14:paraId="413A25F3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ind w:left="0"/>
        <w:outlineLvl w:val="0"/>
        <w:rPr>
          <w:rFonts w:ascii="黑体" w:hAnsi="黑体" w:eastAsia="黑体"/>
        </w:rPr>
      </w:pPr>
      <w:bookmarkStart w:id="2" w:name="_bookmark2"/>
      <w:bookmarkEnd w:id="2"/>
      <w:r>
        <w:rPr>
          <w:rFonts w:ascii="黑体" w:hAnsi="黑体" w:eastAsia="黑体" w:cs="黑体"/>
          <w:spacing w:val="4"/>
        </w:rPr>
        <w:t>1</w:t>
      </w:r>
      <w:r>
        <w:rPr>
          <w:rFonts w:hint="eastAsia" w:ascii="黑体" w:hAnsi="黑体" w:eastAsia="黑体" w:cs="黑体"/>
          <w:spacing w:val="4"/>
          <w:lang w:val="en-US" w:eastAsia="zh-CN"/>
        </w:rPr>
        <w:t xml:space="preserve"> </w:t>
      </w:r>
      <w:r>
        <w:rPr>
          <w:rFonts w:ascii="黑体" w:hAnsi="黑体" w:eastAsia="黑体" w:cs="黑体"/>
          <w:spacing w:val="2"/>
        </w:rPr>
        <w:t>范围</w:t>
      </w:r>
    </w:p>
    <w:p w14:paraId="37E8394F">
      <w:pPr>
        <w:pStyle w:val="6"/>
        <w:keepNext w:val="0"/>
        <w:keepLines w:val="0"/>
        <w:pageBreakBefore w:val="0"/>
        <w:widowControl/>
        <w:shd w:val="clear" w:color="auto" w:fill="FFFFFF"/>
        <w:wordWrap/>
        <w:overflowPunct/>
        <w:topLinePunct w:val="0"/>
        <w:bidi w:val="0"/>
        <w:spacing w:before="0" w:beforeAutospacing="0" w:after="0" w:afterAutospacing="0" w:line="360" w:lineRule="auto"/>
        <w:ind w:firstLine="456" w:firstLineChars="200"/>
        <w:jc w:val="both"/>
        <w:rPr>
          <w:rFonts w:cs="宋体" w:asciiTheme="minorEastAsia" w:hAnsiTheme="minorEastAsia" w:eastAsiaTheme="minorEastAsia"/>
          <w:spacing w:val="9"/>
          <w:sz w:val="21"/>
        </w:rPr>
      </w:pPr>
      <w:r>
        <w:rPr>
          <w:rFonts w:hint="eastAsia" w:cs="宋体" w:asciiTheme="minorEastAsia" w:hAnsiTheme="minorEastAsia" w:eastAsiaTheme="minorEastAsia"/>
          <w:spacing w:val="9"/>
          <w:sz w:val="21"/>
        </w:rPr>
        <w:t>本标准适用于山东省内人工种植的赤芝和紫芝。</w:t>
      </w:r>
    </w:p>
    <w:p w14:paraId="2026478A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ind w:left="0"/>
        <w:outlineLvl w:val="0"/>
        <w:rPr>
          <w:rFonts w:ascii="黑体" w:hAnsi="黑体" w:eastAsia="黑体" w:cs="黑体"/>
          <w:spacing w:val="2"/>
        </w:rPr>
      </w:pPr>
      <w:r>
        <w:rPr>
          <w:rFonts w:hint="eastAsia" w:ascii="黑体" w:hAnsi="黑体" w:eastAsia="黑体" w:cs="黑体"/>
          <w:spacing w:val="4"/>
        </w:rPr>
        <w:t>2</w:t>
      </w:r>
      <w:r>
        <w:rPr>
          <w:rFonts w:hint="eastAsia" w:cs="黑体" w:asciiTheme="minorEastAsia" w:hAnsiTheme="minorEastAsia" w:eastAsiaTheme="minorEastAsia"/>
          <w:spacing w:val="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pacing w:val="2"/>
        </w:rPr>
        <w:t>术语和定义</w:t>
      </w:r>
    </w:p>
    <w:p w14:paraId="5EB1F22A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ind w:left="0"/>
        <w:rPr>
          <w:rFonts w:cs="宋体" w:asciiTheme="minorEastAsia" w:hAnsiTheme="minorEastAsia" w:eastAsiaTheme="minorEastAsia"/>
          <w:spacing w:val="9"/>
        </w:rPr>
      </w:pPr>
      <w:r>
        <w:rPr>
          <w:rFonts w:hint="eastAsia" w:asciiTheme="minorEastAsia" w:hAnsiTheme="minorEastAsia" w:eastAsiaTheme="minorEastAsia"/>
        </w:rPr>
        <w:t xml:space="preserve">    </w:t>
      </w:r>
      <w:r>
        <w:rPr>
          <w:rFonts w:hint="eastAsia" w:cs="宋体" w:asciiTheme="minorEastAsia" w:hAnsiTheme="minorEastAsia" w:eastAsiaTheme="minorEastAsia"/>
          <w:spacing w:val="9"/>
        </w:rPr>
        <w:t>下列术语和定义适用于本文件。</w:t>
      </w:r>
    </w:p>
    <w:p w14:paraId="5472CA41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ind w:left="0"/>
        <w:outlineLvl w:val="0"/>
        <w:rPr>
          <w:rFonts w:ascii="黑体" w:hAnsi="黑体" w:eastAsia="黑体" w:cs="黑体"/>
          <w:spacing w:val="4"/>
        </w:rPr>
      </w:pPr>
      <w:r>
        <w:rPr>
          <w:rFonts w:hint="eastAsia" w:ascii="黑体" w:hAnsi="黑体" w:eastAsia="黑体" w:cs="黑体"/>
          <w:spacing w:val="4"/>
        </w:rPr>
        <w:t>2.1</w:t>
      </w:r>
      <w:r>
        <w:rPr>
          <w:rFonts w:hint="eastAsia" w:ascii="黑体" w:hAnsi="黑体" w:eastAsia="黑体" w:cs="黑体"/>
          <w:spacing w:val="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pacing w:val="4"/>
        </w:rPr>
        <w:t>灵芝</w:t>
      </w:r>
    </w:p>
    <w:p w14:paraId="730971BD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ind w:left="0" w:firstLine="420" w:firstLineChars="200"/>
        <w:rPr>
          <w:rFonts w:asciiTheme="minorEastAsia" w:hAnsiTheme="minorEastAsia" w:eastAsiaTheme="minorEastAsia"/>
        </w:rPr>
      </w:pPr>
      <w:bookmarkStart w:id="3" w:name="_bookmark3"/>
      <w:bookmarkEnd w:id="3"/>
      <w:r>
        <w:rPr>
          <w:rFonts w:hint="eastAsia" w:cs="宋体" w:asciiTheme="minorEastAsia" w:hAnsiTheme="minorEastAsia" w:eastAsiaTheme="minorEastAsia"/>
          <w:lang w:bidi="ar"/>
        </w:rPr>
        <w:t>人工种植多孔菌科真菌（</w:t>
      </w:r>
      <w:r>
        <w:rPr>
          <w:rFonts w:hint="eastAsia" w:cs="宋体" w:asciiTheme="minorEastAsia" w:hAnsiTheme="minorEastAsia" w:eastAsiaTheme="minorEastAsia"/>
          <w:i/>
          <w:iCs/>
          <w:lang w:bidi="ar"/>
        </w:rPr>
        <w:t>Ganoderma</w:t>
      </w:r>
      <w:r>
        <w:rPr>
          <w:rFonts w:hint="eastAsia" w:cs="宋体" w:asciiTheme="minorEastAsia" w:hAnsiTheme="minorEastAsia" w:eastAsiaTheme="minorEastAsia"/>
          <w:lang w:bidi="ar"/>
        </w:rPr>
        <w:t>）干燥子实体，包括赤芝（</w:t>
      </w:r>
      <w:r>
        <w:rPr>
          <w:rFonts w:hint="eastAsia" w:cs="宋体" w:asciiTheme="minorEastAsia" w:hAnsiTheme="minorEastAsia" w:eastAsiaTheme="minorEastAsia"/>
          <w:i/>
          <w:iCs/>
          <w:lang w:bidi="ar"/>
        </w:rPr>
        <w:t>Ganoderma Lucidum</w:t>
      </w:r>
      <w:r>
        <w:rPr>
          <w:rFonts w:hint="eastAsia" w:cs="宋体" w:asciiTheme="minorEastAsia" w:hAnsiTheme="minorEastAsia" w:eastAsiaTheme="minorEastAsia"/>
          <w:lang w:bidi="ar"/>
        </w:rPr>
        <w:t>（Leyss.ex Fr.） Karst.）和紫芝（</w:t>
      </w:r>
      <w:r>
        <w:rPr>
          <w:rFonts w:hint="eastAsia" w:cs="宋体" w:asciiTheme="minorEastAsia" w:hAnsiTheme="minorEastAsia" w:eastAsiaTheme="minorEastAsia"/>
          <w:i/>
          <w:iCs/>
          <w:lang w:bidi="ar"/>
        </w:rPr>
        <w:t xml:space="preserve">Ganoderma sinense </w:t>
      </w:r>
      <w:r>
        <w:rPr>
          <w:rFonts w:hint="eastAsia" w:cs="宋体" w:asciiTheme="minorEastAsia" w:hAnsiTheme="minorEastAsia" w:eastAsiaTheme="minorEastAsia"/>
          <w:lang w:bidi="ar"/>
        </w:rPr>
        <w:t>Zhao,Xu et Zhang）。经除杂、分切（或整芝）、干制（阴干、晾干、晒干或40 ℃～50 ℃烘干）和（或）蒸制、晒干等工序制成的真菌干燥子实体。</w:t>
      </w:r>
    </w:p>
    <w:p w14:paraId="7F4D9650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ind w:left="0"/>
        <w:outlineLvl w:val="0"/>
        <w:rPr>
          <w:rFonts w:ascii="黑体" w:hAnsi="黑体" w:eastAsia="黑体" w:cs="黑体"/>
          <w:spacing w:val="2"/>
        </w:rPr>
      </w:pPr>
      <w:r>
        <w:rPr>
          <w:rFonts w:hint="eastAsia" w:ascii="黑体" w:hAnsi="黑体" w:eastAsia="黑体" w:cs="黑体"/>
          <w:spacing w:val="4"/>
        </w:rPr>
        <w:t>3</w:t>
      </w:r>
      <w:r>
        <w:rPr>
          <w:rFonts w:hint="eastAsia" w:ascii="黑体" w:hAnsi="黑体" w:eastAsia="黑体" w:cs="黑体"/>
          <w:spacing w:val="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pacing w:val="2"/>
        </w:rPr>
        <w:t>技术要求</w:t>
      </w:r>
    </w:p>
    <w:p w14:paraId="663BBFFC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ind w:left="0"/>
        <w:outlineLvl w:val="0"/>
        <w:rPr>
          <w:rFonts w:hint="eastAsia" w:ascii="黑体" w:hAnsi="黑体" w:eastAsia="黑体" w:cs="黑体"/>
          <w:spacing w:val="2"/>
        </w:rPr>
      </w:pPr>
      <w:r>
        <w:rPr>
          <w:rFonts w:hint="eastAsia" w:ascii="黑体" w:hAnsi="黑体" w:eastAsia="黑体" w:cs="黑体"/>
          <w:spacing w:val="2"/>
        </w:rPr>
        <w:t>3.1 原料要求</w:t>
      </w:r>
    </w:p>
    <w:p w14:paraId="1F43A98B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 xml:space="preserve">3.1.1 </w:t>
      </w:r>
      <w:r>
        <w:rPr>
          <w:rFonts w:hint="eastAsia" w:cs="宋体" w:asciiTheme="minorEastAsia" w:hAnsiTheme="minorEastAsia" w:eastAsiaTheme="minorEastAsia"/>
          <w:lang w:bidi="ar"/>
        </w:rPr>
        <w:t xml:space="preserve">赤芝或紫芝子实体应外形完整、特征明显，应新鲜、无霉变、无污染，种植过程应符合国家相关标准的规定。 </w:t>
      </w:r>
    </w:p>
    <w:p w14:paraId="5BC4C7A7">
      <w:pPr>
        <w:pStyle w:val="24"/>
        <w:keepNext w:val="0"/>
        <w:keepLines w:val="0"/>
        <w:pageBreakBefore w:val="0"/>
        <w:widowControl/>
        <w:numPr>
          <w:ilvl w:val="2"/>
          <w:numId w:val="0"/>
        </w:numPr>
        <w:wordWrap/>
        <w:overflowPunct/>
        <w:topLinePunct w:val="0"/>
        <w:bidi w:val="0"/>
        <w:spacing w:before="0" w:beforeLines="0" w:after="0" w:afterLines="0" w:line="360" w:lineRule="auto"/>
        <w:rPr>
          <w:rFonts w:cs="宋体" w:asciiTheme="minorEastAsia" w:hAnsiTheme="minorEastAsia" w:eastAsiaTheme="minorEastAsia"/>
          <w:snapToGrid w:val="0"/>
          <w:color w:val="000000"/>
        </w:rPr>
      </w:pPr>
      <w:r>
        <w:rPr>
          <w:rFonts w:hint="eastAsia" w:cs="宋体" w:asciiTheme="minorEastAsia" w:hAnsiTheme="minorEastAsia" w:eastAsiaTheme="minorEastAsia"/>
          <w:snapToGrid w:val="0"/>
          <w:color w:val="000000"/>
        </w:rPr>
        <w:t>3.1.2 生产加工用水应符合GB 5749的规定。</w:t>
      </w:r>
    </w:p>
    <w:p w14:paraId="35EDB821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ind w:left="0"/>
        <w:outlineLvl w:val="0"/>
        <w:rPr>
          <w:rFonts w:hint="eastAsia" w:ascii="黑体" w:hAnsi="黑体" w:eastAsia="黑体" w:cs="黑体"/>
          <w:spacing w:val="2"/>
        </w:rPr>
      </w:pPr>
      <w:r>
        <w:rPr>
          <w:rFonts w:hint="eastAsia" w:ascii="黑体" w:hAnsi="黑体" w:eastAsia="黑体" w:cs="黑体"/>
          <w:spacing w:val="2"/>
        </w:rPr>
        <w:t>3.2 感官要求</w:t>
      </w:r>
    </w:p>
    <w:p w14:paraId="406A5D61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ind w:left="0" w:firstLine="420" w:firstLineChars="200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感官要求应符合《中华人民共和国药典》要求。</w:t>
      </w:r>
    </w:p>
    <w:p w14:paraId="637611D8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ind w:left="0"/>
        <w:outlineLvl w:val="0"/>
        <w:rPr>
          <w:rFonts w:hint="eastAsia" w:ascii="黑体" w:hAnsi="黑体" w:eastAsia="黑体" w:cs="黑体"/>
          <w:spacing w:val="2"/>
        </w:rPr>
      </w:pPr>
      <w:r>
        <w:rPr>
          <w:rFonts w:hint="eastAsia" w:ascii="黑体" w:hAnsi="黑体" w:eastAsia="黑体" w:cs="黑体"/>
          <w:spacing w:val="2"/>
        </w:rPr>
        <w:t>3.3 理化指标</w:t>
      </w:r>
    </w:p>
    <w:p w14:paraId="36EA2A74">
      <w:pPr>
        <w:pStyle w:val="16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wordWrap/>
        <w:overflowPunct/>
        <w:topLinePunct w:val="0"/>
        <w:bidi w:val="0"/>
        <w:adjustRightInd w:val="0"/>
        <w:snapToGrid w:val="0"/>
        <w:spacing w:line="360" w:lineRule="auto"/>
        <w:ind w:left="0" w:firstLine="420"/>
        <w:rPr>
          <w:rFonts w:cs="黑体" w:asciiTheme="minorEastAsia" w:hAnsiTheme="minorEastAsia" w:eastAsiaTheme="minorEastAsia"/>
          <w:spacing w:val="2"/>
          <w:szCs w:val="21"/>
        </w:rPr>
      </w:pPr>
      <w:r>
        <w:rPr>
          <w:rFonts w:hint="eastAsia" w:cs="宋体" w:asciiTheme="minorEastAsia" w:hAnsiTheme="minorEastAsia" w:eastAsiaTheme="minorEastAsia"/>
          <w:snapToGrid w:val="0"/>
          <w:color w:val="000000"/>
          <w:szCs w:val="21"/>
        </w:rPr>
        <w:t>理化指标应符合表1的规定。</w:t>
      </w:r>
    </w:p>
    <w:p w14:paraId="4F3BD9F4">
      <w:pPr>
        <w:spacing w:before="66" w:line="226" w:lineRule="auto"/>
        <w:jc w:val="center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表1 理化指标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1770"/>
        <w:gridCol w:w="3208"/>
      </w:tblGrid>
      <w:tr w14:paraId="4A50B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 w14:paraId="032B9279">
            <w:pPr>
              <w:widowControl w:val="0"/>
              <w:spacing w:before="66" w:line="226" w:lineRule="auto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项目</w:t>
            </w:r>
          </w:p>
        </w:tc>
        <w:tc>
          <w:tcPr>
            <w:tcW w:w="1770" w:type="dxa"/>
          </w:tcPr>
          <w:p w14:paraId="60F22E03">
            <w:pPr>
              <w:widowControl w:val="0"/>
              <w:spacing w:before="66" w:line="226" w:lineRule="auto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指标</w:t>
            </w:r>
          </w:p>
        </w:tc>
        <w:tc>
          <w:tcPr>
            <w:tcW w:w="3208" w:type="dxa"/>
          </w:tcPr>
          <w:p w14:paraId="0F31FC68">
            <w:pPr>
              <w:widowControl w:val="0"/>
              <w:spacing w:before="66" w:line="226" w:lineRule="auto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检验方法</w:t>
            </w:r>
          </w:p>
        </w:tc>
      </w:tr>
      <w:tr w14:paraId="05235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vAlign w:val="center"/>
          </w:tcPr>
          <w:p w14:paraId="29C5873A">
            <w:pPr>
              <w:widowControl w:val="0"/>
              <w:spacing w:before="66" w:line="226" w:lineRule="auto"/>
              <w:jc w:val="both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水分</w:t>
            </w:r>
            <w:bookmarkStart w:id="4" w:name="OLE_LINK2"/>
            <w:r>
              <w:rPr>
                <w:rFonts w:asciiTheme="minorEastAsia" w:hAnsiTheme="minorEastAsia" w:eastAsiaTheme="minorEastAsia"/>
                <w:sz w:val="18"/>
                <w:szCs w:val="18"/>
              </w:rPr>
              <w:t>，</w:t>
            </w:r>
            <w:bookmarkEnd w:id="4"/>
            <w:r>
              <w:rPr>
                <w:rFonts w:asciiTheme="minorEastAsia" w:hAnsiTheme="minorEastAsia" w:eastAsiaTheme="minorEastAsia"/>
                <w:sz w:val="18"/>
                <w:szCs w:val="18"/>
              </w:rPr>
              <w:t>g/100 g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  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                     ≤</w:t>
            </w:r>
          </w:p>
        </w:tc>
        <w:tc>
          <w:tcPr>
            <w:tcW w:w="1770" w:type="dxa"/>
            <w:vAlign w:val="center"/>
          </w:tcPr>
          <w:p w14:paraId="19F6AAE1">
            <w:pPr>
              <w:widowControl w:val="0"/>
              <w:spacing w:before="66" w:line="22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17.0</w:t>
            </w:r>
          </w:p>
        </w:tc>
        <w:tc>
          <w:tcPr>
            <w:tcW w:w="3208" w:type="dxa"/>
          </w:tcPr>
          <w:p w14:paraId="211AC627">
            <w:pPr>
              <w:widowControl w:val="0"/>
              <w:spacing w:before="66" w:line="226" w:lineRule="auto"/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GB 5009.3</w:t>
            </w:r>
          </w:p>
        </w:tc>
      </w:tr>
      <w:tr w14:paraId="4CA9C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vAlign w:val="center"/>
          </w:tcPr>
          <w:p w14:paraId="11A61FEB">
            <w:pPr>
              <w:widowControl w:val="0"/>
              <w:spacing w:before="66" w:line="226" w:lineRule="auto"/>
              <w:jc w:val="both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总灰分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，g/100 g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                    ≤</w:t>
            </w:r>
          </w:p>
        </w:tc>
        <w:tc>
          <w:tcPr>
            <w:tcW w:w="1770" w:type="dxa"/>
            <w:vAlign w:val="center"/>
          </w:tcPr>
          <w:p w14:paraId="7CAEE769">
            <w:pPr>
              <w:widowControl w:val="0"/>
              <w:spacing w:before="66" w:line="226" w:lineRule="auto"/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3.2</w:t>
            </w:r>
          </w:p>
        </w:tc>
        <w:tc>
          <w:tcPr>
            <w:tcW w:w="3208" w:type="dxa"/>
          </w:tcPr>
          <w:p w14:paraId="4B5DE8A4">
            <w:pPr>
              <w:widowControl w:val="0"/>
              <w:spacing w:before="66" w:line="226" w:lineRule="auto"/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GB 5009.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 第一法</w:t>
            </w:r>
          </w:p>
        </w:tc>
      </w:tr>
      <w:tr w14:paraId="09EBC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vAlign w:val="center"/>
          </w:tcPr>
          <w:p w14:paraId="251D5F04">
            <w:pPr>
              <w:widowControl/>
              <w:jc w:val="both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bidi="ar"/>
              </w:rPr>
              <w:t>多糖（以无水葡萄糖计）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bidi="ar"/>
              </w:rPr>
              <w:t xml:space="preserve">%  </w:t>
            </w:r>
            <w:r>
              <w:rPr>
                <w:rFonts w:cs="宋体" w:asciiTheme="minorEastAsia" w:hAnsiTheme="minorEastAsia" w:eastAsiaTheme="minorEastAsia"/>
                <w:sz w:val="18"/>
                <w:szCs w:val="18"/>
                <w:lang w:bidi="ar"/>
              </w:rPr>
              <w:t xml:space="preserve">           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≥</w:t>
            </w:r>
          </w:p>
        </w:tc>
        <w:tc>
          <w:tcPr>
            <w:tcW w:w="1770" w:type="dxa"/>
            <w:vAlign w:val="center"/>
          </w:tcPr>
          <w:p w14:paraId="294DF1FE">
            <w:pPr>
              <w:widowControl w:val="0"/>
              <w:spacing w:before="66" w:line="226" w:lineRule="auto"/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0.90</w:t>
            </w:r>
          </w:p>
        </w:tc>
        <w:tc>
          <w:tcPr>
            <w:tcW w:w="3208" w:type="dxa"/>
          </w:tcPr>
          <w:p w14:paraId="6B96904D">
            <w:pPr>
              <w:widowControl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bidi="ar"/>
              </w:rPr>
              <w:t>中华人民共和国药典（2020年版）</w:t>
            </w:r>
          </w:p>
          <w:p w14:paraId="25B7B0BB">
            <w:pPr>
              <w:widowControl/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 w:bidi="ar"/>
              </w:rPr>
              <w:t>第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bidi="ar"/>
              </w:rPr>
              <w:t>一部 灵芝多糖检测</w:t>
            </w:r>
          </w:p>
        </w:tc>
      </w:tr>
    </w:tbl>
    <w:p w14:paraId="4D0E064F">
      <w:pPr>
        <w:spacing w:before="66" w:line="226" w:lineRule="auto"/>
        <w:rPr>
          <w:rFonts w:cs="宋体" w:asciiTheme="minorEastAsia" w:hAnsiTheme="minorEastAsia" w:eastAsiaTheme="minorEastAsia"/>
        </w:rPr>
      </w:pPr>
    </w:p>
    <w:p w14:paraId="6BF474D7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spacing w:line="360" w:lineRule="auto"/>
        <w:outlineLvl w:val="0"/>
        <w:rPr>
          <w:rFonts w:cs="黑体" w:asciiTheme="minorEastAsia" w:hAnsiTheme="minorEastAsia" w:eastAsiaTheme="minorEastAsia"/>
          <w:spacing w:val="2"/>
        </w:rPr>
      </w:pPr>
      <w:r>
        <w:rPr>
          <w:rFonts w:hint="eastAsia" w:ascii="黑体" w:hAnsi="黑体" w:eastAsia="黑体" w:cs="黑体"/>
          <w:spacing w:val="2"/>
        </w:rPr>
        <w:t>3.4 污染物限量</w:t>
      </w:r>
    </w:p>
    <w:p w14:paraId="036BC131">
      <w:pPr>
        <w:pStyle w:val="16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wordWrap/>
        <w:overflowPunct/>
        <w:topLinePunct w:val="0"/>
        <w:autoSpaceDE w:val="0"/>
        <w:autoSpaceDN w:val="0"/>
        <w:bidi w:val="0"/>
        <w:spacing w:line="360" w:lineRule="auto"/>
        <w:ind w:left="0" w:firstLine="420"/>
        <w:rPr>
          <w:rFonts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napToGrid w:val="0"/>
          <w:color w:val="000000"/>
          <w:szCs w:val="21"/>
        </w:rPr>
        <w:t>污染物限量应符合表2的规定。</w:t>
      </w:r>
    </w:p>
    <w:p w14:paraId="6717FE43">
      <w:pPr>
        <w:pStyle w:val="27"/>
        <w:numPr>
          <w:ilvl w:val="0"/>
          <w:numId w:val="0"/>
        </w:numPr>
        <w:spacing w:before="120" w:after="120"/>
        <w:rPr>
          <w:rFonts w:cs="宋体" w:asciiTheme="minorEastAsia" w:hAnsiTheme="minorEastAsia" w:eastAsiaTheme="minorEastAsia"/>
          <w:snapToGrid w:val="0"/>
          <w:color w:val="000000"/>
          <w:szCs w:val="21"/>
        </w:rPr>
      </w:pPr>
      <w:r>
        <w:rPr>
          <w:rFonts w:hint="eastAsia" w:cs="宋体" w:asciiTheme="minorEastAsia" w:hAnsiTheme="minorEastAsia" w:eastAsiaTheme="minorEastAsia"/>
          <w:snapToGrid w:val="0"/>
          <w:color w:val="000000"/>
          <w:szCs w:val="21"/>
        </w:rPr>
        <w:t>表2 污染物限量</w:t>
      </w:r>
    </w:p>
    <w:tbl>
      <w:tblPr>
        <w:tblStyle w:val="7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1736"/>
        <w:gridCol w:w="3190"/>
      </w:tblGrid>
      <w:tr w14:paraId="69A939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tcBorders>
              <w:top w:val="single" w:color="auto" w:sz="8" w:space="0"/>
              <w:bottom w:val="single" w:color="auto" w:sz="8" w:space="0"/>
            </w:tcBorders>
          </w:tcPr>
          <w:p w14:paraId="4BC946C4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项  目</w:t>
            </w:r>
          </w:p>
        </w:tc>
        <w:tc>
          <w:tcPr>
            <w:tcW w:w="1736" w:type="dxa"/>
            <w:tcBorders>
              <w:top w:val="single" w:color="auto" w:sz="8" w:space="0"/>
              <w:bottom w:val="single" w:color="auto" w:sz="8" w:space="0"/>
            </w:tcBorders>
          </w:tcPr>
          <w:p w14:paraId="368640E1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指  标</w:t>
            </w:r>
          </w:p>
        </w:tc>
        <w:tc>
          <w:tcPr>
            <w:tcW w:w="3190" w:type="dxa"/>
            <w:tcBorders>
              <w:top w:val="single" w:color="auto" w:sz="8" w:space="0"/>
              <w:bottom w:val="single" w:color="auto" w:sz="8" w:space="0"/>
            </w:tcBorders>
          </w:tcPr>
          <w:p w14:paraId="7C490465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检验方法</w:t>
            </w:r>
          </w:p>
        </w:tc>
      </w:tr>
      <w:tr w14:paraId="699B28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tcBorders>
              <w:bottom w:val="single" w:color="auto" w:sz="4" w:space="0"/>
            </w:tcBorders>
          </w:tcPr>
          <w:p w14:paraId="466A35C5"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铅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（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以Pb计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）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，mg/kg          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 ≤</w:t>
            </w:r>
          </w:p>
        </w:tc>
        <w:tc>
          <w:tcPr>
            <w:tcW w:w="1736" w:type="dxa"/>
            <w:tcBorders>
              <w:bottom w:val="single" w:color="auto" w:sz="4" w:space="0"/>
            </w:tcBorders>
          </w:tcPr>
          <w:p w14:paraId="7DA1A079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1.0</w:t>
            </w:r>
          </w:p>
        </w:tc>
        <w:tc>
          <w:tcPr>
            <w:tcW w:w="3190" w:type="dxa"/>
            <w:tcBorders>
              <w:bottom w:val="single" w:color="auto" w:sz="4" w:space="0"/>
            </w:tcBorders>
          </w:tcPr>
          <w:p w14:paraId="540C4324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GB 5009.12</w:t>
            </w:r>
          </w:p>
        </w:tc>
      </w:tr>
      <w:tr w14:paraId="4092AD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tcBorders>
              <w:top w:val="single" w:color="auto" w:sz="4" w:space="0"/>
              <w:bottom w:val="single" w:color="auto" w:sz="4" w:space="0"/>
            </w:tcBorders>
          </w:tcPr>
          <w:p w14:paraId="37D61D7E"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镉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（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以Cd计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）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，mg/kg           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≤</w:t>
            </w:r>
          </w:p>
        </w:tc>
        <w:tc>
          <w:tcPr>
            <w:tcW w:w="1736" w:type="dxa"/>
            <w:tcBorders>
              <w:top w:val="single" w:color="auto" w:sz="4" w:space="0"/>
              <w:bottom w:val="single" w:color="auto" w:sz="4" w:space="0"/>
            </w:tcBorders>
          </w:tcPr>
          <w:p w14:paraId="4A2F463C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0.5</w:t>
            </w:r>
          </w:p>
        </w:tc>
        <w:tc>
          <w:tcPr>
            <w:tcW w:w="3190" w:type="dxa"/>
            <w:tcBorders>
              <w:top w:val="single" w:color="auto" w:sz="4" w:space="0"/>
              <w:bottom w:val="single" w:color="auto" w:sz="4" w:space="0"/>
            </w:tcBorders>
          </w:tcPr>
          <w:p w14:paraId="03DF7215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GB 5009.15</w:t>
            </w:r>
          </w:p>
        </w:tc>
      </w:tr>
      <w:tr w14:paraId="16D94F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tcBorders>
              <w:top w:val="single" w:color="auto" w:sz="4" w:space="0"/>
              <w:bottom w:val="single" w:color="auto" w:sz="4" w:space="0"/>
            </w:tcBorders>
          </w:tcPr>
          <w:p w14:paraId="702CCD08"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总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汞（以Hg计），mg/kg   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  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        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≤</w:t>
            </w:r>
          </w:p>
        </w:tc>
        <w:tc>
          <w:tcPr>
            <w:tcW w:w="1736" w:type="dxa"/>
            <w:tcBorders>
              <w:top w:val="single" w:color="auto" w:sz="4" w:space="0"/>
              <w:bottom w:val="single" w:color="auto" w:sz="4" w:space="0"/>
            </w:tcBorders>
          </w:tcPr>
          <w:p w14:paraId="73B06675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0.1</w:t>
            </w:r>
          </w:p>
        </w:tc>
        <w:tc>
          <w:tcPr>
            <w:tcW w:w="3190" w:type="dxa"/>
            <w:tcBorders>
              <w:top w:val="single" w:color="auto" w:sz="4" w:space="0"/>
              <w:bottom w:val="single" w:color="auto" w:sz="4" w:space="0"/>
            </w:tcBorders>
          </w:tcPr>
          <w:p w14:paraId="201D33C6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GB 5009.17</w:t>
            </w:r>
          </w:p>
        </w:tc>
      </w:tr>
      <w:tr w14:paraId="4183AF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tcBorders>
              <w:top w:val="single" w:color="auto" w:sz="4" w:space="0"/>
              <w:bottom w:val="single" w:color="auto" w:sz="8" w:space="0"/>
            </w:tcBorders>
          </w:tcPr>
          <w:p w14:paraId="4EB4D2CC"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总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砷（以As计），mg/kg                  ≤</w:t>
            </w:r>
          </w:p>
        </w:tc>
        <w:tc>
          <w:tcPr>
            <w:tcW w:w="1736" w:type="dxa"/>
            <w:tcBorders>
              <w:top w:val="single" w:color="auto" w:sz="4" w:space="0"/>
              <w:bottom w:val="single" w:color="auto" w:sz="8" w:space="0"/>
            </w:tcBorders>
          </w:tcPr>
          <w:p w14:paraId="2B4247C5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1.0</w:t>
            </w:r>
          </w:p>
        </w:tc>
        <w:tc>
          <w:tcPr>
            <w:tcW w:w="3190" w:type="dxa"/>
            <w:tcBorders>
              <w:top w:val="single" w:color="auto" w:sz="4" w:space="0"/>
              <w:bottom w:val="single" w:color="auto" w:sz="8" w:space="0"/>
            </w:tcBorders>
          </w:tcPr>
          <w:p w14:paraId="257636F4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GB 5009.11</w:t>
            </w:r>
          </w:p>
        </w:tc>
      </w:tr>
    </w:tbl>
    <w:p w14:paraId="170CA6B5">
      <w:pPr>
        <w:spacing w:before="66" w:line="226" w:lineRule="auto"/>
        <w:rPr>
          <w:rFonts w:cs="宋体" w:asciiTheme="minorEastAsia" w:hAnsiTheme="minorEastAsia" w:eastAsiaTheme="minorEastAsia"/>
        </w:rPr>
      </w:pPr>
    </w:p>
    <w:p w14:paraId="155D9FA0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spacing w:line="360" w:lineRule="auto"/>
        <w:outlineLvl w:val="0"/>
        <w:rPr>
          <w:rFonts w:hint="eastAsia" w:ascii="黑体" w:hAnsi="黑体" w:eastAsia="黑体" w:cs="黑体"/>
          <w:spacing w:val="2"/>
        </w:rPr>
      </w:pPr>
      <w:r>
        <w:rPr>
          <w:rFonts w:hint="eastAsia" w:ascii="黑体" w:hAnsi="黑体" w:eastAsia="黑体" w:cs="黑体"/>
          <w:spacing w:val="2"/>
        </w:rPr>
        <w:t>3.5 农药残留限量</w:t>
      </w:r>
    </w:p>
    <w:p w14:paraId="0A79BDC8">
      <w:pPr>
        <w:pStyle w:val="16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wordWrap/>
        <w:overflowPunct/>
        <w:topLinePunct w:val="0"/>
        <w:autoSpaceDE w:val="0"/>
        <w:autoSpaceDN w:val="0"/>
        <w:bidi w:val="0"/>
        <w:spacing w:line="360" w:lineRule="auto"/>
        <w:ind w:left="0" w:firstLine="420"/>
        <w:rPr>
          <w:rFonts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napToGrid w:val="0"/>
          <w:color w:val="000000"/>
          <w:szCs w:val="21"/>
        </w:rPr>
        <w:t>农药残留应符合GB 2763的规定。</w:t>
      </w:r>
    </w:p>
    <w:p w14:paraId="4782F272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spacing w:line="360" w:lineRule="auto"/>
        <w:outlineLvl w:val="0"/>
        <w:rPr>
          <w:rFonts w:hint="eastAsia" w:ascii="黑体" w:hAnsi="黑体" w:eastAsia="黑体" w:cs="黑体"/>
          <w:spacing w:val="2"/>
        </w:rPr>
      </w:pPr>
      <w:bookmarkStart w:id="5" w:name="_bookmark4"/>
      <w:bookmarkEnd w:id="5"/>
      <w:r>
        <w:rPr>
          <w:rFonts w:hint="eastAsia" w:ascii="黑体" w:hAnsi="黑体" w:eastAsia="黑体" w:cs="黑体"/>
          <w:spacing w:val="2"/>
        </w:rPr>
        <w:t>4 其他</w:t>
      </w:r>
    </w:p>
    <w:p w14:paraId="712E92A5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spacing w:line="360" w:lineRule="auto"/>
        <w:rPr>
          <w:rFonts w:cs="宋体" w:asciiTheme="minorEastAsia" w:hAnsiTheme="minorEastAsia" w:eastAsiaTheme="minorEastAsia"/>
        </w:rPr>
      </w:pPr>
      <w:bookmarkStart w:id="6" w:name="_bookmark5"/>
      <w:bookmarkEnd w:id="6"/>
      <w:r>
        <w:rPr>
          <w:rFonts w:hint="eastAsia" w:ascii="黑体" w:hAnsi="黑体" w:eastAsia="黑体" w:cs="黑体"/>
        </w:rPr>
        <w:t>4.1</w:t>
      </w:r>
      <w:r>
        <w:rPr>
          <w:rFonts w:hint="eastAsia" w:ascii="黑体" w:hAnsi="黑体" w:eastAsia="黑体" w:cs="黑体"/>
          <w:lang w:val="en-US" w:eastAsia="zh-CN"/>
        </w:rPr>
        <w:t xml:space="preserve"> </w:t>
      </w:r>
      <w:r>
        <w:rPr>
          <w:rFonts w:hint="eastAsia" w:cs="宋体" w:asciiTheme="minorEastAsia" w:hAnsiTheme="minorEastAsia" w:eastAsiaTheme="minorEastAsia"/>
        </w:rPr>
        <w:t>灵芝推荐食用量≤5克/天。</w:t>
      </w:r>
    </w:p>
    <w:p w14:paraId="13360A48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spacing w:line="360" w:lineRule="auto"/>
        <w:rPr>
          <w:rFonts w:cs="宋体" w:asciiTheme="minorEastAsia" w:hAnsiTheme="minorEastAsia" w:eastAsiaTheme="minorEastAsia"/>
        </w:rPr>
      </w:pPr>
      <w:r>
        <w:rPr>
          <w:rFonts w:hint="eastAsia" w:ascii="黑体" w:hAnsi="黑体" w:eastAsia="黑体" w:cs="黑体"/>
        </w:rPr>
        <w:t>4.</w:t>
      </w:r>
      <w:r>
        <w:rPr>
          <w:rFonts w:hint="eastAsia" w:ascii="黑体" w:hAnsi="黑体" w:eastAsia="黑体" w:cs="黑体"/>
          <w:lang w:val="en-US" w:eastAsia="zh-CN"/>
        </w:rPr>
        <w:t xml:space="preserve">2 </w:t>
      </w:r>
      <w:r>
        <w:rPr>
          <w:rFonts w:hint="eastAsia" w:cs="宋体" w:asciiTheme="minorEastAsia" w:hAnsiTheme="minorEastAsia" w:eastAsiaTheme="minorEastAsia"/>
        </w:rPr>
        <w:t>以灵芝做食品原料，成品折算日摄入总量不应超过“推荐食用量”。</w:t>
      </w:r>
    </w:p>
    <w:p w14:paraId="504BE181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spacing w:line="360" w:lineRule="auto"/>
        <w:rPr>
          <w:rFonts w:cs="宋体" w:asciiTheme="minorEastAsia" w:hAnsiTheme="minorEastAsia" w:eastAsiaTheme="minorEastAsia"/>
        </w:rPr>
      </w:pPr>
      <w:r>
        <w:rPr>
          <w:rFonts w:hint="eastAsia" w:ascii="黑体" w:hAnsi="黑体" w:eastAsia="黑体" w:cs="黑体"/>
        </w:rPr>
        <w:t>4.3</w:t>
      </w:r>
      <w:r>
        <w:rPr>
          <w:rFonts w:hint="eastAsia" w:ascii="黑体" w:hAnsi="黑体" w:eastAsia="黑体" w:cs="黑体"/>
          <w:lang w:val="en-US" w:eastAsia="zh-CN"/>
        </w:rPr>
        <w:t xml:space="preserve"> </w:t>
      </w:r>
      <w:r>
        <w:rPr>
          <w:rFonts w:hint="eastAsia" w:cs="宋体" w:asciiTheme="minorEastAsia" w:hAnsiTheme="minorEastAsia" w:eastAsiaTheme="minorEastAsia"/>
        </w:rPr>
        <w:t>含灵芝的食品产品标签应标示“婴幼儿、孕妇及乳母不宜食用”等警示语。</w:t>
      </w:r>
    </w:p>
    <w:p w14:paraId="5DC5D70F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spacing w:line="360" w:lineRule="auto"/>
        <w:jc w:val="both"/>
        <w:rPr>
          <w:rFonts w:cs="宋体" w:asciiTheme="minorEastAsia" w:hAnsiTheme="minorEastAsia" w:eastAsiaTheme="minorEastAsia"/>
        </w:rPr>
      </w:pPr>
      <w:r>
        <w:rPr>
          <w:rFonts w:hint="eastAsia" w:ascii="黑体" w:hAnsi="黑体" w:eastAsia="黑体" w:cs="黑体"/>
          <w:b w:val="0"/>
          <w:bCs w:val="0"/>
        </w:rPr>
        <w:t>4.4</w:t>
      </w:r>
      <w:r>
        <w:rPr>
          <w:rFonts w:hint="eastAsia" w:ascii="黑体" w:hAnsi="黑体" w:eastAsia="黑体" w:cs="黑体"/>
          <w:b w:val="0"/>
          <w:bCs w:val="0"/>
          <w:lang w:val="en-US" w:eastAsia="zh-CN"/>
        </w:rPr>
        <w:t xml:space="preserve"> </w:t>
      </w:r>
      <w:r>
        <w:rPr>
          <w:rFonts w:hint="eastAsia" w:cs="宋体" w:asciiTheme="minorEastAsia" w:hAnsiTheme="minorEastAsia" w:eastAsiaTheme="minorEastAsia"/>
        </w:rPr>
        <w:t>灵芝作为食品原料不应使用破壁、炮制、分离、纯化、萃取等强调药品属性工艺，仅适用于粉碎</w:t>
      </w:r>
      <w:r>
        <w:rPr>
          <w:rFonts w:hint="eastAsia" w:cs="宋体" w:asciiTheme="minorEastAsia" w:hAnsiTheme="minorEastAsia" w:eastAsiaTheme="minorEastAsia"/>
          <w:lang w:eastAsia="zh-CN"/>
        </w:rPr>
        <w:t>、</w:t>
      </w:r>
      <w:r>
        <w:rPr>
          <w:rFonts w:hint="eastAsia" w:cs="宋体" w:asciiTheme="minorEastAsia" w:hAnsiTheme="minorEastAsia" w:eastAsiaTheme="minorEastAsia"/>
        </w:rPr>
        <w:t>切片、水煮(冲泡)、泡酒等传统生产加工工艺；其产品标签、说明书、广告、宣传不应涉及疾病预防及治疗功能等内容。</w:t>
      </w:r>
    </w:p>
    <w:p w14:paraId="6251606C">
      <w:pPr>
        <w:spacing w:line="309" w:lineRule="auto"/>
        <w:jc w:val="center"/>
        <w:rPr>
          <w:rFonts w:cs="宋体" w:asciiTheme="minorEastAsia" w:hAnsiTheme="minorEastAsia" w:eastAsiaTheme="minorEastAsia"/>
          <w:position w:val="10"/>
        </w:rPr>
      </w:pPr>
      <w:r>
        <w:rPr>
          <w:rFonts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1219835</wp:posOffset>
                </wp:positionH>
                <wp:positionV relativeFrom="paragraph">
                  <wp:posOffset>168910</wp:posOffset>
                </wp:positionV>
                <wp:extent cx="3192145" cy="8255"/>
                <wp:effectExtent l="0" t="4445" r="8255" b="63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121535" y="4969510"/>
                          <a:ext cx="3192145" cy="8255"/>
                        </a:xfrm>
                        <a:prstGeom prst="line">
                          <a:avLst/>
                        </a:prstGeom>
                        <a:ln w="0" cmpd="sng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96.05pt;margin-top:13.3pt;height:0.65pt;width:251.35pt;z-index:251659264;mso-width-relative:page;mso-height-relative:page;" filled="f" stroked="t" coordsize="21600,21600" o:gfxdata="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REDC49UAAAAJAQAADwAAAAAAAAABACAAAAAiAAAAZHJzL2Rv&#10;d25yZXYueG1sUEsBAhQAFAAAAAgAh07iQOqVEZ4EAgAA6QMAAA4AAAAAAAAAAQAgAAAAJAEAAGRy&#10;cy9lMm9Eb2MueG1sUEsFBgAAAAAGAAYAWQEAAJoFAAAAAA==&#10;">
                <v:fill on="f" focussize="0,0"/>
                <v:stroke weight="0pt" color="#404040 [2429]" joinstyle="round"/>
                <v:imagedata o:title=""/>
                <o:lock v:ext="edit" aspectratio="f"/>
              </v:line>
            </w:pict>
          </mc:Fallback>
        </mc:AlternateContent>
      </w:r>
    </w:p>
    <w:p w14:paraId="57F39708">
      <w:pPr>
        <w:spacing w:line="309" w:lineRule="auto"/>
        <w:jc w:val="center"/>
        <w:rPr>
          <w:rFonts w:cs="宋体" w:asciiTheme="minorEastAsia" w:hAnsiTheme="minorEastAsia" w:eastAsiaTheme="minorEastAsia"/>
          <w:position w:val="10"/>
        </w:rPr>
      </w:pPr>
    </w:p>
    <w:p w14:paraId="31743868">
      <w:pPr>
        <w:spacing w:line="309" w:lineRule="auto"/>
        <w:jc w:val="center"/>
        <w:rPr>
          <w:rFonts w:cs="宋体" w:asciiTheme="minorEastAsia" w:hAnsiTheme="minorEastAsia" w:eastAsiaTheme="minorEastAsia"/>
          <w:position w:val="10"/>
        </w:rPr>
      </w:pPr>
    </w:p>
    <w:p w14:paraId="68C262DF">
      <w:pPr>
        <w:spacing w:line="309" w:lineRule="auto"/>
        <w:jc w:val="center"/>
        <w:rPr>
          <w:rFonts w:cs="宋体" w:asciiTheme="minorEastAsia" w:hAnsiTheme="minorEastAsia" w:eastAsiaTheme="minorEastAsia"/>
          <w:color w:val="595959" w:themeColor="text1" w:themeTint="A6"/>
          <w:position w:val="1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766A407E">
      <w:pPr>
        <w:spacing w:line="309" w:lineRule="auto"/>
        <w:jc w:val="center"/>
        <w:rPr>
          <w:rFonts w:cs="宋体" w:asciiTheme="minorEastAsia" w:hAnsiTheme="minorEastAsia" w:eastAsiaTheme="minorEastAsia"/>
          <w:position w:val="10"/>
        </w:rPr>
      </w:pPr>
    </w:p>
    <w:p w14:paraId="30227B39">
      <w:pPr>
        <w:spacing w:line="309" w:lineRule="auto"/>
        <w:jc w:val="center"/>
        <w:rPr>
          <w:rFonts w:cs="宋体" w:asciiTheme="minorEastAsia" w:hAnsiTheme="minorEastAsia" w:eastAsiaTheme="minorEastAsia"/>
          <w:position w:val="10"/>
        </w:rPr>
      </w:pPr>
    </w:p>
    <w:p w14:paraId="4369D660">
      <w:pPr>
        <w:spacing w:line="309" w:lineRule="auto"/>
        <w:jc w:val="center"/>
        <w:rPr>
          <w:rFonts w:cs="宋体" w:asciiTheme="minorEastAsia" w:hAnsiTheme="minorEastAsia" w:eastAsiaTheme="minorEastAsia"/>
          <w:position w:val="10"/>
        </w:rPr>
      </w:pPr>
    </w:p>
    <w:p w14:paraId="375C712D">
      <w:pPr>
        <w:spacing w:line="309" w:lineRule="auto"/>
        <w:jc w:val="center"/>
        <w:rPr>
          <w:rFonts w:cs="宋体" w:asciiTheme="minorEastAsia" w:hAnsiTheme="minorEastAsia" w:eastAsiaTheme="minorEastAsia"/>
          <w:position w:val="10"/>
        </w:rPr>
      </w:pPr>
    </w:p>
    <w:p w14:paraId="70B70303">
      <w:pPr>
        <w:spacing w:line="309" w:lineRule="auto"/>
        <w:jc w:val="center"/>
        <w:rPr>
          <w:rFonts w:cs="宋体" w:asciiTheme="minorEastAsia" w:hAnsiTheme="minorEastAsia" w:eastAsiaTheme="minorEastAsia"/>
          <w:position w:val="10"/>
        </w:rPr>
      </w:pPr>
    </w:p>
    <w:p w14:paraId="34C316BC">
      <w:pPr>
        <w:spacing w:line="309" w:lineRule="auto"/>
        <w:jc w:val="center"/>
        <w:rPr>
          <w:rFonts w:cs="宋体" w:asciiTheme="minorEastAsia" w:hAnsiTheme="minorEastAsia" w:eastAsiaTheme="minorEastAsia"/>
          <w:position w:val="10"/>
        </w:rPr>
      </w:pPr>
    </w:p>
    <w:p w14:paraId="46ECCA7A">
      <w:pPr>
        <w:spacing w:line="309" w:lineRule="auto"/>
        <w:jc w:val="center"/>
        <w:rPr>
          <w:rFonts w:cs="宋体" w:asciiTheme="minorEastAsia" w:hAnsiTheme="minorEastAsia" w:eastAsiaTheme="minorEastAsia"/>
          <w:position w:val="10"/>
        </w:rPr>
      </w:pPr>
    </w:p>
    <w:p w14:paraId="0B32EC12">
      <w:pPr>
        <w:spacing w:line="309" w:lineRule="auto"/>
        <w:jc w:val="center"/>
        <w:rPr>
          <w:rFonts w:cs="宋体" w:asciiTheme="minorEastAsia" w:hAnsiTheme="minorEastAsia" w:eastAsiaTheme="minorEastAsia"/>
          <w:position w:val="10"/>
        </w:rPr>
      </w:pPr>
    </w:p>
    <w:p w14:paraId="747A1107">
      <w:pPr>
        <w:spacing w:line="309" w:lineRule="auto"/>
        <w:jc w:val="center"/>
        <w:rPr>
          <w:rFonts w:cs="宋体" w:asciiTheme="minorEastAsia" w:hAnsiTheme="minorEastAsia" w:eastAsiaTheme="minorEastAsia"/>
          <w:position w:val="10"/>
        </w:rPr>
      </w:pPr>
    </w:p>
    <w:p w14:paraId="7D6AB166">
      <w:pPr>
        <w:spacing w:line="309" w:lineRule="auto"/>
        <w:jc w:val="center"/>
        <w:rPr>
          <w:rFonts w:cs="宋体" w:asciiTheme="minorEastAsia" w:hAnsiTheme="minorEastAsia" w:eastAsiaTheme="minorEastAsia"/>
          <w:position w:val="10"/>
        </w:rPr>
      </w:pPr>
    </w:p>
    <w:p w14:paraId="0EBC6C94">
      <w:pPr>
        <w:spacing w:line="309" w:lineRule="auto"/>
        <w:jc w:val="center"/>
        <w:rPr>
          <w:rFonts w:cs="宋体" w:asciiTheme="minorEastAsia" w:hAnsiTheme="minorEastAsia" w:eastAsiaTheme="minorEastAsia"/>
          <w:position w:val="10"/>
        </w:rPr>
      </w:pPr>
    </w:p>
    <w:p w14:paraId="7753287B">
      <w:pPr>
        <w:spacing w:line="309" w:lineRule="auto"/>
        <w:jc w:val="both"/>
        <w:rPr>
          <w:rFonts w:cs="宋体" w:asciiTheme="minorEastAsia" w:hAnsiTheme="minorEastAsia" w:eastAsiaTheme="minorEastAsia"/>
          <w:position w:val="10"/>
        </w:rPr>
      </w:pPr>
    </w:p>
    <w:sectPr>
      <w:footerReference r:id="rId9" w:type="default"/>
      <w:pgSz w:w="11906" w:h="16839"/>
      <w:pgMar w:top="1406" w:right="1080" w:bottom="1313" w:left="1420" w:header="0" w:footer="1134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A7BAB7">
    <w:pPr>
      <w:pStyle w:val="4"/>
      <w:tabs>
        <w:tab w:val="left" w:pos="360"/>
      </w:tabs>
      <w:ind w:left="8715"/>
      <w:rPr>
        <w:rStyle w:val="10"/>
      </w:rPr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DFEA70">
                          <w:pPr>
                            <w:pStyle w:val="4"/>
                            <w:tabs>
                              <w:tab w:val="left" w:pos="360"/>
                            </w:tabs>
                            <w:jc w:val="both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lHcD8IBAACNAwAADgAAAGRycy9lMm9Eb2MueG1srVPNjtMwEL4j8Q6W&#10;79TZHlA3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TUauAeH2kLBw6SejjlBTMZxSYTRtVF6Dx/eS9fAXbf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CJR3A/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FDFEA70">
                    <w:pPr>
                      <w:pStyle w:val="4"/>
                      <w:tabs>
                        <w:tab w:val="left" w:pos="360"/>
                      </w:tabs>
                      <w:jc w:val="both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6D402">
    <w:pPr>
      <w:pStyle w:val="4"/>
      <w:tabs>
        <w:tab w:val="left" w:pos="360"/>
      </w:tabs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746AE5">
    <w:pPr>
      <w:spacing w:line="192" w:lineRule="auto"/>
      <w:ind w:right="225"/>
      <w:jc w:val="right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spacing w:val="-3"/>
        <w:sz w:val="17"/>
        <w:szCs w:val="17"/>
      </w:rPr>
      <w:t>II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8033AE">
    <w:pPr>
      <w:spacing w:line="194" w:lineRule="auto"/>
      <w:ind w:right="266"/>
      <w:jc w:val="right"/>
      <w:rPr>
        <w:rFonts w:ascii="宋体" w:hAnsi="宋体" w:eastAsia="宋体" w:cs="宋体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7EDF03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7EDF03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C82B21">
    <w:pPr>
      <w:pStyle w:val="5"/>
      <w:tabs>
        <w:tab w:val="left" w:pos="360"/>
        <w:tab w:val="left" w:pos="1858"/>
        <w:tab w:val="center" w:pos="5424"/>
      </w:tabs>
      <w:ind w:firstLine="1440" w:firstLineChars="800"/>
      <w:jc w:val="left"/>
    </w:pP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 xml:space="preserve">                                       </w:t>
    </w:r>
    <w:r>
      <w:rPr>
        <w:rFonts w:hint="eastAsia"/>
        <w:b/>
        <w:bCs/>
      </w:rPr>
      <w:t>DBS</w:t>
    </w:r>
    <w:r>
      <w:rPr>
        <w:rFonts w:hint="eastAsia"/>
      </w:rPr>
      <w:t xml:space="preserve"> </w:t>
    </w:r>
    <w:r>
      <w:rPr>
        <w:rFonts w:hint="eastAsia" w:ascii="黑体" w:hAnsi="黑体" w:eastAsia="黑体" w:cs="黑体"/>
      </w:rPr>
      <w:t>37/XXX -XXXX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383021">
    <w:pPr>
      <w:pStyle w:val="5"/>
      <w:tabs>
        <w:tab w:val="left" w:pos="36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282560">
    <w:pPr>
      <w:pStyle w:val="5"/>
    </w:pPr>
  </w:p>
  <w:p w14:paraId="3AB1BDFB">
    <w:pPr>
      <w:pStyle w:val="5"/>
    </w:pPr>
  </w:p>
  <w:p w14:paraId="78D0490D">
    <w:pPr>
      <w:pStyle w:val="5"/>
    </w:pPr>
  </w:p>
  <w:p w14:paraId="30007AE9">
    <w:pPr>
      <w:pStyle w:val="5"/>
    </w:pPr>
  </w:p>
  <w:p w14:paraId="3F8328BB">
    <w:pPr>
      <w:pStyle w:val="5"/>
    </w:pPr>
  </w:p>
  <w:p w14:paraId="0E713EB6">
    <w:pPr>
      <w:pStyle w:val="5"/>
      <w:jc w:val="right"/>
      <w:rPr>
        <w:rFonts w:eastAsia="宋体"/>
      </w:rPr>
    </w:pPr>
    <w:r>
      <w:rPr>
        <w:rFonts w:hint="eastAsia"/>
      </w:rPr>
      <w:t>DB</w:t>
    </w:r>
    <w:r>
      <w:rPr>
        <w:rFonts w:hint="eastAsia" w:eastAsia="宋体"/>
      </w:rPr>
      <w:t>S</w:t>
    </w:r>
    <w:r>
      <w:rPr>
        <w:rFonts w:hint="eastAsia"/>
      </w:rPr>
      <w:t xml:space="preserve"> 37/ </w:t>
    </w:r>
    <w:r>
      <w:rPr>
        <w:rFonts w:hint="eastAsia" w:eastAsia="宋体"/>
      </w:rPr>
      <w:t>003</w:t>
    </w:r>
    <w:r>
      <w:rPr>
        <w:rFonts w:hint="eastAsia"/>
      </w:rPr>
      <w:t>—</w:t>
    </w:r>
    <w:r>
      <w:rPr>
        <w:rFonts w:hint="eastAsia" w:eastAsia="宋体"/>
      </w:rPr>
      <w:t>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26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25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646260FA"/>
    <w:multiLevelType w:val="multilevel"/>
    <w:tmpl w:val="646260FA"/>
    <w:lvl w:ilvl="0" w:tentative="0">
      <w:start w:val="1"/>
      <w:numFmt w:val="decimal"/>
      <w:pStyle w:val="27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">
    <w:nsid w:val="6CEA2025"/>
    <w:multiLevelType w:val="multilevel"/>
    <w:tmpl w:val="6CEA2025"/>
    <w:lvl w:ilvl="0" w:tentative="0">
      <w:start w:val="1"/>
      <w:numFmt w:val="none"/>
      <w:pStyle w:val="15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71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3403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420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mVjOGRmYmM1OTc2YWI4Y2NmZWFjMDgyZWY5YTZmYTAifQ=="/>
  </w:docVars>
  <w:rsids>
    <w:rsidRoot w:val="00401D7A"/>
    <w:rsid w:val="0005787F"/>
    <w:rsid w:val="000C17E9"/>
    <w:rsid w:val="002B2684"/>
    <w:rsid w:val="00401D7A"/>
    <w:rsid w:val="00435987"/>
    <w:rsid w:val="005A2EE8"/>
    <w:rsid w:val="005F0B47"/>
    <w:rsid w:val="008A68A7"/>
    <w:rsid w:val="009B14E6"/>
    <w:rsid w:val="00DE7C51"/>
    <w:rsid w:val="00F4507B"/>
    <w:rsid w:val="010A29DC"/>
    <w:rsid w:val="020967F0"/>
    <w:rsid w:val="02145195"/>
    <w:rsid w:val="03724869"/>
    <w:rsid w:val="05CD4801"/>
    <w:rsid w:val="07E25DE9"/>
    <w:rsid w:val="07FE08AD"/>
    <w:rsid w:val="09866978"/>
    <w:rsid w:val="09966627"/>
    <w:rsid w:val="0A051FC0"/>
    <w:rsid w:val="0B8E12B8"/>
    <w:rsid w:val="0D2E5032"/>
    <w:rsid w:val="0D4918B9"/>
    <w:rsid w:val="0D872580"/>
    <w:rsid w:val="0EF24AA1"/>
    <w:rsid w:val="1259099D"/>
    <w:rsid w:val="160E2235"/>
    <w:rsid w:val="168B7804"/>
    <w:rsid w:val="16A82624"/>
    <w:rsid w:val="18D07D4F"/>
    <w:rsid w:val="1A534654"/>
    <w:rsid w:val="1AB21764"/>
    <w:rsid w:val="1ADF05DE"/>
    <w:rsid w:val="1BA222D2"/>
    <w:rsid w:val="1CB5136C"/>
    <w:rsid w:val="1D0205B4"/>
    <w:rsid w:val="1D443941"/>
    <w:rsid w:val="1D444728"/>
    <w:rsid w:val="1D4E73A2"/>
    <w:rsid w:val="20337402"/>
    <w:rsid w:val="206C0909"/>
    <w:rsid w:val="216D6944"/>
    <w:rsid w:val="238003B5"/>
    <w:rsid w:val="23C71C0F"/>
    <w:rsid w:val="23FF13A9"/>
    <w:rsid w:val="245931AF"/>
    <w:rsid w:val="260A783C"/>
    <w:rsid w:val="26C7110B"/>
    <w:rsid w:val="284D138F"/>
    <w:rsid w:val="28543E4C"/>
    <w:rsid w:val="29A55E42"/>
    <w:rsid w:val="2AE9690F"/>
    <w:rsid w:val="2B251087"/>
    <w:rsid w:val="2E434F91"/>
    <w:rsid w:val="304718DB"/>
    <w:rsid w:val="30A9101A"/>
    <w:rsid w:val="323D5255"/>
    <w:rsid w:val="337311E5"/>
    <w:rsid w:val="33FB54AA"/>
    <w:rsid w:val="34862CA1"/>
    <w:rsid w:val="35DE66ED"/>
    <w:rsid w:val="38AF6701"/>
    <w:rsid w:val="39331DC9"/>
    <w:rsid w:val="3C7159E0"/>
    <w:rsid w:val="3E8D26F0"/>
    <w:rsid w:val="41F83BB0"/>
    <w:rsid w:val="42DD469E"/>
    <w:rsid w:val="439F1050"/>
    <w:rsid w:val="43F45FB4"/>
    <w:rsid w:val="44AD5AB7"/>
    <w:rsid w:val="45375140"/>
    <w:rsid w:val="45A7159D"/>
    <w:rsid w:val="45AC0F39"/>
    <w:rsid w:val="465C6B5C"/>
    <w:rsid w:val="474C59F4"/>
    <w:rsid w:val="4795551B"/>
    <w:rsid w:val="47F646F8"/>
    <w:rsid w:val="47F7C6EF"/>
    <w:rsid w:val="48343AEC"/>
    <w:rsid w:val="489A3BEC"/>
    <w:rsid w:val="492E749F"/>
    <w:rsid w:val="49E656E9"/>
    <w:rsid w:val="4A25750C"/>
    <w:rsid w:val="4AA91EEB"/>
    <w:rsid w:val="4B932E33"/>
    <w:rsid w:val="4D0007BD"/>
    <w:rsid w:val="4EE235A7"/>
    <w:rsid w:val="4F1B712F"/>
    <w:rsid w:val="4F1C50A3"/>
    <w:rsid w:val="50BD347C"/>
    <w:rsid w:val="510635B2"/>
    <w:rsid w:val="51F53C68"/>
    <w:rsid w:val="52203C3B"/>
    <w:rsid w:val="52B4142D"/>
    <w:rsid w:val="543450D1"/>
    <w:rsid w:val="553C2C2E"/>
    <w:rsid w:val="584638DB"/>
    <w:rsid w:val="59260BAB"/>
    <w:rsid w:val="5C441A74"/>
    <w:rsid w:val="5D3F45A2"/>
    <w:rsid w:val="60E8476E"/>
    <w:rsid w:val="62637B56"/>
    <w:rsid w:val="62C31218"/>
    <w:rsid w:val="6439152D"/>
    <w:rsid w:val="645D087A"/>
    <w:rsid w:val="65956E9C"/>
    <w:rsid w:val="66E31E89"/>
    <w:rsid w:val="674768BC"/>
    <w:rsid w:val="679010BF"/>
    <w:rsid w:val="695439AB"/>
    <w:rsid w:val="6D3F3B91"/>
    <w:rsid w:val="6ED04123"/>
    <w:rsid w:val="6F346F87"/>
    <w:rsid w:val="6FBD596D"/>
    <w:rsid w:val="6FBF5F8B"/>
    <w:rsid w:val="707B0DFF"/>
    <w:rsid w:val="70A66401"/>
    <w:rsid w:val="70B84386"/>
    <w:rsid w:val="70F25973"/>
    <w:rsid w:val="71FC02A3"/>
    <w:rsid w:val="723C7EF1"/>
    <w:rsid w:val="73C71069"/>
    <w:rsid w:val="75C64E50"/>
    <w:rsid w:val="77E67A2B"/>
    <w:rsid w:val="78B07223"/>
    <w:rsid w:val="7CAF4BEA"/>
    <w:rsid w:val="7FEE59F6"/>
    <w:rsid w:val="EF7F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360"/>
      </w:tabs>
      <w:spacing w:before="260" w:after="260" w:line="416" w:lineRule="auto"/>
      <w:outlineLvl w:val="1"/>
    </w:pPr>
    <w:rPr>
      <w:rFonts w:eastAsia="黑体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1"/>
    <w:rPr>
      <w:rFonts w:hint="eastAsia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</w:pPr>
    <w:rPr>
      <w:rFonts w:cs="Times New Roman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qFormat/>
    <w:uiPriority w:val="0"/>
    <w:rPr>
      <w:rFonts w:ascii="Times New Roman" w:hAnsi="Times New Roman" w:eastAsia="宋体"/>
      <w:sz w:val="18"/>
    </w:rPr>
  </w:style>
  <w:style w:type="character" w:styleId="11">
    <w:name w:val="Emphasis"/>
    <w:basedOn w:val="9"/>
    <w:qFormat/>
    <w:uiPriority w:val="0"/>
    <w:rPr>
      <w:i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4">
    <w:name w:val="目次、标准名称标题"/>
    <w:basedOn w:val="15"/>
    <w:next w:val="16"/>
    <w:qFormat/>
    <w:uiPriority w:val="0"/>
    <w:pPr>
      <w:numPr>
        <w:numId w:val="0"/>
      </w:numPr>
      <w:tabs>
        <w:tab w:val="left" w:pos="360"/>
        <w:tab w:val="left" w:pos="9215"/>
      </w:tabs>
      <w:spacing w:line="460" w:lineRule="exact"/>
    </w:pPr>
  </w:style>
  <w:style w:type="paragraph" w:customStyle="1" w:styleId="15">
    <w:name w:val="前言、引言标题"/>
    <w:next w:val="1"/>
    <w:qFormat/>
    <w:uiPriority w:val="0"/>
    <w:pPr>
      <w:numPr>
        <w:ilvl w:val="0"/>
        <w:numId w:val="1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6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7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18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9">
    <w:name w:val="封面一致性程度标识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20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21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2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23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customStyle="1" w:styleId="24">
    <w:name w:val="二级无"/>
    <w:basedOn w:val="25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25">
    <w:name w:val="二级条标题"/>
    <w:basedOn w:val="26"/>
    <w:next w:val="16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26">
    <w:name w:val="一级条标题"/>
    <w:next w:val="16"/>
    <w:qFormat/>
    <w:uiPriority w:val="0"/>
    <w:pPr>
      <w:numPr>
        <w:ilvl w:val="1"/>
        <w:numId w:val="2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7">
    <w:name w:val="正文表标题"/>
    <w:next w:val="16"/>
    <w:qFormat/>
    <w:uiPriority w:val="0"/>
    <w:pPr>
      <w:numPr>
        <w:ilvl w:val="0"/>
        <w:numId w:val="3"/>
      </w:numPr>
      <w:tabs>
        <w:tab w:val="left" w:pos="360"/>
      </w:tabs>
      <w:spacing w:before="156" w:beforeLines="50" w:after="156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760</Words>
  <Characters>980</Characters>
  <Lines>9</Lines>
  <Paragraphs>2</Paragraphs>
  <TotalTime>0</TotalTime>
  <ScaleCrop>false</ScaleCrop>
  <LinksUpToDate>false</LinksUpToDate>
  <CharactersWithSpaces>1215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2023-03-09T22:24:00Z</dcterms:created>
  <dc:creator>Lenovo</dc:creator>
  <cp:lastModifiedBy>都市桃源主人</cp:lastModifiedBy>
  <cp:lastPrinted>2023-05-06T16:32:00Z</cp:lastPrinted>
  <dcterms:modified xsi:type="dcterms:W3CDTF">2025-01-14T06:42:40Z</dcterms:modified>
  <dc:title>地方标准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2023-03-10T10:44:38Z</vt:filetime>
  </property>
  <property fmtid="{D5CDD505-2E9C-101B-9397-08002B2CF9AE}" pid="4" name="KSOProductBuildVer">
    <vt:lpwstr>2052-12.1.0.19770</vt:lpwstr>
  </property>
  <property fmtid="{D5CDD505-2E9C-101B-9397-08002B2CF9AE}" pid="5" name="ICV">
    <vt:lpwstr>CE4B4878F7FC4176BBD3D459B50D8786_13</vt:lpwstr>
  </property>
  <property fmtid="{D5CDD505-2E9C-101B-9397-08002B2CF9AE}" pid="6" name="KSOTemplateDocerSaveRecord">
    <vt:lpwstr>eyJoZGlkIjoiM2U2Zjg1OTc5NWMzNWEzMWZiNTkxZjBhNTQzNDFkMWMiLCJ1c2VySWQiOiI0Njc5MjU1OTcifQ==</vt:lpwstr>
  </property>
</Properties>
</file>