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AD29C">
      <w:pPr>
        <w:pStyle w:val="31"/>
        <w:bidi w:val="0"/>
        <w:rPr>
          <w:rFonts w:hint="eastAsia"/>
          <w:lang w:val="en-US" w:eastAsia="zh-CN"/>
        </w:rPr>
      </w:pPr>
      <w:r>
        <w:rPr>
          <w:rFonts w:hint="eastAsia"/>
          <w:lang w:val="en-US" w:eastAsia="zh-CN"/>
        </w:rPr>
        <w:t>团体标准</w:t>
      </w:r>
    </w:p>
    <w:p w14:paraId="27683092">
      <w:pPr>
        <w:pStyle w:val="42"/>
        <w:bidi w:val="0"/>
        <w:rPr>
          <w:rFonts w:hint="eastAsia"/>
          <w:lang w:val="en-US" w:eastAsia="zh-CN"/>
        </w:rPr>
      </w:pPr>
      <w:bookmarkStart w:id="0" w:name="StandNo"/>
      <w:r>
        <w:rPr>
          <w:rFonts w:hint="eastAsia" w:ascii="黑体" w:hAnsi="Times New Roman" w:eastAsia="黑体" w:cs="Times New Roman"/>
          <w:sz w:val="28"/>
          <w:lang w:val="en-US" w:eastAsia="zh-CN"/>
        </w:rPr>
        <w:fldChar w:fldCharType="begin">
          <w:ffData>
            <w:name w:val="StandNo"/>
            <w:enabled/>
            <w:calcOnExit w:val="0"/>
            <w:textInput>
              <w:default w:val="T/HBJC 013—2025"/>
            </w:textInput>
          </w:ffData>
        </w:fldChar>
      </w:r>
      <w:r>
        <w:rPr>
          <w:rFonts w:hint="eastAsia" w:ascii="黑体" w:hAnsi="Times New Roman" w:eastAsia="黑体" w:cs="Times New Roman"/>
          <w:sz w:val="28"/>
          <w:lang w:val="en-US" w:eastAsia="zh-CN"/>
        </w:rPr>
        <w:instrText xml:space="preserve">FORMTEXT</w:instrText>
      </w:r>
      <w:r>
        <w:rPr>
          <w:rFonts w:hint="eastAsia" w:ascii="黑体" w:hAnsi="Times New Roman" w:eastAsia="黑体" w:cs="Times New Roman"/>
          <w:sz w:val="28"/>
          <w:lang w:val="en-US" w:eastAsia="zh-CN"/>
        </w:rPr>
        <w:fldChar w:fldCharType="separate"/>
      </w:r>
      <w:r>
        <w:rPr>
          <w:rFonts w:hint="eastAsia" w:ascii="黑体" w:hAnsi="Times New Roman" w:eastAsia="黑体" w:cs="Times New Roman"/>
          <w:sz w:val="28"/>
          <w:lang w:val="en-US" w:eastAsia="zh-CN"/>
        </w:rPr>
        <w:t>T/HBJC 013—2025</w:t>
      </w:r>
      <w:r>
        <w:rPr>
          <w:rFonts w:hint="eastAsia" w:ascii="黑体" w:hAnsi="Times New Roman" w:eastAsia="黑体" w:cs="Times New Roman"/>
          <w:sz w:val="28"/>
          <w:lang w:val="en-US" w:eastAsia="zh-CN"/>
        </w:rPr>
        <w:fldChar w:fldCharType="end"/>
      </w:r>
      <w:bookmarkEnd w:id="0"/>
    </w:p>
    <w:p w14:paraId="29C2A5C1">
      <w:pPr>
        <w:pStyle w:val="41"/>
        <w:bidi w:val="0"/>
        <w:rPr>
          <w:rFonts w:hint="eastAsia"/>
          <w:lang w:val="en-US" w:eastAsia="zh-CN"/>
        </w:rPr>
      </w:pPr>
      <w:r>
        <w:rPr>
          <w:rFonts w:hint="eastAsia"/>
          <w:lang w:val="en-US" w:eastAsia="zh-CN"/>
        </w:rPr>
        <w:fldChar w:fldCharType="begin">
          <w:ffData>
            <w:name w:val="ReplaceT"/>
            <w:enabled/>
            <w:calcOnExit w:val="0"/>
            <w:textInput/>
          </w:ffData>
        </w:fldChar>
      </w:r>
      <w:bookmarkStart w:id="1"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1"/>
    </w:p>
    <w:tbl>
      <w:tblPr>
        <w:tblStyle w:val="22"/>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2A8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12B520D4">
            <w:pPr>
              <w:pStyle w:val="36"/>
              <w:widowControl w:val="0"/>
              <w:bidi w:val="0"/>
              <w:jc w:val="both"/>
              <w:rPr>
                <w:rFonts w:hint="eastAsia"/>
                <w:sz w:val="10"/>
                <w:vertAlign w:val="baseline"/>
                <w:lang w:val="en-US" w:eastAsia="zh-CN"/>
              </w:rPr>
            </w:pPr>
          </w:p>
        </w:tc>
      </w:tr>
    </w:tbl>
    <w:p w14:paraId="11277568">
      <w:pPr>
        <w:pStyle w:val="43"/>
        <w:bidi w:val="0"/>
        <w:rPr>
          <w:rFonts w:hint="eastAsia"/>
          <w:lang w:val="en-US" w:eastAsia="zh-CN"/>
        </w:rPr>
      </w:pPr>
      <w:bookmarkStart w:id="2" w:name="StdName"/>
      <w:r>
        <w:rPr>
          <w:rFonts w:hint="eastAsia" w:ascii="黑体" w:hAnsi="Times New Roman" w:eastAsia="黑体" w:cs="Times New Roman"/>
          <w:sz w:val="52"/>
          <w:lang w:val="en-US" w:eastAsia="zh-CN"/>
        </w:rPr>
        <w:fldChar w:fldCharType="begin">
          <w:ffData>
            <w:name w:val="StdName"/>
            <w:enabled/>
            <w:calcOnExit w:val="0"/>
            <w:textInput>
              <w:default w:val="富硒水稻生产技术规程"/>
            </w:textInput>
          </w:ffData>
        </w:fldChar>
      </w:r>
      <w:r>
        <w:rPr>
          <w:rFonts w:hint="eastAsia" w:ascii="黑体" w:hAnsi="Times New Roman" w:eastAsia="黑体" w:cs="Times New Roman"/>
          <w:sz w:val="52"/>
          <w:lang w:val="en-US" w:eastAsia="zh-CN"/>
        </w:rPr>
        <w:instrText xml:space="preserve">FORMTEXT</w:instrText>
      </w:r>
      <w:r>
        <w:rPr>
          <w:rFonts w:hint="eastAsia" w:ascii="黑体" w:hAnsi="Times New Roman" w:eastAsia="黑体" w:cs="Times New Roman"/>
          <w:sz w:val="52"/>
          <w:lang w:val="en-US" w:eastAsia="zh-CN"/>
        </w:rPr>
        <w:fldChar w:fldCharType="separate"/>
      </w:r>
      <w:r>
        <w:rPr>
          <w:rFonts w:hint="eastAsia" w:ascii="黑体" w:hAnsi="Times New Roman" w:eastAsia="黑体" w:cs="Times New Roman"/>
          <w:sz w:val="52"/>
          <w:lang w:val="en-US" w:eastAsia="zh-CN"/>
        </w:rPr>
        <w:t>富硒水稻生产技术规程</w:t>
      </w:r>
      <w:r>
        <w:rPr>
          <w:rFonts w:hint="eastAsia" w:ascii="黑体" w:hAnsi="Times New Roman" w:eastAsia="黑体" w:cs="Times New Roman"/>
          <w:sz w:val="52"/>
          <w:lang w:val="en-US" w:eastAsia="zh-CN"/>
        </w:rPr>
        <w:fldChar w:fldCharType="end"/>
      </w:r>
      <w:bookmarkEnd w:id="2"/>
    </w:p>
    <w:p w14:paraId="7E7C42E5">
      <w:pPr>
        <w:pStyle w:val="44"/>
        <w:bidi w:val="0"/>
        <w:rPr>
          <w:rFonts w:hint="eastAsia"/>
          <w:lang w:val="en-US" w:eastAsia="zh-CN"/>
        </w:rPr>
      </w:pPr>
    </w:p>
    <w:p w14:paraId="1D427444">
      <w:pPr>
        <w:pStyle w:val="45"/>
        <w:bidi w:val="0"/>
        <w:rPr>
          <w:rFonts w:hint="eastAsia"/>
          <w:lang w:val="en-US" w:eastAsia="zh-CN"/>
        </w:rPr>
      </w:pPr>
    </w:p>
    <w:p w14:paraId="7557C189">
      <w:pPr>
        <w:pStyle w:val="46"/>
        <w:bidi w:val="0"/>
        <w:spacing w:after="0"/>
        <w:rPr>
          <w:rFonts w:hint="eastAsia"/>
          <w:lang w:val="en-US" w:eastAsia="zh-CN"/>
        </w:rPr>
      </w:pPr>
    </w:p>
    <w:p w14:paraId="03051A2F">
      <w:pPr>
        <w:pStyle w:val="47"/>
        <w:bidi w:val="0"/>
        <w:spacing w:before="100"/>
        <w:rPr>
          <w:rFonts w:hint="eastAsia"/>
          <w:lang w:val="en-US" w:eastAsia="zh-CN"/>
        </w:rPr>
      </w:pPr>
      <w:r>
        <w:rPr>
          <w:rFonts w:hint="eastAsia"/>
          <w:lang w:val="en-US" w:eastAsia="zh-CN"/>
        </w:rPr>
        <w:fldChar w:fldCharType="begin">
          <w:ffData>
            <w:name w:val="WCRQ"/>
            <w:enabled/>
            <w:calcOnExit w:val="0"/>
            <w:textInput/>
          </w:ffData>
        </w:fldChar>
      </w:r>
      <w:bookmarkStart w:id="3" w:name="WCRQ"/>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3"/>
    </w:p>
    <w:p w14:paraId="3D73CC7F">
      <w:pPr>
        <w:pStyle w:val="48"/>
        <w:bidi w:val="0"/>
        <w:spacing w:before="687" w:beforeLines="220"/>
        <w:rPr>
          <w:rFonts w:hint="eastAsia"/>
          <w:lang w:val="en-US" w:eastAsia="zh-CN"/>
        </w:rPr>
      </w:pPr>
    </w:p>
    <w:tbl>
      <w:tblPr>
        <w:tblStyle w:val="22"/>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49CE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vAlign w:val="top"/>
          </w:tcPr>
          <w:p w14:paraId="1D08BEDC">
            <w:pPr>
              <w:pStyle w:val="40"/>
              <w:framePr w:wrap="around"/>
              <w:widowControl w:val="0"/>
              <w:bidi w:val="0"/>
              <w:jc w:val="both"/>
              <w:rPr>
                <w:rFonts w:hint="eastAsia"/>
                <w:vertAlign w:val="baseline"/>
                <w:lang w:val="en-US" w:eastAsia="zh-CN"/>
              </w:rPr>
            </w:pPr>
            <w:r>
              <w:rPr>
                <w:rFonts w:hint="eastAsia" w:cs="Times New Roman"/>
                <w:sz w:val="28"/>
                <w:vertAlign w:val="baseline"/>
                <w:lang w:val="en-US" w:eastAsia="zh-CN"/>
              </w:rPr>
              <w:t>2025</w:t>
            </w:r>
            <w:r>
              <w:rPr>
                <w:rFonts w:hint="eastAsia"/>
                <w:vertAlign w:val="baseline"/>
                <w:lang w:val="en-US" w:eastAsia="zh-CN"/>
              </w:rPr>
              <w:t xml:space="preserve"> - 10 - 23 发布</w:t>
            </w:r>
          </w:p>
        </w:tc>
        <w:tc>
          <w:tcPr>
            <w:tcW w:w="4945" w:type="dxa"/>
            <w:tcBorders>
              <w:bottom w:val="single" w:color="auto" w:sz="8" w:space="0"/>
            </w:tcBorders>
            <w:tcMar>
              <w:right w:w="57" w:type="dxa"/>
            </w:tcMar>
            <w:vAlign w:val="top"/>
          </w:tcPr>
          <w:p w14:paraId="0C541D64">
            <w:pPr>
              <w:pStyle w:val="40"/>
              <w:framePr w:wrap="around"/>
              <w:widowControl w:val="0"/>
              <w:bidi w:val="0"/>
              <w:jc w:val="right"/>
              <w:rPr>
                <w:rFonts w:hint="eastAsia"/>
                <w:vertAlign w:val="baseline"/>
                <w:lang w:val="en-US" w:eastAsia="zh-CN"/>
              </w:rPr>
            </w:pPr>
            <w:r>
              <w:rPr>
                <w:rFonts w:hint="eastAsia"/>
                <w:vertAlign w:val="baseline"/>
                <w:lang w:val="en-US" w:eastAsia="zh-CN"/>
              </w:rPr>
              <w:t>2025 - 11 - 27 实施</w:t>
            </w:r>
          </w:p>
        </w:tc>
      </w:tr>
    </w:tbl>
    <w:p w14:paraId="0364CA40">
      <w:pPr>
        <w:pStyle w:val="50"/>
        <w:bidi w:val="0"/>
        <w:spacing w:before="0"/>
        <w:rPr>
          <w:rFonts w:hint="eastAsia"/>
          <w:spacing w:val="0"/>
          <w:w w:val="100"/>
          <w:sz w:val="28"/>
          <w:lang w:val="en-US" w:eastAsia="zh-CN"/>
        </w:rPr>
      </w:pPr>
      <w:bookmarkStart w:id="4" w:name="FM2"/>
      <w:r>
        <w:rPr>
          <w:rFonts w:hint="eastAsia" w:ascii="黑体" w:hAnsi="黑体" w:eastAsia="黑体" w:cs="Times New Roman"/>
          <w:spacing w:val="0"/>
          <w:w w:val="100"/>
          <w:sz w:val="28"/>
          <w:lang w:val="en-US" w:eastAsia="zh-CN"/>
        </w:rPr>
        <w:fldChar w:fldCharType="begin">
          <w:ffData>
            <w:name w:val="FM2"/>
            <w:enabled/>
            <w:calcOnExit w:val="0"/>
            <w:textInput>
              <w:default w:val="黑龙江省标准技术创新协会"/>
            </w:textInput>
          </w:ffData>
        </w:fldChar>
      </w:r>
      <w:r>
        <w:rPr>
          <w:rFonts w:hint="eastAsia" w:ascii="黑体" w:hAnsi="黑体" w:eastAsia="黑体" w:cs="Times New Roman"/>
          <w:spacing w:val="0"/>
          <w:w w:val="100"/>
          <w:sz w:val="28"/>
          <w:lang w:val="en-US" w:eastAsia="zh-CN"/>
        </w:rPr>
        <w:instrText xml:space="preserve">FORMTEXT</w:instrText>
      </w:r>
      <w:r>
        <w:rPr>
          <w:rFonts w:hint="eastAsia" w:ascii="黑体" w:hAnsi="黑体" w:eastAsia="黑体" w:cs="Times New Roman"/>
          <w:spacing w:val="0"/>
          <w:w w:val="100"/>
          <w:sz w:val="28"/>
          <w:lang w:val="en-US" w:eastAsia="zh-CN"/>
        </w:rPr>
        <w:fldChar w:fldCharType="separate"/>
      </w:r>
      <w:r>
        <w:rPr>
          <w:rFonts w:hint="eastAsia" w:ascii="黑体" w:hAnsi="黑体" w:eastAsia="黑体" w:cs="Times New Roman"/>
          <w:spacing w:val="0"/>
          <w:w w:val="100"/>
          <w:sz w:val="28"/>
          <w:lang w:val="en-US" w:eastAsia="zh-CN"/>
        </w:rPr>
        <w:t>黑龙江省标准技术创新协会</w:t>
      </w:r>
      <w:r>
        <w:rPr>
          <w:rFonts w:hint="eastAsia" w:ascii="黑体" w:hAnsi="黑体" w:eastAsia="黑体" w:cs="Times New Roman"/>
          <w:spacing w:val="0"/>
          <w:w w:val="100"/>
          <w:sz w:val="28"/>
          <w:lang w:val="en-US" w:eastAsia="zh-CN"/>
        </w:rPr>
        <w:fldChar w:fldCharType="end"/>
      </w:r>
      <w:bookmarkEnd w:id="4"/>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7258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31CD8F03">
            <w:pPr>
              <w:pStyle w:val="54"/>
              <w:framePr w:w="9639" w:wrap="around"/>
              <w:bidi w:val="0"/>
              <w:jc w:val="both"/>
              <w:rPr>
                <w:rFonts w:hint="eastAsia"/>
                <w:vertAlign w:val="baseline"/>
                <w:lang w:val="en-US" w:eastAsia="zh-CN"/>
              </w:rPr>
            </w:pPr>
            <w:r>
              <w:rPr>
                <w:rFonts w:hint="eastAsia"/>
                <w:vertAlign w:val="baseline"/>
                <w:lang w:val="en-US" w:eastAsia="zh-CN"/>
              </w:rPr>
              <w:t>ICS</w:t>
            </w:r>
          </w:p>
        </w:tc>
        <w:tc>
          <w:tcPr>
            <w:tcW w:w="9107" w:type="dxa"/>
          </w:tcPr>
          <w:p w14:paraId="53F28BDE">
            <w:pPr>
              <w:pStyle w:val="54"/>
              <w:framePr w:w="9639" w:wrap="around"/>
              <w:bidi w:val="0"/>
              <w:jc w:val="both"/>
              <w:rPr>
                <w:rFonts w:hint="eastAsia"/>
                <w:vertAlign w:val="baseline"/>
                <w:lang w:val="en-US" w:eastAsia="zh-CN"/>
              </w:rPr>
            </w:pPr>
            <w:bookmarkStart w:id="5" w:name="ICS"/>
            <w:r>
              <w:rPr>
                <w:rFonts w:hint="eastAsia" w:ascii="黑体" w:hAnsi="Times New Roman" w:eastAsia="黑体" w:cs="Times New Roman"/>
                <w:kern w:val="21"/>
                <w:sz w:val="21"/>
                <w:vertAlign w:val="baseline"/>
                <w:lang w:val="en-US" w:eastAsia="zh-CN"/>
              </w:rPr>
              <w:fldChar w:fldCharType="begin">
                <w:ffData>
                  <w:name w:val="ICS"/>
                  <w:enabled/>
                  <w:calcOnExit w:val="0"/>
                  <w:textInput>
                    <w:default w:val="65.020.2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65.020.20</w:t>
            </w:r>
            <w:r>
              <w:rPr>
                <w:rFonts w:hint="eastAsia" w:ascii="黑体" w:hAnsi="Times New Roman" w:eastAsia="黑体" w:cs="Times New Roman"/>
                <w:kern w:val="21"/>
                <w:sz w:val="21"/>
                <w:vertAlign w:val="baseline"/>
                <w:lang w:val="en-US" w:eastAsia="zh-CN"/>
              </w:rPr>
              <w:fldChar w:fldCharType="end"/>
            </w:r>
            <w:bookmarkEnd w:id="5"/>
          </w:p>
        </w:tc>
      </w:tr>
      <w:tr w14:paraId="7E21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1839EE37">
            <w:pPr>
              <w:pStyle w:val="54"/>
              <w:framePr w:w="9639" w:wrap="around"/>
              <w:bidi w:val="0"/>
              <w:jc w:val="both"/>
              <w:rPr>
                <w:rFonts w:hint="eastAsia"/>
                <w:vertAlign w:val="baseline"/>
                <w:lang w:val="en-US" w:eastAsia="zh-CN"/>
              </w:rPr>
            </w:pPr>
            <w:r>
              <w:rPr>
                <w:rFonts w:hint="eastAsia"/>
                <w:vertAlign w:val="baseline"/>
                <w:lang w:val="en-US" w:eastAsia="zh-CN"/>
              </w:rPr>
              <w:t>CCS</w:t>
            </w:r>
          </w:p>
        </w:tc>
        <w:tc>
          <w:tcPr>
            <w:tcW w:w="9107" w:type="dxa"/>
          </w:tcPr>
          <w:p w14:paraId="03226DED">
            <w:pPr>
              <w:pStyle w:val="54"/>
              <w:framePr w:w="9639" w:wrap="around"/>
              <w:bidi w:val="0"/>
              <w:jc w:val="both"/>
              <w:rPr>
                <w:rFonts w:hint="eastAsia"/>
                <w:vertAlign w:val="baseline"/>
                <w:lang w:val="en-US" w:eastAsia="zh-CN"/>
              </w:rPr>
            </w:pPr>
            <w:bookmarkStart w:id="6" w:name="CCS"/>
            <w:r>
              <w:rPr>
                <w:rFonts w:hint="eastAsia" w:ascii="黑体" w:hAnsi="Times New Roman" w:eastAsia="黑体" w:cs="Times New Roman"/>
                <w:kern w:val="21"/>
                <w:sz w:val="21"/>
                <w:vertAlign w:val="baseline"/>
                <w:lang w:val="en-US" w:eastAsia="zh-CN"/>
              </w:rPr>
              <w:fldChar w:fldCharType="begin">
                <w:ffData>
                  <w:name w:val="CCS"/>
                  <w:enabled/>
                  <w:calcOnExit w:val="0"/>
                  <w:textInput>
                    <w:default w:val="B 5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B 50</w:t>
            </w:r>
            <w:r>
              <w:rPr>
                <w:rFonts w:hint="eastAsia" w:ascii="黑体" w:hAnsi="Times New Roman" w:eastAsia="黑体" w:cs="Times New Roman"/>
                <w:kern w:val="21"/>
                <w:sz w:val="21"/>
                <w:vertAlign w:val="baseline"/>
                <w:lang w:val="en-US" w:eastAsia="zh-CN"/>
              </w:rPr>
              <w:fldChar w:fldCharType="end"/>
            </w:r>
            <w:bookmarkEnd w:id="6"/>
          </w:p>
          <w:tbl>
            <w:tblPr>
              <w:tblStyle w:val="22"/>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5B69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490AD27E">
                  <w:pPr>
                    <w:pStyle w:val="54"/>
                    <w:framePr w:w="9639" w:wrap="around"/>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bookmarkStart w:id="7" w:name="TMark"/>
                  <w:r>
                    <w:rPr>
                      <w:rFonts w:hint="eastAsia" w:ascii="Times New Roman" w:hAnsi="Times New Roman" w:eastAsia="宋体" w:cs="Times New Roman"/>
                      <w:b/>
                      <w:w w:val="130"/>
                      <w:kern w:val="0"/>
                      <w:sz w:val="96"/>
                      <w:vertAlign w:val="baseline"/>
                      <w:lang w:val="en-US" w:eastAsia="zh-CN"/>
                    </w:rPr>
                    <w:fldChar w:fldCharType="begin">
                      <w:ffData>
                        <w:name w:val="TMark"/>
                        <w:enabled/>
                        <w:calcOnExit w:val="0"/>
                        <w:textInput>
                          <w:default w:val="HBJC"/>
                          <w:maxLength w:val="8"/>
                        </w:textInput>
                      </w:ffData>
                    </w:fldChar>
                  </w:r>
                  <w:r>
                    <w:rPr>
                      <w:rFonts w:hint="eastAsia" w:ascii="Times New Roman" w:hAnsi="Times New Roman" w:eastAsia="宋体" w:cs="Times New Roman"/>
                      <w:b/>
                      <w:w w:val="130"/>
                      <w:kern w:val="0"/>
                      <w:sz w:val="96"/>
                      <w:vertAlign w:val="baseline"/>
                      <w:lang w:val="en-US" w:eastAsia="zh-CN"/>
                    </w:rPr>
                    <w:instrText xml:space="preserve">FORMTEXT</w:instrText>
                  </w:r>
                  <w:r>
                    <w:rPr>
                      <w:rFonts w:hint="eastAsia" w:ascii="Times New Roman" w:hAnsi="Times New Roman" w:eastAsia="宋体" w:cs="Times New Roman"/>
                      <w:b/>
                      <w:w w:val="130"/>
                      <w:kern w:val="0"/>
                      <w:sz w:val="96"/>
                      <w:vertAlign w:val="baseline"/>
                      <w:lang w:val="en-US" w:eastAsia="zh-CN"/>
                    </w:rPr>
                    <w:fldChar w:fldCharType="separate"/>
                  </w:r>
                  <w:r>
                    <w:rPr>
                      <w:rFonts w:hint="eastAsia" w:ascii="Times New Roman" w:hAnsi="Times New Roman" w:eastAsia="宋体" w:cs="Times New Roman"/>
                      <w:b/>
                      <w:w w:val="130"/>
                      <w:kern w:val="0"/>
                      <w:sz w:val="96"/>
                      <w:vertAlign w:val="baseline"/>
                      <w:lang w:val="en-US" w:eastAsia="zh-CN"/>
                    </w:rPr>
                    <w:t>HBJC</w:t>
                  </w:r>
                  <w:r>
                    <w:rPr>
                      <w:rFonts w:hint="eastAsia" w:ascii="Times New Roman" w:hAnsi="Times New Roman" w:eastAsia="宋体" w:cs="Times New Roman"/>
                      <w:b/>
                      <w:w w:val="130"/>
                      <w:kern w:val="0"/>
                      <w:sz w:val="96"/>
                      <w:vertAlign w:val="baseline"/>
                      <w:lang w:val="en-US" w:eastAsia="zh-CN"/>
                    </w:rPr>
                    <w:fldChar w:fldCharType="end"/>
                  </w:r>
                  <w:bookmarkEnd w:id="7"/>
                </w:p>
              </w:tc>
            </w:tr>
          </w:tbl>
          <w:p w14:paraId="29FF6585">
            <w:pPr>
              <w:pStyle w:val="54"/>
              <w:framePr w:w="9639" w:wrap="around"/>
              <w:bidi w:val="0"/>
              <w:jc w:val="both"/>
              <w:rPr>
                <w:rFonts w:hint="eastAsia"/>
                <w:vertAlign w:val="baseline"/>
                <w:lang w:val="en-US" w:eastAsia="zh-CN"/>
              </w:rPr>
            </w:pPr>
          </w:p>
        </w:tc>
      </w:tr>
    </w:tbl>
    <w:p w14:paraId="78BAF042">
      <w:pPr>
        <w:pStyle w:val="54"/>
        <w:framePr w:w="9639" w:wrap="around"/>
        <w:bidi w:val="0"/>
        <w:rPr>
          <w:rFonts w:hint="eastAsia"/>
          <w:lang w:val="en-US" w:eastAsia="zh-CN"/>
        </w:rPr>
        <w:sectPr>
          <w:pgSz w:w="11906" w:h="16838"/>
          <w:pgMar w:top="-340" w:right="1134" w:bottom="1021" w:left="1134" w:header="0" w:footer="0" w:gutter="284"/>
          <w:lnNumType w:countBy="0" w:restart="continuous"/>
          <w:pgNumType w:fmt="decimal" w:start="1"/>
          <w:cols w:space="425" w:num="1"/>
          <w:titlePg/>
          <w:docGrid w:type="lines" w:linePitch="312" w:charSpace="0"/>
        </w:sectPr>
      </w:pPr>
    </w:p>
    <w:p w14:paraId="4F7C810F">
      <w:pPr>
        <w:pStyle w:val="55"/>
        <w:bidi w:val="0"/>
        <w:rPr>
          <w:rFonts w:hint="eastAsia"/>
          <w:lang w:val="en-US" w:eastAsia="zh-CN"/>
        </w:rPr>
      </w:pPr>
      <w:r>
        <w:rPr>
          <w:rFonts w:hint="eastAsia"/>
          <w:spacing w:val="317"/>
          <w:lang w:val="en-US" w:eastAsia="zh-CN"/>
        </w:rPr>
        <w:t>目</w:t>
      </w:r>
      <w:bookmarkStart w:id="8" w:name="BKML"/>
      <w:r>
        <w:rPr>
          <w:rFonts w:hint="eastAsia"/>
          <w:lang w:val="en-US" w:eastAsia="zh-CN"/>
        </w:rPr>
        <w:t>次</w:t>
      </w:r>
      <w:bookmarkEnd w:id="8"/>
    </w:p>
    <w:p w14:paraId="2AD95B6F">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"标准文件_前言、引言标题,1,标准文件_章标题,1,标准文件_附录标识,1,标准文件_参考文献标题,1,标准文件_索引标题,1,标准文件_一级条标题,2"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_Toc5007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_Toc5007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FF77590">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_Toc5501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w:t>
      </w:r>
      <w:r>
        <w:rPr>
          <w:rFonts w:hint="eastAsia" w:cs="宋体"/>
          <w:spacing w:val="0"/>
          <w:lang w:val="en-US" w:eastAsia="zh-CN"/>
        </w:rPr>
        <w:t xml:space="preserve"> </w:t>
      </w:r>
      <w:r>
        <w:rPr>
          <w:rFonts w:hint="eastAsia" w:ascii="宋体" w:hAnsi="宋体" w:eastAsia="宋体" w:cs="宋体"/>
          <w:spacing w:val="0"/>
          <w:lang w:val="en-US" w:eastAsia="zh-CN"/>
        </w:rPr>
        <w:t xml:space="preserve"> 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_Toc5501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61F763B">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_Toc1538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2</w:t>
      </w:r>
      <w:r>
        <w:rPr>
          <w:rFonts w:hint="eastAsia" w:cs="宋体"/>
          <w:spacing w:val="0"/>
          <w:lang w:val="en-US" w:eastAsia="zh-CN"/>
        </w:rPr>
        <w:t xml:space="preserve"> </w:t>
      </w:r>
      <w:r>
        <w:rPr>
          <w:rFonts w:hint="eastAsia" w:ascii="宋体" w:hAnsi="宋体" w:eastAsia="宋体" w:cs="宋体"/>
          <w:spacing w:val="0"/>
          <w:lang w:val="en-US" w:eastAsia="zh-CN"/>
        </w:rPr>
        <w:t xml:space="preserve"> 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_Toc1538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E51EEB4">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_Toc7155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3</w:t>
      </w:r>
      <w:r>
        <w:rPr>
          <w:rFonts w:hint="eastAsia" w:cs="宋体"/>
          <w:spacing w:val="0"/>
          <w:lang w:val="en-US" w:eastAsia="zh-CN"/>
        </w:rPr>
        <w:t xml:space="preserve"> </w:t>
      </w:r>
      <w:r>
        <w:rPr>
          <w:rFonts w:hint="eastAsia" w:ascii="宋体" w:hAnsi="宋体" w:eastAsia="宋体" w:cs="宋体"/>
          <w:spacing w:val="0"/>
          <w:lang w:val="en-US" w:eastAsia="zh-CN"/>
        </w:rPr>
        <w:t xml:space="preserve"> 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_Toc7155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A6EE859">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_Toc1103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w:t>
      </w:r>
      <w:r>
        <w:rPr>
          <w:rFonts w:hint="eastAsia" w:cs="宋体"/>
          <w:spacing w:val="0"/>
          <w:lang w:val="en-US" w:eastAsia="zh-CN"/>
        </w:rPr>
        <w:t xml:space="preserve"> </w:t>
      </w:r>
      <w:r>
        <w:rPr>
          <w:rFonts w:hint="eastAsia" w:ascii="宋体" w:hAnsi="宋体" w:eastAsia="宋体" w:cs="宋体"/>
          <w:spacing w:val="0"/>
          <w:lang w:val="en-US" w:eastAsia="zh-CN"/>
        </w:rPr>
        <w:t xml:space="preserve"> 产地条件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_Toc1103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7B204E4">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_Toc27295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4.1</w:t>
      </w:r>
      <w:r>
        <w:rPr>
          <w:rFonts w:hint="eastAsia" w:cs="宋体"/>
          <w:spacing w:val="0"/>
          <w:lang w:val="en-US" w:eastAsia="zh-CN"/>
        </w:rPr>
        <w:t xml:space="preserve"> </w:t>
      </w:r>
      <w:r>
        <w:rPr>
          <w:rFonts w:hint="eastAsia" w:ascii="宋体" w:hAnsi="宋体" w:eastAsia="宋体" w:cs="宋体"/>
          <w:spacing w:val="0"/>
          <w:lang w:val="en-US" w:eastAsia="zh-CN"/>
        </w:rPr>
        <w:t xml:space="preserve"> 地理环境</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_Toc27295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13F5F09">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_Toc16309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4.2</w:t>
      </w:r>
      <w:r>
        <w:rPr>
          <w:rFonts w:hint="eastAsia" w:cs="宋体"/>
          <w:spacing w:val="0"/>
          <w:lang w:val="en-US" w:eastAsia="zh-CN"/>
        </w:rPr>
        <w:t xml:space="preserve"> </w:t>
      </w:r>
      <w:r>
        <w:rPr>
          <w:rFonts w:hint="eastAsia" w:ascii="宋体" w:hAnsi="宋体" w:eastAsia="宋体" w:cs="宋体"/>
          <w:spacing w:val="0"/>
          <w:lang w:val="en-US" w:eastAsia="zh-CN"/>
        </w:rPr>
        <w:t xml:space="preserve"> 土壤与水源</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_Toc16309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B0ED7E4">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_Toc13782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w:t>
      </w:r>
      <w:r>
        <w:rPr>
          <w:rFonts w:hint="eastAsia" w:cs="宋体"/>
          <w:spacing w:val="0"/>
          <w:lang w:val="en-US" w:eastAsia="zh-CN"/>
        </w:rPr>
        <w:t xml:space="preserve"> </w:t>
      </w:r>
      <w:r>
        <w:rPr>
          <w:rFonts w:hint="eastAsia" w:ascii="宋体" w:hAnsi="宋体" w:eastAsia="宋体" w:cs="宋体"/>
          <w:spacing w:val="0"/>
          <w:lang w:val="en-US" w:eastAsia="zh-CN"/>
        </w:rPr>
        <w:t xml:space="preserve"> 品种选择</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_Toc13782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B78231F">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_Toc2812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5.2</w:t>
      </w:r>
      <w:r>
        <w:rPr>
          <w:rFonts w:hint="eastAsia" w:cs="宋体"/>
          <w:spacing w:val="0"/>
          <w:lang w:val="en-US" w:eastAsia="zh-CN"/>
        </w:rPr>
        <w:t xml:space="preserve"> </w:t>
      </w:r>
      <w:r>
        <w:rPr>
          <w:rFonts w:hint="eastAsia" w:ascii="宋体" w:hAnsi="宋体" w:eastAsia="宋体" w:cs="宋体"/>
          <w:spacing w:val="0"/>
          <w:lang w:val="en-US" w:eastAsia="zh-CN"/>
        </w:rPr>
        <w:t xml:space="preserve"> 推荐品种</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_Toc2812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3655FA1">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_Toc24028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w:t>
      </w:r>
      <w:r>
        <w:rPr>
          <w:rFonts w:hint="eastAsia" w:cs="宋体"/>
          <w:spacing w:val="0"/>
          <w:lang w:val="en-US" w:eastAsia="zh-CN"/>
        </w:rPr>
        <w:t xml:space="preserve"> </w:t>
      </w:r>
      <w:r>
        <w:rPr>
          <w:rFonts w:hint="eastAsia" w:ascii="宋体" w:hAnsi="宋体" w:eastAsia="宋体" w:cs="宋体"/>
          <w:spacing w:val="0"/>
          <w:lang w:val="en-US" w:eastAsia="zh-CN"/>
        </w:rPr>
        <w:t xml:space="preserve"> 栽培管理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_Toc24028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B5B45BA">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_Toc17266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6.1</w:t>
      </w:r>
      <w:r>
        <w:rPr>
          <w:rFonts w:hint="eastAsia" w:cs="宋体"/>
          <w:spacing w:val="0"/>
          <w:lang w:val="en-US" w:eastAsia="zh-CN"/>
        </w:rPr>
        <w:t xml:space="preserve"> </w:t>
      </w:r>
      <w:r>
        <w:rPr>
          <w:rFonts w:hint="eastAsia" w:ascii="宋体" w:hAnsi="宋体" w:eastAsia="宋体" w:cs="宋体"/>
          <w:spacing w:val="0"/>
          <w:lang w:val="en-US" w:eastAsia="zh-CN"/>
        </w:rPr>
        <w:t xml:space="preserve"> 整地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_Toc17266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B67E6BC">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_Toc14465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6.2</w:t>
      </w:r>
      <w:r>
        <w:rPr>
          <w:rFonts w:hint="eastAsia" w:cs="宋体"/>
          <w:spacing w:val="0"/>
          <w:lang w:val="en-US" w:eastAsia="zh-CN"/>
        </w:rPr>
        <w:t xml:space="preserve"> </w:t>
      </w:r>
      <w:r>
        <w:rPr>
          <w:rFonts w:hint="eastAsia" w:ascii="宋体" w:hAnsi="宋体" w:eastAsia="宋体" w:cs="宋体"/>
          <w:spacing w:val="0"/>
          <w:lang w:val="en-US" w:eastAsia="zh-CN"/>
        </w:rPr>
        <w:t xml:space="preserve"> 播种与育苗</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_Toc14465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3EF2588">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_Toc26259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6.3</w:t>
      </w:r>
      <w:r>
        <w:rPr>
          <w:rFonts w:hint="eastAsia" w:cs="宋体"/>
          <w:spacing w:val="0"/>
          <w:lang w:val="en-US" w:eastAsia="zh-CN"/>
        </w:rPr>
        <w:t xml:space="preserve"> </w:t>
      </w:r>
      <w:r>
        <w:rPr>
          <w:rFonts w:hint="eastAsia" w:ascii="宋体" w:hAnsi="宋体" w:eastAsia="宋体" w:cs="宋体"/>
          <w:spacing w:val="0"/>
          <w:lang w:val="en-US" w:eastAsia="zh-CN"/>
        </w:rPr>
        <w:t xml:space="preserve"> 移栽</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_Toc26259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D6B31F4">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_Toc30861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6.4</w:t>
      </w:r>
      <w:r>
        <w:rPr>
          <w:rFonts w:hint="eastAsia" w:cs="宋体"/>
          <w:spacing w:val="0"/>
          <w:lang w:val="en-US" w:eastAsia="zh-CN"/>
        </w:rPr>
        <w:t xml:space="preserve"> </w:t>
      </w:r>
      <w:r>
        <w:rPr>
          <w:rFonts w:hint="eastAsia" w:ascii="宋体" w:hAnsi="宋体" w:eastAsia="宋体" w:cs="宋体"/>
          <w:spacing w:val="0"/>
          <w:lang w:val="en-US" w:eastAsia="zh-CN"/>
        </w:rPr>
        <w:t xml:space="preserve"> 田间管理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_Toc30861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50436DA">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_Toc25153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6.5</w:t>
      </w:r>
      <w:r>
        <w:rPr>
          <w:rFonts w:hint="eastAsia" w:cs="宋体"/>
          <w:spacing w:val="0"/>
          <w:lang w:val="en-US" w:eastAsia="zh-CN"/>
        </w:rPr>
        <w:t xml:space="preserve"> </w:t>
      </w:r>
      <w:r>
        <w:rPr>
          <w:rFonts w:hint="eastAsia" w:ascii="宋体" w:hAnsi="宋体" w:eastAsia="宋体" w:cs="宋体"/>
          <w:spacing w:val="0"/>
          <w:lang w:val="en-US" w:eastAsia="zh-CN"/>
        </w:rPr>
        <w:t xml:space="preserve"> 施肥管理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_Toc25153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06E2097">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_Toc10670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w:t>
      </w:r>
      <w:r>
        <w:rPr>
          <w:rFonts w:hint="eastAsia" w:cs="宋体"/>
          <w:spacing w:val="0"/>
          <w:lang w:val="en-US" w:eastAsia="zh-CN"/>
        </w:rPr>
        <w:t xml:space="preserve"> </w:t>
      </w:r>
      <w:r>
        <w:rPr>
          <w:rFonts w:hint="eastAsia" w:ascii="宋体" w:hAnsi="宋体" w:eastAsia="宋体" w:cs="宋体"/>
          <w:spacing w:val="0"/>
          <w:lang w:val="en-US" w:eastAsia="zh-CN"/>
        </w:rPr>
        <w:t xml:space="preserve"> 硒调控技术</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_Toc10670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5DA01F6">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_Toc23419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7.1</w:t>
      </w:r>
      <w:r>
        <w:rPr>
          <w:rFonts w:hint="eastAsia" w:cs="宋体"/>
          <w:spacing w:val="0"/>
          <w:lang w:val="en-US" w:eastAsia="zh-CN"/>
        </w:rPr>
        <w:t xml:space="preserve"> </w:t>
      </w:r>
      <w:r>
        <w:rPr>
          <w:rFonts w:hint="eastAsia" w:ascii="宋体" w:hAnsi="宋体" w:eastAsia="宋体" w:cs="宋体"/>
          <w:spacing w:val="0"/>
          <w:lang w:val="en-US" w:eastAsia="zh-CN"/>
        </w:rPr>
        <w:t xml:space="preserve"> 天然富硒</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_Toc23419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346CAE5">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_Toc11466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7.2</w:t>
      </w:r>
      <w:r>
        <w:rPr>
          <w:rFonts w:hint="eastAsia" w:cs="宋体"/>
          <w:spacing w:val="0"/>
          <w:lang w:val="en-US" w:eastAsia="zh-CN"/>
        </w:rPr>
        <w:t xml:space="preserve"> </w:t>
      </w:r>
      <w:r>
        <w:rPr>
          <w:rFonts w:hint="eastAsia" w:ascii="宋体" w:hAnsi="宋体" w:eastAsia="宋体" w:cs="宋体"/>
          <w:spacing w:val="0"/>
          <w:lang w:val="en-US" w:eastAsia="zh-CN"/>
        </w:rPr>
        <w:t xml:space="preserve"> 外源补硒</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_Toc11466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4D289AE">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_Toc18407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8</w:t>
      </w:r>
      <w:r>
        <w:rPr>
          <w:rFonts w:hint="eastAsia" w:cs="宋体"/>
          <w:spacing w:val="0"/>
          <w:lang w:val="en-US" w:eastAsia="zh-CN"/>
        </w:rPr>
        <w:t xml:space="preserve"> </w:t>
      </w:r>
      <w:r>
        <w:rPr>
          <w:rFonts w:hint="eastAsia" w:ascii="宋体" w:hAnsi="宋体" w:eastAsia="宋体" w:cs="宋体"/>
          <w:spacing w:val="0"/>
          <w:lang w:val="en-US" w:eastAsia="zh-CN"/>
        </w:rPr>
        <w:t xml:space="preserve"> 病虫害防治</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_Toc18407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A8DBAFC">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_Toc16351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w:t>
      </w:r>
      <w:r>
        <w:rPr>
          <w:rFonts w:hint="eastAsia" w:cs="宋体"/>
          <w:spacing w:val="0"/>
          <w:lang w:val="en-US" w:eastAsia="zh-CN"/>
        </w:rPr>
        <w:t xml:space="preserve"> </w:t>
      </w:r>
      <w:r>
        <w:rPr>
          <w:rFonts w:hint="eastAsia" w:ascii="宋体" w:hAnsi="宋体" w:eastAsia="宋体" w:cs="宋体"/>
          <w:spacing w:val="0"/>
          <w:lang w:val="en-US" w:eastAsia="zh-CN"/>
        </w:rPr>
        <w:t xml:space="preserve"> 收获与检测</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_Toc16351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DB0C80C">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_Toc22714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9.1</w:t>
      </w:r>
      <w:r>
        <w:rPr>
          <w:rFonts w:hint="eastAsia" w:cs="宋体"/>
          <w:spacing w:val="0"/>
          <w:lang w:val="en-US" w:eastAsia="zh-CN"/>
        </w:rPr>
        <w:t xml:space="preserve"> </w:t>
      </w:r>
      <w:r>
        <w:rPr>
          <w:rFonts w:hint="eastAsia" w:ascii="宋体" w:hAnsi="宋体" w:eastAsia="宋体" w:cs="宋体"/>
          <w:spacing w:val="0"/>
          <w:lang w:val="en-US" w:eastAsia="zh-CN"/>
        </w:rPr>
        <w:t xml:space="preserve"> 收获</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_Toc22714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EE884A6">
      <w:pPr>
        <w:pStyle w:val="19"/>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_Toc13779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9.2</w:t>
      </w:r>
      <w:r>
        <w:rPr>
          <w:rFonts w:hint="eastAsia" w:cs="宋体"/>
          <w:spacing w:val="0"/>
          <w:lang w:val="en-US" w:eastAsia="zh-CN"/>
        </w:rPr>
        <w:t xml:space="preserve"> </w:t>
      </w:r>
      <w:r>
        <w:rPr>
          <w:rFonts w:hint="eastAsia" w:ascii="宋体" w:hAnsi="宋体" w:eastAsia="宋体" w:cs="宋体"/>
          <w:spacing w:val="0"/>
          <w:lang w:val="en-US" w:eastAsia="zh-CN"/>
        </w:rPr>
        <w:t xml:space="preserve"> 检测</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_Toc13779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D817497">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_Toc27065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10</w:t>
      </w:r>
      <w:r>
        <w:rPr>
          <w:rFonts w:hint="eastAsia" w:cs="宋体"/>
          <w:spacing w:val="0"/>
          <w:lang w:val="en-US" w:eastAsia="zh-CN"/>
        </w:rPr>
        <w:t xml:space="preserve"> </w:t>
      </w:r>
      <w:r>
        <w:rPr>
          <w:rFonts w:hint="eastAsia" w:ascii="宋体" w:hAnsi="宋体" w:eastAsia="宋体" w:cs="宋体"/>
          <w:spacing w:val="0"/>
          <w:lang w:val="en-US" w:eastAsia="zh-CN"/>
        </w:rPr>
        <w:t xml:space="preserve"> 包装、储存与运输</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_Toc27065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CCAD6B3">
      <w:pPr>
        <w:pStyle w:val="15"/>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_Toc26087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11</w:t>
      </w:r>
      <w:r>
        <w:rPr>
          <w:rFonts w:hint="eastAsia" w:cs="宋体"/>
          <w:spacing w:val="0"/>
          <w:lang w:val="en-US" w:eastAsia="zh-CN"/>
        </w:rPr>
        <w:t xml:space="preserve"> </w:t>
      </w:r>
      <w:r>
        <w:rPr>
          <w:rFonts w:hint="eastAsia" w:ascii="宋体" w:hAnsi="宋体" w:eastAsia="宋体" w:cs="宋体"/>
          <w:spacing w:val="0"/>
          <w:lang w:val="en-US" w:eastAsia="zh-CN"/>
        </w:rPr>
        <w:t xml:space="preserve"> 档案管理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_Toc26087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A8C73A7">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14:paraId="445022C2">
      <w:pPr>
        <w:pStyle w:val="55"/>
        <w:bidi w:val="0"/>
        <w:rPr>
          <w:rFonts w:hint="eastAsia"/>
          <w:lang w:val="en-US" w:eastAsia="zh-CN"/>
        </w:rPr>
      </w:pPr>
      <w:r>
        <w:rPr>
          <w:rFonts w:hint="eastAsia"/>
          <w:lang w:val="en-US" w:eastAsia="zh-CN"/>
        </w:rPr>
        <w:br w:type="page"/>
      </w:r>
    </w:p>
    <w:p w14:paraId="01C1ACDA">
      <w:pPr>
        <w:pStyle w:val="56"/>
        <w:bidi w:val="0"/>
        <w:rPr>
          <w:rFonts w:hint="eastAsia"/>
          <w:lang w:val="en-US" w:eastAsia="zh-CN"/>
        </w:rPr>
      </w:pPr>
      <w:bookmarkStart w:id="9" w:name="_Toc22971"/>
      <w:bookmarkStart w:id="10" w:name="_Toc5007"/>
      <w:r>
        <w:rPr>
          <w:rFonts w:hint="eastAsia"/>
          <w:spacing w:val="317"/>
          <w:lang w:val="en-US" w:eastAsia="zh-CN"/>
        </w:rPr>
        <w:t>前</w:t>
      </w:r>
      <w:bookmarkStart w:id="11" w:name="BKQY"/>
      <w:r>
        <w:rPr>
          <w:rFonts w:hint="eastAsia"/>
          <w:lang w:val="en-US" w:eastAsia="zh-CN"/>
        </w:rPr>
        <w:t>言</w:t>
      </w:r>
      <w:bookmarkEnd w:id="9"/>
      <w:bookmarkEnd w:id="10"/>
    </w:p>
    <w:p w14:paraId="6167F077">
      <w:pPr>
        <w:pStyle w:val="26"/>
        <w:bidi w:val="0"/>
        <w:rPr>
          <w:rFonts w:hint="eastAsia"/>
          <w:lang w:val="en-US" w:eastAsia="zh-CN"/>
        </w:rPr>
      </w:pPr>
      <w:r>
        <w:rPr>
          <w:rFonts w:hint="eastAsia"/>
          <w:lang w:val="en-US" w:eastAsia="zh-CN"/>
        </w:rPr>
        <w:t>本文件按照GB/T 1.1—2020《标准化工作导则  第1部分：标准化文件的结构和起草规则》的规定起草。</w:t>
      </w:r>
    </w:p>
    <w:p w14:paraId="748F0D48">
      <w:pPr>
        <w:pStyle w:val="26"/>
        <w:bidi w:val="0"/>
        <w:rPr>
          <w:rFonts w:hint="eastAsia"/>
          <w:lang w:val="en-US" w:eastAsia="zh-CN"/>
        </w:rPr>
      </w:pPr>
      <w:r>
        <w:rPr>
          <w:rFonts w:hint="eastAsia"/>
          <w:lang w:val="en-US" w:eastAsia="zh-CN"/>
        </w:rPr>
        <w:t>请注意本文件的某些内容可能涉及专利。本文件的发布机构不承担识别专利的责任。</w:t>
      </w:r>
    </w:p>
    <w:p w14:paraId="1E6C9220">
      <w:pPr>
        <w:pStyle w:val="26"/>
        <w:bidi w:val="0"/>
        <w:rPr>
          <w:rFonts w:hint="eastAsia"/>
          <w:lang w:val="en-US" w:eastAsia="zh-CN"/>
        </w:rPr>
      </w:pPr>
      <w:r>
        <w:rPr>
          <w:rFonts w:hint="eastAsia"/>
          <w:lang w:val="en-US" w:eastAsia="zh-CN"/>
        </w:rPr>
        <w:t>本文件由方正县市场监督管理局提出。</w:t>
      </w:r>
    </w:p>
    <w:p w14:paraId="45D78DF4">
      <w:pPr>
        <w:pStyle w:val="26"/>
        <w:bidi w:val="0"/>
        <w:rPr>
          <w:rFonts w:hint="eastAsia"/>
          <w:lang w:val="en-US" w:eastAsia="zh-CN"/>
        </w:rPr>
      </w:pPr>
      <w:r>
        <w:rPr>
          <w:rFonts w:hint="eastAsia"/>
          <w:lang w:val="en-US" w:eastAsia="zh-CN"/>
        </w:rPr>
        <w:t>本文件由黑龙江省标准技术创新协会归口。</w:t>
      </w:r>
    </w:p>
    <w:p w14:paraId="0E450D5B">
      <w:pPr>
        <w:pStyle w:val="26"/>
        <w:bidi w:val="0"/>
        <w:rPr>
          <w:rFonts w:hint="eastAsia"/>
          <w:lang w:val="en-US" w:eastAsia="zh-CN"/>
        </w:rPr>
      </w:pPr>
      <w:r>
        <w:rPr>
          <w:rFonts w:hint="eastAsia"/>
          <w:lang w:val="en-US" w:eastAsia="zh-CN"/>
        </w:rPr>
        <w:t>本文件起草单位：方正县人民政府、方正县市场监督管理局、黑龙江省农业科学院生物技术研究所、黑龙江省计量检定测试院、黑龙江省卓然农业科技发展有限公司。</w:t>
      </w:r>
    </w:p>
    <w:p w14:paraId="07149396">
      <w:pPr>
        <w:pStyle w:val="26"/>
        <w:bidi w:val="0"/>
        <w:rPr>
          <w:rFonts w:hint="eastAsia"/>
          <w:lang w:val="en-US" w:eastAsia="zh-CN"/>
        </w:rPr>
      </w:pPr>
      <w:r>
        <w:rPr>
          <w:rFonts w:hint="eastAsia"/>
          <w:lang w:val="en-US" w:eastAsia="zh-CN"/>
        </w:rPr>
        <w:t>本文件主要起草人：张迪、赵晓东、李坤、崔文雅、李金轩。</w:t>
      </w:r>
    </w:p>
    <w:p w14:paraId="229B9542">
      <w:pPr>
        <w:pStyle w:val="26"/>
        <w:bidi w:val="0"/>
        <w:rPr>
          <w:rFonts w:hint="eastAsia"/>
          <w:lang w:val="en-US" w:eastAsia="zh-CN"/>
        </w:rPr>
      </w:pPr>
    </w:p>
    <w:p w14:paraId="0A62FB64">
      <w:pPr>
        <w:pStyle w:val="26"/>
        <w:bidi w:val="0"/>
        <w:rPr>
          <w:rFonts w:hint="eastAsia"/>
          <w:lang w:val="en-US" w:eastAsia="zh-CN"/>
        </w:rPr>
      </w:pPr>
    </w:p>
    <w:bookmarkEnd w:id="11"/>
    <w:p w14:paraId="25C32463">
      <w:pPr>
        <w:rPr>
          <w:rFonts w:hint="eastAsia"/>
          <w:lang w:val="en-US" w:eastAsia="zh-CN"/>
        </w:rPr>
      </w:pPr>
    </w:p>
    <w:p w14:paraId="16739D71">
      <w:pPr>
        <w:rPr>
          <w:rFonts w:hint="eastAsia"/>
          <w:lang w:val="en-US" w:eastAsia="zh-CN"/>
        </w:rPr>
      </w:pPr>
    </w:p>
    <w:p w14:paraId="37667382">
      <w:pPr>
        <w:rPr>
          <w:rFonts w:hint="eastAsia"/>
          <w:lang w:val="en-US" w:eastAsia="zh-CN"/>
        </w:rPr>
        <w:sectPr>
          <w:headerReference r:id="rId3" w:type="default"/>
          <w:footerReference r:id="rId4"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Style w:val="121"/>
          <w:rFonts w:hint="eastAsia"/>
          <w:lang w:val="en-US" w:eastAsia="zh-CN"/>
        </w:rPr>
        <w:tag w:val="StandardName"/>
        <w:id w:val="147481719"/>
        <w:lock w:val="sdtLocked"/>
        <w:placeholder>
          <w:docPart w:val="{9eaa3acf-760c-4fcb-9f72-812a3348aff9}"/>
        </w:placeholder>
      </w:sdtPr>
      <w:sdtEndPr>
        <w:rPr>
          <w:rStyle w:val="121"/>
          <w:rFonts w:hint="eastAsia"/>
          <w:lang w:val="en-US" w:eastAsia="zh-CN"/>
        </w:rPr>
      </w:sdtEndPr>
      <w:sdtContent>
        <w:p w14:paraId="712B9965">
          <w:pPr>
            <w:pStyle w:val="62"/>
            <w:bidi w:val="0"/>
            <w:rPr>
              <w:rStyle w:val="121"/>
              <w:rFonts w:hint="eastAsia"/>
              <w:lang w:val="en-US" w:eastAsia="zh-CN"/>
            </w:rPr>
          </w:pPr>
          <w:bookmarkStart w:id="12" w:name="StandardName"/>
          <w:r>
            <w:rPr>
              <w:rStyle w:val="121"/>
              <w:rFonts w:hint="eastAsia"/>
              <w:lang w:val="en-US" w:eastAsia="zh-CN"/>
            </w:rPr>
            <w:t>富硒水稻生产技术规程</w:t>
          </w:r>
          <w:bookmarkEnd w:id="12"/>
        </w:p>
      </w:sdtContent>
    </w:sdt>
    <w:p w14:paraId="23F1DAF3">
      <w:pPr>
        <w:pStyle w:val="73"/>
        <w:bidi w:val="0"/>
        <w:rPr>
          <w:rStyle w:val="121"/>
          <w:rFonts w:hint="eastAsia"/>
          <w:lang w:val="en-US" w:eastAsia="zh-CN"/>
        </w:rPr>
      </w:pPr>
      <w:bookmarkStart w:id="13" w:name="_Toc5501"/>
      <w:bookmarkStart w:id="14" w:name="_Toc140"/>
      <w:r>
        <w:rPr>
          <w:rFonts w:hint="eastAsia"/>
          <w:lang w:val="en-US" w:eastAsia="zh-CN"/>
        </w:rPr>
        <w:t>范围</w:t>
      </w:r>
      <w:bookmarkEnd w:id="13"/>
      <w:bookmarkEnd w:id="14"/>
    </w:p>
    <w:p w14:paraId="7010E088">
      <w:pPr>
        <w:pStyle w:val="26"/>
        <w:rPr>
          <w:rFonts w:hint="default"/>
          <w:lang w:val="en-US" w:eastAsia="zh-CN"/>
        </w:rPr>
      </w:pPr>
      <w:r>
        <w:rPr>
          <w:rFonts w:hint="eastAsia"/>
          <w:lang w:val="en-US" w:eastAsia="zh-CN"/>
        </w:rPr>
        <w:t>本文件规定了富硒水稻生产的术语与定义、术语和定义、产地条件、品种选择、栽培管理、硒调控技术、病虫害防治、收获与检测、包装、储存与运输以及档案管理等内容。</w:t>
      </w:r>
    </w:p>
    <w:p w14:paraId="139FD78D">
      <w:pPr>
        <w:pStyle w:val="26"/>
        <w:rPr>
          <w:rFonts w:hint="eastAsia"/>
          <w:lang w:val="en-US" w:eastAsia="zh-CN"/>
        </w:rPr>
      </w:pPr>
      <w:r>
        <w:rPr>
          <w:rFonts w:hint="eastAsia"/>
          <w:lang w:val="en-US" w:eastAsia="zh-CN"/>
        </w:rPr>
        <w:t>本文件适用于方正县区域内富硒水稻的种植与生产管理。</w:t>
      </w:r>
    </w:p>
    <w:p w14:paraId="01D29AF4">
      <w:pPr>
        <w:pStyle w:val="73"/>
        <w:bidi w:val="0"/>
        <w:rPr>
          <w:rFonts w:hint="eastAsia"/>
          <w:lang w:val="en-US" w:eastAsia="zh-CN"/>
        </w:rPr>
      </w:pPr>
      <w:bookmarkStart w:id="15" w:name="_Toc24223"/>
      <w:bookmarkStart w:id="16" w:name="_Toc1538"/>
      <w:r>
        <w:rPr>
          <w:rFonts w:hint="eastAsia"/>
          <w:lang w:val="en-US" w:eastAsia="zh-CN"/>
        </w:rPr>
        <w:t>规范性引用文件</w:t>
      </w:r>
      <w:bookmarkEnd w:id="15"/>
      <w:bookmarkEnd w:id="16"/>
    </w:p>
    <w:sdt>
      <w:sdtPr>
        <w:rPr>
          <w:rFonts w:hint="eastAsia" w:ascii="宋体" w:hAnsi="Times New Roman" w:eastAsia="宋体" w:cs="宋体"/>
          <w:sz w:val="21"/>
          <w:lang w:val="en-US" w:eastAsia="zh-CN"/>
        </w:rPr>
        <w:tag w:val="StandNameFile"/>
        <w:id w:val="147459561"/>
        <w:placeholder>
          <w:docPart w:val="{af38bc20-9086-4b74-a233-c2cbbbd0845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14:paraId="4EFCE4F6">
          <w:pPr>
            <w:pStyle w:val="26"/>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E8BD441">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GB 4404.1  粮食作物种子 第1部分：禾谷类</w:t>
      </w:r>
    </w:p>
    <w:p w14:paraId="69EF2CE1">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GB 5009.15</w:t>
      </w:r>
      <w:r>
        <w:rPr>
          <w:rFonts w:hint="eastAsia" w:ascii="Times New Roman" w:cs="Times New Roman"/>
          <w:lang w:val="en-US" w:eastAsia="zh-CN"/>
        </w:rPr>
        <w:t xml:space="preserve">  食品安全国家标准 食品中镉的测定</w:t>
      </w:r>
    </w:p>
    <w:p w14:paraId="285F63D5">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GB 5009.93</w:t>
      </w:r>
      <w:r>
        <w:rPr>
          <w:rFonts w:hint="eastAsia" w:ascii="Times New Roman" w:cs="Times New Roman"/>
          <w:lang w:val="en-US" w:eastAsia="zh-CN"/>
        </w:rPr>
        <w:t xml:space="preserve">  </w:t>
      </w:r>
      <w:r>
        <w:rPr>
          <w:rFonts w:hint="default" w:ascii="Times New Roman" w:hAnsi="Times New Roman" w:cs="Times New Roman"/>
          <w:lang w:val="en-US" w:eastAsia="zh-CN"/>
        </w:rPr>
        <w:t>食品安全国家标准 食品中硒的测定</w:t>
      </w:r>
    </w:p>
    <w:p w14:paraId="762086A1">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GB 5084  农田灌溉水质标准</w:t>
      </w:r>
    </w:p>
    <w:p w14:paraId="6CFFA730">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GB 15618  土壤环境质量 农用地土壤污染风险管控标准（试行）</w:t>
      </w:r>
    </w:p>
    <w:p w14:paraId="152941EC">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GB/T 17109</w:t>
      </w:r>
      <w:r>
        <w:rPr>
          <w:rFonts w:hint="eastAsia" w:ascii="Times New Roman" w:cs="Times New Roman"/>
          <w:lang w:val="en-US" w:eastAsia="zh-CN"/>
        </w:rPr>
        <w:t xml:space="preserve">  粮食销售包装</w:t>
      </w:r>
    </w:p>
    <w:p w14:paraId="22A65B0F">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GB/T 22499</w:t>
      </w:r>
      <w:r>
        <w:rPr>
          <w:rFonts w:hint="eastAsia" w:ascii="Times New Roman" w:cs="Times New Roman"/>
          <w:lang w:val="en-US" w:eastAsia="zh-CN"/>
        </w:rPr>
        <w:t xml:space="preserve">  富硒稻谷</w:t>
      </w:r>
    </w:p>
    <w:p w14:paraId="7ED89E8C">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NY/T 593  食用稻品种品质</w:t>
      </w:r>
    </w:p>
    <w:p w14:paraId="6958303E">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NY/T 3556</w:t>
      </w:r>
      <w:r>
        <w:rPr>
          <w:rFonts w:hint="eastAsia" w:ascii="Times New Roman" w:cs="Times New Roman"/>
          <w:lang w:val="en-US" w:eastAsia="zh-CN"/>
        </w:rPr>
        <w:t xml:space="preserve">  粮谷中硒代半胱氨酸和硒代蛋氨酸的测定 液相色谱-电感耦合等离子体质谱法</w:t>
      </w:r>
    </w:p>
    <w:p w14:paraId="30072685">
      <w:pPr>
        <w:pStyle w:val="73"/>
        <w:bidi w:val="0"/>
        <w:rPr>
          <w:rFonts w:hint="eastAsia" w:ascii="宋体" w:hAnsi="Times New Roman" w:eastAsia="宋体" w:cs="宋体"/>
          <w:lang w:val="en-US" w:eastAsia="zh-CN"/>
        </w:rPr>
      </w:pPr>
      <w:bookmarkStart w:id="17" w:name="_Toc19782"/>
      <w:bookmarkStart w:id="18" w:name="_Toc7155"/>
      <w:r>
        <w:rPr>
          <w:rFonts w:hint="eastAsia"/>
          <w:lang w:val="en-US" w:eastAsia="zh-CN"/>
        </w:rPr>
        <w:t>术语和定义</w:t>
      </w:r>
      <w:bookmarkEnd w:id="17"/>
      <w:bookmarkEnd w:id="18"/>
    </w:p>
    <w:sdt>
      <w:sdtPr>
        <w:rPr>
          <w:rFonts w:hint="eastAsia" w:ascii="宋体" w:hAnsi="Times New Roman" w:eastAsia="宋体" w:cs="宋体"/>
          <w:sz w:val="21"/>
          <w:lang w:val="en-US" w:eastAsia="zh-CN"/>
        </w:rPr>
        <w:tag w:val="TermContent"/>
        <w:id w:val="147456625"/>
        <w:placeholder>
          <w:docPart w:val="{a10264a6-7a70-4e4f-8b78-1326fb6d8f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14:paraId="4CBC0BB4">
          <w:pPr>
            <w:pStyle w:val="26"/>
            <w:rPr>
              <w:rFonts w:hint="eastAsia"/>
              <w:lang w:val="en-US" w:eastAsia="zh-CN"/>
            </w:rPr>
          </w:pPr>
          <w:r>
            <w:rPr>
              <w:rFonts w:hint="eastAsia" w:ascii="宋体" w:hAnsi="Times New Roman" w:eastAsia="宋体" w:cs="宋体"/>
              <w:sz w:val="21"/>
              <w:lang w:val="en-US" w:eastAsia="zh-CN"/>
            </w:rPr>
            <w:t>下列术语和定义适用于本文件。</w:t>
          </w:r>
        </w:p>
      </w:sdtContent>
    </w:sdt>
    <w:p w14:paraId="68B4F8E4">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富硒土壤</w:t>
      </w:r>
      <w:r>
        <w:rPr>
          <w:rFonts w:hint="eastAsia" w:cs="黑体"/>
          <w:lang w:val="en-US" w:eastAsia="zh-CN"/>
        </w:rPr>
        <w:t xml:space="preserve"> selenium-rich soil</w:t>
      </w:r>
    </w:p>
    <w:p w14:paraId="2966007F">
      <w:pPr>
        <w:pStyle w:val="26"/>
        <w:rPr>
          <w:rFonts w:hint="default" w:ascii="Times New Roman" w:hAnsi="Times New Roman" w:cs="Times New Roman"/>
          <w:lang w:val="en-US" w:eastAsia="zh-CN"/>
        </w:rPr>
      </w:pPr>
      <w:r>
        <w:rPr>
          <w:rFonts w:hint="eastAsia"/>
          <w:lang w:val="en-US" w:eastAsia="zh-CN"/>
        </w:rPr>
        <w:t>自</w:t>
      </w:r>
      <w:r>
        <w:rPr>
          <w:rFonts w:hint="default" w:ascii="Times New Roman" w:hAnsi="Times New Roman" w:cs="Times New Roman"/>
          <w:lang w:val="en-US" w:eastAsia="zh-CN"/>
        </w:rPr>
        <w:t>然全硒含量在0.35 mg/kg～2.50 mg/kg之间的黑土或草甸土。</w:t>
      </w:r>
    </w:p>
    <w:p w14:paraId="22652581">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富硒稻谷</w:t>
      </w:r>
      <w:r>
        <w:rPr>
          <w:rFonts w:hint="eastAsia" w:cs="黑体"/>
          <w:lang w:val="en-US" w:eastAsia="zh-CN"/>
        </w:rPr>
        <w:t xml:space="preserve"> selenium-rich rice</w:t>
      </w:r>
    </w:p>
    <w:p w14:paraId="37F64D85">
      <w:pPr>
        <w:pStyle w:val="26"/>
        <w:rPr>
          <w:rFonts w:hint="default" w:ascii="Times New Roman" w:hAnsi="Times New Roman" w:cs="Times New Roman"/>
          <w:lang w:val="en-US" w:eastAsia="zh-CN"/>
        </w:rPr>
      </w:pPr>
      <w:r>
        <w:rPr>
          <w:rFonts w:hint="default" w:ascii="Times New Roman" w:hAnsi="Times New Roman" w:cs="Times New Roman"/>
          <w:lang w:val="en-US" w:eastAsia="zh-CN"/>
        </w:rPr>
        <w:t>在方正县富硒土壤或经科学补硒条件下种植，籽粒硒含量在0.15 mg/kg～0.50 mg/kg之间，且硒代氨基酸占比</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60%的稻谷</w:t>
      </w:r>
      <w:r>
        <w:rPr>
          <w:rFonts w:hint="eastAsia" w:ascii="Times New Roman" w:cs="Times New Roman"/>
          <w:lang w:val="en-US" w:eastAsia="zh-CN"/>
        </w:rPr>
        <w:t>。</w:t>
      </w:r>
    </w:p>
    <w:p w14:paraId="74D6AFFF">
      <w:pPr>
        <w:pStyle w:val="73"/>
        <w:bidi w:val="0"/>
        <w:rPr>
          <w:rFonts w:hint="eastAsia"/>
          <w:lang w:val="en-US" w:eastAsia="zh-CN"/>
        </w:rPr>
      </w:pPr>
      <w:bookmarkStart w:id="19" w:name="_Toc9569"/>
      <w:bookmarkStart w:id="20" w:name="_Toc1103"/>
      <w:r>
        <w:rPr>
          <w:rFonts w:hint="eastAsia"/>
          <w:lang w:val="en-US" w:eastAsia="zh-CN"/>
        </w:rPr>
        <w:t>产地条件</w:t>
      </w:r>
      <w:bookmarkEnd w:id="19"/>
      <w:bookmarkEnd w:id="20"/>
    </w:p>
    <w:p w14:paraId="7D806D8A">
      <w:pPr>
        <w:pStyle w:val="74"/>
        <w:bidi w:val="0"/>
        <w:rPr>
          <w:rFonts w:hint="eastAsia"/>
          <w:lang w:val="en-US" w:eastAsia="zh-CN"/>
        </w:rPr>
      </w:pPr>
      <w:bookmarkStart w:id="21" w:name="_Toc27295"/>
      <w:r>
        <w:rPr>
          <w:rFonts w:hint="eastAsia"/>
          <w:lang w:val="en-US" w:eastAsia="zh-CN"/>
        </w:rPr>
        <w:t>地理环境</w:t>
      </w:r>
      <w:bookmarkEnd w:id="21"/>
    </w:p>
    <w:p w14:paraId="1453BDB7">
      <w:pPr>
        <w:pStyle w:val="26"/>
        <w:rPr>
          <w:rFonts w:hint="eastAsia"/>
          <w:lang w:val="en-US" w:eastAsia="zh-CN"/>
        </w:rPr>
      </w:pPr>
      <w:r>
        <w:rPr>
          <w:rFonts w:hint="default" w:ascii="Times New Roman" w:hAnsi="Times New Roman" w:cs="Times New Roman"/>
          <w:lang w:val="en-US" w:eastAsia="zh-CN"/>
        </w:rPr>
        <w:t>方正县地处黑龙江省中南部，属寒温带大陆性季风气候，年均气温3.2℃，无霜期125</w:t>
      </w:r>
      <w:r>
        <w:rPr>
          <w:rFonts w:hint="eastAsia" w:ascii="Times New Roman" w:cs="Times New Roman"/>
          <w:lang w:val="en-US" w:eastAsia="zh-CN"/>
        </w:rPr>
        <w:t>天</w:t>
      </w:r>
      <w:r>
        <w:rPr>
          <w:rFonts w:hint="default" w:ascii="Times New Roman" w:hAnsi="Times New Roman" w:cs="Times New Roman"/>
          <w:lang w:val="en-US" w:eastAsia="zh-CN"/>
        </w:rPr>
        <w:t>～135天，年降水量550</w:t>
      </w:r>
      <w:r>
        <w:rPr>
          <w:rFonts w:hint="eastAsia" w:ascii="Times New Roman" w:cs="Times New Roman"/>
          <w:lang w:val="en-US" w:eastAsia="zh-CN"/>
        </w:rPr>
        <w:t xml:space="preserve"> mm</w:t>
      </w:r>
      <w:r>
        <w:rPr>
          <w:rFonts w:hint="default" w:ascii="Times New Roman" w:hAnsi="Times New Roman" w:cs="Times New Roman"/>
          <w:lang w:val="en-US" w:eastAsia="zh-CN"/>
        </w:rPr>
        <w:t>～650 mm，昼夜温差大，有利于硒积累。</w:t>
      </w:r>
    </w:p>
    <w:p w14:paraId="7D38A9A2">
      <w:pPr>
        <w:pStyle w:val="74"/>
        <w:bidi w:val="0"/>
        <w:rPr>
          <w:rFonts w:hint="eastAsia"/>
          <w:lang w:val="en-US" w:eastAsia="zh-CN"/>
        </w:rPr>
      </w:pPr>
      <w:bookmarkStart w:id="22" w:name="_Toc16309"/>
      <w:r>
        <w:rPr>
          <w:rFonts w:hint="eastAsia"/>
          <w:lang w:val="en-US" w:eastAsia="zh-CN"/>
        </w:rPr>
        <w:t>土壤与水源</w:t>
      </w:r>
      <w:bookmarkEnd w:id="22"/>
    </w:p>
    <w:p w14:paraId="072D5D7E">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土壤环境质量应符合GB 15618的要求，地块集中连片、地势平坦、排水良好，优先选择黑土层厚度</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20 cm、有机质含量</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3%、硒本底值</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0.35 mg/kg的地块。</w:t>
      </w:r>
    </w:p>
    <w:p w14:paraId="1794E945">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灌溉水应符合GB 5084规定，水源以地下水或山泉水为主，禁用污染水源。</w:t>
      </w:r>
    </w:p>
    <w:p w14:paraId="6BD50D5B">
      <w:pPr>
        <w:pStyle w:val="73"/>
        <w:bidi w:val="0"/>
        <w:rPr>
          <w:rFonts w:hint="eastAsia"/>
          <w:lang w:val="en-US" w:eastAsia="zh-CN"/>
        </w:rPr>
      </w:pPr>
      <w:bookmarkStart w:id="23" w:name="_Toc13518"/>
      <w:bookmarkStart w:id="24" w:name="_Toc13782"/>
      <w:r>
        <w:rPr>
          <w:rFonts w:hint="eastAsia"/>
          <w:lang w:val="en-US" w:eastAsia="zh-CN"/>
        </w:rPr>
        <w:t>品种选择</w:t>
      </w:r>
      <w:bookmarkEnd w:id="23"/>
      <w:bookmarkEnd w:id="24"/>
    </w:p>
    <w:p w14:paraId="70C216F3">
      <w:pPr>
        <w:pStyle w:val="79"/>
        <w:bidi w:val="0"/>
        <w:spacing w:before="0" w:beforeLines="0" w:after="0" w:afterLines="0"/>
        <w:rPr>
          <w:rFonts w:hint="eastAsia"/>
          <w:lang w:val="en-US" w:eastAsia="zh-CN"/>
        </w:rPr>
      </w:pPr>
      <w:r>
        <w:rPr>
          <w:rFonts w:hint="eastAsia"/>
          <w:lang w:val="en-US" w:eastAsia="zh-CN"/>
        </w:rPr>
        <w:t>选用通过黑龙江省审定、适宜寒地种植的粳稻品种，应具备包括但不限于以下特性：</w:t>
      </w:r>
    </w:p>
    <w:p w14:paraId="54334E9E">
      <w:pPr>
        <w:pStyle w:val="63"/>
        <w:bidi w:val="0"/>
        <w:rPr>
          <w:rFonts w:hint="default" w:ascii="Times New Roman" w:hAnsi="Times New Roman" w:cs="Times New Roman"/>
          <w:lang w:val="en-US" w:eastAsia="zh-CN"/>
        </w:rPr>
      </w:pPr>
      <w:r>
        <w:rPr>
          <w:rFonts w:hint="default" w:ascii="Times New Roman" w:hAnsi="Times New Roman" w:cs="Times New Roman"/>
          <w:lang w:val="en-US" w:eastAsia="zh-CN"/>
        </w:rPr>
        <w:t>生育期130</w:t>
      </w:r>
      <w:r>
        <w:rPr>
          <w:rFonts w:hint="eastAsia" w:ascii="Times New Roman" w:cs="Times New Roman"/>
          <w:lang w:val="en-US" w:eastAsia="zh-CN"/>
        </w:rPr>
        <w:t>天</w:t>
      </w:r>
      <w:r>
        <w:rPr>
          <w:rFonts w:hint="default" w:ascii="Times New Roman" w:hAnsi="Times New Roman" w:cs="Times New Roman"/>
          <w:lang w:val="en-US" w:eastAsia="zh-CN"/>
        </w:rPr>
        <w:t>～140天，适合方正县无霜期；</w:t>
      </w:r>
    </w:p>
    <w:p w14:paraId="702DC51E">
      <w:pPr>
        <w:pStyle w:val="63"/>
        <w:bidi w:val="0"/>
        <w:rPr>
          <w:rFonts w:hint="default" w:ascii="Times New Roman" w:hAnsi="Times New Roman" w:cs="Times New Roman"/>
          <w:lang w:val="en-US" w:eastAsia="zh-CN"/>
        </w:rPr>
      </w:pPr>
      <w:r>
        <w:rPr>
          <w:rFonts w:hint="default" w:ascii="Times New Roman" w:hAnsi="Times New Roman" w:cs="Times New Roman"/>
          <w:lang w:val="en-US" w:eastAsia="zh-CN"/>
        </w:rPr>
        <w:t>抗倒伏性、抗病性（稻瘟病、纹枯病）、耐冷性强；</w:t>
      </w:r>
    </w:p>
    <w:p w14:paraId="629E334E">
      <w:pPr>
        <w:pStyle w:val="63"/>
        <w:bidi w:val="0"/>
        <w:rPr>
          <w:rFonts w:hint="default" w:ascii="Times New Roman" w:hAnsi="Times New Roman" w:cs="Times New Roman"/>
          <w:lang w:val="en-US" w:eastAsia="zh-CN"/>
        </w:rPr>
      </w:pPr>
      <w:r>
        <w:rPr>
          <w:rFonts w:hint="default" w:ascii="Times New Roman" w:hAnsi="Times New Roman" w:cs="Times New Roman"/>
          <w:lang w:val="en-US" w:eastAsia="zh-CN"/>
        </w:rPr>
        <w:t>种子质量应符合GB 4404.1的规定；</w:t>
      </w:r>
    </w:p>
    <w:p w14:paraId="4CD36714">
      <w:pPr>
        <w:pStyle w:val="63"/>
        <w:bidi w:val="0"/>
        <w:rPr>
          <w:rFonts w:hint="default" w:ascii="Times New Roman" w:hAnsi="Times New Roman" w:cs="Times New Roman"/>
          <w:lang w:val="en-US" w:eastAsia="zh-CN"/>
        </w:rPr>
      </w:pPr>
      <w:r>
        <w:rPr>
          <w:rFonts w:hint="default" w:ascii="Times New Roman" w:hAnsi="Times New Roman" w:cs="Times New Roman"/>
          <w:lang w:val="en-US" w:eastAsia="zh-CN"/>
        </w:rPr>
        <w:t>稻米品质达NY/T 593三级以上，硒富集能力较强。</w:t>
      </w:r>
    </w:p>
    <w:p w14:paraId="78C04A7E">
      <w:pPr>
        <w:pStyle w:val="74"/>
        <w:bidi w:val="0"/>
        <w:rPr>
          <w:rFonts w:hint="eastAsia"/>
          <w:lang w:val="en-US" w:eastAsia="zh-CN"/>
        </w:rPr>
      </w:pPr>
      <w:bookmarkStart w:id="25" w:name="_Toc2812"/>
      <w:r>
        <w:rPr>
          <w:rFonts w:hint="eastAsia"/>
          <w:lang w:val="en-US" w:eastAsia="zh-CN"/>
        </w:rPr>
        <w:t>推荐品种</w:t>
      </w:r>
      <w:bookmarkEnd w:id="25"/>
    </w:p>
    <w:p w14:paraId="7E290B7D">
      <w:pPr>
        <w:pStyle w:val="26"/>
        <w:rPr>
          <w:rFonts w:hint="default" w:ascii="Times New Roman" w:hAnsi="Times New Roman" w:cs="Times New Roman"/>
          <w:lang w:val="en-US" w:eastAsia="zh-CN"/>
        </w:rPr>
      </w:pPr>
      <w:r>
        <w:rPr>
          <w:rFonts w:hint="default" w:ascii="Times New Roman" w:hAnsi="Times New Roman" w:cs="Times New Roman"/>
          <w:lang w:val="en-US" w:eastAsia="zh-CN"/>
        </w:rPr>
        <w:t>龙稻18、龙稻21、绥粳18、绥粳27、苗香1号等。</w:t>
      </w:r>
    </w:p>
    <w:p w14:paraId="3782C498">
      <w:pPr>
        <w:pStyle w:val="73"/>
        <w:bidi w:val="0"/>
        <w:rPr>
          <w:rFonts w:hint="eastAsia"/>
          <w:lang w:val="en-US" w:eastAsia="zh-CN"/>
        </w:rPr>
      </w:pPr>
      <w:bookmarkStart w:id="26" w:name="_Toc29561"/>
      <w:bookmarkStart w:id="27" w:name="_Toc24028"/>
      <w:r>
        <w:rPr>
          <w:rFonts w:hint="eastAsia"/>
          <w:lang w:val="en-US" w:eastAsia="zh-CN"/>
        </w:rPr>
        <w:t>栽培管理</w:t>
      </w:r>
      <w:bookmarkEnd w:id="26"/>
      <w:bookmarkEnd w:id="27"/>
    </w:p>
    <w:p w14:paraId="170B23AE">
      <w:pPr>
        <w:pStyle w:val="74"/>
        <w:bidi w:val="0"/>
        <w:rPr>
          <w:rFonts w:hint="eastAsia"/>
          <w:lang w:val="en-US" w:eastAsia="zh-CN"/>
        </w:rPr>
      </w:pPr>
      <w:bookmarkStart w:id="28" w:name="_Toc17266"/>
      <w:r>
        <w:rPr>
          <w:rFonts w:hint="eastAsia"/>
          <w:lang w:val="en-US" w:eastAsia="zh-CN"/>
        </w:rPr>
        <w:t>整地</w:t>
      </w:r>
      <w:bookmarkEnd w:id="28"/>
    </w:p>
    <w:p w14:paraId="795CA014">
      <w:pPr>
        <w:pStyle w:val="26"/>
        <w:rPr>
          <w:rFonts w:hint="default" w:ascii="Times New Roman" w:hAnsi="Times New Roman" w:cs="Times New Roman"/>
          <w:lang w:val="en-US" w:eastAsia="zh-CN"/>
        </w:rPr>
      </w:pPr>
      <w:r>
        <w:rPr>
          <w:rFonts w:hint="default" w:ascii="Times New Roman" w:hAnsi="Times New Roman" w:cs="Times New Roman"/>
          <w:lang w:val="en-US" w:eastAsia="zh-CN"/>
        </w:rPr>
        <w:t>秋翻地、春耙地，耕深20</w:t>
      </w:r>
      <w:r>
        <w:rPr>
          <w:rFonts w:hint="eastAsia" w:ascii="Times New Roman" w:cs="Times New Roman"/>
          <w:lang w:val="en-US" w:eastAsia="zh-CN"/>
        </w:rPr>
        <w:t xml:space="preserve"> cm</w:t>
      </w:r>
      <w:r>
        <w:rPr>
          <w:rFonts w:hint="default" w:ascii="Times New Roman" w:hAnsi="Times New Roman" w:cs="Times New Roman"/>
          <w:lang w:val="en-US" w:eastAsia="zh-CN"/>
        </w:rPr>
        <w:t>～25 cm，增施腐熟有机肥1.5吨/亩～2吨/亩。</w:t>
      </w:r>
    </w:p>
    <w:p w14:paraId="12ACBCF1">
      <w:pPr>
        <w:pStyle w:val="74"/>
        <w:bidi w:val="0"/>
        <w:rPr>
          <w:rFonts w:hint="eastAsia"/>
          <w:lang w:val="en-US" w:eastAsia="zh-CN"/>
        </w:rPr>
      </w:pPr>
      <w:bookmarkStart w:id="29" w:name="_Toc14465"/>
      <w:r>
        <w:rPr>
          <w:rFonts w:hint="eastAsia"/>
          <w:lang w:val="en-US" w:eastAsia="zh-CN"/>
        </w:rPr>
        <w:t>播种与育苗</w:t>
      </w:r>
      <w:bookmarkEnd w:id="29"/>
    </w:p>
    <w:p w14:paraId="748D758A">
      <w:pPr>
        <w:pStyle w:val="26"/>
        <w:rPr>
          <w:rFonts w:hint="default" w:ascii="Times New Roman" w:hAnsi="Times New Roman" w:cs="Times New Roman"/>
          <w:lang w:val="en-US" w:eastAsia="zh-CN"/>
        </w:rPr>
      </w:pPr>
      <w:r>
        <w:rPr>
          <w:rFonts w:hint="default" w:ascii="Times New Roman" w:hAnsi="Times New Roman" w:cs="Times New Roman"/>
          <w:lang w:val="en-US" w:eastAsia="zh-CN"/>
        </w:rPr>
        <w:t>采用大棚旱育稀播技术，播种时间为4月中旬，秧龄35</w:t>
      </w:r>
      <w:r>
        <w:rPr>
          <w:rFonts w:hint="eastAsia" w:ascii="Times New Roman" w:cs="Times New Roman"/>
          <w:lang w:val="en-US" w:eastAsia="zh-CN"/>
        </w:rPr>
        <w:t>天</w:t>
      </w:r>
      <w:r>
        <w:rPr>
          <w:rFonts w:hint="default" w:ascii="Times New Roman" w:hAnsi="Times New Roman" w:cs="Times New Roman"/>
          <w:lang w:val="en-US" w:eastAsia="zh-CN"/>
        </w:rPr>
        <w:t>～40天，叶龄3.5</w:t>
      </w:r>
      <w:r>
        <w:rPr>
          <w:rFonts w:hint="eastAsia" w:ascii="Times New Roman" w:cs="Times New Roman"/>
          <w:lang w:val="en-US" w:eastAsia="zh-CN"/>
        </w:rPr>
        <w:t>叶</w:t>
      </w:r>
      <w:r>
        <w:rPr>
          <w:rFonts w:hint="default" w:ascii="Times New Roman" w:hAnsi="Times New Roman" w:cs="Times New Roman"/>
          <w:lang w:val="en-US" w:eastAsia="zh-CN"/>
        </w:rPr>
        <w:t>～4.0叶，推广使用富硒营养土或硒肥拌种。</w:t>
      </w:r>
    </w:p>
    <w:p w14:paraId="2859B127">
      <w:pPr>
        <w:pStyle w:val="74"/>
        <w:bidi w:val="0"/>
        <w:rPr>
          <w:rFonts w:hint="default" w:ascii="Times New Roman" w:hAnsi="Times New Roman" w:cs="Times New Roman"/>
          <w:lang w:val="en-US" w:eastAsia="zh-CN"/>
        </w:rPr>
      </w:pPr>
      <w:bookmarkStart w:id="30" w:name="_Toc26259"/>
      <w:r>
        <w:rPr>
          <w:rFonts w:hint="default" w:ascii="Times New Roman" w:hAnsi="Times New Roman" w:cs="Times New Roman"/>
          <w:lang w:val="en-US" w:eastAsia="zh-CN"/>
        </w:rPr>
        <w:t>移栽</w:t>
      </w:r>
      <w:bookmarkEnd w:id="30"/>
    </w:p>
    <w:p w14:paraId="4FA7F940">
      <w:pPr>
        <w:pStyle w:val="26"/>
        <w:rPr>
          <w:rFonts w:hint="default" w:ascii="Times New Roman" w:hAnsi="Times New Roman" w:cs="Times New Roman"/>
          <w:lang w:val="en-US" w:eastAsia="zh-CN"/>
        </w:rPr>
      </w:pPr>
      <w:r>
        <w:rPr>
          <w:rFonts w:hint="default" w:ascii="Times New Roman" w:hAnsi="Times New Roman" w:cs="Times New Roman"/>
          <w:lang w:val="en-US" w:eastAsia="zh-CN"/>
        </w:rPr>
        <w:t>采用机械化插秧、抛秧、人工移栽等方式栽插秧苗，移栽期为5月中下旬，行距30 cm，穴距13</w:t>
      </w:r>
      <w:r>
        <w:rPr>
          <w:rFonts w:hint="eastAsia" w:ascii="Times New Roman" w:cs="Times New Roman"/>
          <w:lang w:val="en-US" w:eastAsia="zh-CN"/>
        </w:rPr>
        <w:t xml:space="preserve"> cm</w:t>
      </w:r>
      <w:r>
        <w:rPr>
          <w:rFonts w:hint="default" w:ascii="Times New Roman" w:hAnsi="Times New Roman" w:cs="Times New Roman"/>
          <w:lang w:val="en-US" w:eastAsia="zh-CN"/>
        </w:rPr>
        <w:t>～15 cm，每穴3</w:t>
      </w:r>
      <w:r>
        <w:rPr>
          <w:rFonts w:hint="eastAsia" w:ascii="Times New Roman" w:cs="Times New Roman"/>
          <w:lang w:val="en-US" w:eastAsia="zh-CN"/>
        </w:rPr>
        <w:t>株</w:t>
      </w:r>
      <w:r>
        <w:rPr>
          <w:rFonts w:hint="default" w:ascii="Times New Roman" w:hAnsi="Times New Roman" w:cs="Times New Roman"/>
          <w:lang w:val="en-US" w:eastAsia="zh-CN"/>
        </w:rPr>
        <w:t>～4株，密度控制在25万穴/hm²～28万穴/hm²。</w:t>
      </w:r>
    </w:p>
    <w:p w14:paraId="5599FE7F">
      <w:pPr>
        <w:pStyle w:val="74"/>
        <w:bidi w:val="0"/>
        <w:rPr>
          <w:rFonts w:hint="eastAsia"/>
          <w:lang w:val="en-US" w:eastAsia="zh-CN"/>
        </w:rPr>
      </w:pPr>
      <w:bookmarkStart w:id="31" w:name="_Toc30861"/>
      <w:r>
        <w:rPr>
          <w:rFonts w:hint="eastAsia"/>
          <w:lang w:val="en-US" w:eastAsia="zh-CN"/>
        </w:rPr>
        <w:t>田间管理</w:t>
      </w:r>
      <w:bookmarkEnd w:id="31"/>
    </w:p>
    <w:p w14:paraId="4E3D8619">
      <w:pPr>
        <w:pStyle w:val="80"/>
        <w:bidi w:val="0"/>
        <w:spacing w:before="0" w:beforeLines="0" w:after="0" w:afterLines="0"/>
        <w:rPr>
          <w:rFonts w:hint="eastAsia"/>
          <w:lang w:val="en-US" w:eastAsia="zh-CN"/>
        </w:rPr>
      </w:pPr>
      <w:r>
        <w:rPr>
          <w:rFonts w:hint="eastAsia"/>
          <w:lang w:val="en-US" w:eastAsia="zh-CN"/>
        </w:rPr>
        <w:t>实行节水灌溉，分蘖期保持浅水层，孕穗至抽穗期保持水层，后期干湿交替。</w:t>
      </w:r>
    </w:p>
    <w:p w14:paraId="29B15289">
      <w:pPr>
        <w:pStyle w:val="80"/>
        <w:bidi w:val="0"/>
        <w:spacing w:before="0" w:beforeLines="0" w:after="0" w:afterLines="0"/>
        <w:rPr>
          <w:rFonts w:hint="eastAsia"/>
          <w:lang w:val="en-US" w:eastAsia="zh-CN"/>
        </w:rPr>
      </w:pPr>
      <w:r>
        <w:rPr>
          <w:rFonts w:hint="eastAsia"/>
          <w:lang w:val="en-US" w:eastAsia="zh-CN"/>
        </w:rPr>
        <w:t>施肥以有机肥为主，配合硒肥施用，控制氮肥用量，增施磷钾肥。</w:t>
      </w:r>
    </w:p>
    <w:p w14:paraId="4FFC27E4">
      <w:pPr>
        <w:pStyle w:val="80"/>
        <w:bidi w:val="0"/>
        <w:spacing w:before="0" w:beforeLines="0" w:after="0" w:afterLines="0"/>
        <w:rPr>
          <w:rFonts w:hint="eastAsia"/>
          <w:lang w:val="en-US" w:eastAsia="zh-CN"/>
        </w:rPr>
      </w:pPr>
      <w:r>
        <w:rPr>
          <w:rFonts w:hint="eastAsia"/>
          <w:lang w:val="en-US" w:eastAsia="zh-CN"/>
        </w:rPr>
        <w:t>提倡秸秆还田，提升土壤有机质和硒有效性。</w:t>
      </w:r>
    </w:p>
    <w:p w14:paraId="3CD095A4">
      <w:pPr>
        <w:pStyle w:val="74"/>
        <w:bidi w:val="0"/>
        <w:rPr>
          <w:rFonts w:hint="eastAsia"/>
          <w:lang w:val="en-US" w:eastAsia="zh-CN"/>
        </w:rPr>
      </w:pPr>
      <w:bookmarkStart w:id="32" w:name="_Toc25153"/>
      <w:r>
        <w:rPr>
          <w:rFonts w:hint="eastAsia"/>
          <w:lang w:val="en-US" w:eastAsia="zh-CN"/>
        </w:rPr>
        <w:t>施肥管理</w:t>
      </w:r>
      <w:bookmarkEnd w:id="32"/>
    </w:p>
    <w:p w14:paraId="37FF79B0">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推广采用测土配方施肥，控制氮肥总量。依据产量目标和土壤供氮能力，每公顷施纯氮120</w:t>
      </w:r>
      <w:r>
        <w:rPr>
          <w:rFonts w:hint="eastAsia" w:ascii="Times New Roman" w:hAnsi="Times New Roman" w:cs="Times New Roman"/>
          <w:lang w:val="en-US" w:eastAsia="zh-CN"/>
        </w:rPr>
        <w:t xml:space="preserve"> kg</w:t>
      </w:r>
      <w:r>
        <w:rPr>
          <w:rFonts w:hint="default" w:ascii="Times New Roman" w:hAnsi="Times New Roman" w:cs="Times New Roman"/>
          <w:lang w:val="en-US" w:eastAsia="zh-CN"/>
        </w:rPr>
        <w:t>～140 kg，五氧化二磷60</w:t>
      </w:r>
      <w:r>
        <w:rPr>
          <w:rFonts w:hint="eastAsia" w:ascii="Times New Roman" w:hAnsi="Times New Roman" w:cs="Times New Roman"/>
          <w:lang w:val="en-US" w:eastAsia="zh-CN"/>
        </w:rPr>
        <w:t xml:space="preserve"> kg</w:t>
      </w:r>
      <w:r>
        <w:rPr>
          <w:rFonts w:hint="default" w:ascii="Times New Roman" w:hAnsi="Times New Roman" w:cs="Times New Roman"/>
          <w:lang w:val="en-US" w:eastAsia="zh-CN"/>
        </w:rPr>
        <w:t>～70 kg，氧化钾80</w:t>
      </w:r>
      <w:r>
        <w:rPr>
          <w:rFonts w:hint="eastAsia" w:ascii="Times New Roman" w:hAnsi="Times New Roman" w:cs="Times New Roman"/>
          <w:lang w:val="en-US" w:eastAsia="zh-CN"/>
        </w:rPr>
        <w:t xml:space="preserve"> kg</w:t>
      </w:r>
      <w:r>
        <w:rPr>
          <w:rFonts w:hint="default" w:ascii="Times New Roman" w:hAnsi="Times New Roman" w:cs="Times New Roman"/>
          <w:lang w:val="en-US" w:eastAsia="zh-CN"/>
        </w:rPr>
        <w:t>～100 kg。</w:t>
      </w:r>
    </w:p>
    <w:p w14:paraId="6E20C80D">
      <w:pPr>
        <w:pStyle w:val="80"/>
        <w:bidi w:val="0"/>
        <w:spacing w:before="0" w:beforeLines="0" w:after="0" w:afterLines="0"/>
        <w:rPr>
          <w:rFonts w:hint="default" w:ascii="Times New Roman" w:hAnsi="Times New Roman" w:cs="Times New Roman"/>
          <w:lang w:val="en-US" w:eastAsia="zh-CN"/>
        </w:rPr>
      </w:pPr>
      <w:r>
        <w:rPr>
          <w:rFonts w:hint="eastAsia" w:ascii="Times New Roman" w:hAnsi="Times New Roman" w:cs="Times New Roman"/>
          <w:lang w:val="en-US" w:eastAsia="zh-CN"/>
        </w:rPr>
        <w:t>优先</w:t>
      </w:r>
      <w:r>
        <w:rPr>
          <w:rFonts w:hint="default" w:ascii="Times New Roman" w:hAnsi="Times New Roman" w:cs="Times New Roman"/>
          <w:lang w:val="en-US" w:eastAsia="zh-CN"/>
        </w:rPr>
        <w:t>使用充分腐熟的农家肥或商品有机肥，优先选择方正县富硒有机肥。</w:t>
      </w:r>
    </w:p>
    <w:p w14:paraId="282BDB1D">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化学防治选用低毒低残留药剂，禁用高毒农药，采收前30天停药。</w:t>
      </w:r>
    </w:p>
    <w:p w14:paraId="62E4ECAB">
      <w:pPr>
        <w:pStyle w:val="80"/>
        <w:bidi w:val="0"/>
        <w:spacing w:before="0" w:beforeLines="0" w:after="0" w:afterLines="0"/>
        <w:rPr>
          <w:rFonts w:hint="eastAsia"/>
          <w:lang w:val="en-US" w:eastAsia="zh-CN"/>
        </w:rPr>
      </w:pPr>
      <w:r>
        <w:rPr>
          <w:rFonts w:hint="default" w:ascii="Times New Roman" w:hAnsi="Times New Roman" w:cs="Times New Roman"/>
          <w:lang w:val="en-US" w:eastAsia="zh-CN"/>
        </w:rPr>
        <w:t>禁止使用含重金属或污染风险的肥料。鼓励使用获得“方正富硒稻米专用肥”登记的产品，从源头切断重金属进入食物链，保障富硒稻同时安全又营养。</w:t>
      </w:r>
    </w:p>
    <w:p w14:paraId="4DC4C264">
      <w:pPr>
        <w:pStyle w:val="73"/>
        <w:bidi w:val="0"/>
        <w:rPr>
          <w:rFonts w:hint="eastAsia"/>
          <w:lang w:val="en-US" w:eastAsia="zh-CN"/>
        </w:rPr>
      </w:pPr>
      <w:bookmarkStart w:id="33" w:name="_Toc5137"/>
      <w:bookmarkStart w:id="34" w:name="_Toc10670"/>
      <w:r>
        <w:rPr>
          <w:rFonts w:hint="eastAsia"/>
          <w:lang w:val="en-US" w:eastAsia="zh-CN"/>
        </w:rPr>
        <w:t>硒调控技术</w:t>
      </w:r>
      <w:bookmarkEnd w:id="33"/>
      <w:bookmarkEnd w:id="34"/>
    </w:p>
    <w:p w14:paraId="536DB6CA">
      <w:pPr>
        <w:pStyle w:val="74"/>
        <w:bidi w:val="0"/>
        <w:rPr>
          <w:rFonts w:hint="eastAsia"/>
          <w:lang w:val="en-US" w:eastAsia="zh-CN"/>
        </w:rPr>
      </w:pPr>
      <w:bookmarkStart w:id="35" w:name="_Toc23419"/>
      <w:r>
        <w:rPr>
          <w:rFonts w:hint="eastAsia"/>
          <w:lang w:val="en-US" w:eastAsia="zh-CN"/>
        </w:rPr>
        <w:t>天然富硒</w:t>
      </w:r>
      <w:bookmarkEnd w:id="35"/>
    </w:p>
    <w:p w14:paraId="7AF720F1">
      <w:pPr>
        <w:pStyle w:val="26"/>
        <w:rPr>
          <w:rFonts w:hint="eastAsia"/>
          <w:lang w:val="en-US" w:eastAsia="zh-CN"/>
        </w:rPr>
      </w:pPr>
      <w:r>
        <w:rPr>
          <w:rFonts w:hint="eastAsia"/>
          <w:lang w:val="en-US" w:eastAsia="zh-CN"/>
        </w:rPr>
        <w:t>优先选择富硒土壤种植，结合有机肥还田、秸秆还田等方式提高硒有效性。</w:t>
      </w:r>
    </w:p>
    <w:p w14:paraId="68337052">
      <w:pPr>
        <w:pStyle w:val="74"/>
        <w:bidi w:val="0"/>
        <w:rPr>
          <w:rFonts w:hint="eastAsia"/>
          <w:lang w:val="en-US" w:eastAsia="zh-CN"/>
        </w:rPr>
      </w:pPr>
      <w:bookmarkStart w:id="36" w:name="_Toc11466"/>
      <w:r>
        <w:rPr>
          <w:rFonts w:hint="eastAsia"/>
          <w:lang w:val="en-US" w:eastAsia="zh-CN"/>
        </w:rPr>
        <w:t>外源补硒</w:t>
      </w:r>
      <w:bookmarkEnd w:id="36"/>
    </w:p>
    <w:p w14:paraId="25145B77">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可在分蘖期和孕穗期叶面喷施硒肥，每公顷纯硒用量控制在15</w:t>
      </w:r>
      <w:r>
        <w:rPr>
          <w:rFonts w:hint="eastAsia" w:ascii="Times New Roman" w:hAnsi="Times New Roman" w:cs="Times New Roman"/>
          <w:lang w:val="en-US" w:eastAsia="zh-CN"/>
        </w:rPr>
        <w:t xml:space="preserve"> g</w:t>
      </w:r>
      <w:r>
        <w:rPr>
          <w:rFonts w:hint="default" w:ascii="Times New Roman" w:hAnsi="Times New Roman" w:cs="Times New Roman"/>
          <w:lang w:val="en-US" w:eastAsia="zh-CN"/>
        </w:rPr>
        <w:t>～30 g。喷施时间选择在晴天无风的上午9时前或下午4时后，避免强光高温。</w:t>
      </w:r>
    </w:p>
    <w:p w14:paraId="27B07CC6">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禁止使用未登记的硒肥产品。</w:t>
      </w:r>
    </w:p>
    <w:p w14:paraId="555BEB1C">
      <w:pPr>
        <w:pStyle w:val="73"/>
        <w:bidi w:val="0"/>
        <w:rPr>
          <w:rFonts w:hint="eastAsia"/>
          <w:lang w:val="en-US" w:eastAsia="zh-CN"/>
        </w:rPr>
      </w:pPr>
      <w:bookmarkStart w:id="37" w:name="_Toc18407"/>
      <w:bookmarkStart w:id="38" w:name="_Toc29228"/>
      <w:r>
        <w:rPr>
          <w:rFonts w:hint="eastAsia"/>
          <w:lang w:val="en-US" w:eastAsia="zh-CN"/>
        </w:rPr>
        <w:t>病虫害防治</w:t>
      </w:r>
      <w:bookmarkEnd w:id="37"/>
      <w:bookmarkEnd w:id="38"/>
    </w:p>
    <w:p w14:paraId="597F9462">
      <w:pPr>
        <w:pStyle w:val="26"/>
        <w:rPr>
          <w:rFonts w:hint="eastAsia"/>
          <w:lang w:val="en-US" w:eastAsia="zh-CN"/>
        </w:rPr>
      </w:pPr>
      <w:r>
        <w:rPr>
          <w:rFonts w:hint="eastAsia"/>
          <w:lang w:val="en-US" w:eastAsia="zh-CN"/>
        </w:rPr>
        <w:t>坚持“预防为主，绿色防控”原则，结合方正县区域生态特点：</w:t>
      </w:r>
    </w:p>
    <w:p w14:paraId="474C0FBE">
      <w:pPr>
        <w:pStyle w:val="63"/>
        <w:bidi w:val="0"/>
        <w:rPr>
          <w:rFonts w:hint="eastAsia"/>
          <w:lang w:val="en-US" w:eastAsia="zh-CN"/>
        </w:rPr>
      </w:pPr>
      <w:r>
        <w:rPr>
          <w:rFonts w:hint="eastAsia"/>
          <w:lang w:val="en-US" w:eastAsia="zh-CN"/>
        </w:rPr>
        <w:t>重点防控稻瘟病、纹枯病、二化螟、稻飞虱等；</w:t>
      </w:r>
    </w:p>
    <w:p w14:paraId="50AC64F0">
      <w:pPr>
        <w:pStyle w:val="63"/>
        <w:bidi w:val="0"/>
        <w:rPr>
          <w:rFonts w:hint="eastAsia"/>
          <w:lang w:val="en-US" w:eastAsia="zh-CN"/>
        </w:rPr>
      </w:pPr>
      <w:r>
        <w:rPr>
          <w:rFonts w:hint="eastAsia"/>
          <w:lang w:val="en-US" w:eastAsia="zh-CN"/>
        </w:rPr>
        <w:t>推广使用枯草芽孢杆菌、井冈霉素等生物农药和杀虫灯、性诱剂等理化诱控；</w:t>
      </w:r>
    </w:p>
    <w:p w14:paraId="64310269">
      <w:pPr>
        <w:pStyle w:val="63"/>
        <w:bidi w:val="0"/>
        <w:rPr>
          <w:rFonts w:hint="eastAsia"/>
          <w:lang w:val="en-US" w:eastAsia="zh-CN"/>
        </w:rPr>
      </w:pPr>
      <w:r>
        <w:rPr>
          <w:rFonts w:hint="eastAsia"/>
          <w:lang w:val="en-US" w:eastAsia="zh-CN"/>
        </w:rPr>
        <w:t>严格控制化学农药使用次数和安全间隔期，禁用高毒高残留农药。</w:t>
      </w:r>
    </w:p>
    <w:p w14:paraId="51E1E321">
      <w:pPr>
        <w:pStyle w:val="73"/>
        <w:bidi w:val="0"/>
        <w:rPr>
          <w:rFonts w:hint="eastAsia"/>
          <w:lang w:val="en-US" w:eastAsia="zh-CN"/>
        </w:rPr>
      </w:pPr>
      <w:bookmarkStart w:id="39" w:name="_Toc16351"/>
      <w:bookmarkStart w:id="40" w:name="_Toc22308"/>
      <w:r>
        <w:rPr>
          <w:rFonts w:hint="eastAsia"/>
          <w:lang w:val="en-US" w:eastAsia="zh-CN"/>
        </w:rPr>
        <w:t>收获与检测</w:t>
      </w:r>
      <w:bookmarkEnd w:id="39"/>
      <w:bookmarkEnd w:id="40"/>
    </w:p>
    <w:p w14:paraId="14B3FFBA">
      <w:pPr>
        <w:pStyle w:val="74"/>
        <w:bidi w:val="0"/>
        <w:rPr>
          <w:rFonts w:hint="eastAsia"/>
          <w:lang w:val="en-US" w:eastAsia="zh-CN"/>
        </w:rPr>
      </w:pPr>
      <w:bookmarkStart w:id="41" w:name="_Toc22714"/>
      <w:r>
        <w:rPr>
          <w:rFonts w:hint="eastAsia"/>
          <w:lang w:val="en-US" w:eastAsia="zh-CN"/>
        </w:rPr>
        <w:t>收获</w:t>
      </w:r>
      <w:bookmarkEnd w:id="41"/>
    </w:p>
    <w:p w14:paraId="292F18C2">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完熟期（黄熟率达95%以上时）及时收获，避免过熟倒伏。不同品种、不同地块单收单储，防止混杂。</w:t>
      </w:r>
    </w:p>
    <w:p w14:paraId="38B88F6E">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收获后应及时晾晒或低温烘干，控制水分含量</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14%。</w:t>
      </w:r>
    </w:p>
    <w:p w14:paraId="73D288B5">
      <w:pPr>
        <w:pStyle w:val="74"/>
        <w:bidi w:val="0"/>
        <w:rPr>
          <w:rFonts w:hint="eastAsia"/>
          <w:lang w:val="en-US" w:eastAsia="zh-CN"/>
        </w:rPr>
      </w:pPr>
      <w:bookmarkStart w:id="42" w:name="_Toc13779"/>
      <w:r>
        <w:rPr>
          <w:rFonts w:hint="eastAsia"/>
          <w:lang w:val="en-US" w:eastAsia="zh-CN"/>
        </w:rPr>
        <w:t>检测</w:t>
      </w:r>
      <w:bookmarkEnd w:id="42"/>
    </w:p>
    <w:p w14:paraId="74CE7C43">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每批次稻谷应检测总硒、镉含量及硒代氨基酸占比</w:t>
      </w:r>
      <w:r>
        <w:rPr>
          <w:rFonts w:hint="eastAsia" w:ascii="Times New Roman" w:hAnsi="Times New Roman" w:cs="Times New Roman"/>
          <w:lang w:val="en-US" w:eastAsia="zh-CN"/>
        </w:rPr>
        <w:t>，其中要求：</w:t>
      </w:r>
    </w:p>
    <w:p w14:paraId="6C82D1AD">
      <w:pPr>
        <w:pStyle w:val="63"/>
        <w:bidi w:val="0"/>
        <w:rPr>
          <w:rFonts w:hint="default" w:ascii="Times New Roman" w:hAnsi="Times New Roman" w:cs="Times New Roman"/>
          <w:lang w:val="en-US" w:eastAsia="zh-CN"/>
        </w:rPr>
      </w:pPr>
      <w:r>
        <w:rPr>
          <w:rFonts w:hint="default" w:ascii="Times New Roman" w:hAnsi="Times New Roman" w:cs="Times New Roman"/>
          <w:lang w:val="en-US" w:eastAsia="zh-CN"/>
        </w:rPr>
        <w:t>总硒按GB 5009.93测定；</w:t>
      </w:r>
    </w:p>
    <w:p w14:paraId="4037B105">
      <w:pPr>
        <w:pStyle w:val="63"/>
        <w:bidi w:val="0"/>
        <w:rPr>
          <w:rFonts w:hint="default" w:ascii="Times New Roman" w:hAnsi="Times New Roman" w:cs="Times New Roman"/>
          <w:lang w:val="en-US" w:eastAsia="zh-CN"/>
        </w:rPr>
      </w:pPr>
      <w:r>
        <w:rPr>
          <w:rFonts w:hint="default" w:ascii="Times New Roman" w:hAnsi="Times New Roman" w:cs="Times New Roman"/>
          <w:lang w:val="en-US" w:eastAsia="zh-CN"/>
        </w:rPr>
        <w:t>镉按GB 5009.15测定；</w:t>
      </w:r>
    </w:p>
    <w:p w14:paraId="62E55AAB">
      <w:pPr>
        <w:pStyle w:val="63"/>
        <w:bidi w:val="0"/>
        <w:rPr>
          <w:rFonts w:hint="default" w:ascii="Times New Roman" w:hAnsi="Times New Roman" w:cs="Times New Roman"/>
          <w:lang w:val="en-US" w:eastAsia="zh-CN"/>
        </w:rPr>
      </w:pPr>
      <w:r>
        <w:rPr>
          <w:rFonts w:hint="default" w:ascii="Times New Roman" w:hAnsi="Times New Roman" w:cs="Times New Roman"/>
          <w:lang w:val="en-US" w:eastAsia="zh-CN"/>
        </w:rPr>
        <w:t>硒代氨基酸占比参照NY/T 3556方法测定；</w:t>
      </w:r>
    </w:p>
    <w:p w14:paraId="36CEC28A">
      <w:pPr>
        <w:pStyle w:val="80"/>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检测结果应符合GB/T 22499富硒稻谷要求。</w:t>
      </w:r>
    </w:p>
    <w:p w14:paraId="5DB00515">
      <w:pPr>
        <w:pStyle w:val="73"/>
        <w:bidi w:val="0"/>
        <w:rPr>
          <w:rFonts w:hint="eastAsia"/>
          <w:lang w:val="en-US" w:eastAsia="zh-CN"/>
        </w:rPr>
      </w:pPr>
      <w:bookmarkStart w:id="43" w:name="_Toc27065"/>
      <w:bookmarkStart w:id="44" w:name="_Toc11670"/>
      <w:r>
        <w:rPr>
          <w:rFonts w:hint="eastAsia"/>
          <w:lang w:val="en-US" w:eastAsia="zh-CN"/>
        </w:rPr>
        <w:t>包装、储存与运输</w:t>
      </w:r>
      <w:bookmarkEnd w:id="43"/>
      <w:bookmarkEnd w:id="44"/>
    </w:p>
    <w:p w14:paraId="52996319">
      <w:pPr>
        <w:pStyle w:val="79"/>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包装应符合GB/T 17109要求，标注</w:t>
      </w:r>
      <w:r>
        <w:rPr>
          <w:rFonts w:hint="eastAsia" w:ascii="Times New Roman" w:hAnsi="Times New Roman" w:cs="Times New Roman"/>
          <w:lang w:val="en-US" w:eastAsia="zh-CN"/>
        </w:rPr>
        <w:t>“</w:t>
      </w:r>
      <w:r>
        <w:rPr>
          <w:rFonts w:hint="default" w:ascii="Times New Roman" w:hAnsi="Times New Roman" w:cs="Times New Roman"/>
          <w:lang w:val="en-US" w:eastAsia="zh-CN"/>
        </w:rPr>
        <w:t>方正富硒稻</w:t>
      </w:r>
      <w:r>
        <w:rPr>
          <w:rFonts w:hint="eastAsia" w:ascii="Times New Roman" w:hAnsi="Times New Roman" w:cs="Times New Roman"/>
          <w:lang w:val="en-US" w:eastAsia="zh-CN"/>
        </w:rPr>
        <w:t>”</w:t>
      </w:r>
      <w:r>
        <w:rPr>
          <w:rFonts w:hint="default" w:ascii="Times New Roman" w:hAnsi="Times New Roman" w:cs="Times New Roman"/>
          <w:lang w:val="en-US" w:eastAsia="zh-CN"/>
        </w:rPr>
        <w:t>字样、硒含量、产地、生产日期等信息。</w:t>
      </w:r>
    </w:p>
    <w:p w14:paraId="4B180793">
      <w:pPr>
        <w:pStyle w:val="79"/>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储存仓库应干燥、通风、防虫防霉、无污染，控制水分</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14.5%，温度</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15℃。</w:t>
      </w:r>
    </w:p>
    <w:p w14:paraId="3E41CD24">
      <w:pPr>
        <w:pStyle w:val="79"/>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运输过程中应防潮、防污染、防混杂，不得与有毒有害物质混运。</w:t>
      </w:r>
    </w:p>
    <w:p w14:paraId="46EAEB2A">
      <w:pPr>
        <w:pStyle w:val="73"/>
        <w:bidi w:val="0"/>
        <w:rPr>
          <w:rFonts w:hint="eastAsia"/>
          <w:lang w:val="en-US" w:eastAsia="zh-CN"/>
        </w:rPr>
      </w:pPr>
      <w:bookmarkStart w:id="45" w:name="_Toc20641"/>
      <w:bookmarkStart w:id="46" w:name="_Toc26087"/>
      <w:r>
        <w:rPr>
          <w:rFonts w:hint="eastAsia"/>
          <w:lang w:val="en-US" w:eastAsia="zh-CN"/>
        </w:rPr>
        <w:t>档案管理</w:t>
      </w:r>
      <w:bookmarkEnd w:id="45"/>
      <w:bookmarkEnd w:id="46"/>
    </w:p>
    <w:p w14:paraId="3F3A2CEB">
      <w:pPr>
        <w:pStyle w:val="79"/>
        <w:bidi w:val="0"/>
        <w:spacing w:before="0" w:beforeLines="0" w:after="0" w:afterLines="0"/>
        <w:rPr>
          <w:rFonts w:hint="eastAsia"/>
          <w:lang w:val="en-US" w:eastAsia="zh-CN"/>
        </w:rPr>
      </w:pPr>
      <w:r>
        <w:rPr>
          <w:rFonts w:hint="eastAsia"/>
          <w:lang w:val="en-US" w:eastAsia="zh-CN"/>
        </w:rPr>
        <w:t>生产企业应建立生产全过程记录档案，内容包括但不限于：</w:t>
      </w:r>
    </w:p>
    <w:p w14:paraId="2068718D">
      <w:pPr>
        <w:pStyle w:val="63"/>
        <w:bidi w:val="0"/>
        <w:rPr>
          <w:rFonts w:hint="eastAsia"/>
          <w:lang w:val="en-US" w:eastAsia="zh-CN"/>
        </w:rPr>
      </w:pPr>
      <w:r>
        <w:rPr>
          <w:rFonts w:hint="eastAsia"/>
          <w:lang w:val="en-US" w:eastAsia="zh-CN"/>
        </w:rPr>
        <w:t>地块信息、土壤检测报告；</w:t>
      </w:r>
    </w:p>
    <w:p w14:paraId="14081974">
      <w:pPr>
        <w:pStyle w:val="63"/>
        <w:bidi w:val="0"/>
        <w:rPr>
          <w:rFonts w:hint="eastAsia"/>
          <w:lang w:val="en-US" w:eastAsia="zh-CN"/>
        </w:rPr>
      </w:pPr>
      <w:r>
        <w:rPr>
          <w:rFonts w:hint="eastAsia"/>
          <w:lang w:val="en-US" w:eastAsia="zh-CN"/>
        </w:rPr>
        <w:t>种子来源、育秧记录；</w:t>
      </w:r>
    </w:p>
    <w:p w14:paraId="41E8AFC9">
      <w:pPr>
        <w:pStyle w:val="63"/>
        <w:bidi w:val="0"/>
        <w:rPr>
          <w:rFonts w:hint="eastAsia"/>
          <w:lang w:val="en-US" w:eastAsia="zh-CN"/>
        </w:rPr>
      </w:pPr>
      <w:r>
        <w:rPr>
          <w:rFonts w:hint="eastAsia"/>
          <w:lang w:val="en-US" w:eastAsia="zh-CN"/>
        </w:rPr>
        <w:t>肥料、农药、硒肥使用记录；</w:t>
      </w:r>
    </w:p>
    <w:p w14:paraId="796288AA">
      <w:pPr>
        <w:pStyle w:val="63"/>
        <w:bidi w:val="0"/>
        <w:rPr>
          <w:rFonts w:hint="eastAsia"/>
          <w:lang w:val="en-US" w:eastAsia="zh-CN"/>
        </w:rPr>
      </w:pPr>
      <w:r>
        <w:rPr>
          <w:rFonts w:hint="eastAsia"/>
          <w:lang w:val="en-US" w:eastAsia="zh-CN"/>
        </w:rPr>
        <w:t>收获、检测、销售记录；</w:t>
      </w:r>
    </w:p>
    <w:p w14:paraId="534FE76A">
      <w:pPr>
        <w:pStyle w:val="79"/>
        <w:bidi w:val="0"/>
        <w:spacing w:before="0" w:beforeLines="0" w:after="0" w:afterLines="0"/>
        <w:rPr>
          <w:rFonts w:hint="eastAsia"/>
          <w:lang w:val="en-US" w:eastAsia="zh-CN"/>
        </w:rPr>
      </w:pPr>
      <w:r>
        <w:rPr>
          <w:rFonts w:hint="eastAsia"/>
          <w:lang w:val="en-US" w:eastAsia="zh-CN"/>
        </w:rPr>
        <w:t>档案应真实、</w:t>
      </w:r>
      <w:r>
        <w:rPr>
          <w:rFonts w:hint="default" w:ascii="Times New Roman" w:hAnsi="Times New Roman" w:cs="Times New Roman"/>
          <w:lang w:val="en-US" w:eastAsia="zh-CN"/>
        </w:rPr>
        <w:t>完整，保存期不少于3年，鼓励信息化管理。</w:t>
      </w:r>
    </w:p>
    <w:p w14:paraId="3BBE3563">
      <w:pPr>
        <w:pStyle w:val="26"/>
        <w:rPr>
          <w:rFonts w:hint="eastAsia"/>
          <w:lang w:val="en-US" w:eastAsia="zh-CN"/>
        </w:rPr>
      </w:pPr>
    </w:p>
    <w:p w14:paraId="1AC35610">
      <w:pPr>
        <w:pStyle w:val="113"/>
        <w:bidi w:val="0"/>
        <w:rPr>
          <w:rFonts w:hint="eastAsia"/>
          <w:lang w:val="en-US" w:eastAsia="zh-CN"/>
        </w:rPr>
      </w:pPr>
      <w:bookmarkStart w:id="47" w:name="EndLine"/>
      <w:r>
        <w:rPr>
          <w:rFonts w:hint="eastAsia"/>
          <w:lang w:val="en-US" w:eastAsia="zh-CN"/>
        </w:rPr>
        <w:drawing>
          <wp:inline distT="0" distB="0" distL="114300" distR="114300">
            <wp:extent cx="1485900" cy="317500"/>
            <wp:effectExtent l="0" t="0" r="0" b="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6"/>
                    <a:stretch>
                      <a:fillRect/>
                    </a:stretch>
                  </pic:blipFill>
                  <pic:spPr>
                    <a:xfrm>
                      <a:off x="0" y="0"/>
                      <a:ext cx="1485900" cy="317500"/>
                    </a:xfrm>
                    <a:prstGeom prst="rect">
                      <a:avLst/>
                    </a:prstGeom>
                  </pic:spPr>
                </pic:pic>
              </a:graphicData>
            </a:graphic>
          </wp:inline>
        </w:drawing>
      </w:r>
      <w:bookmarkEnd w:id="47"/>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D04C5">
    <w:pPr>
      <w:pStyle w:val="32"/>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C45A0">
    <w:pPr>
      <w:pStyle w:val="33"/>
      <w:bidi w:val="0"/>
      <w:rPr>
        <w:rFonts w:hint="default" w:eastAsia="黑体"/>
        <w:lang w:val="en-US" w:eastAsia="zh-CN"/>
      </w:rPr>
    </w:pPr>
    <w:r>
      <w:rPr>
        <w:rFonts w:hint="eastAsia"/>
        <w:lang w:eastAsia="zh-CN"/>
      </w:rPr>
      <w:t>T/</w:t>
    </w:r>
    <w:r>
      <w:rPr>
        <w:rFonts w:hint="eastAsia"/>
        <w:lang w:val="en-US" w:eastAsia="zh-CN"/>
      </w:rPr>
      <w:t>HBJC</w:t>
    </w:r>
    <w:r>
      <w:rPr>
        <w:rFonts w:hint="eastAsia"/>
        <w:lang w:eastAsia="zh-CN"/>
      </w:rPr>
      <w:t xml:space="preserve"> </w:t>
    </w:r>
    <w:r>
      <w:rPr>
        <w:rFonts w:hint="eastAsia"/>
        <w:lang w:val="en-US" w:eastAsia="zh-CN"/>
      </w:rPr>
      <w:t>013</w:t>
    </w:r>
    <w:r>
      <w:rPr>
        <w:rFonts w:hint="eastAsia"/>
        <w:lang w:eastAsia="zh-CN"/>
      </w:rPr>
      <w:t>—</w:t>
    </w:r>
    <w:r>
      <w:rPr>
        <w:rFonts w:hint="eastAsia"/>
        <w:lang w:val="en-US" w:eastAsia="zh-CN"/>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7B6B5"/>
    <w:multiLevelType w:val="multilevel"/>
    <w:tmpl w:val="89B7B6B5"/>
    <w:lvl w:ilvl="0" w:tentative="0">
      <w:start w:val="1"/>
      <w:numFmt w:val="lowerLetter"/>
      <w:pStyle w:val="109"/>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BFD22F4"/>
    <w:multiLevelType w:val="multilevel"/>
    <w:tmpl w:val="8BFD22F4"/>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2">
    <w:nsid w:val="992A9C12"/>
    <w:multiLevelType w:val="multilevel"/>
    <w:tmpl w:val="992A9C12"/>
    <w:lvl w:ilvl="0" w:tentative="0">
      <w:start w:val="1"/>
      <w:numFmt w:val="decimal"/>
      <w:pStyle w:val="106"/>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A7CB3A86"/>
    <w:multiLevelType w:val="multilevel"/>
    <w:tmpl w:val="A7CB3A86"/>
    <w:lvl w:ilvl="0" w:tentative="0">
      <w:start w:val="1"/>
      <w:numFmt w:val="none"/>
      <w:pStyle w:val="63"/>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64"/>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A8DD9222"/>
    <w:multiLevelType w:val="multilevel"/>
    <w:tmpl w:val="A8DD9222"/>
    <w:lvl w:ilvl="0" w:tentative="0">
      <w:start w:val="1"/>
      <w:numFmt w:val="decimal"/>
      <w:pStyle w:val="114"/>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B18EE3AA"/>
    <w:multiLevelType w:val="multilevel"/>
    <w:tmpl w:val="B18EE3AA"/>
    <w:lvl w:ilvl="0" w:tentative="0">
      <w:start w:val="1"/>
      <w:numFmt w:val="decimal"/>
      <w:pStyle w:val="108"/>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B4302B13"/>
    <w:multiLevelType w:val="multilevel"/>
    <w:tmpl w:val="B4302B13"/>
    <w:lvl w:ilvl="0" w:tentative="0">
      <w:start w:val="1"/>
      <w:numFmt w:val="lowerLetter"/>
      <w:pStyle w:val="66"/>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7"/>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5"/>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CD129E23"/>
    <w:multiLevelType w:val="multilevel"/>
    <w:tmpl w:val="CD129E23"/>
    <w:lvl w:ilvl="0" w:tentative="0">
      <w:start w:val="1"/>
      <w:numFmt w:val="decimal"/>
      <w:pStyle w:val="73"/>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4"/>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5"/>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6"/>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7"/>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8"/>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F959CAAF"/>
    <w:multiLevelType w:val="multilevel"/>
    <w:tmpl w:val="F959CAAF"/>
    <w:lvl w:ilvl="0" w:tentative="0">
      <w:start w:val="1"/>
      <w:numFmt w:val="decimal"/>
      <w:pStyle w:val="115"/>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05399A82"/>
    <w:multiLevelType w:val="multilevel"/>
    <w:tmpl w:val="05399A82"/>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411B4AA8"/>
    <w:multiLevelType w:val="multilevel"/>
    <w:tmpl w:val="411B4AA8"/>
    <w:lvl w:ilvl="0" w:tentative="0">
      <w:start w:val="1"/>
      <w:numFmt w:val="decimal"/>
      <w:pStyle w:val="120"/>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1">
    <w:nsid w:val="47D1D5DC"/>
    <w:multiLevelType w:val="multilevel"/>
    <w:tmpl w:val="47D1D5DC"/>
    <w:lvl w:ilvl="0" w:tentative="0">
      <w:start w:val="1"/>
      <w:numFmt w:val="upperLetter"/>
      <w:pStyle w:val="102"/>
      <w:lvlText w:val="%1"/>
      <w:lvlJc w:val="left"/>
      <w:pPr>
        <w:tabs>
          <w:tab w:val="left" w:pos="0"/>
        </w:tabs>
        <w:ind w:left="0" w:leftChars="0" w:firstLine="0" w:firstLineChars="0"/>
      </w:pPr>
      <w:rPr>
        <w:rFonts w:hint="default"/>
      </w:rPr>
    </w:lvl>
    <w:lvl w:ilvl="1" w:tentative="0">
      <w:start w:val="1"/>
      <w:numFmt w:val="decimal"/>
      <w:pStyle w:val="103"/>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594B7613"/>
    <w:multiLevelType w:val="multilevel"/>
    <w:tmpl w:val="594B7613"/>
    <w:lvl w:ilvl="0" w:tentative="0">
      <w:start w:val="1"/>
      <w:numFmt w:val="none"/>
      <w:pStyle w:val="107"/>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5BABA15C"/>
    <w:multiLevelType w:val="multilevel"/>
    <w:tmpl w:val="5BABA15C"/>
    <w:lvl w:ilvl="0" w:tentative="0">
      <w:start w:val="1"/>
      <w:numFmt w:val="upperLetter"/>
      <w:pStyle w:val="89"/>
      <w:suff w:val="nothing"/>
      <w:lvlText w:val="附录%1"/>
      <w:lvlJc w:val="left"/>
      <w:pPr>
        <w:ind w:left="0" w:leftChars="0" w:firstLine="0" w:firstLineChars="0"/>
      </w:pPr>
      <w:rPr>
        <w:rFonts w:hint="default"/>
        <w:spacing w:val="102"/>
      </w:rPr>
    </w:lvl>
    <w:lvl w:ilvl="1" w:tentative="0">
      <w:start w:val="1"/>
      <w:numFmt w:val="decimal"/>
      <w:pStyle w:val="90"/>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1"/>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2"/>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3"/>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4"/>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66E75B44"/>
    <w:multiLevelType w:val="multilevel"/>
    <w:tmpl w:val="66E75B44"/>
    <w:lvl w:ilvl="0" w:tentative="0">
      <w:start w:val="1"/>
      <w:numFmt w:val="decimal"/>
      <w:pStyle w:val="17"/>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7067170F"/>
    <w:multiLevelType w:val="multilevel"/>
    <w:tmpl w:val="7067170F"/>
    <w:lvl w:ilvl="0" w:tentative="0">
      <w:start w:val="1"/>
      <w:numFmt w:val="none"/>
      <w:pStyle w:val="105"/>
      <w:suff w:val="nothing"/>
      <w:lvlText w:val="示例："/>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7AE27F5E"/>
    <w:multiLevelType w:val="multilevel"/>
    <w:tmpl w:val="7AE27F5E"/>
    <w:lvl w:ilvl="0" w:tentative="0">
      <w:start w:val="1"/>
      <w:numFmt w:val="none"/>
      <w:pStyle w:val="56"/>
      <w:suff w:val="nothing"/>
      <w:lvlText w:val="%1"/>
      <w:lvlJc w:val="left"/>
      <w:pPr>
        <w:ind w:left="425" w:leftChars="0" w:hanging="425" w:firstLineChars="0"/>
      </w:pPr>
      <w:rPr>
        <w:rFonts w:hint="default"/>
      </w:rPr>
    </w:lvl>
    <w:lvl w:ilvl="1" w:tentative="0">
      <w:start w:val="1"/>
      <w:numFmt w:val="decimal"/>
      <w:pStyle w:val="57"/>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58"/>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59"/>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0"/>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1"/>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9"/>
  </w:num>
  <w:num w:numId="2">
    <w:abstractNumId w:val="1"/>
  </w:num>
  <w:num w:numId="3">
    <w:abstractNumId w:val="14"/>
  </w:num>
  <w:num w:numId="4">
    <w:abstractNumId w:val="16"/>
  </w:num>
  <w:num w:numId="5">
    <w:abstractNumId w:val="3"/>
  </w:num>
  <w:num w:numId="6">
    <w:abstractNumId w:val="6"/>
  </w:num>
  <w:num w:numId="7">
    <w:abstractNumId w:val="7"/>
  </w:num>
  <w:num w:numId="8">
    <w:abstractNumId w:val="13"/>
  </w:num>
  <w:num w:numId="9">
    <w:abstractNumId w:val="11"/>
  </w:num>
  <w:num w:numId="10">
    <w:abstractNumId w:val="15"/>
  </w:num>
  <w:num w:numId="11">
    <w:abstractNumId w:val="2"/>
  </w:num>
  <w:num w:numId="12">
    <w:abstractNumId w:val="12"/>
  </w:num>
  <w:num w:numId="13">
    <w:abstractNumId w:val="5"/>
  </w:num>
  <w:num w:numId="14">
    <w:abstractNumId w:val="0"/>
  </w:num>
  <w:num w:numId="15">
    <w:abstractNumId w:val="4"/>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A61F1"/>
    <w:rsid w:val="02A36C44"/>
    <w:rsid w:val="08F12A23"/>
    <w:rsid w:val="110A4333"/>
    <w:rsid w:val="1BEF5857"/>
    <w:rsid w:val="1EA975B4"/>
    <w:rsid w:val="25CB31DA"/>
    <w:rsid w:val="2BAF763B"/>
    <w:rsid w:val="2E23144D"/>
    <w:rsid w:val="30524CDC"/>
    <w:rsid w:val="3C544530"/>
    <w:rsid w:val="3E9C2BBD"/>
    <w:rsid w:val="46D32DA1"/>
    <w:rsid w:val="511F00FB"/>
    <w:rsid w:val="53FFC5CA"/>
    <w:rsid w:val="5455279C"/>
    <w:rsid w:val="567A61F1"/>
    <w:rsid w:val="57EB0E71"/>
    <w:rsid w:val="62A847ED"/>
    <w:rsid w:val="68550ABE"/>
    <w:rsid w:val="6AC260DF"/>
    <w:rsid w:val="FFFB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rPr>
      <w:rFonts w:hint="eastAsia" w:ascii="黑体" w:hAnsi="黑体" w:eastAsia="黑体" w:cs="黑体"/>
      <w:sz w:val="21"/>
    </w:rPr>
  </w:style>
  <w:style w:type="table" w:default="1" w:styleId="21">
    <w:name w:val="Normal Table"/>
    <w:semiHidden/>
    <w:qFormat/>
    <w:uiPriority w:val="0"/>
    <w:tblPr>
      <w:tblCellMar>
        <w:top w:w="0" w:type="dxa"/>
        <w:left w:w="108" w:type="dxa"/>
        <w:bottom w:w="0" w:type="dxa"/>
        <w:right w:w="108" w:type="dxa"/>
      </w:tblCellMar>
    </w:tblPr>
  </w:style>
  <w:style w:type="paragraph" w:styleId="10">
    <w:name w:val="Body Text"/>
    <w:basedOn w:val="1"/>
    <w:semiHidden/>
    <w:qFormat/>
    <w:uiPriority w:val="0"/>
    <w:rPr>
      <w:rFonts w:ascii="宋体" w:hAnsi="宋体" w:eastAsia="宋体" w:cs="宋体"/>
      <w:sz w:val="28"/>
      <w:szCs w:val="28"/>
      <w:lang w:val="en-US" w:eastAsia="en-US" w:bidi="ar-SA"/>
    </w:rPr>
  </w:style>
  <w:style w:type="paragraph" w:styleId="11">
    <w:name w:val="toc 5"/>
    <w:basedOn w:val="1"/>
    <w:next w:val="1"/>
    <w:qFormat/>
    <w:uiPriority w:val="0"/>
    <w:pPr>
      <w:spacing w:line="300" w:lineRule="exact"/>
      <w:ind w:left="1680" w:leftChars="800"/>
    </w:pPr>
    <w:rPr>
      <w:rFonts w:hAnsi="宋体"/>
    </w:rPr>
  </w:style>
  <w:style w:type="paragraph" w:styleId="12">
    <w:name w:val="toc 3"/>
    <w:basedOn w:val="1"/>
    <w:next w:val="1"/>
    <w:qFormat/>
    <w:uiPriority w:val="0"/>
    <w:pPr>
      <w:spacing w:line="300" w:lineRule="exact"/>
      <w:ind w:left="840" w:leftChars="400"/>
    </w:pPr>
    <w:rPr>
      <w:rFonts w:hAnsi="宋体"/>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line="400" w:lineRule="exact"/>
    </w:pPr>
    <w:rPr>
      <w:rFonts w:hAnsi="宋体"/>
    </w:rPr>
  </w:style>
  <w:style w:type="paragraph" w:styleId="16">
    <w:name w:val="toc 4"/>
    <w:basedOn w:val="1"/>
    <w:next w:val="1"/>
    <w:qFormat/>
    <w:uiPriority w:val="0"/>
    <w:pPr>
      <w:spacing w:line="300" w:lineRule="exact"/>
      <w:ind w:left="1260" w:leftChars="600"/>
    </w:pPr>
    <w:rPr>
      <w:rFonts w:hAnsi="宋体"/>
    </w:rPr>
  </w:style>
  <w:style w:type="paragraph" w:styleId="17">
    <w:name w:val="footnote text"/>
    <w:basedOn w:val="1"/>
    <w:qFormat/>
    <w:uiPriority w:val="0"/>
    <w:pPr>
      <w:widowControl/>
      <w:numPr>
        <w:ilvl w:val="0"/>
        <w:numId w:val="3"/>
      </w:numPr>
      <w:autoSpaceDE w:val="0"/>
      <w:autoSpaceDN w:val="0"/>
      <w:snapToGrid/>
      <w:ind w:left="1380" w:leftChars="200" w:hanging="960" w:hangingChars="200"/>
      <w:jc w:val="both"/>
    </w:pPr>
    <w:rPr>
      <w:rFonts w:hAnsi="宋体"/>
      <w:sz w:val="15"/>
    </w:rPr>
  </w:style>
  <w:style w:type="paragraph" w:styleId="18">
    <w:name w:val="toc 6"/>
    <w:basedOn w:val="1"/>
    <w:next w:val="1"/>
    <w:qFormat/>
    <w:uiPriority w:val="0"/>
    <w:pPr>
      <w:spacing w:line="300" w:lineRule="exact"/>
      <w:ind w:left="2100" w:leftChars="1000"/>
    </w:pPr>
    <w:rPr>
      <w:rFonts w:hAnsi="宋体"/>
    </w:rPr>
  </w:style>
  <w:style w:type="paragraph" w:styleId="19">
    <w:name w:val="toc 2"/>
    <w:basedOn w:val="1"/>
    <w:next w:val="1"/>
    <w:qFormat/>
    <w:uiPriority w:val="0"/>
    <w:pPr>
      <w:spacing w:line="300" w:lineRule="exact"/>
      <w:ind w:left="420" w:leftChars="200"/>
    </w:pPr>
    <w:rPr>
      <w:rFonts w:hAnsi="宋体"/>
    </w:rPr>
  </w:style>
  <w:style w:type="paragraph" w:styleId="20">
    <w:name w:val="Normal (Web)"/>
    <w:basedOn w:val="1"/>
    <w:qFormat/>
    <w:uiPriority w:val="0"/>
    <w:rPr>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otnote reference"/>
    <w:basedOn w:val="23"/>
    <w:qFormat/>
    <w:uiPriority w:val="0"/>
    <w:rPr>
      <w:rFonts w:ascii="宋体" w:hAnsi="宋体" w:eastAsia="宋体" w:cs="宋体"/>
      <w:sz w:val="18"/>
      <w:vertAlign w:val="superscript"/>
    </w:rPr>
  </w:style>
  <w:style w:type="paragraph" w:customStyle="1" w:styleId="26">
    <w:name w:val="标准文件_段"/>
    <w:qFormat/>
    <w:uiPriority w:val="0"/>
    <w:pPr>
      <w:ind w:firstLine="960" w:firstLineChars="200"/>
      <w:jc w:val="both"/>
    </w:pPr>
    <w:rPr>
      <w:rFonts w:hint="eastAsia" w:ascii="宋体" w:hAnsi="Times New Roman" w:eastAsia="宋体" w:cs="宋体"/>
      <w:sz w:val="21"/>
    </w:rPr>
  </w:style>
  <w:style w:type="paragraph" w:customStyle="1" w:styleId="27">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8">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9">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30">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1">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2">
    <w:name w:val="标准书脚_奇数页"/>
    <w:qFormat/>
    <w:uiPriority w:val="0"/>
    <w:pPr>
      <w:ind w:right="227"/>
      <w:jc w:val="right"/>
    </w:pPr>
    <w:rPr>
      <w:rFonts w:hint="eastAsia" w:ascii="宋体" w:hAnsi="Times New Roman" w:eastAsia="宋体" w:cs="宋体"/>
      <w:sz w:val="18"/>
    </w:rPr>
  </w:style>
  <w:style w:type="paragraph" w:customStyle="1" w:styleId="33">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4">
    <w:name w:val="标准书眉_偶数页"/>
    <w:next w:val="1"/>
    <w:qFormat/>
    <w:uiPriority w:val="0"/>
    <w:pPr>
      <w:spacing w:after="120"/>
    </w:pPr>
    <w:rPr>
      <w:rFonts w:hint="eastAsia" w:ascii="黑体" w:hAnsi="Times New Roman" w:eastAsia="黑体" w:cs="黑体"/>
      <w:sz w:val="21"/>
    </w:rPr>
  </w:style>
  <w:style w:type="paragraph" w:customStyle="1" w:styleId="35">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6">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7">
    <w:name w:val="发布部门"/>
    <w:next w:val="26"/>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8">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9">
    <w:name w:val="实施日期"/>
    <w:basedOn w:val="38"/>
    <w:qFormat/>
    <w:uiPriority w:val="0"/>
    <w:pPr>
      <w:framePr w:hSpace="0" w:wrap="around" w:vAnchor="page" w:hAnchor="page" w:x="7089" w:y="14176"/>
      <w:jc w:val="right"/>
    </w:pPr>
  </w:style>
  <w:style w:type="paragraph" w:customStyle="1" w:styleId="4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1">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3">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4">
    <w:name w:val="封面标准英文名称"/>
    <w:basedOn w:val="43"/>
    <w:qFormat/>
    <w:uiPriority w:val="0"/>
    <w:pPr>
      <w:widowControl w:val="0"/>
      <w:spacing w:before="410" w:line="360" w:lineRule="exact"/>
      <w:textAlignment w:val="bottom"/>
    </w:pPr>
    <w:rPr>
      <w:rFonts w:ascii="Times New Roman" w:hAnsi="Times New Roman" w:cs="Times New Roman"/>
      <w:sz w:val="28"/>
    </w:rPr>
  </w:style>
  <w:style w:type="paragraph" w:customStyle="1" w:styleId="45">
    <w:name w:val="封面一致性程度标识"/>
    <w:basedOn w:val="44"/>
    <w:qFormat/>
    <w:uiPriority w:val="0"/>
    <w:pPr>
      <w:spacing w:before="760"/>
    </w:pPr>
  </w:style>
  <w:style w:type="paragraph" w:customStyle="1" w:styleId="46">
    <w:name w:val="封面标准文稿类别"/>
    <w:basedOn w:val="45"/>
    <w:qFormat/>
    <w:uiPriority w:val="0"/>
    <w:pPr>
      <w:spacing w:before="440" w:after="160"/>
    </w:pPr>
    <w:rPr>
      <w:rFonts w:ascii="黑体" w:hAnsi="黑体" w:cs="黑体"/>
      <w:sz w:val="24"/>
    </w:rPr>
  </w:style>
  <w:style w:type="paragraph" w:customStyle="1" w:styleId="47">
    <w:name w:val="封面标准文稿编辑信息"/>
    <w:basedOn w:val="46"/>
    <w:qFormat/>
    <w:uiPriority w:val="0"/>
    <w:pPr>
      <w:spacing w:before="180" w:line="240" w:lineRule="atLeast"/>
    </w:pPr>
    <w:rPr>
      <w:sz w:val="21"/>
    </w:rPr>
  </w:style>
  <w:style w:type="paragraph" w:customStyle="1" w:styleId="48">
    <w:name w:val="封面标准文稿附件"/>
    <w:basedOn w:val="46"/>
    <w:qFormat/>
    <w:uiPriority w:val="0"/>
    <w:pPr>
      <w:spacing w:before="937" w:beforeLines="300" w:afterLines="30" w:line="240" w:lineRule="auto"/>
    </w:pPr>
    <w:rPr>
      <w:rFonts w:ascii="Times New Roman" w:hAnsi="Times New Roman" w:cs="Times New Roman"/>
      <w:b/>
      <w:sz w:val="21"/>
    </w:rPr>
  </w:style>
  <w:style w:type="paragraph" w:customStyle="1" w:styleId="49">
    <w:name w:val="其他发布部门"/>
    <w:basedOn w:val="37"/>
    <w:qFormat/>
    <w:uiPriority w:val="0"/>
    <w:pPr>
      <w:framePr w:wrap="around" w:y="15310"/>
      <w:spacing w:line="0" w:lineRule="atLeast"/>
    </w:pPr>
    <w:rPr>
      <w:rFonts w:ascii="黑体" w:hAnsi="黑体" w:eastAsia="黑体" w:cs="黑体"/>
    </w:rPr>
  </w:style>
  <w:style w:type="paragraph" w:customStyle="1" w:styleId="50">
    <w:name w:val="其他发布部门2"/>
    <w:basedOn w:val="37"/>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1">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2">
    <w:name w:val="其他发布日期"/>
    <w:basedOn w:val="38"/>
    <w:qFormat/>
    <w:uiPriority w:val="0"/>
    <w:pPr>
      <w:framePr w:hSpace="0" w:wrap="around" w:vAnchor="page" w:hAnchor="page" w:x="1419" w:y="14176"/>
    </w:pPr>
  </w:style>
  <w:style w:type="paragraph" w:customStyle="1" w:styleId="53">
    <w:name w:val="其他实施日期"/>
    <w:basedOn w:val="39"/>
    <w:qFormat/>
    <w:uiPriority w:val="0"/>
  </w:style>
  <w:style w:type="paragraph" w:customStyle="1" w:styleId="54">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5">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6">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7">
    <w:name w:val="标准文件_引言一级条标题"/>
    <w:basedOn w:val="26"/>
    <w:next w:val="26"/>
    <w:qFormat/>
    <w:uiPriority w:val="0"/>
    <w:pPr>
      <w:numPr>
        <w:ilvl w:val="1"/>
        <w:numId w:val="4"/>
      </w:numPr>
      <w:spacing w:before="157" w:beforeLines="50" w:after="157" w:afterLines="50"/>
    </w:pPr>
    <w:rPr>
      <w:rFonts w:ascii="黑体" w:hAnsi="黑体" w:eastAsia="黑体" w:cs="黑体"/>
    </w:rPr>
  </w:style>
  <w:style w:type="paragraph" w:customStyle="1" w:styleId="58">
    <w:name w:val="标准文件_引言二级条标题"/>
    <w:basedOn w:val="26"/>
    <w:next w:val="26"/>
    <w:qFormat/>
    <w:uiPriority w:val="0"/>
    <w:pPr>
      <w:numPr>
        <w:ilvl w:val="2"/>
        <w:numId w:val="4"/>
      </w:numPr>
      <w:spacing w:before="157" w:beforeLines="50" w:after="157" w:afterLines="50"/>
    </w:pPr>
    <w:rPr>
      <w:rFonts w:ascii="黑体" w:hAnsi="黑体" w:eastAsia="黑体" w:cs="黑体"/>
    </w:rPr>
  </w:style>
  <w:style w:type="paragraph" w:customStyle="1" w:styleId="59">
    <w:name w:val="标准文件_引言三级条标题"/>
    <w:basedOn w:val="26"/>
    <w:next w:val="26"/>
    <w:qFormat/>
    <w:uiPriority w:val="0"/>
    <w:pPr>
      <w:numPr>
        <w:ilvl w:val="3"/>
        <w:numId w:val="4"/>
      </w:numPr>
      <w:spacing w:before="157" w:beforeLines="50" w:after="157" w:afterLines="50"/>
    </w:pPr>
    <w:rPr>
      <w:rFonts w:ascii="黑体" w:hAnsi="黑体" w:eastAsia="黑体" w:cs="黑体"/>
    </w:rPr>
  </w:style>
  <w:style w:type="paragraph" w:customStyle="1" w:styleId="60">
    <w:name w:val="标准文件_引言四级条标题"/>
    <w:basedOn w:val="26"/>
    <w:next w:val="26"/>
    <w:qFormat/>
    <w:uiPriority w:val="0"/>
    <w:pPr>
      <w:numPr>
        <w:ilvl w:val="4"/>
        <w:numId w:val="4"/>
      </w:numPr>
      <w:spacing w:before="157" w:beforeLines="50" w:after="157" w:afterLines="50"/>
    </w:pPr>
    <w:rPr>
      <w:rFonts w:ascii="黑体" w:hAnsi="黑体" w:eastAsia="黑体" w:cs="黑体"/>
    </w:rPr>
  </w:style>
  <w:style w:type="paragraph" w:customStyle="1" w:styleId="61">
    <w:name w:val="标准文件_引言五级条标题"/>
    <w:basedOn w:val="26"/>
    <w:next w:val="26"/>
    <w:qFormat/>
    <w:uiPriority w:val="0"/>
    <w:pPr>
      <w:numPr>
        <w:ilvl w:val="5"/>
        <w:numId w:val="4"/>
      </w:numPr>
      <w:spacing w:before="157" w:beforeLines="50" w:after="157" w:afterLines="50"/>
    </w:pPr>
    <w:rPr>
      <w:rFonts w:ascii="黑体" w:hAnsi="黑体" w:eastAsia="黑体" w:cs="黑体"/>
    </w:rPr>
  </w:style>
  <w:style w:type="paragraph" w:customStyle="1" w:styleId="62">
    <w:name w:val="标准文件_正文标准名称"/>
    <w:basedOn w:val="1"/>
    <w:link w:val="121"/>
    <w:qFormat/>
    <w:uiPriority w:val="0"/>
    <w:pPr>
      <w:widowControl/>
      <w:suppressAutoHyphens w:val="0"/>
      <w:spacing w:after="640" w:line="400" w:lineRule="exact"/>
      <w:jc w:val="center"/>
    </w:pPr>
    <w:rPr>
      <w:rFonts w:ascii="黑体" w:hAnsi="黑体" w:eastAsia="黑体" w:cs="黑体"/>
      <w:sz w:val="32"/>
    </w:rPr>
  </w:style>
  <w:style w:type="paragraph" w:customStyle="1" w:styleId="63">
    <w:name w:val="标准文件_一级项"/>
    <w:next w:val="26"/>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64">
    <w:name w:val="标准文件_二级项2"/>
    <w:basedOn w:val="26"/>
    <w:next w:val="26"/>
    <w:qFormat/>
    <w:uiPriority w:val="0"/>
    <w:pPr>
      <w:numPr>
        <w:ilvl w:val="1"/>
        <w:numId w:val="5"/>
      </w:numPr>
      <w:suppressAutoHyphens w:val="0"/>
      <w:ind w:left="1270" w:hanging="419"/>
    </w:pPr>
    <w:rPr>
      <w:rFonts w:hAnsi="Times New Roman"/>
    </w:rPr>
  </w:style>
  <w:style w:type="paragraph" w:customStyle="1" w:styleId="65">
    <w:name w:val="标准文件_三级项"/>
    <w:basedOn w:val="1"/>
    <w:next w:val="26"/>
    <w:qFormat/>
    <w:uiPriority w:val="0"/>
    <w:pPr>
      <w:numPr>
        <w:ilvl w:val="2"/>
        <w:numId w:val="6"/>
      </w:numPr>
      <w:suppressAutoHyphens w:val="0"/>
      <w:spacing w:line="300" w:lineRule="exact"/>
      <w:ind w:left="1678" w:hanging="414"/>
    </w:pPr>
    <w:rPr>
      <w:rFonts w:hAnsi="+西文正文"/>
    </w:rPr>
  </w:style>
  <w:style w:type="paragraph" w:customStyle="1" w:styleId="66">
    <w:name w:val="标准文件_字母编号列项（一级）"/>
    <w:next w:val="26"/>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7">
    <w:name w:val="标准文件_数字编号列项（二级）"/>
    <w:next w:val="26"/>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8">
    <w:name w:val="标准文件_引言一级无标题"/>
    <w:basedOn w:val="57"/>
    <w:next w:val="26"/>
    <w:qFormat/>
    <w:uiPriority w:val="0"/>
    <w:pPr>
      <w:spacing w:before="4" w:beforeLines="1" w:after="4" w:afterLines="1" w:line="276" w:lineRule="auto"/>
    </w:pPr>
    <w:rPr>
      <w:rFonts w:ascii="宋体" w:hAnsi="宋体" w:eastAsia="宋体" w:cs="宋体"/>
    </w:rPr>
  </w:style>
  <w:style w:type="paragraph" w:customStyle="1" w:styleId="69">
    <w:name w:val="标准文件_引言二级无标题"/>
    <w:basedOn w:val="58"/>
    <w:next w:val="26"/>
    <w:qFormat/>
    <w:uiPriority w:val="0"/>
    <w:pPr>
      <w:spacing w:before="4" w:beforeLines="1" w:after="4" w:afterLines="1" w:line="276" w:lineRule="auto"/>
    </w:pPr>
    <w:rPr>
      <w:rFonts w:ascii="宋体" w:hAnsi="宋体" w:eastAsia="宋体" w:cs="宋体"/>
    </w:rPr>
  </w:style>
  <w:style w:type="paragraph" w:customStyle="1" w:styleId="70">
    <w:name w:val="标准文件_引言三级无标题"/>
    <w:basedOn w:val="59"/>
    <w:next w:val="26"/>
    <w:qFormat/>
    <w:uiPriority w:val="0"/>
    <w:pPr>
      <w:spacing w:before="4" w:beforeLines="1" w:after="4" w:afterLines="1" w:line="276" w:lineRule="auto"/>
    </w:pPr>
    <w:rPr>
      <w:rFonts w:ascii="宋体" w:hAnsi="宋体" w:eastAsia="宋体" w:cs="宋体"/>
    </w:rPr>
  </w:style>
  <w:style w:type="paragraph" w:customStyle="1" w:styleId="71">
    <w:name w:val="标准文件_引言四级无标题"/>
    <w:basedOn w:val="60"/>
    <w:next w:val="26"/>
    <w:qFormat/>
    <w:uiPriority w:val="0"/>
    <w:pPr>
      <w:spacing w:before="4" w:beforeLines="1" w:after="4" w:afterLines="1" w:line="276" w:lineRule="auto"/>
    </w:pPr>
    <w:rPr>
      <w:rFonts w:ascii="宋体" w:hAnsi="宋体" w:eastAsia="宋体" w:cs="宋体"/>
    </w:rPr>
  </w:style>
  <w:style w:type="paragraph" w:customStyle="1" w:styleId="72">
    <w:name w:val="标准文件_引言五级无标题"/>
    <w:basedOn w:val="61"/>
    <w:next w:val="26"/>
    <w:qFormat/>
    <w:uiPriority w:val="0"/>
    <w:pPr>
      <w:spacing w:before="4" w:beforeLines="1" w:after="4" w:afterLines="1" w:line="276" w:lineRule="auto"/>
    </w:pPr>
    <w:rPr>
      <w:rFonts w:ascii="宋体" w:hAnsi="宋体" w:eastAsia="宋体" w:cs="宋体"/>
    </w:rPr>
  </w:style>
  <w:style w:type="paragraph" w:customStyle="1" w:styleId="73">
    <w:name w:val="标准文件_章标题"/>
    <w:next w:val="26"/>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4">
    <w:name w:val="标准文件_一级条标题"/>
    <w:basedOn w:val="73"/>
    <w:next w:val="26"/>
    <w:qFormat/>
    <w:uiPriority w:val="0"/>
    <w:pPr>
      <w:numPr>
        <w:ilvl w:val="1"/>
      </w:numPr>
      <w:spacing w:before="157" w:beforeLines="50" w:after="157" w:afterLines="50"/>
      <w:ind w:firstLine="0"/>
      <w:outlineLvl w:val="1"/>
    </w:pPr>
    <w:rPr>
      <w:rFonts w:hAnsi="Times New Roman"/>
    </w:rPr>
  </w:style>
  <w:style w:type="paragraph" w:customStyle="1" w:styleId="75">
    <w:name w:val="标准文件_二级条标题"/>
    <w:next w:val="26"/>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6">
    <w:name w:val="标准文件_三级条标题"/>
    <w:basedOn w:val="75"/>
    <w:next w:val="26"/>
    <w:qFormat/>
    <w:uiPriority w:val="0"/>
    <w:pPr>
      <w:numPr>
        <w:ilvl w:val="3"/>
      </w:numPr>
      <w:spacing w:before="157" w:after="157"/>
      <w:ind w:firstLine="0"/>
      <w:outlineLvl w:val="3"/>
    </w:pPr>
  </w:style>
  <w:style w:type="paragraph" w:customStyle="1" w:styleId="77">
    <w:name w:val="标准文件_四级条标题"/>
    <w:next w:val="26"/>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五级条标题"/>
    <w:next w:val="26"/>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9">
    <w:name w:val="标准文件_一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二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三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四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五级无标题"/>
    <w:basedOn w:val="78"/>
    <w:qFormat/>
    <w:uiPriority w:val="0"/>
    <w:pPr>
      <w:spacing w:before="4" w:beforeLines="1" w:after="4" w:afterLines="1"/>
      <w:outlineLvl w:val="9"/>
    </w:pPr>
    <w:rPr>
      <w:rFonts w:ascii="宋体" w:hAnsi="宋体" w:eastAsia="宋体" w:cs="宋体"/>
    </w:rPr>
  </w:style>
  <w:style w:type="paragraph" w:customStyle="1" w:styleId="84">
    <w:name w:val="标准文件_术语条一"/>
    <w:basedOn w:val="79"/>
    <w:next w:val="26"/>
    <w:qFormat/>
    <w:uiPriority w:val="0"/>
    <w:pPr>
      <w:ind w:left="960" w:hanging="960" w:hangingChars="200"/>
    </w:pPr>
    <w:rPr>
      <w:rFonts w:ascii="黑体" w:hAnsi="黑体" w:eastAsia="黑体" w:cs="黑体"/>
    </w:rPr>
  </w:style>
  <w:style w:type="paragraph" w:customStyle="1" w:styleId="85">
    <w:name w:val="标准文件_术语条二"/>
    <w:basedOn w:val="80"/>
    <w:next w:val="26"/>
    <w:qFormat/>
    <w:uiPriority w:val="0"/>
    <w:pPr>
      <w:ind w:left="960" w:hanging="960" w:hangingChars="200"/>
    </w:pPr>
    <w:rPr>
      <w:rFonts w:ascii="黑体" w:hAnsi="黑体" w:eastAsia="黑体" w:cs="黑体"/>
    </w:rPr>
  </w:style>
  <w:style w:type="paragraph" w:customStyle="1" w:styleId="86">
    <w:name w:val="标准文件_术语条三"/>
    <w:basedOn w:val="81"/>
    <w:next w:val="26"/>
    <w:qFormat/>
    <w:uiPriority w:val="0"/>
    <w:pPr>
      <w:ind w:left="960" w:hanging="960" w:hangingChars="200"/>
    </w:pPr>
    <w:rPr>
      <w:rFonts w:ascii="黑体" w:hAnsi="黑体" w:eastAsia="黑体" w:cs="黑体"/>
    </w:rPr>
  </w:style>
  <w:style w:type="paragraph" w:customStyle="1" w:styleId="87">
    <w:name w:val="标准文件_术语条四"/>
    <w:basedOn w:val="82"/>
    <w:next w:val="26"/>
    <w:qFormat/>
    <w:uiPriority w:val="0"/>
    <w:pPr>
      <w:ind w:left="960" w:hanging="960" w:hangingChars="200"/>
    </w:pPr>
    <w:rPr>
      <w:rFonts w:ascii="黑体" w:hAnsi="黑体" w:eastAsia="黑体" w:cs="黑体"/>
    </w:rPr>
  </w:style>
  <w:style w:type="paragraph" w:customStyle="1" w:styleId="88">
    <w:name w:val="标准文件_术语条五"/>
    <w:basedOn w:val="83"/>
    <w:next w:val="26"/>
    <w:qFormat/>
    <w:uiPriority w:val="0"/>
    <w:pPr>
      <w:ind w:left="960" w:hanging="960" w:hangingChars="200"/>
    </w:pPr>
    <w:rPr>
      <w:rFonts w:ascii="黑体" w:hAnsi="黑体" w:eastAsia="黑体" w:cs="黑体"/>
    </w:rPr>
  </w:style>
  <w:style w:type="paragraph" w:customStyle="1" w:styleId="89">
    <w:name w:val="标准文件_附录标识"/>
    <w:basedOn w:val="1"/>
    <w:next w:val="26"/>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90">
    <w:name w:val="标准文件_附录一级条标题"/>
    <w:next w:val="26"/>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二级条标题"/>
    <w:next w:val="26"/>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三级条标题"/>
    <w:next w:val="26"/>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四级条标题"/>
    <w:next w:val="26"/>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五级条标题"/>
    <w:next w:val="26"/>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一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二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三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四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五级无标题"/>
    <w:basedOn w:val="94"/>
    <w:qFormat/>
    <w:uiPriority w:val="0"/>
    <w:pPr>
      <w:spacing w:before="4" w:beforeLines="1" w:after="4" w:afterLines="1" w:line="276" w:lineRule="auto"/>
    </w:pPr>
    <w:rPr>
      <w:rFonts w:ascii="宋体" w:hAnsi="宋体" w:eastAsia="宋体" w:cs="宋体"/>
    </w:rPr>
  </w:style>
  <w:style w:type="paragraph" w:customStyle="1" w:styleId="100">
    <w:name w:val="附录图标号"/>
    <w:basedOn w:val="26"/>
    <w:next w:val="26"/>
    <w:qFormat/>
    <w:uiPriority w:val="0"/>
    <w:pPr>
      <w:numPr>
        <w:ilvl w:val="0"/>
        <w:numId w:val="2"/>
      </w:numPr>
      <w:spacing w:line="14" w:lineRule="exact"/>
      <w:ind w:left="0"/>
      <w:jc w:val="center"/>
    </w:pPr>
    <w:rPr>
      <w:sz w:val="2"/>
    </w:rPr>
  </w:style>
  <w:style w:type="paragraph" w:customStyle="1" w:styleId="101">
    <w:name w:val="附录图标题"/>
    <w:next w:val="26"/>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2">
    <w:name w:val="附录表标号"/>
    <w:basedOn w:val="26"/>
    <w:next w:val="26"/>
    <w:qFormat/>
    <w:uiPriority w:val="0"/>
    <w:pPr>
      <w:numPr>
        <w:ilvl w:val="0"/>
        <w:numId w:val="9"/>
      </w:numPr>
      <w:spacing w:line="14" w:lineRule="exact"/>
      <w:ind w:left="0"/>
      <w:jc w:val="center"/>
    </w:pPr>
    <w:rPr>
      <w:sz w:val="2"/>
    </w:rPr>
  </w:style>
  <w:style w:type="paragraph" w:customStyle="1" w:styleId="103">
    <w:name w:val="附录表标题"/>
    <w:next w:val="26"/>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4">
    <w:name w:val="标准文件_示例内容"/>
    <w:basedOn w:val="26"/>
    <w:qFormat/>
    <w:uiPriority w:val="0"/>
    <w:pPr>
      <w:suppressAutoHyphens w:val="0"/>
    </w:pPr>
    <w:rPr>
      <w:rFonts w:hAnsi="宋体"/>
      <w:sz w:val="18"/>
    </w:rPr>
  </w:style>
  <w:style w:type="paragraph" w:customStyle="1" w:styleId="105">
    <w:name w:val="标准文件_示例"/>
    <w:next w:val="104"/>
    <w:qFormat/>
    <w:uiPriority w:val="0"/>
    <w:pPr>
      <w:numPr>
        <w:ilvl w:val="0"/>
        <w:numId w:val="10"/>
      </w:numPr>
      <w:tabs>
        <w:tab w:val="left" w:pos="539"/>
      </w:tabs>
      <w:suppressAutoHyphens w:val="0"/>
      <w:jc w:val="both"/>
    </w:pPr>
    <w:rPr>
      <w:rFonts w:hint="eastAsia" w:ascii="宋体" w:hAnsi="宋体" w:eastAsia="宋体" w:cs="宋体"/>
      <w:sz w:val="18"/>
    </w:rPr>
  </w:style>
  <w:style w:type="paragraph" w:customStyle="1" w:styleId="106">
    <w:name w:val="标准文件_示例×"/>
    <w:basedOn w:val="1"/>
    <w:next w:val="104"/>
    <w:qFormat/>
    <w:uiPriority w:val="0"/>
    <w:pPr>
      <w:widowControl/>
      <w:numPr>
        <w:ilvl w:val="0"/>
        <w:numId w:val="11"/>
      </w:numPr>
      <w:tabs>
        <w:tab w:val="left" w:pos="539"/>
      </w:tabs>
      <w:suppressAutoHyphens w:val="0"/>
      <w:ind w:firstLine="363"/>
    </w:pPr>
    <w:rPr>
      <w:rFonts w:hAnsi="Times New Roman"/>
      <w:sz w:val="18"/>
    </w:rPr>
  </w:style>
  <w:style w:type="paragraph" w:customStyle="1" w:styleId="107">
    <w:name w:val="标准文件_注"/>
    <w:next w:val="26"/>
    <w:qFormat/>
    <w:uiPriority w:val="0"/>
    <w:pPr>
      <w:numPr>
        <w:ilvl w:val="0"/>
        <w:numId w:val="12"/>
      </w:numPr>
      <w:tabs>
        <w:tab w:val="left" w:pos="539"/>
      </w:tabs>
      <w:autoSpaceDE w:val="0"/>
      <w:autoSpaceDN w:val="0"/>
      <w:jc w:val="both"/>
    </w:pPr>
    <w:rPr>
      <w:rFonts w:hint="eastAsia" w:ascii="宋体" w:hAnsi="宋体" w:eastAsia="宋体" w:cs="宋体"/>
      <w:sz w:val="18"/>
    </w:rPr>
  </w:style>
  <w:style w:type="paragraph" w:customStyle="1" w:styleId="108">
    <w:name w:val="标准文件_注×"/>
    <w:next w:val="26"/>
    <w:qFormat/>
    <w:uiPriority w:val="0"/>
    <w:pPr>
      <w:numPr>
        <w:ilvl w:val="0"/>
        <w:numId w:val="13"/>
      </w:numPr>
      <w:tabs>
        <w:tab w:val="left" w:pos="539"/>
      </w:tabs>
      <w:jc w:val="both"/>
    </w:pPr>
    <w:rPr>
      <w:rFonts w:hint="eastAsia" w:ascii="宋体" w:hAnsi="宋体" w:eastAsia="宋体" w:cs="宋体"/>
      <w:sz w:val="18"/>
    </w:rPr>
  </w:style>
  <w:style w:type="paragraph" w:customStyle="1" w:styleId="109">
    <w:name w:val="标准文件_图表脚注"/>
    <w:basedOn w:val="1"/>
    <w:next w:val="26"/>
    <w:qFormat/>
    <w:uiPriority w:val="0"/>
    <w:pPr>
      <w:numPr>
        <w:ilvl w:val="0"/>
        <w:numId w:val="14"/>
      </w:numPr>
      <w:suppressAutoHyphens w:val="0"/>
      <w:adjustRightInd w:val="0"/>
      <w:jc w:val="left"/>
    </w:pPr>
    <w:rPr>
      <w:rFonts w:hAnsi="宋体"/>
      <w:sz w:val="18"/>
    </w:rPr>
  </w:style>
  <w:style w:type="paragraph" w:customStyle="1" w:styleId="110">
    <w:name w:val="标准文件_标准正文"/>
    <w:basedOn w:val="1"/>
    <w:next w:val="26"/>
    <w:qFormat/>
    <w:uiPriority w:val="0"/>
    <w:pPr>
      <w:ind w:firstLine="960" w:firstLineChars="200"/>
    </w:pPr>
  </w:style>
  <w:style w:type="paragraph" w:customStyle="1" w:styleId="111">
    <w:name w:val="标准文件_正文公式"/>
    <w:basedOn w:val="1"/>
    <w:next w:val="110"/>
    <w:qFormat/>
    <w:uiPriority w:val="0"/>
    <w:pPr>
      <w:tabs>
        <w:tab w:val="center" w:pos="4678"/>
        <w:tab w:val="right" w:leader="middleDot" w:pos="9355"/>
      </w:tabs>
    </w:pPr>
  </w:style>
  <w:style w:type="paragraph" w:customStyle="1" w:styleId="112">
    <w:name w:val="标准文件_表格"/>
    <w:basedOn w:val="26"/>
    <w:qFormat/>
    <w:uiPriority w:val="0"/>
    <w:pPr>
      <w:jc w:val="center"/>
    </w:pPr>
    <w:rPr>
      <w:sz w:val="18"/>
    </w:rPr>
  </w:style>
  <w:style w:type="paragraph" w:customStyle="1" w:styleId="113">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4">
    <w:name w:val="标准文件_正文表标题"/>
    <w:next w:val="26"/>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5">
    <w:name w:val="标准文件_正文图标题"/>
    <w:next w:val="26"/>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6">
    <w:name w:val="标准文件_索引标题"/>
    <w:basedOn w:val="35"/>
    <w:next w:val="26"/>
    <w:qFormat/>
    <w:uiPriority w:val="0"/>
    <w:rPr>
      <w:rFonts w:hAnsi="黑体"/>
    </w:rPr>
  </w:style>
  <w:style w:type="paragraph" w:customStyle="1" w:styleId="117">
    <w:name w:val="标准文件_索引项"/>
    <w:basedOn w:val="26"/>
    <w:next w:val="26"/>
    <w:qFormat/>
    <w:uiPriority w:val="0"/>
    <w:pPr>
      <w:tabs>
        <w:tab w:val="right" w:leader="dot" w:pos="9355"/>
      </w:tabs>
      <w:autoSpaceDE w:val="0"/>
      <w:autoSpaceDN w:val="0"/>
      <w:ind w:left="177" w:hanging="177" w:hangingChars="37"/>
      <w:jc w:val="left"/>
    </w:pPr>
  </w:style>
  <w:style w:type="paragraph" w:customStyle="1" w:styleId="118">
    <w:name w:val="标准文件_索引字母"/>
    <w:next w:val="26"/>
    <w:qFormat/>
    <w:uiPriority w:val="0"/>
    <w:pPr>
      <w:jc w:val="center"/>
    </w:pPr>
    <w:rPr>
      <w:rFonts w:hint="eastAsia" w:ascii="宋体" w:hAnsi="宋体" w:eastAsia="宋体" w:cs="宋体"/>
      <w:b/>
      <w:kern w:val="2"/>
      <w:sz w:val="21"/>
    </w:rPr>
  </w:style>
  <w:style w:type="paragraph" w:customStyle="1" w:styleId="119">
    <w:name w:val="标准文件_提示"/>
    <w:basedOn w:val="1"/>
    <w:qFormat/>
    <w:uiPriority w:val="0"/>
    <w:pPr>
      <w:ind w:firstLine="960" w:firstLineChars="200"/>
    </w:pPr>
    <w:rPr>
      <w:rFonts w:ascii="黑体" w:hAnsi="黑体" w:eastAsia="黑体" w:cs="黑体"/>
    </w:rPr>
  </w:style>
  <w:style w:type="paragraph" w:customStyle="1" w:styleId="120">
    <w:name w:val="标准文件_参考文献编号"/>
    <w:basedOn w:val="26"/>
    <w:qFormat/>
    <w:uiPriority w:val="0"/>
    <w:pPr>
      <w:numPr>
        <w:ilvl w:val="0"/>
        <w:numId w:val="17"/>
      </w:numPr>
    </w:pPr>
  </w:style>
  <w:style w:type="character" w:customStyle="1" w:styleId="121">
    <w:name w:val="标准文件_正文标准名称 Char"/>
    <w:link w:val="62"/>
    <w:qFormat/>
    <w:uiPriority w:val="0"/>
    <w:rPr>
      <w:rFonts w:ascii="黑体" w:hAnsi="黑体" w:eastAsia="黑体" w:cs="黑体"/>
      <w:sz w:val="32"/>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38bc20-9086-4b74-a233-c2cbbbd0845d}"/>
        <w:style w:val=""/>
        <w:category>
          <w:name w:val="常规"/>
          <w:gallery w:val="placeholder"/>
        </w:category>
        <w:types>
          <w:type w:val="bbPlcHdr"/>
        </w:types>
        <w:behaviors>
          <w:behavior w:val="content"/>
        </w:behaviors>
        <w:description w:val=""/>
        <w:guid w:val="{af38bc20-9086-4b74-a233-c2cbbbd0845d}"/>
      </w:docPartPr>
      <w:docPartBody>
        <w:p w14:paraId="3EAA5519">
          <w:r>
            <w:rPr>
              <w:color w:val="808080"/>
            </w:rPr>
            <w:t>选择一项。</w:t>
          </w:r>
        </w:p>
      </w:docPartBody>
    </w:docPart>
    <w:docPart>
      <w:docPartPr>
        <w:name w:val="{a10264a6-7a70-4e4f-8b78-1326fb6d8fd9}"/>
        <w:style w:val=""/>
        <w:category>
          <w:name w:val="常规"/>
          <w:gallery w:val="placeholder"/>
        </w:category>
        <w:types>
          <w:type w:val="bbPlcHdr"/>
        </w:types>
        <w:behaviors>
          <w:behavior w:val="content"/>
        </w:behaviors>
        <w:description w:val=""/>
        <w:guid w:val="{a10264a6-7a70-4e4f-8b78-1326fb6d8fd9}"/>
      </w:docPartPr>
      <w:docPartBody>
        <w:p w14:paraId="138E6862">
          <w:r>
            <w:rPr>
              <w:color w:val="808080"/>
            </w:rPr>
            <w:t>选择一项。</w:t>
          </w:r>
        </w:p>
      </w:docPartBody>
    </w:docPart>
    <w:docPart>
      <w:docPartPr>
        <w:name w:val="{9eaa3acf-760c-4fcb-9f72-812a3348aff9}"/>
        <w:style w:val=""/>
        <w:category>
          <w:name w:val="常规"/>
          <w:gallery w:val="placeholder"/>
        </w:category>
        <w:types>
          <w:type w:val="bbPlcHdr"/>
        </w:types>
        <w:behaviors>
          <w:behavior w:val="content"/>
        </w:behaviors>
        <w:description w:val=""/>
        <w:guid w:val="{9eaa3acf-760c-4fcb-9f72-812a3348aff9}"/>
      </w:docPartPr>
      <w:docPartBody>
        <w:p w14:paraId="7E68C1B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2236</Words>
  <Characters>2570</Characters>
  <Lines>0</Lines>
  <Paragraphs>0</Paragraphs>
  <TotalTime>1</TotalTime>
  <ScaleCrop>false</ScaleCrop>
  <LinksUpToDate>false</LinksUpToDate>
  <CharactersWithSpaces>2722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2025-09-10T09:42:00Z</dcterms:created>
  <dc:creator>不让叫就偏叫琪琪</dc:creator>
  <cp:lastModifiedBy>青冢</cp:lastModifiedBy>
  <dcterms:modified xsi:type="dcterms:W3CDTF">2025-10-31T06:14:24Z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609A33F59DCA44D484C8DC8D4C8D1869_13</vt:lpwstr>
  </property>
  <property fmtid="{D5CDD505-2E9C-101B-9397-08002B2CF9AE}" pid="4" name="KSOTemplateDocerSaveRecord">
    <vt:lpwstr>eyJoZGlkIjoiY2RmNmE3MzQ5NWE0ODVmMTVlNzI4OTBjOTBiMDE4ZmIiLCJ1c2VySWQiOiI0MTg2MjExMzMifQ==</vt:lpwstr>
  </property>
</Properties>
</file>