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04DF33" w14:textId="3A2B2967" w:rsidR="00F03F71" w:rsidRPr="00B03100" w:rsidRDefault="00F03F71" w:rsidP="00B03100">
      <w:pPr>
        <w:spacing w:beforeLines="50" w:before="156" w:line="300" w:lineRule="auto"/>
        <w:jc w:val="center"/>
        <w:rPr>
          <w:rFonts w:ascii="黑体" w:eastAsia="黑体" w:hAnsi="黑体" w:hint="eastAsia"/>
          <w:b/>
          <w:sz w:val="36"/>
          <w:szCs w:val="36"/>
        </w:rPr>
      </w:pPr>
      <w:r w:rsidRPr="00B03100">
        <w:rPr>
          <w:rFonts w:ascii="黑体" w:eastAsia="黑体" w:hAnsi="黑体" w:hint="eastAsia"/>
          <w:b/>
          <w:sz w:val="36"/>
          <w:szCs w:val="36"/>
        </w:rPr>
        <w:t>上海市地方标准《</w:t>
      </w:r>
      <w:r w:rsidR="00D440C9">
        <w:rPr>
          <w:rFonts w:ascii="黑体" w:eastAsia="黑体" w:hAnsi="黑体" w:hint="eastAsia"/>
          <w:b/>
          <w:sz w:val="36"/>
          <w:szCs w:val="36"/>
        </w:rPr>
        <w:t>特种设备风险评估及管控</w:t>
      </w:r>
      <w:r w:rsidRPr="00B03100">
        <w:rPr>
          <w:rFonts w:ascii="黑体" w:eastAsia="黑体" w:hAnsi="黑体" w:hint="eastAsia"/>
          <w:b/>
          <w:sz w:val="36"/>
          <w:szCs w:val="36"/>
        </w:rPr>
        <w:t>》</w:t>
      </w:r>
    </w:p>
    <w:p w14:paraId="28F395E6" w14:textId="77777777" w:rsidR="00F03F71" w:rsidRPr="00B03100" w:rsidRDefault="00F03F71" w:rsidP="00B03100">
      <w:pPr>
        <w:spacing w:beforeLines="50" w:before="156" w:line="300" w:lineRule="auto"/>
        <w:jc w:val="center"/>
        <w:rPr>
          <w:rFonts w:ascii="黑体" w:eastAsia="黑体" w:hAnsi="黑体" w:hint="eastAsia"/>
          <w:b/>
          <w:sz w:val="36"/>
          <w:szCs w:val="36"/>
        </w:rPr>
      </w:pPr>
      <w:r w:rsidRPr="00B03100">
        <w:rPr>
          <w:rFonts w:ascii="黑体" w:eastAsia="黑体" w:hAnsi="黑体" w:hint="eastAsia"/>
          <w:b/>
          <w:sz w:val="36"/>
          <w:szCs w:val="36"/>
        </w:rPr>
        <w:t>编制说明</w:t>
      </w:r>
    </w:p>
    <w:p w14:paraId="23CA6176" w14:textId="77777777" w:rsidR="00AD3B41" w:rsidRDefault="00AD3B41" w:rsidP="00B03100">
      <w:pPr>
        <w:pStyle w:val="1"/>
        <w:spacing w:before="0" w:after="0" w:line="360" w:lineRule="auto"/>
        <w:ind w:firstLineChars="200" w:firstLine="643"/>
        <w:rPr>
          <w:rFonts w:ascii="黑体" w:eastAsia="黑体" w:hAnsi="黑体" w:hint="eastAsia"/>
          <w:bCs w:val="0"/>
          <w:sz w:val="32"/>
          <w:szCs w:val="32"/>
        </w:rPr>
      </w:pPr>
      <w:r>
        <w:rPr>
          <w:rFonts w:ascii="黑体" w:eastAsia="黑体" w:hAnsi="黑体"/>
          <w:bCs w:val="0"/>
          <w:sz w:val="32"/>
          <w:szCs w:val="32"/>
        </w:rPr>
        <w:t>一、背景情况</w:t>
      </w:r>
    </w:p>
    <w:p w14:paraId="2609BB98" w14:textId="77777777" w:rsidR="006E5121" w:rsidRPr="00B03100" w:rsidRDefault="00AD3B41" w:rsidP="00B03100">
      <w:pPr>
        <w:pStyle w:val="1"/>
        <w:spacing w:before="0" w:after="0" w:line="360" w:lineRule="auto"/>
        <w:ind w:firstLineChars="200" w:firstLine="643"/>
        <w:rPr>
          <w:rFonts w:ascii="黑体" w:eastAsia="黑体" w:hAnsi="黑体" w:hint="eastAsia"/>
          <w:bCs w:val="0"/>
          <w:sz w:val="32"/>
          <w:szCs w:val="32"/>
        </w:rPr>
      </w:pPr>
      <w:r>
        <w:rPr>
          <w:rFonts w:ascii="黑体" w:eastAsia="黑体" w:hAnsi="黑体" w:hint="eastAsia"/>
          <w:bCs w:val="0"/>
          <w:sz w:val="32"/>
          <w:szCs w:val="32"/>
        </w:rPr>
        <w:t>（一）</w:t>
      </w:r>
      <w:r w:rsidR="006E5121" w:rsidRPr="00B03100">
        <w:rPr>
          <w:rFonts w:ascii="黑体" w:eastAsia="黑体" w:hAnsi="黑体" w:hint="eastAsia"/>
          <w:bCs w:val="0"/>
          <w:sz w:val="32"/>
          <w:szCs w:val="32"/>
        </w:rPr>
        <w:t xml:space="preserve"> 任务来源</w:t>
      </w:r>
    </w:p>
    <w:p w14:paraId="4E6091BF" w14:textId="735879EF" w:rsidR="004A4C81" w:rsidRPr="001A4ADE" w:rsidRDefault="004A4C81" w:rsidP="004A4C81">
      <w:pPr>
        <w:spacing w:line="360" w:lineRule="auto"/>
        <w:ind w:firstLineChars="200" w:firstLine="600"/>
        <w:rPr>
          <w:rFonts w:ascii="仿宋" w:eastAsia="仿宋" w:hAnsi="仿宋" w:hint="eastAsia"/>
          <w:bCs/>
          <w:sz w:val="30"/>
          <w:szCs w:val="30"/>
        </w:rPr>
      </w:pPr>
      <w:r w:rsidRPr="001A4ADE">
        <w:rPr>
          <w:rFonts w:ascii="仿宋" w:eastAsia="仿宋" w:hAnsi="仿宋" w:hint="eastAsia"/>
          <w:bCs/>
          <w:sz w:val="30"/>
          <w:szCs w:val="30"/>
        </w:rPr>
        <w:t>202</w:t>
      </w:r>
      <w:r w:rsidR="00C05CEE">
        <w:rPr>
          <w:rFonts w:ascii="仿宋" w:eastAsia="仿宋" w:hAnsi="仿宋" w:hint="eastAsia"/>
          <w:bCs/>
          <w:sz w:val="30"/>
          <w:szCs w:val="30"/>
        </w:rPr>
        <w:t>5</w:t>
      </w:r>
      <w:r w:rsidRPr="001A4ADE">
        <w:rPr>
          <w:rFonts w:ascii="仿宋" w:eastAsia="仿宋" w:hAnsi="仿宋" w:hint="eastAsia"/>
          <w:bCs/>
          <w:sz w:val="30"/>
          <w:szCs w:val="30"/>
        </w:rPr>
        <w:t>年</w:t>
      </w:r>
      <w:r w:rsidR="00856B5A">
        <w:rPr>
          <w:rFonts w:ascii="仿宋" w:eastAsia="仿宋" w:hAnsi="仿宋" w:hint="eastAsia"/>
          <w:bCs/>
          <w:sz w:val="30"/>
          <w:szCs w:val="30"/>
        </w:rPr>
        <w:t>6</w:t>
      </w:r>
      <w:r w:rsidRPr="001A4ADE">
        <w:rPr>
          <w:rFonts w:ascii="仿宋" w:eastAsia="仿宋" w:hAnsi="仿宋" w:hint="eastAsia"/>
          <w:bCs/>
          <w:sz w:val="30"/>
          <w:szCs w:val="30"/>
        </w:rPr>
        <w:t>月，上海市市场监督管理局</w:t>
      </w:r>
      <w:r>
        <w:rPr>
          <w:rFonts w:ascii="仿宋" w:eastAsia="仿宋" w:hAnsi="仿宋" w:hint="eastAsia"/>
          <w:bCs/>
          <w:sz w:val="30"/>
          <w:szCs w:val="30"/>
        </w:rPr>
        <w:t>组织</w:t>
      </w:r>
      <w:r w:rsidRPr="001A4ADE">
        <w:rPr>
          <w:rFonts w:ascii="仿宋" w:eastAsia="仿宋" w:hAnsi="仿宋" w:hint="eastAsia"/>
          <w:bCs/>
          <w:sz w:val="30"/>
          <w:szCs w:val="30"/>
        </w:rPr>
        <w:t>上海市特种设备监督检验技术研究院</w:t>
      </w:r>
      <w:r w:rsidR="001F4682">
        <w:rPr>
          <w:rFonts w:ascii="仿宋" w:eastAsia="仿宋" w:hAnsi="仿宋" w:hint="eastAsia"/>
          <w:bCs/>
          <w:sz w:val="30"/>
          <w:szCs w:val="30"/>
        </w:rPr>
        <w:t>、</w:t>
      </w:r>
      <w:r w:rsidRPr="001A4ADE">
        <w:rPr>
          <w:rFonts w:ascii="仿宋" w:eastAsia="仿宋" w:hAnsi="仿宋" w:hint="eastAsia"/>
          <w:bCs/>
          <w:sz w:val="30"/>
          <w:szCs w:val="30"/>
        </w:rPr>
        <w:t>华东理工大学</w:t>
      </w:r>
      <w:r w:rsidR="00C05CEE">
        <w:rPr>
          <w:rFonts w:ascii="仿宋" w:eastAsia="仿宋" w:hAnsi="仿宋" w:hint="eastAsia"/>
          <w:bCs/>
          <w:sz w:val="30"/>
          <w:szCs w:val="30"/>
        </w:rPr>
        <w:t>、上海市金山区特种设备管</w:t>
      </w:r>
      <w:r w:rsidRPr="001A4ADE">
        <w:rPr>
          <w:rFonts w:ascii="仿宋" w:eastAsia="仿宋" w:hAnsi="仿宋" w:hint="eastAsia"/>
          <w:bCs/>
          <w:sz w:val="30"/>
          <w:szCs w:val="30"/>
        </w:rPr>
        <w:t>等单位共同申报了上海市地方标准《</w:t>
      </w:r>
      <w:r>
        <w:rPr>
          <w:rFonts w:ascii="仿宋" w:eastAsia="仿宋" w:hAnsi="仿宋" w:hint="eastAsia"/>
          <w:bCs/>
          <w:sz w:val="30"/>
          <w:szCs w:val="30"/>
        </w:rPr>
        <w:t>重点特种设备判定导则</w:t>
      </w:r>
      <w:r w:rsidRPr="001A4ADE">
        <w:rPr>
          <w:rFonts w:ascii="仿宋" w:eastAsia="仿宋" w:hAnsi="仿宋" w:hint="eastAsia"/>
          <w:bCs/>
          <w:sz w:val="30"/>
          <w:szCs w:val="30"/>
        </w:rPr>
        <w:t>》。</w:t>
      </w:r>
      <w:r>
        <w:rPr>
          <w:rFonts w:ascii="仿宋" w:eastAsia="仿宋" w:hAnsi="仿宋" w:hint="eastAsia"/>
          <w:bCs/>
          <w:sz w:val="30"/>
          <w:szCs w:val="30"/>
        </w:rPr>
        <w:t>同年8月</w:t>
      </w:r>
      <w:r w:rsidR="001F4682">
        <w:rPr>
          <w:rFonts w:ascii="仿宋" w:eastAsia="仿宋" w:hAnsi="仿宋" w:hint="eastAsia"/>
          <w:bCs/>
          <w:sz w:val="30"/>
          <w:szCs w:val="30"/>
        </w:rPr>
        <w:t>该</w:t>
      </w:r>
      <w:r w:rsidR="00C302CC">
        <w:rPr>
          <w:rFonts w:ascii="仿宋" w:eastAsia="仿宋" w:hAnsi="仿宋" w:hint="eastAsia"/>
          <w:bCs/>
          <w:sz w:val="30"/>
          <w:szCs w:val="30"/>
        </w:rPr>
        <w:t>地方标准</w:t>
      </w:r>
      <w:r w:rsidRPr="001A4ADE">
        <w:rPr>
          <w:rFonts w:ascii="仿宋" w:eastAsia="仿宋" w:hAnsi="仿宋" w:hint="eastAsia"/>
          <w:bCs/>
          <w:sz w:val="30"/>
          <w:szCs w:val="30"/>
        </w:rPr>
        <w:t>获批立项，并纳入202</w:t>
      </w:r>
      <w:r w:rsidR="00856B5A">
        <w:rPr>
          <w:rFonts w:ascii="仿宋" w:eastAsia="仿宋" w:hAnsi="仿宋" w:hint="eastAsia"/>
          <w:bCs/>
          <w:sz w:val="30"/>
          <w:szCs w:val="30"/>
        </w:rPr>
        <w:t>5</w:t>
      </w:r>
      <w:r w:rsidRPr="001A4ADE">
        <w:rPr>
          <w:rFonts w:ascii="仿宋" w:eastAsia="仿宋" w:hAnsi="仿宋" w:hint="eastAsia"/>
          <w:bCs/>
          <w:sz w:val="30"/>
          <w:szCs w:val="30"/>
        </w:rPr>
        <w:t>年度第</w:t>
      </w:r>
      <w:r>
        <w:rPr>
          <w:rFonts w:ascii="仿宋" w:eastAsia="仿宋" w:hAnsi="仿宋" w:hint="eastAsia"/>
          <w:bCs/>
          <w:sz w:val="30"/>
          <w:szCs w:val="30"/>
        </w:rPr>
        <w:t>一</w:t>
      </w:r>
      <w:r w:rsidRPr="001A4ADE">
        <w:rPr>
          <w:rFonts w:ascii="仿宋" w:eastAsia="仿宋" w:hAnsi="仿宋" w:hint="eastAsia"/>
          <w:bCs/>
          <w:sz w:val="30"/>
          <w:szCs w:val="30"/>
        </w:rPr>
        <w:t>批上海市地方标准制修订项目计划（</w:t>
      </w:r>
      <w:r w:rsidR="00B03100" w:rsidRPr="00B03100">
        <w:rPr>
          <w:rFonts w:ascii="仿宋" w:eastAsia="仿宋" w:hAnsi="仿宋" w:hint="eastAsia"/>
          <w:bCs/>
          <w:sz w:val="30"/>
          <w:szCs w:val="30"/>
        </w:rPr>
        <w:t>《上海市市场监督管理局关于下达20</w:t>
      </w:r>
      <w:r w:rsidR="00B03100" w:rsidRPr="00B03100">
        <w:rPr>
          <w:rFonts w:ascii="仿宋" w:eastAsia="仿宋" w:hAnsi="仿宋"/>
          <w:bCs/>
          <w:sz w:val="30"/>
          <w:szCs w:val="30"/>
        </w:rPr>
        <w:t>2</w:t>
      </w:r>
      <w:r w:rsidR="00856B5A">
        <w:rPr>
          <w:rFonts w:ascii="仿宋" w:eastAsia="仿宋" w:hAnsi="仿宋" w:hint="eastAsia"/>
          <w:bCs/>
          <w:sz w:val="30"/>
          <w:szCs w:val="30"/>
        </w:rPr>
        <w:t>5</w:t>
      </w:r>
      <w:r w:rsidR="00B03100" w:rsidRPr="00B03100">
        <w:rPr>
          <w:rFonts w:ascii="仿宋" w:eastAsia="仿宋" w:hAnsi="仿宋" w:hint="eastAsia"/>
          <w:bCs/>
          <w:sz w:val="30"/>
          <w:szCs w:val="30"/>
        </w:rPr>
        <w:t>年度第一批上海市地方标准制修订项目计划的通知》（</w:t>
      </w:r>
      <w:r w:rsidR="00856B5A" w:rsidRPr="00856B5A">
        <w:rPr>
          <w:rFonts w:ascii="仿宋" w:eastAsia="仿宋" w:hAnsi="仿宋"/>
          <w:bCs/>
          <w:sz w:val="30"/>
          <w:szCs w:val="30"/>
        </w:rPr>
        <w:t>沪市监标准20250203号</w:t>
      </w:r>
      <w:r w:rsidR="00856B5A">
        <w:rPr>
          <w:rFonts w:ascii="仿宋" w:eastAsia="仿宋" w:hAnsi="仿宋" w:hint="eastAsia"/>
          <w:bCs/>
          <w:sz w:val="30"/>
          <w:szCs w:val="30"/>
        </w:rPr>
        <w:t>）</w:t>
      </w:r>
      <w:r w:rsidR="00856B5A">
        <w:rPr>
          <w:rFonts w:ascii="仿宋" w:eastAsia="仿宋" w:hAnsi="仿宋" w:hint="eastAsia"/>
          <w:b/>
          <w:bCs/>
          <w:sz w:val="30"/>
          <w:szCs w:val="30"/>
        </w:rPr>
        <w:t>。</w:t>
      </w:r>
      <w:r w:rsidRPr="001A4ADE">
        <w:rPr>
          <w:rFonts w:ascii="仿宋" w:eastAsia="仿宋" w:hAnsi="仿宋" w:hint="eastAsia"/>
          <w:bCs/>
          <w:sz w:val="30"/>
          <w:szCs w:val="30"/>
        </w:rPr>
        <w:t>本标准提出单位为上海市市场监督管理局，归口单位为上海市</w:t>
      </w:r>
      <w:r w:rsidR="00856B5A">
        <w:rPr>
          <w:rFonts w:ascii="仿宋" w:eastAsia="仿宋" w:hAnsi="仿宋" w:hint="eastAsia"/>
          <w:bCs/>
          <w:sz w:val="30"/>
          <w:szCs w:val="30"/>
        </w:rPr>
        <w:t>特种设备标准化技术委员会</w:t>
      </w:r>
      <w:r w:rsidRPr="001A4ADE">
        <w:rPr>
          <w:rFonts w:ascii="仿宋" w:eastAsia="仿宋" w:hAnsi="仿宋" w:hint="eastAsia"/>
          <w:bCs/>
          <w:sz w:val="30"/>
          <w:szCs w:val="30"/>
        </w:rPr>
        <w:t>，由</w:t>
      </w:r>
      <w:r w:rsidR="00B03100" w:rsidRPr="001A4ADE">
        <w:rPr>
          <w:rFonts w:ascii="仿宋" w:eastAsia="仿宋" w:hAnsi="仿宋" w:hint="eastAsia"/>
          <w:bCs/>
          <w:sz w:val="30"/>
          <w:szCs w:val="30"/>
        </w:rPr>
        <w:t>上海市特种设备监督检验技术研究院</w:t>
      </w:r>
      <w:r w:rsidRPr="001A4ADE">
        <w:rPr>
          <w:rFonts w:ascii="仿宋" w:eastAsia="仿宋" w:hAnsi="仿宋" w:hint="eastAsia"/>
          <w:bCs/>
          <w:sz w:val="30"/>
          <w:szCs w:val="30"/>
        </w:rPr>
        <w:t>联合</w:t>
      </w:r>
      <w:r w:rsidR="00B03100" w:rsidRPr="001A4ADE">
        <w:rPr>
          <w:rFonts w:ascii="仿宋" w:eastAsia="仿宋" w:hAnsi="仿宋" w:hint="eastAsia"/>
          <w:bCs/>
          <w:sz w:val="30"/>
          <w:szCs w:val="30"/>
        </w:rPr>
        <w:t>华东理工大学</w:t>
      </w:r>
      <w:r w:rsidR="00B03100">
        <w:rPr>
          <w:rFonts w:ascii="仿宋" w:eastAsia="仿宋" w:hAnsi="仿宋" w:hint="eastAsia"/>
          <w:bCs/>
          <w:sz w:val="30"/>
          <w:szCs w:val="30"/>
        </w:rPr>
        <w:t>、</w:t>
      </w:r>
      <w:r w:rsidR="00856B5A">
        <w:rPr>
          <w:rFonts w:ascii="仿宋" w:eastAsia="仿宋" w:hAnsi="仿宋" w:hint="eastAsia"/>
          <w:bCs/>
          <w:sz w:val="30"/>
          <w:szCs w:val="30"/>
        </w:rPr>
        <w:t>上海市金山区特种设备管理协会、</w:t>
      </w:r>
      <w:r w:rsidR="00B03100">
        <w:rPr>
          <w:rFonts w:ascii="仿宋" w:eastAsia="仿宋" w:hAnsi="仿宋" w:hint="eastAsia"/>
          <w:bCs/>
          <w:sz w:val="30"/>
          <w:szCs w:val="30"/>
        </w:rPr>
        <w:t>相关</w:t>
      </w:r>
      <w:r w:rsidRPr="001A4ADE">
        <w:rPr>
          <w:rFonts w:ascii="仿宋" w:eastAsia="仿宋" w:hAnsi="仿宋" w:hint="eastAsia"/>
          <w:bCs/>
          <w:sz w:val="30"/>
          <w:szCs w:val="30"/>
        </w:rPr>
        <w:t>区市场</w:t>
      </w:r>
      <w:r w:rsidR="00C302CC">
        <w:rPr>
          <w:rFonts w:ascii="仿宋" w:eastAsia="仿宋" w:hAnsi="仿宋" w:hint="eastAsia"/>
          <w:bCs/>
          <w:sz w:val="30"/>
          <w:szCs w:val="30"/>
        </w:rPr>
        <w:t>监督管理局</w:t>
      </w:r>
      <w:r w:rsidRPr="001A4ADE">
        <w:rPr>
          <w:rFonts w:ascii="仿宋" w:eastAsia="仿宋" w:hAnsi="仿宋" w:hint="eastAsia"/>
          <w:bCs/>
          <w:sz w:val="30"/>
          <w:szCs w:val="30"/>
        </w:rPr>
        <w:t>、</w:t>
      </w:r>
      <w:r w:rsidR="00B03100">
        <w:rPr>
          <w:rFonts w:ascii="仿宋" w:eastAsia="仿宋" w:hAnsi="仿宋" w:hint="eastAsia"/>
          <w:bCs/>
          <w:sz w:val="30"/>
          <w:szCs w:val="30"/>
        </w:rPr>
        <w:t>行业协会、以及特种设备使用单位等</w:t>
      </w:r>
      <w:r w:rsidR="00FC276B">
        <w:rPr>
          <w:rFonts w:ascii="仿宋" w:eastAsia="仿宋" w:hAnsi="仿宋" w:hint="eastAsia"/>
          <w:bCs/>
          <w:sz w:val="30"/>
          <w:szCs w:val="30"/>
        </w:rPr>
        <w:t>多家</w:t>
      </w:r>
      <w:r w:rsidRPr="001A4ADE">
        <w:rPr>
          <w:rFonts w:ascii="仿宋" w:eastAsia="仿宋" w:hAnsi="仿宋" w:hint="eastAsia"/>
          <w:bCs/>
          <w:sz w:val="30"/>
          <w:szCs w:val="30"/>
        </w:rPr>
        <w:t>单位</w:t>
      </w:r>
      <w:r w:rsidR="00B03100">
        <w:rPr>
          <w:rFonts w:ascii="仿宋" w:eastAsia="仿宋" w:hAnsi="仿宋" w:hint="eastAsia"/>
          <w:bCs/>
          <w:sz w:val="30"/>
          <w:szCs w:val="30"/>
        </w:rPr>
        <w:t>共同</w:t>
      </w:r>
      <w:r w:rsidRPr="001A4ADE">
        <w:rPr>
          <w:rFonts w:ascii="仿宋" w:eastAsia="仿宋" w:hAnsi="仿宋" w:hint="eastAsia"/>
          <w:bCs/>
          <w:sz w:val="30"/>
          <w:szCs w:val="30"/>
        </w:rPr>
        <w:t>成立了《特种设备区域风险评价导则》制定编制组，开展此项工作。</w:t>
      </w:r>
    </w:p>
    <w:p w14:paraId="69C434C2" w14:textId="77777777" w:rsidR="005943F6" w:rsidRDefault="005943F6" w:rsidP="005943F6">
      <w:pPr>
        <w:pStyle w:val="2"/>
        <w:spacing w:before="0" w:after="0" w:line="360" w:lineRule="auto"/>
        <w:ind w:firstLineChars="200" w:firstLine="643"/>
        <w:rPr>
          <w:rFonts w:ascii="仿宋" w:eastAsia="仿宋" w:hAnsi="仿宋" w:hint="eastAsia"/>
          <w:bCs w:val="0"/>
        </w:rPr>
      </w:pPr>
      <w:bookmarkStart w:id="0" w:name="_Toc130154622"/>
      <w:bookmarkStart w:id="1" w:name="_Toc130154631"/>
      <w:r>
        <w:rPr>
          <w:rFonts w:ascii="仿宋" w:eastAsia="仿宋" w:hAnsi="仿宋" w:hint="eastAsia"/>
          <w:bCs w:val="0"/>
        </w:rPr>
        <w:t>（二）</w:t>
      </w:r>
      <w:r w:rsidRPr="001A4ADE">
        <w:rPr>
          <w:rFonts w:ascii="仿宋" w:eastAsia="仿宋" w:hAnsi="仿宋" w:hint="eastAsia"/>
          <w:bCs w:val="0"/>
        </w:rPr>
        <w:t>必要性和意义</w:t>
      </w:r>
      <w:bookmarkEnd w:id="0"/>
      <w:bookmarkEnd w:id="1"/>
    </w:p>
    <w:p w14:paraId="2728F7A8" w14:textId="77777777" w:rsidR="00C302CC" w:rsidRDefault="005943F6" w:rsidP="005943F6">
      <w:pPr>
        <w:widowControl/>
        <w:spacing w:line="360" w:lineRule="auto"/>
        <w:ind w:firstLine="640"/>
        <w:rPr>
          <w:rFonts w:ascii="仿宋" w:eastAsia="仿宋" w:hAnsi="仿宋" w:hint="eastAsia"/>
          <w:bCs/>
          <w:sz w:val="30"/>
          <w:szCs w:val="30"/>
        </w:rPr>
      </w:pPr>
      <w:r w:rsidRPr="005943F6">
        <w:rPr>
          <w:rFonts w:ascii="仿宋" w:eastAsia="仿宋" w:hAnsi="仿宋" w:hint="eastAsia"/>
          <w:bCs/>
          <w:sz w:val="30"/>
          <w:szCs w:val="30"/>
        </w:rPr>
        <w:t>超大城市作为国家或地区的政治、经济、文化、交通、科技等中心，其内部人流、物流、信息流、资金流等要素高度聚集，任何自然灾害、生产事故、公共卫生、社会安全等突发事件导致的公共安全事件都极易造成难以估量的损失，并且容易产生放大效应，进而带来极为恶劣的负面影响。作为超大城市安全中的一</w:t>
      </w:r>
      <w:r w:rsidRPr="005943F6">
        <w:rPr>
          <w:rFonts w:ascii="仿宋" w:eastAsia="仿宋" w:hAnsi="仿宋" w:hint="eastAsia"/>
          <w:bCs/>
          <w:sz w:val="30"/>
          <w:szCs w:val="30"/>
        </w:rPr>
        <w:lastRenderedPageBreak/>
        <w:t>个重要环节——特种设备安全，其能否安全平稳运行直接影响本市的经济安全和社会的稳定。</w:t>
      </w:r>
    </w:p>
    <w:p w14:paraId="695E0CB7" w14:textId="77777777" w:rsidR="00FB2B02" w:rsidRDefault="00C302CC" w:rsidP="00833DCD">
      <w:pPr>
        <w:widowControl/>
        <w:spacing w:line="600" w:lineRule="exact"/>
        <w:ind w:firstLine="640"/>
        <w:rPr>
          <w:rFonts w:ascii="仿宋" w:eastAsia="仿宋" w:hAnsi="仿宋" w:hint="eastAsia"/>
          <w:bCs/>
          <w:sz w:val="30"/>
          <w:szCs w:val="30"/>
        </w:rPr>
      </w:pPr>
      <w:r w:rsidRPr="005943F6">
        <w:rPr>
          <w:rFonts w:ascii="仿宋" w:eastAsia="仿宋" w:hAnsi="仿宋" w:hint="eastAsia"/>
          <w:bCs/>
          <w:sz w:val="30"/>
          <w:szCs w:val="30"/>
        </w:rPr>
        <w:t>随着经济的发展，我市特种设备数量迅速增加，</w:t>
      </w:r>
      <w:r w:rsidR="00833DCD" w:rsidRPr="00833DCD">
        <w:rPr>
          <w:rFonts w:ascii="仿宋" w:eastAsia="仿宋" w:hAnsi="仿宋" w:hint="eastAsia"/>
          <w:bCs/>
          <w:sz w:val="30"/>
          <w:szCs w:val="30"/>
        </w:rPr>
        <w:t>截至</w:t>
      </w:r>
      <w:r w:rsidR="00833DCD" w:rsidRPr="00833DCD">
        <w:rPr>
          <w:rFonts w:ascii="仿宋" w:eastAsia="仿宋" w:hAnsi="仿宋"/>
          <w:bCs/>
          <w:sz w:val="30"/>
          <w:szCs w:val="30"/>
        </w:rPr>
        <w:t>20</w:t>
      </w:r>
      <w:r w:rsidR="00833DCD" w:rsidRPr="00833DCD">
        <w:rPr>
          <w:rFonts w:ascii="仿宋" w:eastAsia="仿宋" w:hAnsi="仿宋" w:hint="eastAsia"/>
          <w:bCs/>
          <w:sz w:val="30"/>
          <w:szCs w:val="30"/>
        </w:rPr>
        <w:t>24年底，全市办理使用登记的特种设备总量达7</w:t>
      </w:r>
      <w:r w:rsidR="00833DCD" w:rsidRPr="00833DCD">
        <w:rPr>
          <w:rFonts w:ascii="仿宋" w:eastAsia="仿宋" w:hAnsi="仿宋"/>
          <w:bCs/>
          <w:sz w:val="30"/>
          <w:szCs w:val="30"/>
        </w:rPr>
        <w:t>95476</w:t>
      </w:r>
      <w:r w:rsidR="00833DCD" w:rsidRPr="00833DCD">
        <w:rPr>
          <w:rFonts w:ascii="仿宋" w:eastAsia="仿宋" w:hAnsi="仿宋" w:hint="eastAsia"/>
          <w:bCs/>
          <w:sz w:val="30"/>
          <w:szCs w:val="30"/>
        </w:rPr>
        <w:t>台（套），</w:t>
      </w:r>
      <w:r w:rsidR="00833DCD" w:rsidRPr="00833DCD">
        <w:rPr>
          <w:rFonts w:ascii="仿宋" w:eastAsia="仿宋" w:hAnsi="仿宋"/>
          <w:bCs/>
          <w:sz w:val="30"/>
          <w:szCs w:val="30"/>
        </w:rPr>
        <w:t>其中在用特种设备704901台（套），同比增长7.31%。在用设备中，锅炉418</w:t>
      </w:r>
      <w:r w:rsidR="00833DCD" w:rsidRPr="00833DCD">
        <w:rPr>
          <w:rFonts w:ascii="仿宋" w:eastAsia="仿宋" w:hAnsi="仿宋" w:hint="eastAsia"/>
          <w:bCs/>
          <w:sz w:val="30"/>
          <w:szCs w:val="30"/>
        </w:rPr>
        <w:t>8</w:t>
      </w:r>
      <w:r w:rsidR="00833DCD" w:rsidRPr="00833DCD">
        <w:rPr>
          <w:rFonts w:ascii="仿宋" w:eastAsia="仿宋" w:hAnsi="仿宋"/>
          <w:bCs/>
          <w:sz w:val="30"/>
          <w:szCs w:val="30"/>
        </w:rPr>
        <w:t>台、压力容器（不含气瓶）1</w:t>
      </w:r>
      <w:r w:rsidR="00833DCD" w:rsidRPr="00833DCD">
        <w:rPr>
          <w:rFonts w:ascii="仿宋" w:eastAsia="仿宋" w:hAnsi="仿宋" w:hint="eastAsia"/>
          <w:bCs/>
          <w:sz w:val="30"/>
          <w:szCs w:val="30"/>
        </w:rPr>
        <w:t>60820</w:t>
      </w:r>
      <w:r w:rsidR="00833DCD" w:rsidRPr="00833DCD">
        <w:rPr>
          <w:rFonts w:ascii="仿宋" w:eastAsia="仿宋" w:hAnsi="仿宋"/>
          <w:bCs/>
          <w:sz w:val="30"/>
          <w:szCs w:val="30"/>
        </w:rPr>
        <w:t>台、电梯</w:t>
      </w:r>
      <w:r w:rsidR="00833DCD" w:rsidRPr="00833DCD">
        <w:rPr>
          <w:rFonts w:ascii="仿宋" w:eastAsia="仿宋" w:hAnsi="仿宋" w:hint="eastAsia"/>
          <w:bCs/>
          <w:sz w:val="30"/>
          <w:szCs w:val="30"/>
        </w:rPr>
        <w:t>349620</w:t>
      </w:r>
      <w:r w:rsidR="00833DCD" w:rsidRPr="00833DCD">
        <w:rPr>
          <w:rFonts w:ascii="仿宋" w:eastAsia="仿宋" w:hAnsi="仿宋"/>
          <w:bCs/>
          <w:sz w:val="30"/>
          <w:szCs w:val="30"/>
        </w:rPr>
        <w:t>台、起重机械71135台、场（厂）内专用机动车辆118892辆、客运索道5条和大型游乐设施241台（套），另有各类气瓶约463万只（不含长期未流</w:t>
      </w:r>
      <w:r w:rsidR="00833DCD" w:rsidRPr="00833DCD">
        <w:rPr>
          <w:rFonts w:ascii="仿宋" w:eastAsia="仿宋" w:hAnsi="仿宋" w:hint="eastAsia"/>
          <w:bCs/>
          <w:sz w:val="30"/>
          <w:szCs w:val="30"/>
        </w:rPr>
        <w:t>通的）和压力管道约</w:t>
      </w:r>
      <w:r w:rsidR="00833DCD" w:rsidRPr="00833DCD">
        <w:rPr>
          <w:rFonts w:ascii="仿宋" w:eastAsia="仿宋" w:hAnsi="仿宋"/>
          <w:bCs/>
          <w:sz w:val="30"/>
          <w:szCs w:val="30"/>
        </w:rPr>
        <w:t>1.6</w:t>
      </w:r>
      <w:r w:rsidR="00833DCD" w:rsidRPr="00833DCD">
        <w:rPr>
          <w:rFonts w:ascii="仿宋" w:eastAsia="仿宋" w:hAnsi="仿宋" w:hint="eastAsia"/>
          <w:bCs/>
          <w:sz w:val="30"/>
          <w:szCs w:val="30"/>
        </w:rPr>
        <w:t>万千米。全市特种设备使用单位为</w:t>
      </w:r>
      <w:r w:rsidR="00833DCD" w:rsidRPr="00833DCD">
        <w:rPr>
          <w:rFonts w:ascii="仿宋" w:eastAsia="仿宋" w:hAnsi="仿宋"/>
          <w:bCs/>
          <w:sz w:val="30"/>
          <w:szCs w:val="30"/>
        </w:rPr>
        <w:t>7</w:t>
      </w:r>
      <w:r w:rsidR="00833DCD" w:rsidRPr="00833DCD">
        <w:rPr>
          <w:rFonts w:ascii="仿宋" w:eastAsia="仿宋" w:hAnsi="仿宋" w:hint="eastAsia"/>
          <w:bCs/>
          <w:sz w:val="30"/>
          <w:szCs w:val="30"/>
        </w:rPr>
        <w:t>万余家，特种设备作业人员和安全管理人员持证数4</w:t>
      </w:r>
      <w:r w:rsidR="00833DCD" w:rsidRPr="00833DCD">
        <w:rPr>
          <w:rFonts w:ascii="仿宋" w:eastAsia="仿宋" w:hAnsi="仿宋"/>
          <w:bCs/>
          <w:sz w:val="30"/>
          <w:szCs w:val="30"/>
        </w:rPr>
        <w:t>31946</w:t>
      </w:r>
      <w:r w:rsidR="00833DCD" w:rsidRPr="00833DCD">
        <w:rPr>
          <w:rFonts w:ascii="仿宋" w:eastAsia="仿宋" w:hAnsi="仿宋" w:hint="eastAsia"/>
          <w:bCs/>
          <w:sz w:val="30"/>
          <w:szCs w:val="30"/>
        </w:rPr>
        <w:t>张。</w:t>
      </w:r>
      <w:r>
        <w:rPr>
          <w:rFonts w:ascii="仿宋" w:eastAsia="仿宋" w:hAnsi="仿宋" w:hint="eastAsia"/>
          <w:bCs/>
          <w:sz w:val="30"/>
          <w:szCs w:val="30"/>
        </w:rPr>
        <w:t>特种设备安全虽然总体可控，但是</w:t>
      </w:r>
      <w:r w:rsidR="005943F6" w:rsidRPr="005943F6">
        <w:rPr>
          <w:rFonts w:ascii="仿宋" w:eastAsia="仿宋" w:hAnsi="仿宋" w:hint="eastAsia"/>
          <w:bCs/>
          <w:sz w:val="30"/>
          <w:szCs w:val="30"/>
        </w:rPr>
        <w:t>事故时有发生，安全形势依然严峻</w:t>
      </w:r>
      <w:r>
        <w:rPr>
          <w:rFonts w:ascii="仿宋" w:eastAsia="仿宋" w:hAnsi="仿宋" w:hint="eastAsia"/>
          <w:bCs/>
          <w:sz w:val="30"/>
          <w:szCs w:val="30"/>
        </w:rPr>
        <w:t>，因此</w:t>
      </w:r>
      <w:r w:rsidR="005943F6" w:rsidRPr="005943F6">
        <w:rPr>
          <w:rFonts w:ascii="仿宋" w:eastAsia="仿宋" w:hAnsi="仿宋" w:hint="eastAsia"/>
          <w:bCs/>
          <w:sz w:val="30"/>
          <w:szCs w:val="30"/>
        </w:rPr>
        <w:t>如何进一步推动企业落实主体责任，提高政府监管效能，提升安全管理水平，遏制重特大安全事故的发生是摆在我们面前的一个重大课题。2016年10月国务院安委会办公室颁布《国务院安委会办公室关于实施制重特大事故工作指南构建双重预防机制的意见》，明确提出“安全生产监督管理部门要协调有关部门制定完善安全风险分级管控和隐患排查治理的通用标准规范”，上海市市场监督管理局组织华东理工大学、上海</w:t>
      </w:r>
      <w:r w:rsidR="004F1A45">
        <w:rPr>
          <w:rFonts w:ascii="仿宋" w:eastAsia="仿宋" w:hAnsi="仿宋" w:hint="eastAsia"/>
          <w:bCs/>
          <w:sz w:val="30"/>
          <w:szCs w:val="30"/>
        </w:rPr>
        <w:t>市特种设备监督检验技术研究院</w:t>
      </w:r>
      <w:r w:rsidR="005943F6" w:rsidRPr="005943F6">
        <w:rPr>
          <w:rFonts w:ascii="仿宋" w:eastAsia="仿宋" w:hAnsi="仿宋" w:hint="eastAsia"/>
          <w:bCs/>
          <w:sz w:val="30"/>
          <w:szCs w:val="30"/>
        </w:rPr>
        <w:t>等单位组成专家组，开展专项研究，首批制定完成了双重预防工作体系的</w:t>
      </w:r>
      <w:r w:rsidR="00833DCD">
        <w:rPr>
          <w:rFonts w:ascii="仿宋" w:eastAsia="仿宋" w:hAnsi="仿宋" w:hint="eastAsia"/>
          <w:bCs/>
          <w:sz w:val="30"/>
          <w:szCs w:val="30"/>
        </w:rPr>
        <w:t>7</w:t>
      </w:r>
      <w:r w:rsidR="005943F6" w:rsidRPr="005943F6">
        <w:rPr>
          <w:rFonts w:ascii="仿宋" w:eastAsia="仿宋" w:hAnsi="仿宋" w:hint="eastAsia"/>
          <w:bCs/>
          <w:sz w:val="30"/>
          <w:szCs w:val="30"/>
        </w:rPr>
        <w:t>个地方标准，并于2019年8月15日</w:t>
      </w:r>
      <w:r w:rsidR="00833DCD">
        <w:rPr>
          <w:rFonts w:ascii="仿宋" w:eastAsia="仿宋" w:hAnsi="仿宋" w:hint="eastAsia"/>
          <w:bCs/>
          <w:sz w:val="30"/>
          <w:szCs w:val="30"/>
        </w:rPr>
        <w:t>起</w:t>
      </w:r>
      <w:r w:rsidR="005943F6" w:rsidRPr="005943F6">
        <w:rPr>
          <w:rFonts w:ascii="仿宋" w:eastAsia="仿宋" w:hAnsi="仿宋" w:hint="eastAsia"/>
          <w:bCs/>
          <w:sz w:val="30"/>
          <w:szCs w:val="30"/>
        </w:rPr>
        <w:t>由</w:t>
      </w:r>
      <w:r w:rsidR="004F1A45">
        <w:rPr>
          <w:rFonts w:ascii="仿宋" w:eastAsia="仿宋" w:hAnsi="仿宋" w:hint="eastAsia"/>
          <w:bCs/>
          <w:sz w:val="30"/>
          <w:szCs w:val="30"/>
        </w:rPr>
        <w:t>上海市市场监督管理局</w:t>
      </w:r>
      <w:r w:rsidR="005943F6" w:rsidRPr="005943F6">
        <w:rPr>
          <w:rFonts w:ascii="仿宋" w:eastAsia="仿宋" w:hAnsi="仿宋" w:hint="eastAsia"/>
          <w:bCs/>
          <w:sz w:val="30"/>
          <w:szCs w:val="30"/>
        </w:rPr>
        <w:t>颁布实施。</w:t>
      </w:r>
      <w:r w:rsidR="00833DCD">
        <w:rPr>
          <w:rFonts w:ascii="仿宋" w:eastAsia="仿宋" w:hAnsi="仿宋" w:hint="eastAsia"/>
          <w:bCs/>
          <w:sz w:val="30"/>
          <w:szCs w:val="30"/>
        </w:rPr>
        <w:t>此后，于2023年和2024分别又颁布实施了2个相关的地方标准。</w:t>
      </w:r>
      <w:r w:rsidR="005943F6" w:rsidRPr="005943F6">
        <w:rPr>
          <w:rFonts w:ascii="仿宋" w:eastAsia="仿宋" w:hAnsi="仿宋" w:hint="eastAsia"/>
          <w:bCs/>
          <w:sz w:val="30"/>
          <w:szCs w:val="30"/>
        </w:rPr>
        <w:t>双重</w:t>
      </w:r>
      <w:r w:rsidR="005943F6" w:rsidRPr="005943F6">
        <w:rPr>
          <w:rFonts w:ascii="仿宋" w:eastAsia="仿宋" w:hAnsi="仿宋" w:hint="eastAsia"/>
          <w:bCs/>
          <w:sz w:val="30"/>
          <w:szCs w:val="30"/>
        </w:rPr>
        <w:lastRenderedPageBreak/>
        <w:t>预防机制作为近年来政府部门推动的一项先进的安全管理理念和方法，是实现特种设备安全的一个重要手段。</w:t>
      </w:r>
    </w:p>
    <w:p w14:paraId="69B1A133" w14:textId="1DF22484" w:rsidR="005943F6" w:rsidRDefault="00FB2B02" w:rsidP="00833DCD">
      <w:pPr>
        <w:widowControl/>
        <w:spacing w:line="600" w:lineRule="exact"/>
        <w:ind w:firstLine="640"/>
        <w:rPr>
          <w:rFonts w:ascii="仿宋" w:eastAsia="仿宋" w:hAnsi="仿宋" w:hint="eastAsia"/>
          <w:bCs/>
          <w:sz w:val="30"/>
          <w:szCs w:val="30"/>
        </w:rPr>
      </w:pPr>
      <w:r>
        <w:rPr>
          <w:rFonts w:ascii="仿宋" w:eastAsia="仿宋" w:hAnsi="仿宋" w:hint="eastAsia"/>
          <w:bCs/>
          <w:sz w:val="30"/>
          <w:szCs w:val="30"/>
        </w:rPr>
        <w:t>自2019年双重预防系列标准颁布实施以来，上海市的双重预防工作取得了丰硕的成果。截至到2025年7月1日，全市累计共</w:t>
      </w:r>
      <w:r w:rsidRPr="00FB2B02">
        <w:rPr>
          <w:rFonts w:ascii="仿宋" w:eastAsia="仿宋" w:hAnsi="仿宋"/>
          <w:bCs/>
          <w:sz w:val="30"/>
          <w:szCs w:val="30"/>
        </w:rPr>
        <w:t>76754</w:t>
      </w:r>
      <w:r>
        <w:rPr>
          <w:rFonts w:ascii="仿宋" w:eastAsia="仿宋" w:hAnsi="仿宋" w:hint="eastAsia"/>
          <w:bCs/>
          <w:sz w:val="30"/>
          <w:szCs w:val="30"/>
        </w:rPr>
        <w:t>家使用单位开展了双重预防工作，开展隐患排查次数</w:t>
      </w:r>
      <w:r w:rsidRPr="00FB2B02">
        <w:rPr>
          <w:rFonts w:ascii="仿宋" w:eastAsia="仿宋" w:hAnsi="仿宋"/>
          <w:bCs/>
          <w:sz w:val="30"/>
          <w:szCs w:val="30"/>
        </w:rPr>
        <w:t>10808583</w:t>
      </w:r>
      <w:r>
        <w:rPr>
          <w:rFonts w:ascii="仿宋" w:eastAsia="仿宋" w:hAnsi="仿宋" w:hint="eastAsia"/>
          <w:bCs/>
          <w:sz w:val="30"/>
          <w:szCs w:val="30"/>
        </w:rPr>
        <w:t>次，排查设备</w:t>
      </w:r>
      <w:r w:rsidRPr="00FB2B02">
        <w:rPr>
          <w:rFonts w:ascii="仿宋" w:eastAsia="仿宋" w:hAnsi="仿宋"/>
          <w:bCs/>
          <w:sz w:val="30"/>
          <w:szCs w:val="30"/>
        </w:rPr>
        <w:t>112632499</w:t>
      </w:r>
      <w:r>
        <w:rPr>
          <w:rFonts w:ascii="仿宋" w:eastAsia="仿宋" w:hAnsi="仿宋" w:hint="eastAsia"/>
          <w:bCs/>
          <w:sz w:val="30"/>
          <w:szCs w:val="30"/>
        </w:rPr>
        <w:t>台次，发现隐患</w:t>
      </w:r>
      <w:r w:rsidRPr="00FB2B02">
        <w:rPr>
          <w:rFonts w:ascii="仿宋" w:eastAsia="仿宋" w:hAnsi="仿宋"/>
          <w:bCs/>
          <w:sz w:val="30"/>
          <w:szCs w:val="30"/>
        </w:rPr>
        <w:t>105560</w:t>
      </w:r>
      <w:r>
        <w:rPr>
          <w:rFonts w:ascii="仿宋" w:eastAsia="仿宋" w:hAnsi="仿宋" w:hint="eastAsia"/>
          <w:bCs/>
          <w:sz w:val="30"/>
          <w:szCs w:val="30"/>
        </w:rPr>
        <w:t>条。</w:t>
      </w:r>
      <w:r w:rsidR="005943F6" w:rsidRPr="005943F6">
        <w:rPr>
          <w:rFonts w:ascii="仿宋" w:eastAsia="仿宋" w:hAnsi="仿宋" w:hint="eastAsia"/>
          <w:bCs/>
          <w:sz w:val="30"/>
          <w:szCs w:val="30"/>
        </w:rPr>
        <w:t>在双重预防工作推进中，</w:t>
      </w:r>
      <w:r>
        <w:rPr>
          <w:rFonts w:ascii="仿宋" w:eastAsia="仿宋" w:hAnsi="仿宋" w:hint="eastAsia"/>
          <w:bCs/>
          <w:sz w:val="30"/>
          <w:szCs w:val="30"/>
        </w:rPr>
        <w:t>如何辨识风险、评估风险并实施风险分级管控</w:t>
      </w:r>
      <w:r w:rsidR="005943F6" w:rsidRPr="005943F6">
        <w:rPr>
          <w:rFonts w:ascii="仿宋" w:eastAsia="仿宋" w:hAnsi="仿宋" w:hint="eastAsia"/>
          <w:bCs/>
          <w:sz w:val="30"/>
          <w:szCs w:val="30"/>
        </w:rPr>
        <w:t>是双重预防工作的一个重要环节。</w:t>
      </w:r>
    </w:p>
    <w:p w14:paraId="5E821211" w14:textId="5C2EBD95" w:rsidR="005943F6" w:rsidRPr="005943F6" w:rsidRDefault="005943F6" w:rsidP="005943F6">
      <w:pPr>
        <w:ind w:firstLineChars="200" w:firstLine="600"/>
        <w:rPr>
          <w:rFonts w:ascii="仿宋" w:eastAsia="仿宋" w:hAnsi="仿宋" w:hint="eastAsia"/>
          <w:bCs/>
          <w:sz w:val="30"/>
          <w:szCs w:val="30"/>
        </w:rPr>
      </w:pPr>
      <w:r w:rsidRPr="005943F6">
        <w:rPr>
          <w:rFonts w:ascii="仿宋" w:eastAsia="仿宋" w:hAnsi="仿宋" w:hint="eastAsia"/>
          <w:bCs/>
          <w:sz w:val="30"/>
          <w:szCs w:val="30"/>
        </w:rPr>
        <w:t>本标准</w:t>
      </w:r>
      <w:r w:rsidR="00FB2B02">
        <w:rPr>
          <w:rFonts w:ascii="仿宋" w:eastAsia="仿宋" w:hAnsi="仿宋" w:hint="eastAsia"/>
          <w:bCs/>
          <w:sz w:val="30"/>
          <w:szCs w:val="30"/>
        </w:rPr>
        <w:t>在</w:t>
      </w:r>
      <w:r w:rsidR="00D80690">
        <w:rPr>
          <w:rFonts w:ascii="仿宋" w:eastAsia="仿宋" w:hAnsi="仿宋" w:hint="eastAsia"/>
          <w:bCs/>
          <w:sz w:val="30"/>
          <w:szCs w:val="30"/>
        </w:rPr>
        <w:t>在充分吸收双重预防实践工作中的经验和教训的基础上，对原有的三个特种设备风险相关的地标标准进行了</w:t>
      </w:r>
      <w:r w:rsidR="00080EF8">
        <w:rPr>
          <w:rFonts w:ascii="仿宋" w:eastAsia="仿宋" w:hAnsi="仿宋" w:hint="eastAsia"/>
          <w:bCs/>
          <w:sz w:val="30"/>
          <w:szCs w:val="30"/>
        </w:rPr>
        <w:t>系统</w:t>
      </w:r>
      <w:r w:rsidR="00D80690">
        <w:rPr>
          <w:rFonts w:ascii="仿宋" w:eastAsia="仿宋" w:hAnsi="仿宋" w:hint="eastAsia"/>
          <w:bCs/>
          <w:sz w:val="30"/>
          <w:szCs w:val="30"/>
        </w:rPr>
        <w:t>的整合和和优化。</w:t>
      </w:r>
      <w:r w:rsidR="00080EF8" w:rsidRPr="00080EF8">
        <w:rPr>
          <w:rFonts w:ascii="仿宋" w:eastAsia="仿宋" w:hAnsi="仿宋"/>
          <w:bCs/>
          <w:sz w:val="30"/>
          <w:szCs w:val="30"/>
        </w:rPr>
        <w:t>本标准制订的法理依据主要来源自《中华人民共和国安全生产法》、《中华人民共和国特种设备安全法》、《国务院安委会办公室关于实施遏制重特大事故工作指南构建双重预防机制的意见》（安委办〔2016〕11号）和《质检总局关于印发的通知》（国质检特〔2016〕91号）、《上海市人民政府关于进一步加强城市安全风险防控的意见》（沪府发〔2021〕3 号）等有关文件要求。</w:t>
      </w:r>
      <w:r w:rsidR="00080EF8">
        <w:rPr>
          <w:rFonts w:ascii="仿宋" w:eastAsia="仿宋" w:hAnsi="仿宋" w:hint="eastAsia"/>
          <w:bCs/>
          <w:sz w:val="30"/>
          <w:szCs w:val="30"/>
        </w:rPr>
        <w:t>通过制定</w:t>
      </w:r>
      <w:r w:rsidR="00D80690">
        <w:rPr>
          <w:rFonts w:ascii="仿宋" w:eastAsia="仿宋" w:hAnsi="仿宋" w:hint="eastAsia"/>
          <w:bCs/>
          <w:sz w:val="30"/>
          <w:szCs w:val="30"/>
        </w:rPr>
        <w:t>本标准</w:t>
      </w:r>
      <w:r w:rsidR="00080EF8">
        <w:rPr>
          <w:rFonts w:ascii="仿宋" w:eastAsia="仿宋" w:hAnsi="仿宋" w:hint="eastAsia"/>
          <w:bCs/>
          <w:sz w:val="30"/>
          <w:szCs w:val="30"/>
        </w:rPr>
        <w:t>，一是</w:t>
      </w:r>
      <w:r w:rsidR="00D80690" w:rsidRPr="005943F6">
        <w:rPr>
          <w:rFonts w:ascii="仿宋" w:eastAsia="仿宋" w:hAnsi="仿宋" w:hint="eastAsia"/>
          <w:bCs/>
          <w:sz w:val="30"/>
          <w:szCs w:val="30"/>
        </w:rPr>
        <w:t>有助于推动特种设备风险预控，关口前移，有效防范系统性、区域性风险，遏制特种设备重特大事故的发生，保障特大城市安全运行</w:t>
      </w:r>
      <w:r w:rsidR="00080EF8">
        <w:rPr>
          <w:rFonts w:ascii="仿宋" w:eastAsia="仿宋" w:hAnsi="仿宋" w:hint="eastAsia"/>
          <w:bCs/>
          <w:sz w:val="30"/>
          <w:szCs w:val="30"/>
        </w:rPr>
        <w:t>；二是</w:t>
      </w:r>
      <w:r w:rsidRPr="005943F6">
        <w:rPr>
          <w:rFonts w:ascii="仿宋" w:eastAsia="仿宋" w:hAnsi="仿宋" w:hint="eastAsia"/>
          <w:bCs/>
          <w:sz w:val="30"/>
          <w:szCs w:val="30"/>
        </w:rPr>
        <w:t>有助于企业实现特种设备风险的精准管控，明确管理重点，有针对性地加强重点设备的管理、提高隐患排查频次，压缩事故隐患的存在空间；</w:t>
      </w:r>
      <w:r w:rsidR="00080EF8">
        <w:rPr>
          <w:rFonts w:ascii="仿宋" w:eastAsia="仿宋" w:hAnsi="仿宋" w:hint="eastAsia"/>
          <w:bCs/>
          <w:sz w:val="30"/>
          <w:szCs w:val="30"/>
        </w:rPr>
        <w:t>三是</w:t>
      </w:r>
      <w:r w:rsidRPr="005943F6">
        <w:rPr>
          <w:rFonts w:ascii="仿宋" w:eastAsia="仿宋" w:hAnsi="仿宋" w:hint="eastAsia"/>
          <w:bCs/>
          <w:sz w:val="30"/>
          <w:szCs w:val="30"/>
        </w:rPr>
        <w:t>有助于监管部门明确监管重点，有效优化特种设备安全监管的</w:t>
      </w:r>
      <w:r w:rsidRPr="005943F6">
        <w:rPr>
          <w:rFonts w:ascii="仿宋" w:eastAsia="仿宋" w:hAnsi="仿宋" w:hint="eastAsia"/>
          <w:bCs/>
          <w:sz w:val="30"/>
          <w:szCs w:val="30"/>
        </w:rPr>
        <w:lastRenderedPageBreak/>
        <w:t>力量配置。</w:t>
      </w:r>
    </w:p>
    <w:p w14:paraId="3EFC0FA3" w14:textId="77777777" w:rsidR="00AD3B41" w:rsidRPr="00F34515" w:rsidRDefault="00AD3B41" w:rsidP="00AD3B41">
      <w:pPr>
        <w:pStyle w:val="1"/>
        <w:spacing w:before="0" w:after="0" w:line="360" w:lineRule="auto"/>
        <w:ind w:firstLineChars="200" w:firstLine="643"/>
        <w:rPr>
          <w:rFonts w:ascii="黑体" w:eastAsia="黑体" w:hAnsi="黑体" w:hint="eastAsia"/>
          <w:bCs w:val="0"/>
          <w:sz w:val="32"/>
          <w:szCs w:val="32"/>
        </w:rPr>
      </w:pPr>
      <w:bookmarkStart w:id="2" w:name="_Toc130154623"/>
      <w:bookmarkStart w:id="3" w:name="_Toc130154632"/>
      <w:r w:rsidRPr="00F34515">
        <w:rPr>
          <w:rFonts w:ascii="黑体" w:eastAsia="黑体" w:hAnsi="黑体" w:hint="eastAsia"/>
          <w:bCs w:val="0"/>
          <w:sz w:val="32"/>
          <w:szCs w:val="32"/>
        </w:rPr>
        <w:t>二、编制原则</w:t>
      </w:r>
      <w:bookmarkEnd w:id="2"/>
      <w:bookmarkEnd w:id="3"/>
    </w:p>
    <w:p w14:paraId="66F0A48C" w14:textId="77777777" w:rsidR="00983967" w:rsidRPr="001A4ADE" w:rsidRDefault="00983967" w:rsidP="00983967">
      <w:pPr>
        <w:spacing w:line="360" w:lineRule="auto"/>
        <w:ind w:firstLineChars="200" w:firstLine="600"/>
        <w:rPr>
          <w:rFonts w:ascii="仿宋" w:eastAsia="仿宋" w:hAnsi="仿宋" w:hint="eastAsia"/>
          <w:bCs/>
          <w:sz w:val="30"/>
          <w:szCs w:val="30"/>
        </w:rPr>
      </w:pPr>
      <w:bookmarkStart w:id="4" w:name="_Toc498329319"/>
      <w:r w:rsidRPr="001A4ADE">
        <w:rPr>
          <w:rFonts w:ascii="仿宋" w:eastAsia="仿宋" w:hAnsi="仿宋" w:hint="eastAsia"/>
          <w:bCs/>
          <w:sz w:val="30"/>
          <w:szCs w:val="30"/>
        </w:rPr>
        <w:t>1</w:t>
      </w:r>
      <w:r w:rsidR="00B629BD">
        <w:rPr>
          <w:rFonts w:ascii="仿宋" w:eastAsia="仿宋" w:hAnsi="仿宋" w:hint="eastAsia"/>
          <w:bCs/>
          <w:sz w:val="30"/>
          <w:szCs w:val="30"/>
        </w:rPr>
        <w:t>.</w:t>
      </w:r>
      <w:r w:rsidRPr="001A4ADE">
        <w:rPr>
          <w:rFonts w:ascii="仿宋" w:eastAsia="仿宋" w:hAnsi="仿宋" w:hint="eastAsia"/>
          <w:bCs/>
          <w:sz w:val="30"/>
          <w:szCs w:val="30"/>
        </w:rPr>
        <w:t>系统性</w:t>
      </w:r>
    </w:p>
    <w:p w14:paraId="38E581E0" w14:textId="5111D77B" w:rsidR="00983967" w:rsidRDefault="00664B58" w:rsidP="00983967">
      <w:pPr>
        <w:spacing w:line="360" w:lineRule="auto"/>
        <w:ind w:firstLineChars="200" w:firstLine="600"/>
        <w:rPr>
          <w:rFonts w:ascii="仿宋" w:eastAsia="仿宋" w:hAnsi="仿宋" w:hint="eastAsia"/>
          <w:bCs/>
          <w:sz w:val="30"/>
          <w:szCs w:val="30"/>
        </w:rPr>
      </w:pPr>
      <w:r>
        <w:rPr>
          <w:rFonts w:ascii="仿宋" w:eastAsia="仿宋" w:hAnsi="仿宋" w:hint="eastAsia"/>
          <w:bCs/>
          <w:sz w:val="30"/>
          <w:szCs w:val="30"/>
        </w:rPr>
        <w:t>本标准适用于设备风险辨识、评估和管控，同时也在</w:t>
      </w:r>
      <w:r w:rsidR="006E615B">
        <w:rPr>
          <w:rFonts w:ascii="仿宋" w:eastAsia="仿宋" w:hAnsi="仿宋" w:hint="eastAsia"/>
          <w:bCs/>
          <w:sz w:val="30"/>
          <w:szCs w:val="30"/>
        </w:rPr>
        <w:t>全面</w:t>
      </w:r>
      <w:r>
        <w:rPr>
          <w:rFonts w:ascii="仿宋" w:eastAsia="仿宋" w:hAnsi="仿宋" w:hint="eastAsia"/>
          <w:bCs/>
          <w:sz w:val="30"/>
          <w:szCs w:val="30"/>
        </w:rPr>
        <w:t>分析特种设备区域风险的影响因素的基础上，提出了</w:t>
      </w:r>
      <w:r w:rsidR="006E615B">
        <w:rPr>
          <w:rFonts w:ascii="仿宋" w:eastAsia="仿宋" w:hAnsi="仿宋" w:hint="eastAsia"/>
          <w:bCs/>
          <w:sz w:val="30"/>
          <w:szCs w:val="30"/>
        </w:rPr>
        <w:t>系统</w:t>
      </w:r>
      <w:r>
        <w:rPr>
          <w:rFonts w:ascii="仿宋" w:eastAsia="仿宋" w:hAnsi="仿宋" w:hint="eastAsia"/>
          <w:bCs/>
          <w:sz w:val="30"/>
          <w:szCs w:val="30"/>
        </w:rPr>
        <w:t>特种设备区域的评估方法，既可以为特种设备使用单位开展特种设备风险辨识、分析、评估和分级管控提供依据，同时也为政府监管部门开展区域风险评估</w:t>
      </w:r>
      <w:r w:rsidR="006E615B">
        <w:rPr>
          <w:rFonts w:ascii="仿宋" w:eastAsia="仿宋" w:hAnsi="仿宋" w:hint="eastAsia"/>
          <w:bCs/>
          <w:sz w:val="30"/>
          <w:szCs w:val="30"/>
        </w:rPr>
        <w:t>，加强区域风险管控提供依据</w:t>
      </w:r>
      <w:r w:rsidR="00122922">
        <w:rPr>
          <w:rFonts w:ascii="仿宋" w:eastAsia="仿宋" w:hAnsi="仿宋" w:hint="eastAsia"/>
          <w:bCs/>
          <w:sz w:val="30"/>
          <w:szCs w:val="30"/>
        </w:rPr>
        <w:t>。</w:t>
      </w:r>
    </w:p>
    <w:p w14:paraId="57B4413F" w14:textId="77777777" w:rsidR="00983967" w:rsidRPr="001A4ADE" w:rsidRDefault="00983967" w:rsidP="00983967">
      <w:pPr>
        <w:spacing w:line="360" w:lineRule="auto"/>
        <w:ind w:firstLineChars="200" w:firstLine="600"/>
        <w:rPr>
          <w:rFonts w:ascii="仿宋" w:eastAsia="仿宋" w:hAnsi="仿宋" w:hint="eastAsia"/>
          <w:bCs/>
          <w:sz w:val="30"/>
          <w:szCs w:val="30"/>
        </w:rPr>
      </w:pPr>
      <w:r w:rsidRPr="001A4ADE">
        <w:rPr>
          <w:rFonts w:ascii="仿宋" w:eastAsia="仿宋" w:hAnsi="仿宋" w:hint="eastAsia"/>
          <w:bCs/>
          <w:sz w:val="30"/>
          <w:szCs w:val="30"/>
        </w:rPr>
        <w:t>2</w:t>
      </w:r>
      <w:r w:rsidR="00B629BD">
        <w:rPr>
          <w:rFonts w:ascii="仿宋" w:eastAsia="仿宋" w:hAnsi="仿宋" w:hint="eastAsia"/>
          <w:bCs/>
          <w:sz w:val="30"/>
          <w:szCs w:val="30"/>
        </w:rPr>
        <w:t>.</w:t>
      </w:r>
      <w:r w:rsidRPr="001A4ADE">
        <w:rPr>
          <w:rFonts w:ascii="仿宋" w:eastAsia="仿宋" w:hAnsi="仿宋" w:hint="eastAsia"/>
          <w:bCs/>
          <w:sz w:val="30"/>
          <w:szCs w:val="30"/>
        </w:rPr>
        <w:t>先进性</w:t>
      </w:r>
    </w:p>
    <w:p w14:paraId="3937E3AE" w14:textId="77777777" w:rsidR="00983967" w:rsidRPr="001A4ADE" w:rsidRDefault="00D24035" w:rsidP="00983967">
      <w:pPr>
        <w:spacing w:line="360" w:lineRule="auto"/>
        <w:ind w:firstLineChars="200" w:firstLine="600"/>
        <w:rPr>
          <w:rFonts w:ascii="仿宋" w:eastAsia="仿宋" w:hAnsi="仿宋" w:hint="eastAsia"/>
          <w:bCs/>
          <w:sz w:val="30"/>
          <w:szCs w:val="30"/>
        </w:rPr>
      </w:pPr>
      <w:r>
        <w:rPr>
          <w:rFonts w:ascii="仿宋" w:eastAsia="仿宋" w:hAnsi="仿宋" w:hint="eastAsia"/>
          <w:bCs/>
          <w:sz w:val="30"/>
          <w:szCs w:val="30"/>
        </w:rPr>
        <w:t>风险管理是</w:t>
      </w:r>
      <w:r w:rsidR="00E9739A">
        <w:rPr>
          <w:rFonts w:ascii="仿宋" w:eastAsia="仿宋" w:hAnsi="仿宋" w:hint="eastAsia"/>
          <w:bCs/>
          <w:sz w:val="30"/>
          <w:szCs w:val="30"/>
        </w:rPr>
        <w:t>当前国内</w:t>
      </w:r>
      <w:r w:rsidR="00D301D6">
        <w:rPr>
          <w:rFonts w:ascii="仿宋" w:eastAsia="仿宋" w:hAnsi="仿宋" w:hint="eastAsia"/>
          <w:bCs/>
          <w:sz w:val="30"/>
          <w:szCs w:val="30"/>
        </w:rPr>
        <w:t>正</w:t>
      </w:r>
      <w:r w:rsidR="00B85019">
        <w:rPr>
          <w:rFonts w:ascii="仿宋" w:eastAsia="仿宋" w:hAnsi="仿宋" w:hint="eastAsia"/>
          <w:bCs/>
          <w:sz w:val="30"/>
          <w:szCs w:val="30"/>
        </w:rPr>
        <w:t>大力</w:t>
      </w:r>
      <w:r w:rsidR="00D301D6">
        <w:rPr>
          <w:rFonts w:ascii="仿宋" w:eastAsia="仿宋" w:hAnsi="仿宋" w:hint="eastAsia"/>
          <w:bCs/>
          <w:sz w:val="30"/>
          <w:szCs w:val="30"/>
        </w:rPr>
        <w:t>推</w:t>
      </w:r>
      <w:r w:rsidR="00B85019">
        <w:rPr>
          <w:rFonts w:ascii="仿宋" w:eastAsia="仿宋" w:hAnsi="仿宋" w:hint="eastAsia"/>
          <w:bCs/>
          <w:sz w:val="30"/>
          <w:szCs w:val="30"/>
        </w:rPr>
        <w:t>行的</w:t>
      </w:r>
      <w:r w:rsidR="000A7BD9">
        <w:rPr>
          <w:rFonts w:ascii="仿宋" w:eastAsia="仿宋" w:hAnsi="仿宋" w:hint="eastAsia"/>
          <w:bCs/>
          <w:sz w:val="30"/>
          <w:szCs w:val="30"/>
        </w:rPr>
        <w:t>先进</w:t>
      </w:r>
      <w:r w:rsidR="00B85019">
        <w:rPr>
          <w:rFonts w:ascii="仿宋" w:eastAsia="仿宋" w:hAnsi="仿宋" w:hint="eastAsia"/>
          <w:bCs/>
          <w:sz w:val="30"/>
          <w:szCs w:val="30"/>
        </w:rPr>
        <w:t>安全管理理念</w:t>
      </w:r>
      <w:r>
        <w:rPr>
          <w:rFonts w:ascii="仿宋" w:eastAsia="仿宋" w:hAnsi="仿宋" w:hint="eastAsia"/>
          <w:bCs/>
          <w:sz w:val="30"/>
          <w:szCs w:val="30"/>
        </w:rPr>
        <w:t>，</w:t>
      </w:r>
      <w:r w:rsidR="00C520CF">
        <w:rPr>
          <w:rFonts w:ascii="仿宋" w:eastAsia="仿宋" w:hAnsi="仿宋" w:hint="eastAsia"/>
          <w:bCs/>
          <w:sz w:val="30"/>
          <w:szCs w:val="30"/>
        </w:rPr>
        <w:t>同时也是</w:t>
      </w:r>
      <w:r w:rsidR="000A7BD9">
        <w:rPr>
          <w:rFonts w:ascii="仿宋" w:eastAsia="仿宋" w:hAnsi="仿宋" w:hint="eastAsia"/>
          <w:bCs/>
          <w:sz w:val="30"/>
          <w:szCs w:val="30"/>
        </w:rPr>
        <w:t>特种设备安全管理的发展方向。</w:t>
      </w:r>
      <w:r w:rsidR="00983967" w:rsidRPr="001A4ADE">
        <w:rPr>
          <w:rFonts w:ascii="仿宋" w:eastAsia="仿宋" w:hAnsi="仿宋" w:hint="eastAsia"/>
          <w:bCs/>
          <w:sz w:val="30"/>
          <w:szCs w:val="30"/>
        </w:rPr>
        <w:t>在</w:t>
      </w:r>
      <w:r w:rsidR="000A7BD9">
        <w:rPr>
          <w:rFonts w:ascii="仿宋" w:eastAsia="仿宋" w:hAnsi="仿宋" w:hint="eastAsia"/>
          <w:bCs/>
          <w:sz w:val="30"/>
          <w:szCs w:val="30"/>
        </w:rPr>
        <w:t>充分调研上海市特种设备</w:t>
      </w:r>
      <w:r w:rsidR="00983967" w:rsidRPr="001A4ADE">
        <w:rPr>
          <w:rFonts w:ascii="仿宋" w:eastAsia="仿宋" w:hAnsi="仿宋" w:hint="eastAsia"/>
          <w:bCs/>
          <w:sz w:val="30"/>
          <w:szCs w:val="30"/>
        </w:rPr>
        <w:t>风险</w:t>
      </w:r>
      <w:r w:rsidR="000A7BD9">
        <w:rPr>
          <w:rFonts w:ascii="仿宋" w:eastAsia="仿宋" w:hAnsi="仿宋" w:hint="eastAsia"/>
          <w:bCs/>
          <w:sz w:val="30"/>
          <w:szCs w:val="30"/>
        </w:rPr>
        <w:t>状况</w:t>
      </w:r>
      <w:r w:rsidR="00983967" w:rsidRPr="001A4ADE">
        <w:rPr>
          <w:rFonts w:ascii="仿宋" w:eastAsia="仿宋" w:hAnsi="仿宋" w:hint="eastAsia"/>
          <w:bCs/>
          <w:sz w:val="30"/>
          <w:szCs w:val="30"/>
        </w:rPr>
        <w:t>的基础上，</w:t>
      </w:r>
      <w:r w:rsidR="000A7BD9">
        <w:rPr>
          <w:rFonts w:ascii="仿宋" w:eastAsia="仿宋" w:hAnsi="仿宋" w:hint="eastAsia"/>
          <w:bCs/>
          <w:sz w:val="30"/>
          <w:szCs w:val="30"/>
        </w:rPr>
        <w:t>提出了基于风险的</w:t>
      </w:r>
      <w:r w:rsidR="00B85019">
        <w:rPr>
          <w:rFonts w:ascii="仿宋" w:eastAsia="仿宋" w:hAnsi="仿宋" w:hint="eastAsia"/>
          <w:bCs/>
          <w:sz w:val="30"/>
          <w:szCs w:val="30"/>
        </w:rPr>
        <w:t>重点特种设备判定</w:t>
      </w:r>
      <w:r w:rsidR="000A7BD9">
        <w:rPr>
          <w:rFonts w:ascii="仿宋" w:eastAsia="仿宋" w:hAnsi="仿宋" w:hint="eastAsia"/>
          <w:bCs/>
          <w:sz w:val="30"/>
          <w:szCs w:val="30"/>
        </w:rPr>
        <w:t>方法，</w:t>
      </w:r>
      <w:r w:rsidR="00C54335">
        <w:rPr>
          <w:rFonts w:ascii="仿宋" w:eastAsia="仿宋" w:hAnsi="仿宋" w:hint="eastAsia"/>
          <w:bCs/>
          <w:sz w:val="30"/>
          <w:szCs w:val="30"/>
        </w:rPr>
        <w:t>为相关单位开展特种设备分级分类管理提供依据，有效提升特种设备</w:t>
      </w:r>
      <w:r w:rsidR="00983967" w:rsidRPr="001A4ADE">
        <w:rPr>
          <w:rFonts w:ascii="仿宋" w:eastAsia="仿宋" w:hAnsi="仿宋" w:hint="eastAsia"/>
          <w:bCs/>
          <w:sz w:val="30"/>
          <w:szCs w:val="30"/>
        </w:rPr>
        <w:t>安全管理水平，符合城市安全发展趋势。</w:t>
      </w:r>
    </w:p>
    <w:p w14:paraId="3026633A" w14:textId="77777777" w:rsidR="00983967" w:rsidRPr="001A4ADE" w:rsidRDefault="00983967" w:rsidP="00983967">
      <w:pPr>
        <w:spacing w:line="360" w:lineRule="auto"/>
        <w:ind w:firstLineChars="200" w:firstLine="600"/>
        <w:rPr>
          <w:rFonts w:ascii="仿宋" w:eastAsia="仿宋" w:hAnsi="仿宋" w:hint="eastAsia"/>
          <w:bCs/>
          <w:sz w:val="30"/>
          <w:szCs w:val="30"/>
        </w:rPr>
      </w:pPr>
      <w:r w:rsidRPr="001A4ADE">
        <w:rPr>
          <w:rFonts w:ascii="仿宋" w:eastAsia="仿宋" w:hAnsi="仿宋" w:hint="eastAsia"/>
          <w:bCs/>
          <w:sz w:val="30"/>
          <w:szCs w:val="30"/>
        </w:rPr>
        <w:t>3</w:t>
      </w:r>
      <w:r w:rsidR="00B629BD">
        <w:rPr>
          <w:rFonts w:ascii="仿宋" w:eastAsia="仿宋" w:hAnsi="仿宋" w:hint="eastAsia"/>
          <w:bCs/>
          <w:sz w:val="30"/>
          <w:szCs w:val="30"/>
        </w:rPr>
        <w:t>.</w:t>
      </w:r>
      <w:r w:rsidRPr="001A4ADE">
        <w:rPr>
          <w:rFonts w:ascii="仿宋" w:eastAsia="仿宋" w:hAnsi="仿宋" w:hint="eastAsia"/>
          <w:bCs/>
          <w:sz w:val="30"/>
          <w:szCs w:val="30"/>
        </w:rPr>
        <w:t>适用性</w:t>
      </w:r>
    </w:p>
    <w:p w14:paraId="4BB979D1" w14:textId="77777777" w:rsidR="00983967" w:rsidRPr="001A4ADE" w:rsidRDefault="00983967" w:rsidP="00983967">
      <w:pPr>
        <w:spacing w:line="360" w:lineRule="auto"/>
        <w:ind w:firstLineChars="200" w:firstLine="600"/>
        <w:rPr>
          <w:rFonts w:ascii="仿宋" w:eastAsia="仿宋" w:hAnsi="仿宋" w:hint="eastAsia"/>
          <w:bCs/>
          <w:sz w:val="30"/>
          <w:szCs w:val="30"/>
        </w:rPr>
      </w:pPr>
      <w:r w:rsidRPr="001A4ADE">
        <w:rPr>
          <w:rFonts w:ascii="仿宋" w:eastAsia="仿宋" w:hAnsi="仿宋" w:hint="eastAsia"/>
          <w:bCs/>
          <w:sz w:val="30"/>
          <w:szCs w:val="30"/>
        </w:rPr>
        <w:t>本</w:t>
      </w:r>
      <w:r w:rsidR="00B27FB4">
        <w:rPr>
          <w:rFonts w:ascii="仿宋" w:eastAsia="仿宋" w:hAnsi="仿宋" w:hint="eastAsia"/>
          <w:bCs/>
          <w:sz w:val="30"/>
          <w:szCs w:val="30"/>
        </w:rPr>
        <w:t>标准</w:t>
      </w:r>
      <w:r w:rsidRPr="001A4ADE">
        <w:rPr>
          <w:rFonts w:ascii="仿宋" w:eastAsia="仿宋" w:hAnsi="仿宋" w:hint="eastAsia"/>
          <w:bCs/>
          <w:sz w:val="30"/>
          <w:szCs w:val="30"/>
        </w:rPr>
        <w:t>所确定的技术方法要符合我市实际情况，</w:t>
      </w:r>
      <w:r w:rsidR="005B2B61">
        <w:rPr>
          <w:rFonts w:ascii="仿宋" w:eastAsia="仿宋" w:hAnsi="仿宋" w:hint="eastAsia"/>
          <w:bCs/>
          <w:sz w:val="30"/>
          <w:szCs w:val="30"/>
        </w:rPr>
        <w:t>判定</w:t>
      </w:r>
      <w:r w:rsidRPr="001A4ADE">
        <w:rPr>
          <w:rFonts w:ascii="仿宋" w:eastAsia="仿宋" w:hAnsi="仿宋" w:hint="eastAsia"/>
          <w:bCs/>
          <w:sz w:val="30"/>
          <w:szCs w:val="30"/>
        </w:rPr>
        <w:t>指标要确保科学合理</w:t>
      </w:r>
      <w:r w:rsidR="00C520CF">
        <w:rPr>
          <w:rFonts w:ascii="仿宋" w:eastAsia="仿宋" w:hAnsi="仿宋" w:hint="eastAsia"/>
          <w:bCs/>
          <w:sz w:val="30"/>
          <w:szCs w:val="30"/>
        </w:rPr>
        <w:t>和</w:t>
      </w:r>
      <w:r w:rsidRPr="001A4ADE">
        <w:rPr>
          <w:rFonts w:ascii="仿宋" w:eastAsia="仿宋" w:hAnsi="仿宋" w:hint="eastAsia"/>
          <w:bCs/>
          <w:sz w:val="30"/>
          <w:szCs w:val="30"/>
        </w:rPr>
        <w:t>可操作性。结合试点应用成果，对关键处理环节和关键节点的描述尽可能清晰准确，细化关键处理环节的处理技术，明确要求。</w:t>
      </w:r>
    </w:p>
    <w:p w14:paraId="25832749" w14:textId="77777777" w:rsidR="00983967" w:rsidRPr="001A4ADE" w:rsidRDefault="00983967" w:rsidP="00983967">
      <w:pPr>
        <w:spacing w:line="360" w:lineRule="auto"/>
        <w:ind w:firstLineChars="200" w:firstLine="600"/>
        <w:rPr>
          <w:rFonts w:ascii="仿宋" w:eastAsia="仿宋" w:hAnsi="仿宋" w:hint="eastAsia"/>
          <w:bCs/>
          <w:sz w:val="30"/>
          <w:szCs w:val="30"/>
        </w:rPr>
      </w:pPr>
      <w:r w:rsidRPr="001A4ADE">
        <w:rPr>
          <w:rFonts w:ascii="仿宋" w:eastAsia="仿宋" w:hAnsi="仿宋" w:hint="eastAsia"/>
          <w:bCs/>
          <w:sz w:val="30"/>
          <w:szCs w:val="30"/>
        </w:rPr>
        <w:t>4</w:t>
      </w:r>
      <w:r w:rsidR="00B629BD">
        <w:rPr>
          <w:rFonts w:ascii="仿宋" w:eastAsia="仿宋" w:hAnsi="仿宋" w:hint="eastAsia"/>
          <w:bCs/>
          <w:sz w:val="30"/>
          <w:szCs w:val="30"/>
        </w:rPr>
        <w:t>.</w:t>
      </w:r>
      <w:r w:rsidRPr="001A4ADE">
        <w:rPr>
          <w:rFonts w:ascii="仿宋" w:eastAsia="仿宋" w:hAnsi="仿宋" w:hint="eastAsia"/>
          <w:bCs/>
          <w:sz w:val="30"/>
          <w:szCs w:val="30"/>
        </w:rPr>
        <w:t>科学性</w:t>
      </w:r>
    </w:p>
    <w:p w14:paraId="3386E5A0" w14:textId="77777777" w:rsidR="00983967" w:rsidRPr="001A4ADE" w:rsidRDefault="00983967" w:rsidP="00983967">
      <w:pPr>
        <w:spacing w:line="360" w:lineRule="auto"/>
        <w:ind w:firstLineChars="200" w:firstLine="600"/>
        <w:rPr>
          <w:rFonts w:ascii="仿宋" w:eastAsia="仿宋" w:hAnsi="仿宋" w:hint="eastAsia"/>
          <w:bCs/>
          <w:sz w:val="30"/>
          <w:szCs w:val="30"/>
        </w:rPr>
      </w:pPr>
      <w:r w:rsidRPr="001A4ADE">
        <w:rPr>
          <w:rFonts w:ascii="仿宋" w:eastAsia="仿宋" w:hAnsi="仿宋" w:hint="eastAsia"/>
          <w:bCs/>
          <w:sz w:val="30"/>
          <w:szCs w:val="30"/>
        </w:rPr>
        <w:t>应严格依据标准制定</w:t>
      </w:r>
      <w:r w:rsidR="00C54335">
        <w:rPr>
          <w:rFonts w:ascii="仿宋" w:eastAsia="仿宋" w:hAnsi="仿宋" w:hint="eastAsia"/>
          <w:bCs/>
          <w:sz w:val="30"/>
          <w:szCs w:val="30"/>
        </w:rPr>
        <w:t>要求，采取科学的方法和程序，对特种设备事故数据进行分析，并开展大量的调研工作，</w:t>
      </w:r>
      <w:r w:rsidRPr="001A4ADE">
        <w:rPr>
          <w:rFonts w:ascii="仿宋" w:eastAsia="仿宋" w:hAnsi="仿宋" w:hint="eastAsia"/>
          <w:bCs/>
          <w:sz w:val="30"/>
          <w:szCs w:val="30"/>
        </w:rPr>
        <w:t>保证数据的准</w:t>
      </w:r>
      <w:r w:rsidRPr="001A4ADE">
        <w:rPr>
          <w:rFonts w:ascii="仿宋" w:eastAsia="仿宋" w:hAnsi="仿宋" w:hint="eastAsia"/>
          <w:bCs/>
          <w:sz w:val="30"/>
          <w:szCs w:val="30"/>
        </w:rPr>
        <w:lastRenderedPageBreak/>
        <w:t>确性和定额值的科学性。</w:t>
      </w:r>
    </w:p>
    <w:bookmarkEnd w:id="4"/>
    <w:p w14:paraId="5923F740" w14:textId="77777777" w:rsidR="001D198B" w:rsidRPr="00AD3B41" w:rsidRDefault="00AD3B41" w:rsidP="00AD3B41">
      <w:pPr>
        <w:spacing w:beforeLines="50" w:before="156" w:afterLines="50" w:after="156" w:line="300" w:lineRule="auto"/>
        <w:ind w:firstLineChars="200" w:firstLine="643"/>
        <w:outlineLvl w:val="1"/>
        <w:rPr>
          <w:rFonts w:ascii="黑体" w:eastAsia="黑体" w:hAnsi="黑体" w:hint="eastAsia"/>
          <w:b/>
          <w:kern w:val="44"/>
          <w:sz w:val="32"/>
          <w:szCs w:val="32"/>
        </w:rPr>
      </w:pPr>
      <w:r w:rsidRPr="00AD3B41">
        <w:rPr>
          <w:rFonts w:ascii="黑体" w:eastAsia="黑体" w:hAnsi="黑体" w:hint="eastAsia"/>
          <w:b/>
          <w:kern w:val="44"/>
          <w:sz w:val="32"/>
          <w:szCs w:val="32"/>
        </w:rPr>
        <w:t>三</w:t>
      </w:r>
      <w:r>
        <w:rPr>
          <w:rFonts w:ascii="黑体" w:eastAsia="黑体" w:hAnsi="黑体" w:hint="eastAsia"/>
          <w:b/>
          <w:kern w:val="44"/>
          <w:sz w:val="32"/>
          <w:szCs w:val="32"/>
        </w:rPr>
        <w:t>、</w:t>
      </w:r>
      <w:r w:rsidR="001D198B" w:rsidRPr="00AD3B41">
        <w:rPr>
          <w:rFonts w:ascii="黑体" w:eastAsia="黑体" w:hAnsi="黑体" w:hint="eastAsia"/>
          <w:b/>
          <w:kern w:val="44"/>
          <w:sz w:val="32"/>
          <w:szCs w:val="32"/>
        </w:rPr>
        <w:t>起草过程</w:t>
      </w:r>
    </w:p>
    <w:p w14:paraId="53D14111" w14:textId="64B10731" w:rsidR="003737C1" w:rsidRPr="001A4ADE" w:rsidRDefault="003737C1" w:rsidP="003737C1">
      <w:pPr>
        <w:spacing w:line="360" w:lineRule="auto"/>
        <w:ind w:firstLineChars="200" w:firstLine="600"/>
        <w:rPr>
          <w:rFonts w:ascii="仿宋" w:eastAsia="仿宋" w:hAnsi="仿宋" w:hint="eastAsia"/>
          <w:sz w:val="30"/>
          <w:szCs w:val="30"/>
        </w:rPr>
      </w:pPr>
      <w:r w:rsidRPr="001A4ADE">
        <w:rPr>
          <w:rFonts w:ascii="仿宋" w:eastAsia="仿宋" w:hAnsi="仿宋"/>
          <w:sz w:val="30"/>
          <w:szCs w:val="30"/>
        </w:rPr>
        <w:t>202</w:t>
      </w:r>
      <w:r w:rsidR="006E615B">
        <w:rPr>
          <w:rFonts w:ascii="仿宋" w:eastAsia="仿宋" w:hAnsi="仿宋" w:hint="eastAsia"/>
          <w:sz w:val="30"/>
          <w:szCs w:val="30"/>
        </w:rPr>
        <w:t>5</w:t>
      </w:r>
      <w:r w:rsidRPr="001A4ADE">
        <w:rPr>
          <w:rFonts w:ascii="仿宋" w:eastAsia="仿宋" w:hAnsi="仿宋" w:hint="eastAsia"/>
          <w:sz w:val="30"/>
          <w:szCs w:val="30"/>
        </w:rPr>
        <w:t>年</w:t>
      </w:r>
      <w:r w:rsidR="006E615B">
        <w:rPr>
          <w:rFonts w:ascii="仿宋" w:eastAsia="仿宋" w:hAnsi="仿宋" w:hint="eastAsia"/>
          <w:sz w:val="30"/>
          <w:szCs w:val="30"/>
        </w:rPr>
        <w:t>7</w:t>
      </w:r>
      <w:r w:rsidRPr="001A4ADE">
        <w:rPr>
          <w:rFonts w:ascii="仿宋" w:eastAsia="仿宋" w:hAnsi="仿宋" w:hint="eastAsia"/>
          <w:sz w:val="30"/>
          <w:szCs w:val="30"/>
        </w:rPr>
        <w:t>月</w:t>
      </w:r>
      <w:r w:rsidR="00C54750">
        <w:rPr>
          <w:rFonts w:ascii="仿宋" w:eastAsia="仿宋" w:hAnsi="仿宋" w:hint="eastAsia"/>
          <w:sz w:val="30"/>
          <w:szCs w:val="30"/>
        </w:rPr>
        <w:t>，</w:t>
      </w:r>
      <w:r w:rsidRPr="001A4ADE">
        <w:rPr>
          <w:rFonts w:ascii="仿宋" w:eastAsia="仿宋" w:hAnsi="仿宋" w:hint="eastAsia"/>
          <w:sz w:val="30"/>
          <w:szCs w:val="30"/>
        </w:rPr>
        <w:t>上海市</w:t>
      </w:r>
      <w:r w:rsidR="00AD3B41">
        <w:rPr>
          <w:rFonts w:ascii="仿宋" w:eastAsia="仿宋" w:hAnsi="仿宋" w:hint="eastAsia"/>
          <w:sz w:val="30"/>
          <w:szCs w:val="30"/>
        </w:rPr>
        <w:t>市场监督管理局组织</w:t>
      </w:r>
      <w:r w:rsidR="00426E82">
        <w:rPr>
          <w:rFonts w:ascii="仿宋" w:eastAsia="仿宋" w:hAnsi="仿宋" w:hint="eastAsia"/>
          <w:sz w:val="30"/>
          <w:szCs w:val="30"/>
        </w:rPr>
        <w:t>上海市</w:t>
      </w:r>
      <w:r w:rsidRPr="001A4ADE">
        <w:rPr>
          <w:rFonts w:ascii="仿宋" w:eastAsia="仿宋" w:hAnsi="仿宋" w:hint="eastAsia"/>
          <w:sz w:val="30"/>
          <w:szCs w:val="30"/>
        </w:rPr>
        <w:t>特种设备监督检验技术研究院</w:t>
      </w:r>
      <w:r w:rsidR="00AD3B41">
        <w:rPr>
          <w:rFonts w:ascii="仿宋" w:eastAsia="仿宋" w:hAnsi="仿宋" w:hint="eastAsia"/>
          <w:sz w:val="30"/>
          <w:szCs w:val="30"/>
        </w:rPr>
        <w:t>、</w:t>
      </w:r>
      <w:r w:rsidR="00426E82">
        <w:rPr>
          <w:rFonts w:ascii="仿宋" w:eastAsia="仿宋" w:hAnsi="仿宋" w:hint="eastAsia"/>
          <w:sz w:val="30"/>
          <w:szCs w:val="30"/>
        </w:rPr>
        <w:t>华东理工大学、相关区</w:t>
      </w:r>
      <w:r w:rsidR="00C54750">
        <w:rPr>
          <w:rFonts w:ascii="仿宋" w:eastAsia="仿宋" w:hAnsi="仿宋" w:hint="eastAsia"/>
          <w:sz w:val="30"/>
          <w:szCs w:val="30"/>
        </w:rPr>
        <w:t>市场监管局、行业协会以及</w:t>
      </w:r>
      <w:r w:rsidR="00C54750" w:rsidRPr="001A4ADE">
        <w:rPr>
          <w:rFonts w:ascii="仿宋" w:eastAsia="仿宋" w:hAnsi="仿宋" w:hint="eastAsia"/>
          <w:sz w:val="30"/>
          <w:szCs w:val="30"/>
        </w:rPr>
        <w:t>特种设备使用单位</w:t>
      </w:r>
      <w:r w:rsidR="00C54750">
        <w:rPr>
          <w:rFonts w:ascii="仿宋" w:eastAsia="仿宋" w:hAnsi="仿宋" w:hint="eastAsia"/>
          <w:sz w:val="30"/>
          <w:szCs w:val="30"/>
        </w:rPr>
        <w:t>的</w:t>
      </w:r>
      <w:r w:rsidRPr="001A4ADE">
        <w:rPr>
          <w:rFonts w:ascii="仿宋" w:eastAsia="仿宋" w:hAnsi="仿宋" w:hint="eastAsia"/>
          <w:sz w:val="30"/>
          <w:szCs w:val="30"/>
        </w:rPr>
        <w:t>专家对制定上海市地方标准《</w:t>
      </w:r>
      <w:r w:rsidR="006E615B">
        <w:rPr>
          <w:rFonts w:ascii="仿宋" w:eastAsia="仿宋" w:hAnsi="仿宋" w:hint="eastAsia"/>
          <w:bCs/>
          <w:sz w:val="30"/>
          <w:szCs w:val="30"/>
        </w:rPr>
        <w:t>特种设备风险和管控</w:t>
      </w:r>
      <w:r w:rsidRPr="001A4ADE">
        <w:rPr>
          <w:rFonts w:ascii="仿宋" w:eastAsia="仿宋" w:hAnsi="仿宋" w:hint="eastAsia"/>
          <w:sz w:val="30"/>
          <w:szCs w:val="30"/>
        </w:rPr>
        <w:t>》的重要性、</w:t>
      </w:r>
      <w:r w:rsidR="006270F4">
        <w:rPr>
          <w:rFonts w:ascii="仿宋" w:eastAsia="仿宋" w:hAnsi="仿宋" w:hint="eastAsia"/>
          <w:sz w:val="30"/>
          <w:szCs w:val="30"/>
        </w:rPr>
        <w:t>主要框架内容</w:t>
      </w:r>
      <w:r w:rsidRPr="001A4ADE">
        <w:rPr>
          <w:rFonts w:ascii="仿宋" w:eastAsia="仿宋" w:hAnsi="仿宋" w:hint="eastAsia"/>
          <w:sz w:val="30"/>
          <w:szCs w:val="30"/>
        </w:rPr>
        <w:t>、标准编写原则等问题进行了讨论。大家对该项目的重要性给予了充分的肯定，并对项目的实施提出了建设性的建议，同时成立了《</w:t>
      </w:r>
      <w:r w:rsidR="006E615B">
        <w:rPr>
          <w:rFonts w:ascii="仿宋" w:eastAsia="仿宋" w:hAnsi="仿宋" w:hint="eastAsia"/>
          <w:bCs/>
          <w:sz w:val="30"/>
          <w:szCs w:val="30"/>
        </w:rPr>
        <w:t>特种设备风险和管控</w:t>
      </w:r>
      <w:r w:rsidRPr="001A4ADE">
        <w:rPr>
          <w:rFonts w:ascii="仿宋" w:eastAsia="仿宋" w:hAnsi="仿宋" w:hint="eastAsia"/>
          <w:sz w:val="30"/>
          <w:szCs w:val="30"/>
        </w:rPr>
        <w:t>》</w:t>
      </w:r>
      <w:r w:rsidR="00CD027A">
        <w:rPr>
          <w:rFonts w:ascii="仿宋" w:eastAsia="仿宋" w:hAnsi="仿宋" w:hint="eastAsia"/>
          <w:sz w:val="30"/>
          <w:szCs w:val="30"/>
        </w:rPr>
        <w:t>编写</w:t>
      </w:r>
      <w:r w:rsidR="009B19A5">
        <w:rPr>
          <w:rFonts w:ascii="仿宋" w:eastAsia="仿宋" w:hAnsi="仿宋" w:hint="eastAsia"/>
          <w:sz w:val="30"/>
          <w:szCs w:val="30"/>
        </w:rPr>
        <w:t>组</w:t>
      </w:r>
      <w:r w:rsidRPr="001A4ADE">
        <w:rPr>
          <w:rFonts w:ascii="仿宋" w:eastAsia="仿宋" w:hAnsi="仿宋" w:hint="eastAsia"/>
          <w:sz w:val="30"/>
          <w:szCs w:val="30"/>
        </w:rPr>
        <w:t>。</w:t>
      </w:r>
    </w:p>
    <w:p w14:paraId="1DBA1BD2" w14:textId="0BDA284C" w:rsidR="009B19A5" w:rsidRDefault="003737C1" w:rsidP="009B19A5">
      <w:pPr>
        <w:pStyle w:val="ae"/>
        <w:spacing w:line="360" w:lineRule="auto"/>
        <w:ind w:firstLineChars="200" w:firstLine="600"/>
        <w:rPr>
          <w:rFonts w:ascii="仿宋" w:eastAsia="仿宋" w:hAnsi="仿宋" w:hint="eastAsia"/>
          <w:sz w:val="30"/>
          <w:szCs w:val="30"/>
        </w:rPr>
      </w:pPr>
      <w:r w:rsidRPr="001A4ADE">
        <w:rPr>
          <w:rFonts w:ascii="仿宋" w:eastAsia="仿宋" w:hAnsi="仿宋" w:hint="eastAsia"/>
          <w:sz w:val="30"/>
          <w:szCs w:val="30"/>
        </w:rPr>
        <w:t>2</w:t>
      </w:r>
      <w:r w:rsidRPr="001A4ADE">
        <w:rPr>
          <w:rFonts w:ascii="仿宋" w:eastAsia="仿宋" w:hAnsi="仿宋"/>
          <w:sz w:val="30"/>
          <w:szCs w:val="30"/>
        </w:rPr>
        <w:t>02</w:t>
      </w:r>
      <w:r w:rsidR="009B19A5">
        <w:rPr>
          <w:rFonts w:ascii="仿宋" w:eastAsia="仿宋" w:hAnsi="仿宋"/>
          <w:sz w:val="30"/>
          <w:szCs w:val="30"/>
        </w:rPr>
        <w:t>2</w:t>
      </w:r>
      <w:r w:rsidR="00426E82">
        <w:rPr>
          <w:rFonts w:ascii="仿宋" w:eastAsia="仿宋" w:hAnsi="仿宋"/>
          <w:sz w:val="30"/>
          <w:szCs w:val="30"/>
        </w:rPr>
        <w:t>年</w:t>
      </w:r>
      <w:r w:rsidR="006E615B">
        <w:rPr>
          <w:rFonts w:ascii="仿宋" w:eastAsia="仿宋" w:hAnsi="仿宋" w:hint="eastAsia"/>
          <w:sz w:val="30"/>
          <w:szCs w:val="30"/>
        </w:rPr>
        <w:t>8</w:t>
      </w:r>
      <w:r w:rsidR="00426E82">
        <w:rPr>
          <w:rFonts w:ascii="仿宋" w:eastAsia="仿宋" w:hAnsi="仿宋"/>
          <w:sz w:val="30"/>
          <w:szCs w:val="30"/>
        </w:rPr>
        <w:t>月</w:t>
      </w:r>
      <w:r w:rsidR="006E615B">
        <w:rPr>
          <w:rFonts w:ascii="仿宋" w:eastAsia="仿宋" w:hAnsi="仿宋" w:hint="eastAsia"/>
          <w:sz w:val="30"/>
          <w:szCs w:val="30"/>
        </w:rPr>
        <w:t>上旬</w:t>
      </w:r>
      <w:r w:rsidRPr="001A4ADE">
        <w:rPr>
          <w:rFonts w:ascii="仿宋" w:eastAsia="仿宋" w:hAnsi="仿宋" w:hint="eastAsia"/>
          <w:sz w:val="30"/>
          <w:szCs w:val="30"/>
        </w:rPr>
        <w:t>，</w:t>
      </w:r>
      <w:r w:rsidR="00CD027A">
        <w:rPr>
          <w:rFonts w:ascii="仿宋" w:eastAsia="仿宋" w:hAnsi="仿宋" w:hint="eastAsia"/>
          <w:sz w:val="30"/>
          <w:szCs w:val="30"/>
        </w:rPr>
        <w:t>编写组分别走访了</w:t>
      </w:r>
      <w:r w:rsidR="009B19A5">
        <w:rPr>
          <w:rFonts w:ascii="仿宋" w:eastAsia="仿宋" w:hAnsi="仿宋" w:hint="eastAsia"/>
          <w:sz w:val="30"/>
          <w:szCs w:val="30"/>
        </w:rPr>
        <w:t>部分</w:t>
      </w:r>
      <w:r w:rsidR="00CD027A">
        <w:rPr>
          <w:rFonts w:ascii="仿宋" w:eastAsia="仿宋" w:hAnsi="仿宋" w:hint="eastAsia"/>
          <w:sz w:val="30"/>
          <w:szCs w:val="30"/>
        </w:rPr>
        <w:t>区局、特种设备使用单位，</w:t>
      </w:r>
      <w:r w:rsidR="006E615B">
        <w:rPr>
          <w:rFonts w:ascii="仿宋" w:eastAsia="仿宋" w:hAnsi="仿宋" w:hint="eastAsia"/>
          <w:sz w:val="30"/>
          <w:szCs w:val="30"/>
        </w:rPr>
        <w:t>深入</w:t>
      </w:r>
      <w:r w:rsidR="00CD027A">
        <w:rPr>
          <w:rFonts w:ascii="仿宋" w:eastAsia="仿宋" w:hAnsi="仿宋" w:hint="eastAsia"/>
          <w:sz w:val="30"/>
          <w:szCs w:val="30"/>
        </w:rPr>
        <w:t>调研</w:t>
      </w:r>
      <w:r w:rsidR="006270F4">
        <w:rPr>
          <w:rFonts w:ascii="仿宋" w:eastAsia="仿宋" w:hAnsi="仿宋" w:hint="eastAsia"/>
          <w:sz w:val="30"/>
          <w:szCs w:val="30"/>
        </w:rPr>
        <w:t>在</w:t>
      </w:r>
      <w:r w:rsidR="00CD027A">
        <w:rPr>
          <w:rFonts w:ascii="仿宋" w:eastAsia="仿宋" w:hAnsi="仿宋" w:hint="eastAsia"/>
          <w:sz w:val="30"/>
          <w:szCs w:val="30"/>
        </w:rPr>
        <w:t>当前特种设备</w:t>
      </w:r>
      <w:r w:rsidR="006270F4">
        <w:rPr>
          <w:rFonts w:ascii="仿宋" w:eastAsia="仿宋" w:hAnsi="仿宋" w:hint="eastAsia"/>
          <w:sz w:val="30"/>
          <w:szCs w:val="30"/>
        </w:rPr>
        <w:t>安全</w:t>
      </w:r>
      <w:r w:rsidR="00CD027A">
        <w:rPr>
          <w:rFonts w:ascii="仿宋" w:eastAsia="仿宋" w:hAnsi="仿宋" w:hint="eastAsia"/>
          <w:sz w:val="30"/>
          <w:szCs w:val="30"/>
        </w:rPr>
        <w:t>监察、使用管理中存在的问题，征询了</w:t>
      </w:r>
      <w:r w:rsidR="00CD027A" w:rsidRPr="001A4ADE">
        <w:rPr>
          <w:rFonts w:ascii="仿宋" w:eastAsia="仿宋" w:hAnsi="仿宋" w:hint="eastAsia"/>
          <w:sz w:val="30"/>
          <w:szCs w:val="30"/>
        </w:rPr>
        <w:t>行业专家、企业管理人员</w:t>
      </w:r>
      <w:r w:rsidR="006E615B">
        <w:rPr>
          <w:rFonts w:ascii="仿宋" w:eastAsia="仿宋" w:hAnsi="仿宋" w:hint="eastAsia"/>
          <w:sz w:val="30"/>
          <w:szCs w:val="30"/>
        </w:rPr>
        <w:t>及检察人员在双重预防工作中推动和实施中</w:t>
      </w:r>
      <w:r w:rsidR="00CD027A" w:rsidRPr="001A4ADE">
        <w:rPr>
          <w:rFonts w:ascii="仿宋" w:eastAsia="仿宋" w:hAnsi="仿宋" w:hint="eastAsia"/>
          <w:sz w:val="30"/>
          <w:szCs w:val="30"/>
        </w:rPr>
        <w:t>的</w:t>
      </w:r>
      <w:r w:rsidR="006E615B">
        <w:rPr>
          <w:rFonts w:ascii="仿宋" w:eastAsia="仿宋" w:hAnsi="仿宋" w:hint="eastAsia"/>
          <w:sz w:val="30"/>
          <w:szCs w:val="30"/>
        </w:rPr>
        <w:t xml:space="preserve">经验、教训和建议， </w:t>
      </w:r>
      <w:r w:rsidR="00CD027A">
        <w:rPr>
          <w:rFonts w:ascii="仿宋" w:eastAsia="仿宋" w:hAnsi="仿宋" w:hint="eastAsia"/>
          <w:sz w:val="30"/>
          <w:szCs w:val="30"/>
        </w:rPr>
        <w:t>此</w:t>
      </w:r>
      <w:r w:rsidR="009B19A5" w:rsidRPr="001A4ADE">
        <w:rPr>
          <w:rFonts w:ascii="仿宋" w:eastAsia="仿宋" w:hAnsi="仿宋" w:hint="eastAsia"/>
          <w:sz w:val="30"/>
          <w:szCs w:val="30"/>
        </w:rPr>
        <w:t>基础上，编写组</w:t>
      </w:r>
      <w:r w:rsidR="006270F4" w:rsidRPr="001A4ADE">
        <w:rPr>
          <w:rFonts w:ascii="仿宋" w:eastAsia="仿宋" w:hAnsi="仿宋" w:hint="eastAsia"/>
          <w:sz w:val="30"/>
          <w:szCs w:val="30"/>
        </w:rPr>
        <w:t>各成员</w:t>
      </w:r>
      <w:r w:rsidR="00433CDE">
        <w:rPr>
          <w:rFonts w:ascii="仿宋" w:eastAsia="仿宋" w:hAnsi="仿宋" w:hint="eastAsia"/>
          <w:sz w:val="30"/>
          <w:szCs w:val="30"/>
        </w:rPr>
        <w:t>对原有的三个特种设备风险相关的地方标准进行了系统的整合和优化，形成了</w:t>
      </w:r>
      <w:r w:rsidR="009B19A5" w:rsidRPr="001A4ADE">
        <w:rPr>
          <w:rFonts w:ascii="仿宋" w:eastAsia="仿宋" w:hAnsi="仿宋" w:hint="eastAsia"/>
          <w:sz w:val="30"/>
          <w:szCs w:val="30"/>
        </w:rPr>
        <w:t>《</w:t>
      </w:r>
      <w:r w:rsidR="00433CDE">
        <w:rPr>
          <w:rFonts w:ascii="仿宋" w:eastAsia="仿宋" w:hAnsi="仿宋" w:hint="eastAsia"/>
          <w:sz w:val="30"/>
          <w:szCs w:val="30"/>
        </w:rPr>
        <w:t>特种设备风险和管控</w:t>
      </w:r>
      <w:r w:rsidR="009B19A5" w:rsidRPr="001A4ADE">
        <w:rPr>
          <w:rFonts w:ascii="仿宋" w:eastAsia="仿宋" w:hAnsi="仿宋" w:hint="eastAsia"/>
          <w:sz w:val="30"/>
          <w:szCs w:val="30"/>
        </w:rPr>
        <w:t>》</w:t>
      </w:r>
      <w:r w:rsidR="00433CDE">
        <w:rPr>
          <w:rFonts w:ascii="仿宋" w:eastAsia="仿宋" w:hAnsi="仿宋" w:hint="eastAsia"/>
          <w:sz w:val="30"/>
          <w:szCs w:val="30"/>
        </w:rPr>
        <w:t>工作组讨论稿</w:t>
      </w:r>
      <w:r w:rsidR="009B19A5">
        <w:rPr>
          <w:rFonts w:ascii="仿宋" w:eastAsia="仿宋" w:hAnsi="仿宋" w:hint="eastAsia"/>
          <w:sz w:val="30"/>
          <w:szCs w:val="30"/>
        </w:rPr>
        <w:t>，并对</w:t>
      </w:r>
      <w:r w:rsidR="00436973">
        <w:rPr>
          <w:rFonts w:ascii="仿宋" w:eastAsia="仿宋" w:hAnsi="仿宋" w:hint="eastAsia"/>
          <w:sz w:val="30"/>
          <w:szCs w:val="30"/>
        </w:rPr>
        <w:t>初稿</w:t>
      </w:r>
      <w:r w:rsidR="009B19A5" w:rsidRPr="001A4ADE">
        <w:rPr>
          <w:rFonts w:ascii="仿宋" w:eastAsia="仿宋" w:hAnsi="仿宋" w:hint="eastAsia"/>
          <w:sz w:val="30"/>
          <w:szCs w:val="30"/>
        </w:rPr>
        <w:t>采取相互审阅、讨论的方式进行修改和完善，各位专家通过电子邮件、微信交流、当面交流、会议交流等方式多次召开了讨论会，对标准中的每个争议点都逐一讨论、排除异议，形成共识</w:t>
      </w:r>
      <w:r w:rsidR="00433CDE">
        <w:rPr>
          <w:rFonts w:ascii="仿宋" w:eastAsia="仿宋" w:hAnsi="仿宋" w:hint="eastAsia"/>
          <w:sz w:val="30"/>
          <w:szCs w:val="30"/>
        </w:rPr>
        <w:t>，</w:t>
      </w:r>
      <w:r w:rsidR="003840D8" w:rsidRPr="001A4ADE">
        <w:rPr>
          <w:rFonts w:ascii="仿宋" w:eastAsia="仿宋" w:hAnsi="仿宋" w:hint="eastAsia"/>
          <w:sz w:val="30"/>
          <w:szCs w:val="30"/>
        </w:rPr>
        <w:t>形成了</w:t>
      </w:r>
      <w:bookmarkStart w:id="5" w:name="_Hlk120656892"/>
      <w:r w:rsidR="003840D8" w:rsidRPr="001A4ADE">
        <w:rPr>
          <w:rFonts w:ascii="仿宋" w:eastAsia="仿宋" w:hAnsi="仿宋" w:hint="eastAsia"/>
          <w:sz w:val="30"/>
          <w:szCs w:val="30"/>
        </w:rPr>
        <w:t>《</w:t>
      </w:r>
      <w:r w:rsidR="003840D8">
        <w:rPr>
          <w:rFonts w:ascii="仿宋" w:eastAsia="仿宋" w:hAnsi="仿宋" w:hint="eastAsia"/>
          <w:sz w:val="30"/>
          <w:szCs w:val="30"/>
        </w:rPr>
        <w:t>重点特种设备判定导则</w:t>
      </w:r>
      <w:r w:rsidR="003840D8" w:rsidRPr="001A4ADE">
        <w:rPr>
          <w:rFonts w:ascii="仿宋" w:eastAsia="仿宋" w:hAnsi="仿宋" w:hint="eastAsia"/>
          <w:sz w:val="30"/>
          <w:szCs w:val="30"/>
        </w:rPr>
        <w:t>》</w:t>
      </w:r>
      <w:bookmarkEnd w:id="5"/>
      <w:r w:rsidR="00433CDE">
        <w:rPr>
          <w:rFonts w:ascii="仿宋" w:eastAsia="仿宋" w:hAnsi="仿宋" w:hint="eastAsia"/>
          <w:sz w:val="30"/>
          <w:szCs w:val="30"/>
        </w:rPr>
        <w:t>征求意见稿，并同时组织</w:t>
      </w:r>
      <w:r w:rsidR="00433CDE" w:rsidRPr="001A4ADE">
        <w:rPr>
          <w:rFonts w:ascii="仿宋" w:eastAsia="仿宋" w:hAnsi="仿宋" w:hint="eastAsia"/>
          <w:sz w:val="30"/>
          <w:szCs w:val="30"/>
        </w:rPr>
        <w:t>本市</w:t>
      </w:r>
      <w:r w:rsidR="00433CDE">
        <w:rPr>
          <w:rFonts w:ascii="仿宋" w:eastAsia="仿宋" w:hAnsi="仿宋" w:hint="eastAsia"/>
          <w:sz w:val="30"/>
          <w:szCs w:val="30"/>
        </w:rPr>
        <w:t>特种设备监管</w:t>
      </w:r>
      <w:r w:rsidR="00433CDE" w:rsidRPr="001A4ADE">
        <w:rPr>
          <w:rFonts w:ascii="仿宋" w:eastAsia="仿宋" w:hAnsi="仿宋" w:hint="eastAsia"/>
          <w:sz w:val="30"/>
          <w:szCs w:val="30"/>
        </w:rPr>
        <w:t>部门、使用单位</w:t>
      </w:r>
      <w:r w:rsidR="00433CDE">
        <w:rPr>
          <w:rFonts w:ascii="仿宋" w:eastAsia="仿宋" w:hAnsi="仿宋" w:hint="eastAsia"/>
          <w:sz w:val="30"/>
          <w:szCs w:val="30"/>
        </w:rPr>
        <w:t>以及检验检测单位相关专家对征求意见稿进行了研讨。</w:t>
      </w:r>
    </w:p>
    <w:p w14:paraId="07C9F752" w14:textId="4A269130" w:rsidR="009C09E5" w:rsidRDefault="001253A9" w:rsidP="009C09E5">
      <w:pPr>
        <w:spacing w:line="360" w:lineRule="auto"/>
        <w:ind w:firstLineChars="200" w:firstLine="600"/>
        <w:rPr>
          <w:rFonts w:ascii="仿宋" w:eastAsia="仿宋" w:hAnsi="仿宋" w:hint="eastAsia"/>
          <w:bCs/>
          <w:sz w:val="30"/>
          <w:szCs w:val="30"/>
        </w:rPr>
      </w:pPr>
      <w:r>
        <w:rPr>
          <w:rFonts w:ascii="仿宋" w:eastAsia="仿宋" w:hAnsi="仿宋" w:hint="eastAsia"/>
          <w:sz w:val="30"/>
          <w:szCs w:val="30"/>
        </w:rPr>
        <w:t>2</w:t>
      </w:r>
      <w:r>
        <w:rPr>
          <w:rFonts w:ascii="仿宋" w:eastAsia="仿宋" w:hAnsi="仿宋"/>
          <w:sz w:val="30"/>
          <w:szCs w:val="30"/>
        </w:rPr>
        <w:t>02</w:t>
      </w:r>
      <w:r w:rsidR="00433CDE">
        <w:rPr>
          <w:rFonts w:ascii="仿宋" w:eastAsia="仿宋" w:hAnsi="仿宋" w:hint="eastAsia"/>
          <w:sz w:val="30"/>
          <w:szCs w:val="30"/>
        </w:rPr>
        <w:t>5</w:t>
      </w:r>
      <w:r>
        <w:rPr>
          <w:rFonts w:ascii="仿宋" w:eastAsia="仿宋" w:hAnsi="仿宋"/>
          <w:sz w:val="30"/>
          <w:szCs w:val="30"/>
        </w:rPr>
        <w:t>年</w:t>
      </w:r>
      <w:r w:rsidR="00433CDE">
        <w:rPr>
          <w:rFonts w:ascii="仿宋" w:eastAsia="仿宋" w:hAnsi="仿宋" w:hint="eastAsia"/>
          <w:sz w:val="30"/>
          <w:szCs w:val="30"/>
        </w:rPr>
        <w:t>8月中旬，编制组根据专家提出的意见建议进行了</w:t>
      </w:r>
      <w:r w:rsidR="00433CDE">
        <w:rPr>
          <w:rFonts w:ascii="仿宋" w:eastAsia="仿宋" w:hAnsi="仿宋" w:hint="eastAsia"/>
          <w:sz w:val="30"/>
          <w:szCs w:val="30"/>
        </w:rPr>
        <w:lastRenderedPageBreak/>
        <w:t>修改完善，</w:t>
      </w:r>
      <w:r w:rsidR="00381FF2">
        <w:rPr>
          <w:rFonts w:ascii="仿宋" w:eastAsia="仿宋" w:hAnsi="仿宋" w:hint="eastAsia"/>
          <w:sz w:val="30"/>
          <w:szCs w:val="30"/>
        </w:rPr>
        <w:t>并于2025年8月底，在上海市市场监督管理局网站向社会各界公示，征集各方意见</w:t>
      </w:r>
      <w:r w:rsidR="00381FF2" w:rsidRPr="001A4ADE">
        <w:rPr>
          <w:rFonts w:ascii="仿宋" w:eastAsia="仿宋" w:hAnsi="仿宋" w:hint="eastAsia"/>
          <w:sz w:val="30"/>
          <w:szCs w:val="30"/>
        </w:rPr>
        <w:t>。</w:t>
      </w:r>
    </w:p>
    <w:p w14:paraId="1A5906C4" w14:textId="77777777" w:rsidR="003737C1" w:rsidRPr="001A4ADE" w:rsidRDefault="003737C1" w:rsidP="003737C1">
      <w:pPr>
        <w:pStyle w:val="ae"/>
        <w:spacing w:line="360" w:lineRule="auto"/>
        <w:ind w:firstLineChars="200" w:firstLine="600"/>
        <w:rPr>
          <w:rFonts w:ascii="仿宋" w:eastAsia="仿宋" w:hAnsi="仿宋" w:hint="eastAsia"/>
          <w:sz w:val="30"/>
          <w:szCs w:val="30"/>
        </w:rPr>
      </w:pPr>
      <w:r w:rsidRPr="001A4ADE">
        <w:rPr>
          <w:rFonts w:ascii="仿宋" w:eastAsia="仿宋" w:hAnsi="仿宋" w:hint="eastAsia"/>
          <w:sz w:val="30"/>
          <w:szCs w:val="30"/>
        </w:rPr>
        <w:t>经1个月的意见征求，发送"征求意见稿"的单位数</w:t>
      </w:r>
      <w:r>
        <w:rPr>
          <w:rFonts w:ascii="仿宋" w:eastAsia="仿宋" w:hAnsi="仿宋"/>
          <w:sz w:val="30"/>
          <w:szCs w:val="30"/>
        </w:rPr>
        <w:t>XX</w:t>
      </w:r>
      <w:r w:rsidRPr="001A4ADE">
        <w:rPr>
          <w:rFonts w:ascii="仿宋" w:eastAsia="仿宋" w:hAnsi="仿宋" w:hint="eastAsia"/>
          <w:sz w:val="30"/>
          <w:szCs w:val="30"/>
        </w:rPr>
        <w:t>个，收到"征求意见稿"后，回函并有建议或意见的单位数</w:t>
      </w:r>
      <w:r>
        <w:rPr>
          <w:rFonts w:ascii="仿宋" w:eastAsia="仿宋" w:hAnsi="仿宋"/>
          <w:sz w:val="30"/>
          <w:szCs w:val="30"/>
        </w:rPr>
        <w:t>XX</w:t>
      </w:r>
      <w:r w:rsidRPr="001A4ADE">
        <w:rPr>
          <w:rFonts w:ascii="仿宋" w:eastAsia="仿宋" w:hAnsi="仿宋" w:hint="eastAsia"/>
          <w:sz w:val="30"/>
          <w:szCs w:val="30"/>
        </w:rPr>
        <w:t>个。对于提出的意见采纳</w:t>
      </w:r>
      <w:r>
        <w:rPr>
          <w:rFonts w:ascii="仿宋" w:eastAsia="仿宋" w:hAnsi="仿宋"/>
          <w:sz w:val="30"/>
          <w:szCs w:val="30"/>
        </w:rPr>
        <w:t>XX</w:t>
      </w:r>
      <w:r w:rsidRPr="001A4ADE">
        <w:rPr>
          <w:rFonts w:ascii="仿宋" w:eastAsia="仿宋" w:hAnsi="仿宋" w:hint="eastAsia"/>
          <w:sz w:val="30"/>
          <w:szCs w:val="30"/>
        </w:rPr>
        <w:t>项，未采纳</w:t>
      </w:r>
      <w:r>
        <w:rPr>
          <w:rFonts w:ascii="仿宋" w:eastAsia="仿宋" w:hAnsi="仿宋"/>
          <w:sz w:val="30"/>
          <w:szCs w:val="30"/>
        </w:rPr>
        <w:t>XX</w:t>
      </w:r>
      <w:r w:rsidRPr="001A4ADE">
        <w:rPr>
          <w:rFonts w:ascii="仿宋" w:eastAsia="仿宋" w:hAnsi="仿宋" w:hint="eastAsia"/>
          <w:sz w:val="30"/>
          <w:szCs w:val="30"/>
        </w:rPr>
        <w:t>项。</w:t>
      </w:r>
    </w:p>
    <w:p w14:paraId="64653E47" w14:textId="5282DEFB" w:rsidR="003737C1" w:rsidRPr="001A4ADE" w:rsidRDefault="003737C1" w:rsidP="003737C1">
      <w:pPr>
        <w:pStyle w:val="ae"/>
        <w:spacing w:line="360" w:lineRule="auto"/>
        <w:ind w:firstLineChars="200" w:firstLine="600"/>
        <w:rPr>
          <w:rFonts w:ascii="仿宋" w:eastAsia="仿宋" w:hAnsi="仿宋" w:hint="eastAsia"/>
          <w:sz w:val="30"/>
          <w:szCs w:val="30"/>
        </w:rPr>
      </w:pPr>
      <w:r w:rsidRPr="001A4ADE">
        <w:rPr>
          <w:rFonts w:ascii="仿宋" w:eastAsia="仿宋" w:hAnsi="仿宋" w:hint="eastAsia"/>
          <w:sz w:val="30"/>
          <w:szCs w:val="30"/>
        </w:rPr>
        <w:t>202</w:t>
      </w:r>
      <w:r w:rsidR="006E615B">
        <w:rPr>
          <w:rFonts w:ascii="仿宋" w:eastAsia="仿宋" w:hAnsi="仿宋" w:hint="eastAsia"/>
          <w:sz w:val="30"/>
          <w:szCs w:val="30"/>
        </w:rPr>
        <w:t>5</w:t>
      </w:r>
      <w:r w:rsidRPr="001A4ADE">
        <w:rPr>
          <w:rFonts w:ascii="仿宋" w:eastAsia="仿宋" w:hAnsi="仿宋" w:hint="eastAsia"/>
          <w:sz w:val="30"/>
          <w:szCs w:val="30"/>
        </w:rPr>
        <w:t>年</w:t>
      </w:r>
      <w:r>
        <w:rPr>
          <w:rFonts w:ascii="仿宋" w:eastAsia="仿宋" w:hAnsi="仿宋"/>
          <w:sz w:val="30"/>
          <w:szCs w:val="30"/>
        </w:rPr>
        <w:t>XX</w:t>
      </w:r>
      <w:r w:rsidRPr="001A4ADE">
        <w:rPr>
          <w:rFonts w:ascii="仿宋" w:eastAsia="仿宋" w:hAnsi="仿宋" w:hint="eastAsia"/>
          <w:sz w:val="30"/>
          <w:szCs w:val="30"/>
        </w:rPr>
        <w:t>月</w:t>
      </w:r>
      <w:r>
        <w:rPr>
          <w:rFonts w:ascii="仿宋" w:eastAsia="仿宋" w:hAnsi="仿宋"/>
          <w:sz w:val="30"/>
          <w:szCs w:val="30"/>
        </w:rPr>
        <w:t>XX</w:t>
      </w:r>
      <w:r w:rsidRPr="001A4ADE">
        <w:rPr>
          <w:rFonts w:ascii="仿宋" w:eastAsia="仿宋" w:hAnsi="仿宋" w:hint="eastAsia"/>
          <w:sz w:val="30"/>
          <w:szCs w:val="30"/>
        </w:rPr>
        <w:t>日，上海市市场监督管理局主持召开了上海市地方标准《</w:t>
      </w:r>
      <w:r w:rsidR="006E615B">
        <w:rPr>
          <w:rFonts w:ascii="仿宋" w:eastAsia="仿宋" w:hAnsi="仿宋" w:hint="eastAsia"/>
          <w:sz w:val="30"/>
          <w:szCs w:val="30"/>
        </w:rPr>
        <w:t>特种设备风险和管控</w:t>
      </w:r>
      <w:r w:rsidRPr="001A4ADE">
        <w:rPr>
          <w:rFonts w:ascii="仿宋" w:eastAsia="仿宋" w:hAnsi="仿宋" w:hint="eastAsia"/>
          <w:sz w:val="30"/>
          <w:szCs w:val="30"/>
        </w:rPr>
        <w:t>》审定会，专家组听取了标准起草单位关于标准制定情况和主要内容的说明，并对标准送审稿进行了逐条审议。专家组一致同意该标准通过审定，建议标准起草单位按专家组的意见，对标准送审稿做进一步修改和完善，形成标准报批稿，报请上海市市场监督管理局批准发布。</w:t>
      </w:r>
    </w:p>
    <w:p w14:paraId="1B132906" w14:textId="77777777" w:rsidR="003737C1" w:rsidRPr="009D19FB" w:rsidRDefault="003737C1" w:rsidP="003737C1">
      <w:pPr>
        <w:pStyle w:val="1"/>
        <w:spacing w:before="0" w:after="0" w:line="360" w:lineRule="auto"/>
        <w:ind w:firstLineChars="200" w:firstLine="643"/>
        <w:rPr>
          <w:rFonts w:ascii="黑体" w:eastAsia="黑体" w:hAnsi="黑体" w:hint="eastAsia"/>
          <w:bCs w:val="0"/>
          <w:sz w:val="32"/>
          <w:szCs w:val="32"/>
        </w:rPr>
      </w:pPr>
      <w:bookmarkStart w:id="6" w:name="_Toc130154625"/>
      <w:bookmarkStart w:id="7" w:name="_Toc130154634"/>
      <w:bookmarkStart w:id="8" w:name="_Toc498329301"/>
      <w:r w:rsidRPr="009D19FB">
        <w:rPr>
          <w:rFonts w:ascii="黑体" w:eastAsia="黑体" w:hAnsi="黑体" w:hint="eastAsia"/>
          <w:bCs w:val="0"/>
          <w:sz w:val="32"/>
          <w:szCs w:val="32"/>
        </w:rPr>
        <w:t>四、标准的主要技术内容</w:t>
      </w:r>
      <w:bookmarkEnd w:id="6"/>
      <w:bookmarkEnd w:id="7"/>
    </w:p>
    <w:p w14:paraId="49198EFD" w14:textId="77777777" w:rsidR="003737C1" w:rsidRPr="002B2F70" w:rsidRDefault="003737C1" w:rsidP="003737C1">
      <w:pPr>
        <w:pStyle w:val="2"/>
        <w:spacing w:before="0" w:after="0" w:line="360" w:lineRule="auto"/>
        <w:ind w:firstLineChars="200" w:firstLine="643"/>
        <w:rPr>
          <w:rFonts w:ascii="仿宋" w:eastAsia="仿宋" w:hAnsi="仿宋" w:hint="eastAsia"/>
          <w:bCs w:val="0"/>
        </w:rPr>
      </w:pPr>
      <w:r w:rsidRPr="002B2F70">
        <w:rPr>
          <w:rFonts w:ascii="仿宋" w:eastAsia="仿宋" w:hAnsi="仿宋" w:hint="eastAsia"/>
          <w:bCs w:val="0"/>
        </w:rPr>
        <w:t>（一）方法和技术路线</w:t>
      </w:r>
    </w:p>
    <w:p w14:paraId="71FF53F4" w14:textId="77777777" w:rsidR="00C5737F" w:rsidRDefault="00C5737F" w:rsidP="008A2F9E">
      <w:pPr>
        <w:spacing w:line="360" w:lineRule="auto"/>
        <w:ind w:firstLineChars="200" w:firstLine="600"/>
        <w:jc w:val="left"/>
        <w:rPr>
          <w:rFonts w:ascii="仿宋" w:eastAsia="仿宋" w:hAnsi="仿宋" w:hint="eastAsia"/>
          <w:sz w:val="30"/>
          <w:szCs w:val="30"/>
        </w:rPr>
      </w:pPr>
      <w:r>
        <w:rPr>
          <w:rFonts w:ascii="仿宋" w:eastAsia="仿宋" w:hAnsi="仿宋" w:hint="eastAsia"/>
          <w:sz w:val="30"/>
          <w:szCs w:val="30"/>
        </w:rPr>
        <w:t>1.设备风险</w:t>
      </w:r>
    </w:p>
    <w:p w14:paraId="75E6D81D" w14:textId="47DDF7A0" w:rsidR="00F60CF1" w:rsidRPr="001A4ADE" w:rsidRDefault="00F60CF1" w:rsidP="00F60CF1">
      <w:pPr>
        <w:spacing w:line="360" w:lineRule="auto"/>
        <w:ind w:firstLineChars="200" w:firstLine="600"/>
        <w:jc w:val="left"/>
        <w:rPr>
          <w:rFonts w:ascii="仿宋" w:eastAsia="仿宋" w:hAnsi="仿宋" w:hint="eastAsia"/>
          <w:bCs/>
          <w:sz w:val="30"/>
          <w:szCs w:val="30"/>
        </w:rPr>
      </w:pPr>
      <w:r>
        <w:rPr>
          <w:rFonts w:ascii="仿宋" w:eastAsia="仿宋" w:hAnsi="仿宋"/>
          <w:sz w:val="30"/>
          <w:szCs w:val="30"/>
        </w:rPr>
        <w:t>风险评估</w:t>
      </w:r>
      <w:r w:rsidR="00CA399F">
        <w:rPr>
          <w:rFonts w:ascii="仿宋" w:eastAsia="仿宋" w:hAnsi="仿宋" w:hint="eastAsia"/>
          <w:sz w:val="30"/>
          <w:szCs w:val="30"/>
        </w:rPr>
        <w:t>风险辨识</w:t>
      </w:r>
      <w:r w:rsidR="00CE619A">
        <w:rPr>
          <w:rFonts w:ascii="仿宋" w:eastAsia="仿宋" w:hAnsi="仿宋" w:hint="eastAsia"/>
          <w:sz w:val="30"/>
          <w:szCs w:val="30"/>
        </w:rPr>
        <w:t>、</w:t>
      </w:r>
      <w:r w:rsidR="00CA399F">
        <w:rPr>
          <w:rFonts w:ascii="仿宋" w:eastAsia="仿宋" w:hAnsi="仿宋" w:hint="eastAsia"/>
          <w:sz w:val="30"/>
          <w:szCs w:val="30"/>
        </w:rPr>
        <w:t>评估</w:t>
      </w:r>
      <w:r>
        <w:rPr>
          <w:rFonts w:ascii="仿宋" w:eastAsia="仿宋" w:hAnsi="仿宋"/>
          <w:sz w:val="30"/>
          <w:szCs w:val="30"/>
        </w:rPr>
        <w:t>是</w:t>
      </w:r>
      <w:r w:rsidR="00CA399F">
        <w:rPr>
          <w:rFonts w:ascii="仿宋" w:eastAsia="仿宋" w:hAnsi="仿宋" w:hint="eastAsia"/>
          <w:sz w:val="30"/>
          <w:szCs w:val="30"/>
        </w:rPr>
        <w:t>特种设备风险分级管控的</w:t>
      </w:r>
      <w:r w:rsidR="00CE619A">
        <w:rPr>
          <w:rFonts w:ascii="仿宋" w:eastAsia="仿宋" w:hAnsi="仿宋" w:hint="eastAsia"/>
          <w:sz w:val="30"/>
          <w:szCs w:val="30"/>
        </w:rPr>
        <w:t>重要环节，其过程比较专业和复杂，</w:t>
      </w:r>
      <w:r>
        <w:rPr>
          <w:rFonts w:ascii="仿宋" w:eastAsia="仿宋" w:hAnsi="仿宋"/>
          <w:sz w:val="30"/>
          <w:szCs w:val="30"/>
        </w:rPr>
        <w:t>主要体现在：一是特种设备风险评估专业涉及面广，主要涉及化工工艺、材料、机械、电气、结构、液压、安全、管理等专业知识；二是风险评估需要考虑的因素众多，包括设备本体、安全附件、人员使用操作、使用环境以及企业的管理水平等，涉及到特种设备的设计、制造、按照、改造、修理、使用、检验检测、报废等全生命周期的各个环节。三是风险评估结果的准确性受到社会认知水平、评估人员的专业背景、</w:t>
      </w:r>
      <w:r>
        <w:rPr>
          <w:rFonts w:ascii="仿宋" w:eastAsia="仿宋" w:hAnsi="仿宋"/>
          <w:sz w:val="30"/>
          <w:szCs w:val="30"/>
        </w:rPr>
        <w:lastRenderedPageBreak/>
        <w:t>经验等因素的影响。鉴于特种设备风险评估的专业性和复杂性，</w:t>
      </w:r>
      <w:r w:rsidR="00CE619A">
        <w:rPr>
          <w:rFonts w:ascii="仿宋" w:eastAsia="仿宋" w:hAnsi="仿宋" w:hint="eastAsia"/>
          <w:sz w:val="30"/>
          <w:szCs w:val="30"/>
        </w:rPr>
        <w:t>本标准从特种设备的特点</w:t>
      </w:r>
      <w:r w:rsidR="00975685">
        <w:rPr>
          <w:rFonts w:ascii="仿宋" w:eastAsia="仿宋" w:hAnsi="仿宋" w:hint="eastAsia"/>
          <w:sz w:val="30"/>
          <w:szCs w:val="30"/>
        </w:rPr>
        <w:t>以及事故发生情况</w:t>
      </w:r>
      <w:r w:rsidR="00CE619A">
        <w:rPr>
          <w:rFonts w:ascii="仿宋" w:eastAsia="仿宋" w:hAnsi="仿宋" w:hint="eastAsia"/>
          <w:sz w:val="30"/>
          <w:szCs w:val="30"/>
        </w:rPr>
        <w:t>出发，</w:t>
      </w:r>
      <w:r w:rsidR="00975685">
        <w:rPr>
          <w:rFonts w:ascii="仿宋" w:eastAsia="仿宋" w:hAnsi="仿宋" w:hint="eastAsia"/>
          <w:sz w:val="30"/>
          <w:szCs w:val="30"/>
        </w:rPr>
        <w:t>指导企业从设备本体、部件及部位以及作业环节开展风险源辨识，并从“人、机、环、管”四个方面开展风险分析，同时为了保证企业更好的做好风险辨识、分析工作，本标准制定了《特种设备常见风险事件及典型管控措施》供企业参考。</w:t>
      </w:r>
    </w:p>
    <w:p w14:paraId="00A8497A" w14:textId="77777777" w:rsidR="00C5737F" w:rsidRPr="00CE619A" w:rsidRDefault="00C5737F" w:rsidP="008A2F9E">
      <w:pPr>
        <w:spacing w:line="360" w:lineRule="auto"/>
        <w:ind w:firstLineChars="200" w:firstLine="602"/>
        <w:jc w:val="left"/>
        <w:rPr>
          <w:rFonts w:ascii="仿宋" w:eastAsia="仿宋" w:hAnsi="仿宋" w:hint="eastAsia"/>
          <w:b/>
          <w:bCs/>
          <w:sz w:val="30"/>
          <w:szCs w:val="30"/>
        </w:rPr>
      </w:pPr>
      <w:r w:rsidRPr="00CE619A">
        <w:rPr>
          <w:rFonts w:ascii="仿宋" w:eastAsia="仿宋" w:hAnsi="仿宋" w:hint="eastAsia"/>
          <w:b/>
          <w:bCs/>
          <w:sz w:val="30"/>
          <w:szCs w:val="30"/>
        </w:rPr>
        <w:t>2.区域风险</w:t>
      </w:r>
    </w:p>
    <w:p w14:paraId="44BB260E" w14:textId="0BC52F3B" w:rsidR="00C5737F" w:rsidRDefault="00F60CF1" w:rsidP="008A2F9E">
      <w:pPr>
        <w:spacing w:line="360" w:lineRule="auto"/>
        <w:ind w:firstLineChars="200" w:firstLine="600"/>
        <w:jc w:val="left"/>
        <w:rPr>
          <w:rFonts w:ascii="仿宋" w:eastAsia="仿宋" w:hAnsi="仿宋" w:hint="eastAsia"/>
          <w:sz w:val="30"/>
          <w:szCs w:val="30"/>
        </w:rPr>
      </w:pPr>
      <w:r>
        <w:rPr>
          <w:rFonts w:ascii="仿宋" w:eastAsia="仿宋" w:hAnsi="仿宋" w:hint="eastAsia"/>
          <w:sz w:val="30"/>
          <w:szCs w:val="30"/>
        </w:rPr>
        <w:t>特种设备区域风险的高低既取决于区域内特种设备的特点、数量、安全状况等因素，同时也受到企业的特种设备安全管理水平、重视程度和人员素质等因素以及属地政府监管部门监管策略、</w:t>
      </w:r>
      <w:r w:rsidR="002F4ED4">
        <w:rPr>
          <w:rFonts w:ascii="仿宋" w:eastAsia="仿宋" w:hAnsi="仿宋" w:hint="eastAsia"/>
          <w:sz w:val="30"/>
          <w:szCs w:val="30"/>
        </w:rPr>
        <w:t>监管方法和</w:t>
      </w:r>
      <w:r>
        <w:rPr>
          <w:rFonts w:ascii="仿宋" w:eastAsia="仿宋" w:hAnsi="仿宋" w:hint="eastAsia"/>
          <w:sz w:val="30"/>
          <w:szCs w:val="30"/>
        </w:rPr>
        <w:t>监管能力</w:t>
      </w:r>
      <w:r w:rsidR="002F4ED4">
        <w:rPr>
          <w:rFonts w:ascii="仿宋" w:eastAsia="仿宋" w:hAnsi="仿宋" w:hint="eastAsia"/>
          <w:sz w:val="30"/>
          <w:szCs w:val="30"/>
        </w:rPr>
        <w:t>的因素的影响，根据</w:t>
      </w:r>
      <w:r w:rsidR="00CA399F">
        <w:rPr>
          <w:rFonts w:ascii="仿宋" w:eastAsia="仿宋" w:hAnsi="仿宋" w:hint="eastAsia"/>
          <w:sz w:val="30"/>
          <w:szCs w:val="30"/>
        </w:rPr>
        <w:t>以上</w:t>
      </w:r>
      <w:r w:rsidR="002F4ED4">
        <w:rPr>
          <w:rFonts w:ascii="仿宋" w:eastAsia="仿宋" w:hAnsi="仿宋" w:hint="eastAsia"/>
          <w:sz w:val="30"/>
          <w:szCs w:val="30"/>
        </w:rPr>
        <w:t>分析结果，</w:t>
      </w:r>
      <w:r w:rsidR="00CA399F">
        <w:rPr>
          <w:rFonts w:ascii="仿宋" w:eastAsia="仿宋" w:hAnsi="仿宋" w:hint="eastAsia"/>
          <w:sz w:val="30"/>
          <w:szCs w:val="30"/>
        </w:rPr>
        <w:t>形成特种设备区域风险的一级指标，包括特种设备指标、特种设备管理指标和特种设备监管指标，并对三个一级指标进行了进一步细化，形成了特种设备区域风险的指标体系。同时，考虑到不同的指标对于特种设备区域风险由不同的影响，因此对于不同的指标根据风险特征和特点，设置了不同的权重，从而最终获得特种设备的区域风险等级。</w:t>
      </w:r>
    </w:p>
    <w:p w14:paraId="3CA932F2" w14:textId="77777777" w:rsidR="003737C1" w:rsidRPr="002B2F70" w:rsidRDefault="003737C1" w:rsidP="003737C1">
      <w:pPr>
        <w:pStyle w:val="2"/>
        <w:spacing w:before="0" w:after="0" w:line="360" w:lineRule="auto"/>
        <w:ind w:firstLineChars="200" w:firstLine="643"/>
        <w:rPr>
          <w:rFonts w:ascii="仿宋" w:eastAsia="仿宋" w:hAnsi="仿宋" w:hint="eastAsia"/>
          <w:bCs w:val="0"/>
        </w:rPr>
      </w:pPr>
      <w:r w:rsidRPr="002B2F70">
        <w:rPr>
          <w:rFonts w:ascii="仿宋" w:eastAsia="仿宋" w:hAnsi="仿宋" w:hint="eastAsia"/>
          <w:bCs w:val="0"/>
        </w:rPr>
        <w:t>（</w:t>
      </w:r>
      <w:r w:rsidR="001F7461">
        <w:rPr>
          <w:rFonts w:ascii="仿宋" w:eastAsia="仿宋" w:hAnsi="仿宋" w:hint="eastAsia"/>
          <w:bCs w:val="0"/>
        </w:rPr>
        <w:t>二</w:t>
      </w:r>
      <w:r w:rsidRPr="002B2F70">
        <w:rPr>
          <w:rFonts w:ascii="仿宋" w:eastAsia="仿宋" w:hAnsi="仿宋" w:hint="eastAsia"/>
          <w:bCs w:val="0"/>
        </w:rPr>
        <w:t>）制订依据</w:t>
      </w:r>
    </w:p>
    <w:p w14:paraId="36E281B5" w14:textId="77777777" w:rsidR="00232486" w:rsidRPr="00232486" w:rsidRDefault="00232486" w:rsidP="00232486">
      <w:pPr>
        <w:pStyle w:val="afe"/>
        <w:ind w:firstLine="600"/>
        <w:rPr>
          <w:rFonts w:ascii="仿宋" w:eastAsia="仿宋" w:hAnsi="仿宋" w:hint="eastAsia"/>
          <w:sz w:val="30"/>
          <w:szCs w:val="30"/>
        </w:rPr>
      </w:pPr>
      <w:r w:rsidRPr="00232486">
        <w:rPr>
          <w:rFonts w:ascii="仿宋" w:eastAsia="仿宋" w:hAnsi="仿宋" w:hint="eastAsia"/>
          <w:sz w:val="30"/>
          <w:szCs w:val="30"/>
        </w:rPr>
        <w:t xml:space="preserve">GB/T 26610（所有部分）承压设备系统基于风险的检验实施导则  </w:t>
      </w:r>
    </w:p>
    <w:p w14:paraId="2A96DFE3" w14:textId="77777777" w:rsidR="00232486" w:rsidRPr="00232486" w:rsidRDefault="00232486" w:rsidP="00232486">
      <w:pPr>
        <w:pStyle w:val="afe"/>
        <w:ind w:firstLine="600"/>
        <w:rPr>
          <w:rFonts w:ascii="仿宋" w:eastAsia="仿宋" w:hAnsi="仿宋" w:hint="eastAsia"/>
          <w:sz w:val="30"/>
          <w:szCs w:val="30"/>
        </w:rPr>
      </w:pPr>
      <w:r w:rsidRPr="00232486">
        <w:rPr>
          <w:rFonts w:ascii="仿宋" w:eastAsia="仿宋" w:hAnsi="仿宋" w:hint="eastAsia"/>
          <w:sz w:val="30"/>
          <w:szCs w:val="30"/>
        </w:rPr>
        <w:t>GB 30871 危险化学品企业特 殊作业安全规范</w:t>
      </w:r>
    </w:p>
    <w:p w14:paraId="7917C6DA" w14:textId="77777777" w:rsidR="00232486" w:rsidRPr="00232486" w:rsidRDefault="00232486" w:rsidP="00232486">
      <w:pPr>
        <w:pStyle w:val="afe"/>
        <w:ind w:firstLine="600"/>
        <w:rPr>
          <w:rFonts w:ascii="仿宋" w:eastAsia="仿宋" w:hAnsi="仿宋" w:hint="eastAsia"/>
          <w:sz w:val="30"/>
          <w:szCs w:val="30"/>
        </w:rPr>
      </w:pPr>
      <w:r w:rsidRPr="00232486">
        <w:rPr>
          <w:rFonts w:ascii="仿宋" w:eastAsia="仿宋" w:hAnsi="仿宋" w:hint="eastAsia"/>
          <w:sz w:val="30"/>
          <w:szCs w:val="30"/>
        </w:rPr>
        <w:t>GB 36894 危险化学品生产装置和储存设施风险基准</w:t>
      </w:r>
    </w:p>
    <w:p w14:paraId="20348CA9" w14:textId="77777777" w:rsidR="00232486" w:rsidRPr="00232486" w:rsidRDefault="00232486" w:rsidP="00232486">
      <w:pPr>
        <w:pStyle w:val="afe"/>
        <w:ind w:firstLine="600"/>
        <w:rPr>
          <w:rFonts w:ascii="仿宋" w:eastAsia="仿宋" w:hAnsi="仿宋" w:hint="eastAsia"/>
          <w:sz w:val="30"/>
          <w:szCs w:val="30"/>
        </w:rPr>
      </w:pPr>
      <w:r w:rsidRPr="00232486">
        <w:rPr>
          <w:rFonts w:ascii="仿宋" w:eastAsia="仿宋" w:hAnsi="仿宋"/>
          <w:sz w:val="30"/>
          <w:szCs w:val="30"/>
        </w:rPr>
        <w:lastRenderedPageBreak/>
        <w:t>GB</w:t>
      </w:r>
      <w:r w:rsidRPr="00232486">
        <w:rPr>
          <w:rFonts w:ascii="仿宋" w:eastAsia="仿宋" w:hAnsi="仿宋" w:hint="eastAsia"/>
          <w:sz w:val="30"/>
          <w:szCs w:val="30"/>
        </w:rPr>
        <w:t xml:space="preserve"> </w:t>
      </w:r>
      <w:r w:rsidRPr="00232486">
        <w:rPr>
          <w:rFonts w:ascii="仿宋" w:eastAsia="仿宋" w:hAnsi="仿宋"/>
          <w:sz w:val="30"/>
          <w:szCs w:val="30"/>
        </w:rPr>
        <w:t>45067</w:t>
      </w:r>
      <w:r w:rsidRPr="00232486">
        <w:rPr>
          <w:rFonts w:ascii="仿宋" w:eastAsia="仿宋" w:hAnsi="仿宋" w:hint="eastAsia"/>
          <w:sz w:val="30"/>
          <w:szCs w:val="30"/>
        </w:rPr>
        <w:t xml:space="preserve"> 特种设备重大事故隐患判定准则</w:t>
      </w:r>
    </w:p>
    <w:p w14:paraId="1B0505CA" w14:textId="77777777" w:rsidR="00232486" w:rsidRPr="00232486" w:rsidRDefault="00232486" w:rsidP="00232486">
      <w:pPr>
        <w:pStyle w:val="afe"/>
        <w:ind w:firstLine="600"/>
        <w:rPr>
          <w:rFonts w:ascii="仿宋" w:eastAsia="仿宋" w:hAnsi="仿宋" w:hint="eastAsia"/>
          <w:sz w:val="30"/>
          <w:szCs w:val="30"/>
        </w:rPr>
      </w:pPr>
      <w:r w:rsidRPr="00232486">
        <w:rPr>
          <w:rFonts w:ascii="仿宋" w:eastAsia="仿宋" w:hAnsi="仿宋"/>
          <w:sz w:val="30"/>
          <w:szCs w:val="30"/>
        </w:rPr>
        <w:t>DB31/T 1185</w:t>
      </w:r>
      <w:r w:rsidRPr="00232486">
        <w:rPr>
          <w:rFonts w:ascii="仿宋" w:eastAsia="仿宋" w:hAnsi="仿宋" w:hint="eastAsia"/>
          <w:sz w:val="30"/>
          <w:szCs w:val="30"/>
        </w:rPr>
        <w:t xml:space="preserve"> </w:t>
      </w:r>
      <w:r w:rsidRPr="00232486">
        <w:rPr>
          <w:rFonts w:ascii="仿宋" w:eastAsia="仿宋" w:hAnsi="仿宋"/>
          <w:sz w:val="30"/>
          <w:szCs w:val="30"/>
        </w:rPr>
        <w:t>特种设备双重预防体系要求</w:t>
      </w:r>
    </w:p>
    <w:p w14:paraId="03DB2E02" w14:textId="77777777" w:rsidR="003737C1" w:rsidRPr="002B2F70" w:rsidRDefault="003737C1" w:rsidP="003737C1">
      <w:pPr>
        <w:pStyle w:val="2"/>
        <w:spacing w:before="0" w:after="0" w:line="360" w:lineRule="auto"/>
        <w:ind w:firstLineChars="200" w:firstLine="643"/>
        <w:rPr>
          <w:rFonts w:ascii="仿宋" w:eastAsia="仿宋" w:hAnsi="仿宋" w:hint="eastAsia"/>
          <w:bCs w:val="0"/>
        </w:rPr>
      </w:pPr>
      <w:r w:rsidRPr="002B2F70">
        <w:rPr>
          <w:rFonts w:ascii="仿宋" w:eastAsia="仿宋" w:hAnsi="仿宋" w:hint="eastAsia"/>
          <w:bCs w:val="0"/>
        </w:rPr>
        <w:t>（</w:t>
      </w:r>
      <w:r w:rsidR="001F7461">
        <w:rPr>
          <w:rFonts w:ascii="仿宋" w:eastAsia="仿宋" w:hAnsi="仿宋" w:hint="eastAsia"/>
          <w:bCs w:val="0"/>
        </w:rPr>
        <w:t>三</w:t>
      </w:r>
      <w:r w:rsidRPr="002B2F70">
        <w:rPr>
          <w:rFonts w:ascii="仿宋" w:eastAsia="仿宋" w:hAnsi="仿宋" w:hint="eastAsia"/>
          <w:bCs w:val="0"/>
        </w:rPr>
        <w:t>）标准内容</w:t>
      </w:r>
    </w:p>
    <w:p w14:paraId="0A80BE99" w14:textId="3A6C45E5" w:rsidR="005B0EB9" w:rsidRPr="001A4ADE" w:rsidRDefault="003737C1" w:rsidP="008A2F9E">
      <w:pPr>
        <w:pStyle w:val="afe"/>
        <w:ind w:firstLine="600"/>
        <w:rPr>
          <w:rFonts w:ascii="仿宋" w:eastAsia="仿宋" w:hAnsi="仿宋" w:hint="eastAsia"/>
          <w:sz w:val="30"/>
          <w:szCs w:val="30"/>
        </w:rPr>
      </w:pPr>
      <w:r w:rsidRPr="001A4ADE">
        <w:rPr>
          <w:rFonts w:ascii="仿宋" w:eastAsia="仿宋" w:hAnsi="仿宋" w:hint="eastAsia"/>
          <w:sz w:val="30"/>
          <w:szCs w:val="30"/>
        </w:rPr>
        <w:t>本标准主要包括</w:t>
      </w:r>
      <w:r w:rsidR="005B0EB9" w:rsidRPr="001A4ADE">
        <w:rPr>
          <w:rFonts w:ascii="仿宋" w:eastAsia="仿宋" w:hAnsi="仿宋" w:hint="eastAsia"/>
          <w:sz w:val="30"/>
          <w:szCs w:val="30"/>
        </w:rPr>
        <w:t>范围</w:t>
      </w:r>
      <w:r w:rsidR="005B0EB9">
        <w:rPr>
          <w:rFonts w:ascii="仿宋" w:eastAsia="仿宋" w:hAnsi="仿宋" w:hint="eastAsia"/>
          <w:sz w:val="30"/>
          <w:szCs w:val="30"/>
        </w:rPr>
        <w:t>、</w:t>
      </w:r>
      <w:r w:rsidR="005B0EB9" w:rsidRPr="005B0EB9">
        <w:rPr>
          <w:rFonts w:ascii="仿宋" w:eastAsia="仿宋" w:hAnsi="仿宋" w:hint="eastAsia"/>
          <w:sz w:val="30"/>
          <w:szCs w:val="30"/>
        </w:rPr>
        <w:t>规范性引用文件</w:t>
      </w:r>
      <w:r w:rsidR="005B0EB9">
        <w:rPr>
          <w:rFonts w:ascii="仿宋" w:eastAsia="仿宋" w:hAnsi="仿宋" w:hint="eastAsia"/>
          <w:sz w:val="30"/>
          <w:szCs w:val="30"/>
        </w:rPr>
        <w:t>、</w:t>
      </w:r>
      <w:r w:rsidR="005B0EB9" w:rsidRPr="005B0EB9">
        <w:rPr>
          <w:rFonts w:ascii="仿宋" w:eastAsia="仿宋" w:hAnsi="仿宋" w:hint="eastAsia"/>
          <w:sz w:val="30"/>
          <w:szCs w:val="30"/>
        </w:rPr>
        <w:t>术语和定义</w:t>
      </w:r>
      <w:r w:rsidR="005B0EB9">
        <w:rPr>
          <w:rFonts w:ascii="仿宋" w:eastAsia="仿宋" w:hAnsi="仿宋" w:hint="eastAsia"/>
          <w:sz w:val="30"/>
          <w:szCs w:val="30"/>
        </w:rPr>
        <w:t>、</w:t>
      </w:r>
      <w:r w:rsidR="00160881">
        <w:rPr>
          <w:rFonts w:ascii="仿宋" w:eastAsia="仿宋" w:hAnsi="仿宋" w:hint="eastAsia"/>
          <w:sz w:val="30"/>
          <w:szCs w:val="30"/>
        </w:rPr>
        <w:t>设备风险及管控、区域风险评价。</w:t>
      </w:r>
    </w:p>
    <w:p w14:paraId="081CAC15" w14:textId="4DF7E72B" w:rsidR="005B0EB9" w:rsidRDefault="003737C1" w:rsidP="005B0EB9">
      <w:pPr>
        <w:spacing w:line="360" w:lineRule="auto"/>
        <w:ind w:firstLineChars="200" w:firstLine="600"/>
        <w:rPr>
          <w:rFonts w:ascii="仿宋" w:eastAsia="仿宋" w:hAnsi="仿宋" w:hint="eastAsia"/>
          <w:sz w:val="30"/>
          <w:szCs w:val="30"/>
        </w:rPr>
      </w:pPr>
      <w:r w:rsidRPr="001A4ADE">
        <w:rPr>
          <w:rFonts w:ascii="仿宋" w:eastAsia="仿宋" w:hAnsi="仿宋" w:hint="eastAsia"/>
          <w:sz w:val="30"/>
          <w:szCs w:val="30"/>
        </w:rPr>
        <w:t>范围部分规定了</w:t>
      </w:r>
      <w:r w:rsidR="00160881">
        <w:rPr>
          <w:rFonts w:ascii="仿宋" w:eastAsia="仿宋" w:hAnsi="仿宋" w:hint="eastAsia"/>
          <w:sz w:val="30"/>
          <w:szCs w:val="30"/>
        </w:rPr>
        <w:t>本标准</w:t>
      </w:r>
      <w:r w:rsidR="008A2F9E">
        <w:rPr>
          <w:rFonts w:ascii="仿宋" w:eastAsia="仿宋" w:hAnsi="仿宋" w:hint="eastAsia"/>
          <w:sz w:val="30"/>
          <w:szCs w:val="30"/>
        </w:rPr>
        <w:t>的</w:t>
      </w:r>
      <w:r w:rsidRPr="001A4ADE">
        <w:rPr>
          <w:rFonts w:ascii="仿宋" w:eastAsia="仿宋" w:hAnsi="仿宋" w:hint="eastAsia"/>
          <w:sz w:val="30"/>
          <w:szCs w:val="30"/>
        </w:rPr>
        <w:t>适用范围。</w:t>
      </w:r>
    </w:p>
    <w:p w14:paraId="4F025375" w14:textId="77777777" w:rsidR="005B0EB9" w:rsidRPr="001A4ADE" w:rsidRDefault="005B0EB9" w:rsidP="005B0EB9">
      <w:pPr>
        <w:spacing w:line="360" w:lineRule="auto"/>
        <w:ind w:firstLineChars="200" w:firstLine="600"/>
        <w:rPr>
          <w:rFonts w:ascii="仿宋" w:eastAsia="仿宋" w:hAnsi="仿宋" w:hint="eastAsia"/>
          <w:sz w:val="30"/>
          <w:szCs w:val="30"/>
        </w:rPr>
      </w:pPr>
      <w:r w:rsidRPr="001A4ADE">
        <w:rPr>
          <w:rFonts w:ascii="仿宋" w:eastAsia="仿宋" w:hAnsi="仿宋" w:hint="eastAsia"/>
          <w:sz w:val="30"/>
          <w:szCs w:val="30"/>
        </w:rPr>
        <w:t>规范性引用文件是本定标准编制过程中</w:t>
      </w:r>
      <w:r>
        <w:rPr>
          <w:rFonts w:ascii="仿宋" w:eastAsia="仿宋" w:hAnsi="仿宋" w:hint="eastAsia"/>
          <w:sz w:val="30"/>
          <w:szCs w:val="30"/>
        </w:rPr>
        <w:t>引用</w:t>
      </w:r>
      <w:r w:rsidRPr="001A4ADE">
        <w:rPr>
          <w:rFonts w:ascii="仿宋" w:eastAsia="仿宋" w:hAnsi="仿宋" w:hint="eastAsia"/>
          <w:sz w:val="30"/>
          <w:szCs w:val="30"/>
        </w:rPr>
        <w:t>的相关技术</w:t>
      </w:r>
      <w:r w:rsidR="0042327D">
        <w:rPr>
          <w:rFonts w:ascii="仿宋" w:eastAsia="仿宋" w:hAnsi="仿宋" w:hint="eastAsia"/>
          <w:sz w:val="30"/>
          <w:szCs w:val="30"/>
        </w:rPr>
        <w:t>文件</w:t>
      </w:r>
      <w:r w:rsidRPr="001A4ADE">
        <w:rPr>
          <w:rFonts w:ascii="仿宋" w:eastAsia="仿宋" w:hAnsi="仿宋" w:hint="eastAsia"/>
          <w:sz w:val="30"/>
          <w:szCs w:val="30"/>
        </w:rPr>
        <w:t>。</w:t>
      </w:r>
    </w:p>
    <w:p w14:paraId="27488154" w14:textId="77777777" w:rsidR="003737C1" w:rsidRPr="001A4ADE" w:rsidRDefault="003737C1" w:rsidP="003737C1">
      <w:pPr>
        <w:spacing w:line="360" w:lineRule="auto"/>
        <w:ind w:firstLineChars="200" w:firstLine="600"/>
        <w:rPr>
          <w:rFonts w:ascii="仿宋" w:eastAsia="仿宋" w:hAnsi="仿宋" w:hint="eastAsia"/>
          <w:sz w:val="30"/>
          <w:szCs w:val="30"/>
        </w:rPr>
      </w:pPr>
      <w:r w:rsidRPr="001A4ADE">
        <w:rPr>
          <w:rFonts w:ascii="仿宋" w:eastAsia="仿宋" w:hAnsi="仿宋" w:hint="eastAsia"/>
          <w:sz w:val="30"/>
          <w:szCs w:val="30"/>
        </w:rPr>
        <w:t>术语和定义部分规定了本标准中涉及到的相关术语以及术语的定义。</w:t>
      </w:r>
    </w:p>
    <w:p w14:paraId="2396347B" w14:textId="49864BEC" w:rsidR="005B0EB9" w:rsidRDefault="00232486" w:rsidP="00232486">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设备风险及管控部分规定了特种设备风险分级管控的</w:t>
      </w:r>
      <w:r w:rsidRPr="00232486">
        <w:rPr>
          <w:rFonts w:ascii="仿宋" w:eastAsia="仿宋" w:hAnsi="仿宋" w:hint="eastAsia"/>
          <w:sz w:val="30"/>
          <w:szCs w:val="30"/>
        </w:rPr>
        <w:t>基本要求</w:t>
      </w:r>
      <w:r>
        <w:rPr>
          <w:rFonts w:ascii="仿宋" w:eastAsia="仿宋" w:hAnsi="仿宋" w:hint="eastAsia"/>
          <w:sz w:val="30"/>
          <w:szCs w:val="30"/>
        </w:rPr>
        <w:t>、</w:t>
      </w:r>
      <w:r w:rsidRPr="00232486">
        <w:rPr>
          <w:rFonts w:ascii="仿宋" w:eastAsia="仿宋" w:hAnsi="仿宋" w:hint="eastAsia"/>
          <w:sz w:val="30"/>
          <w:szCs w:val="30"/>
        </w:rPr>
        <w:t>机构设置及职责要求</w:t>
      </w:r>
      <w:r>
        <w:rPr>
          <w:rFonts w:ascii="仿宋" w:eastAsia="仿宋" w:hAnsi="仿宋" w:hint="eastAsia"/>
          <w:sz w:val="30"/>
          <w:szCs w:val="30"/>
        </w:rPr>
        <w:t>、</w:t>
      </w:r>
      <w:r w:rsidRPr="00232486">
        <w:rPr>
          <w:rFonts w:ascii="仿宋" w:eastAsia="仿宋" w:hAnsi="仿宋" w:hint="eastAsia"/>
          <w:sz w:val="30"/>
          <w:szCs w:val="30"/>
        </w:rPr>
        <w:t>风险分级管控的程序及内容</w:t>
      </w:r>
      <w:r>
        <w:rPr>
          <w:rFonts w:ascii="仿宋" w:eastAsia="仿宋" w:hAnsi="仿宋" w:hint="eastAsia"/>
          <w:sz w:val="30"/>
          <w:szCs w:val="30"/>
        </w:rPr>
        <w:t>、</w:t>
      </w:r>
      <w:r w:rsidRPr="00232486">
        <w:rPr>
          <w:rFonts w:ascii="仿宋" w:eastAsia="仿宋" w:hAnsi="仿宋" w:hint="eastAsia"/>
          <w:sz w:val="30"/>
          <w:szCs w:val="30"/>
        </w:rPr>
        <w:t>风险告知</w:t>
      </w:r>
      <w:r>
        <w:rPr>
          <w:rFonts w:ascii="仿宋" w:eastAsia="仿宋" w:hAnsi="仿宋" w:hint="eastAsia"/>
          <w:sz w:val="30"/>
          <w:szCs w:val="30"/>
        </w:rPr>
        <w:t>、</w:t>
      </w:r>
      <w:r w:rsidRPr="00232486">
        <w:rPr>
          <w:rFonts w:ascii="仿宋" w:eastAsia="仿宋" w:hAnsi="仿宋" w:hint="eastAsia"/>
          <w:sz w:val="30"/>
          <w:szCs w:val="30"/>
        </w:rPr>
        <w:t>持续改进</w:t>
      </w:r>
      <w:r>
        <w:rPr>
          <w:rFonts w:ascii="仿宋" w:eastAsia="仿宋" w:hAnsi="仿宋" w:hint="eastAsia"/>
          <w:sz w:val="30"/>
          <w:szCs w:val="30"/>
        </w:rPr>
        <w:t>和</w:t>
      </w:r>
      <w:r w:rsidRPr="00232486">
        <w:rPr>
          <w:rFonts w:ascii="仿宋" w:eastAsia="仿宋" w:hAnsi="仿宋" w:hint="eastAsia"/>
          <w:sz w:val="30"/>
          <w:szCs w:val="30"/>
        </w:rPr>
        <w:t>档案管理</w:t>
      </w:r>
      <w:r w:rsidR="005B0EB9">
        <w:rPr>
          <w:rFonts w:ascii="仿宋" w:eastAsia="仿宋" w:hAnsi="仿宋" w:hint="eastAsia"/>
          <w:sz w:val="30"/>
          <w:szCs w:val="30"/>
        </w:rPr>
        <w:t>。</w:t>
      </w:r>
    </w:p>
    <w:p w14:paraId="429772E2" w14:textId="67C5811B" w:rsidR="00342AB5" w:rsidRDefault="00342AB5" w:rsidP="00342AB5">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区域风险评价部分规定了</w:t>
      </w:r>
      <w:r w:rsidRPr="00342AB5">
        <w:rPr>
          <w:rFonts w:ascii="仿宋" w:eastAsia="仿宋" w:hAnsi="仿宋" w:hint="eastAsia"/>
          <w:sz w:val="30"/>
          <w:szCs w:val="30"/>
        </w:rPr>
        <w:t>区域风险指标体系</w:t>
      </w:r>
      <w:r>
        <w:rPr>
          <w:rFonts w:ascii="仿宋" w:eastAsia="仿宋" w:hAnsi="仿宋" w:hint="eastAsia"/>
          <w:sz w:val="30"/>
          <w:szCs w:val="30"/>
        </w:rPr>
        <w:t>、</w:t>
      </w:r>
      <w:r w:rsidRPr="00342AB5">
        <w:rPr>
          <w:rFonts w:ascii="仿宋" w:eastAsia="仿宋" w:hAnsi="仿宋" w:hint="eastAsia"/>
          <w:sz w:val="30"/>
          <w:szCs w:val="30"/>
        </w:rPr>
        <w:t>特种设备指标</w:t>
      </w:r>
      <w:r w:rsidRPr="00342AB5">
        <w:rPr>
          <w:rFonts w:ascii="仿宋" w:eastAsia="仿宋" w:hAnsi="仿宋" w:hint="eastAsia"/>
          <w:sz w:val="30"/>
          <w:szCs w:val="30"/>
        </w:rPr>
        <w:tab/>
        <w:t>安全管理指标</w:t>
      </w:r>
      <w:r>
        <w:rPr>
          <w:rFonts w:ascii="仿宋" w:eastAsia="仿宋" w:hAnsi="仿宋" w:hint="eastAsia"/>
          <w:sz w:val="30"/>
          <w:szCs w:val="30"/>
        </w:rPr>
        <w:t>、</w:t>
      </w:r>
      <w:r w:rsidRPr="00342AB5">
        <w:rPr>
          <w:rFonts w:ascii="仿宋" w:eastAsia="仿宋" w:hAnsi="仿宋" w:hint="eastAsia"/>
          <w:sz w:val="30"/>
          <w:szCs w:val="30"/>
        </w:rPr>
        <w:t>安全监管指标</w:t>
      </w:r>
      <w:r>
        <w:rPr>
          <w:rFonts w:ascii="仿宋" w:eastAsia="仿宋" w:hAnsi="仿宋" w:hint="eastAsia"/>
          <w:sz w:val="30"/>
          <w:szCs w:val="30"/>
        </w:rPr>
        <w:t>和</w:t>
      </w:r>
      <w:r w:rsidRPr="00342AB5">
        <w:rPr>
          <w:rFonts w:ascii="仿宋" w:eastAsia="仿宋" w:hAnsi="仿宋" w:hint="eastAsia"/>
          <w:sz w:val="30"/>
          <w:szCs w:val="30"/>
        </w:rPr>
        <w:t>持续改进</w:t>
      </w:r>
      <w:r>
        <w:rPr>
          <w:rFonts w:ascii="仿宋" w:eastAsia="仿宋" w:hAnsi="仿宋" w:hint="eastAsia"/>
          <w:sz w:val="30"/>
          <w:szCs w:val="30"/>
        </w:rPr>
        <w:t>。</w:t>
      </w:r>
    </w:p>
    <w:p w14:paraId="45D473C3" w14:textId="0E6BD264" w:rsidR="00035A6C" w:rsidRPr="00035A6C" w:rsidRDefault="00035A6C" w:rsidP="00035A6C">
      <w:pPr>
        <w:spacing w:line="360" w:lineRule="auto"/>
        <w:ind w:firstLineChars="200" w:firstLine="600"/>
        <w:rPr>
          <w:rFonts w:ascii="仿宋" w:eastAsia="仿宋" w:hAnsi="仿宋" w:hint="eastAsia"/>
          <w:sz w:val="30"/>
          <w:szCs w:val="30"/>
        </w:rPr>
      </w:pPr>
      <w:r w:rsidRPr="001A4ADE">
        <w:rPr>
          <w:rFonts w:ascii="仿宋" w:eastAsia="仿宋" w:hAnsi="仿宋" w:hint="eastAsia"/>
          <w:sz w:val="30"/>
          <w:szCs w:val="30"/>
        </w:rPr>
        <w:t>附录内容</w:t>
      </w:r>
      <w:r>
        <w:rPr>
          <w:rFonts w:ascii="仿宋" w:eastAsia="仿宋" w:hAnsi="仿宋" w:hint="eastAsia"/>
          <w:sz w:val="30"/>
          <w:szCs w:val="30"/>
        </w:rPr>
        <w:t>包含</w:t>
      </w:r>
      <w:r w:rsidRPr="00035A6C">
        <w:rPr>
          <w:rFonts w:ascii="仿宋" w:eastAsia="仿宋" w:hAnsi="仿宋" w:hint="eastAsia"/>
          <w:sz w:val="30"/>
          <w:szCs w:val="30"/>
        </w:rPr>
        <w:t>特种设备清单、作业清单、风险分级管控清单</w:t>
      </w:r>
      <w:r>
        <w:rPr>
          <w:rFonts w:ascii="仿宋" w:eastAsia="仿宋" w:hAnsi="仿宋" w:hint="eastAsia"/>
          <w:sz w:val="30"/>
          <w:szCs w:val="30"/>
        </w:rPr>
        <w:t>、</w:t>
      </w:r>
    </w:p>
    <w:p w14:paraId="798B0189" w14:textId="423B37CE" w:rsidR="00035A6C" w:rsidRDefault="00035A6C" w:rsidP="00C200BB">
      <w:pPr>
        <w:spacing w:line="360" w:lineRule="auto"/>
        <w:rPr>
          <w:rFonts w:ascii="仿宋" w:eastAsia="仿宋" w:hAnsi="仿宋" w:hint="eastAsia"/>
          <w:sz w:val="30"/>
          <w:szCs w:val="30"/>
        </w:rPr>
      </w:pPr>
      <w:r w:rsidRPr="00035A6C">
        <w:rPr>
          <w:rFonts w:ascii="仿宋" w:eastAsia="仿宋" w:hAnsi="仿宋" w:hint="eastAsia"/>
          <w:sz w:val="30"/>
          <w:szCs w:val="30"/>
        </w:rPr>
        <w:t>特种设备常见风险事件分析及典型管控措施</w:t>
      </w:r>
      <w:r>
        <w:rPr>
          <w:rFonts w:ascii="仿宋" w:eastAsia="仿宋" w:hAnsi="仿宋" w:hint="eastAsia"/>
          <w:sz w:val="30"/>
          <w:szCs w:val="30"/>
        </w:rPr>
        <w:t>和</w:t>
      </w:r>
      <w:r w:rsidRPr="00035A6C">
        <w:rPr>
          <w:rFonts w:ascii="仿宋" w:eastAsia="仿宋" w:hAnsi="仿宋" w:hint="eastAsia"/>
          <w:sz w:val="30"/>
          <w:szCs w:val="30"/>
        </w:rPr>
        <w:t>风险辨识方法</w:t>
      </w:r>
      <w:r>
        <w:rPr>
          <w:rFonts w:ascii="仿宋" w:eastAsia="仿宋" w:hAnsi="仿宋" w:hint="eastAsia"/>
          <w:sz w:val="30"/>
          <w:szCs w:val="30"/>
        </w:rPr>
        <w:t>三个资料性附录以及</w:t>
      </w:r>
      <w:r w:rsidRPr="00035A6C">
        <w:rPr>
          <w:rFonts w:ascii="仿宋" w:eastAsia="仿宋" w:hAnsi="仿宋" w:hint="eastAsia"/>
          <w:sz w:val="30"/>
          <w:szCs w:val="30"/>
        </w:rPr>
        <w:t>评价指标的推荐权重表</w:t>
      </w:r>
      <w:r>
        <w:rPr>
          <w:rFonts w:ascii="仿宋" w:eastAsia="仿宋" w:hAnsi="仿宋" w:hint="eastAsia"/>
          <w:sz w:val="30"/>
          <w:szCs w:val="30"/>
        </w:rPr>
        <w:t>和</w:t>
      </w:r>
      <w:r w:rsidRPr="00035A6C">
        <w:rPr>
          <w:rFonts w:ascii="仿宋" w:eastAsia="仿宋" w:hAnsi="仿宋" w:hint="eastAsia"/>
          <w:sz w:val="30"/>
          <w:szCs w:val="30"/>
        </w:rPr>
        <w:t>区域风险评价指标计算</w:t>
      </w:r>
      <w:r>
        <w:rPr>
          <w:rFonts w:ascii="仿宋" w:eastAsia="仿宋" w:hAnsi="仿宋" w:hint="eastAsia"/>
          <w:sz w:val="30"/>
          <w:szCs w:val="30"/>
        </w:rPr>
        <w:t>两个规范性附录。</w:t>
      </w:r>
    </w:p>
    <w:p w14:paraId="3F8FCD40" w14:textId="77777777" w:rsidR="00BD651F" w:rsidRDefault="003737C1" w:rsidP="003737C1">
      <w:pPr>
        <w:pStyle w:val="2"/>
        <w:spacing w:before="0" w:after="0" w:line="360" w:lineRule="auto"/>
        <w:ind w:firstLineChars="200" w:firstLine="643"/>
        <w:rPr>
          <w:rFonts w:ascii="仿宋" w:eastAsia="仿宋" w:hAnsi="仿宋" w:hint="eastAsia"/>
          <w:bCs w:val="0"/>
        </w:rPr>
      </w:pPr>
      <w:r w:rsidRPr="002B2F70">
        <w:rPr>
          <w:rFonts w:ascii="仿宋" w:eastAsia="仿宋" w:hAnsi="仿宋" w:hint="eastAsia"/>
          <w:bCs w:val="0"/>
        </w:rPr>
        <w:t>（</w:t>
      </w:r>
      <w:r w:rsidR="001F7461">
        <w:rPr>
          <w:rFonts w:ascii="仿宋" w:eastAsia="仿宋" w:hAnsi="仿宋" w:hint="eastAsia"/>
          <w:bCs w:val="0"/>
        </w:rPr>
        <w:t>四</w:t>
      </w:r>
      <w:r w:rsidRPr="002B2F70">
        <w:rPr>
          <w:rFonts w:ascii="仿宋" w:eastAsia="仿宋" w:hAnsi="仿宋" w:hint="eastAsia"/>
          <w:bCs w:val="0"/>
        </w:rPr>
        <w:t>）</w:t>
      </w:r>
      <w:r w:rsidR="00035A6C">
        <w:rPr>
          <w:rFonts w:ascii="仿宋" w:eastAsia="仿宋" w:hAnsi="仿宋" w:hint="eastAsia"/>
          <w:bCs w:val="0"/>
        </w:rPr>
        <w:t>设备风险</w:t>
      </w:r>
      <w:r w:rsidR="00BD651F">
        <w:rPr>
          <w:rFonts w:ascii="仿宋" w:eastAsia="仿宋" w:hAnsi="仿宋" w:hint="eastAsia"/>
          <w:bCs w:val="0"/>
        </w:rPr>
        <w:t>分级管控</w:t>
      </w:r>
    </w:p>
    <w:p w14:paraId="21E413B2" w14:textId="3EF5D317" w:rsidR="00BD651F" w:rsidRPr="008A2F9E" w:rsidRDefault="001F7461" w:rsidP="00BD651F">
      <w:pPr>
        <w:rPr>
          <w:rFonts w:ascii="仿宋" w:eastAsia="仿宋" w:hAnsi="仿宋" w:hint="eastAsia"/>
          <w:b/>
          <w:bCs/>
          <w:sz w:val="30"/>
          <w:szCs w:val="30"/>
        </w:rPr>
      </w:pPr>
      <w:r>
        <w:rPr>
          <w:rFonts w:hint="eastAsia"/>
        </w:rPr>
        <w:t xml:space="preserve"> </w:t>
      </w:r>
      <w:r>
        <w:t xml:space="preserve">  </w:t>
      </w:r>
      <w:r w:rsidR="00C200BB" w:rsidRPr="00C200BB">
        <w:rPr>
          <w:rFonts w:ascii="仿宋" w:eastAsia="仿宋" w:hAnsi="仿宋" w:hint="eastAsia"/>
          <w:sz w:val="30"/>
          <w:szCs w:val="30"/>
        </w:rPr>
        <w:t>1.</w:t>
      </w:r>
      <w:r w:rsidR="00BD651F">
        <w:rPr>
          <w:rFonts w:ascii="仿宋" w:eastAsia="仿宋" w:hAnsi="仿宋" w:hint="eastAsia"/>
          <w:sz w:val="30"/>
          <w:szCs w:val="30"/>
        </w:rPr>
        <w:t xml:space="preserve"> </w:t>
      </w:r>
      <w:r w:rsidR="00BD651F" w:rsidRPr="001F7461">
        <w:rPr>
          <w:rFonts w:ascii="仿宋" w:eastAsia="仿宋" w:hAnsi="仿宋"/>
          <w:sz w:val="30"/>
          <w:szCs w:val="30"/>
        </w:rPr>
        <w:t>特种设备</w:t>
      </w:r>
      <w:r w:rsidR="00BD651F">
        <w:rPr>
          <w:rFonts w:ascii="仿宋" w:eastAsia="仿宋" w:hAnsi="仿宋"/>
          <w:sz w:val="30"/>
          <w:szCs w:val="30"/>
        </w:rPr>
        <w:t>在企业</w:t>
      </w:r>
      <w:r w:rsidR="00BD651F" w:rsidRPr="001F7461">
        <w:rPr>
          <w:rFonts w:ascii="仿宋" w:eastAsia="仿宋" w:hAnsi="仿宋"/>
          <w:sz w:val="30"/>
          <w:szCs w:val="30"/>
        </w:rPr>
        <w:t>安全</w:t>
      </w:r>
      <w:r w:rsidR="00BD651F">
        <w:rPr>
          <w:rFonts w:ascii="仿宋" w:eastAsia="仿宋" w:hAnsi="仿宋"/>
          <w:sz w:val="30"/>
          <w:szCs w:val="30"/>
        </w:rPr>
        <w:t>管理、检验检测、政府监管等方面基本</w:t>
      </w:r>
      <w:r w:rsidR="00BD651F">
        <w:rPr>
          <w:rFonts w:ascii="仿宋" w:eastAsia="仿宋" w:hAnsi="仿宋" w:hint="eastAsia"/>
          <w:sz w:val="30"/>
          <w:szCs w:val="30"/>
        </w:rPr>
        <w:t>一般</w:t>
      </w:r>
      <w:r w:rsidR="00BD651F">
        <w:rPr>
          <w:rFonts w:ascii="仿宋" w:eastAsia="仿宋" w:hAnsi="仿宋"/>
          <w:sz w:val="30"/>
          <w:szCs w:val="30"/>
        </w:rPr>
        <w:t>按照单台（套）的模式进行，因此标准中规定了风险</w:t>
      </w:r>
      <w:r w:rsidR="00BD651F">
        <w:rPr>
          <w:rFonts w:ascii="仿宋" w:eastAsia="仿宋" w:hAnsi="仿宋" w:hint="eastAsia"/>
          <w:sz w:val="30"/>
          <w:szCs w:val="30"/>
        </w:rPr>
        <w:t>辨识</w:t>
      </w:r>
      <w:r w:rsidR="00BD651F">
        <w:rPr>
          <w:rFonts w:ascii="仿宋" w:eastAsia="仿宋" w:hAnsi="仿宋" w:hint="eastAsia"/>
          <w:sz w:val="30"/>
          <w:szCs w:val="30"/>
        </w:rPr>
        <w:lastRenderedPageBreak/>
        <w:t>主要侧重于</w:t>
      </w:r>
      <w:r w:rsidR="00C200BB">
        <w:rPr>
          <w:rFonts w:ascii="仿宋" w:eastAsia="仿宋" w:hAnsi="仿宋" w:hint="eastAsia"/>
          <w:sz w:val="30"/>
          <w:szCs w:val="30"/>
        </w:rPr>
        <w:t>设备本体和部件部位，同时，特种设备作业（如开停车、检维修等）是事故发生的主要环节，虽然这些事故发生后并不一定属于特种设备事故，但是从风险辨识、分析的完整性来讲，仍旧把对作业环节的风险分析纳入特种设备风险分级管控中。</w:t>
      </w:r>
    </w:p>
    <w:p w14:paraId="1A457670" w14:textId="33931C87" w:rsidR="00BD651F" w:rsidRPr="001F7461" w:rsidRDefault="001F7461" w:rsidP="00C200BB">
      <w:r>
        <w:t xml:space="preserve">  </w:t>
      </w:r>
      <w:r w:rsidRPr="001F7461">
        <w:rPr>
          <w:rFonts w:ascii="仿宋" w:eastAsia="仿宋" w:hAnsi="仿宋"/>
          <w:sz w:val="30"/>
          <w:szCs w:val="30"/>
        </w:rPr>
        <w:t xml:space="preserve"> </w:t>
      </w:r>
      <w:r w:rsidR="00C200BB">
        <w:rPr>
          <w:rFonts w:ascii="仿宋" w:eastAsia="仿宋" w:hAnsi="仿宋" w:hint="eastAsia"/>
          <w:sz w:val="30"/>
          <w:szCs w:val="30"/>
        </w:rPr>
        <w:t xml:space="preserve"> 2. </w:t>
      </w:r>
      <w:r w:rsidR="00BD651F" w:rsidRPr="001F7461">
        <w:rPr>
          <w:rFonts w:ascii="仿宋" w:eastAsia="仿宋" w:hAnsi="仿宋"/>
          <w:sz w:val="30"/>
          <w:szCs w:val="30"/>
        </w:rPr>
        <w:t>风险评估方法很多，有定性的、有定量的，</w:t>
      </w:r>
      <w:r w:rsidR="00BD651F">
        <w:rPr>
          <w:rFonts w:ascii="仿宋" w:eastAsia="仿宋" w:hAnsi="仿宋"/>
          <w:sz w:val="30"/>
          <w:szCs w:val="30"/>
        </w:rPr>
        <w:t>不同的评估方法</w:t>
      </w:r>
      <w:r w:rsidR="00BD651F">
        <w:rPr>
          <w:rFonts w:ascii="仿宋" w:eastAsia="仿宋" w:hAnsi="仿宋" w:hint="eastAsia"/>
          <w:sz w:val="30"/>
          <w:szCs w:val="30"/>
        </w:rPr>
        <w:t>在评估总体思路上</w:t>
      </w:r>
      <w:r w:rsidR="00BD651F">
        <w:rPr>
          <w:rFonts w:ascii="仿宋" w:eastAsia="仿宋" w:hAnsi="仿宋"/>
          <w:sz w:val="30"/>
          <w:szCs w:val="30"/>
        </w:rPr>
        <w:t>基本一致，即基本都是根据事故发生的可能性和事故后果来确定，但是不同</w:t>
      </w:r>
      <w:r w:rsidR="00BD651F" w:rsidRPr="001F7461">
        <w:rPr>
          <w:rFonts w:ascii="仿宋" w:eastAsia="仿宋" w:hAnsi="仿宋"/>
          <w:sz w:val="30"/>
          <w:szCs w:val="30"/>
        </w:rPr>
        <w:t>方法</w:t>
      </w:r>
      <w:r w:rsidR="00BD651F">
        <w:rPr>
          <w:rFonts w:ascii="仿宋" w:eastAsia="仿宋" w:hAnsi="仿宋"/>
          <w:sz w:val="30"/>
          <w:szCs w:val="30"/>
        </w:rPr>
        <w:t>有不同的</w:t>
      </w:r>
      <w:r w:rsidR="00BD651F" w:rsidRPr="001F7461">
        <w:rPr>
          <w:rFonts w:ascii="仿宋" w:eastAsia="仿宋" w:hAnsi="仿宋"/>
          <w:sz w:val="30"/>
          <w:szCs w:val="30"/>
        </w:rPr>
        <w:t>特点</w:t>
      </w:r>
      <w:r w:rsidR="00BD651F">
        <w:rPr>
          <w:rFonts w:ascii="仿宋" w:eastAsia="仿宋" w:hAnsi="仿宋"/>
          <w:sz w:val="30"/>
          <w:szCs w:val="30"/>
        </w:rPr>
        <w:t>、应用范围和场合，对于同一个风险源，用不同的评估方法可能会得出不同的结果。此外，由于国内大部分企业刚刚开始接触风险评估技术，因此现阶段不宜采用很复杂的评估方法，故本标准中直接推荐采用风险矩阵评估法。考虑到有些企业自己有一套成熟的风险评估技术和方法，因此，标准中规定企业也可以根据自身的实际情况自行确定风险评估方法。</w:t>
      </w:r>
    </w:p>
    <w:p w14:paraId="737CFF68" w14:textId="4BB344B7" w:rsidR="00BD651F" w:rsidRPr="00BD651F" w:rsidRDefault="00C200BB" w:rsidP="001F7461">
      <w:pPr>
        <w:rPr>
          <w:rFonts w:ascii="仿宋" w:eastAsia="仿宋" w:hAnsi="仿宋" w:hint="eastAsia"/>
          <w:sz w:val="30"/>
          <w:szCs w:val="30"/>
        </w:rPr>
      </w:pPr>
      <w:r>
        <w:rPr>
          <w:rFonts w:ascii="仿宋" w:eastAsia="仿宋" w:hAnsi="仿宋" w:hint="eastAsia"/>
          <w:sz w:val="30"/>
          <w:szCs w:val="30"/>
        </w:rPr>
        <w:t xml:space="preserve">    3.特种设备风险分级管控工作推动中，要想能够顺利推进和实施，很重要的一个因素就是要</w:t>
      </w:r>
      <w:r w:rsidR="00735D0B">
        <w:rPr>
          <w:rFonts w:ascii="仿宋" w:eastAsia="仿宋" w:hAnsi="仿宋" w:hint="eastAsia"/>
          <w:sz w:val="30"/>
          <w:szCs w:val="30"/>
        </w:rPr>
        <w:t>得到单位负责人的重视和支持，根据以往推动实施的经验，只要一个单位的领导重视这项工作，那么这项工作推进就会事半功倍，反之，常会出现无疾而终的现象，因此本标准明确了风险分级管控的第一责任人是企业主要负责人。同时，由于此项工作是保证特种设备安全运行的重要抓手和手段，是一项需要长期持续开展的工作，因此在本标准中也明确了建章立制的要求，通过制度来保证这项工作的持续性和有效性。</w:t>
      </w:r>
    </w:p>
    <w:p w14:paraId="1A76FA5B" w14:textId="7A0BCCFF" w:rsidR="001F7461" w:rsidRPr="001F7461" w:rsidRDefault="001F7461" w:rsidP="001F7461">
      <w:r>
        <w:rPr>
          <w:rFonts w:hint="eastAsia"/>
        </w:rPr>
        <w:lastRenderedPageBreak/>
        <w:t xml:space="preserve"> </w:t>
      </w:r>
      <w:r>
        <w:t xml:space="preserve">   </w:t>
      </w:r>
    </w:p>
    <w:p w14:paraId="2017CF80" w14:textId="2088E879" w:rsidR="00035A6C" w:rsidRDefault="00035A6C" w:rsidP="003737C1">
      <w:pPr>
        <w:pStyle w:val="3"/>
        <w:spacing w:before="0" w:after="0" w:line="360" w:lineRule="auto"/>
        <w:ind w:firstLineChars="200" w:firstLine="602"/>
        <w:rPr>
          <w:rFonts w:ascii="仿宋" w:eastAsia="仿宋" w:hAnsi="仿宋" w:hint="eastAsia"/>
          <w:sz w:val="30"/>
          <w:szCs w:val="30"/>
        </w:rPr>
      </w:pPr>
      <w:r>
        <w:rPr>
          <w:rFonts w:ascii="仿宋" w:eastAsia="仿宋" w:hAnsi="仿宋" w:hint="eastAsia"/>
          <w:sz w:val="30"/>
          <w:szCs w:val="30"/>
        </w:rPr>
        <w:t>（五）区域风险评价</w:t>
      </w:r>
    </w:p>
    <w:p w14:paraId="74A0D211" w14:textId="1FADC47F" w:rsidR="00735D0B" w:rsidRDefault="001616B4" w:rsidP="00735D0B">
      <w:pPr>
        <w:spacing w:line="360" w:lineRule="auto"/>
        <w:ind w:firstLineChars="200" w:firstLine="600"/>
        <w:jc w:val="left"/>
        <w:rPr>
          <w:rFonts w:ascii="仿宋" w:eastAsia="仿宋" w:hAnsi="仿宋"/>
          <w:sz w:val="30"/>
          <w:szCs w:val="30"/>
        </w:rPr>
      </w:pPr>
      <w:r>
        <w:rPr>
          <w:rFonts w:ascii="仿宋" w:eastAsia="仿宋" w:hAnsi="仿宋" w:hint="eastAsia"/>
          <w:sz w:val="30"/>
          <w:szCs w:val="30"/>
        </w:rPr>
        <w:t>1.</w:t>
      </w:r>
      <w:r w:rsidR="00FE0FB2">
        <w:rPr>
          <w:rFonts w:ascii="仿宋" w:eastAsia="仿宋" w:hAnsi="仿宋" w:hint="eastAsia"/>
          <w:sz w:val="30"/>
          <w:szCs w:val="30"/>
        </w:rPr>
        <w:t>本标准中规定的区域风险评价指标体系共设有三个一级指标，每个一级指标下面设有2个二级指标。设备风险的确定方法是首先确定一个基础风险值，然后在基础风险值的基础上根据特种设备的具体情况，对风险值进行修正，</w:t>
      </w:r>
      <w:r>
        <w:rPr>
          <w:rFonts w:ascii="仿宋" w:eastAsia="仿宋" w:hAnsi="仿宋" w:hint="eastAsia"/>
          <w:sz w:val="30"/>
          <w:szCs w:val="30"/>
        </w:rPr>
        <w:t>一般来说设备参数越高、安全状况越差，则计算得到的设备风险值越高。由于承压类和机电类设备事故发生数量不一样，因此确定基础风险值时统计的周期也不一样，</w:t>
      </w:r>
      <w:r w:rsidR="00FE0FB2" w:rsidRPr="00FE0FB2">
        <w:rPr>
          <w:rFonts w:ascii="仿宋" w:eastAsia="仿宋" w:hAnsi="仿宋" w:hint="eastAsia"/>
          <w:sz w:val="30"/>
          <w:szCs w:val="30"/>
        </w:rPr>
        <w:t>机电类特种设备事故统计时段3年，承压类特种设备事故统计时段10年。</w:t>
      </w:r>
      <w:r w:rsidRPr="00FE0FB2">
        <w:rPr>
          <w:rFonts w:ascii="仿宋" w:eastAsia="仿宋" w:hAnsi="仿宋" w:hint="eastAsia"/>
          <w:sz w:val="30"/>
          <w:szCs w:val="30"/>
        </w:rPr>
        <w:t>基础风险值</w:t>
      </w:r>
      <w:r>
        <w:rPr>
          <w:rFonts w:ascii="仿宋" w:eastAsia="仿宋" w:hAnsi="仿宋" w:hint="eastAsia"/>
          <w:sz w:val="30"/>
          <w:szCs w:val="30"/>
        </w:rPr>
        <w:t>也不是固定不变，</w:t>
      </w:r>
      <w:r w:rsidRPr="00FE0FB2">
        <w:rPr>
          <w:rFonts w:ascii="仿宋" w:eastAsia="仿宋" w:hAnsi="仿宋" w:hint="eastAsia"/>
          <w:sz w:val="30"/>
          <w:szCs w:val="30"/>
        </w:rPr>
        <w:t>根据每年事故情况</w:t>
      </w:r>
      <w:r>
        <w:rPr>
          <w:rFonts w:ascii="仿宋" w:eastAsia="仿宋" w:hAnsi="仿宋" w:hint="eastAsia"/>
          <w:sz w:val="30"/>
          <w:szCs w:val="30"/>
        </w:rPr>
        <w:t>动态调整。</w:t>
      </w:r>
    </w:p>
    <w:p w14:paraId="4A0387A7" w14:textId="5B939CB8" w:rsidR="00FE0FB2" w:rsidRDefault="001616B4" w:rsidP="00735D0B">
      <w:pPr>
        <w:spacing w:line="360" w:lineRule="auto"/>
        <w:ind w:firstLineChars="200" w:firstLine="600"/>
        <w:jc w:val="left"/>
        <w:rPr>
          <w:rFonts w:ascii="仿宋" w:eastAsia="仿宋" w:hAnsi="仿宋"/>
          <w:sz w:val="30"/>
          <w:szCs w:val="30"/>
        </w:rPr>
      </w:pPr>
      <w:r>
        <w:rPr>
          <w:rFonts w:ascii="仿宋" w:eastAsia="仿宋" w:hAnsi="仿宋" w:hint="eastAsia"/>
          <w:sz w:val="30"/>
          <w:szCs w:val="30"/>
        </w:rPr>
        <w:t>2.对于安全管理指标，主要依据《特种设备安全管理评价导则》的评价结果进行，为保证结果的真实可靠，规定了重点单位应以复核的结果为准，一般企业可采信自评结果。考虑到每个街镇情况不一样，标准中规定了当区域内重点企业较少时的处理方法。</w:t>
      </w:r>
    </w:p>
    <w:p w14:paraId="4E478459" w14:textId="1E58AF81" w:rsidR="001616B4" w:rsidRPr="001616B4" w:rsidRDefault="001616B4" w:rsidP="001616B4">
      <w:pPr>
        <w:pStyle w:val="a4"/>
        <w:numPr>
          <w:ilvl w:val="0"/>
          <w:numId w:val="0"/>
        </w:numPr>
        <w:ind w:firstLine="567"/>
        <w:rPr>
          <w:rFonts w:ascii="仿宋" w:eastAsia="仿宋" w:hAnsi="仿宋"/>
          <w:sz w:val="30"/>
          <w:szCs w:val="30"/>
        </w:rPr>
      </w:pPr>
      <w:r>
        <w:rPr>
          <w:rFonts w:ascii="仿宋" w:eastAsia="仿宋" w:hAnsi="仿宋" w:hint="eastAsia"/>
          <w:sz w:val="30"/>
          <w:szCs w:val="30"/>
        </w:rPr>
        <w:t>3.</w:t>
      </w:r>
      <w:r w:rsidR="000818B5">
        <w:rPr>
          <w:rFonts w:ascii="仿宋" w:eastAsia="仿宋" w:hAnsi="仿宋" w:hint="eastAsia"/>
          <w:sz w:val="30"/>
          <w:szCs w:val="30"/>
        </w:rPr>
        <w:t>一般来说，区域内监管部门监管策略正确、监管能力强、监管措施得当，则辖区内特种设备风险会小一些，而政府对特种设备安全监管的考核结果，一定程度上反映了区域内特种设备安全监管的水平，因此在确定监管指标值时直接引用每年上海市局对区局的考核结果</w:t>
      </w:r>
      <w:r w:rsidRPr="001616B4">
        <w:rPr>
          <w:rFonts w:ascii="仿宋" w:eastAsia="仿宋" w:hAnsi="仿宋" w:hint="eastAsia"/>
          <w:sz w:val="30"/>
          <w:szCs w:val="30"/>
        </w:rPr>
        <w:t>。</w:t>
      </w:r>
      <w:r w:rsidR="000818B5">
        <w:rPr>
          <w:rFonts w:ascii="仿宋" w:eastAsia="仿宋" w:hAnsi="仿宋" w:hint="eastAsia"/>
          <w:sz w:val="30"/>
          <w:szCs w:val="30"/>
        </w:rPr>
        <w:t>此外，特种设备检验数据时比较客观的数据，此数据也直接反映了区域风险的情况。</w:t>
      </w:r>
    </w:p>
    <w:p w14:paraId="4AC1F131" w14:textId="28AD1E07" w:rsidR="00735D0B" w:rsidRPr="001616B4" w:rsidRDefault="00735D0B" w:rsidP="00735D0B">
      <w:pPr>
        <w:spacing w:line="360" w:lineRule="auto"/>
        <w:ind w:firstLineChars="200" w:firstLine="600"/>
        <w:jc w:val="left"/>
        <w:rPr>
          <w:rFonts w:ascii="仿宋" w:eastAsia="仿宋" w:hAnsi="仿宋" w:hint="eastAsia"/>
          <w:sz w:val="30"/>
          <w:szCs w:val="30"/>
        </w:rPr>
      </w:pPr>
    </w:p>
    <w:p w14:paraId="2CC6580D" w14:textId="047655B0" w:rsidR="001F7461" w:rsidRPr="00735D0B" w:rsidRDefault="001F7461" w:rsidP="001F7461">
      <w:pPr>
        <w:spacing w:line="360" w:lineRule="auto"/>
        <w:ind w:firstLineChars="200" w:firstLine="600"/>
        <w:rPr>
          <w:rFonts w:ascii="仿宋" w:eastAsia="仿宋" w:hAnsi="仿宋" w:hint="eastAsia"/>
          <w:sz w:val="30"/>
          <w:szCs w:val="30"/>
        </w:rPr>
      </w:pPr>
    </w:p>
    <w:p w14:paraId="502CC490" w14:textId="77777777" w:rsidR="003737C1" w:rsidRPr="0069330B" w:rsidRDefault="003737C1" w:rsidP="003737C1">
      <w:pPr>
        <w:pStyle w:val="1"/>
        <w:spacing w:before="0" w:after="0" w:line="360" w:lineRule="auto"/>
        <w:ind w:firstLineChars="200" w:firstLine="643"/>
        <w:rPr>
          <w:rFonts w:ascii="黑体" w:eastAsia="黑体" w:hAnsi="黑体" w:hint="eastAsia"/>
          <w:bCs w:val="0"/>
          <w:sz w:val="32"/>
          <w:szCs w:val="32"/>
        </w:rPr>
      </w:pPr>
      <w:bookmarkStart w:id="9" w:name="_Toc124175565"/>
      <w:bookmarkStart w:id="10" w:name="_Toc130154626"/>
      <w:bookmarkStart w:id="11" w:name="_Toc130154635"/>
      <w:r w:rsidRPr="0069330B">
        <w:rPr>
          <w:rFonts w:ascii="黑体" w:eastAsia="黑体" w:hAnsi="黑体"/>
          <w:bCs w:val="0"/>
          <w:sz w:val="32"/>
          <w:szCs w:val="32"/>
        </w:rPr>
        <w:t>五、重大分歧意见的处理结果及理由</w:t>
      </w:r>
      <w:bookmarkEnd w:id="9"/>
      <w:bookmarkEnd w:id="10"/>
      <w:bookmarkEnd w:id="11"/>
    </w:p>
    <w:p w14:paraId="607DA57C" w14:textId="77777777" w:rsidR="003737C1" w:rsidRPr="001A4ADE" w:rsidRDefault="003737C1" w:rsidP="003737C1">
      <w:pPr>
        <w:spacing w:line="360" w:lineRule="auto"/>
        <w:ind w:firstLineChars="200" w:firstLine="600"/>
        <w:jc w:val="left"/>
        <w:rPr>
          <w:rFonts w:ascii="仿宋" w:eastAsia="仿宋" w:hAnsi="仿宋" w:hint="eastAsia"/>
          <w:sz w:val="30"/>
          <w:szCs w:val="30"/>
        </w:rPr>
      </w:pPr>
      <w:r w:rsidRPr="001A4ADE">
        <w:rPr>
          <w:rFonts w:ascii="仿宋" w:eastAsia="仿宋" w:hAnsi="仿宋"/>
          <w:sz w:val="30"/>
          <w:szCs w:val="30"/>
        </w:rPr>
        <w:t>本标准进行意见征询和专家咨询会</w:t>
      </w:r>
      <w:r w:rsidRPr="001A4ADE">
        <w:rPr>
          <w:rFonts w:ascii="仿宋" w:eastAsia="仿宋" w:hAnsi="仿宋" w:hint="eastAsia"/>
          <w:sz w:val="30"/>
          <w:szCs w:val="30"/>
        </w:rPr>
        <w:t>，无重大分歧意见</w:t>
      </w:r>
      <w:r w:rsidRPr="001A4ADE">
        <w:rPr>
          <w:rFonts w:ascii="仿宋" w:eastAsia="仿宋" w:hAnsi="仿宋"/>
          <w:sz w:val="30"/>
          <w:szCs w:val="30"/>
        </w:rPr>
        <w:t>。</w:t>
      </w:r>
    </w:p>
    <w:p w14:paraId="4F426E0C" w14:textId="77777777" w:rsidR="003737C1" w:rsidRPr="0069330B" w:rsidRDefault="003737C1" w:rsidP="003737C1">
      <w:pPr>
        <w:pStyle w:val="1"/>
        <w:spacing w:before="0" w:after="0" w:line="360" w:lineRule="auto"/>
        <w:ind w:firstLineChars="200" w:firstLine="643"/>
        <w:rPr>
          <w:rFonts w:ascii="黑体" w:eastAsia="黑体" w:hAnsi="黑体" w:hint="eastAsia"/>
          <w:bCs w:val="0"/>
          <w:sz w:val="32"/>
          <w:szCs w:val="32"/>
        </w:rPr>
      </w:pPr>
      <w:r>
        <w:rPr>
          <w:rFonts w:ascii="黑体" w:eastAsia="黑体" w:hAnsi="黑体" w:hint="eastAsia"/>
          <w:bCs w:val="0"/>
          <w:sz w:val="32"/>
          <w:szCs w:val="32"/>
        </w:rPr>
        <w:t>六</w:t>
      </w:r>
      <w:r w:rsidRPr="0069330B">
        <w:rPr>
          <w:rFonts w:ascii="黑体" w:eastAsia="黑体" w:hAnsi="黑体"/>
          <w:bCs w:val="0"/>
          <w:sz w:val="32"/>
          <w:szCs w:val="32"/>
        </w:rPr>
        <w:t>、</w:t>
      </w:r>
      <w:r w:rsidRPr="000D50B5">
        <w:rPr>
          <w:rFonts w:ascii="黑体" w:eastAsia="黑体" w:hAnsi="黑体" w:hint="eastAsia"/>
          <w:bCs w:val="0"/>
          <w:sz w:val="32"/>
          <w:szCs w:val="32"/>
        </w:rPr>
        <w:t>与国内外同类标准技术内容的对比情况</w:t>
      </w:r>
    </w:p>
    <w:p w14:paraId="4284A0B2" w14:textId="77777777" w:rsidR="003737C1" w:rsidRPr="001A4ADE" w:rsidRDefault="003737C1" w:rsidP="003737C1">
      <w:pPr>
        <w:spacing w:line="360" w:lineRule="auto"/>
        <w:ind w:firstLineChars="200" w:firstLine="600"/>
        <w:jc w:val="left"/>
        <w:rPr>
          <w:rFonts w:ascii="仿宋" w:eastAsia="仿宋" w:hAnsi="仿宋" w:hint="eastAsia"/>
          <w:sz w:val="30"/>
          <w:szCs w:val="30"/>
        </w:rPr>
      </w:pPr>
      <w:r w:rsidRPr="001A4ADE">
        <w:rPr>
          <w:rFonts w:ascii="仿宋" w:eastAsia="仿宋" w:hAnsi="仿宋" w:hint="eastAsia"/>
          <w:sz w:val="30"/>
          <w:szCs w:val="30"/>
        </w:rPr>
        <w:t>经检索，国内外未见同类标准</w:t>
      </w:r>
      <w:r w:rsidRPr="001A4ADE">
        <w:rPr>
          <w:rFonts w:ascii="仿宋" w:eastAsia="仿宋" w:hAnsi="仿宋"/>
          <w:sz w:val="30"/>
          <w:szCs w:val="30"/>
        </w:rPr>
        <w:t>。</w:t>
      </w:r>
    </w:p>
    <w:p w14:paraId="75159A70" w14:textId="77777777" w:rsidR="003737C1" w:rsidRPr="0069330B" w:rsidRDefault="003737C1" w:rsidP="003737C1">
      <w:pPr>
        <w:pStyle w:val="1"/>
        <w:spacing w:before="0" w:after="0" w:line="360" w:lineRule="auto"/>
        <w:ind w:firstLineChars="200" w:firstLine="643"/>
        <w:rPr>
          <w:rFonts w:ascii="黑体" w:eastAsia="黑体" w:hAnsi="黑体" w:hint="eastAsia"/>
          <w:bCs w:val="0"/>
          <w:sz w:val="32"/>
          <w:szCs w:val="32"/>
        </w:rPr>
      </w:pPr>
      <w:r>
        <w:rPr>
          <w:rFonts w:ascii="黑体" w:eastAsia="黑体" w:hAnsi="黑体" w:hint="eastAsia"/>
          <w:bCs w:val="0"/>
          <w:sz w:val="32"/>
          <w:szCs w:val="32"/>
        </w:rPr>
        <w:t>七</w:t>
      </w:r>
      <w:r w:rsidRPr="0069330B">
        <w:rPr>
          <w:rFonts w:ascii="黑体" w:eastAsia="黑体" w:hAnsi="黑体"/>
          <w:bCs w:val="0"/>
          <w:sz w:val="32"/>
          <w:szCs w:val="32"/>
        </w:rPr>
        <w:t>、</w:t>
      </w:r>
      <w:r w:rsidRPr="000D50B5">
        <w:rPr>
          <w:rFonts w:ascii="黑体" w:eastAsia="黑体" w:hAnsi="黑体" w:hint="eastAsia"/>
          <w:bCs w:val="0"/>
          <w:sz w:val="32"/>
          <w:szCs w:val="32"/>
        </w:rPr>
        <w:t>与有关法律、行政法规及相关标准的关系</w:t>
      </w:r>
    </w:p>
    <w:p w14:paraId="58D2A95B" w14:textId="77777777" w:rsidR="003737C1" w:rsidRPr="001A4ADE" w:rsidRDefault="003737C1" w:rsidP="003737C1">
      <w:pPr>
        <w:spacing w:line="360" w:lineRule="auto"/>
        <w:ind w:firstLineChars="200" w:firstLine="600"/>
        <w:jc w:val="left"/>
        <w:rPr>
          <w:rFonts w:ascii="仿宋" w:eastAsia="仿宋" w:hAnsi="仿宋" w:hint="eastAsia"/>
          <w:sz w:val="30"/>
          <w:szCs w:val="30"/>
        </w:rPr>
      </w:pPr>
      <w:r w:rsidRPr="001A4ADE">
        <w:rPr>
          <w:rFonts w:ascii="仿宋" w:eastAsia="仿宋" w:hAnsi="仿宋" w:hint="eastAsia"/>
          <w:sz w:val="30"/>
          <w:szCs w:val="30"/>
        </w:rPr>
        <w:t>本标准涉及的特种设备，以及特种设备的安全管理和安全监管工作均遵循《中华人民共和国特种设备安全法》、《特种设备使用管理规则》等法律法规的要求。作为上海市特种设备双重预防工作的系列标准之一，本标准的工作开展符合《中华人民共和国安全生产法》中对双重预防工作的要求，以及上海市特种设备双重预防工作的相关法规文件要求。</w:t>
      </w:r>
    </w:p>
    <w:p w14:paraId="24B7ECD7" w14:textId="77777777" w:rsidR="003737C1" w:rsidRPr="0069330B" w:rsidRDefault="003737C1" w:rsidP="003737C1">
      <w:pPr>
        <w:pStyle w:val="1"/>
        <w:spacing w:before="0" w:after="0" w:line="360" w:lineRule="auto"/>
        <w:ind w:firstLineChars="200" w:firstLine="643"/>
        <w:rPr>
          <w:rFonts w:ascii="黑体" w:eastAsia="黑体" w:hAnsi="黑体" w:hint="eastAsia"/>
          <w:bCs w:val="0"/>
          <w:sz w:val="32"/>
          <w:szCs w:val="32"/>
        </w:rPr>
      </w:pPr>
      <w:bookmarkStart w:id="12" w:name="_Toc124175566"/>
      <w:bookmarkStart w:id="13" w:name="_Toc130154627"/>
      <w:bookmarkStart w:id="14" w:name="_Toc130154636"/>
      <w:r>
        <w:rPr>
          <w:rFonts w:ascii="黑体" w:eastAsia="黑体" w:hAnsi="黑体" w:hint="eastAsia"/>
          <w:bCs w:val="0"/>
          <w:sz w:val="32"/>
          <w:szCs w:val="32"/>
        </w:rPr>
        <w:t>八</w:t>
      </w:r>
      <w:r w:rsidRPr="0069330B">
        <w:rPr>
          <w:rFonts w:ascii="黑体" w:eastAsia="黑体" w:hAnsi="黑体"/>
          <w:bCs w:val="0"/>
          <w:sz w:val="32"/>
          <w:szCs w:val="32"/>
        </w:rPr>
        <w:t>、实施地方标准的措施建议</w:t>
      </w:r>
      <w:bookmarkEnd w:id="12"/>
      <w:bookmarkEnd w:id="13"/>
      <w:bookmarkEnd w:id="14"/>
    </w:p>
    <w:p w14:paraId="3F05B358" w14:textId="5B1571FB" w:rsidR="003865BF" w:rsidRDefault="00080EF8" w:rsidP="003737C1">
      <w:pPr>
        <w:spacing w:line="360" w:lineRule="auto"/>
        <w:ind w:firstLineChars="200" w:firstLine="600"/>
        <w:jc w:val="left"/>
        <w:rPr>
          <w:rFonts w:ascii="仿宋" w:eastAsia="仿宋" w:hAnsi="仿宋" w:hint="eastAsia"/>
          <w:sz w:val="30"/>
          <w:szCs w:val="30"/>
        </w:rPr>
      </w:pPr>
      <w:r>
        <w:rPr>
          <w:rFonts w:ascii="仿宋" w:eastAsia="仿宋" w:hAnsi="仿宋" w:hint="eastAsia"/>
          <w:sz w:val="30"/>
          <w:szCs w:val="30"/>
        </w:rPr>
        <w:t>本</w:t>
      </w:r>
      <w:r w:rsidR="003737C1" w:rsidRPr="001A4ADE">
        <w:rPr>
          <w:rFonts w:ascii="仿宋" w:eastAsia="仿宋" w:hAnsi="仿宋" w:hint="eastAsia"/>
          <w:sz w:val="30"/>
          <w:szCs w:val="30"/>
        </w:rPr>
        <w:t>标准规定了</w:t>
      </w:r>
      <w:r w:rsidR="008A2F9E">
        <w:rPr>
          <w:rFonts w:ascii="仿宋" w:eastAsia="仿宋" w:hAnsi="仿宋" w:hint="eastAsia"/>
          <w:sz w:val="30"/>
          <w:szCs w:val="30"/>
        </w:rPr>
        <w:t>特种设备</w:t>
      </w:r>
      <w:r>
        <w:rPr>
          <w:rFonts w:ascii="仿宋" w:eastAsia="仿宋" w:hAnsi="仿宋" w:hint="eastAsia"/>
          <w:sz w:val="30"/>
          <w:szCs w:val="30"/>
        </w:rPr>
        <w:t>风险辨识、管控</w:t>
      </w:r>
      <w:r w:rsidR="008A2F9E">
        <w:rPr>
          <w:rFonts w:ascii="仿宋" w:eastAsia="仿宋" w:hAnsi="仿宋" w:hint="eastAsia"/>
          <w:sz w:val="30"/>
          <w:szCs w:val="30"/>
        </w:rPr>
        <w:t>判定</w:t>
      </w:r>
      <w:r w:rsidR="003737C1" w:rsidRPr="001A4ADE">
        <w:rPr>
          <w:rFonts w:ascii="仿宋" w:eastAsia="仿宋" w:hAnsi="仿宋" w:hint="eastAsia"/>
          <w:sz w:val="30"/>
          <w:szCs w:val="30"/>
        </w:rPr>
        <w:t>的指标和方法，为本市</w:t>
      </w:r>
      <w:r w:rsidR="008A2F9E">
        <w:rPr>
          <w:rFonts w:ascii="仿宋" w:eastAsia="仿宋" w:hAnsi="仿宋" w:hint="eastAsia"/>
          <w:sz w:val="30"/>
          <w:szCs w:val="30"/>
        </w:rPr>
        <w:t>相关单位判定重点特种设备提供依据，为下一步有效开展特种设备安全风险防控起到技术支撑作用。建议</w:t>
      </w:r>
      <w:r w:rsidR="003737C1" w:rsidRPr="001A4ADE">
        <w:rPr>
          <w:rFonts w:ascii="仿宋" w:eastAsia="仿宋" w:hAnsi="仿宋" w:hint="eastAsia"/>
          <w:sz w:val="30"/>
          <w:szCs w:val="30"/>
        </w:rPr>
        <w:t>上海市</w:t>
      </w:r>
      <w:r w:rsidR="008A2F9E">
        <w:rPr>
          <w:rFonts w:ascii="仿宋" w:eastAsia="仿宋" w:hAnsi="仿宋" w:hint="eastAsia"/>
          <w:sz w:val="30"/>
          <w:szCs w:val="30"/>
        </w:rPr>
        <w:t>范围内特种设备使用单位、检验检测机构、政府监管部门等单位开展</w:t>
      </w:r>
      <w:r>
        <w:rPr>
          <w:rFonts w:ascii="仿宋" w:eastAsia="仿宋" w:hAnsi="仿宋" w:hint="eastAsia"/>
          <w:sz w:val="30"/>
          <w:szCs w:val="30"/>
        </w:rPr>
        <w:t>特种设备风险</w:t>
      </w:r>
      <w:r w:rsidR="008A2F9E">
        <w:rPr>
          <w:rFonts w:ascii="仿宋" w:eastAsia="仿宋" w:hAnsi="仿宋" w:hint="eastAsia"/>
          <w:sz w:val="30"/>
          <w:szCs w:val="30"/>
        </w:rPr>
        <w:t>评估</w:t>
      </w:r>
      <w:r>
        <w:rPr>
          <w:rFonts w:ascii="仿宋" w:eastAsia="仿宋" w:hAnsi="仿宋" w:hint="eastAsia"/>
          <w:sz w:val="30"/>
          <w:szCs w:val="30"/>
        </w:rPr>
        <w:t>、</w:t>
      </w:r>
      <w:r w:rsidR="008A2F9E">
        <w:rPr>
          <w:rFonts w:ascii="仿宋" w:eastAsia="仿宋" w:hAnsi="仿宋" w:hint="eastAsia"/>
          <w:sz w:val="30"/>
          <w:szCs w:val="30"/>
        </w:rPr>
        <w:t>判定</w:t>
      </w:r>
      <w:r>
        <w:rPr>
          <w:rFonts w:ascii="仿宋" w:eastAsia="仿宋" w:hAnsi="仿宋" w:hint="eastAsia"/>
          <w:sz w:val="30"/>
          <w:szCs w:val="30"/>
        </w:rPr>
        <w:t>和管控</w:t>
      </w:r>
      <w:r w:rsidR="008A2F9E">
        <w:rPr>
          <w:rFonts w:ascii="仿宋" w:eastAsia="仿宋" w:hAnsi="仿宋" w:hint="eastAsia"/>
          <w:sz w:val="30"/>
          <w:szCs w:val="30"/>
        </w:rPr>
        <w:t>工作</w:t>
      </w:r>
      <w:r w:rsidR="003737C1" w:rsidRPr="001A4ADE">
        <w:rPr>
          <w:rFonts w:ascii="仿宋" w:eastAsia="仿宋" w:hAnsi="仿宋" w:hint="eastAsia"/>
          <w:sz w:val="30"/>
          <w:szCs w:val="30"/>
        </w:rPr>
        <w:t>，</w:t>
      </w:r>
      <w:r w:rsidR="003865BF">
        <w:rPr>
          <w:rFonts w:ascii="仿宋" w:eastAsia="仿宋" w:hAnsi="仿宋" w:hint="eastAsia"/>
          <w:sz w:val="30"/>
          <w:szCs w:val="30"/>
        </w:rPr>
        <w:t>相关单位应</w:t>
      </w:r>
      <w:r w:rsidR="008A2F9E">
        <w:rPr>
          <w:rFonts w:ascii="仿宋" w:eastAsia="仿宋" w:hAnsi="仿宋" w:hint="eastAsia"/>
          <w:sz w:val="30"/>
          <w:szCs w:val="30"/>
        </w:rPr>
        <w:t>根据评估结果，</w:t>
      </w:r>
      <w:r w:rsidR="003865BF">
        <w:rPr>
          <w:rFonts w:ascii="仿宋" w:eastAsia="仿宋" w:hAnsi="仿宋" w:hint="eastAsia"/>
          <w:sz w:val="30"/>
          <w:szCs w:val="30"/>
        </w:rPr>
        <w:t>调整设备风险管理、行政监管以及应急管理策略，确保特种设备安全稳定运行，遏制重特大事故发生。</w:t>
      </w:r>
    </w:p>
    <w:p w14:paraId="58BE1C7F" w14:textId="77777777" w:rsidR="003737C1" w:rsidRPr="0069330B" w:rsidRDefault="003737C1" w:rsidP="003737C1">
      <w:pPr>
        <w:pStyle w:val="1"/>
        <w:spacing w:before="0" w:after="0" w:line="360" w:lineRule="auto"/>
        <w:ind w:firstLineChars="200" w:firstLine="643"/>
        <w:rPr>
          <w:rFonts w:ascii="黑体" w:eastAsia="黑体" w:hAnsi="黑体" w:hint="eastAsia"/>
          <w:bCs w:val="0"/>
          <w:sz w:val="32"/>
          <w:szCs w:val="32"/>
        </w:rPr>
      </w:pPr>
      <w:bookmarkStart w:id="15" w:name="_Toc105054320"/>
      <w:bookmarkStart w:id="16" w:name="_Toc124175567"/>
      <w:bookmarkStart w:id="17" w:name="_Toc130154628"/>
      <w:bookmarkStart w:id="18" w:name="_Toc130154637"/>
      <w:r>
        <w:rPr>
          <w:rFonts w:ascii="黑体" w:eastAsia="黑体" w:hAnsi="黑体" w:hint="eastAsia"/>
          <w:bCs w:val="0"/>
          <w:sz w:val="32"/>
          <w:szCs w:val="32"/>
        </w:rPr>
        <w:t>九</w:t>
      </w:r>
      <w:r w:rsidRPr="0069330B">
        <w:rPr>
          <w:rFonts w:ascii="黑体" w:eastAsia="黑体" w:hAnsi="黑体"/>
          <w:bCs w:val="0"/>
          <w:sz w:val="32"/>
          <w:szCs w:val="32"/>
        </w:rPr>
        <w:t>、其他需要说明的情况</w:t>
      </w:r>
      <w:bookmarkEnd w:id="15"/>
      <w:bookmarkEnd w:id="16"/>
      <w:bookmarkEnd w:id="17"/>
      <w:bookmarkEnd w:id="18"/>
    </w:p>
    <w:p w14:paraId="105812B3" w14:textId="77777777" w:rsidR="003737C1" w:rsidRPr="001A4ADE" w:rsidRDefault="003737C1" w:rsidP="003737C1">
      <w:pPr>
        <w:spacing w:line="360" w:lineRule="auto"/>
        <w:ind w:firstLineChars="200" w:firstLine="600"/>
        <w:jc w:val="left"/>
        <w:rPr>
          <w:rFonts w:ascii="仿宋" w:eastAsia="仿宋" w:hAnsi="仿宋" w:hint="eastAsia"/>
          <w:sz w:val="30"/>
          <w:szCs w:val="30"/>
        </w:rPr>
      </w:pPr>
      <w:r w:rsidRPr="001A4ADE">
        <w:rPr>
          <w:rFonts w:ascii="仿宋" w:eastAsia="仿宋" w:hAnsi="仿宋"/>
          <w:sz w:val="30"/>
          <w:szCs w:val="30"/>
        </w:rPr>
        <w:t>无。</w:t>
      </w:r>
    </w:p>
    <w:bookmarkEnd w:id="8"/>
    <w:p w14:paraId="1DD21959" w14:textId="77777777" w:rsidR="0034410B" w:rsidRDefault="0034410B" w:rsidP="0034410B">
      <w:pPr>
        <w:spacing w:line="360" w:lineRule="auto"/>
        <w:jc w:val="right"/>
        <w:rPr>
          <w:rFonts w:ascii="Arial" w:hAnsi="宋体" w:cs="Arial" w:hint="eastAsia"/>
          <w:sz w:val="24"/>
        </w:rPr>
      </w:pPr>
    </w:p>
    <w:sectPr w:rsidR="0034410B" w:rsidSect="00C620B0">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92D3C" w14:textId="77777777" w:rsidR="004F5F76" w:rsidRDefault="004F5F76" w:rsidP="00972C49">
      <w:r>
        <w:separator/>
      </w:r>
    </w:p>
  </w:endnote>
  <w:endnote w:type="continuationSeparator" w:id="0">
    <w:p w14:paraId="30CAD557" w14:textId="77777777" w:rsidR="004F5F76" w:rsidRDefault="004F5F76" w:rsidP="0097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79418" w14:textId="77777777" w:rsidR="009E23AB" w:rsidRDefault="008A0426">
    <w:pPr>
      <w:pStyle w:val="af1"/>
      <w:jc w:val="center"/>
    </w:pPr>
    <w:r>
      <w:fldChar w:fldCharType="begin"/>
    </w:r>
    <w:r w:rsidR="00482C6F">
      <w:instrText xml:space="preserve"> PAGE   \* MERGEFORMAT </w:instrText>
    </w:r>
    <w:r>
      <w:fldChar w:fldCharType="separate"/>
    </w:r>
    <w:r w:rsidR="003865BF" w:rsidRPr="003865BF">
      <w:rPr>
        <w:noProof/>
        <w:lang w:val="zh-CN"/>
      </w:rPr>
      <w:t>11</w:t>
    </w:r>
    <w:r>
      <w:rPr>
        <w:noProof/>
        <w:lang w:val="zh-CN"/>
      </w:rPr>
      <w:fldChar w:fldCharType="end"/>
    </w:r>
  </w:p>
  <w:p w14:paraId="18892507" w14:textId="77777777" w:rsidR="009E23AB" w:rsidRDefault="009E23A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81530" w14:textId="77777777" w:rsidR="004F5F76" w:rsidRDefault="004F5F76" w:rsidP="00972C49">
      <w:r>
        <w:separator/>
      </w:r>
    </w:p>
  </w:footnote>
  <w:footnote w:type="continuationSeparator" w:id="0">
    <w:p w14:paraId="0AC0289B" w14:textId="77777777" w:rsidR="004F5F76" w:rsidRDefault="004F5F76" w:rsidP="00972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90E61"/>
    <w:multiLevelType w:val="multilevel"/>
    <w:tmpl w:val="00000000"/>
    <w:lvl w:ilvl="0">
      <w:start w:val="1"/>
      <w:numFmt w:val="japaneseCounting"/>
      <w:lvlText w:val="%1、"/>
      <w:lvlJc w:val="left"/>
      <w:pPr>
        <w:tabs>
          <w:tab w:val="num" w:pos="360"/>
        </w:tabs>
        <w:ind w:left="360" w:hanging="360"/>
      </w:pPr>
      <w:rPr>
        <w:rFonts w:hint="eastAsia"/>
      </w:rPr>
    </w:lvl>
    <w:lvl w:ilvl="1">
      <w:start w:val="1"/>
      <w:numFmt w:val="decimal"/>
      <w:lvlText w:val="%2．"/>
      <w:lvlJc w:val="left"/>
      <w:pPr>
        <w:tabs>
          <w:tab w:val="num" w:pos="643"/>
        </w:tabs>
        <w:ind w:left="643" w:hanging="360"/>
      </w:pPr>
      <w:rPr>
        <w:rFonts w:hint="eastAsia"/>
        <w:b/>
      </w:rPr>
    </w:lvl>
    <w:lvl w:ilvl="2">
      <w:start w:val="1"/>
      <w:numFmt w:val="decimal"/>
      <w:lvlText w:val="%3）"/>
      <w:lvlJc w:val="left"/>
      <w:pPr>
        <w:tabs>
          <w:tab w:val="num" w:pos="1200"/>
        </w:tabs>
        <w:ind w:left="1200" w:hanging="360"/>
      </w:pPr>
      <w:rPr>
        <w:rFonts w:hint="eastAsia"/>
      </w:rPr>
    </w:lvl>
    <w:lvl w:ilvl="3">
      <w:start w:val="3"/>
      <w:numFmt w:val="decimal"/>
      <w:lvlText w:val="%4"/>
      <w:lvlJc w:val="left"/>
      <w:pPr>
        <w:tabs>
          <w:tab w:val="num" w:pos="1620"/>
        </w:tabs>
        <w:ind w:left="1620" w:hanging="360"/>
      </w:pPr>
      <w:rPr>
        <w:rFont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A6F551F"/>
    <w:multiLevelType w:val="hybridMultilevel"/>
    <w:tmpl w:val="8B5259C6"/>
    <w:lvl w:ilvl="0" w:tplc="9B4AF0AA">
      <w:start w:val="1"/>
      <w:numFmt w:val="bullet"/>
      <w:lvlText w:val="•"/>
      <w:lvlJc w:val="left"/>
      <w:pPr>
        <w:tabs>
          <w:tab w:val="num" w:pos="720"/>
        </w:tabs>
        <w:ind w:left="720" w:hanging="360"/>
      </w:pPr>
      <w:rPr>
        <w:rFonts w:ascii="华文新魏" w:hAnsi="华文新魏" w:hint="default"/>
      </w:rPr>
    </w:lvl>
    <w:lvl w:ilvl="1" w:tplc="7076F870" w:tentative="1">
      <w:start w:val="1"/>
      <w:numFmt w:val="bullet"/>
      <w:lvlText w:val="•"/>
      <w:lvlJc w:val="left"/>
      <w:pPr>
        <w:tabs>
          <w:tab w:val="num" w:pos="1440"/>
        </w:tabs>
        <w:ind w:left="1440" w:hanging="360"/>
      </w:pPr>
      <w:rPr>
        <w:rFonts w:ascii="华文新魏" w:hAnsi="华文新魏" w:hint="default"/>
      </w:rPr>
    </w:lvl>
    <w:lvl w:ilvl="2" w:tplc="8DF69DC0" w:tentative="1">
      <w:start w:val="1"/>
      <w:numFmt w:val="bullet"/>
      <w:lvlText w:val="•"/>
      <w:lvlJc w:val="left"/>
      <w:pPr>
        <w:tabs>
          <w:tab w:val="num" w:pos="2160"/>
        </w:tabs>
        <w:ind w:left="2160" w:hanging="360"/>
      </w:pPr>
      <w:rPr>
        <w:rFonts w:ascii="华文新魏" w:hAnsi="华文新魏" w:hint="default"/>
      </w:rPr>
    </w:lvl>
    <w:lvl w:ilvl="3" w:tplc="7DDCC7C4" w:tentative="1">
      <w:start w:val="1"/>
      <w:numFmt w:val="bullet"/>
      <w:lvlText w:val="•"/>
      <w:lvlJc w:val="left"/>
      <w:pPr>
        <w:tabs>
          <w:tab w:val="num" w:pos="2880"/>
        </w:tabs>
        <w:ind w:left="2880" w:hanging="360"/>
      </w:pPr>
      <w:rPr>
        <w:rFonts w:ascii="华文新魏" w:hAnsi="华文新魏" w:hint="default"/>
      </w:rPr>
    </w:lvl>
    <w:lvl w:ilvl="4" w:tplc="3C5ABCBC" w:tentative="1">
      <w:start w:val="1"/>
      <w:numFmt w:val="bullet"/>
      <w:lvlText w:val="•"/>
      <w:lvlJc w:val="left"/>
      <w:pPr>
        <w:tabs>
          <w:tab w:val="num" w:pos="3600"/>
        </w:tabs>
        <w:ind w:left="3600" w:hanging="360"/>
      </w:pPr>
      <w:rPr>
        <w:rFonts w:ascii="华文新魏" w:hAnsi="华文新魏" w:hint="default"/>
      </w:rPr>
    </w:lvl>
    <w:lvl w:ilvl="5" w:tplc="F4CAAC84" w:tentative="1">
      <w:start w:val="1"/>
      <w:numFmt w:val="bullet"/>
      <w:lvlText w:val="•"/>
      <w:lvlJc w:val="left"/>
      <w:pPr>
        <w:tabs>
          <w:tab w:val="num" w:pos="4320"/>
        </w:tabs>
        <w:ind w:left="4320" w:hanging="360"/>
      </w:pPr>
      <w:rPr>
        <w:rFonts w:ascii="华文新魏" w:hAnsi="华文新魏" w:hint="default"/>
      </w:rPr>
    </w:lvl>
    <w:lvl w:ilvl="6" w:tplc="E16A651A" w:tentative="1">
      <w:start w:val="1"/>
      <w:numFmt w:val="bullet"/>
      <w:lvlText w:val="•"/>
      <w:lvlJc w:val="left"/>
      <w:pPr>
        <w:tabs>
          <w:tab w:val="num" w:pos="5040"/>
        </w:tabs>
        <w:ind w:left="5040" w:hanging="360"/>
      </w:pPr>
      <w:rPr>
        <w:rFonts w:ascii="华文新魏" w:hAnsi="华文新魏" w:hint="default"/>
      </w:rPr>
    </w:lvl>
    <w:lvl w:ilvl="7" w:tplc="29E6BB74" w:tentative="1">
      <w:start w:val="1"/>
      <w:numFmt w:val="bullet"/>
      <w:lvlText w:val="•"/>
      <w:lvlJc w:val="left"/>
      <w:pPr>
        <w:tabs>
          <w:tab w:val="num" w:pos="5760"/>
        </w:tabs>
        <w:ind w:left="5760" w:hanging="360"/>
      </w:pPr>
      <w:rPr>
        <w:rFonts w:ascii="华文新魏" w:hAnsi="华文新魏" w:hint="default"/>
      </w:rPr>
    </w:lvl>
    <w:lvl w:ilvl="8" w:tplc="E934105E" w:tentative="1">
      <w:start w:val="1"/>
      <w:numFmt w:val="bullet"/>
      <w:lvlText w:val="•"/>
      <w:lvlJc w:val="left"/>
      <w:pPr>
        <w:tabs>
          <w:tab w:val="num" w:pos="6480"/>
        </w:tabs>
        <w:ind w:left="6480" w:hanging="360"/>
      </w:pPr>
      <w:rPr>
        <w:rFonts w:ascii="华文新魏" w:hAnsi="华文新魏" w:hint="default"/>
      </w:rPr>
    </w:lvl>
  </w:abstractNum>
  <w:abstractNum w:abstractNumId="2" w15:restartNumberingAfterBreak="0">
    <w:nsid w:val="1FC91163"/>
    <w:multiLevelType w:val="multilevel"/>
    <w:tmpl w:val="5A225C1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1"/>
      <w:suff w:val="nothing"/>
      <w:lvlText w:val="（%3）"/>
      <w:lvlJc w:val="left"/>
      <w:pPr>
        <w:ind w:left="0" w:firstLine="0"/>
      </w:pPr>
      <w:rPr>
        <w:rFonts w:ascii="Times New Roman" w:eastAsia="Times New Roman" w:hAnsi="Times New Roman" w:cs="Times New Roman"/>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3BFD08B7"/>
    <w:multiLevelType w:val="hybridMultilevel"/>
    <w:tmpl w:val="059EDD56"/>
    <w:lvl w:ilvl="0" w:tplc="D7E4C41E">
      <w:start w:val="1"/>
      <w:numFmt w:val="bullet"/>
      <w:lvlText w:val="•"/>
      <w:lvlJc w:val="left"/>
      <w:pPr>
        <w:tabs>
          <w:tab w:val="num" w:pos="720"/>
        </w:tabs>
        <w:ind w:left="720" w:hanging="360"/>
      </w:pPr>
      <w:rPr>
        <w:rFonts w:ascii="华文新魏" w:hAnsi="华文新魏" w:hint="default"/>
      </w:rPr>
    </w:lvl>
    <w:lvl w:ilvl="1" w:tplc="3F946AD4" w:tentative="1">
      <w:start w:val="1"/>
      <w:numFmt w:val="bullet"/>
      <w:lvlText w:val="•"/>
      <w:lvlJc w:val="left"/>
      <w:pPr>
        <w:tabs>
          <w:tab w:val="num" w:pos="1440"/>
        </w:tabs>
        <w:ind w:left="1440" w:hanging="360"/>
      </w:pPr>
      <w:rPr>
        <w:rFonts w:ascii="华文新魏" w:hAnsi="华文新魏" w:hint="default"/>
      </w:rPr>
    </w:lvl>
    <w:lvl w:ilvl="2" w:tplc="BC4EAA1A" w:tentative="1">
      <w:start w:val="1"/>
      <w:numFmt w:val="bullet"/>
      <w:lvlText w:val="•"/>
      <w:lvlJc w:val="left"/>
      <w:pPr>
        <w:tabs>
          <w:tab w:val="num" w:pos="2160"/>
        </w:tabs>
        <w:ind w:left="2160" w:hanging="360"/>
      </w:pPr>
      <w:rPr>
        <w:rFonts w:ascii="华文新魏" w:hAnsi="华文新魏" w:hint="default"/>
      </w:rPr>
    </w:lvl>
    <w:lvl w:ilvl="3" w:tplc="42DECC12" w:tentative="1">
      <w:start w:val="1"/>
      <w:numFmt w:val="bullet"/>
      <w:lvlText w:val="•"/>
      <w:lvlJc w:val="left"/>
      <w:pPr>
        <w:tabs>
          <w:tab w:val="num" w:pos="2880"/>
        </w:tabs>
        <w:ind w:left="2880" w:hanging="360"/>
      </w:pPr>
      <w:rPr>
        <w:rFonts w:ascii="华文新魏" w:hAnsi="华文新魏" w:hint="default"/>
      </w:rPr>
    </w:lvl>
    <w:lvl w:ilvl="4" w:tplc="61DEECC0" w:tentative="1">
      <w:start w:val="1"/>
      <w:numFmt w:val="bullet"/>
      <w:lvlText w:val="•"/>
      <w:lvlJc w:val="left"/>
      <w:pPr>
        <w:tabs>
          <w:tab w:val="num" w:pos="3600"/>
        </w:tabs>
        <w:ind w:left="3600" w:hanging="360"/>
      </w:pPr>
      <w:rPr>
        <w:rFonts w:ascii="华文新魏" w:hAnsi="华文新魏" w:hint="default"/>
      </w:rPr>
    </w:lvl>
    <w:lvl w:ilvl="5" w:tplc="4730616C" w:tentative="1">
      <w:start w:val="1"/>
      <w:numFmt w:val="bullet"/>
      <w:lvlText w:val="•"/>
      <w:lvlJc w:val="left"/>
      <w:pPr>
        <w:tabs>
          <w:tab w:val="num" w:pos="4320"/>
        </w:tabs>
        <w:ind w:left="4320" w:hanging="360"/>
      </w:pPr>
      <w:rPr>
        <w:rFonts w:ascii="华文新魏" w:hAnsi="华文新魏" w:hint="default"/>
      </w:rPr>
    </w:lvl>
    <w:lvl w:ilvl="6" w:tplc="001CA610" w:tentative="1">
      <w:start w:val="1"/>
      <w:numFmt w:val="bullet"/>
      <w:lvlText w:val="•"/>
      <w:lvlJc w:val="left"/>
      <w:pPr>
        <w:tabs>
          <w:tab w:val="num" w:pos="5040"/>
        </w:tabs>
        <w:ind w:left="5040" w:hanging="360"/>
      </w:pPr>
      <w:rPr>
        <w:rFonts w:ascii="华文新魏" w:hAnsi="华文新魏" w:hint="default"/>
      </w:rPr>
    </w:lvl>
    <w:lvl w:ilvl="7" w:tplc="219EF0D2" w:tentative="1">
      <w:start w:val="1"/>
      <w:numFmt w:val="bullet"/>
      <w:lvlText w:val="•"/>
      <w:lvlJc w:val="left"/>
      <w:pPr>
        <w:tabs>
          <w:tab w:val="num" w:pos="5760"/>
        </w:tabs>
        <w:ind w:left="5760" w:hanging="360"/>
      </w:pPr>
      <w:rPr>
        <w:rFonts w:ascii="华文新魏" w:hAnsi="华文新魏" w:hint="default"/>
      </w:rPr>
    </w:lvl>
    <w:lvl w:ilvl="8" w:tplc="44387258" w:tentative="1">
      <w:start w:val="1"/>
      <w:numFmt w:val="bullet"/>
      <w:lvlText w:val="•"/>
      <w:lvlJc w:val="left"/>
      <w:pPr>
        <w:tabs>
          <w:tab w:val="num" w:pos="6480"/>
        </w:tabs>
        <w:ind w:left="6480" w:hanging="360"/>
      </w:pPr>
      <w:rPr>
        <w:rFonts w:ascii="华文新魏" w:hAnsi="华文新魏" w:hint="default"/>
      </w:rPr>
    </w:lvl>
  </w:abstractNum>
  <w:abstractNum w:abstractNumId="4" w15:restartNumberingAfterBreak="0">
    <w:nsid w:val="44C50F90"/>
    <w:multiLevelType w:val="multilevel"/>
    <w:tmpl w:val="CA1AF706"/>
    <w:lvl w:ilvl="0">
      <w:start w:val="1"/>
      <w:numFmt w:val="lowerLetter"/>
      <w:pStyle w:val="a4"/>
      <w:lvlText w:val="%1)"/>
      <w:lvlJc w:val="left"/>
      <w:pPr>
        <w:tabs>
          <w:tab w:val="num" w:pos="851"/>
        </w:tabs>
        <w:ind w:left="851" w:hanging="426"/>
      </w:pPr>
      <w:rPr>
        <w:rFonts w:ascii="宋体" w:eastAsia="宋体" w:hAnsi="Times New Roman" w:hint="eastAsia"/>
        <w:sz w:val="21"/>
      </w:rPr>
    </w:lvl>
    <w:lvl w:ilvl="1">
      <w:start w:val="1"/>
      <w:numFmt w:val="decimal"/>
      <w:pStyle w:val="a5"/>
      <w:lvlText w:val="%2)"/>
      <w:lvlJc w:val="left"/>
      <w:pPr>
        <w:tabs>
          <w:tab w:val="num" w:pos="1276"/>
        </w:tabs>
        <w:ind w:left="1276" w:hanging="425"/>
      </w:pPr>
      <w:rPr>
        <w:rFonts w:ascii="宋体" w:eastAsia="宋体" w:hAnsi="Times New Roman" w:hint="eastAsia"/>
        <w:sz w:val="21"/>
      </w:rPr>
    </w:lvl>
    <w:lvl w:ilvl="2">
      <w:start w:val="1"/>
      <w:numFmt w:val="decimal"/>
      <w:pStyle w:val="a6"/>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 w15:restartNumberingAfterBreak="0">
    <w:nsid w:val="5B056B04"/>
    <w:multiLevelType w:val="multilevel"/>
    <w:tmpl w:val="5B056B04"/>
    <w:name w:val="编号列表 5"/>
    <w:lvl w:ilvl="0">
      <w:start w:val="1"/>
      <w:numFmt w:val="none"/>
      <w:pStyle w:val="a7"/>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 w15:restartNumberingAfterBreak="0">
    <w:nsid w:val="788D16C3"/>
    <w:multiLevelType w:val="hybridMultilevel"/>
    <w:tmpl w:val="C3F65C38"/>
    <w:lvl w:ilvl="0" w:tplc="F3CA1722">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16cid:durableId="1089303928">
    <w:abstractNumId w:val="0"/>
  </w:num>
  <w:num w:numId="2" w16cid:durableId="1877623982">
    <w:abstractNumId w:val="1"/>
  </w:num>
  <w:num w:numId="3" w16cid:durableId="968166177">
    <w:abstractNumId w:val="3"/>
  </w:num>
  <w:num w:numId="4" w16cid:durableId="1318607276">
    <w:abstractNumId w:val="6"/>
  </w:num>
  <w:num w:numId="5" w16cid:durableId="1661150381">
    <w:abstractNumId w:val="2"/>
  </w:num>
  <w:num w:numId="6" w16cid:durableId="184103103">
    <w:abstractNumId w:val="5"/>
  </w:num>
  <w:num w:numId="7" w16cid:durableId="416556104">
    <w:abstractNumId w:val="4"/>
  </w:num>
  <w:num w:numId="8" w16cid:durableId="11704826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1A8E"/>
    <w:rsid w:val="00001DD3"/>
    <w:rsid w:val="000137B3"/>
    <w:rsid w:val="00017F3D"/>
    <w:rsid w:val="00025583"/>
    <w:rsid w:val="000309B3"/>
    <w:rsid w:val="0003232B"/>
    <w:rsid w:val="00033F36"/>
    <w:rsid w:val="00034E3E"/>
    <w:rsid w:val="00035A6C"/>
    <w:rsid w:val="00036486"/>
    <w:rsid w:val="00044AEA"/>
    <w:rsid w:val="00046FB4"/>
    <w:rsid w:val="000511DC"/>
    <w:rsid w:val="00061B7A"/>
    <w:rsid w:val="00062AA0"/>
    <w:rsid w:val="00067E2E"/>
    <w:rsid w:val="00080CFE"/>
    <w:rsid w:val="00080EF8"/>
    <w:rsid w:val="000818B5"/>
    <w:rsid w:val="00085FE5"/>
    <w:rsid w:val="0009090A"/>
    <w:rsid w:val="00093637"/>
    <w:rsid w:val="000A7BD9"/>
    <w:rsid w:val="000B4AD4"/>
    <w:rsid w:val="000B5819"/>
    <w:rsid w:val="000C18FB"/>
    <w:rsid w:val="000C4B89"/>
    <w:rsid w:val="000C7114"/>
    <w:rsid w:val="000D024A"/>
    <w:rsid w:val="000D0CCE"/>
    <w:rsid w:val="000D37D1"/>
    <w:rsid w:val="000D5EF7"/>
    <w:rsid w:val="000E1C40"/>
    <w:rsid w:val="000E76EA"/>
    <w:rsid w:val="000E79EC"/>
    <w:rsid w:val="000F0B2F"/>
    <w:rsid w:val="000F66C7"/>
    <w:rsid w:val="00110F1F"/>
    <w:rsid w:val="001137A5"/>
    <w:rsid w:val="00122922"/>
    <w:rsid w:val="001253A9"/>
    <w:rsid w:val="00127828"/>
    <w:rsid w:val="001316A5"/>
    <w:rsid w:val="0013519B"/>
    <w:rsid w:val="00160881"/>
    <w:rsid w:val="001616B4"/>
    <w:rsid w:val="00161B5D"/>
    <w:rsid w:val="00166E71"/>
    <w:rsid w:val="00167823"/>
    <w:rsid w:val="00172A27"/>
    <w:rsid w:val="00173F85"/>
    <w:rsid w:val="00174858"/>
    <w:rsid w:val="00175F0C"/>
    <w:rsid w:val="00176CD1"/>
    <w:rsid w:val="00182A04"/>
    <w:rsid w:val="00185827"/>
    <w:rsid w:val="00195AE0"/>
    <w:rsid w:val="0019679B"/>
    <w:rsid w:val="001973EC"/>
    <w:rsid w:val="001A1AD7"/>
    <w:rsid w:val="001A1E0C"/>
    <w:rsid w:val="001B3857"/>
    <w:rsid w:val="001C1740"/>
    <w:rsid w:val="001D198B"/>
    <w:rsid w:val="001D49B3"/>
    <w:rsid w:val="001E4D45"/>
    <w:rsid w:val="001E4EB7"/>
    <w:rsid w:val="001F4682"/>
    <w:rsid w:val="001F4962"/>
    <w:rsid w:val="001F7461"/>
    <w:rsid w:val="00201673"/>
    <w:rsid w:val="002031BB"/>
    <w:rsid w:val="002034E0"/>
    <w:rsid w:val="00210A57"/>
    <w:rsid w:val="002151B6"/>
    <w:rsid w:val="00227C78"/>
    <w:rsid w:val="00232486"/>
    <w:rsid w:val="00235235"/>
    <w:rsid w:val="00235FCA"/>
    <w:rsid w:val="00236E65"/>
    <w:rsid w:val="00241962"/>
    <w:rsid w:val="00245D20"/>
    <w:rsid w:val="00253429"/>
    <w:rsid w:val="00255B71"/>
    <w:rsid w:val="00256311"/>
    <w:rsid w:val="00257E39"/>
    <w:rsid w:val="00266AC6"/>
    <w:rsid w:val="00266CBB"/>
    <w:rsid w:val="002761AD"/>
    <w:rsid w:val="00276633"/>
    <w:rsid w:val="00280F5D"/>
    <w:rsid w:val="0028221C"/>
    <w:rsid w:val="002A12CF"/>
    <w:rsid w:val="002A2CD6"/>
    <w:rsid w:val="002A5DC7"/>
    <w:rsid w:val="002C14BC"/>
    <w:rsid w:val="002C2F07"/>
    <w:rsid w:val="002C67C2"/>
    <w:rsid w:val="002D0900"/>
    <w:rsid w:val="002D2964"/>
    <w:rsid w:val="002D3FFD"/>
    <w:rsid w:val="002D6964"/>
    <w:rsid w:val="002E0A50"/>
    <w:rsid w:val="002E5CBD"/>
    <w:rsid w:val="002E6367"/>
    <w:rsid w:val="002F4ED4"/>
    <w:rsid w:val="002F6D53"/>
    <w:rsid w:val="002F7BEF"/>
    <w:rsid w:val="00310662"/>
    <w:rsid w:val="003165E0"/>
    <w:rsid w:val="00322F89"/>
    <w:rsid w:val="00324B3E"/>
    <w:rsid w:val="00331964"/>
    <w:rsid w:val="00334CE1"/>
    <w:rsid w:val="00336B61"/>
    <w:rsid w:val="00342AB5"/>
    <w:rsid w:val="0034410B"/>
    <w:rsid w:val="00351DC5"/>
    <w:rsid w:val="0036170D"/>
    <w:rsid w:val="0036541D"/>
    <w:rsid w:val="00367458"/>
    <w:rsid w:val="003737C1"/>
    <w:rsid w:val="00374794"/>
    <w:rsid w:val="00381FF2"/>
    <w:rsid w:val="003840D8"/>
    <w:rsid w:val="003865BF"/>
    <w:rsid w:val="0038687C"/>
    <w:rsid w:val="00387C5B"/>
    <w:rsid w:val="00390AA5"/>
    <w:rsid w:val="003912D0"/>
    <w:rsid w:val="003946B6"/>
    <w:rsid w:val="00397E4E"/>
    <w:rsid w:val="003A35CD"/>
    <w:rsid w:val="003A3A70"/>
    <w:rsid w:val="003A7634"/>
    <w:rsid w:val="003B1E37"/>
    <w:rsid w:val="003C208E"/>
    <w:rsid w:val="003C5633"/>
    <w:rsid w:val="003D432E"/>
    <w:rsid w:val="003D6F1E"/>
    <w:rsid w:val="003D6FDB"/>
    <w:rsid w:val="003F0F65"/>
    <w:rsid w:val="003F2871"/>
    <w:rsid w:val="003F5F0C"/>
    <w:rsid w:val="004133E5"/>
    <w:rsid w:val="004149E1"/>
    <w:rsid w:val="0042327D"/>
    <w:rsid w:val="00425807"/>
    <w:rsid w:val="00426E82"/>
    <w:rsid w:val="00433CDE"/>
    <w:rsid w:val="00436973"/>
    <w:rsid w:val="004420A6"/>
    <w:rsid w:val="004505B3"/>
    <w:rsid w:val="004526A7"/>
    <w:rsid w:val="00455138"/>
    <w:rsid w:val="00462410"/>
    <w:rsid w:val="00470BB5"/>
    <w:rsid w:val="00471E14"/>
    <w:rsid w:val="004751D6"/>
    <w:rsid w:val="00476010"/>
    <w:rsid w:val="004802BC"/>
    <w:rsid w:val="00481612"/>
    <w:rsid w:val="00482C6F"/>
    <w:rsid w:val="00483047"/>
    <w:rsid w:val="00484A52"/>
    <w:rsid w:val="004A2DE0"/>
    <w:rsid w:val="004A4C81"/>
    <w:rsid w:val="004B5645"/>
    <w:rsid w:val="004C4159"/>
    <w:rsid w:val="004C51EB"/>
    <w:rsid w:val="004D0D8F"/>
    <w:rsid w:val="004D1CCD"/>
    <w:rsid w:val="004D403D"/>
    <w:rsid w:val="004D4F82"/>
    <w:rsid w:val="004D76EA"/>
    <w:rsid w:val="004E2230"/>
    <w:rsid w:val="004E239A"/>
    <w:rsid w:val="004E7592"/>
    <w:rsid w:val="004F1A45"/>
    <w:rsid w:val="004F4ECB"/>
    <w:rsid w:val="004F5F76"/>
    <w:rsid w:val="004F679A"/>
    <w:rsid w:val="004F6A73"/>
    <w:rsid w:val="00502783"/>
    <w:rsid w:val="00507DCA"/>
    <w:rsid w:val="00515DE4"/>
    <w:rsid w:val="00537DDF"/>
    <w:rsid w:val="00543709"/>
    <w:rsid w:val="005520C7"/>
    <w:rsid w:val="00557E87"/>
    <w:rsid w:val="00565742"/>
    <w:rsid w:val="005943F6"/>
    <w:rsid w:val="005A30FD"/>
    <w:rsid w:val="005B0EB9"/>
    <w:rsid w:val="005B1BDC"/>
    <w:rsid w:val="005B2B61"/>
    <w:rsid w:val="005B454A"/>
    <w:rsid w:val="005C2166"/>
    <w:rsid w:val="005C7C95"/>
    <w:rsid w:val="005D13CA"/>
    <w:rsid w:val="005D5B7A"/>
    <w:rsid w:val="005E4C03"/>
    <w:rsid w:val="005E5A3D"/>
    <w:rsid w:val="005E6A0C"/>
    <w:rsid w:val="005F14D6"/>
    <w:rsid w:val="005F2AB4"/>
    <w:rsid w:val="00600A52"/>
    <w:rsid w:val="00600D16"/>
    <w:rsid w:val="00602754"/>
    <w:rsid w:val="00602EAC"/>
    <w:rsid w:val="006119AC"/>
    <w:rsid w:val="00612122"/>
    <w:rsid w:val="00615789"/>
    <w:rsid w:val="006163C6"/>
    <w:rsid w:val="00616F10"/>
    <w:rsid w:val="00625CBE"/>
    <w:rsid w:val="006270F4"/>
    <w:rsid w:val="00642AC6"/>
    <w:rsid w:val="00643F9E"/>
    <w:rsid w:val="006556DC"/>
    <w:rsid w:val="006563B7"/>
    <w:rsid w:val="006604D2"/>
    <w:rsid w:val="00660C0A"/>
    <w:rsid w:val="00662574"/>
    <w:rsid w:val="00662D20"/>
    <w:rsid w:val="00664B58"/>
    <w:rsid w:val="00671A57"/>
    <w:rsid w:val="00682CAC"/>
    <w:rsid w:val="00684ECC"/>
    <w:rsid w:val="00686189"/>
    <w:rsid w:val="006963E0"/>
    <w:rsid w:val="006A2842"/>
    <w:rsid w:val="006C299E"/>
    <w:rsid w:val="006D233E"/>
    <w:rsid w:val="006D3813"/>
    <w:rsid w:val="006D3F01"/>
    <w:rsid w:val="006E5121"/>
    <w:rsid w:val="006E615B"/>
    <w:rsid w:val="006F406B"/>
    <w:rsid w:val="00701AD3"/>
    <w:rsid w:val="00704E8E"/>
    <w:rsid w:val="00706ABD"/>
    <w:rsid w:val="00710368"/>
    <w:rsid w:val="00714590"/>
    <w:rsid w:val="007328E3"/>
    <w:rsid w:val="00735D0B"/>
    <w:rsid w:val="00736A42"/>
    <w:rsid w:val="00737B4A"/>
    <w:rsid w:val="00741DC5"/>
    <w:rsid w:val="007422BB"/>
    <w:rsid w:val="00743173"/>
    <w:rsid w:val="00753731"/>
    <w:rsid w:val="0076028C"/>
    <w:rsid w:val="007667C5"/>
    <w:rsid w:val="00772E14"/>
    <w:rsid w:val="007828D7"/>
    <w:rsid w:val="0078436A"/>
    <w:rsid w:val="00785946"/>
    <w:rsid w:val="00790ADC"/>
    <w:rsid w:val="00794B2A"/>
    <w:rsid w:val="00795877"/>
    <w:rsid w:val="00797CA5"/>
    <w:rsid w:val="00797F8C"/>
    <w:rsid w:val="007A0AF8"/>
    <w:rsid w:val="007A12DE"/>
    <w:rsid w:val="007D0045"/>
    <w:rsid w:val="007D580A"/>
    <w:rsid w:val="007E208D"/>
    <w:rsid w:val="007E2598"/>
    <w:rsid w:val="007E3CE4"/>
    <w:rsid w:val="007E7F60"/>
    <w:rsid w:val="007F06E4"/>
    <w:rsid w:val="007F125D"/>
    <w:rsid w:val="007F687D"/>
    <w:rsid w:val="007F723C"/>
    <w:rsid w:val="00802CF8"/>
    <w:rsid w:val="00811341"/>
    <w:rsid w:val="00822A00"/>
    <w:rsid w:val="008308BB"/>
    <w:rsid w:val="008311B6"/>
    <w:rsid w:val="00833DCD"/>
    <w:rsid w:val="00842B7F"/>
    <w:rsid w:val="00844E5F"/>
    <w:rsid w:val="00856B5A"/>
    <w:rsid w:val="00860B2C"/>
    <w:rsid w:val="00864CC2"/>
    <w:rsid w:val="0087540F"/>
    <w:rsid w:val="0088489B"/>
    <w:rsid w:val="00893A6F"/>
    <w:rsid w:val="008945FB"/>
    <w:rsid w:val="008958AE"/>
    <w:rsid w:val="008A0426"/>
    <w:rsid w:val="008A1AE4"/>
    <w:rsid w:val="008A234B"/>
    <w:rsid w:val="008A2F9E"/>
    <w:rsid w:val="008B159A"/>
    <w:rsid w:val="008C0987"/>
    <w:rsid w:val="008D2703"/>
    <w:rsid w:val="008D3566"/>
    <w:rsid w:val="008D6B1A"/>
    <w:rsid w:val="008E0613"/>
    <w:rsid w:val="008E12B0"/>
    <w:rsid w:val="008E1DD1"/>
    <w:rsid w:val="008E7436"/>
    <w:rsid w:val="008F2970"/>
    <w:rsid w:val="009118C7"/>
    <w:rsid w:val="00912E66"/>
    <w:rsid w:val="00922C91"/>
    <w:rsid w:val="0093565C"/>
    <w:rsid w:val="00936366"/>
    <w:rsid w:val="00936578"/>
    <w:rsid w:val="00941E89"/>
    <w:rsid w:val="00945D9B"/>
    <w:rsid w:val="00951B7D"/>
    <w:rsid w:val="00957804"/>
    <w:rsid w:val="00972C49"/>
    <w:rsid w:val="00975685"/>
    <w:rsid w:val="009773C5"/>
    <w:rsid w:val="00981FF6"/>
    <w:rsid w:val="00983967"/>
    <w:rsid w:val="00993B3A"/>
    <w:rsid w:val="009A27F9"/>
    <w:rsid w:val="009A56B8"/>
    <w:rsid w:val="009B19A5"/>
    <w:rsid w:val="009B7085"/>
    <w:rsid w:val="009C09E5"/>
    <w:rsid w:val="009C4D7F"/>
    <w:rsid w:val="009D3ED0"/>
    <w:rsid w:val="009E0C79"/>
    <w:rsid w:val="009E23AB"/>
    <w:rsid w:val="009E474F"/>
    <w:rsid w:val="009F3E5D"/>
    <w:rsid w:val="00A000F3"/>
    <w:rsid w:val="00A0026A"/>
    <w:rsid w:val="00A02684"/>
    <w:rsid w:val="00A10ACF"/>
    <w:rsid w:val="00A14D01"/>
    <w:rsid w:val="00A32C63"/>
    <w:rsid w:val="00A35493"/>
    <w:rsid w:val="00A40257"/>
    <w:rsid w:val="00A41480"/>
    <w:rsid w:val="00A44285"/>
    <w:rsid w:val="00A45333"/>
    <w:rsid w:val="00A475A4"/>
    <w:rsid w:val="00A5147C"/>
    <w:rsid w:val="00A541E8"/>
    <w:rsid w:val="00A552F7"/>
    <w:rsid w:val="00A6346F"/>
    <w:rsid w:val="00A71398"/>
    <w:rsid w:val="00A73D81"/>
    <w:rsid w:val="00A7480D"/>
    <w:rsid w:val="00A90C9B"/>
    <w:rsid w:val="00A9360A"/>
    <w:rsid w:val="00A937DB"/>
    <w:rsid w:val="00A978F4"/>
    <w:rsid w:val="00AC23BA"/>
    <w:rsid w:val="00AD26D3"/>
    <w:rsid w:val="00AD34D4"/>
    <w:rsid w:val="00AD3B41"/>
    <w:rsid w:val="00AE1D08"/>
    <w:rsid w:val="00AE1F49"/>
    <w:rsid w:val="00AE4A24"/>
    <w:rsid w:val="00AE6F2C"/>
    <w:rsid w:val="00AF5CAE"/>
    <w:rsid w:val="00B0300C"/>
    <w:rsid w:val="00B03100"/>
    <w:rsid w:val="00B0360D"/>
    <w:rsid w:val="00B05392"/>
    <w:rsid w:val="00B05DF1"/>
    <w:rsid w:val="00B17C18"/>
    <w:rsid w:val="00B21DA6"/>
    <w:rsid w:val="00B27FB4"/>
    <w:rsid w:val="00B30C7D"/>
    <w:rsid w:val="00B40D1C"/>
    <w:rsid w:val="00B427BE"/>
    <w:rsid w:val="00B44700"/>
    <w:rsid w:val="00B457C6"/>
    <w:rsid w:val="00B50BD5"/>
    <w:rsid w:val="00B5790D"/>
    <w:rsid w:val="00B629BD"/>
    <w:rsid w:val="00B74BBC"/>
    <w:rsid w:val="00B74BDB"/>
    <w:rsid w:val="00B83ED2"/>
    <w:rsid w:val="00B85019"/>
    <w:rsid w:val="00B85B57"/>
    <w:rsid w:val="00B87C87"/>
    <w:rsid w:val="00B93654"/>
    <w:rsid w:val="00BA1F04"/>
    <w:rsid w:val="00BA6346"/>
    <w:rsid w:val="00BB1D52"/>
    <w:rsid w:val="00BB721F"/>
    <w:rsid w:val="00BC3914"/>
    <w:rsid w:val="00BD3B39"/>
    <w:rsid w:val="00BD651F"/>
    <w:rsid w:val="00BE1E84"/>
    <w:rsid w:val="00BE3EA5"/>
    <w:rsid w:val="00BE477C"/>
    <w:rsid w:val="00BF08C5"/>
    <w:rsid w:val="00BF457D"/>
    <w:rsid w:val="00BF64FA"/>
    <w:rsid w:val="00C05CEE"/>
    <w:rsid w:val="00C13C33"/>
    <w:rsid w:val="00C143A7"/>
    <w:rsid w:val="00C17078"/>
    <w:rsid w:val="00C200BB"/>
    <w:rsid w:val="00C22E76"/>
    <w:rsid w:val="00C302CC"/>
    <w:rsid w:val="00C323A2"/>
    <w:rsid w:val="00C33368"/>
    <w:rsid w:val="00C37817"/>
    <w:rsid w:val="00C41B82"/>
    <w:rsid w:val="00C520CF"/>
    <w:rsid w:val="00C54335"/>
    <w:rsid w:val="00C54750"/>
    <w:rsid w:val="00C5737F"/>
    <w:rsid w:val="00C57B89"/>
    <w:rsid w:val="00C57C6A"/>
    <w:rsid w:val="00C60743"/>
    <w:rsid w:val="00C620B0"/>
    <w:rsid w:val="00C71211"/>
    <w:rsid w:val="00C72D6B"/>
    <w:rsid w:val="00C76EB6"/>
    <w:rsid w:val="00C87867"/>
    <w:rsid w:val="00C92C79"/>
    <w:rsid w:val="00C9530B"/>
    <w:rsid w:val="00CA399F"/>
    <w:rsid w:val="00CA3E66"/>
    <w:rsid w:val="00CB30EF"/>
    <w:rsid w:val="00CB5761"/>
    <w:rsid w:val="00CC2BBF"/>
    <w:rsid w:val="00CC2DB3"/>
    <w:rsid w:val="00CC48BB"/>
    <w:rsid w:val="00CC6C6B"/>
    <w:rsid w:val="00CD027A"/>
    <w:rsid w:val="00CD3C1D"/>
    <w:rsid w:val="00CD7ADE"/>
    <w:rsid w:val="00CE619A"/>
    <w:rsid w:val="00CE6A23"/>
    <w:rsid w:val="00CF53B1"/>
    <w:rsid w:val="00D06B55"/>
    <w:rsid w:val="00D11497"/>
    <w:rsid w:val="00D12992"/>
    <w:rsid w:val="00D17952"/>
    <w:rsid w:val="00D202D5"/>
    <w:rsid w:val="00D24035"/>
    <w:rsid w:val="00D25588"/>
    <w:rsid w:val="00D2673A"/>
    <w:rsid w:val="00D273B3"/>
    <w:rsid w:val="00D301D6"/>
    <w:rsid w:val="00D32FA6"/>
    <w:rsid w:val="00D37112"/>
    <w:rsid w:val="00D440C9"/>
    <w:rsid w:val="00D44EE1"/>
    <w:rsid w:val="00D45693"/>
    <w:rsid w:val="00D50333"/>
    <w:rsid w:val="00D50B4A"/>
    <w:rsid w:val="00D53179"/>
    <w:rsid w:val="00D67416"/>
    <w:rsid w:val="00D80690"/>
    <w:rsid w:val="00D867E6"/>
    <w:rsid w:val="00D93B3C"/>
    <w:rsid w:val="00DB1534"/>
    <w:rsid w:val="00DB20CE"/>
    <w:rsid w:val="00DB3C9E"/>
    <w:rsid w:val="00DB6C4D"/>
    <w:rsid w:val="00DC13BE"/>
    <w:rsid w:val="00DC2B72"/>
    <w:rsid w:val="00DC4804"/>
    <w:rsid w:val="00DD228A"/>
    <w:rsid w:val="00DD57EB"/>
    <w:rsid w:val="00DE113C"/>
    <w:rsid w:val="00DE7454"/>
    <w:rsid w:val="00DF06BC"/>
    <w:rsid w:val="00E25CD6"/>
    <w:rsid w:val="00E26FE1"/>
    <w:rsid w:val="00E3481E"/>
    <w:rsid w:val="00E47511"/>
    <w:rsid w:val="00E52A3F"/>
    <w:rsid w:val="00E607C1"/>
    <w:rsid w:val="00E63019"/>
    <w:rsid w:val="00E64997"/>
    <w:rsid w:val="00E70139"/>
    <w:rsid w:val="00E73107"/>
    <w:rsid w:val="00E7538B"/>
    <w:rsid w:val="00E76A8E"/>
    <w:rsid w:val="00E869D8"/>
    <w:rsid w:val="00E9739A"/>
    <w:rsid w:val="00EA4B95"/>
    <w:rsid w:val="00EA7282"/>
    <w:rsid w:val="00EB054F"/>
    <w:rsid w:val="00EB6D78"/>
    <w:rsid w:val="00EC2817"/>
    <w:rsid w:val="00ED235D"/>
    <w:rsid w:val="00ED589D"/>
    <w:rsid w:val="00EF1081"/>
    <w:rsid w:val="00EF1C3D"/>
    <w:rsid w:val="00EF6A80"/>
    <w:rsid w:val="00EF787D"/>
    <w:rsid w:val="00F039C6"/>
    <w:rsid w:val="00F03F71"/>
    <w:rsid w:val="00F1388C"/>
    <w:rsid w:val="00F209BB"/>
    <w:rsid w:val="00F221C1"/>
    <w:rsid w:val="00F25A16"/>
    <w:rsid w:val="00F269B2"/>
    <w:rsid w:val="00F310A4"/>
    <w:rsid w:val="00F3319C"/>
    <w:rsid w:val="00F364BC"/>
    <w:rsid w:val="00F40D2C"/>
    <w:rsid w:val="00F43423"/>
    <w:rsid w:val="00F434F7"/>
    <w:rsid w:val="00F437E7"/>
    <w:rsid w:val="00F50492"/>
    <w:rsid w:val="00F5340D"/>
    <w:rsid w:val="00F60CF1"/>
    <w:rsid w:val="00F64C9F"/>
    <w:rsid w:val="00F65345"/>
    <w:rsid w:val="00F911AE"/>
    <w:rsid w:val="00F944FF"/>
    <w:rsid w:val="00FA0661"/>
    <w:rsid w:val="00FA6945"/>
    <w:rsid w:val="00FA6AE8"/>
    <w:rsid w:val="00FB2B02"/>
    <w:rsid w:val="00FB6D8B"/>
    <w:rsid w:val="00FC276B"/>
    <w:rsid w:val="00FC55FF"/>
    <w:rsid w:val="00FC6293"/>
    <w:rsid w:val="00FC6394"/>
    <w:rsid w:val="00FD54B7"/>
    <w:rsid w:val="00FE0FB2"/>
    <w:rsid w:val="00FE10CC"/>
    <w:rsid w:val="00FE2E7D"/>
    <w:rsid w:val="00FE57C7"/>
    <w:rsid w:val="00FE62EE"/>
    <w:rsid w:val="00FF5E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0E811"/>
  <w15:docId w15:val="{4530751C-848C-4204-943F-3632A9B3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rsid w:val="00C620B0"/>
    <w:pPr>
      <w:widowControl w:val="0"/>
      <w:jc w:val="both"/>
    </w:pPr>
    <w:rPr>
      <w:kern w:val="2"/>
      <w:sz w:val="21"/>
    </w:rPr>
  </w:style>
  <w:style w:type="paragraph" w:styleId="1">
    <w:name w:val="heading 1"/>
    <w:basedOn w:val="a8"/>
    <w:next w:val="a8"/>
    <w:link w:val="10"/>
    <w:qFormat/>
    <w:rsid w:val="00FF5EE1"/>
    <w:pPr>
      <w:keepNext/>
      <w:keepLines/>
      <w:spacing w:before="340" w:after="330" w:line="578" w:lineRule="auto"/>
      <w:outlineLvl w:val="0"/>
    </w:pPr>
    <w:rPr>
      <w:b/>
      <w:bCs/>
      <w:kern w:val="44"/>
      <w:sz w:val="44"/>
      <w:szCs w:val="44"/>
    </w:rPr>
  </w:style>
  <w:style w:type="paragraph" w:styleId="2">
    <w:name w:val="heading 2"/>
    <w:basedOn w:val="a8"/>
    <w:next w:val="a8"/>
    <w:link w:val="20"/>
    <w:semiHidden/>
    <w:unhideWhenUsed/>
    <w:qFormat/>
    <w:rsid w:val="005943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8"/>
    <w:next w:val="a8"/>
    <w:link w:val="30"/>
    <w:semiHidden/>
    <w:unhideWhenUsed/>
    <w:qFormat/>
    <w:rsid w:val="003737C1"/>
    <w:pPr>
      <w:keepNext/>
      <w:keepLines/>
      <w:spacing w:before="260" w:after="260" w:line="416" w:lineRule="auto"/>
      <w:outlineLvl w:val="2"/>
    </w:pPr>
    <w:rPr>
      <w:b/>
      <w:bCs/>
      <w:sz w:val="32"/>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styleId="ac">
    <w:name w:val="page number"/>
    <w:basedOn w:val="a9"/>
    <w:rsid w:val="00C620B0"/>
  </w:style>
  <w:style w:type="paragraph" w:styleId="ad">
    <w:name w:val="header"/>
    <w:basedOn w:val="a8"/>
    <w:rsid w:val="00C620B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1">
    <w:name w:val="Body Text Indent 3"/>
    <w:basedOn w:val="a8"/>
    <w:rsid w:val="00C620B0"/>
    <w:pPr>
      <w:tabs>
        <w:tab w:val="left" w:pos="0"/>
      </w:tabs>
      <w:spacing w:line="360" w:lineRule="exact"/>
      <w:ind w:firstLine="540"/>
      <w:jc w:val="left"/>
    </w:pPr>
    <w:rPr>
      <w:sz w:val="24"/>
    </w:rPr>
  </w:style>
  <w:style w:type="paragraph" w:styleId="ae">
    <w:name w:val="Body Text Indent"/>
    <w:basedOn w:val="a8"/>
    <w:link w:val="af"/>
    <w:rsid w:val="00C620B0"/>
    <w:pPr>
      <w:spacing w:line="360" w:lineRule="exact"/>
      <w:ind w:firstLineChars="175" w:firstLine="420"/>
    </w:pPr>
    <w:rPr>
      <w:sz w:val="24"/>
    </w:rPr>
  </w:style>
  <w:style w:type="paragraph" w:styleId="af0">
    <w:name w:val="Document Map"/>
    <w:basedOn w:val="a8"/>
    <w:rsid w:val="00C620B0"/>
    <w:pPr>
      <w:shd w:val="clear" w:color="auto" w:fill="000080"/>
    </w:pPr>
  </w:style>
  <w:style w:type="paragraph" w:styleId="af1">
    <w:name w:val="footer"/>
    <w:basedOn w:val="a8"/>
    <w:link w:val="af2"/>
    <w:uiPriority w:val="99"/>
    <w:rsid w:val="00C620B0"/>
    <w:pPr>
      <w:tabs>
        <w:tab w:val="center" w:pos="4153"/>
        <w:tab w:val="right" w:pos="8306"/>
      </w:tabs>
      <w:snapToGrid w:val="0"/>
      <w:jc w:val="left"/>
    </w:pPr>
    <w:rPr>
      <w:sz w:val="18"/>
    </w:rPr>
  </w:style>
  <w:style w:type="paragraph" w:customStyle="1" w:styleId="af3">
    <w:name w:val="段"/>
    <w:link w:val="Char"/>
    <w:qFormat/>
    <w:rsid w:val="00C620B0"/>
    <w:pPr>
      <w:autoSpaceDE w:val="0"/>
      <w:autoSpaceDN w:val="0"/>
      <w:ind w:firstLineChars="200" w:firstLine="200"/>
      <w:jc w:val="both"/>
    </w:pPr>
    <w:rPr>
      <w:rFonts w:ascii="宋体"/>
      <w:sz w:val="21"/>
    </w:rPr>
  </w:style>
  <w:style w:type="paragraph" w:customStyle="1" w:styleId="af4">
    <w:name w:val="封面标准名称"/>
    <w:rsid w:val="00DB20CE"/>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character" w:styleId="af5">
    <w:name w:val="Emphasis"/>
    <w:basedOn w:val="a9"/>
    <w:uiPriority w:val="20"/>
    <w:qFormat/>
    <w:rsid w:val="00CF53B1"/>
    <w:rPr>
      <w:i/>
      <w:iCs/>
    </w:rPr>
  </w:style>
  <w:style w:type="character" w:styleId="af6">
    <w:name w:val="Hyperlink"/>
    <w:basedOn w:val="a9"/>
    <w:rsid w:val="00DD228A"/>
    <w:rPr>
      <w:noProof/>
      <w:color w:val="0000FF"/>
      <w:spacing w:val="0"/>
      <w:w w:val="100"/>
      <w:szCs w:val="21"/>
      <w:u w:val="single"/>
    </w:rPr>
  </w:style>
  <w:style w:type="paragraph" w:styleId="TOC1">
    <w:name w:val="toc 1"/>
    <w:basedOn w:val="a8"/>
    <w:next w:val="a8"/>
    <w:autoRedefine/>
    <w:semiHidden/>
    <w:rsid w:val="00DD228A"/>
    <w:pPr>
      <w:tabs>
        <w:tab w:val="right" w:leader="dot" w:pos="9241"/>
      </w:tabs>
      <w:spacing w:beforeLines="25" w:afterLines="25"/>
      <w:jc w:val="left"/>
    </w:pPr>
    <w:rPr>
      <w:rFonts w:ascii="宋体"/>
      <w:szCs w:val="21"/>
    </w:rPr>
  </w:style>
  <w:style w:type="paragraph" w:styleId="TOC2">
    <w:name w:val="toc 2"/>
    <w:basedOn w:val="a8"/>
    <w:next w:val="a8"/>
    <w:autoRedefine/>
    <w:semiHidden/>
    <w:rsid w:val="00DD228A"/>
    <w:pPr>
      <w:tabs>
        <w:tab w:val="left" w:pos="840"/>
        <w:tab w:val="right" w:leader="dot" w:pos="9241"/>
        <w:tab w:val="right" w:leader="dot" w:pos="9345"/>
      </w:tabs>
    </w:pPr>
    <w:rPr>
      <w:rFonts w:ascii="宋体"/>
      <w:szCs w:val="21"/>
    </w:rPr>
  </w:style>
  <w:style w:type="paragraph" w:customStyle="1" w:styleId="a0">
    <w:name w:val="一级条标题"/>
    <w:next w:val="af3"/>
    <w:rsid w:val="00B74BBC"/>
    <w:pPr>
      <w:numPr>
        <w:ilvl w:val="1"/>
        <w:numId w:val="5"/>
      </w:numPr>
      <w:spacing w:beforeLines="50" w:afterLines="50"/>
      <w:outlineLvl w:val="2"/>
    </w:pPr>
    <w:rPr>
      <w:rFonts w:ascii="黑体" w:eastAsia="黑体"/>
      <w:sz w:val="21"/>
      <w:szCs w:val="21"/>
    </w:rPr>
  </w:style>
  <w:style w:type="paragraph" w:customStyle="1" w:styleId="a">
    <w:name w:val="章标题"/>
    <w:next w:val="af3"/>
    <w:rsid w:val="00B74BBC"/>
    <w:pPr>
      <w:numPr>
        <w:numId w:val="5"/>
      </w:numPr>
      <w:spacing w:beforeLines="100" w:afterLines="100"/>
      <w:jc w:val="both"/>
      <w:outlineLvl w:val="1"/>
    </w:pPr>
    <w:rPr>
      <w:rFonts w:ascii="黑体" w:eastAsia="黑体"/>
      <w:sz w:val="21"/>
    </w:rPr>
  </w:style>
  <w:style w:type="paragraph" w:customStyle="1" w:styleId="a1">
    <w:name w:val="二级条标题"/>
    <w:basedOn w:val="a0"/>
    <w:next w:val="af3"/>
    <w:rsid w:val="00B74BBC"/>
    <w:pPr>
      <w:numPr>
        <w:ilvl w:val="2"/>
      </w:numPr>
      <w:spacing w:before="50" w:after="50"/>
      <w:outlineLvl w:val="3"/>
    </w:pPr>
  </w:style>
  <w:style w:type="paragraph" w:customStyle="1" w:styleId="a2">
    <w:name w:val="四级条标题"/>
    <w:basedOn w:val="a8"/>
    <w:next w:val="af3"/>
    <w:rsid w:val="00B74BBC"/>
    <w:pPr>
      <w:widowControl/>
      <w:numPr>
        <w:ilvl w:val="4"/>
        <w:numId w:val="5"/>
      </w:numPr>
      <w:spacing w:beforeLines="50" w:afterLines="50"/>
      <w:jc w:val="left"/>
      <w:outlineLvl w:val="5"/>
    </w:pPr>
    <w:rPr>
      <w:rFonts w:ascii="黑体" w:eastAsia="黑体"/>
      <w:kern w:val="0"/>
      <w:szCs w:val="21"/>
    </w:rPr>
  </w:style>
  <w:style w:type="paragraph" w:customStyle="1" w:styleId="a3">
    <w:name w:val="五级条标题"/>
    <w:basedOn w:val="a2"/>
    <w:next w:val="af3"/>
    <w:rsid w:val="00B74BBC"/>
    <w:pPr>
      <w:numPr>
        <w:ilvl w:val="5"/>
      </w:numPr>
      <w:outlineLvl w:val="6"/>
    </w:pPr>
  </w:style>
  <w:style w:type="paragraph" w:customStyle="1" w:styleId="af7">
    <w:name w:val="二级无"/>
    <w:basedOn w:val="a1"/>
    <w:rsid w:val="00B74BBC"/>
    <w:pPr>
      <w:spacing w:beforeLines="0" w:afterLines="0"/>
    </w:pPr>
    <w:rPr>
      <w:rFonts w:ascii="宋体" w:eastAsia="宋体"/>
    </w:rPr>
  </w:style>
  <w:style w:type="table" w:styleId="af8">
    <w:name w:val="Table Grid"/>
    <w:basedOn w:val="aa"/>
    <w:rsid w:val="004D4F82"/>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2">
    <w:name w:val="页脚 字符"/>
    <w:basedOn w:val="a9"/>
    <w:link w:val="af1"/>
    <w:uiPriority w:val="99"/>
    <w:rsid w:val="002D0900"/>
    <w:rPr>
      <w:kern w:val="2"/>
      <w:sz w:val="18"/>
    </w:rPr>
  </w:style>
  <w:style w:type="paragraph" w:styleId="af9">
    <w:name w:val="Normal (Web)"/>
    <w:basedOn w:val="a8"/>
    <w:uiPriority w:val="99"/>
    <w:unhideWhenUsed/>
    <w:rsid w:val="00A73D81"/>
    <w:pPr>
      <w:widowControl/>
      <w:spacing w:before="100" w:beforeAutospacing="1" w:after="100" w:afterAutospacing="1"/>
      <w:jc w:val="left"/>
    </w:pPr>
    <w:rPr>
      <w:rFonts w:ascii="宋体" w:hAnsi="宋体" w:cs="宋体"/>
      <w:kern w:val="0"/>
      <w:sz w:val="24"/>
      <w:szCs w:val="24"/>
    </w:rPr>
  </w:style>
  <w:style w:type="paragraph" w:customStyle="1" w:styleId="afa">
    <w:name w:val="段(正文）"/>
    <w:qFormat/>
    <w:rsid w:val="00025583"/>
    <w:pPr>
      <w:ind w:firstLine="420"/>
      <w:jc w:val="both"/>
    </w:pPr>
    <w:rPr>
      <w:rFonts w:ascii="宋体" w:hAnsi="宋体"/>
      <w:color w:val="000000"/>
      <w:sz w:val="21"/>
    </w:rPr>
  </w:style>
  <w:style w:type="paragraph" w:customStyle="1" w:styleId="a7">
    <w:name w:val="列项（——）"/>
    <w:rsid w:val="00322F89"/>
    <w:pPr>
      <w:widowControl w:val="0"/>
      <w:numPr>
        <w:numId w:val="6"/>
      </w:numPr>
      <w:tabs>
        <w:tab w:val="left" w:pos="868"/>
        <w:tab w:val="left" w:pos="896"/>
        <w:tab w:val="left" w:pos="1505"/>
      </w:tabs>
      <w:ind w:left="851" w:hanging="426"/>
    </w:pPr>
    <w:rPr>
      <w:rFonts w:ascii="宋体" w:hAnsi="宋体"/>
      <w:color w:val="000000"/>
      <w:sz w:val="21"/>
    </w:rPr>
  </w:style>
  <w:style w:type="paragraph" w:styleId="afb">
    <w:name w:val="Date"/>
    <w:basedOn w:val="a8"/>
    <w:next w:val="a8"/>
    <w:link w:val="afc"/>
    <w:rsid w:val="000E79EC"/>
    <w:pPr>
      <w:ind w:leftChars="2500" w:left="100"/>
    </w:pPr>
  </w:style>
  <w:style w:type="character" w:customStyle="1" w:styleId="afc">
    <w:name w:val="日期 字符"/>
    <w:basedOn w:val="a9"/>
    <w:link w:val="afb"/>
    <w:rsid w:val="000E79EC"/>
    <w:rPr>
      <w:kern w:val="2"/>
      <w:sz w:val="21"/>
    </w:rPr>
  </w:style>
  <w:style w:type="character" w:customStyle="1" w:styleId="af">
    <w:name w:val="正文文本缩进 字符"/>
    <w:basedOn w:val="a9"/>
    <w:link w:val="ae"/>
    <w:rsid w:val="006E5121"/>
    <w:rPr>
      <w:kern w:val="2"/>
      <w:sz w:val="24"/>
    </w:rPr>
  </w:style>
  <w:style w:type="character" w:customStyle="1" w:styleId="10">
    <w:name w:val="标题 1 字符"/>
    <w:basedOn w:val="a9"/>
    <w:link w:val="1"/>
    <w:rsid w:val="00FF5EE1"/>
    <w:rPr>
      <w:b/>
      <w:bCs/>
      <w:kern w:val="44"/>
      <w:sz w:val="44"/>
      <w:szCs w:val="44"/>
    </w:rPr>
  </w:style>
  <w:style w:type="character" w:styleId="afd">
    <w:name w:val="Strong"/>
    <w:basedOn w:val="a9"/>
    <w:uiPriority w:val="22"/>
    <w:qFormat/>
    <w:rsid w:val="00476010"/>
    <w:rPr>
      <w:b/>
      <w:bCs/>
    </w:rPr>
  </w:style>
  <w:style w:type="character" w:customStyle="1" w:styleId="20">
    <w:name w:val="标题 2 字符"/>
    <w:basedOn w:val="a9"/>
    <w:link w:val="2"/>
    <w:semiHidden/>
    <w:rsid w:val="005943F6"/>
    <w:rPr>
      <w:rFonts w:asciiTheme="majorHAnsi" w:eastAsiaTheme="majorEastAsia" w:hAnsiTheme="majorHAnsi" w:cstheme="majorBidi"/>
      <w:b/>
      <w:bCs/>
      <w:kern w:val="2"/>
      <w:sz w:val="32"/>
      <w:szCs w:val="32"/>
    </w:rPr>
  </w:style>
  <w:style w:type="character" w:customStyle="1" w:styleId="30">
    <w:name w:val="标题 3 字符"/>
    <w:basedOn w:val="a9"/>
    <w:link w:val="3"/>
    <w:semiHidden/>
    <w:rsid w:val="003737C1"/>
    <w:rPr>
      <w:b/>
      <w:bCs/>
      <w:kern w:val="2"/>
      <w:sz w:val="32"/>
      <w:szCs w:val="32"/>
    </w:rPr>
  </w:style>
  <w:style w:type="paragraph" w:customStyle="1" w:styleId="afe">
    <w:name w:val="标准文件_段"/>
    <w:link w:val="Char0"/>
    <w:rsid w:val="008A2F9E"/>
    <w:pPr>
      <w:autoSpaceDE w:val="0"/>
      <w:autoSpaceDN w:val="0"/>
      <w:ind w:firstLineChars="200" w:firstLine="200"/>
      <w:jc w:val="both"/>
    </w:pPr>
    <w:rPr>
      <w:rFonts w:ascii="宋体"/>
      <w:noProof/>
      <w:sz w:val="21"/>
    </w:rPr>
  </w:style>
  <w:style w:type="character" w:customStyle="1" w:styleId="Char0">
    <w:name w:val="标准文件_段 Char"/>
    <w:link w:val="afe"/>
    <w:rsid w:val="008A2F9E"/>
    <w:rPr>
      <w:rFonts w:ascii="宋体"/>
      <w:noProof/>
      <w:sz w:val="21"/>
    </w:rPr>
  </w:style>
  <w:style w:type="paragraph" w:styleId="aff">
    <w:name w:val="Balloon Text"/>
    <w:basedOn w:val="a8"/>
    <w:link w:val="aff0"/>
    <w:semiHidden/>
    <w:unhideWhenUsed/>
    <w:rsid w:val="00612122"/>
    <w:rPr>
      <w:sz w:val="18"/>
      <w:szCs w:val="18"/>
    </w:rPr>
  </w:style>
  <w:style w:type="character" w:customStyle="1" w:styleId="aff0">
    <w:name w:val="批注框文本 字符"/>
    <w:basedOn w:val="a9"/>
    <w:link w:val="aff"/>
    <w:semiHidden/>
    <w:rsid w:val="00612122"/>
    <w:rPr>
      <w:kern w:val="2"/>
      <w:sz w:val="18"/>
      <w:szCs w:val="18"/>
    </w:rPr>
  </w:style>
  <w:style w:type="character" w:customStyle="1" w:styleId="Char">
    <w:name w:val="段 Char"/>
    <w:link w:val="af3"/>
    <w:rsid w:val="0042327D"/>
    <w:rPr>
      <w:rFonts w:ascii="宋体"/>
      <w:sz w:val="21"/>
    </w:rPr>
  </w:style>
  <w:style w:type="paragraph" w:customStyle="1" w:styleId="a5">
    <w:name w:val="标准文件_数字编号列项（二级）"/>
    <w:rsid w:val="001616B4"/>
    <w:pPr>
      <w:numPr>
        <w:ilvl w:val="1"/>
        <w:numId w:val="7"/>
      </w:numPr>
      <w:jc w:val="both"/>
    </w:pPr>
    <w:rPr>
      <w:rFonts w:ascii="宋体"/>
      <w:sz w:val="21"/>
    </w:rPr>
  </w:style>
  <w:style w:type="paragraph" w:customStyle="1" w:styleId="a6">
    <w:name w:val="标准文件_编号列项（三级）"/>
    <w:rsid w:val="001616B4"/>
    <w:pPr>
      <w:numPr>
        <w:ilvl w:val="2"/>
        <w:numId w:val="7"/>
      </w:numPr>
    </w:pPr>
    <w:rPr>
      <w:rFonts w:ascii="宋体"/>
      <w:sz w:val="21"/>
    </w:rPr>
  </w:style>
  <w:style w:type="paragraph" w:customStyle="1" w:styleId="a4">
    <w:name w:val="标准文件_字母编号列项（一级）"/>
    <w:rsid w:val="001616B4"/>
    <w:pPr>
      <w:numPr>
        <w:numId w:val="7"/>
      </w:num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5883">
      <w:bodyDiv w:val="1"/>
      <w:marLeft w:val="0"/>
      <w:marRight w:val="0"/>
      <w:marTop w:val="0"/>
      <w:marBottom w:val="0"/>
      <w:divBdr>
        <w:top w:val="none" w:sz="0" w:space="0" w:color="auto"/>
        <w:left w:val="none" w:sz="0" w:space="0" w:color="auto"/>
        <w:bottom w:val="none" w:sz="0" w:space="0" w:color="auto"/>
        <w:right w:val="none" w:sz="0" w:space="0" w:color="auto"/>
      </w:divBdr>
      <w:divsChild>
        <w:div w:id="1635941341">
          <w:marLeft w:val="0"/>
          <w:marRight w:val="0"/>
          <w:marTop w:val="0"/>
          <w:marBottom w:val="0"/>
          <w:divBdr>
            <w:top w:val="none" w:sz="0" w:space="0" w:color="auto"/>
            <w:left w:val="none" w:sz="0" w:space="0" w:color="auto"/>
            <w:bottom w:val="none" w:sz="0" w:space="0" w:color="auto"/>
            <w:right w:val="none" w:sz="0" w:space="0" w:color="auto"/>
          </w:divBdr>
          <w:divsChild>
            <w:div w:id="1160275300">
              <w:marLeft w:val="0"/>
              <w:marRight w:val="0"/>
              <w:marTop w:val="0"/>
              <w:marBottom w:val="0"/>
              <w:divBdr>
                <w:top w:val="none" w:sz="0" w:space="0" w:color="auto"/>
                <w:left w:val="none" w:sz="0" w:space="0" w:color="auto"/>
                <w:bottom w:val="none" w:sz="0" w:space="0" w:color="auto"/>
                <w:right w:val="none" w:sz="0" w:space="0" w:color="auto"/>
              </w:divBdr>
            </w:div>
            <w:div w:id="1452238787">
              <w:marLeft w:val="0"/>
              <w:marRight w:val="0"/>
              <w:marTop w:val="0"/>
              <w:marBottom w:val="0"/>
              <w:divBdr>
                <w:top w:val="none" w:sz="0" w:space="0" w:color="auto"/>
                <w:left w:val="none" w:sz="0" w:space="0" w:color="auto"/>
                <w:bottom w:val="none" w:sz="0" w:space="0" w:color="auto"/>
                <w:right w:val="none" w:sz="0" w:space="0" w:color="auto"/>
              </w:divBdr>
            </w:div>
            <w:div w:id="167792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63615">
      <w:bodyDiv w:val="1"/>
      <w:marLeft w:val="0"/>
      <w:marRight w:val="0"/>
      <w:marTop w:val="0"/>
      <w:marBottom w:val="0"/>
      <w:divBdr>
        <w:top w:val="none" w:sz="0" w:space="0" w:color="auto"/>
        <w:left w:val="none" w:sz="0" w:space="0" w:color="auto"/>
        <w:bottom w:val="none" w:sz="0" w:space="0" w:color="auto"/>
        <w:right w:val="none" w:sz="0" w:space="0" w:color="auto"/>
      </w:divBdr>
    </w:div>
    <w:div w:id="775713421">
      <w:bodyDiv w:val="1"/>
      <w:marLeft w:val="0"/>
      <w:marRight w:val="0"/>
      <w:marTop w:val="0"/>
      <w:marBottom w:val="0"/>
      <w:divBdr>
        <w:top w:val="none" w:sz="0" w:space="0" w:color="auto"/>
        <w:left w:val="none" w:sz="0" w:space="0" w:color="auto"/>
        <w:bottom w:val="none" w:sz="0" w:space="0" w:color="auto"/>
        <w:right w:val="none" w:sz="0" w:space="0" w:color="auto"/>
      </w:divBdr>
      <w:divsChild>
        <w:div w:id="1528446224">
          <w:marLeft w:val="0"/>
          <w:marRight w:val="0"/>
          <w:marTop w:val="0"/>
          <w:marBottom w:val="0"/>
          <w:divBdr>
            <w:top w:val="none" w:sz="0" w:space="0" w:color="auto"/>
            <w:left w:val="none" w:sz="0" w:space="0" w:color="auto"/>
            <w:bottom w:val="none" w:sz="0" w:space="0" w:color="auto"/>
            <w:right w:val="none" w:sz="0" w:space="0" w:color="auto"/>
          </w:divBdr>
          <w:divsChild>
            <w:div w:id="209927074">
              <w:marLeft w:val="0"/>
              <w:marRight w:val="0"/>
              <w:marTop w:val="0"/>
              <w:marBottom w:val="0"/>
              <w:divBdr>
                <w:top w:val="none" w:sz="0" w:space="0" w:color="auto"/>
                <w:left w:val="none" w:sz="0" w:space="0" w:color="auto"/>
                <w:bottom w:val="none" w:sz="0" w:space="0" w:color="auto"/>
                <w:right w:val="none" w:sz="0" w:space="0" w:color="auto"/>
              </w:divBdr>
            </w:div>
            <w:div w:id="223831646">
              <w:marLeft w:val="0"/>
              <w:marRight w:val="0"/>
              <w:marTop w:val="0"/>
              <w:marBottom w:val="0"/>
              <w:divBdr>
                <w:top w:val="none" w:sz="0" w:space="0" w:color="auto"/>
                <w:left w:val="none" w:sz="0" w:space="0" w:color="auto"/>
                <w:bottom w:val="none" w:sz="0" w:space="0" w:color="auto"/>
                <w:right w:val="none" w:sz="0" w:space="0" w:color="auto"/>
              </w:divBdr>
            </w:div>
            <w:div w:id="264384283">
              <w:marLeft w:val="0"/>
              <w:marRight w:val="0"/>
              <w:marTop w:val="0"/>
              <w:marBottom w:val="0"/>
              <w:divBdr>
                <w:top w:val="none" w:sz="0" w:space="0" w:color="auto"/>
                <w:left w:val="none" w:sz="0" w:space="0" w:color="auto"/>
                <w:bottom w:val="none" w:sz="0" w:space="0" w:color="auto"/>
                <w:right w:val="none" w:sz="0" w:space="0" w:color="auto"/>
              </w:divBdr>
            </w:div>
            <w:div w:id="1027097725">
              <w:marLeft w:val="0"/>
              <w:marRight w:val="0"/>
              <w:marTop w:val="0"/>
              <w:marBottom w:val="0"/>
              <w:divBdr>
                <w:top w:val="none" w:sz="0" w:space="0" w:color="auto"/>
                <w:left w:val="none" w:sz="0" w:space="0" w:color="auto"/>
                <w:bottom w:val="none" w:sz="0" w:space="0" w:color="auto"/>
                <w:right w:val="none" w:sz="0" w:space="0" w:color="auto"/>
              </w:divBdr>
            </w:div>
            <w:div w:id="116170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38982">
      <w:bodyDiv w:val="1"/>
      <w:marLeft w:val="0"/>
      <w:marRight w:val="0"/>
      <w:marTop w:val="0"/>
      <w:marBottom w:val="0"/>
      <w:divBdr>
        <w:top w:val="none" w:sz="0" w:space="0" w:color="auto"/>
        <w:left w:val="none" w:sz="0" w:space="0" w:color="auto"/>
        <w:bottom w:val="none" w:sz="0" w:space="0" w:color="auto"/>
        <w:right w:val="none" w:sz="0" w:space="0" w:color="auto"/>
      </w:divBdr>
      <w:divsChild>
        <w:div w:id="257102948">
          <w:marLeft w:val="0"/>
          <w:marRight w:val="0"/>
          <w:marTop w:val="0"/>
          <w:marBottom w:val="0"/>
          <w:divBdr>
            <w:top w:val="none" w:sz="0" w:space="0" w:color="auto"/>
            <w:left w:val="none" w:sz="0" w:space="0" w:color="auto"/>
            <w:bottom w:val="none" w:sz="0" w:space="0" w:color="auto"/>
            <w:right w:val="none" w:sz="0" w:space="0" w:color="auto"/>
          </w:divBdr>
          <w:divsChild>
            <w:div w:id="375087395">
              <w:marLeft w:val="0"/>
              <w:marRight w:val="0"/>
              <w:marTop w:val="0"/>
              <w:marBottom w:val="0"/>
              <w:divBdr>
                <w:top w:val="none" w:sz="0" w:space="0" w:color="auto"/>
                <w:left w:val="none" w:sz="0" w:space="0" w:color="auto"/>
                <w:bottom w:val="none" w:sz="0" w:space="0" w:color="auto"/>
                <w:right w:val="none" w:sz="0" w:space="0" w:color="auto"/>
              </w:divBdr>
            </w:div>
            <w:div w:id="558788817">
              <w:marLeft w:val="0"/>
              <w:marRight w:val="0"/>
              <w:marTop w:val="0"/>
              <w:marBottom w:val="0"/>
              <w:divBdr>
                <w:top w:val="none" w:sz="0" w:space="0" w:color="auto"/>
                <w:left w:val="none" w:sz="0" w:space="0" w:color="auto"/>
                <w:bottom w:val="none" w:sz="0" w:space="0" w:color="auto"/>
                <w:right w:val="none" w:sz="0" w:space="0" w:color="auto"/>
              </w:divBdr>
            </w:div>
            <w:div w:id="674038087">
              <w:marLeft w:val="0"/>
              <w:marRight w:val="0"/>
              <w:marTop w:val="0"/>
              <w:marBottom w:val="0"/>
              <w:divBdr>
                <w:top w:val="none" w:sz="0" w:space="0" w:color="auto"/>
                <w:left w:val="none" w:sz="0" w:space="0" w:color="auto"/>
                <w:bottom w:val="none" w:sz="0" w:space="0" w:color="auto"/>
                <w:right w:val="none" w:sz="0" w:space="0" w:color="auto"/>
              </w:divBdr>
            </w:div>
            <w:div w:id="210406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56755">
      <w:bodyDiv w:val="1"/>
      <w:marLeft w:val="0"/>
      <w:marRight w:val="0"/>
      <w:marTop w:val="0"/>
      <w:marBottom w:val="0"/>
      <w:divBdr>
        <w:top w:val="none" w:sz="0" w:space="0" w:color="auto"/>
        <w:left w:val="none" w:sz="0" w:space="0" w:color="auto"/>
        <w:bottom w:val="none" w:sz="0" w:space="0" w:color="auto"/>
        <w:right w:val="none" w:sz="0" w:space="0" w:color="auto"/>
      </w:divBdr>
      <w:divsChild>
        <w:div w:id="192233582">
          <w:marLeft w:val="0"/>
          <w:marRight w:val="0"/>
          <w:marTop w:val="0"/>
          <w:marBottom w:val="0"/>
          <w:divBdr>
            <w:top w:val="none" w:sz="0" w:space="0" w:color="auto"/>
            <w:left w:val="none" w:sz="0" w:space="0" w:color="auto"/>
            <w:bottom w:val="none" w:sz="0" w:space="0" w:color="auto"/>
            <w:right w:val="none" w:sz="0" w:space="0" w:color="auto"/>
          </w:divBdr>
          <w:divsChild>
            <w:div w:id="745105665">
              <w:marLeft w:val="0"/>
              <w:marRight w:val="0"/>
              <w:marTop w:val="0"/>
              <w:marBottom w:val="0"/>
              <w:divBdr>
                <w:top w:val="none" w:sz="0" w:space="0" w:color="auto"/>
                <w:left w:val="none" w:sz="0" w:space="0" w:color="auto"/>
                <w:bottom w:val="none" w:sz="0" w:space="0" w:color="auto"/>
                <w:right w:val="none" w:sz="0" w:space="0" w:color="auto"/>
              </w:divBdr>
            </w:div>
            <w:div w:id="957179491">
              <w:marLeft w:val="0"/>
              <w:marRight w:val="0"/>
              <w:marTop w:val="0"/>
              <w:marBottom w:val="0"/>
              <w:divBdr>
                <w:top w:val="none" w:sz="0" w:space="0" w:color="auto"/>
                <w:left w:val="none" w:sz="0" w:space="0" w:color="auto"/>
                <w:bottom w:val="none" w:sz="0" w:space="0" w:color="auto"/>
                <w:right w:val="none" w:sz="0" w:space="0" w:color="auto"/>
              </w:divBdr>
            </w:div>
            <w:div w:id="1004672907">
              <w:marLeft w:val="0"/>
              <w:marRight w:val="0"/>
              <w:marTop w:val="0"/>
              <w:marBottom w:val="0"/>
              <w:divBdr>
                <w:top w:val="none" w:sz="0" w:space="0" w:color="auto"/>
                <w:left w:val="none" w:sz="0" w:space="0" w:color="auto"/>
                <w:bottom w:val="none" w:sz="0" w:space="0" w:color="auto"/>
                <w:right w:val="none" w:sz="0" w:space="0" w:color="auto"/>
              </w:divBdr>
            </w:div>
            <w:div w:id="183757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20012">
      <w:bodyDiv w:val="1"/>
      <w:marLeft w:val="0"/>
      <w:marRight w:val="0"/>
      <w:marTop w:val="0"/>
      <w:marBottom w:val="0"/>
      <w:divBdr>
        <w:top w:val="none" w:sz="0" w:space="0" w:color="auto"/>
        <w:left w:val="none" w:sz="0" w:space="0" w:color="auto"/>
        <w:bottom w:val="none" w:sz="0" w:space="0" w:color="auto"/>
        <w:right w:val="none" w:sz="0" w:space="0" w:color="auto"/>
      </w:divBdr>
      <w:divsChild>
        <w:div w:id="1208761177">
          <w:marLeft w:val="0"/>
          <w:marRight w:val="0"/>
          <w:marTop w:val="0"/>
          <w:marBottom w:val="0"/>
          <w:divBdr>
            <w:top w:val="none" w:sz="0" w:space="0" w:color="auto"/>
            <w:left w:val="none" w:sz="0" w:space="0" w:color="auto"/>
            <w:bottom w:val="none" w:sz="0" w:space="0" w:color="auto"/>
            <w:right w:val="none" w:sz="0" w:space="0" w:color="auto"/>
          </w:divBdr>
          <w:divsChild>
            <w:div w:id="99707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21827">
      <w:bodyDiv w:val="1"/>
      <w:marLeft w:val="0"/>
      <w:marRight w:val="0"/>
      <w:marTop w:val="0"/>
      <w:marBottom w:val="0"/>
      <w:divBdr>
        <w:top w:val="none" w:sz="0" w:space="0" w:color="auto"/>
        <w:left w:val="none" w:sz="0" w:space="0" w:color="auto"/>
        <w:bottom w:val="none" w:sz="0" w:space="0" w:color="auto"/>
        <w:right w:val="none" w:sz="0" w:space="0" w:color="auto"/>
      </w:divBdr>
    </w:div>
    <w:div w:id="1728919835">
      <w:bodyDiv w:val="1"/>
      <w:marLeft w:val="0"/>
      <w:marRight w:val="0"/>
      <w:marTop w:val="0"/>
      <w:marBottom w:val="0"/>
      <w:divBdr>
        <w:top w:val="none" w:sz="0" w:space="0" w:color="auto"/>
        <w:left w:val="none" w:sz="0" w:space="0" w:color="auto"/>
        <w:bottom w:val="none" w:sz="0" w:space="0" w:color="auto"/>
        <w:right w:val="none" w:sz="0" w:space="0" w:color="auto"/>
      </w:divBdr>
    </w:div>
    <w:div w:id="2099204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21369-4F37-42D1-8668-C73BCA43B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12</Pages>
  <Words>2892</Words>
  <Characters>2950</Characters>
  <Application>Microsoft Office Word</Application>
  <DocSecurity>0</DocSecurity>
  <PresentationFormat/>
  <Lines>327</Lines>
  <Paragraphs>307</Paragraphs>
  <Slides>0</Slides>
  <Notes>0</Notes>
  <HiddenSlides>0</HiddenSlides>
  <MMClips>0</MMClips>
  <ScaleCrop>false</ScaleCrop>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《电梯主要部件判废标准》</dc:title>
  <dc:creator>HL</dc:creator>
  <cp:lastModifiedBy>lh_jiangyin@126.com</cp:lastModifiedBy>
  <cp:revision>85</cp:revision>
  <cp:lastPrinted>2024-01-11T03:31:00Z</cp:lastPrinted>
  <dcterms:created xsi:type="dcterms:W3CDTF">2019-08-05T00:35:00Z</dcterms:created>
  <dcterms:modified xsi:type="dcterms:W3CDTF">2025-08-27T13:34:00Z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