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9A21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98605D7">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00F14D5">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03.120.20</w:t>
            </w:r>
            <w:r>
              <w:rPr>
                <w:rFonts w:ascii="黑体" w:hAnsi="黑体" w:eastAsia="黑体"/>
                <w:sz w:val="21"/>
                <w:szCs w:val="21"/>
              </w:rPr>
              <w:fldChar w:fldCharType="end"/>
            </w:r>
            <w:bookmarkEnd w:id="0"/>
          </w:p>
        </w:tc>
      </w:tr>
      <w:tr w14:paraId="1F6AE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3CB60A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7BD1B8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00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6661"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661"/>
      </w:tblGrid>
      <w:tr w14:paraId="1AF9D58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14:paraId="52A808EC">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41B41FC1">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CC28ED7">
      <w:pPr>
        <w:pStyle w:val="195"/>
        <w:framePr w:wrap="around"/>
      </w:pPr>
      <w:r>
        <w:t>DB</w:t>
      </w:r>
      <w:r>
        <w:rPr>
          <w:sz w:val="15"/>
          <w:szCs w:val="15"/>
        </w:rPr>
        <w:t xml:space="preserve"> </w:t>
      </w:r>
      <w:r>
        <w:fldChar w:fldCharType="begin">
          <w:ffData>
            <w:name w:val="文字1"/>
            <w:enabled/>
            <w:calcOnExit w:val="0"/>
            <w:textInput>
              <w:default w:val="XX"/>
            </w:textInput>
          </w:ffData>
        </w:fldChar>
      </w:r>
      <w:bookmarkStart w:id="5" w:name="文字1"/>
      <w:r>
        <w:instrText xml:space="preserve"> FORMTEXT </w:instrText>
      </w:r>
      <w:r>
        <w:fldChar w:fldCharType="separate"/>
      </w:r>
      <w:r>
        <w:t>34/T</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202</w:t>
      </w:r>
      <w:r>
        <w:rPr>
          <w:rFonts w:hint="eastAsia"/>
          <w:lang w:val="en-US" w:eastAsia="zh-CN"/>
        </w:rPr>
        <w:t>4</w:t>
      </w:r>
      <w:r>
        <w:fldChar w:fldCharType="end"/>
      </w:r>
      <w:bookmarkEnd w:id="7"/>
    </w:p>
    <w:p w14:paraId="136F9AD0">
      <w:pPr>
        <w:pStyle w:val="196"/>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A4B8A6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970C25B">
      <w:pPr>
        <w:pStyle w:val="50"/>
        <w:framePr w:w="9639" w:h="6976" w:hRule="exact" w:hSpace="0" w:vSpace="0" w:wrap="around" w:hAnchor="page" w:y="6408"/>
        <w:jc w:val="center"/>
        <w:rPr>
          <w:rFonts w:ascii="黑体" w:hAnsi="黑体" w:eastAsia="黑体"/>
          <w:b w:val="0"/>
          <w:bCs w:val="0"/>
          <w:w w:val="100"/>
        </w:rPr>
      </w:pPr>
    </w:p>
    <w:p w14:paraId="0DED9F04">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坚果与籽类食品生产</w:t>
      </w:r>
      <w:bookmarkStart w:id="349" w:name="_GoBack"/>
      <w:bookmarkEnd w:id="349"/>
      <w:r>
        <w:t>质量控制技术规范</w:t>
      </w:r>
      <w:r>
        <w:fldChar w:fldCharType="end"/>
      </w:r>
      <w:bookmarkEnd w:id="9"/>
    </w:p>
    <w:p w14:paraId="091F1E30">
      <w:pPr>
        <w:framePr w:w="9639" w:h="6974" w:hRule="exact" w:wrap="around" w:vAnchor="page" w:hAnchor="page" w:x="1419" w:y="6408" w:anchorLock="1"/>
        <w:ind w:left="-1418"/>
      </w:pPr>
    </w:p>
    <w:p w14:paraId="096F3A5E">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specification for quality control of nut and seed food production</w:t>
      </w:r>
    </w:p>
    <w:p w14:paraId="2DB0C245">
      <w:pPr>
        <w:pStyle w:val="125"/>
        <w:framePr w:w="9639" w:h="6974" w:hRule="exact" w:wrap="around" w:vAnchor="page" w:hAnchor="page" w:x="1419" w:y="6408" w:anchorLock="1"/>
        <w:textAlignment w:val="bottom"/>
        <w:rPr>
          <w:rFonts w:eastAsia="黑体"/>
          <w:szCs w:val="28"/>
        </w:rPr>
      </w:pPr>
      <w:r>
        <w:rPr>
          <w:rFonts w:eastAsia="黑体"/>
          <w:szCs w:val="28"/>
        </w:rPr>
        <w:fldChar w:fldCharType="end"/>
      </w:r>
      <w:bookmarkEnd w:id="10"/>
    </w:p>
    <w:p w14:paraId="4B473EE8">
      <w:pPr>
        <w:framePr w:w="9639" w:h="6974" w:hRule="exact" w:wrap="around" w:vAnchor="page" w:hAnchor="page" w:x="1419" w:y="6408" w:anchorLock="1"/>
        <w:spacing w:line="760" w:lineRule="exact"/>
        <w:ind w:left="-1418"/>
      </w:pPr>
    </w:p>
    <w:p w14:paraId="50B19433">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11"/>
    </w:p>
    <w:p w14:paraId="2D7018D7">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14:paraId="54000C40">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3"/>
    </w:p>
    <w:p w14:paraId="1681641E">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14:paraId="0CC6B952">
      <w:pPr>
        <w:pStyle w:val="193"/>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202</w:t>
      </w:r>
      <w:r>
        <w:rPr>
          <w:rFonts w:hint="eastAsia" w:ascii="黑体"/>
          <w:lang w:val="en-US" w:eastAsia="zh-CN"/>
        </w:rPr>
        <w:t>4</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14:paraId="4B2923B4">
      <w:pPr>
        <w:pStyle w:val="194"/>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202</w:t>
      </w:r>
      <w:r>
        <w:rPr>
          <w:rFonts w:hint="eastAsia" w:ascii="黑体"/>
          <w:lang w:val="en-US" w:eastAsia="zh-CN"/>
        </w:rPr>
        <w:t>4</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14:paraId="48B96398">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1"/>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FDFFB6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D4F8411">
      <w:pPr>
        <w:pStyle w:val="91"/>
        <w:bidi w:val="0"/>
        <w:spacing w:before="560"/>
        <w:rPr>
          <w:rFonts w:hint="eastAsia"/>
          <w:lang w:eastAsia="zh-CN"/>
        </w:rPr>
      </w:pPr>
      <w:bookmarkStart w:id="22" w:name="BookMark1"/>
      <w:r>
        <w:rPr>
          <w:rFonts w:hint="eastAsia"/>
          <w:spacing w:val="320"/>
          <w:lang w:eastAsia="zh-CN"/>
        </w:rPr>
        <w:t>目</w:t>
      </w:r>
      <w:r>
        <w:rPr>
          <w:rFonts w:hint="eastAsia"/>
          <w:lang w:eastAsia="zh-CN"/>
        </w:rPr>
        <w:t>次</w:t>
      </w:r>
    </w:p>
    <w:p w14:paraId="2E0C136E">
      <w:pPr>
        <w:pStyle w:val="19"/>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TOC \o "1-2" \h \u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_Toc18782 </w:instrText>
      </w:r>
      <w:r>
        <w:rPr>
          <w:rFonts w:hint="eastAsia" w:ascii="宋体" w:hAnsi="宋体" w:eastAsia="宋体" w:cs="宋体"/>
          <w:spacing w:val="0"/>
          <w:lang w:eastAsia="zh-CN"/>
        </w:rPr>
        <w:fldChar w:fldCharType="separate"/>
      </w:r>
      <w:r>
        <w:rPr>
          <w:spacing w:val="320"/>
        </w:rPr>
        <w:t>前</w:t>
      </w:r>
      <w:r>
        <w:t>言</w:t>
      </w:r>
      <w:r>
        <w:tab/>
      </w:r>
      <w:r>
        <w:fldChar w:fldCharType="begin"/>
      </w:r>
      <w:r>
        <w:instrText xml:space="preserve"> PAGEREF _Toc18782 \h </w:instrText>
      </w:r>
      <w:r>
        <w:fldChar w:fldCharType="separate"/>
      </w:r>
      <w:r>
        <w:t>III</w:t>
      </w:r>
      <w:r>
        <w:fldChar w:fldCharType="end"/>
      </w:r>
      <w:r>
        <w:rPr>
          <w:rFonts w:hint="eastAsia" w:ascii="宋体" w:hAnsi="宋体" w:eastAsia="宋体" w:cs="宋体"/>
          <w:spacing w:val="0"/>
          <w:lang w:eastAsia="zh-CN"/>
        </w:rPr>
        <w:fldChar w:fldCharType="end"/>
      </w:r>
    </w:p>
    <w:p w14:paraId="6D678FAF">
      <w:pPr>
        <w:pStyle w:val="19"/>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_Toc19074 </w:instrText>
      </w:r>
      <w:r>
        <w:rPr>
          <w:rFonts w:hint="eastAsia" w:ascii="宋体" w:hAnsi="宋体" w:eastAsia="宋体" w:cs="宋体"/>
          <w:spacing w:val="0"/>
          <w:lang w:eastAsia="zh-CN"/>
        </w:rPr>
        <w:fldChar w:fldCharType="separate"/>
      </w:r>
      <w:r>
        <w:rPr>
          <w:rFonts w:hint="eastAsia" w:ascii="黑体" w:eastAsia="黑体"/>
          <w:i w:val="0"/>
        </w:rPr>
        <w:t xml:space="preserve">1 </w:t>
      </w:r>
      <w:r>
        <w:rPr>
          <w:rFonts w:ascii="Times New Roman"/>
        </w:rPr>
        <w:t>范围</w:t>
      </w:r>
      <w:r>
        <w:tab/>
      </w:r>
      <w:r>
        <w:fldChar w:fldCharType="begin"/>
      </w:r>
      <w:r>
        <w:instrText xml:space="preserve"> PAGEREF _Toc19074 \h </w:instrText>
      </w:r>
      <w:r>
        <w:fldChar w:fldCharType="separate"/>
      </w:r>
      <w:r>
        <w:t>4</w:t>
      </w:r>
      <w:r>
        <w:fldChar w:fldCharType="end"/>
      </w:r>
      <w:r>
        <w:rPr>
          <w:rFonts w:hint="eastAsia" w:ascii="宋体" w:hAnsi="宋体" w:eastAsia="宋体" w:cs="宋体"/>
          <w:spacing w:val="0"/>
          <w:lang w:eastAsia="zh-CN"/>
        </w:rPr>
        <w:fldChar w:fldCharType="end"/>
      </w:r>
    </w:p>
    <w:p w14:paraId="3696BC6E">
      <w:pPr>
        <w:pStyle w:val="19"/>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_Toc19210 </w:instrText>
      </w:r>
      <w:r>
        <w:rPr>
          <w:rFonts w:hint="eastAsia" w:ascii="宋体" w:hAnsi="宋体" w:eastAsia="宋体" w:cs="宋体"/>
          <w:spacing w:val="0"/>
          <w:lang w:eastAsia="zh-CN"/>
        </w:rPr>
        <w:fldChar w:fldCharType="separate"/>
      </w:r>
      <w:r>
        <w:rPr>
          <w:rFonts w:hint="eastAsia" w:ascii="黑体" w:eastAsia="黑体"/>
          <w:i w:val="0"/>
        </w:rPr>
        <w:t xml:space="preserve">2 </w:t>
      </w:r>
      <w:r>
        <w:rPr>
          <w:rFonts w:ascii="Times New Roman"/>
        </w:rPr>
        <w:t>规范性引用文件</w:t>
      </w:r>
      <w:r>
        <w:tab/>
      </w:r>
      <w:r>
        <w:fldChar w:fldCharType="begin"/>
      </w:r>
      <w:r>
        <w:instrText xml:space="preserve"> PAGEREF _Toc19210 \h </w:instrText>
      </w:r>
      <w:r>
        <w:fldChar w:fldCharType="separate"/>
      </w:r>
      <w:r>
        <w:t>4</w:t>
      </w:r>
      <w:r>
        <w:fldChar w:fldCharType="end"/>
      </w:r>
      <w:r>
        <w:rPr>
          <w:rFonts w:hint="eastAsia" w:ascii="宋体" w:hAnsi="宋体" w:eastAsia="宋体" w:cs="宋体"/>
          <w:spacing w:val="0"/>
          <w:lang w:eastAsia="zh-CN"/>
        </w:rPr>
        <w:fldChar w:fldCharType="end"/>
      </w:r>
    </w:p>
    <w:p w14:paraId="54DC0975">
      <w:pPr>
        <w:pStyle w:val="19"/>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_Toc10823 </w:instrText>
      </w:r>
      <w:r>
        <w:rPr>
          <w:rFonts w:hint="eastAsia" w:ascii="宋体" w:hAnsi="宋体" w:eastAsia="宋体" w:cs="宋体"/>
          <w:spacing w:val="0"/>
          <w:lang w:eastAsia="zh-CN"/>
        </w:rP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_Toc10823 \h </w:instrText>
      </w:r>
      <w:r>
        <w:fldChar w:fldCharType="separate"/>
      </w:r>
      <w:r>
        <w:t>4</w:t>
      </w:r>
      <w:r>
        <w:fldChar w:fldCharType="end"/>
      </w:r>
      <w:r>
        <w:rPr>
          <w:rFonts w:hint="eastAsia" w:ascii="宋体" w:hAnsi="宋体" w:eastAsia="宋体" w:cs="宋体"/>
          <w:spacing w:val="0"/>
          <w:lang w:eastAsia="zh-CN"/>
        </w:rPr>
        <w:fldChar w:fldCharType="end"/>
      </w:r>
    </w:p>
    <w:p w14:paraId="53A4D7F8">
      <w:pPr>
        <w:pStyle w:val="19"/>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_Toc25600 </w:instrText>
      </w:r>
      <w:r>
        <w:rPr>
          <w:rFonts w:hint="eastAsia" w:ascii="宋体" w:hAnsi="宋体" w:eastAsia="宋体" w:cs="宋体"/>
          <w:spacing w:val="0"/>
          <w:lang w:eastAsia="zh-CN"/>
        </w:rPr>
        <w:fldChar w:fldCharType="separate"/>
      </w:r>
      <w:r>
        <w:rPr>
          <w:rFonts w:hint="eastAsia" w:ascii="黑体" w:eastAsia="黑体"/>
          <w:i w:val="0"/>
        </w:rPr>
        <w:t xml:space="preserve">4 </w:t>
      </w:r>
      <w:r>
        <w:rPr>
          <w:rFonts w:hint="eastAsia"/>
        </w:rPr>
        <w:t>总体要求</w:t>
      </w:r>
      <w:r>
        <w:tab/>
      </w:r>
      <w:r>
        <w:fldChar w:fldCharType="begin"/>
      </w:r>
      <w:r>
        <w:instrText xml:space="preserve"> PAGEREF _Toc25600 \h </w:instrText>
      </w:r>
      <w:r>
        <w:fldChar w:fldCharType="separate"/>
      </w:r>
      <w:r>
        <w:t>5</w:t>
      </w:r>
      <w:r>
        <w:fldChar w:fldCharType="end"/>
      </w:r>
      <w:r>
        <w:rPr>
          <w:rFonts w:hint="eastAsia" w:ascii="宋体" w:hAnsi="宋体" w:eastAsia="宋体" w:cs="宋体"/>
          <w:spacing w:val="0"/>
          <w:lang w:eastAsia="zh-CN"/>
        </w:rPr>
        <w:fldChar w:fldCharType="end"/>
      </w:r>
    </w:p>
    <w:p w14:paraId="77878E5A">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_Toc696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rPr>
        <w:t>指导原则</w:t>
      </w:r>
      <w:r>
        <w:tab/>
      </w:r>
      <w:r>
        <w:fldChar w:fldCharType="begin"/>
      </w:r>
      <w:r>
        <w:instrText xml:space="preserve"> PAGEREF _Toc696 \h </w:instrText>
      </w:r>
      <w:r>
        <w:fldChar w:fldCharType="separate"/>
      </w:r>
      <w:r>
        <w:t>5</w:t>
      </w:r>
      <w:r>
        <w:fldChar w:fldCharType="end"/>
      </w:r>
      <w:r>
        <w:rPr>
          <w:rFonts w:hint="eastAsia" w:ascii="宋体" w:hAnsi="宋体" w:eastAsia="宋体" w:cs="宋体"/>
          <w:spacing w:val="0"/>
          <w:lang w:eastAsia="zh-CN"/>
        </w:rPr>
        <w:fldChar w:fldCharType="end"/>
      </w:r>
    </w:p>
    <w:p w14:paraId="5B434320">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_Toc3156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rPr>
        <w:t>确定坚果与籽类食品质量要求</w:t>
      </w:r>
      <w:r>
        <w:tab/>
      </w:r>
      <w:r>
        <w:fldChar w:fldCharType="begin"/>
      </w:r>
      <w:r>
        <w:instrText xml:space="preserve"> PAGEREF _Toc3156 \h </w:instrText>
      </w:r>
      <w:r>
        <w:fldChar w:fldCharType="separate"/>
      </w:r>
      <w:r>
        <w:t>5</w:t>
      </w:r>
      <w:r>
        <w:fldChar w:fldCharType="end"/>
      </w:r>
      <w:r>
        <w:rPr>
          <w:rFonts w:hint="eastAsia" w:ascii="宋体" w:hAnsi="宋体" w:eastAsia="宋体" w:cs="宋体"/>
          <w:spacing w:val="0"/>
          <w:lang w:eastAsia="zh-CN"/>
        </w:rPr>
        <w:fldChar w:fldCharType="end"/>
      </w:r>
    </w:p>
    <w:p w14:paraId="67111AD6">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_Toc8673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hint="eastAsia"/>
        </w:rPr>
        <w:t>确定坚果与籽类食品质量影响因素</w:t>
      </w:r>
      <w:r>
        <w:tab/>
      </w:r>
      <w:r>
        <w:fldChar w:fldCharType="begin"/>
      </w:r>
      <w:r>
        <w:instrText xml:space="preserve"> PAGEREF _Toc8673 \h </w:instrText>
      </w:r>
      <w:r>
        <w:fldChar w:fldCharType="separate"/>
      </w:r>
      <w:r>
        <w:t>6</w:t>
      </w:r>
      <w:r>
        <w:fldChar w:fldCharType="end"/>
      </w:r>
      <w:r>
        <w:rPr>
          <w:rFonts w:hint="eastAsia" w:ascii="宋体" w:hAnsi="宋体" w:eastAsia="宋体" w:cs="宋体"/>
          <w:spacing w:val="0"/>
          <w:lang w:eastAsia="zh-CN"/>
        </w:rPr>
        <w:fldChar w:fldCharType="end"/>
      </w:r>
    </w:p>
    <w:p w14:paraId="3D1D7A71">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_Toc24328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4.4 </w:t>
      </w:r>
      <w:r>
        <w:rPr>
          <w:rFonts w:hint="eastAsia"/>
        </w:rPr>
        <w:t>建立坚果与籽类食品生产质量目标</w:t>
      </w:r>
      <w:r>
        <w:tab/>
      </w:r>
      <w:r>
        <w:fldChar w:fldCharType="begin"/>
      </w:r>
      <w:r>
        <w:instrText xml:space="preserve"> PAGEREF _Toc24328 \h </w:instrText>
      </w:r>
      <w:r>
        <w:fldChar w:fldCharType="separate"/>
      </w:r>
      <w:r>
        <w:t>6</w:t>
      </w:r>
      <w:r>
        <w:fldChar w:fldCharType="end"/>
      </w:r>
      <w:r>
        <w:rPr>
          <w:rFonts w:hint="eastAsia" w:ascii="宋体" w:hAnsi="宋体" w:eastAsia="宋体" w:cs="宋体"/>
          <w:spacing w:val="0"/>
          <w:lang w:eastAsia="zh-CN"/>
        </w:rPr>
        <w:fldChar w:fldCharType="end"/>
      </w:r>
    </w:p>
    <w:p w14:paraId="41C03982">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_Toc12120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4.5 </w:t>
      </w:r>
      <w:r>
        <w:rPr>
          <w:rFonts w:hint="eastAsia"/>
        </w:rPr>
        <w:t>确立坚果与籽类食品生产质量控制</w:t>
      </w:r>
      <w:r>
        <w:tab/>
      </w:r>
      <w:r>
        <w:fldChar w:fldCharType="begin"/>
      </w:r>
      <w:r>
        <w:instrText xml:space="preserve"> PAGEREF _Toc12120 \h </w:instrText>
      </w:r>
      <w:r>
        <w:fldChar w:fldCharType="separate"/>
      </w:r>
      <w:r>
        <w:t>6</w:t>
      </w:r>
      <w:r>
        <w:fldChar w:fldCharType="end"/>
      </w:r>
      <w:r>
        <w:rPr>
          <w:rFonts w:hint="eastAsia" w:ascii="宋体" w:hAnsi="宋体" w:eastAsia="宋体" w:cs="宋体"/>
          <w:spacing w:val="0"/>
          <w:lang w:eastAsia="zh-CN"/>
        </w:rPr>
        <w:fldChar w:fldCharType="end"/>
      </w:r>
    </w:p>
    <w:p w14:paraId="2D45B7FA">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_Toc25485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4.6 </w:t>
      </w:r>
      <w:r>
        <w:rPr>
          <w:rFonts w:hint="eastAsia"/>
        </w:rPr>
        <w:t>实施坚果与籽类食品生产质量质量控制评价与改进</w:t>
      </w:r>
      <w:r>
        <w:tab/>
      </w:r>
      <w:r>
        <w:fldChar w:fldCharType="begin"/>
      </w:r>
      <w:r>
        <w:instrText xml:space="preserve"> PAGEREF _Toc25485 \h </w:instrText>
      </w:r>
      <w:r>
        <w:fldChar w:fldCharType="separate"/>
      </w:r>
      <w:r>
        <w:t>7</w:t>
      </w:r>
      <w:r>
        <w:fldChar w:fldCharType="end"/>
      </w:r>
      <w:r>
        <w:rPr>
          <w:rFonts w:hint="eastAsia" w:ascii="宋体" w:hAnsi="宋体" w:eastAsia="宋体" w:cs="宋体"/>
          <w:spacing w:val="0"/>
          <w:lang w:eastAsia="zh-CN"/>
        </w:rPr>
        <w:fldChar w:fldCharType="end"/>
      </w:r>
    </w:p>
    <w:p w14:paraId="096ABEFB">
      <w:pPr>
        <w:pStyle w:val="19"/>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_Toc25140 </w:instrText>
      </w:r>
      <w:r>
        <w:rPr>
          <w:rFonts w:hint="eastAsia" w:ascii="宋体" w:hAnsi="宋体" w:eastAsia="宋体" w:cs="宋体"/>
          <w:spacing w:val="0"/>
          <w:lang w:eastAsia="zh-CN"/>
        </w:rPr>
        <w:fldChar w:fldCharType="separate"/>
      </w:r>
      <w:r>
        <w:rPr>
          <w:rFonts w:hint="eastAsia" w:ascii="黑体" w:eastAsia="黑体"/>
          <w:i w:val="0"/>
        </w:rPr>
        <w:t xml:space="preserve">5 </w:t>
      </w:r>
      <w:r>
        <w:rPr>
          <w:rFonts w:hint="eastAsia"/>
        </w:rPr>
        <w:t>厂区环境与厂房设计</w:t>
      </w:r>
      <w:r>
        <w:tab/>
      </w:r>
      <w:r>
        <w:fldChar w:fldCharType="begin"/>
      </w:r>
      <w:r>
        <w:instrText xml:space="preserve"> PAGEREF _Toc25140 \h </w:instrText>
      </w:r>
      <w:r>
        <w:fldChar w:fldCharType="separate"/>
      </w:r>
      <w:r>
        <w:t>7</w:t>
      </w:r>
      <w:r>
        <w:fldChar w:fldCharType="end"/>
      </w:r>
      <w:r>
        <w:rPr>
          <w:rFonts w:hint="eastAsia" w:ascii="宋体" w:hAnsi="宋体" w:eastAsia="宋体" w:cs="宋体"/>
          <w:spacing w:val="0"/>
          <w:lang w:eastAsia="zh-CN"/>
        </w:rPr>
        <w:fldChar w:fldCharType="end"/>
      </w:r>
    </w:p>
    <w:p w14:paraId="1B31CCD7">
      <w:pPr>
        <w:pStyle w:val="19"/>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_Toc13401 </w:instrText>
      </w:r>
      <w:r>
        <w:rPr>
          <w:rFonts w:hint="eastAsia" w:ascii="宋体" w:hAnsi="宋体" w:eastAsia="宋体" w:cs="宋体"/>
          <w:spacing w:val="0"/>
          <w:lang w:eastAsia="zh-CN"/>
        </w:rPr>
        <w:fldChar w:fldCharType="separate"/>
      </w:r>
      <w:r>
        <w:rPr>
          <w:rFonts w:hint="eastAsia" w:ascii="黑体" w:eastAsia="黑体"/>
          <w:i w:val="0"/>
        </w:rPr>
        <w:t xml:space="preserve">6 </w:t>
      </w:r>
      <w:r>
        <w:rPr>
          <w:rFonts w:hint="eastAsia"/>
        </w:rPr>
        <w:t>设施和设备</w:t>
      </w:r>
      <w:r>
        <w:tab/>
      </w:r>
      <w:r>
        <w:fldChar w:fldCharType="begin"/>
      </w:r>
      <w:r>
        <w:instrText xml:space="preserve"> PAGEREF _Toc13401 \h </w:instrText>
      </w:r>
      <w:r>
        <w:fldChar w:fldCharType="separate"/>
      </w:r>
      <w:r>
        <w:t>7</w:t>
      </w:r>
      <w:r>
        <w:fldChar w:fldCharType="end"/>
      </w:r>
      <w:r>
        <w:rPr>
          <w:rFonts w:hint="eastAsia" w:ascii="宋体" w:hAnsi="宋体" w:eastAsia="宋体" w:cs="宋体"/>
          <w:spacing w:val="0"/>
          <w:lang w:eastAsia="zh-CN"/>
        </w:rPr>
        <w:fldChar w:fldCharType="end"/>
      </w:r>
    </w:p>
    <w:p w14:paraId="58E58AF0">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_Toc13261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rPr>
        <w:t>生产设施和设备</w:t>
      </w:r>
      <w:r>
        <w:tab/>
      </w:r>
      <w:r>
        <w:fldChar w:fldCharType="begin"/>
      </w:r>
      <w:r>
        <w:instrText xml:space="preserve"> PAGEREF _Toc13261 \h </w:instrText>
      </w:r>
      <w:r>
        <w:fldChar w:fldCharType="separate"/>
      </w:r>
      <w:r>
        <w:t>7</w:t>
      </w:r>
      <w:r>
        <w:fldChar w:fldCharType="end"/>
      </w:r>
      <w:r>
        <w:rPr>
          <w:rFonts w:hint="eastAsia" w:ascii="宋体" w:hAnsi="宋体" w:eastAsia="宋体" w:cs="宋体"/>
          <w:spacing w:val="0"/>
          <w:lang w:eastAsia="zh-CN"/>
        </w:rPr>
        <w:fldChar w:fldCharType="end"/>
      </w:r>
    </w:p>
    <w:p w14:paraId="4393A198">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_Toc29502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rPr>
        <w:t>仓储设施</w:t>
      </w:r>
      <w:r>
        <w:tab/>
      </w:r>
      <w:r>
        <w:fldChar w:fldCharType="begin"/>
      </w:r>
      <w:r>
        <w:instrText xml:space="preserve"> PAGEREF _Toc29502 \h </w:instrText>
      </w:r>
      <w:r>
        <w:fldChar w:fldCharType="separate"/>
      </w:r>
      <w:r>
        <w:t>8</w:t>
      </w:r>
      <w:r>
        <w:fldChar w:fldCharType="end"/>
      </w:r>
      <w:r>
        <w:rPr>
          <w:rFonts w:hint="eastAsia" w:ascii="宋体" w:hAnsi="宋体" w:eastAsia="宋体" w:cs="宋体"/>
          <w:spacing w:val="0"/>
          <w:lang w:eastAsia="zh-CN"/>
        </w:rPr>
        <w:fldChar w:fldCharType="end"/>
      </w:r>
    </w:p>
    <w:p w14:paraId="22F659C3">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_Toc23860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rPr>
        <w:t>排水设施</w:t>
      </w:r>
      <w:r>
        <w:tab/>
      </w:r>
      <w:r>
        <w:fldChar w:fldCharType="begin"/>
      </w:r>
      <w:r>
        <w:instrText xml:space="preserve"> PAGEREF _Toc23860 \h </w:instrText>
      </w:r>
      <w:r>
        <w:fldChar w:fldCharType="separate"/>
      </w:r>
      <w:r>
        <w:t>8</w:t>
      </w:r>
      <w:r>
        <w:fldChar w:fldCharType="end"/>
      </w:r>
      <w:r>
        <w:rPr>
          <w:rFonts w:hint="eastAsia" w:ascii="宋体" w:hAnsi="宋体" w:eastAsia="宋体" w:cs="宋体"/>
          <w:spacing w:val="0"/>
          <w:lang w:eastAsia="zh-CN"/>
        </w:rPr>
        <w:fldChar w:fldCharType="end"/>
      </w:r>
    </w:p>
    <w:p w14:paraId="323CC302">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_Toc16739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6.4 </w:t>
      </w:r>
      <w:r>
        <w:rPr>
          <w:rFonts w:hint="eastAsia"/>
        </w:rPr>
        <w:t>检验设施</w:t>
      </w:r>
      <w:r>
        <w:tab/>
      </w:r>
      <w:r>
        <w:fldChar w:fldCharType="begin"/>
      </w:r>
      <w:r>
        <w:instrText xml:space="preserve"> PAGEREF _Toc16739 \h </w:instrText>
      </w:r>
      <w:r>
        <w:fldChar w:fldCharType="separate"/>
      </w:r>
      <w:r>
        <w:t>8</w:t>
      </w:r>
      <w:r>
        <w:fldChar w:fldCharType="end"/>
      </w:r>
      <w:r>
        <w:rPr>
          <w:rFonts w:hint="eastAsia" w:ascii="宋体" w:hAnsi="宋体" w:eastAsia="宋体" w:cs="宋体"/>
          <w:spacing w:val="0"/>
          <w:lang w:eastAsia="zh-CN"/>
        </w:rPr>
        <w:fldChar w:fldCharType="end"/>
      </w:r>
    </w:p>
    <w:p w14:paraId="751112E5">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_Toc7632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6.5 </w:t>
      </w:r>
      <w:r>
        <w:rPr>
          <w:rFonts w:hint="eastAsia"/>
        </w:rPr>
        <w:t>食品直接接触材料</w:t>
      </w:r>
      <w:r>
        <w:tab/>
      </w:r>
      <w:r>
        <w:fldChar w:fldCharType="begin"/>
      </w:r>
      <w:r>
        <w:instrText xml:space="preserve"> PAGEREF _Toc7632 \h </w:instrText>
      </w:r>
      <w:r>
        <w:fldChar w:fldCharType="separate"/>
      </w:r>
      <w:r>
        <w:t>8</w:t>
      </w:r>
      <w:r>
        <w:fldChar w:fldCharType="end"/>
      </w:r>
      <w:r>
        <w:rPr>
          <w:rFonts w:hint="eastAsia" w:ascii="宋体" w:hAnsi="宋体" w:eastAsia="宋体" w:cs="宋体"/>
          <w:spacing w:val="0"/>
          <w:lang w:eastAsia="zh-CN"/>
        </w:rPr>
        <w:fldChar w:fldCharType="end"/>
      </w:r>
    </w:p>
    <w:p w14:paraId="64B1688D">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_Toc24587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6.6 </w:t>
      </w:r>
      <w:r>
        <w:rPr>
          <w:rFonts w:hint="eastAsia"/>
        </w:rPr>
        <w:t>其他设备设施</w:t>
      </w:r>
      <w:r>
        <w:tab/>
      </w:r>
      <w:r>
        <w:fldChar w:fldCharType="begin"/>
      </w:r>
      <w:r>
        <w:instrText xml:space="preserve"> PAGEREF _Toc24587 \h </w:instrText>
      </w:r>
      <w:r>
        <w:fldChar w:fldCharType="separate"/>
      </w:r>
      <w:r>
        <w:t>9</w:t>
      </w:r>
      <w:r>
        <w:fldChar w:fldCharType="end"/>
      </w:r>
      <w:r>
        <w:rPr>
          <w:rFonts w:hint="eastAsia" w:ascii="宋体" w:hAnsi="宋体" w:eastAsia="宋体" w:cs="宋体"/>
          <w:spacing w:val="0"/>
          <w:lang w:eastAsia="zh-CN"/>
        </w:rPr>
        <w:fldChar w:fldCharType="end"/>
      </w:r>
    </w:p>
    <w:p w14:paraId="30F52D20">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_Toc31620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6.7 </w:t>
      </w:r>
      <w:r>
        <w:rPr>
          <w:rFonts w:hint="eastAsia"/>
        </w:rPr>
        <w:t>设施和设备信息</w:t>
      </w:r>
      <w:r>
        <w:tab/>
      </w:r>
      <w:r>
        <w:fldChar w:fldCharType="begin"/>
      </w:r>
      <w:r>
        <w:instrText xml:space="preserve"> PAGEREF _Toc31620 \h </w:instrText>
      </w:r>
      <w:r>
        <w:fldChar w:fldCharType="separate"/>
      </w:r>
      <w:r>
        <w:t>9</w:t>
      </w:r>
      <w:r>
        <w:fldChar w:fldCharType="end"/>
      </w:r>
      <w:r>
        <w:rPr>
          <w:rFonts w:hint="eastAsia" w:ascii="宋体" w:hAnsi="宋体" w:eastAsia="宋体" w:cs="宋体"/>
          <w:spacing w:val="0"/>
          <w:lang w:eastAsia="zh-CN"/>
        </w:rPr>
        <w:fldChar w:fldCharType="end"/>
      </w:r>
    </w:p>
    <w:p w14:paraId="18848FC9">
      <w:pPr>
        <w:pStyle w:val="19"/>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_Toc2191 </w:instrText>
      </w:r>
      <w:r>
        <w:rPr>
          <w:rFonts w:hint="eastAsia" w:ascii="宋体" w:hAnsi="宋体" w:eastAsia="宋体" w:cs="宋体"/>
          <w:spacing w:val="0"/>
          <w:lang w:eastAsia="zh-CN"/>
        </w:rPr>
        <w:fldChar w:fldCharType="separate"/>
      </w:r>
      <w:r>
        <w:rPr>
          <w:rFonts w:hint="eastAsia" w:ascii="黑体" w:eastAsia="黑体"/>
          <w:i w:val="0"/>
        </w:rPr>
        <w:t xml:space="preserve">7 </w:t>
      </w:r>
      <w:r>
        <w:rPr>
          <w:rFonts w:hint="eastAsia"/>
        </w:rPr>
        <w:t>原辅料</w:t>
      </w:r>
      <w:r>
        <w:tab/>
      </w:r>
      <w:r>
        <w:fldChar w:fldCharType="begin"/>
      </w:r>
      <w:r>
        <w:instrText xml:space="preserve"> PAGEREF _Toc2191 \h </w:instrText>
      </w:r>
      <w:r>
        <w:fldChar w:fldCharType="separate"/>
      </w:r>
      <w:r>
        <w:t>9</w:t>
      </w:r>
      <w:r>
        <w:fldChar w:fldCharType="end"/>
      </w:r>
      <w:r>
        <w:rPr>
          <w:rFonts w:hint="eastAsia" w:ascii="宋体" w:hAnsi="宋体" w:eastAsia="宋体" w:cs="宋体"/>
          <w:spacing w:val="0"/>
          <w:lang w:eastAsia="zh-CN"/>
        </w:rPr>
        <w:fldChar w:fldCharType="end"/>
      </w:r>
    </w:p>
    <w:p w14:paraId="07EBCAF7">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_Toc28988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rPr>
        <w:t>原辅料供应商</w:t>
      </w:r>
      <w:r>
        <w:tab/>
      </w:r>
      <w:r>
        <w:fldChar w:fldCharType="begin"/>
      </w:r>
      <w:r>
        <w:instrText xml:space="preserve"> PAGEREF _Toc28988 \h </w:instrText>
      </w:r>
      <w:r>
        <w:fldChar w:fldCharType="separate"/>
      </w:r>
      <w:r>
        <w:t>9</w:t>
      </w:r>
      <w:r>
        <w:fldChar w:fldCharType="end"/>
      </w:r>
      <w:r>
        <w:rPr>
          <w:rFonts w:hint="eastAsia" w:ascii="宋体" w:hAnsi="宋体" w:eastAsia="宋体" w:cs="宋体"/>
          <w:spacing w:val="0"/>
          <w:lang w:eastAsia="zh-CN"/>
        </w:rPr>
        <w:fldChar w:fldCharType="end"/>
      </w:r>
    </w:p>
    <w:p w14:paraId="65372AD2">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_Toc15672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7.2 </w:t>
      </w:r>
      <w:r>
        <w:rPr>
          <w:rFonts w:hint="eastAsia"/>
        </w:rPr>
        <w:t>原辅料验收</w:t>
      </w:r>
      <w:r>
        <w:tab/>
      </w:r>
      <w:r>
        <w:fldChar w:fldCharType="begin"/>
      </w:r>
      <w:r>
        <w:instrText xml:space="preserve"> PAGEREF _Toc15672 \h </w:instrText>
      </w:r>
      <w:r>
        <w:fldChar w:fldCharType="separate"/>
      </w:r>
      <w:r>
        <w:t>9</w:t>
      </w:r>
      <w:r>
        <w:fldChar w:fldCharType="end"/>
      </w:r>
      <w:r>
        <w:rPr>
          <w:rFonts w:hint="eastAsia" w:ascii="宋体" w:hAnsi="宋体" w:eastAsia="宋体" w:cs="宋体"/>
          <w:spacing w:val="0"/>
          <w:lang w:eastAsia="zh-CN"/>
        </w:rPr>
        <w:fldChar w:fldCharType="end"/>
      </w:r>
    </w:p>
    <w:p w14:paraId="22EF33FC">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_Toc26344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7.3 </w:t>
      </w:r>
      <w:r>
        <w:rPr>
          <w:rFonts w:hint="eastAsia"/>
        </w:rPr>
        <w:t>原辅料运输与储存</w:t>
      </w:r>
      <w:r>
        <w:tab/>
      </w:r>
      <w:r>
        <w:fldChar w:fldCharType="begin"/>
      </w:r>
      <w:r>
        <w:instrText xml:space="preserve"> PAGEREF _Toc26344 \h </w:instrText>
      </w:r>
      <w:r>
        <w:fldChar w:fldCharType="separate"/>
      </w:r>
      <w:r>
        <w:t>10</w:t>
      </w:r>
      <w:r>
        <w:fldChar w:fldCharType="end"/>
      </w:r>
      <w:r>
        <w:rPr>
          <w:rFonts w:hint="eastAsia" w:ascii="宋体" w:hAnsi="宋体" w:eastAsia="宋体" w:cs="宋体"/>
          <w:spacing w:val="0"/>
          <w:lang w:eastAsia="zh-CN"/>
        </w:rPr>
        <w:fldChar w:fldCharType="end"/>
      </w:r>
    </w:p>
    <w:p w14:paraId="2CD8A05C">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_Toc8669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7.4 </w:t>
      </w:r>
      <w:r>
        <w:rPr>
          <w:rFonts w:hint="eastAsia"/>
          <w:lang w:eastAsia="zh-CN"/>
        </w:rPr>
        <w:t>半成品的质量控制与储存</w:t>
      </w:r>
      <w:r>
        <w:tab/>
      </w:r>
      <w:r>
        <w:fldChar w:fldCharType="begin"/>
      </w:r>
      <w:r>
        <w:instrText xml:space="preserve"> PAGEREF _Toc8669 \h </w:instrText>
      </w:r>
      <w:r>
        <w:fldChar w:fldCharType="separate"/>
      </w:r>
      <w:r>
        <w:t>11</w:t>
      </w:r>
      <w:r>
        <w:fldChar w:fldCharType="end"/>
      </w:r>
      <w:r>
        <w:rPr>
          <w:rFonts w:hint="eastAsia" w:ascii="宋体" w:hAnsi="宋体" w:eastAsia="宋体" w:cs="宋体"/>
          <w:spacing w:val="0"/>
          <w:lang w:eastAsia="zh-CN"/>
        </w:rPr>
        <w:fldChar w:fldCharType="end"/>
      </w:r>
    </w:p>
    <w:p w14:paraId="1621C575">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_Toc26142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7.5 </w:t>
      </w:r>
      <w:r>
        <w:rPr>
          <w:rFonts w:hint="eastAsia"/>
        </w:rPr>
        <w:t>原辅料信息记录</w:t>
      </w:r>
      <w:r>
        <w:tab/>
      </w:r>
      <w:r>
        <w:fldChar w:fldCharType="begin"/>
      </w:r>
      <w:r>
        <w:instrText xml:space="preserve"> PAGEREF _Toc26142 \h </w:instrText>
      </w:r>
      <w:r>
        <w:fldChar w:fldCharType="separate"/>
      </w:r>
      <w:r>
        <w:t>11</w:t>
      </w:r>
      <w:r>
        <w:fldChar w:fldCharType="end"/>
      </w:r>
      <w:r>
        <w:rPr>
          <w:rFonts w:hint="eastAsia" w:ascii="宋体" w:hAnsi="宋体" w:eastAsia="宋体" w:cs="宋体"/>
          <w:spacing w:val="0"/>
          <w:lang w:eastAsia="zh-CN"/>
        </w:rPr>
        <w:fldChar w:fldCharType="end"/>
      </w:r>
    </w:p>
    <w:p w14:paraId="3C20F125">
      <w:pPr>
        <w:pStyle w:val="19"/>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_Toc8812 </w:instrText>
      </w:r>
      <w:r>
        <w:rPr>
          <w:rFonts w:hint="eastAsia" w:ascii="宋体" w:hAnsi="宋体" w:eastAsia="宋体" w:cs="宋体"/>
          <w:spacing w:val="0"/>
          <w:lang w:eastAsia="zh-CN"/>
        </w:rPr>
        <w:fldChar w:fldCharType="separate"/>
      </w:r>
      <w:r>
        <w:rPr>
          <w:rFonts w:hint="eastAsia" w:ascii="黑体" w:eastAsia="黑体"/>
          <w:i w:val="0"/>
        </w:rPr>
        <w:t xml:space="preserve">8 </w:t>
      </w:r>
      <w:r>
        <w:rPr>
          <w:rFonts w:hint="eastAsia"/>
        </w:rPr>
        <w:t>加工过程</w:t>
      </w:r>
      <w:r>
        <w:tab/>
      </w:r>
      <w:r>
        <w:fldChar w:fldCharType="begin"/>
      </w:r>
      <w:r>
        <w:instrText xml:space="preserve"> PAGEREF _Toc8812 \h </w:instrText>
      </w:r>
      <w:r>
        <w:fldChar w:fldCharType="separate"/>
      </w:r>
      <w:r>
        <w:t>11</w:t>
      </w:r>
      <w:r>
        <w:fldChar w:fldCharType="end"/>
      </w:r>
      <w:r>
        <w:rPr>
          <w:rFonts w:hint="eastAsia" w:ascii="宋体" w:hAnsi="宋体" w:eastAsia="宋体" w:cs="宋体"/>
          <w:spacing w:val="0"/>
          <w:lang w:eastAsia="zh-CN"/>
        </w:rPr>
        <w:fldChar w:fldCharType="end"/>
      </w:r>
    </w:p>
    <w:p w14:paraId="1B5B0113">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_Toc22781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 </w:t>
      </w:r>
      <w:r>
        <w:rPr>
          <w:rFonts w:hint="eastAsia"/>
        </w:rPr>
        <w:t>产品研发</w:t>
      </w:r>
      <w:r>
        <w:tab/>
      </w:r>
      <w:r>
        <w:fldChar w:fldCharType="begin"/>
      </w:r>
      <w:r>
        <w:instrText xml:space="preserve"> PAGEREF _Toc22781 \h </w:instrText>
      </w:r>
      <w:r>
        <w:fldChar w:fldCharType="separate"/>
      </w:r>
      <w:r>
        <w:t>11</w:t>
      </w:r>
      <w:r>
        <w:fldChar w:fldCharType="end"/>
      </w:r>
      <w:r>
        <w:rPr>
          <w:rFonts w:hint="eastAsia" w:ascii="宋体" w:hAnsi="宋体" w:eastAsia="宋体" w:cs="宋体"/>
          <w:spacing w:val="0"/>
          <w:lang w:eastAsia="zh-CN"/>
        </w:rPr>
        <w:fldChar w:fldCharType="end"/>
      </w:r>
    </w:p>
    <w:p w14:paraId="7BEB8B6F">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_Toc7883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8.2 </w:t>
      </w:r>
      <w:r>
        <w:rPr>
          <w:rFonts w:hint="eastAsia"/>
        </w:rPr>
        <w:t>生产工艺设计</w:t>
      </w:r>
      <w:r>
        <w:tab/>
      </w:r>
      <w:r>
        <w:fldChar w:fldCharType="begin"/>
      </w:r>
      <w:r>
        <w:instrText xml:space="preserve"> PAGEREF _Toc7883 \h </w:instrText>
      </w:r>
      <w:r>
        <w:fldChar w:fldCharType="separate"/>
      </w:r>
      <w:r>
        <w:t>12</w:t>
      </w:r>
      <w:r>
        <w:fldChar w:fldCharType="end"/>
      </w:r>
      <w:r>
        <w:rPr>
          <w:rFonts w:hint="eastAsia" w:ascii="宋体" w:hAnsi="宋体" w:eastAsia="宋体" w:cs="宋体"/>
          <w:spacing w:val="0"/>
          <w:lang w:eastAsia="zh-CN"/>
        </w:rPr>
        <w:fldChar w:fldCharType="end"/>
      </w:r>
    </w:p>
    <w:p w14:paraId="30F3CE0E">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_Toc19724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8.3 </w:t>
      </w:r>
      <w:r>
        <w:rPr>
          <w:rFonts w:hint="eastAsia"/>
        </w:rPr>
        <w:t>食品原辅料预处理</w:t>
      </w:r>
      <w:r>
        <w:tab/>
      </w:r>
      <w:r>
        <w:fldChar w:fldCharType="begin"/>
      </w:r>
      <w:r>
        <w:instrText xml:space="preserve"> PAGEREF _Toc19724 \h </w:instrText>
      </w:r>
      <w:r>
        <w:fldChar w:fldCharType="separate"/>
      </w:r>
      <w:r>
        <w:t>12</w:t>
      </w:r>
      <w:r>
        <w:fldChar w:fldCharType="end"/>
      </w:r>
      <w:r>
        <w:rPr>
          <w:rFonts w:hint="eastAsia" w:ascii="宋体" w:hAnsi="宋体" w:eastAsia="宋体" w:cs="宋体"/>
          <w:spacing w:val="0"/>
          <w:lang w:eastAsia="zh-CN"/>
        </w:rPr>
        <w:fldChar w:fldCharType="end"/>
      </w:r>
    </w:p>
    <w:p w14:paraId="19AC1269">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_Toc20149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8.4 </w:t>
      </w:r>
      <w:r>
        <w:rPr>
          <w:rFonts w:hint="eastAsia"/>
        </w:rPr>
        <w:t>加工过程质量控制</w:t>
      </w:r>
      <w:r>
        <w:tab/>
      </w:r>
      <w:r>
        <w:fldChar w:fldCharType="begin"/>
      </w:r>
      <w:r>
        <w:instrText xml:space="preserve"> PAGEREF _Toc20149 \h </w:instrText>
      </w:r>
      <w:r>
        <w:fldChar w:fldCharType="separate"/>
      </w:r>
      <w:r>
        <w:t>12</w:t>
      </w:r>
      <w:r>
        <w:fldChar w:fldCharType="end"/>
      </w:r>
      <w:r>
        <w:rPr>
          <w:rFonts w:hint="eastAsia" w:ascii="宋体" w:hAnsi="宋体" w:eastAsia="宋体" w:cs="宋体"/>
          <w:spacing w:val="0"/>
          <w:lang w:eastAsia="zh-CN"/>
        </w:rPr>
        <w:fldChar w:fldCharType="end"/>
      </w:r>
    </w:p>
    <w:p w14:paraId="410AC694">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_Toc16936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8.5 </w:t>
      </w:r>
      <w:r>
        <w:rPr>
          <w:rFonts w:hint="eastAsia"/>
        </w:rPr>
        <w:t>包装与标识</w:t>
      </w:r>
      <w:r>
        <w:tab/>
      </w:r>
      <w:r>
        <w:fldChar w:fldCharType="begin"/>
      </w:r>
      <w:r>
        <w:instrText xml:space="preserve"> PAGEREF _Toc16936 \h </w:instrText>
      </w:r>
      <w:r>
        <w:fldChar w:fldCharType="separate"/>
      </w:r>
      <w:r>
        <w:t>13</w:t>
      </w:r>
      <w:r>
        <w:fldChar w:fldCharType="end"/>
      </w:r>
      <w:r>
        <w:rPr>
          <w:rFonts w:hint="eastAsia" w:ascii="宋体" w:hAnsi="宋体" w:eastAsia="宋体" w:cs="宋体"/>
          <w:spacing w:val="0"/>
          <w:lang w:eastAsia="zh-CN"/>
        </w:rPr>
        <w:fldChar w:fldCharType="end"/>
      </w:r>
    </w:p>
    <w:p w14:paraId="346554FE">
      <w:pPr>
        <w:pStyle w:val="19"/>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_Toc25978 </w:instrText>
      </w:r>
      <w:r>
        <w:rPr>
          <w:rFonts w:hint="eastAsia" w:ascii="宋体" w:hAnsi="宋体" w:eastAsia="宋体" w:cs="宋体"/>
          <w:spacing w:val="0"/>
          <w:lang w:eastAsia="zh-CN"/>
        </w:rPr>
        <w:fldChar w:fldCharType="separate"/>
      </w:r>
      <w:r>
        <w:rPr>
          <w:rFonts w:hint="eastAsia" w:ascii="黑体" w:eastAsia="黑体"/>
          <w:i w:val="0"/>
        </w:rPr>
        <w:t xml:space="preserve">9 </w:t>
      </w:r>
      <w:r>
        <w:rPr>
          <w:rFonts w:hint="eastAsia"/>
          <w:lang w:eastAsia="zh-CN"/>
        </w:rPr>
        <w:t>成品</w:t>
      </w:r>
      <w:r>
        <w:rPr>
          <w:rFonts w:hint="eastAsia"/>
        </w:rPr>
        <w:t>质量检验</w:t>
      </w:r>
      <w:r>
        <w:tab/>
      </w:r>
      <w:r>
        <w:fldChar w:fldCharType="begin"/>
      </w:r>
      <w:r>
        <w:instrText xml:space="preserve"> PAGEREF _Toc25978 \h </w:instrText>
      </w:r>
      <w:r>
        <w:fldChar w:fldCharType="separate"/>
      </w:r>
      <w:r>
        <w:t>13</w:t>
      </w:r>
      <w:r>
        <w:fldChar w:fldCharType="end"/>
      </w:r>
      <w:r>
        <w:rPr>
          <w:rFonts w:hint="eastAsia" w:ascii="宋体" w:hAnsi="宋体" w:eastAsia="宋体" w:cs="宋体"/>
          <w:spacing w:val="0"/>
          <w:lang w:eastAsia="zh-CN"/>
        </w:rPr>
        <w:fldChar w:fldCharType="end"/>
      </w:r>
    </w:p>
    <w:p w14:paraId="5F2593E1">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_Toc3513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9.1 </w:t>
      </w:r>
      <w:r>
        <w:rPr>
          <w:rFonts w:hint="eastAsia"/>
          <w:lang w:eastAsia="zh-CN"/>
        </w:rPr>
        <w:t>成品质量检验总体要求</w:t>
      </w:r>
      <w:r>
        <w:tab/>
      </w:r>
      <w:r>
        <w:fldChar w:fldCharType="begin"/>
      </w:r>
      <w:r>
        <w:instrText xml:space="preserve"> PAGEREF _Toc3513 \h </w:instrText>
      </w:r>
      <w:r>
        <w:fldChar w:fldCharType="separate"/>
      </w:r>
      <w:r>
        <w:t>13</w:t>
      </w:r>
      <w:r>
        <w:fldChar w:fldCharType="end"/>
      </w:r>
      <w:r>
        <w:rPr>
          <w:rFonts w:hint="eastAsia" w:ascii="宋体" w:hAnsi="宋体" w:eastAsia="宋体" w:cs="宋体"/>
          <w:spacing w:val="0"/>
          <w:lang w:eastAsia="zh-CN"/>
        </w:rPr>
        <w:fldChar w:fldCharType="end"/>
      </w:r>
    </w:p>
    <w:p w14:paraId="3B0D40BA">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_Toc31949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9.2 </w:t>
      </w:r>
      <w:r>
        <w:rPr>
          <w:rFonts w:hint="eastAsia"/>
          <w:lang w:eastAsia="zh-CN"/>
        </w:rPr>
        <w:t>成品质量检验工作要求</w:t>
      </w:r>
      <w:r>
        <w:tab/>
      </w:r>
      <w:r>
        <w:fldChar w:fldCharType="begin"/>
      </w:r>
      <w:r>
        <w:instrText xml:space="preserve"> PAGEREF _Toc31949 \h </w:instrText>
      </w:r>
      <w:r>
        <w:fldChar w:fldCharType="separate"/>
      </w:r>
      <w:r>
        <w:t>14</w:t>
      </w:r>
      <w:r>
        <w:fldChar w:fldCharType="end"/>
      </w:r>
      <w:r>
        <w:rPr>
          <w:rFonts w:hint="eastAsia" w:ascii="宋体" w:hAnsi="宋体" w:eastAsia="宋体" w:cs="宋体"/>
          <w:spacing w:val="0"/>
          <w:lang w:eastAsia="zh-CN"/>
        </w:rPr>
        <w:fldChar w:fldCharType="end"/>
      </w:r>
    </w:p>
    <w:p w14:paraId="45097753">
      <w:pPr>
        <w:pStyle w:val="19"/>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_Toc23756 </w:instrText>
      </w:r>
      <w:r>
        <w:rPr>
          <w:rFonts w:hint="eastAsia" w:ascii="宋体" w:hAnsi="宋体" w:eastAsia="宋体" w:cs="宋体"/>
          <w:spacing w:val="0"/>
          <w:lang w:eastAsia="zh-CN"/>
        </w:rPr>
        <w:fldChar w:fldCharType="separate"/>
      </w:r>
      <w:r>
        <w:rPr>
          <w:rFonts w:hint="eastAsia" w:ascii="黑体" w:eastAsia="黑体"/>
          <w:i w:val="0"/>
        </w:rPr>
        <w:t xml:space="preserve">10 </w:t>
      </w:r>
      <w:r>
        <w:rPr>
          <w:rFonts w:hint="eastAsia"/>
        </w:rPr>
        <w:t>潜在风险项目控制</w:t>
      </w:r>
      <w:r>
        <w:tab/>
      </w:r>
      <w:r>
        <w:fldChar w:fldCharType="begin"/>
      </w:r>
      <w:r>
        <w:instrText xml:space="preserve"> PAGEREF _Toc23756 \h </w:instrText>
      </w:r>
      <w:r>
        <w:fldChar w:fldCharType="separate"/>
      </w:r>
      <w:r>
        <w:t>14</w:t>
      </w:r>
      <w:r>
        <w:fldChar w:fldCharType="end"/>
      </w:r>
      <w:r>
        <w:rPr>
          <w:rFonts w:hint="eastAsia" w:ascii="宋体" w:hAnsi="宋体" w:eastAsia="宋体" w:cs="宋体"/>
          <w:spacing w:val="0"/>
          <w:lang w:eastAsia="zh-CN"/>
        </w:rPr>
        <w:fldChar w:fldCharType="end"/>
      </w:r>
    </w:p>
    <w:p w14:paraId="50BAE996">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_Toc18188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10.1 </w:t>
      </w:r>
      <w:r>
        <w:rPr>
          <w:rFonts w:hint="eastAsia"/>
        </w:rPr>
        <w:t>异物控制</w:t>
      </w:r>
      <w:r>
        <w:tab/>
      </w:r>
      <w:r>
        <w:fldChar w:fldCharType="begin"/>
      </w:r>
      <w:r>
        <w:instrText xml:space="preserve"> PAGEREF _Toc18188 \h </w:instrText>
      </w:r>
      <w:r>
        <w:fldChar w:fldCharType="separate"/>
      </w:r>
      <w:r>
        <w:t>14</w:t>
      </w:r>
      <w:r>
        <w:fldChar w:fldCharType="end"/>
      </w:r>
      <w:r>
        <w:rPr>
          <w:rFonts w:hint="eastAsia" w:ascii="宋体" w:hAnsi="宋体" w:eastAsia="宋体" w:cs="宋体"/>
          <w:spacing w:val="0"/>
          <w:lang w:eastAsia="zh-CN"/>
        </w:rPr>
        <w:fldChar w:fldCharType="end"/>
      </w:r>
    </w:p>
    <w:p w14:paraId="2414637D">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_Toc29638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10.2 </w:t>
      </w:r>
      <w:r>
        <w:rPr>
          <w:rFonts w:hint="eastAsia"/>
        </w:rPr>
        <w:t xml:space="preserve"> 霉菌控制</w:t>
      </w:r>
      <w:r>
        <w:tab/>
      </w:r>
      <w:r>
        <w:fldChar w:fldCharType="begin"/>
      </w:r>
      <w:r>
        <w:instrText xml:space="preserve"> PAGEREF _Toc29638 \h </w:instrText>
      </w:r>
      <w:r>
        <w:fldChar w:fldCharType="separate"/>
      </w:r>
      <w:r>
        <w:t>14</w:t>
      </w:r>
      <w:r>
        <w:fldChar w:fldCharType="end"/>
      </w:r>
      <w:r>
        <w:rPr>
          <w:rFonts w:hint="eastAsia" w:ascii="宋体" w:hAnsi="宋体" w:eastAsia="宋体" w:cs="宋体"/>
          <w:spacing w:val="0"/>
          <w:lang w:eastAsia="zh-CN"/>
        </w:rPr>
        <w:fldChar w:fldCharType="end"/>
      </w:r>
    </w:p>
    <w:p w14:paraId="5F3B5DEA">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_Toc19612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10.3 </w:t>
      </w:r>
      <w:r>
        <w:rPr>
          <w:rFonts w:hint="eastAsia"/>
        </w:rPr>
        <w:t xml:space="preserve"> 酸价及过氧化值控制</w:t>
      </w:r>
      <w:r>
        <w:tab/>
      </w:r>
      <w:r>
        <w:fldChar w:fldCharType="begin"/>
      </w:r>
      <w:r>
        <w:instrText xml:space="preserve"> PAGEREF _Toc19612 \h </w:instrText>
      </w:r>
      <w:r>
        <w:fldChar w:fldCharType="separate"/>
      </w:r>
      <w:r>
        <w:t>15</w:t>
      </w:r>
      <w:r>
        <w:fldChar w:fldCharType="end"/>
      </w:r>
      <w:r>
        <w:rPr>
          <w:rFonts w:hint="eastAsia" w:ascii="宋体" w:hAnsi="宋体" w:eastAsia="宋体" w:cs="宋体"/>
          <w:spacing w:val="0"/>
          <w:lang w:eastAsia="zh-CN"/>
        </w:rPr>
        <w:fldChar w:fldCharType="end"/>
      </w:r>
    </w:p>
    <w:p w14:paraId="48BDE4A9">
      <w:pPr>
        <w:pStyle w:val="24"/>
        <w:tabs>
          <w:tab w:val="right" w:leader="dot" w:pos="9354"/>
          <w:tab w:val="clear" w:pos="934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_Toc192 </w:instrText>
      </w:r>
      <w:r>
        <w:rPr>
          <w:rFonts w:hint="eastAsia" w:ascii="宋体" w:hAnsi="宋体" w:eastAsia="宋体" w:cs="宋体"/>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10.4 </w:t>
      </w:r>
      <w:r>
        <w:rPr>
          <w:rFonts w:hint="eastAsia"/>
        </w:rPr>
        <w:t>霉变粒控制</w:t>
      </w:r>
      <w:r>
        <w:tab/>
      </w:r>
      <w:r>
        <w:fldChar w:fldCharType="begin"/>
      </w:r>
      <w:r>
        <w:instrText xml:space="preserve"> PAGEREF _Toc192 \h </w:instrText>
      </w:r>
      <w:r>
        <w:fldChar w:fldCharType="separate"/>
      </w:r>
      <w:r>
        <w:t>15</w:t>
      </w:r>
      <w:r>
        <w:fldChar w:fldCharType="end"/>
      </w:r>
      <w:r>
        <w:rPr>
          <w:rFonts w:hint="eastAsia" w:ascii="宋体" w:hAnsi="宋体" w:eastAsia="宋体" w:cs="宋体"/>
          <w:spacing w:val="0"/>
          <w:lang w:eastAsia="zh-CN"/>
        </w:rPr>
        <w:fldChar w:fldCharType="end"/>
      </w:r>
    </w:p>
    <w:p w14:paraId="2F46A13D">
      <w:pPr>
        <w:pStyle w:val="19"/>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_Toc21840 </w:instrText>
      </w:r>
      <w:r>
        <w:rPr>
          <w:rFonts w:hint="eastAsia" w:ascii="宋体" w:hAnsi="宋体" w:eastAsia="宋体" w:cs="宋体"/>
          <w:spacing w:val="0"/>
          <w:lang w:eastAsia="zh-CN"/>
        </w:rPr>
        <w:fldChar w:fldCharType="separate"/>
      </w:r>
      <w:r>
        <w:rPr>
          <w:rFonts w:hint="eastAsia" w:ascii="黑体" w:eastAsia="黑体"/>
          <w:i w:val="0"/>
        </w:rPr>
        <w:t xml:space="preserve">11 </w:t>
      </w:r>
      <w:r>
        <w:rPr>
          <w:rFonts w:hint="eastAsia"/>
        </w:rPr>
        <w:t>食品质量缺陷产品处理</w:t>
      </w:r>
      <w:r>
        <w:tab/>
      </w:r>
      <w:r>
        <w:fldChar w:fldCharType="begin"/>
      </w:r>
      <w:r>
        <w:instrText xml:space="preserve"> PAGEREF _Toc21840 \h </w:instrText>
      </w:r>
      <w:r>
        <w:fldChar w:fldCharType="separate"/>
      </w:r>
      <w:r>
        <w:t>15</w:t>
      </w:r>
      <w:r>
        <w:fldChar w:fldCharType="end"/>
      </w:r>
      <w:r>
        <w:rPr>
          <w:rFonts w:hint="eastAsia" w:ascii="宋体" w:hAnsi="宋体" w:eastAsia="宋体" w:cs="宋体"/>
          <w:spacing w:val="0"/>
          <w:lang w:eastAsia="zh-CN"/>
        </w:rPr>
        <w:fldChar w:fldCharType="end"/>
      </w:r>
    </w:p>
    <w:p w14:paraId="2604B1AC">
      <w:pPr>
        <w:pStyle w:val="19"/>
        <w:tabs>
          <w:tab w:val="right" w:leader="dot" w:pos="935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_Toc15834 </w:instrText>
      </w:r>
      <w:r>
        <w:rPr>
          <w:rFonts w:hint="eastAsia" w:ascii="宋体" w:hAnsi="宋体" w:eastAsia="宋体" w:cs="宋体"/>
          <w:spacing w:val="0"/>
          <w:lang w:eastAsia="zh-CN"/>
        </w:rPr>
        <w:fldChar w:fldCharType="separate"/>
      </w:r>
      <w:r>
        <w:rPr>
          <w:rFonts w:hint="eastAsia" w:ascii="黑体" w:eastAsia="黑体"/>
          <w:i w:val="0"/>
        </w:rPr>
        <w:t xml:space="preserve">12 </w:t>
      </w:r>
      <w:r>
        <w:rPr>
          <w:rFonts w:hint="eastAsia"/>
        </w:rPr>
        <w:t>信息记录管理制度</w:t>
      </w:r>
      <w:r>
        <w:tab/>
      </w:r>
      <w:r>
        <w:fldChar w:fldCharType="begin"/>
      </w:r>
      <w:r>
        <w:instrText xml:space="preserve"> PAGEREF _Toc15834 \h </w:instrText>
      </w:r>
      <w:r>
        <w:fldChar w:fldCharType="separate"/>
      </w:r>
      <w:r>
        <w:t>15</w:t>
      </w:r>
      <w:r>
        <w:fldChar w:fldCharType="end"/>
      </w:r>
      <w:r>
        <w:rPr>
          <w:rFonts w:hint="eastAsia" w:ascii="宋体" w:hAnsi="宋体" w:eastAsia="宋体" w:cs="宋体"/>
          <w:spacing w:val="0"/>
          <w:lang w:eastAsia="zh-CN"/>
        </w:rPr>
        <w:fldChar w:fldCharType="end"/>
      </w:r>
    </w:p>
    <w:p w14:paraId="30824E6D">
      <w:pPr>
        <w:pStyle w:val="91"/>
        <w:bidi w:val="0"/>
        <w:spacing w:after="0" w:afterLines="0"/>
        <w:rPr>
          <w:rFonts w:hint="eastAsia"/>
          <w:spacing w:val="0"/>
          <w:lang w:eastAsia="zh-CN"/>
        </w:rPr>
        <w:sectPr>
          <w:headerReference r:id="rId11" w:type="default"/>
          <w:footerReference r:id="rId12" w:type="default"/>
          <w:pgSz w:w="11906" w:h="16838"/>
          <w:pgMar w:top="1871" w:right="1134" w:bottom="1134" w:left="1134" w:header="1418" w:footer="1134" w:gutter="284"/>
          <w:pgNumType w:fmt="upperRoman" w:start="1"/>
          <w:cols w:space="425" w:num="1"/>
          <w:formProt w:val="0"/>
          <w:docGrid w:type="lines" w:linePitch="312" w:charSpace="0"/>
        </w:sectPr>
      </w:pPr>
      <w:r>
        <w:rPr>
          <w:rFonts w:hint="eastAsia" w:ascii="宋体" w:hAnsi="宋体" w:eastAsia="宋体" w:cs="宋体"/>
          <w:spacing w:val="0"/>
          <w:lang w:eastAsia="zh-CN"/>
        </w:rPr>
        <w:fldChar w:fldCharType="end"/>
      </w:r>
    </w:p>
    <w:bookmarkEnd w:id="22"/>
    <w:p w14:paraId="0E35CCCC">
      <w:pPr>
        <w:pStyle w:val="89"/>
        <w:spacing w:after="468"/>
      </w:pPr>
      <w:bookmarkStart w:id="23" w:name="_Toc18782"/>
      <w:bookmarkStart w:id="24" w:name="BookMark2"/>
      <w:r>
        <w:rPr>
          <w:spacing w:val="320"/>
        </w:rPr>
        <w:t>前</w:t>
      </w:r>
      <w:r>
        <w:t>言</w:t>
      </w:r>
      <w:bookmarkEnd w:id="23"/>
    </w:p>
    <w:p w14:paraId="59266699">
      <w:pPr>
        <w:pStyle w:val="56"/>
        <w:ind w:firstLine="420"/>
        <w:rPr>
          <w:rFonts w:hAnsi="宋体"/>
        </w:rPr>
      </w:pPr>
      <w:r>
        <w:rPr>
          <w:rFonts w:ascii="Times New Roman"/>
        </w:rPr>
        <w:t>本文件按</w:t>
      </w:r>
      <w:r>
        <w:rPr>
          <w:rFonts w:hAnsi="宋体"/>
        </w:rPr>
        <w:t>照GB/T 1.1</w:t>
      </w:r>
      <w:bookmarkStart w:id="25" w:name="_Hlk80708064"/>
      <w:r>
        <w:rPr>
          <w:rFonts w:hAnsi="宋体"/>
        </w:rPr>
        <w:t>—</w:t>
      </w:r>
      <w:bookmarkEnd w:id="25"/>
      <w:r>
        <w:rPr>
          <w:rFonts w:hAnsi="宋体"/>
        </w:rPr>
        <w:t>2020《标准化工作导则  第1部分：标准化文件的结构和起草规则》的规定起草。</w:t>
      </w:r>
    </w:p>
    <w:p w14:paraId="7C0D8087">
      <w:pPr>
        <w:pStyle w:val="56"/>
        <w:ind w:firstLine="420"/>
      </w:pPr>
      <w:r>
        <w:rPr>
          <w:rFonts w:hint="eastAsia"/>
        </w:rPr>
        <w:t>请注意本文件的某些内容可能涉及专利。本文件的发布机构不承担识别专利的责任。</w:t>
      </w:r>
    </w:p>
    <w:p w14:paraId="7E3E0CDE">
      <w:pPr>
        <w:pStyle w:val="56"/>
        <w:ind w:firstLine="420"/>
      </w:pPr>
      <w:r>
        <w:rPr>
          <w:rFonts w:hint="eastAsia"/>
        </w:rPr>
        <w:t>本文件由安徽省市场监督管理</w:t>
      </w:r>
      <w:r>
        <w:rPr>
          <w:rFonts w:hint="eastAsia"/>
          <w:color w:val="000000" w:themeColor="text1"/>
          <w14:textFill>
            <w14:solidFill>
              <w14:schemeClr w14:val="tx1"/>
            </w14:solidFill>
          </w14:textFill>
        </w:rPr>
        <w:t>局提出并</w:t>
      </w:r>
      <w:r>
        <w:rPr>
          <w:rFonts w:hint="eastAsia"/>
        </w:rPr>
        <w:t>归口。</w:t>
      </w:r>
    </w:p>
    <w:p w14:paraId="6E748B8F">
      <w:pPr>
        <w:pStyle w:val="56"/>
        <w:ind w:firstLine="420"/>
        <w:rPr>
          <w:rFonts w:hint="eastAsia"/>
        </w:rPr>
      </w:pPr>
      <w:r>
        <w:rPr>
          <w:rFonts w:hint="eastAsia"/>
        </w:rPr>
        <w:t>本文件起草单位：安徽省食品药品检验研究院（国家农副加工食品质量检验检测中心）</w:t>
      </w:r>
      <w:r>
        <w:rPr>
          <w:rFonts w:hint="eastAsia"/>
          <w:lang w:eastAsia="zh-CN"/>
        </w:rPr>
        <w:t>、三只松鼠股份有限公司、安徽省产品质量监督检验研究院</w:t>
      </w:r>
      <w:r>
        <w:rPr>
          <w:rFonts w:hint="eastAsia"/>
        </w:rPr>
        <w:t>。</w:t>
      </w:r>
    </w:p>
    <w:p w14:paraId="1BD46F26">
      <w:pPr>
        <w:pStyle w:val="56"/>
        <w:ind w:firstLine="420"/>
      </w:pPr>
      <w:r>
        <w:rPr>
          <w:rFonts w:hint="eastAsia"/>
        </w:rPr>
        <w:t>本文件主要起草人：暂略。</w:t>
      </w:r>
    </w:p>
    <w:p w14:paraId="1E7BFADD">
      <w:pPr>
        <w:pStyle w:val="56"/>
        <w:ind w:firstLine="420"/>
      </w:pPr>
    </w:p>
    <w:p w14:paraId="004F9F42">
      <w:pPr>
        <w:pStyle w:val="56"/>
        <w:ind w:firstLine="420"/>
        <w:sectPr>
          <w:pgSz w:w="11906" w:h="16838"/>
          <w:pgMar w:top="1871" w:right="1134" w:bottom="1134" w:left="1134" w:header="1418" w:footer="1134" w:gutter="284"/>
          <w:pgNumType w:fmt="upperRoman"/>
          <w:cols w:space="425" w:num="1"/>
          <w:formProt w:val="0"/>
          <w:docGrid w:type="lines" w:linePitch="312" w:charSpace="0"/>
        </w:sectPr>
      </w:pPr>
    </w:p>
    <w:bookmarkEnd w:id="24"/>
    <w:sdt>
      <w:sdtPr>
        <w:tag w:val="NEW_STAND_NAME"/>
        <w:id w:val="595910757"/>
        <w:lock w:val="sdtLocked"/>
        <w:placeholder>
          <w:docPart w:val="F52CDDDB315A4830A89D4B1E8D3C778B"/>
        </w:placeholder>
      </w:sdtPr>
      <w:sdtContent>
        <w:p w14:paraId="7F4D1C47">
          <w:pPr>
            <w:pStyle w:val="177"/>
            <w:spacing w:before="312" w:beforeLines="100" w:after="686" w:afterLines="220"/>
          </w:pPr>
          <w:bookmarkStart w:id="26" w:name="NEW_STAND_NAME"/>
          <w:bookmarkStart w:id="27" w:name="BookMark4"/>
          <w:r>
            <w:rPr>
              <w:rFonts w:hint="eastAsia"/>
            </w:rPr>
            <w:t>坚果与籽类食品生产质量控制技术规范</w:t>
          </w:r>
        </w:p>
      </w:sdtContent>
    </w:sdt>
    <w:bookmarkEnd w:id="26"/>
    <w:p w14:paraId="5CF420C9">
      <w:pPr>
        <w:pStyle w:val="104"/>
        <w:spacing w:before="312" w:after="312"/>
        <w:rPr>
          <w:rFonts w:ascii="Times New Roman"/>
        </w:rPr>
      </w:pPr>
      <w:bookmarkStart w:id="28" w:name="_Toc17233325"/>
      <w:bookmarkStart w:id="29" w:name="_Toc24884218"/>
      <w:bookmarkStart w:id="30" w:name="_Toc26986530"/>
      <w:bookmarkStart w:id="31" w:name="_Toc24884211"/>
      <w:bookmarkStart w:id="32" w:name="_Toc26648465"/>
      <w:bookmarkStart w:id="33" w:name="_Toc26718930"/>
      <w:bookmarkStart w:id="34" w:name="_Toc17233333"/>
      <w:bookmarkStart w:id="35" w:name="_Toc26986771"/>
      <w:bookmarkStart w:id="36" w:name="_Toc19074"/>
      <w:r>
        <w:rPr>
          <w:rFonts w:ascii="Times New Roman"/>
        </w:rPr>
        <w:t>范围</w:t>
      </w:r>
      <w:bookmarkEnd w:id="28"/>
      <w:bookmarkEnd w:id="29"/>
      <w:bookmarkEnd w:id="30"/>
      <w:bookmarkEnd w:id="31"/>
      <w:bookmarkEnd w:id="32"/>
      <w:bookmarkEnd w:id="33"/>
      <w:bookmarkEnd w:id="34"/>
      <w:bookmarkEnd w:id="35"/>
      <w:bookmarkEnd w:id="36"/>
    </w:p>
    <w:p w14:paraId="31E640C0">
      <w:pPr>
        <w:pStyle w:val="56"/>
        <w:ind w:firstLine="420"/>
        <w:rPr>
          <w:rFonts w:ascii="Times New Roman"/>
        </w:rPr>
      </w:pPr>
      <w:bookmarkStart w:id="37" w:name="_Toc24884219"/>
      <w:bookmarkStart w:id="38" w:name="_Toc26648466"/>
      <w:bookmarkStart w:id="39" w:name="_Toc17233334"/>
      <w:bookmarkStart w:id="40" w:name="_Toc17233326"/>
      <w:bookmarkStart w:id="41" w:name="_Toc24884212"/>
      <w:r>
        <w:rPr>
          <w:rFonts w:hint="eastAsia" w:ascii="Times New Roman"/>
        </w:rPr>
        <w:t>本文件规定了坚果与籽类食品生产质量控制</w:t>
      </w:r>
      <w:r>
        <w:rPr>
          <w:rFonts w:hint="eastAsia" w:ascii="Times New Roman"/>
          <w:lang w:eastAsia="zh-CN"/>
        </w:rPr>
        <w:t>技术</w:t>
      </w:r>
      <w:r>
        <w:rPr>
          <w:rFonts w:hint="eastAsia" w:ascii="Times New Roman"/>
        </w:rPr>
        <w:t>的总体要求、食品质量管理机构、人员和制度、厂区环境、设计布局、设施设备、原辅料、加工过程、食品质量检验、食品质量追溯与召回、培训考核、验证评价、改进、文件与记录管理等。</w:t>
      </w:r>
    </w:p>
    <w:p w14:paraId="30EC8227">
      <w:pPr>
        <w:pStyle w:val="56"/>
        <w:ind w:firstLine="420"/>
        <w:rPr>
          <w:rFonts w:ascii="Times New Roman"/>
        </w:rPr>
      </w:pPr>
      <w:r>
        <w:rPr>
          <w:rFonts w:hint="eastAsia" w:ascii="Times New Roman"/>
        </w:rPr>
        <w:t>本文件适用于坚果与籽类食品生产的质量控制。</w:t>
      </w:r>
    </w:p>
    <w:p w14:paraId="4A14811E">
      <w:pPr>
        <w:pStyle w:val="104"/>
        <w:spacing w:before="312" w:after="312"/>
        <w:rPr>
          <w:rFonts w:ascii="Times New Roman"/>
        </w:rPr>
      </w:pPr>
      <w:bookmarkStart w:id="42" w:name="_Toc26718931"/>
      <w:bookmarkStart w:id="43" w:name="_Toc26986772"/>
      <w:bookmarkStart w:id="44" w:name="_Toc26986531"/>
      <w:bookmarkStart w:id="45" w:name="_Toc19210"/>
      <w:r>
        <w:rPr>
          <w:rFonts w:ascii="Times New Roman"/>
        </w:rPr>
        <w:t>规范性引用文件</w:t>
      </w:r>
      <w:bookmarkEnd w:id="37"/>
      <w:bookmarkEnd w:id="38"/>
      <w:bookmarkEnd w:id="39"/>
      <w:bookmarkEnd w:id="40"/>
      <w:bookmarkEnd w:id="41"/>
      <w:bookmarkEnd w:id="42"/>
      <w:bookmarkEnd w:id="43"/>
      <w:bookmarkEnd w:id="44"/>
      <w:bookmarkEnd w:id="45"/>
    </w:p>
    <w:sdt>
      <w:sdtPr>
        <w:rPr>
          <w:rFonts w:hint="eastAsia"/>
        </w:rPr>
        <w:id w:val="715848253"/>
        <w:placeholder>
          <w:docPart w:val="E8E2E05F6F984C798EFDB87F353CE5B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76E1367">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EEF0228">
      <w:pPr>
        <w:pStyle w:val="56"/>
        <w:ind w:firstLine="420"/>
        <w:rPr>
          <w:rFonts w:ascii="Times New Roman"/>
        </w:rPr>
      </w:pPr>
      <w:r>
        <w:rPr>
          <w:rFonts w:hint="eastAsia" w:ascii="Times New Roman"/>
        </w:rPr>
        <w:t>GB/T 191 包装储运图示标志</w:t>
      </w:r>
    </w:p>
    <w:p w14:paraId="6217E7A4">
      <w:pPr>
        <w:pStyle w:val="56"/>
        <w:ind w:firstLine="420"/>
        <w:rPr>
          <w:rFonts w:ascii="Times New Roman"/>
        </w:rPr>
      </w:pPr>
      <w:r>
        <w:rPr>
          <w:rFonts w:hint="eastAsia" w:ascii="Times New Roman"/>
        </w:rPr>
        <w:t>GB 2760  食品安全国家标准 食品添加剂使用标准</w:t>
      </w:r>
    </w:p>
    <w:p w14:paraId="0370B0A4">
      <w:pPr>
        <w:pStyle w:val="56"/>
        <w:ind w:firstLine="420"/>
        <w:rPr>
          <w:rFonts w:ascii="Times New Roman"/>
        </w:rPr>
      </w:pPr>
      <w:r>
        <w:rPr>
          <w:rFonts w:hint="eastAsia" w:ascii="Times New Roman"/>
        </w:rPr>
        <w:t>GB 5749  生活饮用水卫生标准</w:t>
      </w:r>
    </w:p>
    <w:p w14:paraId="7A3DA26F">
      <w:pPr>
        <w:pStyle w:val="56"/>
        <w:ind w:firstLine="420"/>
        <w:rPr>
          <w:rFonts w:ascii="Times New Roman"/>
        </w:rPr>
      </w:pPr>
      <w:r>
        <w:rPr>
          <w:rFonts w:hint="eastAsia" w:ascii="Times New Roman"/>
        </w:rPr>
        <w:t>GB</w:t>
      </w:r>
      <w:r>
        <w:rPr>
          <w:rFonts w:ascii="Times New Roman"/>
        </w:rPr>
        <w:t xml:space="preserve"> </w:t>
      </w:r>
      <w:r>
        <w:rPr>
          <w:rFonts w:hint="eastAsia" w:ascii="Times New Roman"/>
        </w:rPr>
        <w:t>13271  锅炉大气污染物排放标准</w:t>
      </w:r>
    </w:p>
    <w:p w14:paraId="0470C119">
      <w:pPr>
        <w:pStyle w:val="56"/>
        <w:ind w:firstLine="420"/>
        <w:rPr>
          <w:rFonts w:ascii="Times New Roman"/>
        </w:rPr>
      </w:pPr>
      <w:r>
        <w:rPr>
          <w:rFonts w:hint="eastAsia" w:ascii="Times New Roman"/>
        </w:rPr>
        <w:t>GB 14881  食品安全国家标准 食品生产通用卫生规范</w:t>
      </w:r>
    </w:p>
    <w:p w14:paraId="2BDF5474">
      <w:pPr>
        <w:pStyle w:val="56"/>
        <w:ind w:firstLine="420"/>
        <w:rPr>
          <w:rFonts w:ascii="Times New Roman"/>
        </w:rPr>
      </w:pPr>
      <w:r>
        <w:rPr>
          <w:rFonts w:hint="eastAsia" w:ascii="Times New Roman"/>
        </w:rPr>
        <w:t>GB 19300  食品安全国家标准 坚果与籽类食品</w:t>
      </w:r>
    </w:p>
    <w:p w14:paraId="1D64564A">
      <w:pPr>
        <w:pStyle w:val="56"/>
        <w:ind w:firstLine="420"/>
        <w:rPr>
          <w:rFonts w:ascii="Times New Roman"/>
        </w:rPr>
      </w:pPr>
      <w:r>
        <w:rPr>
          <w:rFonts w:hint="eastAsia" w:ascii="Times New Roman"/>
        </w:rPr>
        <w:t>GB/T 15091—1994 食品工业基本术语</w:t>
      </w:r>
    </w:p>
    <w:p w14:paraId="79B22541">
      <w:pPr>
        <w:pStyle w:val="56"/>
        <w:ind w:firstLine="420"/>
        <w:rPr>
          <w:rFonts w:ascii="Times New Roman"/>
        </w:rPr>
      </w:pPr>
      <w:r>
        <w:rPr>
          <w:rFonts w:hint="eastAsia" w:ascii="Times New Roman"/>
        </w:rPr>
        <w:t>GB/T 18455 包装回收标志</w:t>
      </w:r>
    </w:p>
    <w:p w14:paraId="6969D7BE">
      <w:pPr>
        <w:pStyle w:val="56"/>
        <w:ind w:firstLine="420"/>
        <w:rPr>
          <w:rFonts w:ascii="Times New Roman"/>
        </w:rPr>
      </w:pPr>
      <w:r>
        <w:rPr>
          <w:rFonts w:hint="eastAsia" w:ascii="Times New Roman"/>
        </w:rPr>
        <w:t>GB/T 19000 质量管理体系  基础和术语</w:t>
      </w:r>
    </w:p>
    <w:p w14:paraId="5EA6040D">
      <w:pPr>
        <w:pStyle w:val="56"/>
        <w:ind w:firstLine="420"/>
        <w:rPr>
          <w:rFonts w:ascii="Times New Roman"/>
        </w:rPr>
      </w:pPr>
      <w:r>
        <w:rPr>
          <w:rFonts w:hint="eastAsia" w:ascii="Times New Roman"/>
        </w:rPr>
        <w:t>GB/T 19012 质量管理 顾客满意 组织投诉处理指南</w:t>
      </w:r>
    </w:p>
    <w:p w14:paraId="6E9C07CF">
      <w:pPr>
        <w:pStyle w:val="56"/>
        <w:ind w:firstLine="420"/>
        <w:rPr>
          <w:rFonts w:ascii="Times New Roman"/>
        </w:rPr>
      </w:pPr>
      <w:r>
        <w:rPr>
          <w:rFonts w:hint="eastAsia" w:ascii="Times New Roman"/>
        </w:rPr>
        <w:t>GB/T 19580 卓越绩效评价准则</w:t>
      </w:r>
    </w:p>
    <w:p w14:paraId="4430C181">
      <w:pPr>
        <w:pStyle w:val="56"/>
        <w:ind w:firstLine="420"/>
        <w:rPr>
          <w:rFonts w:ascii="Times New Roman"/>
        </w:rPr>
      </w:pPr>
      <w:r>
        <w:rPr>
          <w:rFonts w:hint="eastAsia" w:ascii="Times New Roman"/>
        </w:rPr>
        <w:t>GB/T 22005 饲料和食品链的可追溯性 体系设计与实施的通用原则和基本要求</w:t>
      </w:r>
    </w:p>
    <w:p w14:paraId="1EE4C82F">
      <w:pPr>
        <w:pStyle w:val="56"/>
        <w:ind w:firstLine="420"/>
        <w:rPr>
          <w:rFonts w:ascii="Times New Roman"/>
        </w:rPr>
      </w:pPr>
      <w:r>
        <w:rPr>
          <w:rFonts w:hint="eastAsia" w:ascii="Times New Roman"/>
        </w:rPr>
        <w:t>GB/T 25486-2010 网络化制造技术术语</w:t>
      </w:r>
    </w:p>
    <w:p w14:paraId="76400C73">
      <w:pPr>
        <w:pStyle w:val="56"/>
        <w:ind w:firstLine="420"/>
        <w:rPr>
          <w:rFonts w:ascii="Times New Roman"/>
        </w:rPr>
      </w:pPr>
      <w:r>
        <w:rPr>
          <w:rFonts w:hint="eastAsia" w:ascii="Times New Roman"/>
        </w:rPr>
        <w:t>GB/T 28612-2012 机械产品绿色制造  术语</w:t>
      </w:r>
    </w:p>
    <w:p w14:paraId="6BCAB34D">
      <w:pPr>
        <w:pStyle w:val="56"/>
        <w:ind w:firstLine="420"/>
        <w:rPr>
          <w:rFonts w:ascii="Times New Roman"/>
        </w:rPr>
      </w:pPr>
      <w:r>
        <w:rPr>
          <w:rFonts w:hint="eastAsia" w:ascii="Times New Roman"/>
        </w:rPr>
        <w:t>GB/T 30644 食品生产加工企业电子记录通用要求</w:t>
      </w:r>
    </w:p>
    <w:p w14:paraId="1DC2FA78">
      <w:pPr>
        <w:pStyle w:val="56"/>
        <w:ind w:firstLine="420"/>
        <w:rPr>
          <w:rFonts w:ascii="Times New Roman"/>
        </w:rPr>
      </w:pPr>
      <w:r>
        <w:rPr>
          <w:rFonts w:hint="eastAsia" w:ascii="Times New Roman"/>
        </w:rPr>
        <w:t>GB/T 32230 企业质量文化建设指南</w:t>
      </w:r>
    </w:p>
    <w:p w14:paraId="77780E33">
      <w:pPr>
        <w:pStyle w:val="56"/>
        <w:ind w:firstLine="420"/>
        <w:rPr>
          <w:rFonts w:ascii="Times New Roman"/>
        </w:rPr>
      </w:pPr>
      <w:r>
        <w:rPr>
          <w:rFonts w:hint="eastAsia" w:ascii="Times New Roman"/>
        </w:rPr>
        <w:t>GB/T 36132 绿色工厂评价通则</w:t>
      </w:r>
    </w:p>
    <w:p w14:paraId="772BFC88">
      <w:pPr>
        <w:pStyle w:val="56"/>
        <w:ind w:firstLine="420"/>
        <w:rPr>
          <w:rFonts w:ascii="Times New Roman"/>
        </w:rPr>
      </w:pPr>
      <w:r>
        <w:rPr>
          <w:rFonts w:hint="eastAsia" w:ascii="Times New Roman"/>
        </w:rPr>
        <w:t>GB/T 38574 食品追溯二维码通用技术要求</w:t>
      </w:r>
    </w:p>
    <w:p w14:paraId="401BE0B3">
      <w:pPr>
        <w:pStyle w:val="56"/>
        <w:ind w:firstLine="420"/>
        <w:rPr>
          <w:rFonts w:ascii="Times New Roman"/>
        </w:rPr>
      </w:pPr>
      <w:r>
        <w:rPr>
          <w:rFonts w:hint="eastAsia" w:ascii="Times New Roman"/>
        </w:rPr>
        <w:t>GB/T 39906 品牌管理要求</w:t>
      </w:r>
    </w:p>
    <w:p w14:paraId="09993419">
      <w:pPr>
        <w:pStyle w:val="56"/>
        <w:ind w:firstLine="420"/>
        <w:rPr>
          <w:rFonts w:ascii="Times New Roman"/>
        </w:rPr>
      </w:pPr>
      <w:r>
        <w:rPr>
          <w:rFonts w:hint="eastAsia" w:ascii="Times New Roman"/>
        </w:rPr>
        <w:t>GB/T 41243 绿色仓储与配送要求及评估</w:t>
      </w:r>
    </w:p>
    <w:p w14:paraId="7583992C">
      <w:pPr>
        <w:pStyle w:val="56"/>
        <w:ind w:firstLine="420"/>
        <w:rPr>
          <w:rFonts w:ascii="Times New Roman"/>
        </w:rPr>
      </w:pPr>
      <w:r>
        <w:rPr>
          <w:rFonts w:hint="eastAsia" w:ascii="Times New Roman"/>
          <w:color w:val="000000" w:themeColor="text1"/>
          <w14:textFill>
            <w14:solidFill>
              <w14:schemeClr w14:val="tx1"/>
            </w14:solidFill>
          </w14:textFill>
        </w:rPr>
        <w:t>GB 50072  冷</w:t>
      </w:r>
      <w:r>
        <w:rPr>
          <w:rFonts w:hint="eastAsia" w:ascii="Times New Roman"/>
        </w:rPr>
        <w:t>库设计规范</w:t>
      </w:r>
    </w:p>
    <w:p w14:paraId="548B0857">
      <w:pPr>
        <w:pStyle w:val="56"/>
        <w:ind w:firstLine="420"/>
        <w:rPr>
          <w:rFonts w:ascii="Times New Roman"/>
        </w:rPr>
      </w:pPr>
      <w:r>
        <w:rPr>
          <w:rFonts w:hint="eastAsia" w:ascii="Times New Roman"/>
        </w:rPr>
        <w:t>QB/T 5486  坚果与籽类食品贮存技术规范</w:t>
      </w:r>
    </w:p>
    <w:p w14:paraId="01505127">
      <w:pPr>
        <w:pStyle w:val="56"/>
        <w:ind w:firstLine="420"/>
        <w:rPr>
          <w:rFonts w:ascii="Times New Roman"/>
        </w:rPr>
      </w:pPr>
      <w:r>
        <w:rPr>
          <w:rFonts w:ascii="Times New Roman"/>
        </w:rPr>
        <w:t>SB/T 11132</w:t>
      </w:r>
      <w:r>
        <w:rPr>
          <w:rFonts w:hint="eastAsia" w:ascii="Times New Roman"/>
        </w:rPr>
        <w:t xml:space="preserve"> 电子商务物流服务规范</w:t>
      </w:r>
    </w:p>
    <w:p w14:paraId="58C87AF9">
      <w:pPr>
        <w:pStyle w:val="104"/>
        <w:spacing w:before="312" w:after="312"/>
      </w:pPr>
      <w:bookmarkStart w:id="46" w:name="_Toc10823"/>
      <w:r>
        <w:rPr>
          <w:rFonts w:hint="eastAsia"/>
          <w:szCs w:val="21"/>
        </w:rPr>
        <w:t>术语和定义</w:t>
      </w:r>
      <w:bookmarkEnd w:id="46"/>
    </w:p>
    <w:sdt>
      <w:sdtPr>
        <w:id w:val="-1909835108"/>
        <w:placeholder>
          <w:docPart w:val="{ce984d46-35b7-49d9-bac6-4f37d4faf53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142589C">
          <w:pPr>
            <w:pStyle w:val="56"/>
            <w:ind w:firstLine="420"/>
          </w:pPr>
          <w:bookmarkStart w:id="47" w:name="_Toc26986532"/>
          <w:bookmarkEnd w:id="47"/>
          <w:r>
            <w:rPr>
              <w:rFonts w:hint="eastAsia"/>
            </w:rPr>
            <w:t>GB/T 19000</w:t>
          </w:r>
          <w:r>
            <w:t>界定的以及下列术语和定义适用于本文件。</w:t>
          </w:r>
        </w:p>
      </w:sdtContent>
    </w:sdt>
    <w:p w14:paraId="05ACB53E">
      <w:pPr>
        <w:pStyle w:val="223"/>
        <w:keepNext w:val="0"/>
        <w:keepLines w:val="0"/>
        <w:pageBreakBefore w:val="0"/>
        <w:widowControl/>
        <w:kinsoku/>
        <w:wordWrap/>
        <w:overflowPunct/>
        <w:topLinePunct w:val="0"/>
        <w:autoSpaceDE/>
        <w:autoSpaceDN/>
        <w:bidi w:val="0"/>
        <w:adjustRightInd/>
        <w:snapToGrid/>
        <w:spacing w:before="157" w:beforeLines="50" w:after="157" w:afterLines="50"/>
        <w:ind w:left="0" w:hanging="420" w:hangingChars="200"/>
        <w:textAlignment w:val="auto"/>
        <w:rPr>
          <w:rFonts w:ascii="黑体" w:hAnsi="黑体" w:eastAsia="黑体"/>
        </w:rPr>
      </w:pPr>
      <w:r>
        <w:rPr>
          <w:rFonts w:hint="eastAsia" w:ascii="黑体" w:hAnsi="黑体" w:eastAsia="黑体"/>
        </w:rPr>
        <w:t>食品质量  food quality</w:t>
      </w:r>
    </w:p>
    <w:p w14:paraId="737C5D7C">
      <w:pPr>
        <w:pStyle w:val="56"/>
        <w:ind w:firstLine="420"/>
      </w:pPr>
      <w:r>
        <w:rPr>
          <w:rFonts w:hint="eastAsia"/>
        </w:rPr>
        <w:t>食品满足规定或潜在要求的特征和特性总和，反映食品品质的优劣。</w:t>
      </w:r>
    </w:p>
    <w:p w14:paraId="2095532F">
      <w:pPr>
        <w:pStyle w:val="56"/>
        <w:ind w:firstLine="420"/>
      </w:pPr>
      <w:r>
        <w:rPr>
          <w:rFonts w:hint="eastAsia"/>
        </w:rPr>
        <w:t>[来源： GB/T 15091-1994，定义2.18]</w:t>
      </w:r>
    </w:p>
    <w:p w14:paraId="00A49B55">
      <w:pPr>
        <w:pStyle w:val="223"/>
        <w:keepNext w:val="0"/>
        <w:keepLines w:val="0"/>
        <w:pageBreakBefore w:val="0"/>
        <w:widowControl/>
        <w:kinsoku/>
        <w:wordWrap/>
        <w:overflowPunct/>
        <w:topLinePunct w:val="0"/>
        <w:autoSpaceDE/>
        <w:autoSpaceDN/>
        <w:bidi w:val="0"/>
        <w:adjustRightInd/>
        <w:snapToGrid/>
        <w:spacing w:before="157" w:beforeLines="50" w:after="157" w:afterLines="50"/>
        <w:ind w:left="0" w:hanging="420" w:hangingChars="200"/>
        <w:textAlignment w:val="auto"/>
        <w:rPr>
          <w:rFonts w:ascii="黑体" w:hAnsi="黑体" w:eastAsia="黑体"/>
        </w:rPr>
      </w:pPr>
      <w:r>
        <w:rPr>
          <w:rFonts w:hint="eastAsia" w:ascii="黑体" w:hAnsi="黑体" w:eastAsia="黑体"/>
        </w:rPr>
        <w:t xml:space="preserve">食品质量控制 </w:t>
      </w:r>
      <w:r>
        <w:rPr>
          <w:rFonts w:ascii="黑体" w:hAnsi="黑体" w:eastAsia="黑体"/>
        </w:rPr>
        <w:t xml:space="preserve"> </w:t>
      </w:r>
      <w:r>
        <w:rPr>
          <w:rFonts w:hint="eastAsia" w:ascii="黑体" w:hAnsi="黑体" w:eastAsia="黑体"/>
        </w:rPr>
        <w:t>f</w:t>
      </w:r>
      <w:r>
        <w:rPr>
          <w:rFonts w:ascii="黑体" w:hAnsi="黑体" w:eastAsia="黑体"/>
        </w:rPr>
        <w:t>ood quality control</w:t>
      </w:r>
    </w:p>
    <w:p w14:paraId="6406C9E2">
      <w:pPr>
        <w:pStyle w:val="56"/>
        <w:ind w:firstLine="420"/>
        <w:rPr>
          <w:rFonts w:ascii="黑体" w:hAnsi="黑体" w:eastAsia="黑体"/>
        </w:rPr>
      </w:pPr>
      <w:r>
        <w:rPr>
          <w:rFonts w:hint="eastAsia"/>
        </w:rPr>
        <w:t>为确定和达到食品质量要求所采取的技术、方法、行为和措施。</w:t>
      </w:r>
    </w:p>
    <w:p w14:paraId="7D9039CA">
      <w:pPr>
        <w:pStyle w:val="223"/>
        <w:keepNext w:val="0"/>
        <w:keepLines w:val="0"/>
        <w:pageBreakBefore w:val="0"/>
        <w:widowControl/>
        <w:kinsoku/>
        <w:wordWrap/>
        <w:overflowPunct/>
        <w:topLinePunct w:val="0"/>
        <w:autoSpaceDE/>
        <w:autoSpaceDN/>
        <w:bidi w:val="0"/>
        <w:adjustRightInd/>
        <w:snapToGrid/>
        <w:spacing w:before="157" w:beforeLines="50" w:after="157" w:afterLines="50"/>
        <w:ind w:left="0" w:hanging="420" w:hangingChars="200"/>
        <w:textAlignment w:val="auto"/>
        <w:rPr>
          <w:rFonts w:ascii="黑体" w:hAnsi="黑体" w:eastAsia="黑体"/>
        </w:rPr>
      </w:pPr>
      <w:r>
        <w:rPr>
          <w:rFonts w:hint="eastAsia" w:ascii="黑体" w:hAnsi="黑体" w:eastAsia="黑体"/>
        </w:rPr>
        <w:t>食品质量波动</w:t>
      </w:r>
      <w:r>
        <w:rPr>
          <w:rFonts w:ascii="黑体" w:hAnsi="黑体" w:eastAsia="黑体"/>
        </w:rPr>
        <w:t xml:space="preserve">  food quality fluctuation </w:t>
      </w:r>
    </w:p>
    <w:p w14:paraId="10B4FD36">
      <w:pPr>
        <w:pStyle w:val="56"/>
        <w:ind w:firstLine="420"/>
      </w:pPr>
      <w:r>
        <w:rPr>
          <w:rFonts w:hint="eastAsia"/>
        </w:rPr>
        <w:t>食品质量数据偏离预期值的变化程度。</w:t>
      </w:r>
    </w:p>
    <w:p w14:paraId="5742A681">
      <w:pPr>
        <w:pStyle w:val="223"/>
        <w:keepNext w:val="0"/>
        <w:keepLines w:val="0"/>
        <w:pageBreakBefore w:val="0"/>
        <w:widowControl/>
        <w:kinsoku/>
        <w:wordWrap/>
        <w:overflowPunct/>
        <w:topLinePunct w:val="0"/>
        <w:autoSpaceDE/>
        <w:autoSpaceDN/>
        <w:bidi w:val="0"/>
        <w:adjustRightInd/>
        <w:snapToGrid/>
        <w:spacing w:before="157" w:beforeLines="50" w:after="157" w:afterLines="50"/>
        <w:ind w:left="0" w:hanging="420" w:hangingChars="200"/>
        <w:textAlignment w:val="auto"/>
        <w:rPr>
          <w:rFonts w:ascii="黑体" w:hAnsi="黑体" w:eastAsia="黑体"/>
        </w:rPr>
      </w:pPr>
      <w:r>
        <w:rPr>
          <w:rFonts w:hint="eastAsia" w:ascii="黑体" w:hAnsi="黑体" w:eastAsia="黑体"/>
        </w:rPr>
        <w:t xml:space="preserve">数字化加工 </w:t>
      </w:r>
      <w:r>
        <w:rPr>
          <w:rFonts w:ascii="黑体" w:hAnsi="黑体" w:eastAsia="黑体"/>
        </w:rPr>
        <w:t xml:space="preserve"> </w:t>
      </w:r>
      <w:r>
        <w:rPr>
          <w:rFonts w:hint="eastAsia" w:ascii="黑体" w:hAnsi="黑体" w:eastAsia="黑体"/>
        </w:rPr>
        <w:t xml:space="preserve">digitized </w:t>
      </w:r>
      <w:r>
        <w:rPr>
          <w:rFonts w:ascii="黑体" w:hAnsi="黑体" w:eastAsia="黑体"/>
        </w:rPr>
        <w:t>processing</w:t>
      </w:r>
    </w:p>
    <w:p w14:paraId="4CF7D30F">
      <w:pPr>
        <w:pStyle w:val="56"/>
        <w:ind w:firstLine="420"/>
      </w:pPr>
      <w:r>
        <w:rPr>
          <w:rFonts w:hint="eastAsia"/>
        </w:rPr>
        <w:t>一种利用数字化定量表述、存储、处理和控制方法，支持产品生命周期和企业的全局优化的加工技术。</w:t>
      </w:r>
    </w:p>
    <w:p w14:paraId="693B948A">
      <w:pPr>
        <w:pStyle w:val="56"/>
        <w:ind w:firstLine="420"/>
      </w:pPr>
      <w:r>
        <w:rPr>
          <w:rFonts w:hint="eastAsia"/>
        </w:rPr>
        <w:t xml:space="preserve">[来源：GB/T </w:t>
      </w:r>
      <w:r>
        <w:t>25486</w:t>
      </w:r>
      <w:r>
        <w:rPr>
          <w:rFonts w:hint="eastAsia"/>
        </w:rPr>
        <w:t>-</w:t>
      </w:r>
      <w:r>
        <w:t>2010</w:t>
      </w:r>
      <w:r>
        <w:rPr>
          <w:rFonts w:hint="eastAsia"/>
        </w:rPr>
        <w:t>，定义</w:t>
      </w:r>
      <w:r>
        <w:t>2.56</w:t>
      </w:r>
      <w:r>
        <w:rPr>
          <w:rFonts w:hint="eastAsia"/>
        </w:rPr>
        <w:t>，有修改]</w:t>
      </w:r>
    </w:p>
    <w:p w14:paraId="5FF1E0D9">
      <w:pPr>
        <w:pStyle w:val="223"/>
        <w:keepNext w:val="0"/>
        <w:keepLines w:val="0"/>
        <w:pageBreakBefore w:val="0"/>
        <w:widowControl/>
        <w:kinsoku/>
        <w:wordWrap/>
        <w:overflowPunct/>
        <w:topLinePunct w:val="0"/>
        <w:autoSpaceDE/>
        <w:autoSpaceDN/>
        <w:bidi w:val="0"/>
        <w:adjustRightInd/>
        <w:snapToGrid/>
        <w:spacing w:before="157" w:beforeLines="50" w:after="157" w:afterLines="50"/>
        <w:ind w:left="0" w:hanging="420" w:hangingChars="200"/>
        <w:textAlignment w:val="auto"/>
        <w:rPr>
          <w:rFonts w:ascii="黑体" w:hAnsi="黑体" w:eastAsia="黑体"/>
        </w:rPr>
      </w:pPr>
      <w:r>
        <w:rPr>
          <w:rFonts w:ascii="黑体" w:hAnsi="黑体" w:eastAsia="黑体"/>
        </w:rPr>
        <w:t>坚果与籽类食品</w:t>
      </w:r>
    </w:p>
    <w:p w14:paraId="4D1F0516">
      <w:pPr>
        <w:pStyle w:val="56"/>
        <w:ind w:firstLine="420"/>
      </w:pPr>
      <w:r>
        <w:t>以坚果、籽类或其籽仁等为主要原料，经加工制成的食品</w:t>
      </w:r>
    </w:p>
    <w:p w14:paraId="29AA73F7">
      <w:pPr>
        <w:pStyle w:val="56"/>
        <w:ind w:firstLine="420"/>
      </w:pPr>
      <w:r>
        <w:rPr>
          <w:rFonts w:hint="eastAsia"/>
        </w:rPr>
        <w:t>[来源：GB 19300-2014，定义</w:t>
      </w:r>
      <w:r>
        <w:t>2.</w:t>
      </w:r>
      <w:r>
        <w:rPr>
          <w:rFonts w:hint="eastAsia"/>
        </w:rPr>
        <w:t>1]</w:t>
      </w:r>
    </w:p>
    <w:p w14:paraId="5A7C79F0">
      <w:pPr>
        <w:pStyle w:val="104"/>
        <w:spacing w:before="312" w:after="312"/>
      </w:pPr>
      <w:bookmarkStart w:id="48" w:name="_Toc118471884"/>
      <w:bookmarkStart w:id="49" w:name="_Toc104469944"/>
      <w:bookmarkStart w:id="50" w:name="_Toc117522136"/>
      <w:bookmarkStart w:id="51" w:name="_Toc121325030"/>
      <w:bookmarkStart w:id="52" w:name="_Toc101797233"/>
      <w:bookmarkStart w:id="53" w:name="_Toc103677585"/>
      <w:bookmarkStart w:id="54" w:name="_Toc121217087"/>
      <w:bookmarkStart w:id="55" w:name="_Toc103243444"/>
      <w:bookmarkStart w:id="56" w:name="_Toc118626530"/>
      <w:bookmarkStart w:id="57" w:name="_Toc121378102"/>
      <w:bookmarkStart w:id="58" w:name="_Toc121213801"/>
      <w:bookmarkStart w:id="59" w:name="_Toc105361004"/>
      <w:bookmarkStart w:id="60" w:name="_Toc25600"/>
      <w:bookmarkStart w:id="61" w:name="_Toc98684139"/>
      <w:bookmarkStart w:id="62" w:name="_Toc98748632"/>
      <w:bookmarkStart w:id="63" w:name="_Toc100647725"/>
      <w:bookmarkStart w:id="64" w:name="_Toc96934869"/>
      <w:r>
        <w:rPr>
          <w:rFonts w:hint="eastAsia"/>
        </w:rPr>
        <w:t>总体要求</w:t>
      </w:r>
      <w:bookmarkEnd w:id="48"/>
      <w:bookmarkEnd w:id="49"/>
      <w:bookmarkEnd w:id="50"/>
      <w:bookmarkEnd w:id="51"/>
      <w:bookmarkEnd w:id="52"/>
      <w:bookmarkEnd w:id="53"/>
      <w:bookmarkEnd w:id="54"/>
      <w:bookmarkEnd w:id="55"/>
      <w:bookmarkEnd w:id="56"/>
      <w:bookmarkEnd w:id="57"/>
      <w:bookmarkEnd w:id="58"/>
      <w:bookmarkEnd w:id="59"/>
      <w:bookmarkEnd w:id="60"/>
    </w:p>
    <w:p w14:paraId="4800B8CF">
      <w:pPr>
        <w:pStyle w:val="105"/>
        <w:spacing w:before="156" w:after="156"/>
      </w:pPr>
      <w:bookmarkStart w:id="65" w:name="_Toc121378103"/>
      <w:bookmarkStart w:id="66" w:name="_Toc696"/>
      <w:r>
        <w:rPr>
          <w:rFonts w:hint="eastAsia"/>
        </w:rPr>
        <w:t>指导原则</w:t>
      </w:r>
      <w:bookmarkEnd w:id="65"/>
      <w:bookmarkEnd w:id="66"/>
    </w:p>
    <w:p w14:paraId="3E769866">
      <w:pPr>
        <w:pStyle w:val="165"/>
        <w:rPr>
          <w:rFonts w:hint="eastAsia"/>
        </w:rPr>
      </w:pPr>
      <w:r>
        <w:rPr>
          <w:rFonts w:hint="eastAsia"/>
        </w:rPr>
        <w:t>坚果与籽类食品生产质量控制与管理应全面覆盖产品的全生命周期，依据PDCA（策划-实施-检查-行动）循环原则，系统地开展质量控制活动。</w:t>
      </w:r>
    </w:p>
    <w:p w14:paraId="700B0F39">
      <w:pPr>
        <w:pStyle w:val="165"/>
        <w:rPr>
          <w:rFonts w:hint="eastAsia"/>
        </w:rPr>
      </w:pPr>
      <w:r>
        <w:rPr>
          <w:rFonts w:hint="eastAsia"/>
        </w:rPr>
        <w:t>在进行质量控制与管理活动时，应充分考虑并采取措施提升产业链和供应链的控制能力及整体质量水平。</w:t>
      </w:r>
    </w:p>
    <w:p w14:paraId="01E90F47">
      <w:pPr>
        <w:pStyle w:val="165"/>
        <w:rPr>
          <w:rFonts w:hint="eastAsia"/>
        </w:rPr>
      </w:pPr>
      <w:r>
        <w:rPr>
          <w:rFonts w:hint="eastAsia"/>
        </w:rPr>
        <w:t>鼓励企业根据自身的生产和管理实际情况，采纳精益生产、全面质量管理、六西格玛等先进的质量管理理论和方法，以提高坚果与籽类食品的生产质量管理效能。</w:t>
      </w:r>
    </w:p>
    <w:p w14:paraId="5BE5DBCC">
      <w:pPr>
        <w:pStyle w:val="165"/>
        <w:rPr>
          <w:rFonts w:hint="eastAsia"/>
        </w:rPr>
      </w:pPr>
      <w:r>
        <w:rPr>
          <w:rFonts w:hint="eastAsia"/>
        </w:rPr>
        <w:t>鼓励坚果与籽类食品生产企业建立整合产品研发、原辅料管理、生产管理和实验室管理的数字</w:t>
      </w:r>
      <w:r>
        <w:rPr>
          <w:rFonts w:hint="eastAsia"/>
          <w:lang w:eastAsia="zh-CN"/>
        </w:rPr>
        <w:t>一体</w:t>
      </w:r>
      <w:r>
        <w:rPr>
          <w:rFonts w:hint="eastAsia"/>
        </w:rPr>
        <w:t>化管理平台，以提高生产过程的透明度和追溯性。生产加工过程的电子记录应符合GB/T 30644</w:t>
      </w:r>
      <w:r>
        <w:rPr>
          <w:rFonts w:hint="eastAsia"/>
          <w:lang w:eastAsia="zh-CN"/>
        </w:rPr>
        <w:t>的要求。</w:t>
      </w:r>
    </w:p>
    <w:p w14:paraId="47C0F79B">
      <w:pPr>
        <w:pStyle w:val="165"/>
      </w:pPr>
      <w:r>
        <w:rPr>
          <w:rFonts w:hint="eastAsia"/>
        </w:rPr>
        <w:t>鼓励企业实施绿色加工与贮运操作，</w:t>
      </w:r>
      <w:r>
        <w:rPr>
          <w:rFonts w:hint="eastAsia"/>
          <w:lang w:eastAsia="zh-CN"/>
        </w:rPr>
        <w:t>符合</w:t>
      </w:r>
      <w:r>
        <w:rPr>
          <w:rFonts w:hint="eastAsia"/>
        </w:rPr>
        <w:t>GB/T 36132</w:t>
      </w:r>
      <w:r>
        <w:rPr>
          <w:rFonts w:hint="eastAsia"/>
          <w:lang w:eastAsia="zh-CN"/>
        </w:rPr>
        <w:t>和</w:t>
      </w:r>
      <w:r>
        <w:rPr>
          <w:rFonts w:hint="eastAsia"/>
        </w:rPr>
        <w:t>GB/T 41243的要求，促进可持续发展和环境保护。</w:t>
      </w:r>
    </w:p>
    <w:p w14:paraId="7EC9A437">
      <w:pPr>
        <w:pStyle w:val="105"/>
        <w:spacing w:before="156" w:after="156"/>
      </w:pPr>
      <w:bookmarkStart w:id="67" w:name="_Toc104469945"/>
      <w:bookmarkStart w:id="68" w:name="_Toc103243445"/>
      <w:bookmarkStart w:id="69" w:name="_Toc105361005"/>
      <w:bookmarkStart w:id="70" w:name="_Toc103677586"/>
      <w:bookmarkStart w:id="71" w:name="_Toc121378104"/>
      <w:bookmarkStart w:id="72" w:name="_Toc121325031"/>
      <w:bookmarkStart w:id="73" w:name="_Toc117522137"/>
      <w:bookmarkStart w:id="74" w:name="_Toc118626531"/>
      <w:bookmarkStart w:id="75" w:name="_Toc121217088"/>
      <w:bookmarkStart w:id="76" w:name="_Toc118471885"/>
      <w:bookmarkStart w:id="77" w:name="_Toc121213802"/>
      <w:bookmarkStart w:id="78" w:name="_Toc3156"/>
      <w:r>
        <w:rPr>
          <w:rFonts w:hint="eastAsia"/>
        </w:rPr>
        <w:t>确定坚果与籽类食品质量</w:t>
      </w:r>
      <w:bookmarkEnd w:id="67"/>
      <w:bookmarkEnd w:id="68"/>
      <w:bookmarkEnd w:id="69"/>
      <w:bookmarkEnd w:id="70"/>
      <w:r>
        <w:rPr>
          <w:rFonts w:hint="eastAsia"/>
        </w:rPr>
        <w:t>要求</w:t>
      </w:r>
      <w:bookmarkEnd w:id="71"/>
      <w:bookmarkEnd w:id="72"/>
      <w:bookmarkEnd w:id="73"/>
      <w:bookmarkEnd w:id="74"/>
      <w:bookmarkEnd w:id="75"/>
      <w:bookmarkEnd w:id="76"/>
      <w:bookmarkEnd w:id="77"/>
      <w:bookmarkEnd w:id="78"/>
    </w:p>
    <w:p w14:paraId="3C51E88F">
      <w:pPr>
        <w:pStyle w:val="165"/>
        <w:rPr>
          <w:rFonts w:hint="eastAsia"/>
        </w:rPr>
      </w:pPr>
      <w:r>
        <w:rPr>
          <w:rFonts w:hint="eastAsia"/>
        </w:rPr>
        <w:t>坚果与籽类食品生产企业必须明确坚果与籽类食品的质量要求，这些要求应涵盖产品的各个方面，包括但不限于原辅料的标准、感官特性（如色泽、气味、口感等）、理化指标（如水分含量、酸价、过氧化值等）、营养成分、产品等级（如</w:t>
      </w:r>
      <w:r>
        <w:rPr>
          <w:rFonts w:hint="eastAsia"/>
          <w:lang w:eastAsia="zh-CN"/>
        </w:rPr>
        <w:t>有</w:t>
      </w:r>
      <w:r>
        <w:rPr>
          <w:rFonts w:hint="eastAsia"/>
        </w:rPr>
        <w:t>）等。</w:t>
      </w:r>
    </w:p>
    <w:p w14:paraId="59B48BF3">
      <w:pPr>
        <w:pStyle w:val="165"/>
        <w:rPr>
          <w:rFonts w:hint="eastAsia"/>
        </w:rPr>
      </w:pPr>
      <w:r>
        <w:rPr>
          <w:rFonts w:hint="eastAsia"/>
        </w:rPr>
        <w:t>企业应根据坚果与籽类食品的特性和既定的质量要求，设定可接受的质量波动水平。这应包括对生产过程中可能出现的变异进行评估，并基于风险管理原则，确定能够保证食品安全和质量的控制限值。</w:t>
      </w:r>
    </w:p>
    <w:p w14:paraId="7720EC0A">
      <w:pPr>
        <w:pStyle w:val="165"/>
        <w:rPr>
          <w:rFonts w:hint="eastAsia"/>
        </w:rPr>
      </w:pPr>
      <w:r>
        <w:rPr>
          <w:rFonts w:hint="eastAsia"/>
        </w:rPr>
        <w:t>确定的质量要求和可接受的质量波动水平应被文件化，并作为质量控制和产品放行的标准。这些要求应用于整个生产过程，以确保所有产品都能满足消费者和法规的期望。</w:t>
      </w:r>
    </w:p>
    <w:p w14:paraId="0DB9D69A">
      <w:pPr>
        <w:pStyle w:val="165"/>
      </w:pPr>
      <w:r>
        <w:rPr>
          <w:rFonts w:hint="eastAsia"/>
        </w:rPr>
        <w:t>企业应定期审查和更新质量要求，以适应市场变化、技术进步和新的科学信息，确保质量标准的持续适用性和有效性。</w:t>
      </w:r>
    </w:p>
    <w:p w14:paraId="5EF46507">
      <w:pPr>
        <w:pStyle w:val="105"/>
        <w:spacing w:before="156" w:after="156"/>
      </w:pPr>
      <w:bookmarkStart w:id="79" w:name="_Toc118626532"/>
      <w:bookmarkStart w:id="80" w:name="_Toc121378105"/>
      <w:bookmarkStart w:id="81" w:name="_Toc121213803"/>
      <w:bookmarkStart w:id="82" w:name="_Toc118471886"/>
      <w:bookmarkStart w:id="83" w:name="_Toc121217089"/>
      <w:bookmarkStart w:id="84" w:name="_Toc117522138"/>
      <w:bookmarkStart w:id="85" w:name="_Toc121325032"/>
      <w:bookmarkStart w:id="86" w:name="_Toc8673"/>
      <w:r>
        <w:rPr>
          <w:rFonts w:hint="eastAsia"/>
        </w:rPr>
        <w:t>确定坚果与籽类食品质量影响因素</w:t>
      </w:r>
      <w:bookmarkEnd w:id="79"/>
      <w:bookmarkEnd w:id="80"/>
      <w:bookmarkEnd w:id="81"/>
      <w:bookmarkEnd w:id="82"/>
      <w:bookmarkEnd w:id="83"/>
      <w:bookmarkEnd w:id="84"/>
      <w:bookmarkEnd w:id="85"/>
      <w:bookmarkEnd w:id="86"/>
    </w:p>
    <w:p w14:paraId="75229862">
      <w:pPr>
        <w:pStyle w:val="165"/>
        <w:bidi w:val="0"/>
        <w:rPr>
          <w:rFonts w:hint="eastAsia"/>
        </w:rPr>
      </w:pPr>
      <w:r>
        <w:rPr>
          <w:rFonts w:hint="eastAsia"/>
        </w:rPr>
        <w:t>坚果与籽类食品生产企业在开展质量控制与管理时，应全面识别并考虑影响产品质量的各种因素，确保从原料采购到最终产品销售的全周期质量管理。</w:t>
      </w:r>
    </w:p>
    <w:p w14:paraId="53563A75">
      <w:pPr>
        <w:pStyle w:val="165"/>
        <w:bidi w:val="0"/>
      </w:pPr>
      <w:r>
        <w:rPr>
          <w:rFonts w:hint="eastAsia"/>
        </w:rPr>
        <w:t>应综合考虑以下方面确定坚果与籽类食品质量的影响因素：</w:t>
      </w:r>
    </w:p>
    <w:p w14:paraId="266320FA">
      <w:pPr>
        <w:pStyle w:val="174"/>
        <w:rPr>
          <w:rFonts w:hint="eastAsia"/>
        </w:rPr>
      </w:pPr>
      <w:r>
        <w:rPr>
          <w:rFonts w:hint="eastAsia"/>
        </w:rPr>
        <w:t>a) 资源条件：包括但不限于人力资源、原辅料资源、环境资源和信息资源等，确保这些资源的质量和可用性能够满足生产需求。</w:t>
      </w:r>
    </w:p>
    <w:p w14:paraId="71502EA9">
      <w:pPr>
        <w:pStyle w:val="174"/>
        <w:rPr>
          <w:rFonts w:hint="eastAsia"/>
        </w:rPr>
      </w:pPr>
      <w:r>
        <w:rPr>
          <w:rFonts w:hint="eastAsia"/>
        </w:rPr>
        <w:t>b) 加工方式：根据坚果与籽类食品的特性，选择适宜的加工方法，以保持产品的品质和特性。</w:t>
      </w:r>
    </w:p>
    <w:p w14:paraId="36021E84">
      <w:pPr>
        <w:pStyle w:val="174"/>
        <w:rPr>
          <w:rFonts w:hint="eastAsia"/>
        </w:rPr>
      </w:pPr>
      <w:r>
        <w:rPr>
          <w:rFonts w:hint="eastAsia"/>
        </w:rPr>
        <w:t>c) 技术因素：包括加工技术水平和设备装备水平，确保技术先进性和设备的可靠性，以提高产品质量和生产效率。</w:t>
      </w:r>
    </w:p>
    <w:p w14:paraId="035D77BE">
      <w:pPr>
        <w:pStyle w:val="174"/>
        <w:rPr>
          <w:rFonts w:hint="eastAsia"/>
        </w:rPr>
      </w:pPr>
      <w:r>
        <w:rPr>
          <w:rFonts w:hint="eastAsia"/>
        </w:rPr>
        <w:t>d) 质量稳定性和一致性：通过严格的质量控制，确保产品在不同批次间的质量稳定性和一致性。</w:t>
      </w:r>
    </w:p>
    <w:p w14:paraId="654FADC1">
      <w:pPr>
        <w:pStyle w:val="174"/>
        <w:rPr>
          <w:rFonts w:hint="eastAsia"/>
        </w:rPr>
      </w:pPr>
      <w:r>
        <w:rPr>
          <w:rFonts w:hint="eastAsia"/>
        </w:rPr>
        <w:t>e) 生产产能与效能：评估并优化生产流程，提高产能和效能，以满足市场需求。</w:t>
      </w:r>
    </w:p>
    <w:p w14:paraId="55768B3B">
      <w:pPr>
        <w:pStyle w:val="174"/>
        <w:rPr>
          <w:rFonts w:hint="eastAsia"/>
        </w:rPr>
      </w:pPr>
      <w:r>
        <w:rPr>
          <w:rFonts w:hint="eastAsia"/>
        </w:rPr>
        <w:t>f) 生产体系的有效性和可持续性：确保生产体系的有效运行，并考虑其长期可持续性，包括对环境的影响和资源的使用。</w:t>
      </w:r>
    </w:p>
    <w:p w14:paraId="4921BB38">
      <w:pPr>
        <w:pStyle w:val="174"/>
        <w:rPr>
          <w:rFonts w:hint="eastAsia"/>
        </w:rPr>
      </w:pPr>
      <w:r>
        <w:rPr>
          <w:rFonts w:hint="eastAsia"/>
        </w:rPr>
        <w:t>g) 成本因素：在保证产品质量的前提下，合理控制生产成本，提高企业竞争力。</w:t>
      </w:r>
    </w:p>
    <w:p w14:paraId="4EB929D8">
      <w:pPr>
        <w:pStyle w:val="174"/>
        <w:rPr>
          <w:rFonts w:hint="eastAsia"/>
        </w:rPr>
      </w:pPr>
      <w:r>
        <w:rPr>
          <w:rFonts w:hint="eastAsia"/>
        </w:rPr>
        <w:t>h) 资源节约：采取措施减少食品损耗和节约用水，提高资源利用效率。</w:t>
      </w:r>
    </w:p>
    <w:p w14:paraId="01AC126E">
      <w:pPr>
        <w:pStyle w:val="174"/>
        <w:rPr>
          <w:rFonts w:hint="eastAsia"/>
        </w:rPr>
      </w:pPr>
      <w:r>
        <w:rPr>
          <w:rFonts w:hint="eastAsia"/>
        </w:rPr>
        <w:t>i) 节能环保：采用节能和环保的生产技术和设备，减少生产过程中的能源消耗和环境污染。</w:t>
      </w:r>
    </w:p>
    <w:p w14:paraId="0E177A36">
      <w:pPr>
        <w:pStyle w:val="174"/>
        <w:rPr>
          <w:rFonts w:hint="eastAsia"/>
        </w:rPr>
      </w:pPr>
      <w:r>
        <w:rPr>
          <w:rFonts w:hint="eastAsia"/>
        </w:rPr>
        <w:t>j) 人文因素：考虑员工的技能、培训和工作态度等因素，以及它们对产品质量的影响。</w:t>
      </w:r>
    </w:p>
    <w:p w14:paraId="4C57C6CE">
      <w:pPr>
        <w:pStyle w:val="174"/>
      </w:pPr>
      <w:r>
        <w:rPr>
          <w:rFonts w:hint="eastAsia"/>
        </w:rPr>
        <w:t>k) 其他影响因素：识别和评估其他可能影响坚果与籽类食品质量的因素，如供应链管理、市场变化等，并采取相应的控制措施。</w:t>
      </w:r>
    </w:p>
    <w:p w14:paraId="14DB179B">
      <w:pPr>
        <w:pStyle w:val="105"/>
        <w:spacing w:before="156" w:after="156"/>
      </w:pPr>
      <w:bookmarkStart w:id="87" w:name="_Toc121325033"/>
      <w:bookmarkStart w:id="88" w:name="_Toc96934871"/>
      <w:bookmarkStart w:id="89" w:name="_Toc105361011"/>
      <w:bookmarkStart w:id="90" w:name="_Toc121378106"/>
      <w:bookmarkStart w:id="91" w:name="_Toc118471887"/>
      <w:bookmarkStart w:id="92" w:name="_Toc98684141"/>
      <w:bookmarkStart w:id="93" w:name="_Toc117522139"/>
      <w:bookmarkStart w:id="94" w:name="_Toc98748634"/>
      <w:bookmarkStart w:id="95" w:name="_Toc118626533"/>
      <w:bookmarkStart w:id="96" w:name="_Toc101797241"/>
      <w:bookmarkStart w:id="97" w:name="_Toc104469951"/>
      <w:bookmarkStart w:id="98" w:name="_Toc100647727"/>
      <w:bookmarkStart w:id="99" w:name="_Toc103677591"/>
      <w:bookmarkStart w:id="100" w:name="_Toc103243450"/>
      <w:bookmarkStart w:id="101" w:name="_Toc121213804"/>
      <w:bookmarkStart w:id="102" w:name="_Toc121217090"/>
      <w:bookmarkStart w:id="103" w:name="_Toc24328"/>
      <w:bookmarkStart w:id="104" w:name="_Toc104469946"/>
      <w:bookmarkStart w:id="105" w:name="_Toc105361006"/>
      <w:r>
        <w:rPr>
          <w:rFonts w:hint="eastAsia"/>
        </w:rPr>
        <w:t>建立坚果与籽类食品生产质量目标</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E8EA94D">
      <w:pPr>
        <w:pStyle w:val="165"/>
        <w:rPr>
          <w:rFonts w:hint="eastAsia"/>
        </w:rPr>
      </w:pPr>
      <w:r>
        <w:rPr>
          <w:rFonts w:hint="eastAsia"/>
        </w:rPr>
        <w:t>坚果与籽类食品生产企业必须明确并落实其产品质量责任，建立清晰的生产质量目标。这些目标应贯穿于企业内部各个部门，并在供应链上下游企业间进行有效的沟通、理解和应用。</w:t>
      </w:r>
    </w:p>
    <w:p w14:paraId="21FA5A3B">
      <w:pPr>
        <w:pStyle w:val="165"/>
        <w:rPr>
          <w:rFonts w:hint="eastAsia"/>
        </w:rPr>
      </w:pPr>
      <w:r>
        <w:rPr>
          <w:rFonts w:hint="eastAsia"/>
        </w:rPr>
        <w:t>企业应以市场需求为导向，依据产品设计的质量方针，综合考虑坚果与籽类食品的品质、营养、感官、理化等质量指标，以及原辅料的质量要求、加工工艺参数、包装材料和形式等，制定全面覆盖食品生产全过程的质量目标。</w:t>
      </w:r>
    </w:p>
    <w:p w14:paraId="677ECE6C">
      <w:pPr>
        <w:pStyle w:val="165"/>
      </w:pPr>
      <w:r>
        <w:rPr>
          <w:rFonts w:hint="eastAsia"/>
        </w:rPr>
        <w:t>制定的质量目标应满足以下要求：</w:t>
      </w:r>
      <w:r>
        <w:t xml:space="preserve"> </w:t>
      </w:r>
    </w:p>
    <w:p w14:paraId="41BC86BE">
      <w:pPr>
        <w:pStyle w:val="174"/>
        <w:rPr>
          <w:rFonts w:hint="eastAsia"/>
        </w:rPr>
      </w:pPr>
      <w:r>
        <w:rPr>
          <w:rFonts w:hint="eastAsia"/>
        </w:rPr>
        <w:t>a) 明确指出坚果与籽类食品的质量要求，确保目标具有明确的质量指标和性能标准；</w:t>
      </w:r>
    </w:p>
    <w:p w14:paraId="5CC13810">
      <w:pPr>
        <w:pStyle w:val="174"/>
        <w:rPr>
          <w:rFonts w:hint="eastAsia"/>
        </w:rPr>
      </w:pPr>
      <w:r>
        <w:rPr>
          <w:rFonts w:hint="eastAsia"/>
        </w:rPr>
        <w:t>b) 确定实现这些质量目标所需的资源配置，包括人力、技术、设备和财务资源等；</w:t>
      </w:r>
    </w:p>
    <w:p w14:paraId="5B79F48F">
      <w:pPr>
        <w:pStyle w:val="174"/>
        <w:rPr>
          <w:rFonts w:hint="eastAsia"/>
        </w:rPr>
      </w:pPr>
      <w:r>
        <w:rPr>
          <w:rFonts w:hint="eastAsia"/>
        </w:rPr>
        <w:t>c) 确保质量目标既可实现又可测量，通过设定具体、量化的目标，便于监控和评估；</w:t>
      </w:r>
    </w:p>
    <w:p w14:paraId="6B931343">
      <w:pPr>
        <w:pStyle w:val="174"/>
        <w:rPr>
          <w:rFonts w:hint="eastAsia"/>
        </w:rPr>
      </w:pPr>
      <w:r>
        <w:rPr>
          <w:rFonts w:hint="eastAsia"/>
        </w:rPr>
        <w:t>d) 与企业的质量政策和食品安全标准保持一致，确保目标的实现能够提升产品质量和市场竞争力；</w:t>
      </w:r>
    </w:p>
    <w:p w14:paraId="5DA93E71">
      <w:pPr>
        <w:pStyle w:val="174"/>
      </w:pPr>
      <w:r>
        <w:rPr>
          <w:rFonts w:hint="eastAsia"/>
        </w:rPr>
        <w:t>e) 根据市场变化、技术进步和消费者反馈，适时对质量目标进行评估和更新，确保其持续适应企业发展和市场需求。</w:t>
      </w:r>
    </w:p>
    <w:bookmarkEnd w:id="104"/>
    <w:bookmarkEnd w:id="105"/>
    <w:p w14:paraId="6D7B3209">
      <w:pPr>
        <w:pStyle w:val="105"/>
        <w:spacing w:before="156" w:after="156"/>
      </w:pPr>
      <w:bookmarkStart w:id="106" w:name="_Toc118471888"/>
      <w:bookmarkStart w:id="107" w:name="_Toc101797234"/>
      <w:bookmarkStart w:id="108" w:name="_Toc121213805"/>
      <w:bookmarkStart w:id="109" w:name="_Toc121378107"/>
      <w:bookmarkStart w:id="110" w:name="_Toc105361007"/>
      <w:bookmarkStart w:id="111" w:name="_Toc103243446"/>
      <w:bookmarkStart w:id="112" w:name="_Toc121217091"/>
      <w:bookmarkStart w:id="113" w:name="_Toc118626534"/>
      <w:bookmarkStart w:id="114" w:name="_Toc121325034"/>
      <w:bookmarkStart w:id="115" w:name="_Toc117522140"/>
      <w:bookmarkStart w:id="116" w:name="_Toc103677587"/>
      <w:bookmarkStart w:id="117" w:name="_Toc104469947"/>
      <w:bookmarkStart w:id="118" w:name="_Toc12120"/>
      <w:r>
        <w:rPr>
          <w:rFonts w:hint="eastAsia"/>
        </w:rPr>
        <w:t>确立坚果与籽类食品生产质量控制</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16F4138E">
      <w:pPr>
        <w:pStyle w:val="165"/>
        <w:rPr>
          <w:rFonts w:hint="eastAsia"/>
        </w:rPr>
      </w:pPr>
      <w:r>
        <w:rPr>
          <w:rFonts w:hint="eastAsia"/>
        </w:rPr>
        <w:t>企业应针对人员、设施与设备、物料、工艺方法、环境等关键质量控制对象，确立全面的坚果与籽类食品生产质量控制措施。</w:t>
      </w:r>
    </w:p>
    <w:p w14:paraId="476E2D98">
      <w:pPr>
        <w:pStyle w:val="165"/>
        <w:rPr>
          <w:rFonts w:hint="eastAsia"/>
        </w:rPr>
      </w:pPr>
      <w:r>
        <w:rPr>
          <w:rFonts w:hint="eastAsia"/>
        </w:rPr>
        <w:t>质量控制措施应综合考虑生产过程中可能出现的各种影响因素，包括但不限于原料质量、加工技术、生产环境、设备性能、操作人员技能等。</w:t>
      </w:r>
    </w:p>
    <w:p w14:paraId="7194A762">
      <w:pPr>
        <w:pStyle w:val="165"/>
        <w:rPr>
          <w:rFonts w:hint="eastAsia"/>
        </w:rPr>
      </w:pPr>
      <w:r>
        <w:rPr>
          <w:rFonts w:hint="eastAsia"/>
        </w:rPr>
        <w:t>制定的质量控制措施应能有效地将坚果与籽类食品的质量缺陷和质量波动水平控制在企业内部设定的可接受范围内，以确保最终产品符合食品安全和质量标准。</w:t>
      </w:r>
    </w:p>
    <w:p w14:paraId="256FAF53">
      <w:pPr>
        <w:pStyle w:val="165"/>
      </w:pPr>
      <w:r>
        <w:rPr>
          <w:rFonts w:hint="eastAsia"/>
        </w:rPr>
        <w:t>企业应定期评估和审查质量控制措施的有效性，并根据生产实际和质量反馈，适时进行调整和优化，以实现持续改进和质量管理的动态提升。</w:t>
      </w:r>
    </w:p>
    <w:p w14:paraId="4A3B26EB">
      <w:pPr>
        <w:pStyle w:val="105"/>
        <w:spacing w:before="156" w:after="156"/>
      </w:pPr>
      <w:bookmarkStart w:id="119" w:name="_Toc118471889"/>
      <w:bookmarkStart w:id="120" w:name="_Toc121213806"/>
      <w:bookmarkStart w:id="121" w:name="_Toc121325035"/>
      <w:bookmarkStart w:id="122" w:name="_Toc121217092"/>
      <w:bookmarkStart w:id="123" w:name="_Toc118626535"/>
      <w:bookmarkStart w:id="124" w:name="_Toc121378108"/>
      <w:bookmarkStart w:id="125" w:name="_Toc117522141"/>
      <w:bookmarkStart w:id="126" w:name="_Toc25485"/>
      <w:r>
        <w:rPr>
          <w:rFonts w:hint="eastAsia"/>
        </w:rPr>
        <w:t>实施坚果与籽类食品生产质量质量控制评价与改进</w:t>
      </w:r>
      <w:bookmarkEnd w:id="119"/>
      <w:bookmarkEnd w:id="120"/>
      <w:bookmarkEnd w:id="121"/>
      <w:bookmarkEnd w:id="122"/>
      <w:bookmarkEnd w:id="123"/>
      <w:bookmarkEnd w:id="124"/>
      <w:bookmarkEnd w:id="125"/>
      <w:bookmarkEnd w:id="126"/>
    </w:p>
    <w:p w14:paraId="2A17BF2B">
      <w:pPr>
        <w:pStyle w:val="165"/>
        <w:rPr>
          <w:rFonts w:hint="eastAsia"/>
        </w:rPr>
      </w:pPr>
      <w:r>
        <w:rPr>
          <w:rFonts w:hint="eastAsia"/>
        </w:rPr>
        <w:t>企业应建立坚果与籽类食品生产质量跟踪评价体系，对生产过程进行持续监控，确保产品质量符合既定标准。</w:t>
      </w:r>
    </w:p>
    <w:p w14:paraId="30C780BE">
      <w:pPr>
        <w:pStyle w:val="165"/>
        <w:rPr>
          <w:rFonts w:hint="eastAsia"/>
        </w:rPr>
      </w:pPr>
      <w:r>
        <w:rPr>
          <w:rFonts w:hint="eastAsia"/>
        </w:rPr>
        <w:t>当生产过程中出现质量偏差时，应立即组织相关技术人员和管理人员进行原因分析，并针对已识别的原因制定具体的改进建议和措施。</w:t>
      </w:r>
    </w:p>
    <w:p w14:paraId="61489862">
      <w:pPr>
        <w:pStyle w:val="165"/>
        <w:rPr>
          <w:rFonts w:hint="eastAsia"/>
        </w:rPr>
      </w:pPr>
      <w:r>
        <w:rPr>
          <w:rFonts w:hint="eastAsia"/>
        </w:rPr>
        <w:t>企业应实施这些改进措施，并跟踪其效果，以保证坚果与籽类食品质量的持续改进和提高。</w:t>
      </w:r>
    </w:p>
    <w:p w14:paraId="72F1FA5A">
      <w:pPr>
        <w:pStyle w:val="165"/>
        <w:rPr>
          <w:rFonts w:hint="eastAsia"/>
        </w:rPr>
      </w:pPr>
      <w:r>
        <w:rPr>
          <w:rFonts w:hint="eastAsia"/>
        </w:rPr>
        <w:t>为提升企业的整体质量管理水平，鼓励企业实施卓越绩效管理，符合GB/T 19580的要求，以提高企业的竞争力和市场响应能力。</w:t>
      </w:r>
    </w:p>
    <w:p w14:paraId="53A82E6D">
      <w:pPr>
        <w:pStyle w:val="165"/>
        <w:rPr>
          <w:rFonts w:hint="eastAsia"/>
        </w:rPr>
      </w:pPr>
      <w:r>
        <w:rPr>
          <w:rFonts w:hint="eastAsia"/>
        </w:rPr>
        <w:t>鼓励企业开展质量文化建设，符合GB/T 32230的要求，通过培养员工的质量意识和责任感，提升企业的质量管理体系。</w:t>
      </w:r>
    </w:p>
    <w:p w14:paraId="1BFBFE27">
      <w:pPr>
        <w:pStyle w:val="165"/>
      </w:pPr>
      <w:r>
        <w:rPr>
          <w:rFonts w:hint="eastAsia"/>
        </w:rPr>
        <w:t>同时，鼓励企业开展品牌建设，符合GB/T 39906的标准，通过提高产品质量和品牌形象，增强消费者对企业产品的信任和忠诚度。</w:t>
      </w:r>
      <w:bookmarkEnd w:id="61"/>
      <w:bookmarkEnd w:id="62"/>
      <w:bookmarkEnd w:id="63"/>
      <w:bookmarkEnd w:id="64"/>
      <w:bookmarkStart w:id="127" w:name="_Toc121378109"/>
      <w:bookmarkStart w:id="128" w:name="_Toc100647728"/>
      <w:bookmarkStart w:id="129" w:name="_Toc96934872"/>
      <w:bookmarkStart w:id="130" w:name="_Toc101797242"/>
      <w:bookmarkStart w:id="131" w:name="_Toc117522142"/>
      <w:bookmarkStart w:id="132" w:name="_Toc121217093"/>
      <w:bookmarkStart w:id="133" w:name="_Toc118626536"/>
      <w:bookmarkStart w:id="134" w:name="_Toc118471890"/>
      <w:bookmarkStart w:id="135" w:name="_Toc121213807"/>
      <w:bookmarkStart w:id="136" w:name="_Toc104469952"/>
      <w:bookmarkStart w:id="137" w:name="_Toc105361012"/>
      <w:bookmarkStart w:id="138" w:name="_Toc103677592"/>
      <w:bookmarkStart w:id="139" w:name="_Toc98684142"/>
      <w:bookmarkStart w:id="140" w:name="_Toc98748635"/>
      <w:bookmarkStart w:id="141" w:name="_Toc103243451"/>
      <w:bookmarkStart w:id="142" w:name="_Toc121325036"/>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6148EF37">
      <w:pPr>
        <w:pStyle w:val="104"/>
        <w:spacing w:before="312" w:after="312"/>
      </w:pPr>
      <w:bookmarkStart w:id="143" w:name="_Toc103243453"/>
      <w:bookmarkStart w:id="144" w:name="_Toc101797244"/>
      <w:bookmarkStart w:id="145" w:name="_Toc118626540"/>
      <w:bookmarkStart w:id="146" w:name="_Toc100647730"/>
      <w:bookmarkStart w:id="147" w:name="_Toc118471894"/>
      <w:bookmarkStart w:id="148" w:name="_Toc98748637"/>
      <w:bookmarkStart w:id="149" w:name="_Toc103677594"/>
      <w:bookmarkStart w:id="150" w:name="_Toc98684144"/>
      <w:bookmarkStart w:id="151" w:name="_Toc117522146"/>
      <w:bookmarkStart w:id="152" w:name="_Toc104469954"/>
      <w:bookmarkStart w:id="153" w:name="_Toc96934876"/>
      <w:bookmarkStart w:id="154" w:name="_Toc105361014"/>
      <w:bookmarkStart w:id="155" w:name="_Toc121325040"/>
      <w:bookmarkStart w:id="156" w:name="_Toc121378113"/>
      <w:bookmarkStart w:id="157" w:name="_Toc121217097"/>
      <w:bookmarkStart w:id="158" w:name="_Toc121213811"/>
      <w:bookmarkStart w:id="159" w:name="_Toc25140"/>
      <w:r>
        <w:rPr>
          <w:rFonts w:hint="eastAsia"/>
        </w:rPr>
        <w:t>厂区环境</w:t>
      </w:r>
      <w:bookmarkEnd w:id="143"/>
      <w:bookmarkEnd w:id="144"/>
      <w:bookmarkEnd w:id="145"/>
      <w:bookmarkEnd w:id="146"/>
      <w:bookmarkEnd w:id="147"/>
      <w:bookmarkEnd w:id="148"/>
      <w:bookmarkEnd w:id="149"/>
      <w:bookmarkEnd w:id="150"/>
      <w:bookmarkEnd w:id="151"/>
      <w:bookmarkEnd w:id="152"/>
      <w:bookmarkEnd w:id="153"/>
      <w:bookmarkEnd w:id="154"/>
      <w:r>
        <w:rPr>
          <w:rFonts w:hint="eastAsia"/>
        </w:rPr>
        <w:t>与厂房设计</w:t>
      </w:r>
      <w:bookmarkEnd w:id="155"/>
      <w:bookmarkEnd w:id="156"/>
      <w:bookmarkEnd w:id="157"/>
      <w:bookmarkEnd w:id="158"/>
      <w:bookmarkEnd w:id="159"/>
    </w:p>
    <w:p w14:paraId="0FBB3307">
      <w:pPr>
        <w:pStyle w:val="162"/>
        <w:rPr>
          <w:rFonts w:hint="eastAsia" w:hAnsi="宋体" w:cs="宋体"/>
        </w:rPr>
      </w:pPr>
      <w:r>
        <w:rPr>
          <w:rFonts w:hint="eastAsia" w:hAnsi="宋体" w:cs="宋体"/>
        </w:rPr>
        <w:t>厂区的周边环境条件，包括温度、湿度、光照等，应符合GB 14881的相关规定，以确保生产环境对食品安全和产品质量无不良影响。</w:t>
      </w:r>
    </w:p>
    <w:p w14:paraId="3A26F822">
      <w:pPr>
        <w:pStyle w:val="162"/>
        <w:rPr>
          <w:rFonts w:hint="eastAsia" w:hAnsi="宋体" w:cs="宋体"/>
        </w:rPr>
      </w:pPr>
      <w:r>
        <w:rPr>
          <w:rFonts w:hint="eastAsia" w:hAnsi="宋体" w:cs="宋体"/>
        </w:rPr>
        <w:t>厂房的面积和空间大小应与企业的生产能力相匹配，确保生产过程中的各个环节有足够的操作空间，避免因空间拥挤影响生产效率和产品质量。</w:t>
      </w:r>
    </w:p>
    <w:p w14:paraId="43B8EA55">
      <w:pPr>
        <w:pStyle w:val="162"/>
        <w:rPr>
          <w:rFonts w:hint="eastAsia" w:hAnsi="宋体" w:cs="宋体"/>
        </w:rPr>
      </w:pPr>
      <w:r>
        <w:rPr>
          <w:rFonts w:hint="eastAsia" w:hAnsi="宋体" w:cs="宋体"/>
        </w:rPr>
        <w:t>对于以初级农产品为原料的企业，应配备与生产能力相适应的原料验收区域和预处理区域，以满足原料的接收、检验和初步处理需求。预处理区域应设置</w:t>
      </w:r>
      <w:r>
        <w:rPr>
          <w:rFonts w:hint="eastAsia" w:hAnsi="宋体" w:cs="宋体"/>
          <w:lang w:eastAsia="zh-CN"/>
        </w:rPr>
        <w:t>必要的防护</w:t>
      </w:r>
      <w:r>
        <w:rPr>
          <w:rFonts w:hint="eastAsia" w:hAnsi="宋体" w:cs="宋体"/>
        </w:rPr>
        <w:t>，以减少粉尘和气味对其他生产区域的影响，并防止交叉污染。</w:t>
      </w:r>
    </w:p>
    <w:p w14:paraId="1CBA5343">
      <w:pPr>
        <w:pStyle w:val="162"/>
        <w:rPr>
          <w:rFonts w:hint="eastAsia" w:hAnsi="宋体" w:cs="宋体"/>
        </w:rPr>
      </w:pPr>
      <w:r>
        <w:rPr>
          <w:rFonts w:hint="eastAsia" w:hAnsi="宋体" w:cs="宋体"/>
        </w:rPr>
        <w:t>厂房和车间的布局应遵循GB 14881的相关规定，并结合坚果与籽类食品的生产工艺特点进行合理设计。</w:t>
      </w:r>
    </w:p>
    <w:p w14:paraId="6E57D794">
      <w:pPr>
        <w:pStyle w:val="162"/>
        <w:rPr>
          <w:rFonts w:hint="eastAsia" w:hAnsi="宋体" w:cs="宋体"/>
        </w:rPr>
      </w:pPr>
      <w:r>
        <w:rPr>
          <w:rFonts w:hint="eastAsia" w:hAnsi="宋体" w:cs="宋体"/>
        </w:rPr>
        <w:t>功能布局应清晰，确保人流和物流的顺畅流动，同时满足清理、浸泡、蒸煮、干燥、裹衣、烘炒、拌料、油炸及包装等各个工序的要求。</w:t>
      </w:r>
    </w:p>
    <w:p w14:paraId="77D8AEFA">
      <w:pPr>
        <w:pStyle w:val="162"/>
        <w:rPr>
          <w:rFonts w:hAnsi="宋体" w:cs="宋体"/>
          <w:color w:val="0000FF"/>
        </w:rPr>
      </w:pPr>
      <w:r>
        <w:rPr>
          <w:rFonts w:hint="eastAsia" w:hAnsi="宋体" w:cs="宋体"/>
        </w:rPr>
        <w:t>应保证生产过程高效有序地进行，防止生产过程中的交叉污染，确保产品质量和食品安全。</w:t>
      </w:r>
    </w:p>
    <w:p w14:paraId="37600A1D">
      <w:pPr>
        <w:pStyle w:val="104"/>
        <w:spacing w:before="312" w:after="312"/>
      </w:pPr>
      <w:bookmarkStart w:id="160" w:name="_Toc121213812"/>
      <w:bookmarkStart w:id="161" w:name="_Toc121217098"/>
      <w:bookmarkStart w:id="162" w:name="_Toc121378114"/>
      <w:bookmarkStart w:id="163" w:name="_Toc117522148"/>
      <w:bookmarkStart w:id="164" w:name="_Toc105361016"/>
      <w:bookmarkStart w:id="165" w:name="_Toc101797246"/>
      <w:bookmarkStart w:id="166" w:name="_Toc100647732"/>
      <w:bookmarkStart w:id="167" w:name="_Toc103243455"/>
      <w:bookmarkStart w:id="168" w:name="_Toc118471896"/>
      <w:bookmarkStart w:id="169" w:name="_Toc98748639"/>
      <w:bookmarkStart w:id="170" w:name="_Toc98684146"/>
      <w:bookmarkStart w:id="171" w:name="_Toc104469956"/>
      <w:bookmarkStart w:id="172" w:name="_Toc118626542"/>
      <w:bookmarkStart w:id="173" w:name="_Toc121325041"/>
      <w:bookmarkStart w:id="174" w:name="_Toc103677596"/>
      <w:bookmarkStart w:id="175" w:name="_Toc96934878"/>
      <w:bookmarkStart w:id="176" w:name="_Toc13401"/>
      <w:r>
        <w:rPr>
          <w:rFonts w:hint="eastAsia"/>
        </w:rPr>
        <w:t>设施和设备</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6BC8561">
      <w:pPr>
        <w:pStyle w:val="105"/>
        <w:bidi w:val="0"/>
      </w:pPr>
      <w:bookmarkStart w:id="177" w:name="_Toc13261"/>
      <w:r>
        <w:rPr>
          <w:rFonts w:hint="eastAsia"/>
        </w:rPr>
        <w:t>生产设施和设备</w:t>
      </w:r>
      <w:bookmarkEnd w:id="177"/>
    </w:p>
    <w:p w14:paraId="0354A11D">
      <w:pPr>
        <w:pStyle w:val="165"/>
        <w:rPr>
          <w:rFonts w:hint="eastAsia"/>
        </w:rPr>
      </w:pPr>
      <w:r>
        <w:rPr>
          <w:rFonts w:hint="eastAsia"/>
        </w:rPr>
        <w:t>生产设施和设备的设计和布局应合理，保证厂房和车间内的通道、传送系统等结构设计能够满足人员通行和物料运输的需要。</w:t>
      </w:r>
    </w:p>
    <w:p w14:paraId="115996E7">
      <w:pPr>
        <w:pStyle w:val="165"/>
        <w:rPr>
          <w:rFonts w:hint="eastAsia"/>
        </w:rPr>
      </w:pPr>
      <w:r>
        <w:rPr>
          <w:rFonts w:hint="eastAsia"/>
        </w:rPr>
        <w:t>原辅料预处理设施须满足原料清理、去除杂质、筛选分级等工艺技术要求，确保原料处理过程的效率和质量。</w:t>
      </w:r>
    </w:p>
    <w:p w14:paraId="29B5A024">
      <w:pPr>
        <w:pStyle w:val="165"/>
        <w:rPr>
          <w:rFonts w:hint="eastAsia"/>
        </w:rPr>
      </w:pPr>
      <w:r>
        <w:rPr>
          <w:rFonts w:hint="eastAsia"/>
        </w:rPr>
        <w:t>对于产尘量大的车间，应配备有效的除尘设施，以控制粉尘的扩散和积聚。架空构件和设备的安装位置应便于日常清理和维护。</w:t>
      </w:r>
    </w:p>
    <w:p w14:paraId="02C0CFA7">
      <w:pPr>
        <w:pStyle w:val="165"/>
        <w:rPr>
          <w:rFonts w:hint="eastAsia"/>
        </w:rPr>
      </w:pPr>
      <w:r>
        <w:rPr>
          <w:rFonts w:hint="eastAsia"/>
        </w:rPr>
        <w:t>煮制、干燥、油炸等在生产过程中产生大量热能及水蒸气的车间，必须安装能够有效防止倒灌的排风设施，确保热能和水蒸气能被迅速并有效地排除。</w:t>
      </w:r>
    </w:p>
    <w:p w14:paraId="28F4D7B6">
      <w:pPr>
        <w:pStyle w:val="165"/>
        <w:rPr>
          <w:rFonts w:hint="eastAsia"/>
        </w:rPr>
      </w:pPr>
      <w:r>
        <w:rPr>
          <w:rFonts w:hint="eastAsia"/>
        </w:rPr>
        <w:t>排风设施的设计应具备足够的排除能力，以适应生产过程中产生的热能和水蒸气量，防止车间内温度过高或蒸汽凝结。</w:t>
      </w:r>
    </w:p>
    <w:p w14:paraId="6CF1FFC8">
      <w:pPr>
        <w:pStyle w:val="165"/>
        <w:rPr>
          <w:rFonts w:hint="eastAsia"/>
        </w:rPr>
      </w:pPr>
      <w:r>
        <w:rPr>
          <w:rFonts w:hint="eastAsia"/>
        </w:rPr>
        <w:t>排风设施的入口应装有耐腐蚀、易于清洗的网罩。</w:t>
      </w:r>
    </w:p>
    <w:p w14:paraId="070AE02A">
      <w:pPr>
        <w:pStyle w:val="165"/>
        <w:rPr>
          <w:rFonts w:hint="eastAsia"/>
        </w:rPr>
      </w:pPr>
      <w:r>
        <w:rPr>
          <w:rFonts w:hint="eastAsia"/>
        </w:rPr>
        <w:t>安装于产生热能及水蒸气设备上方的排风设施，应配备导流口和废液收集器</w:t>
      </w:r>
      <w:r>
        <w:rPr>
          <w:rFonts w:hint="eastAsia"/>
          <w:lang w:eastAsia="zh-CN"/>
        </w:rPr>
        <w:t>，定期检查和清理废液收集器，防止</w:t>
      </w:r>
      <w:r>
        <w:rPr>
          <w:rFonts w:hint="eastAsia"/>
        </w:rPr>
        <w:t>油污和水分滴落到车间地面或设备上，保持车间的清洁和卫生。</w:t>
      </w:r>
    </w:p>
    <w:p w14:paraId="3553E142">
      <w:pPr>
        <w:pStyle w:val="165"/>
        <w:rPr>
          <w:rFonts w:hint="eastAsia"/>
        </w:rPr>
      </w:pPr>
      <w:r>
        <w:rPr>
          <w:rFonts w:hint="eastAsia"/>
        </w:rPr>
        <w:t>存放食用油、卤水等液体的设备和设施，应配备密封盖，以防止污染和交叉感染。</w:t>
      </w:r>
    </w:p>
    <w:p w14:paraId="408232F0">
      <w:pPr>
        <w:pStyle w:val="165"/>
      </w:pPr>
      <w:r>
        <w:rPr>
          <w:rFonts w:hint="eastAsia"/>
        </w:rPr>
        <w:t>对于有温湿度控制要求的场所，应配备相应的温湿度控制和监控设施，确保生产环境满足产品质量和工艺要求。</w:t>
      </w:r>
    </w:p>
    <w:p w14:paraId="369E3234">
      <w:pPr>
        <w:pStyle w:val="105"/>
        <w:bidi w:val="0"/>
      </w:pPr>
      <w:bookmarkStart w:id="178" w:name="_Toc29502"/>
      <w:r>
        <w:rPr>
          <w:rFonts w:hint="eastAsia"/>
        </w:rPr>
        <w:t>仓储设施</w:t>
      </w:r>
      <w:bookmarkEnd w:id="178"/>
    </w:p>
    <w:p w14:paraId="5216D7B5">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企业应配备与生产经营坚果与籽类食品的品种和数量相适应的仓储设施，确保仓储能力满足生产和经营的需求。</w:t>
      </w:r>
    </w:p>
    <w:p w14:paraId="7E08303A">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仓储设施的设计、建造和维护应严格遵循QB/T 5486《坚果与籽类食品贮存技术规范》的要求，确保物料在储存过程中的品质和安全。</w:t>
      </w:r>
    </w:p>
    <w:p w14:paraId="79887D4A">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企业应设定专门的危险品和废弃物贮存区，这些区域应与其他仓储区域隔离，并配备适当的安全措施，如防火、防爆、防泄漏等，以防止危险品和废弃物对人员和环境造成危害。</w:t>
      </w:r>
    </w:p>
    <w:p w14:paraId="4A917EFC">
      <w:pPr>
        <w:pStyle w:val="105"/>
        <w:bidi w:val="0"/>
      </w:pPr>
      <w:bookmarkStart w:id="179" w:name="_Toc23860"/>
      <w:r>
        <w:rPr>
          <w:rFonts w:hint="eastAsia"/>
        </w:rPr>
        <w:t>排水设施</w:t>
      </w:r>
      <w:bookmarkEnd w:id="179"/>
    </w:p>
    <w:p w14:paraId="38E3FDB8">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企业应根据车间的实际用水量合理设置排水设施，确保在生产过程中产生的废水能够快速、通畅地排出车间，避免积水对生产环境和产品质量造成影响。</w:t>
      </w:r>
    </w:p>
    <w:p w14:paraId="052F6D9F">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车间内设置的排水设施，包括排水沟、排水管道、检查井等，应设计合理，结构严密，便于清洁和维护，符合GB 14881的相关规定，确保排水设施不对食品生产环境造成污染。</w:t>
      </w:r>
    </w:p>
    <w:p w14:paraId="240C5759">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排水系统应配备防止固体废弃物和有害物质进入的装置，如过滤网、格栅等，以保证排水过程不会对环境造成二次污染。</w:t>
      </w:r>
    </w:p>
    <w:p w14:paraId="72297744">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应定期对排水设施进行检查和清理，确保排水系统的有效运行，防止因设施堵塞或损坏而导致的废水积聚。</w:t>
      </w:r>
    </w:p>
    <w:p w14:paraId="5FD87595">
      <w:pPr>
        <w:pStyle w:val="105"/>
        <w:bidi w:val="0"/>
      </w:pPr>
      <w:bookmarkStart w:id="180" w:name="_Toc16739"/>
      <w:r>
        <w:rPr>
          <w:rFonts w:hint="eastAsia"/>
        </w:rPr>
        <w:t>检验设施</w:t>
      </w:r>
      <w:bookmarkEnd w:id="180"/>
    </w:p>
    <w:p w14:paraId="58972AB8">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企业应配备满足产品质量检测需求的化验设备，至少应包括检测“净含量”、“水分”、“酸价”、“过氧化值”等关键质量指标的设备。</w:t>
      </w:r>
    </w:p>
    <w:p w14:paraId="3340EB56">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对于采用快速检测（快检）设备的，企业应定期将其检测结果与国家标准方法进行比对验证，并详细记录比对过程和结果，以确保快检设备的准确性和可靠性。</w:t>
      </w:r>
    </w:p>
    <w:p w14:paraId="70E251C5">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企业应定期对化验设备进行检定或校准，以确保检测结果的准确性。所有化验设备的检定或校准应按照国家相关标准或计量技术规范进行，并应有详细的记录和档案管理。</w:t>
      </w:r>
    </w:p>
    <w:p w14:paraId="124E2C9A">
      <w:pPr>
        <w:pStyle w:val="105"/>
        <w:bidi w:val="0"/>
      </w:pPr>
      <w:bookmarkStart w:id="181" w:name="_Toc7632"/>
      <w:r>
        <w:rPr>
          <w:rFonts w:hint="eastAsia"/>
        </w:rPr>
        <w:t>食品直接接触材料</w:t>
      </w:r>
      <w:bookmarkEnd w:id="181"/>
    </w:p>
    <w:p w14:paraId="68C85FC5">
      <w:pPr>
        <w:pStyle w:val="165"/>
        <w:rPr>
          <w:rFonts w:hint="eastAsia"/>
        </w:rPr>
      </w:pPr>
      <w:r>
        <w:rPr>
          <w:rFonts w:hint="eastAsia"/>
        </w:rPr>
        <w:t>与食品直接接触的设备和工具，包括机械设备、容器、管道和工具等，应设计为易于拆卸、清洗和消毒，以确保食品加工过程的卫生安全。</w:t>
      </w:r>
    </w:p>
    <w:p w14:paraId="6720D98C">
      <w:pPr>
        <w:pStyle w:val="165"/>
        <w:rPr>
          <w:rFonts w:hint="eastAsia"/>
        </w:rPr>
      </w:pPr>
      <w:r>
        <w:rPr>
          <w:rFonts w:hint="eastAsia"/>
        </w:rPr>
        <w:t>清洗剂应选用安全、无毒、不会对产品造成污染的类型，并应遵循正确的使用浓度和接触时间，以防止食品受到化学污染。</w:t>
      </w:r>
    </w:p>
    <w:p w14:paraId="610DF9A3">
      <w:pPr>
        <w:pStyle w:val="165"/>
        <w:rPr>
          <w:rFonts w:hint="eastAsia"/>
        </w:rPr>
      </w:pPr>
      <w:r>
        <w:rPr>
          <w:rFonts w:hint="eastAsia"/>
        </w:rPr>
        <w:t>直接接触食品的设备和工具应使用稳定性较好、不易迁移有害成分的材料制成，以降低材料中有害物质迁移至食品的风险。</w:t>
      </w:r>
    </w:p>
    <w:p w14:paraId="5A7E2FF4">
      <w:pPr>
        <w:pStyle w:val="165"/>
      </w:pPr>
      <w:r>
        <w:rPr>
          <w:rFonts w:hint="eastAsia"/>
        </w:rPr>
        <w:t>设备所用的润滑剂应选择食品级或符合食品安全标准的产品，以防止对原辅料或设备造成污染。在必要时，应采取适当的防护措施，如使用密封系统或定期检查和维护，确保润滑剂不与食品接触。</w:t>
      </w:r>
    </w:p>
    <w:p w14:paraId="6FADF3EC">
      <w:pPr>
        <w:pStyle w:val="105"/>
        <w:bidi w:val="0"/>
      </w:pPr>
      <w:bookmarkStart w:id="182" w:name="_Toc24587"/>
      <w:r>
        <w:rPr>
          <w:rFonts w:hint="eastAsia"/>
        </w:rPr>
        <w:t>其他设备设施</w:t>
      </w:r>
      <w:bookmarkEnd w:id="182"/>
    </w:p>
    <w:p w14:paraId="35B8E2B3">
      <w:pPr>
        <w:pStyle w:val="165"/>
        <w:rPr>
          <w:rFonts w:hint="eastAsia"/>
        </w:rPr>
      </w:pPr>
      <w:r>
        <w:rPr>
          <w:rFonts w:hint="eastAsia"/>
        </w:rPr>
        <w:t>若企业使用燃煤锅炉，锅炉房必须设置在</w:t>
      </w:r>
      <w:r>
        <w:rPr>
          <w:rFonts w:hint="eastAsia"/>
          <w:lang w:eastAsia="zh-CN"/>
        </w:rPr>
        <w:t>厂</w:t>
      </w:r>
      <w:r>
        <w:rPr>
          <w:rFonts w:hint="eastAsia"/>
        </w:rPr>
        <w:t>区全年最小频率风向的上风侧，以减少对生产环境的潜在影响。</w:t>
      </w:r>
    </w:p>
    <w:p w14:paraId="1B41BAC2">
      <w:pPr>
        <w:pStyle w:val="165"/>
      </w:pPr>
      <w:r>
        <w:rPr>
          <w:rFonts w:hint="eastAsia"/>
        </w:rPr>
        <w:t>各种蒸汽管道应采用无毒、防腐的材料，以防止蒸汽品质受到污染，进而避免对食品安全造成影响。同时，锅炉气体排放应严格符合GB13271的规定，确保排放符合环保要求。</w:t>
      </w:r>
    </w:p>
    <w:p w14:paraId="733DFA54">
      <w:pPr>
        <w:pStyle w:val="105"/>
        <w:bidi w:val="0"/>
        <w:rPr>
          <w:rFonts w:hint="eastAsia"/>
        </w:rPr>
      </w:pPr>
      <w:bookmarkStart w:id="183" w:name="_Toc31620"/>
      <w:r>
        <w:rPr>
          <w:rFonts w:hint="eastAsia"/>
        </w:rPr>
        <w:t>设施和设备信息</w:t>
      </w:r>
      <w:bookmarkEnd w:id="183"/>
    </w:p>
    <w:p w14:paraId="73B04636">
      <w:pPr>
        <w:pStyle w:val="165"/>
        <w:bidi w:val="0"/>
        <w:rPr>
          <w:rFonts w:hint="eastAsia"/>
          <w:lang w:val="en-US" w:eastAsia="zh-CN"/>
        </w:rPr>
      </w:pPr>
      <w:r>
        <w:rPr>
          <w:rFonts w:hint="eastAsia"/>
          <w:lang w:val="en-US" w:eastAsia="zh-CN"/>
        </w:rPr>
        <w:t>企业应建立设施和设备信息管理系统，记录并保持以下信息：</w:t>
      </w:r>
    </w:p>
    <w:p w14:paraId="1F55E0B8">
      <w:pPr>
        <w:pStyle w:val="174"/>
        <w:bidi w:val="0"/>
        <w:rPr>
          <w:rFonts w:hint="eastAsia"/>
          <w:lang w:val="en-US" w:eastAsia="zh-CN"/>
        </w:rPr>
      </w:pPr>
      <w:r>
        <w:rPr>
          <w:rFonts w:hint="eastAsia"/>
          <w:lang w:val="en-US" w:eastAsia="zh-CN"/>
        </w:rPr>
        <w:t>a) 设施和设备的详细清单，包括型号、规格、数量等；</w:t>
      </w:r>
    </w:p>
    <w:p w14:paraId="69D905E9">
      <w:pPr>
        <w:pStyle w:val="174"/>
        <w:bidi w:val="0"/>
        <w:rPr>
          <w:rFonts w:hint="eastAsia"/>
          <w:lang w:val="en-US" w:eastAsia="zh-CN"/>
        </w:rPr>
      </w:pPr>
      <w:r>
        <w:rPr>
          <w:rFonts w:hint="eastAsia"/>
          <w:lang w:val="en-US" w:eastAsia="zh-CN"/>
        </w:rPr>
        <w:t>b) 设施和设备的性能信息，如技术参数、性能指标等；</w:t>
      </w:r>
    </w:p>
    <w:p w14:paraId="7DDA229F">
      <w:pPr>
        <w:pStyle w:val="174"/>
        <w:bidi w:val="0"/>
        <w:rPr>
          <w:rFonts w:hint="eastAsia"/>
          <w:lang w:val="en-US" w:eastAsia="zh-CN"/>
        </w:rPr>
      </w:pPr>
      <w:r>
        <w:rPr>
          <w:rFonts w:hint="eastAsia"/>
          <w:lang w:val="en-US" w:eastAsia="zh-CN"/>
        </w:rPr>
        <w:t>c) 设施和设备的更新情况，包括购置日期、更新改造记录等；</w:t>
      </w:r>
    </w:p>
    <w:p w14:paraId="47F703AF">
      <w:pPr>
        <w:pStyle w:val="174"/>
        <w:bidi w:val="0"/>
        <w:rPr>
          <w:rFonts w:hint="eastAsia"/>
          <w:lang w:val="en-US" w:eastAsia="zh-CN"/>
        </w:rPr>
      </w:pPr>
      <w:r>
        <w:rPr>
          <w:rFonts w:hint="eastAsia"/>
          <w:lang w:val="en-US" w:eastAsia="zh-CN"/>
        </w:rPr>
        <w:t>d) 设施和设备的保养维护信息，包括维护计划、维护记录、检修报告等；</w:t>
      </w:r>
    </w:p>
    <w:p w14:paraId="64FE5D81">
      <w:pPr>
        <w:pStyle w:val="174"/>
        <w:bidi w:val="0"/>
        <w:rPr>
          <w:rFonts w:hint="eastAsia"/>
          <w:lang w:val="en-US" w:eastAsia="zh-CN"/>
        </w:rPr>
      </w:pPr>
      <w:r>
        <w:rPr>
          <w:rFonts w:hint="eastAsia"/>
          <w:lang w:val="en-US" w:eastAsia="zh-CN"/>
        </w:rPr>
        <w:t>e) 其他认为对设施和设备管理重要的信息。</w:t>
      </w:r>
    </w:p>
    <w:p w14:paraId="3F9837A7">
      <w:pPr>
        <w:pStyle w:val="165"/>
        <w:bidi w:val="0"/>
        <w:rPr>
          <w:rFonts w:hint="eastAsia"/>
          <w:lang w:val="en-US" w:eastAsia="zh-CN"/>
        </w:rPr>
      </w:pPr>
      <w:r>
        <w:rPr>
          <w:rFonts w:hint="eastAsia"/>
          <w:lang w:val="en-US" w:eastAsia="zh-CN"/>
        </w:rPr>
        <w:t>应制定设备操作规程，明确操作方法、故障处理措施和维护保养要求，确保设备的安全运行和性能稳定性。</w:t>
      </w:r>
    </w:p>
    <w:p w14:paraId="4AEB9CDA">
      <w:pPr>
        <w:pStyle w:val="165"/>
        <w:bidi w:val="0"/>
        <w:rPr>
          <w:rFonts w:hint="eastAsia" w:ascii="宋体" w:hAnsi="Times New Roman" w:eastAsia="宋体" w:cs="Times New Roman"/>
          <w:lang w:val="en-US" w:eastAsia="zh-CN" w:bidi="ar-SA"/>
        </w:rPr>
      </w:pPr>
      <w:r>
        <w:rPr>
          <w:rFonts w:hint="eastAsia"/>
          <w:lang w:val="en-US" w:eastAsia="zh-CN"/>
        </w:rPr>
        <w:t>设备操作规程应定期审查和更新，以适应生产实际的变化和新技术的应用</w:t>
      </w:r>
      <w:r>
        <w:rPr>
          <w:rFonts w:hint="eastAsia" w:ascii="宋体" w:hAnsi="Times New Roman" w:eastAsia="宋体" w:cs="Times New Roman"/>
          <w:lang w:val="en-US" w:eastAsia="zh-CN" w:bidi="ar-SA"/>
        </w:rPr>
        <w:t>。</w:t>
      </w:r>
    </w:p>
    <w:p w14:paraId="36C69956">
      <w:pPr>
        <w:pStyle w:val="104"/>
        <w:spacing w:before="312" w:after="312"/>
      </w:pPr>
      <w:bookmarkStart w:id="184" w:name="_Toc121213814"/>
      <w:bookmarkStart w:id="185" w:name="_Toc121378115"/>
      <w:bookmarkStart w:id="186" w:name="_Toc101797247"/>
      <w:bookmarkStart w:id="187" w:name="_Toc118626543"/>
      <w:bookmarkStart w:id="188" w:name="_Toc103677597"/>
      <w:bookmarkStart w:id="189" w:name="_Toc118471897"/>
      <w:bookmarkStart w:id="190" w:name="_Toc104469957"/>
      <w:bookmarkStart w:id="191" w:name="_Toc100647737"/>
      <w:bookmarkStart w:id="192" w:name="_Toc103243456"/>
      <w:bookmarkStart w:id="193" w:name="_Toc121325043"/>
      <w:bookmarkStart w:id="194" w:name="_Toc98684152"/>
      <w:bookmarkStart w:id="195" w:name="_Toc117522149"/>
      <w:bookmarkStart w:id="196" w:name="_Toc98748645"/>
      <w:bookmarkStart w:id="197" w:name="_Toc121217100"/>
      <w:bookmarkStart w:id="198" w:name="_Toc96934883"/>
      <w:bookmarkStart w:id="199" w:name="_Toc105361017"/>
      <w:bookmarkStart w:id="200" w:name="_Toc2191"/>
      <w:r>
        <w:rPr>
          <w:rFonts w:hint="eastAsia"/>
        </w:rPr>
        <w:t>原辅料</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FB6FD2F">
      <w:pPr>
        <w:pStyle w:val="105"/>
        <w:spacing w:before="156" w:after="156"/>
      </w:pPr>
      <w:bookmarkStart w:id="201" w:name="_Toc117522150"/>
      <w:bookmarkStart w:id="202" w:name="_Toc121325044"/>
      <w:bookmarkStart w:id="203" w:name="_Toc104469958"/>
      <w:bookmarkStart w:id="204" w:name="_Toc121378116"/>
      <w:bookmarkStart w:id="205" w:name="_Toc96934884"/>
      <w:bookmarkStart w:id="206" w:name="_Toc98748646"/>
      <w:bookmarkStart w:id="207" w:name="_Toc100647738"/>
      <w:bookmarkStart w:id="208" w:name="_Toc118626544"/>
      <w:bookmarkStart w:id="209" w:name="_Toc121217101"/>
      <w:bookmarkStart w:id="210" w:name="_Toc121213815"/>
      <w:bookmarkStart w:id="211" w:name="_Toc103677598"/>
      <w:bookmarkStart w:id="212" w:name="_Toc101797248"/>
      <w:bookmarkStart w:id="213" w:name="_Toc98684153"/>
      <w:bookmarkStart w:id="214" w:name="_Toc105361018"/>
      <w:bookmarkStart w:id="215" w:name="_Toc118471898"/>
      <w:bookmarkStart w:id="216" w:name="_Toc103243457"/>
      <w:bookmarkStart w:id="217" w:name="_Toc28988"/>
      <w:r>
        <w:rPr>
          <w:rFonts w:hint="eastAsia"/>
        </w:rPr>
        <w:t>原辅料供应商</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74DBD12B">
      <w:pPr>
        <w:pStyle w:val="165"/>
        <w:rPr>
          <w:rFonts w:hint="eastAsia"/>
        </w:rPr>
      </w:pPr>
      <w:r>
        <w:rPr>
          <w:rFonts w:hint="eastAsia"/>
        </w:rPr>
        <w:t>企业应建立并实施食品生产原辅料供应商的准入、评价和退出机制，确保供应商提供的原辅料符合食品安全和质量标准。</w:t>
      </w:r>
    </w:p>
    <w:p w14:paraId="2D32C48C">
      <w:pPr>
        <w:pStyle w:val="165"/>
        <w:rPr>
          <w:rFonts w:hint="eastAsia"/>
        </w:rPr>
      </w:pPr>
      <w:r>
        <w:rPr>
          <w:rFonts w:hint="eastAsia"/>
        </w:rPr>
        <w:t>企业应对供应商的资质、供货来源、生产条件、信誉、管理能力、服务质量和产品质量状况进行综合评价和验证，以此建立原辅料合格供应商目录。</w:t>
      </w:r>
    </w:p>
    <w:p w14:paraId="270CFB9E">
      <w:pPr>
        <w:pStyle w:val="165"/>
        <w:rPr>
          <w:rFonts w:hint="eastAsia"/>
        </w:rPr>
      </w:pPr>
      <w:r>
        <w:rPr>
          <w:rFonts w:hint="eastAsia"/>
        </w:rPr>
        <w:t>应定期对列入合格供应商目录的供应商进行复审和检查，以确保其持续满足企业的质量和安全要求。</w:t>
      </w:r>
    </w:p>
    <w:p w14:paraId="5F85465B">
      <w:pPr>
        <w:pStyle w:val="165"/>
        <w:rPr>
          <w:rFonts w:hint="eastAsia"/>
        </w:rPr>
      </w:pPr>
      <w:r>
        <w:rPr>
          <w:rFonts w:hint="eastAsia"/>
        </w:rPr>
        <w:t>对于不能持续满足企业要求的原辅料供应商，应及时采取更换措施，以保证原辅料的质量稳定可靠。</w:t>
      </w:r>
    </w:p>
    <w:p w14:paraId="13A31E12">
      <w:pPr>
        <w:pStyle w:val="165"/>
        <w:rPr>
          <w:rFonts w:hint="eastAsia"/>
        </w:rPr>
      </w:pPr>
      <w:r>
        <w:rPr>
          <w:rFonts w:hint="eastAsia"/>
        </w:rPr>
        <w:t>企业必要时应自行或委托有资质的第三方机构，对原辅料供应商的生产现场进行定期或不定期的审核和评价，以验证其生产和管理条件是否符合要求。</w:t>
      </w:r>
    </w:p>
    <w:p w14:paraId="75CC087A">
      <w:pPr>
        <w:pStyle w:val="165"/>
      </w:pPr>
      <w:r>
        <w:rPr>
          <w:rFonts w:hint="eastAsia"/>
        </w:rPr>
        <w:t>鼓励企业通过建立自有的原辅料供应基地，直接控制原辅料的生产和供应过程，从而更好地保障原辅料的质量和安全。</w:t>
      </w:r>
    </w:p>
    <w:p w14:paraId="7E9CA544">
      <w:pPr>
        <w:pStyle w:val="105"/>
        <w:spacing w:before="156" w:after="156"/>
        <w:rPr>
          <w:color w:val="000000" w:themeColor="text1"/>
          <w14:textFill>
            <w14:solidFill>
              <w14:schemeClr w14:val="tx1"/>
            </w14:solidFill>
          </w14:textFill>
        </w:rPr>
      </w:pPr>
      <w:bookmarkStart w:id="218" w:name="_Toc96934885"/>
      <w:bookmarkStart w:id="219" w:name="_Toc105361019"/>
      <w:bookmarkStart w:id="220" w:name="_Toc104469959"/>
      <w:bookmarkStart w:id="221" w:name="_Toc100647739"/>
      <w:bookmarkStart w:id="222" w:name="_Toc121378117"/>
      <w:bookmarkStart w:id="223" w:name="_Toc121213816"/>
      <w:bookmarkStart w:id="224" w:name="_Toc101797249"/>
      <w:bookmarkStart w:id="225" w:name="_Toc121217102"/>
      <w:bookmarkStart w:id="226" w:name="_Toc103677599"/>
      <w:bookmarkStart w:id="227" w:name="_Toc98748647"/>
      <w:bookmarkStart w:id="228" w:name="_Toc118471899"/>
      <w:bookmarkStart w:id="229" w:name="_Toc118626545"/>
      <w:bookmarkStart w:id="230" w:name="_Toc121325045"/>
      <w:bookmarkStart w:id="231" w:name="_Toc117522151"/>
      <w:bookmarkStart w:id="232" w:name="_Toc103243458"/>
      <w:bookmarkStart w:id="233" w:name="_Toc98684154"/>
      <w:bookmarkStart w:id="234" w:name="_Toc15672"/>
      <w:r>
        <w:rPr>
          <w:rFonts w:hint="eastAsia"/>
          <w:color w:val="000000" w:themeColor="text1"/>
          <w14:textFill>
            <w14:solidFill>
              <w14:schemeClr w14:val="tx1"/>
            </w14:solidFill>
          </w14:textFill>
        </w:rPr>
        <w:t>原辅料</w:t>
      </w:r>
      <w:bookmarkEnd w:id="218"/>
      <w:r>
        <w:rPr>
          <w:rFonts w:hint="eastAsia"/>
          <w:color w:val="000000" w:themeColor="text1"/>
          <w14:textFill>
            <w14:solidFill>
              <w14:schemeClr w14:val="tx1"/>
            </w14:solidFill>
          </w14:textFill>
        </w:rPr>
        <w:t>验收</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2D2EFBA">
      <w:pPr>
        <w:pStyle w:val="165"/>
        <w:bidi w:val="0"/>
        <w:rPr>
          <w:rFonts w:hint="eastAsia"/>
        </w:rPr>
      </w:pPr>
      <w:r>
        <w:rPr>
          <w:rFonts w:hint="eastAsia"/>
        </w:rPr>
        <w:t>企业应制定并实施原辅料质量管理制度，明确原辅料的验收标准、查验程序、入库、储存和运输等要求，确保原辅料的质量符合生产需要。</w:t>
      </w:r>
    </w:p>
    <w:p w14:paraId="2925903C">
      <w:pPr>
        <w:pStyle w:val="165"/>
        <w:bidi w:val="0"/>
        <w:rPr>
          <w:rFonts w:hint="eastAsia"/>
        </w:rPr>
      </w:pPr>
      <w:r>
        <w:rPr>
          <w:rFonts w:hint="eastAsia"/>
        </w:rPr>
        <w:t>原辅料的验收标准和抽样检验方案应具体、可操作，并且能够被有效执行。验收标准至少应涵盖色泽、气味、霉变粒、酸价、过氧化值等关键质量指标。</w:t>
      </w:r>
    </w:p>
    <w:p w14:paraId="7CC312ED">
      <w:pPr>
        <w:pStyle w:val="165"/>
        <w:bidi w:val="0"/>
        <w:rPr>
          <w:rFonts w:hint="eastAsia"/>
        </w:rPr>
      </w:pPr>
      <w:r>
        <w:rPr>
          <w:rFonts w:hint="eastAsia"/>
        </w:rPr>
        <w:t>企业应查验供应商提供的质量检验报告和其他质量合格证明文件，以验证原辅料的质量符合性。对于关键项目，必要时应进行独立检验。</w:t>
      </w:r>
    </w:p>
    <w:p w14:paraId="25B0F55E">
      <w:pPr>
        <w:pStyle w:val="165"/>
        <w:bidi w:val="0"/>
        <w:rPr>
          <w:rFonts w:hint="eastAsia"/>
        </w:rPr>
      </w:pPr>
      <w:r>
        <w:rPr>
          <w:rFonts w:hint="eastAsia"/>
        </w:rPr>
        <w:t>对于不符合质量控制要求的原辅料，企业必须禁止其投入生产，并应进行明确标识和及时隔离，采取适当处置措施，防止与合格物料混用或误用。</w:t>
      </w:r>
    </w:p>
    <w:p w14:paraId="05835ACF">
      <w:pPr>
        <w:pStyle w:val="165"/>
        <w:bidi w:val="0"/>
      </w:pPr>
      <w:r>
        <w:rPr>
          <w:rFonts w:hint="eastAsia"/>
        </w:rPr>
        <w:t>所有进口物料在入库前应通过出入境植物检疫，确保病虫或杂草种子检验合格，以避免外来有害生物的引入和传播。</w:t>
      </w:r>
    </w:p>
    <w:p w14:paraId="710191B7">
      <w:pPr>
        <w:pStyle w:val="105"/>
        <w:spacing w:before="156" w:after="156"/>
      </w:pPr>
      <w:bookmarkStart w:id="235" w:name="_Toc96934886"/>
      <w:bookmarkStart w:id="236" w:name="_Toc98748648"/>
      <w:bookmarkStart w:id="237" w:name="_Toc121378118"/>
      <w:bookmarkStart w:id="238" w:name="_Toc98684155"/>
      <w:bookmarkStart w:id="239" w:name="_Toc118471900"/>
      <w:bookmarkStart w:id="240" w:name="_Toc100647740"/>
      <w:bookmarkStart w:id="241" w:name="_Toc121217103"/>
      <w:bookmarkStart w:id="242" w:name="_Toc103243459"/>
      <w:bookmarkStart w:id="243" w:name="_Toc121325046"/>
      <w:bookmarkStart w:id="244" w:name="_Toc101797250"/>
      <w:bookmarkStart w:id="245" w:name="_Toc117522152"/>
      <w:bookmarkStart w:id="246" w:name="_Toc118626546"/>
      <w:bookmarkStart w:id="247" w:name="_Toc121213817"/>
      <w:bookmarkStart w:id="248" w:name="_Toc103677600"/>
      <w:bookmarkStart w:id="249" w:name="_Toc104469960"/>
      <w:bookmarkStart w:id="250" w:name="_Toc105361020"/>
      <w:bookmarkStart w:id="251" w:name="_Toc26344"/>
      <w:r>
        <w:rPr>
          <w:rFonts w:hint="eastAsia"/>
        </w:rPr>
        <w:t>原辅料运输与</w:t>
      </w:r>
      <w:bookmarkEnd w:id="235"/>
      <w:r>
        <w:rPr>
          <w:rFonts w:hint="eastAsia"/>
        </w:rPr>
        <w:t>储存</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4A45C8F">
      <w:pPr>
        <w:pStyle w:val="165"/>
        <w:rPr>
          <w:rFonts w:hint="eastAsia"/>
        </w:rPr>
      </w:pPr>
      <w:r>
        <w:rPr>
          <w:rFonts w:hint="eastAsia"/>
        </w:rPr>
        <w:t>原辅料运输工具、容器和设备应保持清洁，确保不对原料造成污染。运输不同原辅料时，应采取分装、分离或分隔的措施。</w:t>
      </w:r>
    </w:p>
    <w:p w14:paraId="38C957D0">
      <w:pPr>
        <w:pStyle w:val="165"/>
        <w:rPr>
          <w:rFonts w:hint="eastAsia"/>
        </w:rPr>
      </w:pPr>
      <w:r>
        <w:rPr>
          <w:rFonts w:hint="eastAsia"/>
        </w:rPr>
        <w:t>原辅料仓库应设专人管理，并定期检查原料的质量状况，确保储存环境符合食品安全要求。</w:t>
      </w:r>
    </w:p>
    <w:p w14:paraId="7BBA5943">
      <w:pPr>
        <w:pStyle w:val="165"/>
        <w:rPr>
          <w:rFonts w:hint="eastAsia"/>
        </w:rPr>
      </w:pPr>
      <w:r>
        <w:rPr>
          <w:rFonts w:hint="eastAsia"/>
        </w:rPr>
        <w:t>原辅料应根据不同食品质量特性进行分类和分级存放，不同质量等级的原辅料应有明显标识，以便于管理和使用。</w:t>
      </w:r>
    </w:p>
    <w:p w14:paraId="3718457B">
      <w:pPr>
        <w:pStyle w:val="165"/>
        <w:rPr>
          <w:rFonts w:hint="eastAsia"/>
        </w:rPr>
      </w:pPr>
      <w:r>
        <w:rPr>
          <w:rFonts w:hint="eastAsia"/>
        </w:rPr>
        <w:t>企业应根据原辅料的质量需求，对运输与储存环境的温度、湿度、光照、通风等因素进行有效控制，确保原辅料的安全和质量。</w:t>
      </w:r>
    </w:p>
    <w:p w14:paraId="290BFB73">
      <w:pPr>
        <w:pStyle w:val="165"/>
        <w:rPr>
          <w:rFonts w:hint="eastAsia"/>
        </w:rPr>
      </w:pPr>
      <w:r>
        <w:rPr>
          <w:rFonts w:hint="eastAsia"/>
        </w:rPr>
        <w:t>产品应及时采用人工或机械方式分期分批入库，装卸过程中应小心操作，合理安排堆码方式。</w:t>
      </w:r>
    </w:p>
    <w:p w14:paraId="71E35574">
      <w:pPr>
        <w:pStyle w:val="165"/>
        <w:rPr>
          <w:rFonts w:hint="eastAsia"/>
        </w:rPr>
      </w:pPr>
      <w:r>
        <w:rPr>
          <w:rFonts w:hint="eastAsia"/>
        </w:rPr>
        <w:t>原辅料应按种类、等级和收获年份分开贮存；安全水分、半安全水分和危险水分的坚果与籽类应分开贮存，并做好标识，防止与有毒、有害、易串味的其他货物混贮。对含有致敏原的物料与非致敏原的物料应进行有效隔离，防止交叉感染。</w:t>
      </w:r>
    </w:p>
    <w:p w14:paraId="39DBF91E">
      <w:pPr>
        <w:pStyle w:val="165"/>
        <w:rPr>
          <w:rFonts w:hint="eastAsia"/>
        </w:rPr>
      </w:pPr>
      <w:r>
        <w:rPr>
          <w:rFonts w:hint="eastAsia"/>
        </w:rPr>
        <w:t>货垛的排列方式、走向及间距应与库存内空气环流方向一致，物料堆码应合理交错、整齐稳固，避免歪斜，确保设施及人员安全。堆码应距墙、柱0.6米以上；高水分物料的堆码高度不应超过1米，并应尽快处理。</w:t>
      </w:r>
    </w:p>
    <w:p w14:paraId="12D16D5B">
      <w:pPr>
        <w:pStyle w:val="165"/>
        <w:rPr>
          <w:rFonts w:hint="eastAsia"/>
        </w:rPr>
      </w:pPr>
      <w:r>
        <w:rPr>
          <w:rFonts w:hint="eastAsia"/>
        </w:rPr>
        <w:t>已感染害虫的物料应单独存放，并根据感染程度采取相应的虫害处理措施。</w:t>
      </w:r>
    </w:p>
    <w:p w14:paraId="217CB501">
      <w:pPr>
        <w:pStyle w:val="165"/>
        <w:rPr>
          <w:rFonts w:hint="eastAsia"/>
        </w:rPr>
      </w:pPr>
      <w:r>
        <w:rPr>
          <w:rFonts w:hint="eastAsia"/>
        </w:rPr>
        <w:t>对于筒仓或散存贮存的物料，其品质应保持相对稳定一致，不应混入危险水分的物料，半安全水分物料应控制好出入库时间，防止物料变质。</w:t>
      </w:r>
    </w:p>
    <w:p w14:paraId="005EEF63">
      <w:pPr>
        <w:pStyle w:val="165"/>
        <w:rPr>
          <w:rFonts w:hint="eastAsia"/>
        </w:rPr>
      </w:pPr>
      <w:r>
        <w:rPr>
          <w:rFonts w:hint="eastAsia"/>
        </w:rPr>
        <w:t>在高温季节，应合理控制贮存量，确保物料的质量安全。</w:t>
      </w:r>
    </w:p>
    <w:p w14:paraId="33B39E81">
      <w:pPr>
        <w:pStyle w:val="165"/>
        <w:rPr>
          <w:rFonts w:hint="eastAsia"/>
        </w:rPr>
      </w:pPr>
      <w:r>
        <w:rPr>
          <w:rFonts w:hint="eastAsia"/>
        </w:rPr>
        <w:t>物料在运输过程中应做好防护，防止雨淋、曝晒、潮湿和污染等。</w:t>
      </w:r>
    </w:p>
    <w:p w14:paraId="682FB4B7">
      <w:pPr>
        <w:pStyle w:val="165"/>
        <w:rPr>
          <w:rFonts w:hint="eastAsia"/>
        </w:rPr>
      </w:pPr>
      <w:r>
        <w:rPr>
          <w:rFonts w:hint="eastAsia"/>
        </w:rPr>
        <w:t>高温季节运输时，宜选择在早晚气温较低时进行；长途运输应防止物料受热及高温加速熟制坚果与籽类的过氧化值突变。</w:t>
      </w:r>
    </w:p>
    <w:p w14:paraId="32F10BE0">
      <w:pPr>
        <w:pStyle w:val="165"/>
        <w:rPr>
          <w:rFonts w:hint="eastAsia"/>
        </w:rPr>
      </w:pPr>
      <w:r>
        <w:rPr>
          <w:rFonts w:hint="eastAsia"/>
        </w:rPr>
        <w:t>对于油脂含量高且对温度敏感的物料，高温季节应采用冷藏车进行运输。</w:t>
      </w:r>
    </w:p>
    <w:p w14:paraId="7F5CB52A">
      <w:pPr>
        <w:pStyle w:val="165"/>
        <w:rPr>
          <w:rFonts w:hint="eastAsia"/>
        </w:rPr>
      </w:pPr>
      <w:r>
        <w:rPr>
          <w:rFonts w:hint="eastAsia"/>
        </w:rPr>
        <w:t>电子商务物料在流通过程中的贮存应符合SB/T 11132的相关规定。</w:t>
      </w:r>
    </w:p>
    <w:p w14:paraId="7233670B">
      <w:pPr>
        <w:pStyle w:val="165"/>
        <w:rPr>
          <w:rFonts w:hint="eastAsia"/>
        </w:rPr>
      </w:pPr>
      <w:r>
        <w:rPr>
          <w:rFonts w:hint="eastAsia"/>
        </w:rPr>
        <w:t>产品出入仓库应遵循“先进先出”的原则，定期检查库存食品的质量和数量，及时清理变质或超过保质期的食品。</w:t>
      </w:r>
    </w:p>
    <w:p w14:paraId="4E1F0788">
      <w:pPr>
        <w:pStyle w:val="165"/>
        <w:rPr>
          <w:rFonts w:hint="eastAsia"/>
        </w:rPr>
      </w:pPr>
      <w:r>
        <w:rPr>
          <w:rFonts w:hint="eastAsia"/>
        </w:rPr>
        <w:t>仓库管理部门应制定并实施保证储存物资安全的防护措施，根据库存原料质量状况制定仓库通风作业指导书，确保库内物资保持相对低温及干燥状态。</w:t>
      </w:r>
    </w:p>
    <w:p w14:paraId="20DADE3B">
      <w:pPr>
        <w:pStyle w:val="165"/>
        <w:rPr>
          <w:rFonts w:hint="eastAsia"/>
        </w:rPr>
      </w:pPr>
      <w:r>
        <w:rPr>
          <w:rFonts w:hint="eastAsia"/>
        </w:rPr>
        <w:t>质量和仓库管理部门应定期对库存原料进行监测，监测项目包括：</w:t>
      </w:r>
    </w:p>
    <w:p w14:paraId="3BE6CEE1">
      <w:pPr>
        <w:pStyle w:val="174"/>
        <w:bidi w:val="0"/>
        <w:rPr>
          <w:rFonts w:hint="eastAsia"/>
        </w:rPr>
      </w:pPr>
      <w:r>
        <w:rPr>
          <w:rFonts w:hint="eastAsia"/>
        </w:rPr>
        <w:t>a) 感官鉴定：如原料色泽、滋味、气味等；</w:t>
      </w:r>
    </w:p>
    <w:p w14:paraId="300F51B7">
      <w:pPr>
        <w:pStyle w:val="174"/>
        <w:bidi w:val="0"/>
        <w:rPr>
          <w:rFonts w:hint="eastAsia"/>
        </w:rPr>
      </w:pPr>
      <w:r>
        <w:rPr>
          <w:rFonts w:hint="eastAsia"/>
        </w:rPr>
        <w:t>b) 质量指标检测：如水分、虫蚀、霉变、酸价等；</w:t>
      </w:r>
    </w:p>
    <w:p w14:paraId="5E0203D3">
      <w:pPr>
        <w:pStyle w:val="174"/>
        <w:bidi w:val="0"/>
        <w:rPr>
          <w:rFonts w:hint="eastAsia"/>
        </w:rPr>
      </w:pPr>
      <w:r>
        <w:rPr>
          <w:rFonts w:hint="eastAsia"/>
        </w:rPr>
        <w:t>c) 仓库的温湿度：仓内空间气温和仓库湿度；</w:t>
      </w:r>
    </w:p>
    <w:p w14:paraId="1D64DB47">
      <w:pPr>
        <w:pStyle w:val="174"/>
        <w:bidi w:val="0"/>
        <w:rPr>
          <w:rFonts w:hint="eastAsia"/>
        </w:rPr>
      </w:pPr>
      <w:r>
        <w:rPr>
          <w:rFonts w:hint="eastAsia"/>
        </w:rPr>
        <w:t>d) 虫害检查：防鼠、防鸟、防虫设施检查；物料生虫检查。</w:t>
      </w:r>
    </w:p>
    <w:p w14:paraId="594415FB">
      <w:pPr>
        <w:pStyle w:val="165"/>
        <w:rPr>
          <w:rFonts w:hint="eastAsia"/>
        </w:rPr>
      </w:pPr>
      <w:r>
        <w:rPr>
          <w:rFonts w:hint="eastAsia"/>
        </w:rPr>
        <w:t>质量管理部门应根据原料的质量状况确定详细的质量检查频次、项目及要求。监测过程中如发现虫害、霉变、发热等异常情况，应立即对原料进行隔离或处置，必要时请专家指导，防止危害扩大。对原料储存中出现的不合格情况（如霉变、受潮或水分超标等）应及时协调解决，监测时发现其他异常情况应及时反馈并协调解决。</w:t>
      </w:r>
    </w:p>
    <w:p w14:paraId="463DEB58">
      <w:pPr>
        <w:pStyle w:val="165"/>
        <w:rPr>
          <w:rFonts w:hint="eastAsia"/>
          <w:lang w:eastAsia="zh-CN"/>
        </w:rPr>
      </w:pPr>
      <w:r>
        <w:rPr>
          <w:rFonts w:hint="eastAsia"/>
        </w:rPr>
        <w:t>仓库管理部门应在物料贮存期限到期前3个月及时预警，提醒生产部门及时安排生产使用，防止出现超贮存期物料。</w:t>
      </w:r>
    </w:p>
    <w:p w14:paraId="317F3598">
      <w:pPr>
        <w:pStyle w:val="105"/>
        <w:spacing w:before="156" w:after="156"/>
      </w:pPr>
      <w:bookmarkStart w:id="252" w:name="_Toc8669"/>
      <w:r>
        <w:rPr>
          <w:rFonts w:hint="eastAsia"/>
          <w:lang w:eastAsia="zh-CN"/>
        </w:rPr>
        <w:t>半成品的质量控制与储存</w:t>
      </w:r>
      <w:bookmarkEnd w:id="252"/>
    </w:p>
    <w:p w14:paraId="59E360D1">
      <w:pPr>
        <w:pStyle w:val="165"/>
        <w:rPr>
          <w:rFonts w:hint="eastAsia" w:eastAsia="宋体"/>
          <w:lang w:eastAsia="zh-CN"/>
        </w:rPr>
      </w:pPr>
      <w:r>
        <w:rPr>
          <w:rFonts w:hint="eastAsia" w:eastAsia="宋体"/>
          <w:lang w:eastAsia="zh-CN"/>
        </w:rPr>
        <w:t>入库的坚果与籽类半成品应具有稳定的品质，并采用适当的包装方式进行密闭包装，如气调、添加吸氧剂/干燥剂、使用多层复合材质等</w:t>
      </w:r>
      <w:r>
        <w:rPr>
          <w:rFonts w:hint="eastAsia"/>
          <w:lang w:eastAsia="zh-CN"/>
        </w:rPr>
        <w:t>。应监控</w:t>
      </w:r>
      <w:r>
        <w:rPr>
          <w:rFonts w:hint="eastAsia" w:eastAsia="宋体"/>
          <w:lang w:eastAsia="zh-CN"/>
        </w:rPr>
        <w:t>霉变</w:t>
      </w:r>
      <w:r>
        <w:rPr>
          <w:rFonts w:hint="eastAsia"/>
          <w:lang w:eastAsia="zh-CN"/>
        </w:rPr>
        <w:t>粒</w:t>
      </w:r>
      <w:r>
        <w:rPr>
          <w:rFonts w:hint="eastAsia" w:eastAsia="宋体"/>
          <w:lang w:eastAsia="zh-CN"/>
        </w:rPr>
        <w:t>含量</w:t>
      </w:r>
      <w:r>
        <w:rPr>
          <w:rFonts w:hint="eastAsia"/>
          <w:lang w:eastAsia="zh-CN"/>
        </w:rPr>
        <w:t>，</w:t>
      </w:r>
      <w:r>
        <w:rPr>
          <w:rFonts w:hint="eastAsia" w:eastAsia="宋体"/>
          <w:lang w:eastAsia="zh-CN"/>
        </w:rPr>
        <w:t>对于带壳产品，霉变粒不宜大于2.0%；对于去壳产品，霉变粒不宜大于0.5%。</w:t>
      </w:r>
    </w:p>
    <w:p w14:paraId="16C70D01">
      <w:pPr>
        <w:pStyle w:val="165"/>
        <w:rPr>
          <w:rFonts w:hint="eastAsia" w:eastAsia="宋体"/>
          <w:lang w:eastAsia="zh-CN"/>
        </w:rPr>
      </w:pPr>
      <w:r>
        <w:rPr>
          <w:rFonts w:hint="eastAsia" w:eastAsia="宋体"/>
          <w:lang w:eastAsia="zh-CN"/>
        </w:rPr>
        <w:t>半成品的质量和安全指标应符合GB 19300及相应产品标准的规定。熟制加工的坚果与籽类半成品应严格控制生产日期和产品质量，确保酸价（以脂肪计，KOH）不大于2.5mg/kg，过氧化值（以脂肪计）不大于0.15g/100g。</w:t>
      </w:r>
    </w:p>
    <w:p w14:paraId="006643FA">
      <w:pPr>
        <w:pStyle w:val="165"/>
        <w:rPr>
          <w:rFonts w:hint="eastAsia" w:eastAsia="宋体"/>
          <w:lang w:eastAsia="zh-CN"/>
        </w:rPr>
      </w:pPr>
      <w:r>
        <w:rPr>
          <w:rFonts w:hint="eastAsia" w:eastAsia="宋体"/>
          <w:lang w:eastAsia="zh-CN"/>
        </w:rPr>
        <w:t>半成品应按照品种、生产日期进行分开堆放，并应有明确的标识。对于含有致敏原的物料与非致敏原的物料，应进行有效隔离，防止交叉感染。同时，半成品应与原料有效隔离，防止交叉污染，并应避免与有毒、有害、易串味的其他货物混放。</w:t>
      </w:r>
    </w:p>
    <w:p w14:paraId="1C466400">
      <w:pPr>
        <w:pStyle w:val="165"/>
        <w:rPr>
          <w:rFonts w:hint="eastAsia" w:eastAsia="宋体"/>
          <w:lang w:eastAsia="zh-CN"/>
        </w:rPr>
      </w:pPr>
      <w:r>
        <w:rPr>
          <w:rFonts w:hint="eastAsia" w:eastAsia="宋体"/>
          <w:lang w:eastAsia="zh-CN"/>
        </w:rPr>
        <w:t>含油脂较高的去壳坚果类、花生类等半成品应贮存在准低温环境中。在高温季节，建议将这些半成品贮存在0℃~10℃的温度范围内，以维持产品质量和延长保质期。</w:t>
      </w:r>
    </w:p>
    <w:p w14:paraId="520647B9">
      <w:pPr>
        <w:pStyle w:val="105"/>
        <w:spacing w:before="156" w:after="156"/>
      </w:pPr>
      <w:bookmarkStart w:id="253" w:name="_Toc121378119"/>
      <w:bookmarkStart w:id="254" w:name="_Toc121217104"/>
      <w:bookmarkStart w:id="255" w:name="_Toc121325047"/>
      <w:bookmarkStart w:id="256" w:name="_Toc121213818"/>
      <w:bookmarkStart w:id="257" w:name="_Toc26142"/>
      <w:r>
        <w:rPr>
          <w:rFonts w:hint="eastAsia"/>
        </w:rPr>
        <w:t>原辅料信息记录</w:t>
      </w:r>
      <w:bookmarkEnd w:id="253"/>
      <w:bookmarkEnd w:id="254"/>
      <w:bookmarkEnd w:id="255"/>
      <w:bookmarkEnd w:id="256"/>
      <w:bookmarkEnd w:id="257"/>
    </w:p>
    <w:p w14:paraId="01005E1D">
      <w:pPr>
        <w:pStyle w:val="165"/>
        <w:bidi w:val="0"/>
        <w:rPr>
          <w:rFonts w:hint="eastAsia"/>
          <w:lang w:val="en-US" w:eastAsia="zh-CN"/>
        </w:rPr>
      </w:pPr>
      <w:r>
        <w:rPr>
          <w:rFonts w:hint="eastAsia"/>
          <w:lang w:val="en-US" w:eastAsia="zh-CN"/>
        </w:rPr>
        <w:t>企业应建立并维护原辅料信息记录系统，确保所有相关信息的完整性和可追溯性。</w:t>
      </w:r>
    </w:p>
    <w:p w14:paraId="7C3C5C53">
      <w:pPr>
        <w:pStyle w:val="165"/>
        <w:bidi w:val="0"/>
        <w:rPr>
          <w:rFonts w:hint="eastAsia"/>
        </w:rPr>
      </w:pPr>
      <w:r>
        <w:rPr>
          <w:rFonts w:hint="eastAsia"/>
        </w:rPr>
        <w:t>记录内容应包括但不限于以下信息：</w:t>
      </w:r>
    </w:p>
    <w:p w14:paraId="2C4D4807">
      <w:pPr>
        <w:pStyle w:val="174"/>
        <w:bidi w:val="0"/>
        <w:rPr>
          <w:rFonts w:hint="eastAsia"/>
        </w:rPr>
      </w:pPr>
      <w:r>
        <w:rPr>
          <w:rFonts w:hint="eastAsia"/>
        </w:rPr>
        <w:t>a) 供应商目录、供应商资质证明及评价记录，以及供应商的进入和退出机制的相关记录；</w:t>
      </w:r>
    </w:p>
    <w:p w14:paraId="7FA657AD">
      <w:pPr>
        <w:pStyle w:val="174"/>
        <w:bidi w:val="0"/>
        <w:rPr>
          <w:rFonts w:hint="eastAsia"/>
        </w:rPr>
      </w:pPr>
      <w:r>
        <w:rPr>
          <w:rFonts w:hint="eastAsia"/>
        </w:rPr>
        <w:t>b) 原辅料的名称、规格、等级（如</w:t>
      </w:r>
      <w:r>
        <w:rPr>
          <w:rFonts w:hint="eastAsia"/>
          <w:lang w:eastAsia="zh-CN"/>
        </w:rPr>
        <w:t>有</w:t>
      </w:r>
      <w:r>
        <w:rPr>
          <w:rFonts w:hint="eastAsia"/>
        </w:rPr>
        <w:t>）、数量、质量、生产日期或批号、保质期、进货日期以及供应商的名称、地址和联系方式；</w:t>
      </w:r>
    </w:p>
    <w:p w14:paraId="08AC723B">
      <w:pPr>
        <w:pStyle w:val="174"/>
        <w:bidi w:val="0"/>
        <w:rPr>
          <w:rFonts w:hint="eastAsia"/>
        </w:rPr>
      </w:pPr>
      <w:r>
        <w:rPr>
          <w:rFonts w:hint="eastAsia"/>
        </w:rPr>
        <w:t>c) 原辅料的验收标准、抽样方案、检验方法、检验记录和检验结果；</w:t>
      </w:r>
    </w:p>
    <w:p w14:paraId="3109C23D">
      <w:pPr>
        <w:pStyle w:val="174"/>
        <w:bidi w:val="0"/>
        <w:rPr>
          <w:rFonts w:hint="eastAsia"/>
        </w:rPr>
      </w:pPr>
      <w:r>
        <w:rPr>
          <w:rFonts w:hint="eastAsia"/>
        </w:rPr>
        <w:t>d) 原辅料存放管理的责任人信息、定期检查记录、储存环境的监控信息；</w:t>
      </w:r>
    </w:p>
    <w:p w14:paraId="3371E5F2">
      <w:pPr>
        <w:pStyle w:val="174"/>
        <w:bidi w:val="0"/>
        <w:rPr>
          <w:rFonts w:hint="eastAsia"/>
        </w:rPr>
      </w:pPr>
      <w:r>
        <w:rPr>
          <w:rFonts w:hint="eastAsia"/>
        </w:rPr>
        <w:t>e) 原辅料的库存信息、出入库记录、不合格品的处理记录、标识管理信息；</w:t>
      </w:r>
    </w:p>
    <w:p w14:paraId="32E38FDA">
      <w:pPr>
        <w:pStyle w:val="174"/>
        <w:bidi w:val="0"/>
        <w:rPr>
          <w:rFonts w:hint="eastAsia"/>
        </w:rPr>
      </w:pPr>
      <w:r>
        <w:rPr>
          <w:rFonts w:hint="eastAsia"/>
        </w:rPr>
        <w:t>f) 其他认为对原辅料质量控制和产品追溯有用的信息。</w:t>
      </w:r>
    </w:p>
    <w:p w14:paraId="7EAD8089">
      <w:pPr>
        <w:pStyle w:val="165"/>
        <w:bidi w:val="0"/>
        <w:rPr>
          <w:rFonts w:hint="eastAsia"/>
        </w:rPr>
      </w:pPr>
      <w:r>
        <w:rPr>
          <w:rFonts w:hint="eastAsia"/>
        </w:rPr>
        <w:t>所有记录应真实、准确，并以易于识别和检索的方式保存。应定期对记录进行审核，确保信息的及时更新和准确性。</w:t>
      </w:r>
    </w:p>
    <w:p w14:paraId="60130ECC">
      <w:pPr>
        <w:pStyle w:val="165"/>
        <w:bidi w:val="0"/>
        <w:rPr>
          <w:rFonts w:hint="eastAsia"/>
        </w:rPr>
      </w:pPr>
      <w:r>
        <w:rPr>
          <w:rFonts w:hint="eastAsia"/>
        </w:rPr>
        <w:t>记录的保存期限应符合相关法律法规的要求，至少保存至产品保质期满后六个月，或在没有明确保质期的情况下，保存期限不得少于二年。</w:t>
      </w:r>
    </w:p>
    <w:p w14:paraId="270DDD20">
      <w:pPr>
        <w:pStyle w:val="104"/>
        <w:spacing w:before="312" w:after="312"/>
        <w:rPr>
          <w:color w:val="000000" w:themeColor="text1"/>
          <w14:textFill>
            <w14:solidFill>
              <w14:schemeClr w14:val="tx1"/>
            </w14:solidFill>
          </w14:textFill>
        </w:rPr>
      </w:pPr>
      <w:bookmarkStart w:id="258" w:name="_Toc118471901"/>
      <w:bookmarkStart w:id="259" w:name="_Toc105361021"/>
      <w:bookmarkStart w:id="260" w:name="_Toc101797251"/>
      <w:bookmarkStart w:id="261" w:name="_Toc104469961"/>
      <w:bookmarkStart w:id="262" w:name="_Toc117522153"/>
      <w:bookmarkStart w:id="263" w:name="_Toc121378120"/>
      <w:bookmarkStart w:id="264" w:name="_Toc103243460"/>
      <w:bookmarkStart w:id="265" w:name="_Toc96934887"/>
      <w:bookmarkStart w:id="266" w:name="_Toc98684156"/>
      <w:bookmarkStart w:id="267" w:name="_Toc121325048"/>
      <w:bookmarkStart w:id="268" w:name="_Toc98748649"/>
      <w:bookmarkStart w:id="269" w:name="_Toc121217105"/>
      <w:bookmarkStart w:id="270" w:name="_Toc103677601"/>
      <w:bookmarkStart w:id="271" w:name="_Toc121213819"/>
      <w:bookmarkStart w:id="272" w:name="_Toc100647741"/>
      <w:bookmarkStart w:id="273" w:name="_Toc118626547"/>
      <w:bookmarkStart w:id="274" w:name="_Toc8812"/>
      <w:r>
        <w:rPr>
          <w:rFonts w:hint="eastAsia"/>
          <w:color w:val="000000" w:themeColor="text1"/>
          <w14:textFill>
            <w14:solidFill>
              <w14:schemeClr w14:val="tx1"/>
            </w14:solidFill>
          </w14:textFill>
        </w:rPr>
        <w:t>加工过程</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9CBAF6E">
      <w:pPr>
        <w:pStyle w:val="105"/>
        <w:spacing w:before="156" w:after="156"/>
      </w:pPr>
      <w:bookmarkStart w:id="275" w:name="_Toc121378121"/>
      <w:bookmarkStart w:id="276" w:name="_Toc22781"/>
      <w:r>
        <w:rPr>
          <w:rFonts w:hint="eastAsia"/>
        </w:rPr>
        <w:t>产品研发</w:t>
      </w:r>
      <w:bookmarkEnd w:id="275"/>
      <w:bookmarkEnd w:id="276"/>
    </w:p>
    <w:p w14:paraId="2446A7D9">
      <w:pPr>
        <w:pStyle w:val="165"/>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宜通过产学研合作，加强产品创新能力，涵盖创意产生、概念成型、消费者需求调研、市场现状分析、产品设计开发、工艺测试验证至产品上市的全过程。</w:t>
      </w:r>
    </w:p>
    <w:p w14:paraId="6CB05C62">
      <w:pPr>
        <w:pStyle w:val="165"/>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研发过程应依据科学方法和先进技术，确保产品创新的系统性和有效性，提升产品的市场竞争力。</w:t>
      </w:r>
    </w:p>
    <w:p w14:paraId="3183F161">
      <w:pPr>
        <w:pStyle w:val="165"/>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宜建立研发成果的评价和反馈机制，确保研发活动的质量持续提升，满足消费者需求和市场变化。</w:t>
      </w:r>
    </w:p>
    <w:p w14:paraId="64584D89">
      <w:pPr>
        <w:pStyle w:val="165"/>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宜开发采用合适的包装材料和方式，提高包装的保护性能，确保在正常环境储存和运输条件下，产品在有效期内不发生变质。</w:t>
      </w:r>
    </w:p>
    <w:p w14:paraId="495E3D60">
      <w:pPr>
        <w:pStyle w:val="165"/>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鼓励大型食品生产企业设立研发中心，企业为研发中心提供必要的资源保障，包括但不限于资金投入、人才培养和国际交流合作，以促进技术创新和产品研发，提升产品市场竞争力和消费者满意度，确保研发流程的系统性和科学性。</w:t>
      </w:r>
    </w:p>
    <w:p w14:paraId="57775A71">
      <w:pPr>
        <w:pStyle w:val="105"/>
        <w:spacing w:before="156" w:after="156"/>
      </w:pPr>
      <w:bookmarkStart w:id="277" w:name="_Toc121378122"/>
      <w:bookmarkStart w:id="278" w:name="_Toc121325049"/>
      <w:bookmarkStart w:id="279" w:name="_Toc105361022"/>
      <w:bookmarkStart w:id="280" w:name="_Toc96934888"/>
      <w:bookmarkStart w:id="281" w:name="_Toc98748650"/>
      <w:bookmarkStart w:id="282" w:name="_Toc98684157"/>
      <w:bookmarkStart w:id="283" w:name="_Toc118626548"/>
      <w:bookmarkStart w:id="284" w:name="_Toc100647742"/>
      <w:bookmarkStart w:id="285" w:name="_Toc103243461"/>
      <w:bookmarkStart w:id="286" w:name="_Toc104469962"/>
      <w:bookmarkStart w:id="287" w:name="_Toc101797252"/>
      <w:bookmarkStart w:id="288" w:name="_Toc117522154"/>
      <w:bookmarkStart w:id="289" w:name="_Toc121213820"/>
      <w:bookmarkStart w:id="290" w:name="_Toc118471902"/>
      <w:bookmarkStart w:id="291" w:name="_Toc121217106"/>
      <w:bookmarkStart w:id="292" w:name="_Toc103677602"/>
      <w:bookmarkStart w:id="293" w:name="_Toc7883"/>
      <w:r>
        <w:rPr>
          <w:rFonts w:hint="eastAsia"/>
        </w:rPr>
        <w:t>生产工艺设计</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642A2F26">
      <w:pPr>
        <w:pStyle w:val="165"/>
        <w:rPr>
          <w:rFonts w:hint="eastAsia"/>
        </w:rPr>
      </w:pPr>
      <w:r>
        <w:rPr>
          <w:rFonts w:hint="eastAsia"/>
        </w:rPr>
        <w:t>企业应根据产品特性和质量要求，设计合理的生产工艺流程，确保从原料到成品的每个环节均符合食品安全和质量标准。</w:t>
      </w:r>
    </w:p>
    <w:p w14:paraId="00626DA0">
      <w:pPr>
        <w:pStyle w:val="165"/>
        <w:rPr>
          <w:rFonts w:hint="eastAsia"/>
        </w:rPr>
      </w:pPr>
      <w:r>
        <w:rPr>
          <w:rFonts w:hint="eastAsia"/>
        </w:rPr>
        <w:t>生产工艺流程通常包括以下步骤：原料的接收和检验、预处理（包括去杂和清洗）、前处理（浸泡、浸料或裹衣）、熟制（油炸、烘炒或蒸煮）、拌料（如工艺有要求）、冷却、挑拣（如工艺有要求）、包装、杀菌（如工艺有要求）以及成品检验和储存。</w:t>
      </w:r>
    </w:p>
    <w:p w14:paraId="1036ED45">
      <w:pPr>
        <w:pStyle w:val="165"/>
        <w:rPr>
          <w:rFonts w:hint="eastAsia"/>
        </w:rPr>
      </w:pPr>
      <w:r>
        <w:rPr>
          <w:rFonts w:hint="eastAsia"/>
        </w:rPr>
        <w:t>在设计生产工艺时，应考虑原料的特性、加工设备的效率、产品质量的一致性以及生产过程的可追溯性。</w:t>
      </w:r>
    </w:p>
    <w:p w14:paraId="56A44848">
      <w:pPr>
        <w:pStyle w:val="165"/>
        <w:rPr>
          <w:rFonts w:hint="eastAsia"/>
        </w:rPr>
      </w:pPr>
      <w:r>
        <w:rPr>
          <w:rFonts w:hint="eastAsia"/>
        </w:rPr>
        <w:t>企业应建立和维护生产工艺的文件记录，包括工艺流程图、操作指导书和关键控制点的监控记录，以确保生产过程的透明度和可追溯性。</w:t>
      </w:r>
    </w:p>
    <w:p w14:paraId="207A1025">
      <w:pPr>
        <w:pStyle w:val="165"/>
      </w:pPr>
      <w:r>
        <w:rPr>
          <w:rFonts w:hint="eastAsia"/>
        </w:rPr>
        <w:t>对于涉及特殊工艺要求的步骤，如拌料和杀菌，企业应制定详细的操作规程，并进行严格的质量控制，以确保产品的安全性和符合性。</w:t>
      </w:r>
    </w:p>
    <w:p w14:paraId="42089D36">
      <w:pPr>
        <w:pStyle w:val="105"/>
        <w:keepNext w:val="0"/>
        <w:keepLines w:val="0"/>
        <w:pageBreakBefore w:val="0"/>
        <w:widowControl/>
        <w:kinsoku/>
        <w:wordWrap/>
        <w:overflowPunct/>
        <w:topLinePunct w:val="0"/>
        <w:autoSpaceDE/>
        <w:autoSpaceDN/>
        <w:bidi w:val="0"/>
        <w:adjustRightInd/>
        <w:snapToGrid/>
        <w:spacing w:before="156" w:after="156"/>
        <w:textAlignment w:val="auto"/>
      </w:pPr>
      <w:bookmarkStart w:id="294" w:name="_Toc98684158"/>
      <w:bookmarkStart w:id="295" w:name="_Toc121217107"/>
      <w:bookmarkStart w:id="296" w:name="_Toc98748652"/>
      <w:bookmarkStart w:id="297" w:name="_Toc121213821"/>
      <w:bookmarkStart w:id="298" w:name="_Toc118626549"/>
      <w:bookmarkStart w:id="299" w:name="_Toc105361023"/>
      <w:bookmarkStart w:id="300" w:name="_Toc100647744"/>
      <w:bookmarkStart w:id="301" w:name="_Toc118471903"/>
      <w:bookmarkStart w:id="302" w:name="_Toc101797254"/>
      <w:bookmarkStart w:id="303" w:name="_Toc117522155"/>
      <w:bookmarkStart w:id="304" w:name="_Toc103243463"/>
      <w:bookmarkStart w:id="305" w:name="_Toc103677603"/>
      <w:bookmarkStart w:id="306" w:name="_Toc104469963"/>
      <w:bookmarkStart w:id="307" w:name="_Toc96934889"/>
      <w:bookmarkStart w:id="308" w:name="_Toc121378123"/>
      <w:bookmarkStart w:id="309" w:name="_Toc121325050"/>
      <w:bookmarkStart w:id="310" w:name="_Toc19724"/>
      <w:r>
        <w:rPr>
          <w:rFonts w:hint="eastAsia"/>
        </w:rPr>
        <w:t>食品原辅料预处理</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1FD7FBF">
      <w:pPr>
        <w:pStyle w:val="165"/>
        <w:rPr>
          <w:rFonts w:hint="eastAsia"/>
        </w:rPr>
      </w:pPr>
      <w:r>
        <w:rPr>
          <w:rFonts w:hint="eastAsia"/>
        </w:rPr>
        <w:t>企业应根据产品工艺要求，对坚果与籽类原料实施有效的预处理措施，包括机械清理、手工挑选和清洗等，以确保原料的纯净度和后续加工的质量。</w:t>
      </w:r>
    </w:p>
    <w:p w14:paraId="7A079B3E">
      <w:pPr>
        <w:pStyle w:val="165"/>
        <w:rPr>
          <w:rFonts w:hint="eastAsia"/>
        </w:rPr>
      </w:pPr>
      <w:r>
        <w:rPr>
          <w:rFonts w:hint="eastAsia"/>
        </w:rPr>
        <w:t>应选择适宜的清选设备如清选机、比重机、去石机、窝眼机、色选机和分级机等，对原料进行机械清理，去除杂质并按大小、重量、密度等特性进行分级。</w:t>
      </w:r>
    </w:p>
    <w:p w14:paraId="071B4AD5">
      <w:pPr>
        <w:pStyle w:val="165"/>
        <w:rPr>
          <w:rFonts w:hint="eastAsia"/>
        </w:rPr>
      </w:pPr>
      <w:r>
        <w:rPr>
          <w:rFonts w:hint="eastAsia"/>
        </w:rPr>
        <w:t>对于机械清理无法处理的原料，应采用手工挑选的方式，以去除霉变粒、脱皮籽等异常原料，确保原料质量。</w:t>
      </w:r>
    </w:p>
    <w:p w14:paraId="6E4A28E1">
      <w:pPr>
        <w:pStyle w:val="165"/>
        <w:rPr>
          <w:rFonts w:hint="eastAsia"/>
        </w:rPr>
      </w:pPr>
      <w:r>
        <w:rPr>
          <w:rFonts w:hint="eastAsia"/>
        </w:rPr>
        <w:t>根据产品工艺需求，对原料进行彻底清洗，去除表面灰尘和其他污染物，清洗过程应采用适宜的水质，并确保清洗效果。</w:t>
      </w:r>
    </w:p>
    <w:p w14:paraId="566A91CB">
      <w:pPr>
        <w:pStyle w:val="165"/>
        <w:rPr>
          <w:rFonts w:hint="eastAsia"/>
        </w:rPr>
      </w:pPr>
      <w:r>
        <w:rPr>
          <w:rFonts w:hint="eastAsia"/>
        </w:rPr>
        <w:t>所有预处理操作应符合食品安全要求，操作人员应接受相关培训，确保预处理过程的规范性和有效性。</w:t>
      </w:r>
    </w:p>
    <w:p w14:paraId="2409DB64">
      <w:pPr>
        <w:pStyle w:val="165"/>
      </w:pPr>
      <w:r>
        <w:rPr>
          <w:rFonts w:hint="eastAsia"/>
        </w:rPr>
        <w:t>企业应记录预处理过程中的关键操作参数，如设备设置、处理时间和清洗用水的质量等，以便于质量控制和追溯。</w:t>
      </w:r>
    </w:p>
    <w:p w14:paraId="12A6460E">
      <w:pPr>
        <w:pStyle w:val="105"/>
        <w:spacing w:before="156" w:after="156"/>
      </w:pPr>
      <w:bookmarkStart w:id="311" w:name="_Toc98748653"/>
      <w:bookmarkStart w:id="312" w:name="_Toc96934890"/>
      <w:bookmarkStart w:id="313" w:name="_Toc98684159"/>
      <w:bookmarkStart w:id="314" w:name="_Toc100647745"/>
      <w:bookmarkStart w:id="315" w:name="_Toc104469964"/>
      <w:bookmarkStart w:id="316" w:name="_Toc121378124"/>
      <w:bookmarkStart w:id="317" w:name="_Toc105361024"/>
      <w:bookmarkStart w:id="318" w:name="_Toc117522156"/>
      <w:bookmarkStart w:id="319" w:name="_Toc103243464"/>
      <w:bookmarkStart w:id="320" w:name="_Toc103677604"/>
      <w:bookmarkStart w:id="321" w:name="_Toc101797255"/>
      <w:bookmarkStart w:id="322" w:name="_Toc118626550"/>
      <w:bookmarkStart w:id="323" w:name="_Toc121217108"/>
      <w:bookmarkStart w:id="324" w:name="_Toc121325051"/>
      <w:bookmarkStart w:id="325" w:name="_Toc118471904"/>
      <w:bookmarkStart w:id="326" w:name="_Toc121213822"/>
      <w:bookmarkStart w:id="327" w:name="_Toc20149"/>
      <w:r>
        <w:rPr>
          <w:rFonts w:hint="eastAsia"/>
        </w:rPr>
        <w:t>加工过程</w:t>
      </w:r>
      <w:bookmarkEnd w:id="311"/>
      <w:bookmarkEnd w:id="312"/>
      <w:bookmarkEnd w:id="313"/>
      <w:bookmarkEnd w:id="314"/>
      <w:r>
        <w:rPr>
          <w:rFonts w:hint="eastAsia"/>
        </w:rPr>
        <w:t>质量控制</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1DD41E66">
      <w:pPr>
        <w:pStyle w:val="165"/>
        <w:rPr>
          <w:rFonts w:hint="eastAsia"/>
        </w:rPr>
      </w:pPr>
      <w:r>
        <w:rPr>
          <w:rFonts w:hint="eastAsia"/>
        </w:rPr>
        <w:t xml:space="preserve"> 企业应依据工艺设计方案中确立的食品质量关键环节和影响因素，结合相关质量文件要求，在关键环节实施有效的质量控制措施，以确保产品质量符合标准。</w:t>
      </w:r>
    </w:p>
    <w:p w14:paraId="249FEEF6">
      <w:pPr>
        <w:pStyle w:val="165"/>
        <w:rPr>
          <w:rFonts w:hint="eastAsia"/>
        </w:rPr>
      </w:pPr>
      <w:r>
        <w:rPr>
          <w:rFonts w:hint="eastAsia"/>
        </w:rPr>
        <w:t>应加强对生产物料及上道工序半成品的质量监控，防止食品质量缺陷的产生或流入下道工序，确保每个环节的产品质量稳定。</w:t>
      </w:r>
    </w:p>
    <w:p w14:paraId="3BCA66C4">
      <w:pPr>
        <w:pStyle w:val="165"/>
        <w:rPr>
          <w:rFonts w:hint="eastAsia"/>
        </w:rPr>
      </w:pPr>
      <w:r>
        <w:rPr>
          <w:rFonts w:hint="eastAsia"/>
        </w:rPr>
        <w:t>企业应记录并</w:t>
      </w:r>
      <w:r>
        <w:rPr>
          <w:rFonts w:hint="eastAsia"/>
          <w:lang w:eastAsia="zh-CN"/>
        </w:rPr>
        <w:t>保留</w:t>
      </w:r>
      <w:r>
        <w:rPr>
          <w:rFonts w:hint="eastAsia"/>
        </w:rPr>
        <w:t>以下食品生产加工过程的质量信息，以便于追溯和质量管理：</w:t>
      </w:r>
    </w:p>
    <w:p w14:paraId="20073C67">
      <w:pPr>
        <w:pStyle w:val="165"/>
        <w:numPr>
          <w:ilvl w:val="3"/>
          <w:numId w:val="0"/>
        </w:numPr>
        <w:ind w:leftChars="0" w:firstLine="630" w:firstLineChars="300"/>
        <w:rPr>
          <w:rFonts w:hint="eastAsia"/>
        </w:rPr>
      </w:pPr>
      <w:r>
        <w:rPr>
          <w:rFonts w:hint="eastAsia"/>
        </w:rPr>
        <w:t>a) 生产工艺设计过程的详细记录；</w:t>
      </w:r>
    </w:p>
    <w:p w14:paraId="1791876B">
      <w:pPr>
        <w:pStyle w:val="165"/>
        <w:numPr>
          <w:ilvl w:val="3"/>
          <w:numId w:val="0"/>
        </w:numPr>
        <w:ind w:leftChars="0" w:firstLine="630" w:firstLineChars="300"/>
        <w:rPr>
          <w:rFonts w:hint="eastAsia"/>
        </w:rPr>
      </w:pPr>
      <w:r>
        <w:rPr>
          <w:rFonts w:hint="eastAsia"/>
        </w:rPr>
        <w:t>b) 蒸煮或浸料过程中按照工艺要求添加的相关配辅料记录，以避免食品添加剂使用量超标；</w:t>
      </w:r>
    </w:p>
    <w:p w14:paraId="78F295C8">
      <w:pPr>
        <w:pStyle w:val="174"/>
        <w:numPr>
          <w:ilvl w:val="0"/>
          <w:numId w:val="0"/>
        </w:numPr>
        <w:ind w:firstLine="630" w:firstLineChars="300"/>
      </w:pPr>
      <w:r>
        <w:rPr>
          <w:rFonts w:hint="eastAsia"/>
        </w:rPr>
        <w:t>c) 影响食品质量的关键过程记录，包括操作参数、监控结果和异常情况处理记录。</w:t>
      </w:r>
    </w:p>
    <w:p w14:paraId="0D873B5B">
      <w:pPr>
        <w:pStyle w:val="165"/>
        <w:rPr>
          <w:rFonts w:hint="eastAsia"/>
        </w:rPr>
      </w:pPr>
      <w:r>
        <w:rPr>
          <w:rFonts w:hint="eastAsia"/>
        </w:rPr>
        <w:t>关键加工过程质量控制</w:t>
      </w:r>
    </w:p>
    <w:p w14:paraId="59981296">
      <w:pPr>
        <w:pStyle w:val="164"/>
        <w:rPr>
          <w:rFonts w:hint="eastAsia"/>
        </w:rPr>
      </w:pPr>
      <w:r>
        <w:rPr>
          <w:rFonts w:hint="eastAsia"/>
        </w:rPr>
        <w:t>蒸煮或浸料</w:t>
      </w:r>
    </w:p>
    <w:p w14:paraId="151F5A23">
      <w:pPr>
        <w:pStyle w:val="164"/>
        <w:numPr>
          <w:ilvl w:val="4"/>
          <w:numId w:val="0"/>
        </w:numPr>
        <w:ind w:leftChars="0"/>
        <w:rPr>
          <w:rFonts w:hint="eastAsia"/>
        </w:rPr>
      </w:pPr>
      <w:r>
        <w:rPr>
          <w:rFonts w:hint="eastAsia"/>
        </w:rPr>
        <w:t>a) 蒸煮或浸料应严格按照工艺要求添加相关配辅料，确保食品添加剂使用量不超标。</w:t>
      </w:r>
    </w:p>
    <w:p w14:paraId="065CE098">
      <w:pPr>
        <w:pStyle w:val="164"/>
        <w:numPr>
          <w:ilvl w:val="4"/>
          <w:numId w:val="0"/>
        </w:numPr>
        <w:ind w:leftChars="0"/>
        <w:rPr>
          <w:rFonts w:hint="eastAsia"/>
        </w:rPr>
      </w:pPr>
      <w:r>
        <w:rPr>
          <w:rFonts w:hint="eastAsia"/>
        </w:rPr>
        <w:t>b) 应配备必要的监控仪器，对蒸煮的时间、温度等参数进行</w:t>
      </w:r>
      <w:r>
        <w:rPr>
          <w:rFonts w:hint="eastAsia"/>
          <w:lang w:eastAsia="zh-CN"/>
        </w:rPr>
        <w:t>监控</w:t>
      </w:r>
      <w:r>
        <w:rPr>
          <w:rFonts w:hint="eastAsia"/>
        </w:rPr>
        <w:t>和记录，以确保蒸煮效果。</w:t>
      </w:r>
    </w:p>
    <w:p w14:paraId="2DEF3F6E">
      <w:pPr>
        <w:pStyle w:val="164"/>
        <w:numPr>
          <w:ilvl w:val="4"/>
          <w:numId w:val="0"/>
        </w:numPr>
        <w:ind w:leftChars="0"/>
        <w:rPr>
          <w:rFonts w:hint="eastAsia" w:eastAsia="宋体"/>
          <w:lang w:eastAsia="zh-CN"/>
        </w:rPr>
      </w:pPr>
      <w:r>
        <w:rPr>
          <w:rFonts w:hint="eastAsia"/>
        </w:rPr>
        <w:t>c) 汤料水</w:t>
      </w:r>
      <w:r>
        <w:rPr>
          <w:rFonts w:hint="eastAsia"/>
          <w:lang w:eastAsia="zh-CN"/>
        </w:rPr>
        <w:t>需存放在适宜的环境，并进行有效防护确保不被污染。</w:t>
      </w:r>
      <w:r>
        <w:rPr>
          <w:rFonts w:hint="eastAsia"/>
        </w:rPr>
        <w:t>应</w:t>
      </w:r>
      <w:r>
        <w:rPr>
          <w:rFonts w:hint="eastAsia"/>
          <w:lang w:eastAsia="zh-CN"/>
        </w:rPr>
        <w:t>监控并记录</w:t>
      </w:r>
      <w:r>
        <w:rPr>
          <w:rFonts w:hint="eastAsia"/>
        </w:rPr>
        <w:t>蒸煮用汤料水的使用次数</w:t>
      </w:r>
      <w:r>
        <w:rPr>
          <w:rFonts w:hint="eastAsia"/>
          <w:lang w:eastAsia="zh-CN"/>
        </w:rPr>
        <w:t>和存放时间</w:t>
      </w:r>
      <w:r>
        <w:rPr>
          <w:rFonts w:hint="eastAsia"/>
        </w:rPr>
        <w:t>，</w:t>
      </w:r>
      <w:r>
        <w:rPr>
          <w:rFonts w:hint="eastAsia"/>
          <w:lang w:eastAsia="zh-CN"/>
        </w:rPr>
        <w:t>必要时需对汤料水进行检验，</w:t>
      </w:r>
      <w:r>
        <w:rPr>
          <w:rFonts w:hint="eastAsia"/>
        </w:rPr>
        <w:t>确保汤料水的品质。</w:t>
      </w:r>
    </w:p>
    <w:p w14:paraId="5277867C">
      <w:pPr>
        <w:pStyle w:val="164"/>
        <w:rPr>
          <w:rFonts w:hAnsi="黑体" w:cs="宋体"/>
          <w:b w:val="0"/>
          <w:bCs w:val="0"/>
        </w:rPr>
      </w:pPr>
      <w:r>
        <w:rPr>
          <w:rFonts w:hint="eastAsia" w:hAnsi="黑体" w:cs="宋体"/>
          <w:b w:val="0"/>
          <w:bCs w:val="0"/>
        </w:rPr>
        <w:t>烘炒 (烘干)</w:t>
      </w:r>
    </w:p>
    <w:p w14:paraId="087A74BC">
      <w:pPr>
        <w:pStyle w:val="65"/>
        <w:numPr>
          <w:ilvl w:val="3"/>
          <w:numId w:val="0"/>
        </w:numPr>
        <w:spacing w:before="0" w:beforeLines="0" w:after="0" w:afterLines="0"/>
        <w:ind w:leftChars="0"/>
        <w:rPr>
          <w:rFonts w:ascii="宋体" w:hAnsi="宋体" w:eastAsia="宋体" w:cs="宋体"/>
        </w:rPr>
      </w:pPr>
      <w:r>
        <w:rPr>
          <w:rFonts w:hint="eastAsia" w:ascii="宋体" w:hAnsi="宋体" w:eastAsia="宋体" w:cs="宋体"/>
        </w:rPr>
        <w:t>a) 应配备必要的监控</w:t>
      </w:r>
      <w:r>
        <w:rPr>
          <w:rFonts w:hint="eastAsia" w:ascii="宋体" w:hAnsi="宋体" w:eastAsia="宋体" w:cs="宋体"/>
          <w:lang w:eastAsia="zh-CN"/>
        </w:rPr>
        <w:t>设施</w:t>
      </w:r>
      <w:r>
        <w:rPr>
          <w:rFonts w:hint="eastAsia" w:ascii="宋体" w:hAnsi="宋体" w:eastAsia="宋体" w:cs="宋体"/>
        </w:rPr>
        <w:t>，对烘炒的时间、温度等参数进行</w:t>
      </w:r>
      <w:r>
        <w:rPr>
          <w:rFonts w:hint="eastAsia" w:ascii="宋体" w:hAnsi="宋体" w:eastAsia="宋体" w:cs="宋体"/>
          <w:lang w:eastAsia="zh-CN"/>
        </w:rPr>
        <w:t>监控</w:t>
      </w:r>
      <w:r>
        <w:rPr>
          <w:rFonts w:hint="eastAsia" w:ascii="宋体" w:hAnsi="宋体" w:eastAsia="宋体" w:cs="宋体"/>
        </w:rPr>
        <w:t>和记录，以确保产品符合相应的卫生要求。</w:t>
      </w:r>
    </w:p>
    <w:p w14:paraId="789AC5BA">
      <w:pPr>
        <w:pStyle w:val="65"/>
        <w:numPr>
          <w:ilvl w:val="3"/>
          <w:numId w:val="0"/>
        </w:numPr>
        <w:spacing w:before="0" w:beforeLines="0" w:after="0" w:afterLines="0"/>
        <w:ind w:leftChars="0"/>
        <w:rPr>
          <w:rFonts w:ascii="宋体" w:hAnsi="宋体" w:eastAsia="宋体" w:cs="宋体"/>
        </w:rPr>
      </w:pPr>
      <w:r>
        <w:rPr>
          <w:rFonts w:hint="eastAsia" w:ascii="宋体" w:hAnsi="宋体" w:eastAsia="宋体" w:cs="宋体"/>
        </w:rPr>
        <w:t>b) 生产企业应对烘炒后的产品进行抽样检测，以验证烘炒效果，确保最终产品的安全性。</w:t>
      </w:r>
    </w:p>
    <w:p w14:paraId="771D5895">
      <w:pPr>
        <w:pStyle w:val="65"/>
        <w:numPr>
          <w:ilvl w:val="3"/>
          <w:numId w:val="0"/>
        </w:numPr>
        <w:spacing w:before="0" w:beforeLines="0" w:after="0" w:afterLines="0"/>
        <w:ind w:leftChars="0"/>
        <w:rPr>
          <w:rFonts w:ascii="宋体" w:hAnsi="宋体" w:eastAsia="宋体" w:cs="宋体"/>
        </w:rPr>
      </w:pPr>
      <w:r>
        <w:rPr>
          <w:rFonts w:hint="eastAsia" w:ascii="宋体" w:hAnsi="宋体" w:eastAsia="宋体" w:cs="宋体"/>
        </w:rPr>
        <w:t>c) 若烘炒采用传热介质，该介质应符合相关规定，并应控制其使用次数，以确保卫生安全和传热性能。</w:t>
      </w:r>
    </w:p>
    <w:p w14:paraId="2C394201">
      <w:pPr>
        <w:pStyle w:val="164"/>
        <w:rPr>
          <w:rFonts w:hAnsi="黑体" w:cs="宋体"/>
          <w:b w:val="0"/>
          <w:bCs w:val="0"/>
        </w:rPr>
      </w:pPr>
      <w:r>
        <w:rPr>
          <w:rFonts w:hint="eastAsia" w:hAnsi="黑体" w:cs="宋体"/>
          <w:b w:val="0"/>
          <w:bCs w:val="0"/>
        </w:rPr>
        <w:t>油炸</w:t>
      </w:r>
    </w:p>
    <w:p w14:paraId="3D8D02C4">
      <w:pPr>
        <w:pStyle w:val="164"/>
        <w:numPr>
          <w:ilvl w:val="4"/>
          <w:numId w:val="0"/>
        </w:numPr>
        <w:ind w:leftChars="0"/>
        <w:rPr>
          <w:rFonts w:hint="eastAsia" w:ascii="宋体" w:hAnsi="宋体" w:eastAsia="宋体" w:cs="宋体"/>
        </w:rPr>
      </w:pPr>
      <w:r>
        <w:rPr>
          <w:rFonts w:hint="eastAsia" w:ascii="宋体" w:hAnsi="宋体" w:eastAsia="宋体" w:cs="宋体"/>
        </w:rPr>
        <w:t>a) 应配备必要的监控仪器，对油炸的时间、温度等参数进行描述和记录，以确保产品符合相应的卫生要求。</w:t>
      </w:r>
    </w:p>
    <w:p w14:paraId="4AAD1583">
      <w:pPr>
        <w:pStyle w:val="164"/>
        <w:numPr>
          <w:ilvl w:val="4"/>
          <w:numId w:val="0"/>
        </w:numPr>
        <w:ind w:leftChars="0"/>
        <w:rPr>
          <w:rFonts w:hint="eastAsia" w:ascii="宋体" w:hAnsi="宋体" w:eastAsia="宋体" w:cs="宋体"/>
        </w:rPr>
      </w:pPr>
      <w:r>
        <w:rPr>
          <w:rFonts w:hint="eastAsia" w:ascii="宋体" w:hAnsi="宋体" w:eastAsia="宋体" w:cs="宋体"/>
        </w:rPr>
        <w:t>b) 应做好煎炸油脂的更换控制，以避免产品出现酸价、过氧化值和羰基价超标。</w:t>
      </w:r>
    </w:p>
    <w:p w14:paraId="58167BB4">
      <w:pPr>
        <w:pStyle w:val="164"/>
        <w:rPr>
          <w:rFonts w:hAnsi="黑体" w:cs="宋体"/>
          <w:b w:val="0"/>
          <w:bCs w:val="0"/>
        </w:rPr>
      </w:pPr>
      <w:r>
        <w:rPr>
          <w:rFonts w:hint="eastAsia" w:hAnsi="黑体" w:cs="宋体"/>
          <w:b w:val="0"/>
          <w:bCs w:val="0"/>
        </w:rPr>
        <w:t>杀菌</w:t>
      </w:r>
    </w:p>
    <w:p w14:paraId="14FE7823">
      <w:pPr>
        <w:pStyle w:val="164"/>
        <w:numPr>
          <w:ilvl w:val="4"/>
          <w:numId w:val="0"/>
        </w:numPr>
        <w:ind w:leftChars="0"/>
        <w:rPr>
          <w:rFonts w:hint="eastAsia" w:hAnsi="黑体" w:cs="宋体"/>
          <w:b w:val="0"/>
          <w:bCs w:val="0"/>
        </w:rPr>
      </w:pPr>
      <w:r>
        <w:rPr>
          <w:rFonts w:hint="eastAsia" w:hAnsi="黑体" w:cs="宋体"/>
          <w:b w:val="0"/>
          <w:bCs w:val="0"/>
        </w:rPr>
        <w:t>a) 应配备必要的监控仪器，对杀菌的时间、温度等参数进行描述和记录，以确保产品符合相应的卫生要求。</w:t>
      </w:r>
    </w:p>
    <w:p w14:paraId="08595735">
      <w:pPr>
        <w:pStyle w:val="164"/>
        <w:numPr>
          <w:ilvl w:val="4"/>
          <w:numId w:val="0"/>
        </w:numPr>
        <w:ind w:leftChars="0"/>
        <w:rPr>
          <w:rFonts w:hAnsi="黑体" w:cs="宋体"/>
          <w:b w:val="0"/>
          <w:bCs w:val="0"/>
        </w:rPr>
      </w:pPr>
      <w:r>
        <w:rPr>
          <w:rFonts w:hint="eastAsia" w:hAnsi="黑体" w:cs="宋体"/>
          <w:b w:val="0"/>
          <w:bCs w:val="0"/>
        </w:rPr>
        <w:t>b) 应定期对杀菌釜进行性能参数验证，以确保杀菌效果。</w:t>
      </w:r>
    </w:p>
    <w:p w14:paraId="35402AF1">
      <w:pPr>
        <w:pStyle w:val="164"/>
        <w:rPr>
          <w:rFonts w:hAnsi="黑体" w:cs="宋体"/>
          <w:b w:val="0"/>
          <w:bCs w:val="0"/>
        </w:rPr>
      </w:pPr>
      <w:r>
        <w:rPr>
          <w:rFonts w:hint="eastAsia" w:hAnsi="黑体" w:cs="宋体"/>
          <w:b w:val="0"/>
          <w:bCs w:val="0"/>
        </w:rPr>
        <w:t>冷却</w:t>
      </w:r>
    </w:p>
    <w:p w14:paraId="0279137C">
      <w:pPr>
        <w:pStyle w:val="65"/>
        <w:numPr>
          <w:ilvl w:val="3"/>
          <w:numId w:val="0"/>
        </w:numPr>
        <w:spacing w:before="0" w:beforeLines="0" w:after="0" w:afterLines="0"/>
        <w:ind w:leftChars="0"/>
        <w:rPr>
          <w:rFonts w:hint="eastAsia" w:ascii="宋体" w:hAnsi="宋体" w:eastAsia="宋体" w:cs="宋体"/>
        </w:rPr>
      </w:pPr>
      <w:r>
        <w:rPr>
          <w:rFonts w:hint="eastAsia" w:ascii="宋体" w:hAnsi="宋体" w:eastAsia="宋体" w:cs="宋体"/>
        </w:rPr>
        <w:t>a) 高温产品在包装之前应进行冷却处理，产品宜冷却至45℃以下，最高不得超过50℃。</w:t>
      </w:r>
    </w:p>
    <w:p w14:paraId="1FF5BBD8">
      <w:pPr>
        <w:pStyle w:val="65"/>
        <w:numPr>
          <w:ilvl w:val="3"/>
          <w:numId w:val="0"/>
        </w:numPr>
        <w:spacing w:before="0" w:beforeLines="0" w:after="0" w:afterLines="0"/>
        <w:ind w:leftChars="0"/>
        <w:rPr>
          <w:rFonts w:ascii="宋体" w:hAnsi="宋体" w:eastAsia="宋体" w:cs="宋体"/>
        </w:rPr>
      </w:pPr>
      <w:r>
        <w:rPr>
          <w:rFonts w:hint="eastAsia" w:ascii="宋体" w:hAnsi="宋体" w:eastAsia="宋体" w:cs="宋体"/>
        </w:rPr>
        <w:t>b) 应控制冷却时间，以防止产品品质下降。</w:t>
      </w:r>
    </w:p>
    <w:p w14:paraId="41360A2B">
      <w:pPr>
        <w:pStyle w:val="164"/>
        <w:rPr>
          <w:rFonts w:hAnsi="黑体" w:cs="宋体"/>
          <w:b w:val="0"/>
          <w:bCs w:val="0"/>
        </w:rPr>
      </w:pPr>
      <w:r>
        <w:rPr>
          <w:rFonts w:hint="eastAsia" w:hAnsi="黑体" w:cs="宋体"/>
          <w:b w:val="0"/>
          <w:bCs w:val="0"/>
        </w:rPr>
        <w:t>包装</w:t>
      </w:r>
    </w:p>
    <w:p w14:paraId="0554599A">
      <w:pPr>
        <w:pStyle w:val="65"/>
        <w:numPr>
          <w:ilvl w:val="3"/>
          <w:numId w:val="0"/>
        </w:numPr>
        <w:spacing w:before="0" w:beforeLines="0" w:after="0" w:afterLines="0"/>
        <w:ind w:leftChars="0"/>
        <w:rPr>
          <w:rFonts w:hint="eastAsia" w:ascii="宋体" w:hAnsi="宋体" w:eastAsia="宋体" w:cs="宋体"/>
        </w:rPr>
      </w:pPr>
      <w:r>
        <w:rPr>
          <w:rFonts w:hint="eastAsia" w:ascii="宋体" w:hAnsi="宋体" w:eastAsia="宋体" w:cs="宋体"/>
        </w:rPr>
        <w:t>a) 应制定包装工序操作规程，并对实际操作进行记录。</w:t>
      </w:r>
    </w:p>
    <w:p w14:paraId="6B7A9C03">
      <w:pPr>
        <w:pStyle w:val="65"/>
        <w:numPr>
          <w:ilvl w:val="3"/>
          <w:numId w:val="0"/>
        </w:numPr>
        <w:spacing w:before="0" w:beforeLines="0" w:after="0" w:afterLines="0"/>
        <w:ind w:leftChars="0"/>
        <w:rPr>
          <w:rFonts w:hint="eastAsia" w:ascii="宋体" w:hAnsi="宋体" w:eastAsia="宋体" w:cs="宋体"/>
        </w:rPr>
      </w:pPr>
      <w:r>
        <w:rPr>
          <w:rFonts w:hint="eastAsia" w:ascii="宋体" w:hAnsi="宋体" w:eastAsia="宋体" w:cs="宋体"/>
        </w:rPr>
        <w:t>b) 应选择适宜的包装材料，以有效保护产品品质，必要时应对包装的密封性进行控制。</w:t>
      </w:r>
    </w:p>
    <w:p w14:paraId="0E2C8091">
      <w:pPr>
        <w:pStyle w:val="65"/>
        <w:numPr>
          <w:ilvl w:val="3"/>
          <w:numId w:val="0"/>
        </w:numPr>
        <w:spacing w:before="0" w:beforeLines="0" w:after="0" w:afterLines="0"/>
        <w:ind w:leftChars="0"/>
        <w:rPr>
          <w:rFonts w:ascii="宋体" w:hAnsi="宋体" w:eastAsia="宋体" w:cs="宋体"/>
        </w:rPr>
      </w:pPr>
      <w:r>
        <w:rPr>
          <w:rFonts w:hint="eastAsia" w:ascii="宋体" w:hAnsi="宋体" w:eastAsia="宋体" w:cs="宋体"/>
        </w:rPr>
        <w:t>c) 采取充氮包装时，所用氮气应符合食品安全标准要求，确保包装区域的洁净。</w:t>
      </w:r>
    </w:p>
    <w:p w14:paraId="3FEA2F01">
      <w:pPr>
        <w:pStyle w:val="65"/>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加工过程质量检查</w:t>
      </w:r>
    </w:p>
    <w:p w14:paraId="0E8CE0A8">
      <w:pPr>
        <w:pStyle w:val="164"/>
        <w:rPr>
          <w:rFonts w:hint="eastAsia"/>
        </w:rPr>
      </w:pPr>
      <w:r>
        <w:rPr>
          <w:rFonts w:hint="eastAsia"/>
        </w:rPr>
        <w:t>质量管理人员应对生产过程中的半成品进行质量检测。</w:t>
      </w:r>
    </w:p>
    <w:p w14:paraId="1604207B">
      <w:pPr>
        <w:pStyle w:val="164"/>
      </w:pPr>
      <w:r>
        <w:rPr>
          <w:rFonts w:hint="eastAsia"/>
        </w:rPr>
        <w:t>质量管理人员应定期检查关键加工过程的操作情况及参数控制，确保遵循操作规范和作业指导书的规定。</w:t>
      </w:r>
    </w:p>
    <w:p w14:paraId="0F45B632">
      <w:pPr>
        <w:pStyle w:val="105"/>
        <w:spacing w:before="156" w:after="156"/>
        <w:rPr>
          <w:color w:val="000000" w:themeColor="text1"/>
          <w14:textFill>
            <w14:solidFill>
              <w14:schemeClr w14:val="tx1"/>
            </w14:solidFill>
          </w14:textFill>
        </w:rPr>
      </w:pPr>
      <w:bookmarkStart w:id="328" w:name="_Toc121378125"/>
      <w:bookmarkStart w:id="329" w:name="_Toc121213823"/>
      <w:bookmarkStart w:id="330" w:name="_Toc121325052"/>
      <w:bookmarkStart w:id="331" w:name="_Toc121217109"/>
      <w:bookmarkStart w:id="332" w:name="_Toc16936"/>
      <w:r>
        <w:rPr>
          <w:rFonts w:hint="eastAsia"/>
          <w:color w:val="000000" w:themeColor="text1"/>
          <w14:textFill>
            <w14:solidFill>
              <w14:schemeClr w14:val="tx1"/>
            </w14:solidFill>
          </w14:textFill>
        </w:rPr>
        <w:t>包装与标识</w:t>
      </w:r>
      <w:bookmarkEnd w:id="328"/>
      <w:bookmarkEnd w:id="329"/>
      <w:bookmarkEnd w:id="330"/>
      <w:bookmarkEnd w:id="331"/>
      <w:bookmarkEnd w:id="332"/>
    </w:p>
    <w:p w14:paraId="1F338C65">
      <w:pPr>
        <w:pStyle w:val="165"/>
      </w:pPr>
      <w:r>
        <w:rPr>
          <w:rFonts w:hint="eastAsia"/>
        </w:rPr>
        <w:t>食品的包装形式和材质应设计为能在正常的储存、运输和销售条件下保持食品品质，防止食品在流通过程中受到污染和损害。</w:t>
      </w:r>
    </w:p>
    <w:p w14:paraId="5AC97897">
      <w:pPr>
        <w:pStyle w:val="165"/>
      </w:pPr>
      <w:r>
        <w:rPr>
          <w:rFonts w:hint="eastAsia"/>
        </w:rPr>
        <w:t>应避免不必要的过度包装，确保包装的实用性和环保性。</w:t>
      </w:r>
    </w:p>
    <w:p w14:paraId="4CF6E0E3">
      <w:pPr>
        <w:pStyle w:val="165"/>
      </w:pPr>
      <w:r>
        <w:rPr>
          <w:rFonts w:hint="eastAsia"/>
        </w:rPr>
        <w:t>食品包装上的标识和说明应客观、准确地反映产品质量信息。对于具有质量等级的产品，应明确标注其质量等级，不得以低等级产品冒充高等级产品。</w:t>
      </w:r>
    </w:p>
    <w:p w14:paraId="6AFB2BC1">
      <w:pPr>
        <w:pStyle w:val="165"/>
      </w:pPr>
      <w:r>
        <w:rPr>
          <w:rFonts w:hint="eastAsia"/>
        </w:rPr>
        <w:t>食品包装标签应遵循GB/T 18455的相关要求，标示回收标志，以促进环保和资源回收。</w:t>
      </w:r>
    </w:p>
    <w:p w14:paraId="0BED32DC">
      <w:pPr>
        <w:pStyle w:val="165"/>
      </w:pPr>
      <w:r>
        <w:rPr>
          <w:rFonts w:hint="eastAsia"/>
        </w:rPr>
        <w:t>食品外包装的包装运输标志应符合GB/T 191的规定，确保在运输过程中能够正确处理，减少运输过程中可能对产品造成的损害。</w:t>
      </w:r>
    </w:p>
    <w:p w14:paraId="54E23CBA">
      <w:pPr>
        <w:pStyle w:val="104"/>
        <w:spacing w:before="312" w:after="312"/>
      </w:pPr>
      <w:bookmarkStart w:id="333" w:name="_Toc121378126"/>
      <w:bookmarkStart w:id="334" w:name="_Toc121217110"/>
      <w:bookmarkStart w:id="335" w:name="_Toc121325053"/>
      <w:bookmarkStart w:id="336" w:name="_Toc121213824"/>
      <w:bookmarkStart w:id="337" w:name="_Toc25978"/>
      <w:r>
        <w:rPr>
          <w:rFonts w:hint="eastAsia"/>
          <w:lang w:eastAsia="zh-CN"/>
        </w:rPr>
        <w:t>成品</w:t>
      </w:r>
      <w:r>
        <w:rPr>
          <w:rFonts w:hint="eastAsia"/>
        </w:rPr>
        <w:t>质量检验</w:t>
      </w:r>
      <w:bookmarkEnd w:id="333"/>
      <w:bookmarkEnd w:id="334"/>
      <w:bookmarkEnd w:id="335"/>
      <w:bookmarkEnd w:id="336"/>
      <w:bookmarkEnd w:id="337"/>
    </w:p>
    <w:p w14:paraId="2B004D2F">
      <w:pPr>
        <w:pStyle w:val="105"/>
        <w:spacing w:before="156" w:after="156"/>
      </w:pPr>
      <w:bookmarkStart w:id="338" w:name="_Toc3513"/>
      <w:r>
        <w:rPr>
          <w:rFonts w:hint="eastAsia"/>
          <w:lang w:eastAsia="zh-CN"/>
        </w:rPr>
        <w:t>成品质量检验总体要求</w:t>
      </w:r>
      <w:bookmarkEnd w:id="338"/>
    </w:p>
    <w:p w14:paraId="5361D0B6">
      <w:pPr>
        <w:pStyle w:val="165"/>
        <w:rPr>
          <w:rFonts w:hint="eastAsia" w:ascii="宋体" w:hAnsi="宋体" w:eastAsia="宋体" w:cs="宋体"/>
        </w:rPr>
      </w:pPr>
      <w:r>
        <w:rPr>
          <w:rFonts w:hint="eastAsia" w:ascii="宋体" w:hAnsi="宋体" w:eastAsia="宋体" w:cs="宋体"/>
        </w:rPr>
        <w:t>企业应制定完善的成品检验制度，确保所有出厂产品均经过严格的质量检验，并取得合格证明后方能出厂。</w:t>
      </w:r>
    </w:p>
    <w:p w14:paraId="3CF0A3A4">
      <w:pPr>
        <w:pStyle w:val="165"/>
        <w:rPr>
          <w:rFonts w:hint="eastAsia" w:ascii="宋体" w:hAnsi="宋体" w:eastAsia="宋体" w:cs="宋体"/>
        </w:rPr>
      </w:pPr>
      <w:r>
        <w:rPr>
          <w:rFonts w:hint="eastAsia" w:ascii="宋体" w:hAnsi="宋体" w:eastAsia="宋体" w:cs="宋体"/>
        </w:rPr>
        <w:t>企业可根据自身条件和能力，对原料和产品进行自行检验，或委托具有相应食品检验资质的第三方检验机构进行检验，以保证检验的专业性和准确性。</w:t>
      </w:r>
    </w:p>
    <w:p w14:paraId="0E504B8A">
      <w:pPr>
        <w:pStyle w:val="165"/>
        <w:rPr>
          <w:rFonts w:hint="eastAsia" w:ascii="宋体" w:hAnsi="宋体" w:eastAsia="宋体" w:cs="宋体"/>
        </w:rPr>
      </w:pPr>
      <w:r>
        <w:rPr>
          <w:rFonts w:hint="eastAsia" w:ascii="宋体" w:hAnsi="宋体" w:eastAsia="宋体" w:cs="宋体"/>
        </w:rPr>
        <w:t>无论采取何种检验方式，企业都应确保检验结果的准确性和真实性，并完整保存各项检验记录和检验报告，以备追溯和质量改进之用。</w:t>
      </w:r>
    </w:p>
    <w:p w14:paraId="2EEE7A4F">
      <w:pPr>
        <w:pStyle w:val="165"/>
        <w:rPr>
          <w:rFonts w:ascii="宋体" w:hAnsi="宋体" w:eastAsia="宋体" w:cs="宋体"/>
        </w:rPr>
      </w:pPr>
      <w:r>
        <w:rPr>
          <w:rFonts w:hint="eastAsia" w:ascii="宋体" w:hAnsi="宋体" w:eastAsia="宋体" w:cs="宋体"/>
        </w:rPr>
        <w:t>企业应定期对检验设备进行校准和维护，确保检验数据的可靠性。同时，应建立检验人员的培训和考核机制，不断提升检验人员的专业技能和责任意识。</w:t>
      </w:r>
    </w:p>
    <w:p w14:paraId="11A04DD4">
      <w:pPr>
        <w:pStyle w:val="105"/>
        <w:spacing w:before="156" w:after="156"/>
      </w:pPr>
      <w:bookmarkStart w:id="339" w:name="_Toc31949"/>
      <w:r>
        <w:rPr>
          <w:rFonts w:hint="eastAsia"/>
          <w:lang w:eastAsia="zh-CN"/>
        </w:rPr>
        <w:t>成品质量检验工作要求</w:t>
      </w:r>
      <w:bookmarkEnd w:id="339"/>
    </w:p>
    <w:p w14:paraId="337D31BB">
      <w:pPr>
        <w:pStyle w:val="165"/>
        <w:rPr>
          <w:rFonts w:hint="eastAsia"/>
        </w:rPr>
      </w:pPr>
      <w:r>
        <w:rPr>
          <w:rFonts w:hint="eastAsia"/>
        </w:rPr>
        <w:t>企业应配备与生产能力相适应的检验室，以及配备资质合格的检验人员，确保检验工作的顺利进行。</w:t>
      </w:r>
    </w:p>
    <w:p w14:paraId="79E3485E">
      <w:pPr>
        <w:pStyle w:val="165"/>
        <w:rPr>
          <w:rFonts w:hint="eastAsia"/>
        </w:rPr>
      </w:pPr>
      <w:r>
        <w:rPr>
          <w:rFonts w:hint="eastAsia"/>
        </w:rPr>
        <w:t>检验人员应严格依据国家及相关标准要求实施检验，并对检验过程、结果进行详细记录，保证检验记录和检验报告的完整性和准确性。</w:t>
      </w:r>
    </w:p>
    <w:p w14:paraId="70AED3D7">
      <w:pPr>
        <w:pStyle w:val="165"/>
        <w:rPr>
          <w:rFonts w:hint="eastAsia"/>
        </w:rPr>
      </w:pPr>
      <w:r>
        <w:rPr>
          <w:rFonts w:hint="eastAsia"/>
        </w:rPr>
        <w:t>企业应建立检验仪器设备的台账和管理档案，实施仪器设备的规范化管理，确保检验设备的可追溯性和符合性。</w:t>
      </w:r>
    </w:p>
    <w:p w14:paraId="2BE16448">
      <w:pPr>
        <w:pStyle w:val="165"/>
        <w:rPr>
          <w:rFonts w:hint="eastAsia"/>
        </w:rPr>
      </w:pPr>
      <w:r>
        <w:rPr>
          <w:rFonts w:hint="eastAsia"/>
        </w:rPr>
        <w:t>企业应根据国家相关要求，对检验设备进行定期的检定或校准，并实施定期的维护保养，以保证检验设备的精度和可靠性。</w:t>
      </w:r>
    </w:p>
    <w:p w14:paraId="715A337C">
      <w:pPr>
        <w:pStyle w:val="165"/>
        <w:rPr>
          <w:rFonts w:hint="eastAsia"/>
        </w:rPr>
      </w:pPr>
      <w:r>
        <w:rPr>
          <w:rFonts w:hint="eastAsia"/>
        </w:rPr>
        <w:t>企业应建立设备期间核查制度，定期对检验设备进行核查，确保检验设备在两次检定或校准之间的准确度。</w:t>
      </w:r>
    </w:p>
    <w:p w14:paraId="44B5D9E1">
      <w:pPr>
        <w:pStyle w:val="165"/>
        <w:rPr>
          <w:rFonts w:hint="eastAsia"/>
        </w:rPr>
      </w:pPr>
      <w:r>
        <w:rPr>
          <w:rFonts w:hint="eastAsia"/>
        </w:rPr>
        <w:t>企业应按照相关要求保留样品，样品的保留时间不得少于2年，以便于产品质量的追溯和必要的复检。</w:t>
      </w:r>
    </w:p>
    <w:p w14:paraId="189E58F9">
      <w:pPr>
        <w:pStyle w:val="165"/>
        <w:rPr>
          <w:rFonts w:hint="eastAsia"/>
        </w:rPr>
      </w:pPr>
      <w:r>
        <w:rPr>
          <w:rFonts w:hint="eastAsia"/>
        </w:rPr>
        <w:t>企业应定期开展质量检验能力验证活动，按照预先策划的周期进行，以确保检验结果的准确性和可靠性。</w:t>
      </w:r>
    </w:p>
    <w:p w14:paraId="79E27655">
      <w:pPr>
        <w:pStyle w:val="165"/>
      </w:pPr>
      <w:r>
        <w:rPr>
          <w:rFonts w:hint="eastAsia"/>
        </w:rPr>
        <w:t>企业应记录食品质量检验的完整信息，包括检验方法、结果、日期、</w:t>
      </w:r>
      <w:r>
        <w:rPr>
          <w:rFonts w:hint="eastAsia"/>
          <w:lang w:eastAsia="zh-CN"/>
        </w:rPr>
        <w:t>检验</w:t>
      </w:r>
      <w:r>
        <w:rPr>
          <w:rFonts w:hint="eastAsia"/>
        </w:rPr>
        <w:t>人员等，并妥善保存检验记录和样品，以保证产品质量的可追溯性</w:t>
      </w:r>
      <w:r>
        <w:rPr>
          <w:rFonts w:hint="eastAsia"/>
          <w:lang w:eastAsia="zh-CN"/>
        </w:rPr>
        <w:t>。</w:t>
      </w:r>
    </w:p>
    <w:p w14:paraId="746331BF">
      <w:pPr>
        <w:pStyle w:val="104"/>
        <w:spacing w:before="312" w:after="312"/>
      </w:pPr>
      <w:bookmarkStart w:id="340" w:name="_Toc23756"/>
      <w:r>
        <w:rPr>
          <w:rFonts w:hint="eastAsia"/>
        </w:rPr>
        <w:t>潜在风险项目控制</w:t>
      </w:r>
      <w:bookmarkEnd w:id="340"/>
    </w:p>
    <w:p w14:paraId="39D62F9F">
      <w:pPr>
        <w:pStyle w:val="162"/>
        <w:spacing w:before="156" w:beforeLines="50" w:after="156" w:afterLines="50"/>
        <w:rPr>
          <w:rFonts w:ascii="黑体" w:eastAsia="黑体"/>
        </w:rPr>
      </w:pPr>
      <w:r>
        <w:rPr>
          <w:rFonts w:hint="eastAsia" w:ascii="黑体" w:eastAsia="黑体"/>
        </w:rPr>
        <w:t xml:space="preserve">  </w:t>
      </w:r>
      <w:bookmarkStart w:id="341" w:name="_Toc18188"/>
      <w:r>
        <w:rPr>
          <w:rStyle w:val="235"/>
          <w:rFonts w:hint="eastAsia"/>
        </w:rPr>
        <w:t>异物控制</w:t>
      </w:r>
      <w:bookmarkEnd w:id="341"/>
    </w:p>
    <w:p w14:paraId="2E1BE4F6">
      <w:pPr>
        <w:pStyle w:val="165"/>
        <w:rPr>
          <w:rFonts w:hint="eastAsia"/>
        </w:rPr>
      </w:pPr>
      <w:r>
        <w:rPr>
          <w:rFonts w:hint="eastAsia"/>
        </w:rPr>
        <w:t>企业应在原料验收标准中明确规定异物控制的要求，并采购符合这些要求的原料。</w:t>
      </w:r>
    </w:p>
    <w:p w14:paraId="6AED1E5D">
      <w:pPr>
        <w:pStyle w:val="165"/>
        <w:rPr>
          <w:rFonts w:hint="eastAsia"/>
        </w:rPr>
      </w:pPr>
      <w:r>
        <w:rPr>
          <w:rFonts w:hint="eastAsia"/>
        </w:rPr>
        <w:t>应根据坚果与籽类食品的原料特性，采取适当的异物处理方法，例如使用清选机、比重机、去石机、色选机等原料筛选设备进行处理，并结合人工挑拣，以确保原料中不含异物。</w:t>
      </w:r>
    </w:p>
    <w:p w14:paraId="31C8E638">
      <w:pPr>
        <w:pStyle w:val="165"/>
        <w:rPr>
          <w:rFonts w:hint="eastAsia"/>
        </w:rPr>
      </w:pPr>
      <w:r>
        <w:rPr>
          <w:rFonts w:hint="eastAsia"/>
        </w:rPr>
        <w:t>为降低金属或其他异物污染食品的风险，应采取有效措施，如在生产线上设置磁铁和金属检查器等。</w:t>
      </w:r>
    </w:p>
    <w:p w14:paraId="60184AB1">
      <w:pPr>
        <w:pStyle w:val="165"/>
      </w:pPr>
      <w:r>
        <w:rPr>
          <w:rFonts w:hint="eastAsia"/>
        </w:rPr>
        <w:t>生产过程中应避免进行电焊、切割、打磨等可能产生碎屑的作业，以防止异物污染。</w:t>
      </w:r>
    </w:p>
    <w:p w14:paraId="2D5831E5">
      <w:pPr>
        <w:pStyle w:val="162"/>
        <w:spacing w:before="156" w:beforeLines="50" w:after="156" w:afterLines="50"/>
        <w:rPr>
          <w:rStyle w:val="235"/>
        </w:rPr>
      </w:pPr>
      <w:r>
        <w:rPr>
          <w:rFonts w:hint="eastAsia"/>
        </w:rPr>
        <w:t xml:space="preserve"> </w:t>
      </w:r>
      <w:bookmarkStart w:id="342" w:name="_Toc29638"/>
      <w:r>
        <w:rPr>
          <w:rStyle w:val="235"/>
          <w:rFonts w:hint="eastAsia"/>
        </w:rPr>
        <w:t xml:space="preserve"> 霉菌控制</w:t>
      </w:r>
    </w:p>
    <w:bookmarkEnd w:id="342"/>
    <w:p w14:paraId="32432CCA">
      <w:pPr>
        <w:pStyle w:val="165"/>
        <w:rPr>
          <w:rFonts w:hint="eastAsia"/>
        </w:rPr>
      </w:pPr>
      <w:r>
        <w:rPr>
          <w:rFonts w:hint="eastAsia"/>
        </w:rPr>
        <w:t>对于采用烘炒工艺加工的熟制坚果与籽类食品，其霉菌指标必须符合GB 19300的规定。</w:t>
      </w:r>
    </w:p>
    <w:p w14:paraId="3A854B83">
      <w:pPr>
        <w:pStyle w:val="165"/>
        <w:rPr>
          <w:rFonts w:hint="eastAsia"/>
        </w:rPr>
      </w:pPr>
      <w:r>
        <w:rPr>
          <w:rFonts w:hint="eastAsia"/>
        </w:rPr>
        <w:t>企业应根据原料特性、产品要求和工艺特点，制定并实施有效的清洁消毒制度，以降低生产设备和环境中霉菌生长的概率。</w:t>
      </w:r>
    </w:p>
    <w:p w14:paraId="3813BC32">
      <w:pPr>
        <w:pStyle w:val="165"/>
        <w:rPr>
          <w:rFonts w:hint="eastAsia"/>
        </w:rPr>
      </w:pPr>
      <w:r>
        <w:rPr>
          <w:rFonts w:hint="eastAsia"/>
        </w:rPr>
        <w:t>在产品熟制过程中，应严格控制温度、时间、物料厚度等关键工艺参数，确保能够有效消灭或抑制霉菌的生长和繁殖，使产品满足相应的卫生要求。</w:t>
      </w:r>
    </w:p>
    <w:p w14:paraId="09898140">
      <w:pPr>
        <w:pStyle w:val="165"/>
      </w:pPr>
      <w:r>
        <w:rPr>
          <w:rFonts w:hint="eastAsia"/>
        </w:rPr>
        <w:t>企业应建立并实施温度、时间等关键工艺参数的控制措施和纠偏措施，并保持完整的监控记录，以确保产品在生产过程中的微生物安全。</w:t>
      </w:r>
    </w:p>
    <w:p w14:paraId="004090D6">
      <w:pPr>
        <w:pStyle w:val="162"/>
        <w:spacing w:before="156" w:beforeLines="50" w:after="156" w:afterLines="50"/>
        <w:rPr>
          <w:rStyle w:val="235"/>
        </w:rPr>
      </w:pPr>
      <w:r>
        <w:rPr>
          <w:rFonts w:hint="eastAsia"/>
        </w:rPr>
        <w:t xml:space="preserve"> </w:t>
      </w:r>
      <w:bookmarkStart w:id="343" w:name="_Toc19612"/>
      <w:r>
        <w:rPr>
          <w:rStyle w:val="235"/>
          <w:rFonts w:hint="eastAsia"/>
        </w:rPr>
        <w:t xml:space="preserve"> 酸价及过氧化值控制</w:t>
      </w:r>
    </w:p>
    <w:bookmarkEnd w:id="343"/>
    <w:p w14:paraId="4118F769">
      <w:pPr>
        <w:pStyle w:val="165"/>
        <w:rPr>
          <w:rFonts w:hint="eastAsia"/>
        </w:rPr>
      </w:pPr>
      <w:r>
        <w:rPr>
          <w:rFonts w:hint="eastAsia"/>
        </w:rPr>
        <w:t>企业应在原料验收标准中明确规定酸价和过氧化值的指标要求，优先采购当年生产的原料进行加工生产，严禁使用变质或超过保质期的原料。</w:t>
      </w:r>
    </w:p>
    <w:p w14:paraId="5F938A8F">
      <w:pPr>
        <w:pStyle w:val="165"/>
        <w:rPr>
          <w:rFonts w:hint="eastAsia"/>
        </w:rPr>
      </w:pPr>
      <w:r>
        <w:rPr>
          <w:rFonts w:hint="eastAsia"/>
        </w:rPr>
        <w:t>对于易发生氧化或水解反应的坚果与籽类原料，应采用低温冷藏或使用阻隔性能良好的包装材料进行包装储藏，以减缓油脂氧化过程。</w:t>
      </w:r>
    </w:p>
    <w:p w14:paraId="3653914C">
      <w:pPr>
        <w:pStyle w:val="165"/>
        <w:rPr>
          <w:rFonts w:hint="eastAsia"/>
        </w:rPr>
      </w:pPr>
      <w:r>
        <w:rPr>
          <w:rFonts w:hint="eastAsia"/>
        </w:rPr>
        <w:t>原料仓库的出货顺序应遵循“先进先出”的原则，根据原料特性确定合适的出货顺序，确保原料新鲜度和质量。</w:t>
      </w:r>
    </w:p>
    <w:p w14:paraId="52FB596A">
      <w:pPr>
        <w:pStyle w:val="165"/>
        <w:rPr>
          <w:rFonts w:hint="eastAsia"/>
        </w:rPr>
      </w:pPr>
      <w:r>
        <w:rPr>
          <w:rFonts w:hint="eastAsia"/>
        </w:rPr>
        <w:t>若采用油炸作为熟制工艺，应严格控制煎炸油脂的质量，定期更换油脂，避免油脂过热和反复使用，以防产品酸价和过氧化值超标。</w:t>
      </w:r>
    </w:p>
    <w:p w14:paraId="02005958">
      <w:pPr>
        <w:pStyle w:val="165"/>
      </w:pPr>
      <w:r>
        <w:rPr>
          <w:rFonts w:hint="eastAsia"/>
        </w:rPr>
        <w:t>企业应严格控制委托加工生产的坚果与籽类食品的酸价和过氧化值，制定OEM半成品的验收标准，并将酸价控制在2 (KOH) /(mg/g)以下，过氧化值控制在0.15 (g/100g)以下，以确保产品的质量和安全。</w:t>
      </w:r>
    </w:p>
    <w:p w14:paraId="4BAB6C70">
      <w:pPr>
        <w:pStyle w:val="162"/>
        <w:spacing w:before="156" w:beforeLines="50" w:after="156" w:afterLines="50"/>
        <w:rPr>
          <w:rStyle w:val="235"/>
        </w:rPr>
      </w:pPr>
      <w:r>
        <w:rPr>
          <w:rFonts w:hint="eastAsia"/>
        </w:rPr>
        <w:t xml:space="preserve"> </w:t>
      </w:r>
      <w:r>
        <w:rPr>
          <w:rFonts w:hint="eastAsia" w:ascii="黑体" w:eastAsia="黑体"/>
        </w:rPr>
        <w:t xml:space="preserve"> </w:t>
      </w:r>
      <w:bookmarkStart w:id="344" w:name="_Toc192"/>
      <w:r>
        <w:rPr>
          <w:rStyle w:val="235"/>
          <w:rFonts w:hint="eastAsia"/>
        </w:rPr>
        <w:t>霉变粒控制</w:t>
      </w:r>
    </w:p>
    <w:bookmarkEnd w:id="344"/>
    <w:p w14:paraId="4D3E06C1">
      <w:pPr>
        <w:pStyle w:val="165"/>
        <w:rPr>
          <w:rFonts w:hint="eastAsia"/>
        </w:rPr>
      </w:pPr>
      <w:r>
        <w:rPr>
          <w:rFonts w:hint="eastAsia"/>
        </w:rPr>
        <w:t>坚果与籽类食品中的霉变粒必须符合GB 19300的规定。</w:t>
      </w:r>
    </w:p>
    <w:p w14:paraId="4C9C7B0A">
      <w:pPr>
        <w:pStyle w:val="165"/>
        <w:rPr>
          <w:rFonts w:hint="eastAsia"/>
        </w:rPr>
      </w:pPr>
      <w:r>
        <w:rPr>
          <w:rFonts w:hint="eastAsia"/>
        </w:rPr>
        <w:t>企业应在原料验收标准中设定原料的霉变粒指标要求，确保从采购环节开始控制原料的霉变粒含量。</w:t>
      </w:r>
    </w:p>
    <w:p w14:paraId="4BD4CA9D">
      <w:pPr>
        <w:pStyle w:val="165"/>
        <w:rPr>
          <w:rFonts w:hint="eastAsia"/>
        </w:rPr>
      </w:pPr>
      <w:r>
        <w:rPr>
          <w:rFonts w:hint="eastAsia"/>
        </w:rPr>
        <w:t>针对坚果与籽类原料的特性，建议采用低温冷藏或使用阻隔性能良好的包装材料进行包装储藏，以减少霉变风险。</w:t>
      </w:r>
    </w:p>
    <w:p w14:paraId="007F9235">
      <w:pPr>
        <w:pStyle w:val="165"/>
        <w:rPr>
          <w:rFonts w:hint="eastAsia"/>
        </w:rPr>
      </w:pPr>
      <w:r>
        <w:rPr>
          <w:rFonts w:hint="eastAsia"/>
        </w:rPr>
        <w:t>对于水分含量超标的坚果与籽类原料，应在入库储存前采取有效措施降低水分含量，例如进行低温预干燥处理，以降低储存过程中霉变粒增加的风险。</w:t>
      </w:r>
    </w:p>
    <w:p w14:paraId="3796D180">
      <w:pPr>
        <w:pStyle w:val="165"/>
      </w:pPr>
      <w:r>
        <w:rPr>
          <w:rFonts w:hint="eastAsia"/>
        </w:rPr>
        <w:t>在加工过程中，应通过色选、人工挑拣或其他有效方式去除霉变粒，以提高产品的品质和安全性。</w:t>
      </w:r>
    </w:p>
    <w:p w14:paraId="3D3613B1">
      <w:pPr>
        <w:pStyle w:val="104"/>
        <w:spacing w:before="312" w:after="312"/>
      </w:pPr>
      <w:bookmarkStart w:id="345" w:name="_Toc121378127"/>
      <w:bookmarkStart w:id="346" w:name="_Toc21840"/>
      <w:r>
        <w:rPr>
          <w:rFonts w:hint="eastAsia"/>
        </w:rPr>
        <w:t>食品质量缺陷产品处理</w:t>
      </w:r>
      <w:bookmarkEnd w:id="345"/>
      <w:bookmarkEnd w:id="346"/>
    </w:p>
    <w:p w14:paraId="278D3A3D">
      <w:pPr>
        <w:pStyle w:val="162"/>
        <w:rPr>
          <w:rFonts w:hint="eastAsia" w:hAnsi="宋体" w:cs="宋体"/>
        </w:rPr>
      </w:pPr>
      <w:r>
        <w:rPr>
          <w:rFonts w:hint="eastAsia" w:hAnsi="宋体" w:cs="宋体"/>
        </w:rPr>
        <w:t>企业应建立并实施食品质量缺陷产品控制程序，确保对不符合质量要求的产品进行有效管理。控制程序应包括返工、退货、改为其他用途、销毁等多种处理措施。</w:t>
      </w:r>
    </w:p>
    <w:p w14:paraId="22262FA7">
      <w:pPr>
        <w:pStyle w:val="162"/>
        <w:rPr>
          <w:rFonts w:hint="eastAsia" w:hAnsi="宋体" w:cs="宋体"/>
        </w:rPr>
      </w:pPr>
      <w:r>
        <w:rPr>
          <w:rFonts w:hint="eastAsia" w:hAnsi="宋体" w:cs="宋体"/>
        </w:rPr>
        <w:t>企业应具备有效的识别和隔离机制，对所有不符合食品质量要求的产品进行标识和隔离，防止不合格产品流入市场。</w:t>
      </w:r>
    </w:p>
    <w:p w14:paraId="6F5AD924">
      <w:pPr>
        <w:pStyle w:val="162"/>
        <w:rPr>
          <w:rFonts w:hint="eastAsia" w:hAnsi="宋体" w:cs="宋体"/>
        </w:rPr>
      </w:pPr>
      <w:r>
        <w:rPr>
          <w:rFonts w:hint="eastAsia" w:hAnsi="宋体" w:cs="宋体"/>
        </w:rPr>
        <w:t>对食品质量缺陷产品的处理，应根据产品存在的问题性质和（或）客户的特殊要求，采取相应的处理措施。处理措施应能确保产品安全，防止对消费者健康造成危害。</w:t>
      </w:r>
    </w:p>
    <w:p w14:paraId="212BF06B">
      <w:pPr>
        <w:pStyle w:val="162"/>
        <w:rPr>
          <w:rFonts w:hAnsi="宋体" w:cs="宋体"/>
        </w:rPr>
      </w:pPr>
      <w:r>
        <w:rPr>
          <w:rFonts w:hint="eastAsia" w:hAnsi="宋体" w:cs="宋体"/>
        </w:rPr>
        <w:t>企业应记录和保存食品质量缺陷产品处理的详细记录，包括产品信息、缺陷描述、处理措施和结果等，以便于追溯和持续改进产品质量。</w:t>
      </w:r>
    </w:p>
    <w:p w14:paraId="7510B371">
      <w:pPr>
        <w:pStyle w:val="162"/>
        <w:bidi w:val="0"/>
        <w:rPr>
          <w:rFonts w:hint="eastAsia"/>
        </w:rPr>
      </w:pPr>
      <w:r>
        <w:rPr>
          <w:rFonts w:hint="eastAsia"/>
        </w:rPr>
        <w:t>企业应建立并实施产品追溯制度，确保从原料（配料）采购、生产加工、储存运输直至最终产品销售的全过程都有详细记录，记录的信息应足够详实，以实现产品全过程的可追溯性。</w:t>
      </w:r>
    </w:p>
    <w:p w14:paraId="291ACFF3">
      <w:pPr>
        <w:pStyle w:val="162"/>
        <w:bidi w:val="0"/>
        <w:rPr>
          <w:rFonts w:hint="eastAsia"/>
        </w:rPr>
      </w:pPr>
      <w:r>
        <w:rPr>
          <w:rFonts w:hint="eastAsia"/>
        </w:rPr>
        <w:t>企业应建立产品召回制度，确保在出厂产品出现食品安全问题时，能够及时发出警示并采取召回措施。召回过程中，企业应对召回的产品采取补救、无害化处理或销毁等适当措施，并按照规定向食品安全监管部门报告召回原因、处理情况和结果。</w:t>
      </w:r>
    </w:p>
    <w:p w14:paraId="57C51D77">
      <w:pPr>
        <w:pStyle w:val="162"/>
        <w:bidi w:val="0"/>
      </w:pPr>
      <w:r>
        <w:rPr>
          <w:rFonts w:hint="eastAsia"/>
        </w:rPr>
        <w:t>鼓励企业建立产品信息网站查询系统，公开产品的标签、外包装、质量标准、出厂检验报告等信息，以便于消费者和相关方进行网上查询，增强产品透明度和消费者信心。</w:t>
      </w:r>
    </w:p>
    <w:p w14:paraId="5B6545DD">
      <w:pPr>
        <w:pStyle w:val="104"/>
        <w:spacing w:before="312" w:after="312"/>
        <w:rPr>
          <w:rFonts w:hint="eastAsia"/>
        </w:rPr>
      </w:pPr>
      <w:bookmarkStart w:id="347" w:name="_Toc15834"/>
      <w:r>
        <w:rPr>
          <w:rFonts w:hint="eastAsia"/>
        </w:rPr>
        <w:t>信息记录管理制度</w:t>
      </w:r>
      <w:bookmarkEnd w:id="347"/>
    </w:p>
    <w:p w14:paraId="77C89F19">
      <w:pPr>
        <w:pStyle w:val="162"/>
        <w:rPr>
          <w:rFonts w:hint="eastAsia"/>
        </w:rPr>
      </w:pPr>
      <w:r>
        <w:rPr>
          <w:rFonts w:hint="eastAsia"/>
        </w:rPr>
        <w:t>记录信息应全面覆盖食品生产的全过程，包括但不限于原料采购、生产加工、产品检验、储存运输和销售等环节。所有记录应保持完整、真实、清晰，并易于识别和检索，以确保食品生产质量的可追溯性。</w:t>
      </w:r>
    </w:p>
    <w:p w14:paraId="0ABBF358">
      <w:pPr>
        <w:pStyle w:val="162"/>
        <w:rPr>
          <w:rFonts w:hint="eastAsia"/>
        </w:rPr>
      </w:pPr>
      <w:r>
        <w:rPr>
          <w:rFonts w:hint="eastAsia"/>
        </w:rPr>
        <w:t>记录和凭证的保存期限不得少于食品保质期满后六个月；对于没有明确食品保质期的产品，记录和凭证的保存期限不得少于二年。如法律法规或相关标准对记录保存期限有特别规定的，应从其规定。</w:t>
      </w:r>
    </w:p>
    <w:p w14:paraId="5E3965EC">
      <w:pPr>
        <w:pStyle w:val="162"/>
        <w:rPr>
          <w:rFonts w:hint="eastAsia"/>
        </w:rPr>
      </w:pPr>
      <w:r>
        <w:rPr>
          <w:rFonts w:hint="eastAsia"/>
        </w:rPr>
        <w:t>原辅料采购记录应详尽，包括供应商评价记录、合格供应商名单、采购记录、采购合同、验收记录、供应商证明和检验报告等。</w:t>
      </w:r>
    </w:p>
    <w:p w14:paraId="2EC93AD1">
      <w:pPr>
        <w:pStyle w:val="162"/>
        <w:rPr>
          <w:rFonts w:hint="eastAsia"/>
        </w:rPr>
      </w:pPr>
      <w:r>
        <w:rPr>
          <w:rFonts w:hint="eastAsia"/>
        </w:rPr>
        <w:t>成品检验记录应全面，涵盖检验原始记录、检验报告、检验留存样品记录等，确保产品质量的可追溯性。</w:t>
      </w:r>
    </w:p>
    <w:p w14:paraId="67949009">
      <w:pPr>
        <w:pStyle w:val="162"/>
        <w:rPr>
          <w:rFonts w:hint="eastAsia"/>
        </w:rPr>
      </w:pPr>
      <w:r>
        <w:rPr>
          <w:rFonts w:hint="eastAsia"/>
        </w:rPr>
        <w:t>产品追溯记录应包括产品生产记录、产品销售记录、产品召回记录、退货处置记录、消费者投诉处理记录、食品安全事故处置记录等，以便于在必要时进行追溯和采取相应措施。</w:t>
      </w:r>
    </w:p>
    <w:p w14:paraId="2C9EB7A7">
      <w:pPr>
        <w:pStyle w:val="162"/>
        <w:rPr>
          <w:rFonts w:hint="eastAsia"/>
        </w:rPr>
      </w:pPr>
      <w:r>
        <w:rPr>
          <w:rFonts w:hint="eastAsia"/>
        </w:rPr>
        <w:t>应对食品质量管理制度文件进行严格管理，包括文件的批准、分发、使用、存储、防护、变更和处置等环节，确保所使用的文件均为有效版本。</w:t>
      </w:r>
    </w:p>
    <w:p w14:paraId="58D9C980">
      <w:pPr>
        <w:pStyle w:val="162"/>
      </w:pPr>
      <w:r>
        <w:rPr>
          <w:rFonts w:hint="eastAsia"/>
        </w:rPr>
        <w:t>鼓励企业采用先进技术手段，如数字化信息系统，进行文件与记录的管理，以提高管理效率和准确性。</w:t>
      </w:r>
    </w:p>
    <w:bookmarkEnd w:id="27"/>
    <w:p w14:paraId="704EFDE1">
      <w:pPr>
        <w:pStyle w:val="56"/>
        <w:ind w:firstLine="0" w:firstLineChars="0"/>
        <w:jc w:val="center"/>
      </w:pPr>
      <w:bookmarkStart w:id="348" w:name="BookMark8"/>
      <w:r>
        <w:rPr>
          <w:rFonts w:hint="eastAsia"/>
        </w:rPr>
        <w:drawing>
          <wp:inline distT="0" distB="0" distL="0" distR="0">
            <wp:extent cx="1485900" cy="317500"/>
            <wp:effectExtent l="0" t="0" r="0" b="635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48"/>
    </w:p>
    <w:sectPr>
      <w:pgSz w:w="11906" w:h="16838"/>
      <w:pgMar w:top="1871"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EC878">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326D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DED11">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09970">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C3EAF">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62EA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FB854">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02A36">
    <w:pPr>
      <w:pStyle w:val="61"/>
    </w:pPr>
    <w:r>
      <w:fldChar w:fldCharType="begin"/>
    </w:r>
    <w:r>
      <w:instrText xml:space="preserve"> STYLEREF  标准文件_文件编号  \* MERGEFORMAT </w:instrText>
    </w:r>
    <w:r>
      <w:fldChar w:fldCharType="separate"/>
    </w:r>
    <w:r>
      <w:t>DB 34/T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lvlText w:val="%1)"/>
      <w:lvlJc w:val="left"/>
      <w:pPr>
        <w:tabs>
          <w:tab w:val="left" w:pos="851"/>
        </w:tabs>
        <w:ind w:left="851" w:hanging="426"/>
      </w:pPr>
      <w:rPr>
        <w:rFonts w:hint="eastAsia" w:ascii="宋体" w:hAnsi="Times New Roman" w:eastAsia="宋体"/>
        <w:color w:val="auto"/>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0" w:hash="veqzj91gjVvV0y8hRMVkgfjJjug=" w:salt="1+Fsads7luQVQpSpkqDKu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hiOTU4YjM4MjMwMGNkOGRlNmJiMjJkNTIzYTQxZDIifQ=="/>
    <w:docVar w:name="KSO_WPS_MARK_KEY" w:val="7dc8bcdb-8d8b-4cea-900c-afb30b22a2b0"/>
  </w:docVars>
  <w:rsids>
    <w:rsidRoot w:val="00272053"/>
    <w:rsid w:val="0000040A"/>
    <w:rsid w:val="00000A94"/>
    <w:rsid w:val="00001972"/>
    <w:rsid w:val="00001D9A"/>
    <w:rsid w:val="00007B3A"/>
    <w:rsid w:val="000107E0"/>
    <w:rsid w:val="00011FDE"/>
    <w:rsid w:val="00012FFD"/>
    <w:rsid w:val="00014162"/>
    <w:rsid w:val="00014340"/>
    <w:rsid w:val="000151E8"/>
    <w:rsid w:val="00016A9C"/>
    <w:rsid w:val="00022184"/>
    <w:rsid w:val="00022762"/>
    <w:rsid w:val="000238E0"/>
    <w:rsid w:val="00023A7E"/>
    <w:rsid w:val="000249DB"/>
    <w:rsid w:val="000249DE"/>
    <w:rsid w:val="0002595E"/>
    <w:rsid w:val="000303C3"/>
    <w:rsid w:val="000331D3"/>
    <w:rsid w:val="000346A5"/>
    <w:rsid w:val="000359C3"/>
    <w:rsid w:val="00035A7D"/>
    <w:rsid w:val="000365ED"/>
    <w:rsid w:val="0004249A"/>
    <w:rsid w:val="0004317A"/>
    <w:rsid w:val="00043282"/>
    <w:rsid w:val="00044286"/>
    <w:rsid w:val="00047F28"/>
    <w:rsid w:val="000503AA"/>
    <w:rsid w:val="000506A1"/>
    <w:rsid w:val="00050709"/>
    <w:rsid w:val="000515DD"/>
    <w:rsid w:val="0005265A"/>
    <w:rsid w:val="000539DD"/>
    <w:rsid w:val="00053BD3"/>
    <w:rsid w:val="0005449B"/>
    <w:rsid w:val="00054509"/>
    <w:rsid w:val="000556ED"/>
    <w:rsid w:val="00055E60"/>
    <w:rsid w:val="00055FE2"/>
    <w:rsid w:val="0005616F"/>
    <w:rsid w:val="00060C2E"/>
    <w:rsid w:val="00061033"/>
    <w:rsid w:val="000619E9"/>
    <w:rsid w:val="000622D4"/>
    <w:rsid w:val="0006357D"/>
    <w:rsid w:val="000661B0"/>
    <w:rsid w:val="00067F1E"/>
    <w:rsid w:val="00071CC0"/>
    <w:rsid w:val="00071D77"/>
    <w:rsid w:val="00073C8C"/>
    <w:rsid w:val="00077B64"/>
    <w:rsid w:val="00080A1C"/>
    <w:rsid w:val="00082317"/>
    <w:rsid w:val="00083D2C"/>
    <w:rsid w:val="00084FB6"/>
    <w:rsid w:val="00086AA1"/>
    <w:rsid w:val="00087A77"/>
    <w:rsid w:val="00090CA6"/>
    <w:rsid w:val="00092B8A"/>
    <w:rsid w:val="00092FB0"/>
    <w:rsid w:val="0009324C"/>
    <w:rsid w:val="000934C5"/>
    <w:rsid w:val="00093D25"/>
    <w:rsid w:val="00093DAB"/>
    <w:rsid w:val="00093E84"/>
    <w:rsid w:val="00094D73"/>
    <w:rsid w:val="00096D63"/>
    <w:rsid w:val="000A0B60"/>
    <w:rsid w:val="000A0EB8"/>
    <w:rsid w:val="000A19FC"/>
    <w:rsid w:val="000A296B"/>
    <w:rsid w:val="000A7311"/>
    <w:rsid w:val="000B060F"/>
    <w:rsid w:val="000B1592"/>
    <w:rsid w:val="000B1FF2"/>
    <w:rsid w:val="000B3CDA"/>
    <w:rsid w:val="000B40D4"/>
    <w:rsid w:val="000B6A0B"/>
    <w:rsid w:val="000C0F6C"/>
    <w:rsid w:val="000C11DB"/>
    <w:rsid w:val="000C1492"/>
    <w:rsid w:val="000C2FBD"/>
    <w:rsid w:val="000C4B41"/>
    <w:rsid w:val="000C57D6"/>
    <w:rsid w:val="000C6362"/>
    <w:rsid w:val="000C7666"/>
    <w:rsid w:val="000D0A9C"/>
    <w:rsid w:val="000D1795"/>
    <w:rsid w:val="000D329A"/>
    <w:rsid w:val="000D420D"/>
    <w:rsid w:val="000D4B9C"/>
    <w:rsid w:val="000D4EB6"/>
    <w:rsid w:val="000D753B"/>
    <w:rsid w:val="000E1656"/>
    <w:rsid w:val="000E330F"/>
    <w:rsid w:val="000E4C9E"/>
    <w:rsid w:val="000E543A"/>
    <w:rsid w:val="000E57EA"/>
    <w:rsid w:val="000E6FD7"/>
    <w:rsid w:val="000F03A4"/>
    <w:rsid w:val="000F06E1"/>
    <w:rsid w:val="000F0E3C"/>
    <w:rsid w:val="000F19D5"/>
    <w:rsid w:val="000F2A1C"/>
    <w:rsid w:val="000F4AEA"/>
    <w:rsid w:val="000F67E9"/>
    <w:rsid w:val="00104926"/>
    <w:rsid w:val="001079E0"/>
    <w:rsid w:val="00112647"/>
    <w:rsid w:val="00113B1E"/>
    <w:rsid w:val="0011711C"/>
    <w:rsid w:val="00124E4F"/>
    <w:rsid w:val="001260B7"/>
    <w:rsid w:val="001265CB"/>
    <w:rsid w:val="00131021"/>
    <w:rsid w:val="00131D77"/>
    <w:rsid w:val="001321C6"/>
    <w:rsid w:val="001325C4"/>
    <w:rsid w:val="00132D08"/>
    <w:rsid w:val="00133010"/>
    <w:rsid w:val="001338EE"/>
    <w:rsid w:val="00133AAE"/>
    <w:rsid w:val="001350D6"/>
    <w:rsid w:val="00135323"/>
    <w:rsid w:val="001356C4"/>
    <w:rsid w:val="00141114"/>
    <w:rsid w:val="0014141B"/>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6D9"/>
    <w:rsid w:val="00166B88"/>
    <w:rsid w:val="0016770A"/>
    <w:rsid w:val="00170804"/>
    <w:rsid w:val="001708E9"/>
    <w:rsid w:val="001725D2"/>
    <w:rsid w:val="0017340B"/>
    <w:rsid w:val="00173FB1"/>
    <w:rsid w:val="001755D6"/>
    <w:rsid w:val="00176DFD"/>
    <w:rsid w:val="001852C9"/>
    <w:rsid w:val="00187B68"/>
    <w:rsid w:val="00190087"/>
    <w:rsid w:val="001913C4"/>
    <w:rsid w:val="0019348F"/>
    <w:rsid w:val="00193A07"/>
    <w:rsid w:val="00194C95"/>
    <w:rsid w:val="00195C34"/>
    <w:rsid w:val="00196EF5"/>
    <w:rsid w:val="001A1A53"/>
    <w:rsid w:val="001A234A"/>
    <w:rsid w:val="001A4CF3"/>
    <w:rsid w:val="001A549B"/>
    <w:rsid w:val="001B06E8"/>
    <w:rsid w:val="001B0E14"/>
    <w:rsid w:val="001B4BDB"/>
    <w:rsid w:val="001B71D0"/>
    <w:rsid w:val="001B71EE"/>
    <w:rsid w:val="001C04A8"/>
    <w:rsid w:val="001C2C03"/>
    <w:rsid w:val="001C42F7"/>
    <w:rsid w:val="001C49E5"/>
    <w:rsid w:val="001C680C"/>
    <w:rsid w:val="001C79F0"/>
    <w:rsid w:val="001C7FEA"/>
    <w:rsid w:val="001D0499"/>
    <w:rsid w:val="001D0BBE"/>
    <w:rsid w:val="001D0ED4"/>
    <w:rsid w:val="001D212F"/>
    <w:rsid w:val="001D29D7"/>
    <w:rsid w:val="001D2DE7"/>
    <w:rsid w:val="001D411C"/>
    <w:rsid w:val="001D663F"/>
    <w:rsid w:val="001D7445"/>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064"/>
    <w:rsid w:val="002031F7"/>
    <w:rsid w:val="002040E6"/>
    <w:rsid w:val="0020527B"/>
    <w:rsid w:val="00205F2C"/>
    <w:rsid w:val="00210B15"/>
    <w:rsid w:val="002142EA"/>
    <w:rsid w:val="002204BB"/>
    <w:rsid w:val="0022192E"/>
    <w:rsid w:val="00221B79"/>
    <w:rsid w:val="00221C6B"/>
    <w:rsid w:val="002253A1"/>
    <w:rsid w:val="00225CF8"/>
    <w:rsid w:val="0022794E"/>
    <w:rsid w:val="00230921"/>
    <w:rsid w:val="00231072"/>
    <w:rsid w:val="002322F7"/>
    <w:rsid w:val="0023258C"/>
    <w:rsid w:val="00233D64"/>
    <w:rsid w:val="00234473"/>
    <w:rsid w:val="0023482A"/>
    <w:rsid w:val="002359CB"/>
    <w:rsid w:val="00243540"/>
    <w:rsid w:val="0024497B"/>
    <w:rsid w:val="0024515B"/>
    <w:rsid w:val="00246021"/>
    <w:rsid w:val="0024666E"/>
    <w:rsid w:val="00247F52"/>
    <w:rsid w:val="00250A1E"/>
    <w:rsid w:val="00250B25"/>
    <w:rsid w:val="00250BBE"/>
    <w:rsid w:val="002515C2"/>
    <w:rsid w:val="0025194F"/>
    <w:rsid w:val="00256405"/>
    <w:rsid w:val="0026148A"/>
    <w:rsid w:val="00262696"/>
    <w:rsid w:val="00263D25"/>
    <w:rsid w:val="002643C3"/>
    <w:rsid w:val="00264A0C"/>
    <w:rsid w:val="00266EEB"/>
    <w:rsid w:val="00267BBA"/>
    <w:rsid w:val="00267EF4"/>
    <w:rsid w:val="00270CB8"/>
    <w:rsid w:val="00272053"/>
    <w:rsid w:val="00272620"/>
    <w:rsid w:val="00272B08"/>
    <w:rsid w:val="00275F23"/>
    <w:rsid w:val="00281BB8"/>
    <w:rsid w:val="00281E9E"/>
    <w:rsid w:val="00282405"/>
    <w:rsid w:val="002832A9"/>
    <w:rsid w:val="00285170"/>
    <w:rsid w:val="00285361"/>
    <w:rsid w:val="00292D60"/>
    <w:rsid w:val="00293B30"/>
    <w:rsid w:val="00294D34"/>
    <w:rsid w:val="00294E3B"/>
    <w:rsid w:val="00296193"/>
    <w:rsid w:val="0029688D"/>
    <w:rsid w:val="00296C66"/>
    <w:rsid w:val="00296EBE"/>
    <w:rsid w:val="002974E3"/>
    <w:rsid w:val="002A084B"/>
    <w:rsid w:val="002A1260"/>
    <w:rsid w:val="002A1589"/>
    <w:rsid w:val="002A1608"/>
    <w:rsid w:val="002A25DC"/>
    <w:rsid w:val="002A3AAB"/>
    <w:rsid w:val="002A4CEA"/>
    <w:rsid w:val="002A5896"/>
    <w:rsid w:val="002A5977"/>
    <w:rsid w:val="002A5A13"/>
    <w:rsid w:val="002A68D2"/>
    <w:rsid w:val="002A757F"/>
    <w:rsid w:val="002A7F44"/>
    <w:rsid w:val="002B0C40"/>
    <w:rsid w:val="002B1966"/>
    <w:rsid w:val="002B4508"/>
    <w:rsid w:val="002B4532"/>
    <w:rsid w:val="002B5779"/>
    <w:rsid w:val="002B7332"/>
    <w:rsid w:val="002B7F51"/>
    <w:rsid w:val="002C09E7"/>
    <w:rsid w:val="002C1E06"/>
    <w:rsid w:val="002C3F07"/>
    <w:rsid w:val="002C5278"/>
    <w:rsid w:val="002C7EBB"/>
    <w:rsid w:val="002D0577"/>
    <w:rsid w:val="002D06C1"/>
    <w:rsid w:val="002D25D9"/>
    <w:rsid w:val="002D42B5"/>
    <w:rsid w:val="002D4F1A"/>
    <w:rsid w:val="002D6EC6"/>
    <w:rsid w:val="002D79AC"/>
    <w:rsid w:val="002E039D"/>
    <w:rsid w:val="002E4D5A"/>
    <w:rsid w:val="002E4F2C"/>
    <w:rsid w:val="002E5958"/>
    <w:rsid w:val="002E6326"/>
    <w:rsid w:val="002E7597"/>
    <w:rsid w:val="002F30E0"/>
    <w:rsid w:val="002F35E4"/>
    <w:rsid w:val="002F3730"/>
    <w:rsid w:val="002F38E1"/>
    <w:rsid w:val="002F7AF6"/>
    <w:rsid w:val="00300E63"/>
    <w:rsid w:val="00302F5F"/>
    <w:rsid w:val="0030441D"/>
    <w:rsid w:val="00306063"/>
    <w:rsid w:val="00312180"/>
    <w:rsid w:val="00313B85"/>
    <w:rsid w:val="00314E95"/>
    <w:rsid w:val="00317988"/>
    <w:rsid w:val="003221B4"/>
    <w:rsid w:val="0032258D"/>
    <w:rsid w:val="00322E62"/>
    <w:rsid w:val="00324794"/>
    <w:rsid w:val="00324D13"/>
    <w:rsid w:val="00324EDD"/>
    <w:rsid w:val="00331167"/>
    <w:rsid w:val="003331E4"/>
    <w:rsid w:val="00336C64"/>
    <w:rsid w:val="00337162"/>
    <w:rsid w:val="0034194F"/>
    <w:rsid w:val="00344605"/>
    <w:rsid w:val="003457A9"/>
    <w:rsid w:val="00345DC2"/>
    <w:rsid w:val="00346E82"/>
    <w:rsid w:val="003474AA"/>
    <w:rsid w:val="00350D1D"/>
    <w:rsid w:val="00351BF8"/>
    <w:rsid w:val="00352C83"/>
    <w:rsid w:val="003615D2"/>
    <w:rsid w:val="00362273"/>
    <w:rsid w:val="00363B82"/>
    <w:rsid w:val="0036429C"/>
    <w:rsid w:val="00364A53"/>
    <w:rsid w:val="00364C04"/>
    <w:rsid w:val="003654CB"/>
    <w:rsid w:val="00365AA9"/>
    <w:rsid w:val="00365F86"/>
    <w:rsid w:val="00365F87"/>
    <w:rsid w:val="00366E89"/>
    <w:rsid w:val="0036730D"/>
    <w:rsid w:val="003705F4"/>
    <w:rsid w:val="00370D58"/>
    <w:rsid w:val="00371316"/>
    <w:rsid w:val="0037138D"/>
    <w:rsid w:val="00376713"/>
    <w:rsid w:val="00377C38"/>
    <w:rsid w:val="00381815"/>
    <w:rsid w:val="003819AF"/>
    <w:rsid w:val="003820E9"/>
    <w:rsid w:val="00382520"/>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A5166"/>
    <w:rsid w:val="003A6AEE"/>
    <w:rsid w:val="003A6E68"/>
    <w:rsid w:val="003B09AD"/>
    <w:rsid w:val="003B1F18"/>
    <w:rsid w:val="003B5BF0"/>
    <w:rsid w:val="003B60BF"/>
    <w:rsid w:val="003B6BE3"/>
    <w:rsid w:val="003B6CB5"/>
    <w:rsid w:val="003C010C"/>
    <w:rsid w:val="003C0A6C"/>
    <w:rsid w:val="003C14F8"/>
    <w:rsid w:val="003C5A43"/>
    <w:rsid w:val="003D0519"/>
    <w:rsid w:val="003D0FF6"/>
    <w:rsid w:val="003D262C"/>
    <w:rsid w:val="003D6804"/>
    <w:rsid w:val="003D6D61"/>
    <w:rsid w:val="003E091D"/>
    <w:rsid w:val="003E1C53"/>
    <w:rsid w:val="003E2A69"/>
    <w:rsid w:val="003E2D49"/>
    <w:rsid w:val="003E2FD4"/>
    <w:rsid w:val="003E49F6"/>
    <w:rsid w:val="003E660F"/>
    <w:rsid w:val="003F0841"/>
    <w:rsid w:val="003F23D3"/>
    <w:rsid w:val="003F3F08"/>
    <w:rsid w:val="003F49F1"/>
    <w:rsid w:val="003F6272"/>
    <w:rsid w:val="00400C84"/>
    <w:rsid w:val="00400E72"/>
    <w:rsid w:val="00401400"/>
    <w:rsid w:val="00401E05"/>
    <w:rsid w:val="00404869"/>
    <w:rsid w:val="00405884"/>
    <w:rsid w:val="00407D39"/>
    <w:rsid w:val="0041477A"/>
    <w:rsid w:val="004167A3"/>
    <w:rsid w:val="00424744"/>
    <w:rsid w:val="00427D6B"/>
    <w:rsid w:val="00432DAA"/>
    <w:rsid w:val="00434305"/>
    <w:rsid w:val="00435DF7"/>
    <w:rsid w:val="004373BC"/>
    <w:rsid w:val="0044083F"/>
    <w:rsid w:val="00441AE7"/>
    <w:rsid w:val="00443B4C"/>
    <w:rsid w:val="00445574"/>
    <w:rsid w:val="004467FB"/>
    <w:rsid w:val="00451247"/>
    <w:rsid w:val="00452D6B"/>
    <w:rsid w:val="00454484"/>
    <w:rsid w:val="0045517B"/>
    <w:rsid w:val="00463620"/>
    <w:rsid w:val="00463B77"/>
    <w:rsid w:val="00463C7B"/>
    <w:rsid w:val="004644A6"/>
    <w:rsid w:val="004659BD"/>
    <w:rsid w:val="00470775"/>
    <w:rsid w:val="004746B1"/>
    <w:rsid w:val="0047583F"/>
    <w:rsid w:val="00475DE8"/>
    <w:rsid w:val="00481C44"/>
    <w:rsid w:val="00484936"/>
    <w:rsid w:val="00485C89"/>
    <w:rsid w:val="00486887"/>
    <w:rsid w:val="00486BE3"/>
    <w:rsid w:val="00487FB5"/>
    <w:rsid w:val="004905E4"/>
    <w:rsid w:val="00490608"/>
    <w:rsid w:val="00490A89"/>
    <w:rsid w:val="00490AB4"/>
    <w:rsid w:val="00492DED"/>
    <w:rsid w:val="00492F02"/>
    <w:rsid w:val="004939AE"/>
    <w:rsid w:val="004A12DF"/>
    <w:rsid w:val="004A1BA8"/>
    <w:rsid w:val="004A4B57"/>
    <w:rsid w:val="004A63FA"/>
    <w:rsid w:val="004B0272"/>
    <w:rsid w:val="004B2701"/>
    <w:rsid w:val="004B2E1B"/>
    <w:rsid w:val="004B3AA8"/>
    <w:rsid w:val="004B3E93"/>
    <w:rsid w:val="004B6079"/>
    <w:rsid w:val="004C1FBC"/>
    <w:rsid w:val="004C3F1D"/>
    <w:rsid w:val="004C458D"/>
    <w:rsid w:val="004C7556"/>
    <w:rsid w:val="004C7E8B"/>
    <w:rsid w:val="004C7E9D"/>
    <w:rsid w:val="004C7F67"/>
    <w:rsid w:val="004D076D"/>
    <w:rsid w:val="004D0EF1"/>
    <w:rsid w:val="004D2253"/>
    <w:rsid w:val="004D4406"/>
    <w:rsid w:val="004D5470"/>
    <w:rsid w:val="004D5D7B"/>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4D1D"/>
    <w:rsid w:val="00505767"/>
    <w:rsid w:val="005073F0"/>
    <w:rsid w:val="00510A7B"/>
    <w:rsid w:val="005113BF"/>
    <w:rsid w:val="00512F6E"/>
    <w:rsid w:val="00513038"/>
    <w:rsid w:val="00514174"/>
    <w:rsid w:val="00516088"/>
    <w:rsid w:val="00516554"/>
    <w:rsid w:val="00516B0B"/>
    <w:rsid w:val="00517910"/>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BA3"/>
    <w:rsid w:val="005479DA"/>
    <w:rsid w:val="00547BCC"/>
    <w:rsid w:val="0055013B"/>
    <w:rsid w:val="00551F6F"/>
    <w:rsid w:val="00555044"/>
    <w:rsid w:val="00561475"/>
    <w:rsid w:val="0056248E"/>
    <w:rsid w:val="0056487B"/>
    <w:rsid w:val="00564FB9"/>
    <w:rsid w:val="00573D9E"/>
    <w:rsid w:val="005801E3"/>
    <w:rsid w:val="005808A3"/>
    <w:rsid w:val="00581802"/>
    <w:rsid w:val="005836A8"/>
    <w:rsid w:val="0058409C"/>
    <w:rsid w:val="00584262"/>
    <w:rsid w:val="0058600E"/>
    <w:rsid w:val="00586630"/>
    <w:rsid w:val="00587ADD"/>
    <w:rsid w:val="00596160"/>
    <w:rsid w:val="005966E2"/>
    <w:rsid w:val="00597007"/>
    <w:rsid w:val="00597922"/>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492"/>
    <w:rsid w:val="005D0C75"/>
    <w:rsid w:val="005D4171"/>
    <w:rsid w:val="005D6A95"/>
    <w:rsid w:val="005D6B2C"/>
    <w:rsid w:val="005D6D9C"/>
    <w:rsid w:val="005E2335"/>
    <w:rsid w:val="005E34CA"/>
    <w:rsid w:val="005E3C18"/>
    <w:rsid w:val="005E6812"/>
    <w:rsid w:val="005E7881"/>
    <w:rsid w:val="005E78E0"/>
    <w:rsid w:val="005F0D9C"/>
    <w:rsid w:val="005F284E"/>
    <w:rsid w:val="005F2AA8"/>
    <w:rsid w:val="005F2C00"/>
    <w:rsid w:val="005F42C9"/>
    <w:rsid w:val="006015CE"/>
    <w:rsid w:val="00604784"/>
    <w:rsid w:val="00606419"/>
    <w:rsid w:val="006079DF"/>
    <w:rsid w:val="00607D29"/>
    <w:rsid w:val="00612952"/>
    <w:rsid w:val="00614CC1"/>
    <w:rsid w:val="00615A9D"/>
    <w:rsid w:val="00617387"/>
    <w:rsid w:val="006205D6"/>
    <w:rsid w:val="006222B3"/>
    <w:rsid w:val="006252D8"/>
    <w:rsid w:val="006259BC"/>
    <w:rsid w:val="0062636B"/>
    <w:rsid w:val="00632182"/>
    <w:rsid w:val="00632AE0"/>
    <w:rsid w:val="00633C17"/>
    <w:rsid w:val="00634D9E"/>
    <w:rsid w:val="00636E3E"/>
    <w:rsid w:val="006379F7"/>
    <w:rsid w:val="00637E4D"/>
    <w:rsid w:val="00640620"/>
    <w:rsid w:val="00641A1F"/>
    <w:rsid w:val="00645904"/>
    <w:rsid w:val="00650676"/>
    <w:rsid w:val="00651ACB"/>
    <w:rsid w:val="00651C47"/>
    <w:rsid w:val="00652AB2"/>
    <w:rsid w:val="00653FED"/>
    <w:rsid w:val="00654EC0"/>
    <w:rsid w:val="0065525B"/>
    <w:rsid w:val="00655D4F"/>
    <w:rsid w:val="00656D29"/>
    <w:rsid w:val="00663207"/>
    <w:rsid w:val="006640E5"/>
    <w:rsid w:val="00664331"/>
    <w:rsid w:val="006646F1"/>
    <w:rsid w:val="00664929"/>
    <w:rsid w:val="00664F62"/>
    <w:rsid w:val="006655E1"/>
    <w:rsid w:val="00672060"/>
    <w:rsid w:val="00672BFD"/>
    <w:rsid w:val="006748D9"/>
    <w:rsid w:val="00676C94"/>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434"/>
    <w:rsid w:val="006B2672"/>
    <w:rsid w:val="006B54BF"/>
    <w:rsid w:val="006B5F44"/>
    <w:rsid w:val="006B5F90"/>
    <w:rsid w:val="006B62E4"/>
    <w:rsid w:val="006C16C1"/>
    <w:rsid w:val="006C1BBA"/>
    <w:rsid w:val="006C2079"/>
    <w:rsid w:val="006C5A62"/>
    <w:rsid w:val="006C5D68"/>
    <w:rsid w:val="006C6976"/>
    <w:rsid w:val="006C6DD0"/>
    <w:rsid w:val="006D04EA"/>
    <w:rsid w:val="006D140A"/>
    <w:rsid w:val="006D16C4"/>
    <w:rsid w:val="006D3E96"/>
    <w:rsid w:val="006D4515"/>
    <w:rsid w:val="006D4BB1"/>
    <w:rsid w:val="006D6593"/>
    <w:rsid w:val="006E2E21"/>
    <w:rsid w:val="006E35F2"/>
    <w:rsid w:val="006E7E82"/>
    <w:rsid w:val="006F03A8"/>
    <w:rsid w:val="006F2ACA"/>
    <w:rsid w:val="006F2ADC"/>
    <w:rsid w:val="006F2BFE"/>
    <w:rsid w:val="006F31E9"/>
    <w:rsid w:val="006F6284"/>
    <w:rsid w:val="007002C5"/>
    <w:rsid w:val="00701AAB"/>
    <w:rsid w:val="00704387"/>
    <w:rsid w:val="007054ED"/>
    <w:rsid w:val="00707669"/>
    <w:rsid w:val="007107EF"/>
    <w:rsid w:val="00711CBA"/>
    <w:rsid w:val="00711FB5"/>
    <w:rsid w:val="00712A01"/>
    <w:rsid w:val="00714F58"/>
    <w:rsid w:val="00722FBF"/>
    <w:rsid w:val="00722FC2"/>
    <w:rsid w:val="0072428A"/>
    <w:rsid w:val="00724E1B"/>
    <w:rsid w:val="00725949"/>
    <w:rsid w:val="00727FA2"/>
    <w:rsid w:val="007322D9"/>
    <w:rsid w:val="00732BC0"/>
    <w:rsid w:val="0073720F"/>
    <w:rsid w:val="00737796"/>
    <w:rsid w:val="0074165C"/>
    <w:rsid w:val="007422A8"/>
    <w:rsid w:val="00742C35"/>
    <w:rsid w:val="007432CA"/>
    <w:rsid w:val="007439EB"/>
    <w:rsid w:val="00743CB4"/>
    <w:rsid w:val="00743F0A"/>
    <w:rsid w:val="007444E8"/>
    <w:rsid w:val="0074548E"/>
    <w:rsid w:val="00745773"/>
    <w:rsid w:val="00746595"/>
    <w:rsid w:val="00746800"/>
    <w:rsid w:val="007501A8"/>
    <w:rsid w:val="00750D61"/>
    <w:rsid w:val="00750EE1"/>
    <w:rsid w:val="00752B4D"/>
    <w:rsid w:val="00755402"/>
    <w:rsid w:val="00756B26"/>
    <w:rsid w:val="00756EDF"/>
    <w:rsid w:val="007600E3"/>
    <w:rsid w:val="007649ED"/>
    <w:rsid w:val="00765C43"/>
    <w:rsid w:val="00765EFB"/>
    <w:rsid w:val="007671CA"/>
    <w:rsid w:val="00767C61"/>
    <w:rsid w:val="0077008A"/>
    <w:rsid w:val="00773C1F"/>
    <w:rsid w:val="00774DA4"/>
    <w:rsid w:val="00776599"/>
    <w:rsid w:val="00776629"/>
    <w:rsid w:val="0078114B"/>
    <w:rsid w:val="00781DD2"/>
    <w:rsid w:val="00783ECF"/>
    <w:rsid w:val="0078413A"/>
    <w:rsid w:val="00794D99"/>
    <w:rsid w:val="007959E8"/>
    <w:rsid w:val="00795E9C"/>
    <w:rsid w:val="007A0521"/>
    <w:rsid w:val="007A2E12"/>
    <w:rsid w:val="007A3100"/>
    <w:rsid w:val="007A3475"/>
    <w:rsid w:val="007A41C8"/>
    <w:rsid w:val="007A54CE"/>
    <w:rsid w:val="007A6FD9"/>
    <w:rsid w:val="007A7FFA"/>
    <w:rsid w:val="007B04EB"/>
    <w:rsid w:val="007B0D4F"/>
    <w:rsid w:val="007B5269"/>
    <w:rsid w:val="007B5A3D"/>
    <w:rsid w:val="007B5B95"/>
    <w:rsid w:val="007B68EA"/>
    <w:rsid w:val="007B7453"/>
    <w:rsid w:val="007C2D89"/>
    <w:rsid w:val="007C4055"/>
    <w:rsid w:val="007C4593"/>
    <w:rsid w:val="007C5309"/>
    <w:rsid w:val="007C6069"/>
    <w:rsid w:val="007D06C4"/>
    <w:rsid w:val="007D1352"/>
    <w:rsid w:val="007D2508"/>
    <w:rsid w:val="007D346A"/>
    <w:rsid w:val="007D4FC3"/>
    <w:rsid w:val="007D6518"/>
    <w:rsid w:val="007D76BD"/>
    <w:rsid w:val="007E0BF1"/>
    <w:rsid w:val="007E1C77"/>
    <w:rsid w:val="007F0ED8"/>
    <w:rsid w:val="007F0F63"/>
    <w:rsid w:val="007F5BDF"/>
    <w:rsid w:val="007F75CE"/>
    <w:rsid w:val="00800753"/>
    <w:rsid w:val="008013A4"/>
    <w:rsid w:val="008027CE"/>
    <w:rsid w:val="00802F42"/>
    <w:rsid w:val="00804383"/>
    <w:rsid w:val="00804BB7"/>
    <w:rsid w:val="00804D41"/>
    <w:rsid w:val="00810257"/>
    <w:rsid w:val="008104F5"/>
    <w:rsid w:val="008107E0"/>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F5A"/>
    <w:rsid w:val="0083348C"/>
    <w:rsid w:val="008373D3"/>
    <w:rsid w:val="00840617"/>
    <w:rsid w:val="00840F84"/>
    <w:rsid w:val="00841DE9"/>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7C2"/>
    <w:rsid w:val="00885A9D"/>
    <w:rsid w:val="008864F6"/>
    <w:rsid w:val="0089049D"/>
    <w:rsid w:val="00891089"/>
    <w:rsid w:val="008928C9"/>
    <w:rsid w:val="008930CB"/>
    <w:rsid w:val="008938DC"/>
    <w:rsid w:val="00893AEF"/>
    <w:rsid w:val="00893FD1"/>
    <w:rsid w:val="00894836"/>
    <w:rsid w:val="00895172"/>
    <w:rsid w:val="00895680"/>
    <w:rsid w:val="00896DFF"/>
    <w:rsid w:val="0089762C"/>
    <w:rsid w:val="008A1074"/>
    <w:rsid w:val="008A1893"/>
    <w:rsid w:val="008A253C"/>
    <w:rsid w:val="008A57E6"/>
    <w:rsid w:val="008A6F81"/>
    <w:rsid w:val="008A73DE"/>
    <w:rsid w:val="008A769A"/>
    <w:rsid w:val="008B0C9C"/>
    <w:rsid w:val="008B166D"/>
    <w:rsid w:val="008B17F4"/>
    <w:rsid w:val="008B3615"/>
    <w:rsid w:val="008B4AC4"/>
    <w:rsid w:val="008B50C8"/>
    <w:rsid w:val="008B5281"/>
    <w:rsid w:val="008B7E05"/>
    <w:rsid w:val="008C1797"/>
    <w:rsid w:val="008C219C"/>
    <w:rsid w:val="008C475E"/>
    <w:rsid w:val="008C619A"/>
    <w:rsid w:val="008D01E8"/>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24D"/>
    <w:rsid w:val="008E6A84"/>
    <w:rsid w:val="008F0CDC"/>
    <w:rsid w:val="008F17A3"/>
    <w:rsid w:val="008F1ED3"/>
    <w:rsid w:val="008F4C29"/>
    <w:rsid w:val="008F5161"/>
    <w:rsid w:val="008F609A"/>
    <w:rsid w:val="008F70BD"/>
    <w:rsid w:val="008F788F"/>
    <w:rsid w:val="008F7EA2"/>
    <w:rsid w:val="00902722"/>
    <w:rsid w:val="009027BC"/>
    <w:rsid w:val="00905DB2"/>
    <w:rsid w:val="009062E6"/>
    <w:rsid w:val="00911BE5"/>
    <w:rsid w:val="00913CA9"/>
    <w:rsid w:val="009145AE"/>
    <w:rsid w:val="009146CE"/>
    <w:rsid w:val="00914CA7"/>
    <w:rsid w:val="00915C3E"/>
    <w:rsid w:val="009161A8"/>
    <w:rsid w:val="0092232C"/>
    <w:rsid w:val="00923673"/>
    <w:rsid w:val="00923C3C"/>
    <w:rsid w:val="009245F5"/>
    <w:rsid w:val="009249EC"/>
    <w:rsid w:val="009273B3"/>
    <w:rsid w:val="009305B5"/>
    <w:rsid w:val="009367C2"/>
    <w:rsid w:val="00942541"/>
    <w:rsid w:val="009429D5"/>
    <w:rsid w:val="00942BF1"/>
    <w:rsid w:val="00945180"/>
    <w:rsid w:val="00945428"/>
    <w:rsid w:val="009456FE"/>
    <w:rsid w:val="0094607B"/>
    <w:rsid w:val="00950644"/>
    <w:rsid w:val="00953604"/>
    <w:rsid w:val="0095496B"/>
    <w:rsid w:val="00961044"/>
    <w:rsid w:val="009610DC"/>
    <w:rsid w:val="00961490"/>
    <w:rsid w:val="0096381A"/>
    <w:rsid w:val="00963A57"/>
    <w:rsid w:val="00965E04"/>
    <w:rsid w:val="009674AD"/>
    <w:rsid w:val="009704A4"/>
    <w:rsid w:val="00970CDC"/>
    <w:rsid w:val="0097452B"/>
    <w:rsid w:val="009768ED"/>
    <w:rsid w:val="00977010"/>
    <w:rsid w:val="00977D02"/>
    <w:rsid w:val="009809BB"/>
    <w:rsid w:val="0098364B"/>
    <w:rsid w:val="00990F2A"/>
    <w:rsid w:val="009911AF"/>
    <w:rsid w:val="0099132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3E5"/>
    <w:rsid w:val="009A77DD"/>
    <w:rsid w:val="009B09E0"/>
    <w:rsid w:val="009B0BC5"/>
    <w:rsid w:val="009B1247"/>
    <w:rsid w:val="009B6029"/>
    <w:rsid w:val="009B6971"/>
    <w:rsid w:val="009C27F1"/>
    <w:rsid w:val="009C3152"/>
    <w:rsid w:val="009C46AB"/>
    <w:rsid w:val="009C4CFA"/>
    <w:rsid w:val="009C5070"/>
    <w:rsid w:val="009D112C"/>
    <w:rsid w:val="009D47FA"/>
    <w:rsid w:val="009D4C5B"/>
    <w:rsid w:val="009D50D2"/>
    <w:rsid w:val="009D5353"/>
    <w:rsid w:val="009D6BCA"/>
    <w:rsid w:val="009E0F62"/>
    <w:rsid w:val="009E4A58"/>
    <w:rsid w:val="009E5A2D"/>
    <w:rsid w:val="009E5AB2"/>
    <w:rsid w:val="009E6219"/>
    <w:rsid w:val="009F03B3"/>
    <w:rsid w:val="00A0096C"/>
    <w:rsid w:val="00A00C03"/>
    <w:rsid w:val="00A01757"/>
    <w:rsid w:val="00A025F1"/>
    <w:rsid w:val="00A028C0"/>
    <w:rsid w:val="00A02BAE"/>
    <w:rsid w:val="00A0476B"/>
    <w:rsid w:val="00A06392"/>
    <w:rsid w:val="00A06A6B"/>
    <w:rsid w:val="00A07E47"/>
    <w:rsid w:val="00A129D0"/>
    <w:rsid w:val="00A12C33"/>
    <w:rsid w:val="00A138BA"/>
    <w:rsid w:val="00A14097"/>
    <w:rsid w:val="00A14C8E"/>
    <w:rsid w:val="00A153D9"/>
    <w:rsid w:val="00A15F09"/>
    <w:rsid w:val="00A161A9"/>
    <w:rsid w:val="00A169B6"/>
    <w:rsid w:val="00A17543"/>
    <w:rsid w:val="00A2271D"/>
    <w:rsid w:val="00A237D5"/>
    <w:rsid w:val="00A23EF6"/>
    <w:rsid w:val="00A30EFC"/>
    <w:rsid w:val="00A31984"/>
    <w:rsid w:val="00A32D73"/>
    <w:rsid w:val="00A3367B"/>
    <w:rsid w:val="00A3597D"/>
    <w:rsid w:val="00A36DD1"/>
    <w:rsid w:val="00A4006C"/>
    <w:rsid w:val="00A40091"/>
    <w:rsid w:val="00A4030F"/>
    <w:rsid w:val="00A41C79"/>
    <w:rsid w:val="00A41CB5"/>
    <w:rsid w:val="00A42CDF"/>
    <w:rsid w:val="00A4447C"/>
    <w:rsid w:val="00A4452E"/>
    <w:rsid w:val="00A4472C"/>
    <w:rsid w:val="00A44E69"/>
    <w:rsid w:val="00A4558E"/>
    <w:rsid w:val="00A4661E"/>
    <w:rsid w:val="00A544FC"/>
    <w:rsid w:val="00A55BD6"/>
    <w:rsid w:val="00A55D50"/>
    <w:rsid w:val="00A57142"/>
    <w:rsid w:val="00A614B8"/>
    <w:rsid w:val="00A648CD"/>
    <w:rsid w:val="00A6537A"/>
    <w:rsid w:val="00A65858"/>
    <w:rsid w:val="00A67866"/>
    <w:rsid w:val="00A70B07"/>
    <w:rsid w:val="00A70DDF"/>
    <w:rsid w:val="00A723F8"/>
    <w:rsid w:val="00A73E8A"/>
    <w:rsid w:val="00A754D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48C"/>
    <w:rsid w:val="00AA57F5"/>
    <w:rsid w:val="00AA672E"/>
    <w:rsid w:val="00AA6EC9"/>
    <w:rsid w:val="00AB55DC"/>
    <w:rsid w:val="00AB6309"/>
    <w:rsid w:val="00AB6B8A"/>
    <w:rsid w:val="00AB6C5F"/>
    <w:rsid w:val="00AB7129"/>
    <w:rsid w:val="00AC0201"/>
    <w:rsid w:val="00AC27A6"/>
    <w:rsid w:val="00AC2970"/>
    <w:rsid w:val="00AC30F7"/>
    <w:rsid w:val="00AC3A5A"/>
    <w:rsid w:val="00AC4D95"/>
    <w:rsid w:val="00AC5DF4"/>
    <w:rsid w:val="00AD0AEF"/>
    <w:rsid w:val="00AD11B7"/>
    <w:rsid w:val="00AD1A94"/>
    <w:rsid w:val="00AD1C05"/>
    <w:rsid w:val="00AD3078"/>
    <w:rsid w:val="00AD4126"/>
    <w:rsid w:val="00AD421C"/>
    <w:rsid w:val="00AD44FA"/>
    <w:rsid w:val="00AE070A"/>
    <w:rsid w:val="00AE101C"/>
    <w:rsid w:val="00AE257D"/>
    <w:rsid w:val="00AE37E5"/>
    <w:rsid w:val="00AE5EB4"/>
    <w:rsid w:val="00AF0C18"/>
    <w:rsid w:val="00AF1435"/>
    <w:rsid w:val="00AF47C5"/>
    <w:rsid w:val="00AF5398"/>
    <w:rsid w:val="00AF7D03"/>
    <w:rsid w:val="00B001BA"/>
    <w:rsid w:val="00B049AF"/>
    <w:rsid w:val="00B07242"/>
    <w:rsid w:val="00B072C7"/>
    <w:rsid w:val="00B10534"/>
    <w:rsid w:val="00B113DB"/>
    <w:rsid w:val="00B11D8A"/>
    <w:rsid w:val="00B12981"/>
    <w:rsid w:val="00B147DD"/>
    <w:rsid w:val="00B156FD"/>
    <w:rsid w:val="00B200B7"/>
    <w:rsid w:val="00B201AF"/>
    <w:rsid w:val="00B21F61"/>
    <w:rsid w:val="00B261F1"/>
    <w:rsid w:val="00B265BC"/>
    <w:rsid w:val="00B31156"/>
    <w:rsid w:val="00B31FB1"/>
    <w:rsid w:val="00B33952"/>
    <w:rsid w:val="00B33C5E"/>
    <w:rsid w:val="00B342F4"/>
    <w:rsid w:val="00B34369"/>
    <w:rsid w:val="00B34DC2"/>
    <w:rsid w:val="00B378E5"/>
    <w:rsid w:val="00B40716"/>
    <w:rsid w:val="00B4346D"/>
    <w:rsid w:val="00B440F4"/>
    <w:rsid w:val="00B447A5"/>
    <w:rsid w:val="00B4654C"/>
    <w:rsid w:val="00B47293"/>
    <w:rsid w:val="00B50E50"/>
    <w:rsid w:val="00B52120"/>
    <w:rsid w:val="00B54ABC"/>
    <w:rsid w:val="00B56FBE"/>
    <w:rsid w:val="00B60ACF"/>
    <w:rsid w:val="00B620A3"/>
    <w:rsid w:val="00B62B58"/>
    <w:rsid w:val="00B65149"/>
    <w:rsid w:val="00B66567"/>
    <w:rsid w:val="00B665E4"/>
    <w:rsid w:val="00B66F52"/>
    <w:rsid w:val="00B66FE5"/>
    <w:rsid w:val="00B72880"/>
    <w:rsid w:val="00B72CA9"/>
    <w:rsid w:val="00B75025"/>
    <w:rsid w:val="00B758BF"/>
    <w:rsid w:val="00B77EC8"/>
    <w:rsid w:val="00B827A6"/>
    <w:rsid w:val="00B831CE"/>
    <w:rsid w:val="00B83A30"/>
    <w:rsid w:val="00B86677"/>
    <w:rsid w:val="00B87131"/>
    <w:rsid w:val="00B9115C"/>
    <w:rsid w:val="00B939B1"/>
    <w:rsid w:val="00B96D40"/>
    <w:rsid w:val="00B97386"/>
    <w:rsid w:val="00BA02D4"/>
    <w:rsid w:val="00BA263B"/>
    <w:rsid w:val="00BA42B2"/>
    <w:rsid w:val="00BA58D4"/>
    <w:rsid w:val="00BA5B9E"/>
    <w:rsid w:val="00BA7C9A"/>
    <w:rsid w:val="00BB3039"/>
    <w:rsid w:val="00BB5F8F"/>
    <w:rsid w:val="00BB657A"/>
    <w:rsid w:val="00BC06BC"/>
    <w:rsid w:val="00BC1A4E"/>
    <w:rsid w:val="00BC1CB9"/>
    <w:rsid w:val="00BC5DC7"/>
    <w:rsid w:val="00BC6B8B"/>
    <w:rsid w:val="00BC73D8"/>
    <w:rsid w:val="00BD30EA"/>
    <w:rsid w:val="00BD33A2"/>
    <w:rsid w:val="00BD3B84"/>
    <w:rsid w:val="00BD52D7"/>
    <w:rsid w:val="00BD5606"/>
    <w:rsid w:val="00BD5AD2"/>
    <w:rsid w:val="00BE22F3"/>
    <w:rsid w:val="00BE3DC5"/>
    <w:rsid w:val="00BE5B52"/>
    <w:rsid w:val="00BE7B8D"/>
    <w:rsid w:val="00BF0993"/>
    <w:rsid w:val="00BF10A9"/>
    <w:rsid w:val="00BF1703"/>
    <w:rsid w:val="00BF231C"/>
    <w:rsid w:val="00BF51E5"/>
    <w:rsid w:val="00BF62AF"/>
    <w:rsid w:val="00BF74A6"/>
    <w:rsid w:val="00C013AD"/>
    <w:rsid w:val="00C04904"/>
    <w:rsid w:val="00C056B3"/>
    <w:rsid w:val="00C103E5"/>
    <w:rsid w:val="00C12E3A"/>
    <w:rsid w:val="00C13319"/>
    <w:rsid w:val="00C13EE9"/>
    <w:rsid w:val="00C21540"/>
    <w:rsid w:val="00C21906"/>
    <w:rsid w:val="00C21BFA"/>
    <w:rsid w:val="00C22148"/>
    <w:rsid w:val="00C24C8D"/>
    <w:rsid w:val="00C25339"/>
    <w:rsid w:val="00C25FE2"/>
    <w:rsid w:val="00C26B53"/>
    <w:rsid w:val="00C279B2"/>
    <w:rsid w:val="00C30889"/>
    <w:rsid w:val="00C33E50"/>
    <w:rsid w:val="00C34C20"/>
    <w:rsid w:val="00C35A3E"/>
    <w:rsid w:val="00C37C89"/>
    <w:rsid w:val="00C42130"/>
    <w:rsid w:val="00C423A4"/>
    <w:rsid w:val="00C4275D"/>
    <w:rsid w:val="00C44BF5"/>
    <w:rsid w:val="00C47CED"/>
    <w:rsid w:val="00C521D6"/>
    <w:rsid w:val="00C55232"/>
    <w:rsid w:val="00C553A4"/>
    <w:rsid w:val="00C55A06"/>
    <w:rsid w:val="00C55D03"/>
    <w:rsid w:val="00C56411"/>
    <w:rsid w:val="00C601BC"/>
    <w:rsid w:val="00C61681"/>
    <w:rsid w:val="00C6329F"/>
    <w:rsid w:val="00C63340"/>
    <w:rsid w:val="00C643F9"/>
    <w:rsid w:val="00C64E95"/>
    <w:rsid w:val="00C71372"/>
    <w:rsid w:val="00C72410"/>
    <w:rsid w:val="00C7287F"/>
    <w:rsid w:val="00C80CB8"/>
    <w:rsid w:val="00C80D5F"/>
    <w:rsid w:val="00C819F8"/>
    <w:rsid w:val="00C8248C"/>
    <w:rsid w:val="00C84E33"/>
    <w:rsid w:val="00C86D6F"/>
    <w:rsid w:val="00C905FC"/>
    <w:rsid w:val="00C92D03"/>
    <w:rsid w:val="00C9319C"/>
    <w:rsid w:val="00C9435D"/>
    <w:rsid w:val="00C94DF2"/>
    <w:rsid w:val="00C96741"/>
    <w:rsid w:val="00CA2D1B"/>
    <w:rsid w:val="00CA375D"/>
    <w:rsid w:val="00CA5392"/>
    <w:rsid w:val="00CA662A"/>
    <w:rsid w:val="00CA6E67"/>
    <w:rsid w:val="00CA7AFD"/>
    <w:rsid w:val="00CA7C3C"/>
    <w:rsid w:val="00CB0189"/>
    <w:rsid w:val="00CB0BA2"/>
    <w:rsid w:val="00CB1A42"/>
    <w:rsid w:val="00CB1B0C"/>
    <w:rsid w:val="00CB2C0B"/>
    <w:rsid w:val="00CB517D"/>
    <w:rsid w:val="00CC038D"/>
    <w:rsid w:val="00CC08DB"/>
    <w:rsid w:val="00CC1BF3"/>
    <w:rsid w:val="00CC39FF"/>
    <w:rsid w:val="00CC3C2F"/>
    <w:rsid w:val="00CC4AC8"/>
    <w:rsid w:val="00CC5233"/>
    <w:rsid w:val="00CC5DE6"/>
    <w:rsid w:val="00CC6950"/>
    <w:rsid w:val="00CC6E4E"/>
    <w:rsid w:val="00CC6FE8"/>
    <w:rsid w:val="00CC7202"/>
    <w:rsid w:val="00CD0332"/>
    <w:rsid w:val="00CD2808"/>
    <w:rsid w:val="00CD28BF"/>
    <w:rsid w:val="00CD4092"/>
    <w:rsid w:val="00CD4A20"/>
    <w:rsid w:val="00CD50A1"/>
    <w:rsid w:val="00CD519E"/>
    <w:rsid w:val="00CE0C4F"/>
    <w:rsid w:val="00CE30EA"/>
    <w:rsid w:val="00CF048A"/>
    <w:rsid w:val="00CF05B0"/>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53AC"/>
    <w:rsid w:val="00D20737"/>
    <w:rsid w:val="00D20DCA"/>
    <w:rsid w:val="00D21E81"/>
    <w:rsid w:val="00D223DE"/>
    <w:rsid w:val="00D25E37"/>
    <w:rsid w:val="00D2661A"/>
    <w:rsid w:val="00D27582"/>
    <w:rsid w:val="00D27EC4"/>
    <w:rsid w:val="00D32719"/>
    <w:rsid w:val="00D33333"/>
    <w:rsid w:val="00D352A2"/>
    <w:rsid w:val="00D40947"/>
    <w:rsid w:val="00D4162B"/>
    <w:rsid w:val="00D44EB7"/>
    <w:rsid w:val="00D4514F"/>
    <w:rsid w:val="00D451E2"/>
    <w:rsid w:val="00D45E89"/>
    <w:rsid w:val="00D45E8D"/>
    <w:rsid w:val="00D466AE"/>
    <w:rsid w:val="00D46BEC"/>
    <w:rsid w:val="00D4734F"/>
    <w:rsid w:val="00D51BF3"/>
    <w:rsid w:val="00D66846"/>
    <w:rsid w:val="00D675FB"/>
    <w:rsid w:val="00D71F25"/>
    <w:rsid w:val="00D72A9C"/>
    <w:rsid w:val="00D77031"/>
    <w:rsid w:val="00D77DAD"/>
    <w:rsid w:val="00D84941"/>
    <w:rsid w:val="00D84FA1"/>
    <w:rsid w:val="00D851F0"/>
    <w:rsid w:val="00D86DB7"/>
    <w:rsid w:val="00D87140"/>
    <w:rsid w:val="00D91424"/>
    <w:rsid w:val="00D926D0"/>
    <w:rsid w:val="00D93030"/>
    <w:rsid w:val="00D93105"/>
    <w:rsid w:val="00D950E1"/>
    <w:rsid w:val="00D952A6"/>
    <w:rsid w:val="00D9768B"/>
    <w:rsid w:val="00D97F99"/>
    <w:rsid w:val="00DA1E08"/>
    <w:rsid w:val="00DA24F8"/>
    <w:rsid w:val="00DA28E8"/>
    <w:rsid w:val="00DA38D3"/>
    <w:rsid w:val="00DA3932"/>
    <w:rsid w:val="00DA3AFC"/>
    <w:rsid w:val="00DA64F8"/>
    <w:rsid w:val="00DA6C15"/>
    <w:rsid w:val="00DB0258"/>
    <w:rsid w:val="00DB38EE"/>
    <w:rsid w:val="00DB43AA"/>
    <w:rsid w:val="00DB498B"/>
    <w:rsid w:val="00DB66CA"/>
    <w:rsid w:val="00DB6BCA"/>
    <w:rsid w:val="00DB73F7"/>
    <w:rsid w:val="00DC0321"/>
    <w:rsid w:val="00DC3067"/>
    <w:rsid w:val="00DC370B"/>
    <w:rsid w:val="00DC5B90"/>
    <w:rsid w:val="00DD00FF"/>
    <w:rsid w:val="00DD0619"/>
    <w:rsid w:val="00DD07FB"/>
    <w:rsid w:val="00DD0C3A"/>
    <w:rsid w:val="00DD25C6"/>
    <w:rsid w:val="00DD4FE5"/>
    <w:rsid w:val="00DD54B0"/>
    <w:rsid w:val="00DD57EE"/>
    <w:rsid w:val="00DD6BCC"/>
    <w:rsid w:val="00DE0A4B"/>
    <w:rsid w:val="00DE2410"/>
    <w:rsid w:val="00DE2939"/>
    <w:rsid w:val="00DE6E81"/>
    <w:rsid w:val="00DE703F"/>
    <w:rsid w:val="00DE7595"/>
    <w:rsid w:val="00DF1961"/>
    <w:rsid w:val="00DF44DE"/>
    <w:rsid w:val="00E00AE9"/>
    <w:rsid w:val="00E01138"/>
    <w:rsid w:val="00E02843"/>
    <w:rsid w:val="00E02DFB"/>
    <w:rsid w:val="00E030F9"/>
    <w:rsid w:val="00E0311A"/>
    <w:rsid w:val="00E03138"/>
    <w:rsid w:val="00E06404"/>
    <w:rsid w:val="00E11A85"/>
    <w:rsid w:val="00E12495"/>
    <w:rsid w:val="00E15CCD"/>
    <w:rsid w:val="00E15D8C"/>
    <w:rsid w:val="00E17BDD"/>
    <w:rsid w:val="00E202EF"/>
    <w:rsid w:val="00E210B5"/>
    <w:rsid w:val="00E23D99"/>
    <w:rsid w:val="00E2552F"/>
    <w:rsid w:val="00E3137A"/>
    <w:rsid w:val="00E32CCF"/>
    <w:rsid w:val="00E34A98"/>
    <w:rsid w:val="00E34E17"/>
    <w:rsid w:val="00E35D1E"/>
    <w:rsid w:val="00E364F9"/>
    <w:rsid w:val="00E365FA"/>
    <w:rsid w:val="00E36789"/>
    <w:rsid w:val="00E44A83"/>
    <w:rsid w:val="00E502C1"/>
    <w:rsid w:val="00E502DD"/>
    <w:rsid w:val="00E50D3A"/>
    <w:rsid w:val="00E50E78"/>
    <w:rsid w:val="00E51387"/>
    <w:rsid w:val="00E51E68"/>
    <w:rsid w:val="00E52EFD"/>
    <w:rsid w:val="00E5408A"/>
    <w:rsid w:val="00E56800"/>
    <w:rsid w:val="00E60C63"/>
    <w:rsid w:val="00E62F5F"/>
    <w:rsid w:val="00E62FF9"/>
    <w:rsid w:val="00E635D6"/>
    <w:rsid w:val="00E639BC"/>
    <w:rsid w:val="00E639C0"/>
    <w:rsid w:val="00E664CC"/>
    <w:rsid w:val="00E70388"/>
    <w:rsid w:val="00E70E54"/>
    <w:rsid w:val="00E70F92"/>
    <w:rsid w:val="00E74028"/>
    <w:rsid w:val="00E74C54"/>
    <w:rsid w:val="00E752FF"/>
    <w:rsid w:val="00E77A03"/>
    <w:rsid w:val="00E822E8"/>
    <w:rsid w:val="00E82554"/>
    <w:rsid w:val="00E82606"/>
    <w:rsid w:val="00E846C8"/>
    <w:rsid w:val="00E84957"/>
    <w:rsid w:val="00E84A55"/>
    <w:rsid w:val="00E85BFF"/>
    <w:rsid w:val="00E867B1"/>
    <w:rsid w:val="00E90391"/>
    <w:rsid w:val="00E906C2"/>
    <w:rsid w:val="00E9311F"/>
    <w:rsid w:val="00E934D1"/>
    <w:rsid w:val="00E94AF0"/>
    <w:rsid w:val="00E95D13"/>
    <w:rsid w:val="00E95DD3"/>
    <w:rsid w:val="00E969D5"/>
    <w:rsid w:val="00EA084F"/>
    <w:rsid w:val="00EA16CE"/>
    <w:rsid w:val="00EA176C"/>
    <w:rsid w:val="00EA205F"/>
    <w:rsid w:val="00EA58D1"/>
    <w:rsid w:val="00EA61BC"/>
    <w:rsid w:val="00EA681A"/>
    <w:rsid w:val="00EA735B"/>
    <w:rsid w:val="00EB0352"/>
    <w:rsid w:val="00EB1E69"/>
    <w:rsid w:val="00EB2086"/>
    <w:rsid w:val="00EB2C54"/>
    <w:rsid w:val="00EB38FD"/>
    <w:rsid w:val="00EB5EDF"/>
    <w:rsid w:val="00EB60FE"/>
    <w:rsid w:val="00EB6181"/>
    <w:rsid w:val="00EB74DB"/>
    <w:rsid w:val="00EC4DA8"/>
    <w:rsid w:val="00EC5359"/>
    <w:rsid w:val="00EC562A"/>
    <w:rsid w:val="00EC5981"/>
    <w:rsid w:val="00ED067A"/>
    <w:rsid w:val="00ED2B50"/>
    <w:rsid w:val="00ED3985"/>
    <w:rsid w:val="00EE0350"/>
    <w:rsid w:val="00EE0719"/>
    <w:rsid w:val="00EE0E80"/>
    <w:rsid w:val="00EE613F"/>
    <w:rsid w:val="00EE7295"/>
    <w:rsid w:val="00EE72C5"/>
    <w:rsid w:val="00EE7869"/>
    <w:rsid w:val="00EF054A"/>
    <w:rsid w:val="00EF2032"/>
    <w:rsid w:val="00EF3235"/>
    <w:rsid w:val="00EF51DE"/>
    <w:rsid w:val="00EF7E72"/>
    <w:rsid w:val="00F05C5E"/>
    <w:rsid w:val="00F06D37"/>
    <w:rsid w:val="00F07B9D"/>
    <w:rsid w:val="00F11586"/>
    <w:rsid w:val="00F1183B"/>
    <w:rsid w:val="00F11C9F"/>
    <w:rsid w:val="00F12263"/>
    <w:rsid w:val="00F1409D"/>
    <w:rsid w:val="00F14214"/>
    <w:rsid w:val="00F14227"/>
    <w:rsid w:val="00F157A9"/>
    <w:rsid w:val="00F2587D"/>
    <w:rsid w:val="00F25BB6"/>
    <w:rsid w:val="00F26B7E"/>
    <w:rsid w:val="00F27A3B"/>
    <w:rsid w:val="00F33817"/>
    <w:rsid w:val="00F35D34"/>
    <w:rsid w:val="00F420D5"/>
    <w:rsid w:val="00F44C22"/>
    <w:rsid w:val="00F451EA"/>
    <w:rsid w:val="00F45447"/>
    <w:rsid w:val="00F456C6"/>
    <w:rsid w:val="00F4577B"/>
    <w:rsid w:val="00F46496"/>
    <w:rsid w:val="00F471AB"/>
    <w:rsid w:val="00F474D0"/>
    <w:rsid w:val="00F50179"/>
    <w:rsid w:val="00F515EE"/>
    <w:rsid w:val="00F56511"/>
    <w:rsid w:val="00F6194E"/>
    <w:rsid w:val="00F623AC"/>
    <w:rsid w:val="00F6412A"/>
    <w:rsid w:val="00F65893"/>
    <w:rsid w:val="00F66A4A"/>
    <w:rsid w:val="00F71E22"/>
    <w:rsid w:val="00F72142"/>
    <w:rsid w:val="00F72AE7"/>
    <w:rsid w:val="00F732BA"/>
    <w:rsid w:val="00F751E4"/>
    <w:rsid w:val="00F833BA"/>
    <w:rsid w:val="00F84FD0"/>
    <w:rsid w:val="00F859A8"/>
    <w:rsid w:val="00F86BD6"/>
    <w:rsid w:val="00F86D87"/>
    <w:rsid w:val="00F9108B"/>
    <w:rsid w:val="00F91349"/>
    <w:rsid w:val="00F93A8A"/>
    <w:rsid w:val="00F95248"/>
    <w:rsid w:val="00F956A9"/>
    <w:rsid w:val="00F963ED"/>
    <w:rsid w:val="00F966CF"/>
    <w:rsid w:val="00F96CAE"/>
    <w:rsid w:val="00F97C99"/>
    <w:rsid w:val="00FA031B"/>
    <w:rsid w:val="00FA367A"/>
    <w:rsid w:val="00FA662D"/>
    <w:rsid w:val="00FA73B1"/>
    <w:rsid w:val="00FB0CB9"/>
    <w:rsid w:val="00FB231D"/>
    <w:rsid w:val="00FB3104"/>
    <w:rsid w:val="00FB45F1"/>
    <w:rsid w:val="00FB4A72"/>
    <w:rsid w:val="00FB54E8"/>
    <w:rsid w:val="00FB7054"/>
    <w:rsid w:val="00FC17B7"/>
    <w:rsid w:val="00FC2CB7"/>
    <w:rsid w:val="00FC4090"/>
    <w:rsid w:val="00FC4769"/>
    <w:rsid w:val="00FC55B4"/>
    <w:rsid w:val="00FD00E6"/>
    <w:rsid w:val="00FD09A1"/>
    <w:rsid w:val="00FD2A7C"/>
    <w:rsid w:val="00FD59EB"/>
    <w:rsid w:val="00FD7299"/>
    <w:rsid w:val="00FD7690"/>
    <w:rsid w:val="00FE0C9D"/>
    <w:rsid w:val="00FE18D0"/>
    <w:rsid w:val="00FE1FBE"/>
    <w:rsid w:val="00FE3901"/>
    <w:rsid w:val="00FE39D3"/>
    <w:rsid w:val="00FE4BCE"/>
    <w:rsid w:val="00FE54AE"/>
    <w:rsid w:val="00FE576A"/>
    <w:rsid w:val="00FE7E79"/>
    <w:rsid w:val="00FF3E7D"/>
    <w:rsid w:val="00FF5B99"/>
    <w:rsid w:val="00FF730C"/>
    <w:rsid w:val="00FF73F4"/>
    <w:rsid w:val="00FF7CE4"/>
    <w:rsid w:val="00FF7E39"/>
    <w:rsid w:val="01213882"/>
    <w:rsid w:val="02CC4E82"/>
    <w:rsid w:val="06AD0181"/>
    <w:rsid w:val="07E40D0A"/>
    <w:rsid w:val="0D601E62"/>
    <w:rsid w:val="120A223E"/>
    <w:rsid w:val="12430EAC"/>
    <w:rsid w:val="13714A16"/>
    <w:rsid w:val="149B4DB6"/>
    <w:rsid w:val="18B51028"/>
    <w:rsid w:val="1AC71A5C"/>
    <w:rsid w:val="23124284"/>
    <w:rsid w:val="27BA3129"/>
    <w:rsid w:val="2E7566E2"/>
    <w:rsid w:val="2F996B56"/>
    <w:rsid w:val="30636CDC"/>
    <w:rsid w:val="31BA0817"/>
    <w:rsid w:val="32EF586C"/>
    <w:rsid w:val="32F12A93"/>
    <w:rsid w:val="367B0D63"/>
    <w:rsid w:val="38642E83"/>
    <w:rsid w:val="394F0285"/>
    <w:rsid w:val="3B3616FD"/>
    <w:rsid w:val="3B5B732F"/>
    <w:rsid w:val="3C44609B"/>
    <w:rsid w:val="3DC37382"/>
    <w:rsid w:val="3FBB171F"/>
    <w:rsid w:val="40A84DBD"/>
    <w:rsid w:val="46E173C7"/>
    <w:rsid w:val="48C33636"/>
    <w:rsid w:val="494D17DE"/>
    <w:rsid w:val="49BB5033"/>
    <w:rsid w:val="4C84594F"/>
    <w:rsid w:val="503C5FBD"/>
    <w:rsid w:val="573036CB"/>
    <w:rsid w:val="5B0144AD"/>
    <w:rsid w:val="5D05799B"/>
    <w:rsid w:val="5EF113C7"/>
    <w:rsid w:val="60AE7E03"/>
    <w:rsid w:val="61A95C5A"/>
    <w:rsid w:val="62285198"/>
    <w:rsid w:val="628D57F7"/>
    <w:rsid w:val="63E8138E"/>
    <w:rsid w:val="644A1AD6"/>
    <w:rsid w:val="672506F4"/>
    <w:rsid w:val="69E916C7"/>
    <w:rsid w:val="6A615EE7"/>
    <w:rsid w:val="6EA97E5C"/>
    <w:rsid w:val="6FCB0E39"/>
    <w:rsid w:val="72AC1CC9"/>
    <w:rsid w:val="73910CDF"/>
    <w:rsid w:val="75144FDC"/>
    <w:rsid w:val="795F3CA0"/>
    <w:rsid w:val="7A9419C0"/>
    <w:rsid w:val="7AE71AF0"/>
    <w:rsid w:val="7B4056A4"/>
    <w:rsid w:val="7D0C1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customStyle="1" w:styleId="46">
    <w:name w:val="引用1"/>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link w:val="233"/>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link w:val="232"/>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link w:val="235"/>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link w:val="234"/>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0"/>
      </w:numPr>
      <w:tabs>
        <w:tab w:val="left" w:pos="851"/>
      </w:tabs>
      <w:ind w:left="426" w:leftChars="0" w:firstLine="0" w:firstLineChars="0"/>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customStyle="1" w:styleId="186">
    <w:name w:val="占位符文本1"/>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wrap="around"/>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表标题"/>
    <w:next w:val="1"/>
    <w:qFormat/>
    <w:uiPriority w:val="0"/>
    <w:pPr>
      <w:tabs>
        <w:tab w:val="left" w:pos="330"/>
        <w:tab w:val="left" w:pos="360"/>
      </w:tabs>
      <w:spacing w:before="156" w:beforeLines="50" w:after="156" w:afterLines="50"/>
      <w:ind w:left="948" w:hanging="420"/>
      <w:jc w:val="center"/>
    </w:pPr>
    <w:rPr>
      <w:rFonts w:ascii="黑体" w:hAnsi="Times New Roman" w:eastAsia="黑体" w:cs="Times New Roman"/>
      <w:sz w:val="21"/>
      <w:lang w:val="en-US" w:eastAsia="zh-CN" w:bidi="ar-SA"/>
    </w:rPr>
  </w:style>
  <w:style w:type="paragraph" w:customStyle="1" w:styleId="231">
    <w:name w:val="正文图标题"/>
    <w:next w:val="1"/>
    <w:qFormat/>
    <w:uiPriority w:val="0"/>
    <w:pPr>
      <w:tabs>
        <w:tab w:val="left" w:pos="360"/>
      </w:tabs>
      <w:spacing w:before="156" w:beforeLines="50" w:after="156" w:afterLines="50"/>
      <w:jc w:val="center"/>
    </w:pPr>
    <w:rPr>
      <w:rFonts w:ascii="黑体" w:hAnsi="Times New Roman" w:eastAsia="黑体" w:cs="Times New Roman"/>
      <w:sz w:val="21"/>
      <w:lang w:val="en-US" w:eastAsia="zh-CN" w:bidi="ar-SA"/>
    </w:rPr>
  </w:style>
  <w:style w:type="character" w:customStyle="1" w:styleId="232">
    <w:name w:val="标准文件_五级条标题 Char"/>
    <w:link w:val="103"/>
    <w:qFormat/>
    <w:uiPriority w:val="0"/>
    <w:rPr>
      <w:rFonts w:ascii="黑体" w:eastAsia="黑体"/>
      <w:sz w:val="21"/>
    </w:rPr>
  </w:style>
  <w:style w:type="character" w:customStyle="1" w:styleId="233">
    <w:name w:val="标准文件_ICS Char"/>
    <w:link w:val="54"/>
    <w:qFormat/>
    <w:uiPriority w:val="0"/>
    <w:rPr>
      <w:rFonts w:ascii="黑体" w:hAnsi="宋体" w:eastAsia="黑体"/>
    </w:rPr>
  </w:style>
  <w:style w:type="character" w:customStyle="1" w:styleId="234">
    <w:name w:val="标准文件_二级无标题 Char"/>
    <w:link w:val="165"/>
    <w:qFormat/>
    <w:uiPriority w:val="0"/>
    <w:rPr>
      <w:rFonts w:ascii="宋体" w:eastAsia="宋体"/>
    </w:rPr>
  </w:style>
  <w:style w:type="character" w:customStyle="1" w:styleId="235">
    <w:name w:val="标准文件_一级条标题 Char"/>
    <w:link w:val="105"/>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52CDDDB315A4830A89D4B1E8D3C778B"/>
        <w:style w:val=""/>
        <w:category>
          <w:name w:val="常规"/>
          <w:gallery w:val="placeholder"/>
        </w:category>
        <w:types>
          <w:type w:val="bbPlcHdr"/>
        </w:types>
        <w:behaviors>
          <w:behavior w:val="content"/>
        </w:behaviors>
        <w:description w:val=""/>
        <w:guid w:val="{537979D1-EC75-4308-929E-AEC655EE0AF7}"/>
      </w:docPartPr>
      <w:docPartBody>
        <w:p w14:paraId="59E23691">
          <w:pPr>
            <w:pStyle w:val="5"/>
          </w:pPr>
          <w:r>
            <w:rPr>
              <w:rStyle w:val="4"/>
              <w:rFonts w:hint="eastAsia"/>
            </w:rPr>
            <w:t>单击或点击此处输入文字。</w:t>
          </w:r>
        </w:p>
      </w:docPartBody>
    </w:docPart>
    <w:docPart>
      <w:docPartPr>
        <w:name w:val="E8E2E05F6F984C798EFDB87F353CE5B2"/>
        <w:style w:val=""/>
        <w:category>
          <w:name w:val="常规"/>
          <w:gallery w:val="placeholder"/>
        </w:category>
        <w:types>
          <w:type w:val="bbPlcHdr"/>
        </w:types>
        <w:behaviors>
          <w:behavior w:val="content"/>
        </w:behaviors>
        <w:description w:val=""/>
        <w:guid w:val="{33ECC94C-36F8-4F87-9F90-40BA511E1400}"/>
      </w:docPartPr>
      <w:docPartBody>
        <w:p w14:paraId="31EC876E">
          <w:pPr>
            <w:pStyle w:val="6"/>
          </w:pPr>
          <w:r>
            <w:rPr>
              <w:rStyle w:val="4"/>
              <w:rFonts w:hint="eastAsia"/>
            </w:rPr>
            <w:t>选择一项。</w:t>
          </w:r>
        </w:p>
      </w:docPartBody>
    </w:docPart>
    <w:docPart>
      <w:docPartPr>
        <w:name w:val="{ce984d46-35b7-49d9-bac6-4f37d4faf53d}"/>
        <w:style w:val=""/>
        <w:category>
          <w:name w:val="常规"/>
          <w:gallery w:val="placeholder"/>
        </w:category>
        <w:types>
          <w:type w:val="bbPlcHdr"/>
        </w:types>
        <w:behaviors>
          <w:behavior w:val="content"/>
        </w:behaviors>
        <w:description w:val=""/>
        <w:guid w:val="{CE984D46-35B7-49D9-BAC6-4F37D4FAF53D}"/>
      </w:docPartPr>
      <w:docPartBody>
        <w:p w14:paraId="633F11D0">
          <w:pPr>
            <w:pStyle w:val="7"/>
          </w:pPr>
          <w:r>
            <w:rPr>
              <w:rStyle w:val="8"/>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32B"/>
    <w:rsid w:val="0006121A"/>
    <w:rsid w:val="000A4565"/>
    <w:rsid w:val="000C28DE"/>
    <w:rsid w:val="0015219D"/>
    <w:rsid w:val="002A4CB7"/>
    <w:rsid w:val="002C4505"/>
    <w:rsid w:val="004117E9"/>
    <w:rsid w:val="00443ADF"/>
    <w:rsid w:val="00464749"/>
    <w:rsid w:val="004D37D0"/>
    <w:rsid w:val="005A3DD2"/>
    <w:rsid w:val="005A3E85"/>
    <w:rsid w:val="007A532B"/>
    <w:rsid w:val="007D77B9"/>
    <w:rsid w:val="00854A50"/>
    <w:rsid w:val="009F7B4D"/>
    <w:rsid w:val="00B26665"/>
    <w:rsid w:val="00B564FC"/>
    <w:rsid w:val="00C032DB"/>
    <w:rsid w:val="00C71140"/>
    <w:rsid w:val="00C90ADF"/>
    <w:rsid w:val="00D533BF"/>
    <w:rsid w:val="00DE292F"/>
    <w:rsid w:val="00E5666B"/>
    <w:rsid w:val="00E95773"/>
    <w:rsid w:val="00FF1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4">
    <w:name w:val="占位符文本1"/>
    <w:basedOn w:val="2"/>
    <w:semiHidden/>
    <w:qFormat/>
    <w:uiPriority w:val="99"/>
    <w:rPr>
      <w:color w:val="808080"/>
    </w:rPr>
  </w:style>
  <w:style w:type="paragraph" w:customStyle="1" w:styleId="5">
    <w:name w:val="F52CDDDB315A4830A89D4B1E8D3C778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8E2E05F6F984C798EFDB87F353CE5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0E515AC7D744142BB9E9A1FDE83CC16"/>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8">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FAA175-4EE7-4243-A30D-EAEA680073AD}">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17</Pages>
  <Words>13133</Words>
  <Characters>13767</Characters>
  <Lines>90</Lines>
  <Paragraphs>25</Paragraphs>
  <TotalTime>58</TotalTime>
  <ScaleCrop>false</ScaleCrop>
  <LinksUpToDate>false</LinksUpToDate>
  <CharactersWithSpaces>14050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2021-02-03T07:40:00Z</dcterms:created>
  <dc:creator>Li Jing</dc:creator>
  <dc:description>&lt;config cover="true" show_menu="true" version="1.0.0" doctype="SDKXY"&gt;_x000d_
&lt;/config&gt;</dc:description>
  <cp:lastModifiedBy>sunday11403140978</cp:lastModifiedBy>
  <cp:lastPrinted>2023-03-28T03:27:00Z</cp:lastPrinted>
  <dcterms:modified xsi:type="dcterms:W3CDTF">2024-10-23T08:49:12Z</dcterms:modified>
  <dc:title>地方标准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27C177F9C6E041418BB7C875B0ED9D45_13</vt:lpwstr>
  </property>
</Properties>
</file>