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28FA74">
      <w:pPr>
        <w:spacing w:line="360" w:lineRule="auto"/>
        <w:jc w:val="center"/>
        <w:rPr>
          <w:rFonts w:eastAsia="华文中宋"/>
          <w:color w:val="000000"/>
          <w:sz w:val="36"/>
          <w:szCs w:val="36"/>
        </w:rPr>
      </w:pPr>
      <w:r>
        <w:rPr>
          <w:rFonts w:eastAsia="华文中宋"/>
          <w:color w:val="000000"/>
          <w:sz w:val="36"/>
          <w:szCs w:val="36"/>
        </w:rPr>
        <w:t>安徽省地方标准编制说明</w:t>
      </w:r>
    </w:p>
    <w:tbl>
      <w:tblPr>
        <w:tblStyle w:val="9"/>
        <w:tblW w:w="96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992"/>
        <w:gridCol w:w="215"/>
        <w:gridCol w:w="3329"/>
        <w:gridCol w:w="1975"/>
        <w:gridCol w:w="2419"/>
      </w:tblGrid>
      <w:tr w14:paraId="59A70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1911" w:type="dxa"/>
            <w:gridSpan w:val="3"/>
            <w:tcBorders>
              <w:top w:val="single" w:color="auto" w:sz="4" w:space="0"/>
              <w:left w:val="single" w:color="auto" w:sz="4" w:space="0"/>
              <w:bottom w:val="single" w:color="auto" w:sz="4" w:space="0"/>
              <w:right w:val="single" w:color="auto" w:sz="4" w:space="0"/>
            </w:tcBorders>
            <w:vAlign w:val="center"/>
          </w:tcPr>
          <w:p w14:paraId="67CAA62E">
            <w:pPr>
              <w:pStyle w:val="14"/>
              <w:spacing w:line="360" w:lineRule="auto"/>
              <w:ind w:firstLine="0" w:firstLineChars="0"/>
              <w:jc w:val="center"/>
              <w:rPr>
                <w:rFonts w:ascii="Times New Roman"/>
                <w:color w:val="000000"/>
                <w:szCs w:val="21"/>
              </w:rPr>
            </w:pPr>
            <w:r>
              <w:rPr>
                <w:rFonts w:ascii="Times New Roman"/>
                <w:color w:val="000000"/>
                <w:szCs w:val="21"/>
              </w:rPr>
              <w:t>标准名称</w:t>
            </w:r>
          </w:p>
        </w:tc>
        <w:tc>
          <w:tcPr>
            <w:tcW w:w="7723" w:type="dxa"/>
            <w:gridSpan w:val="3"/>
            <w:tcBorders>
              <w:top w:val="single" w:color="auto" w:sz="4" w:space="0"/>
              <w:left w:val="single" w:color="auto" w:sz="4" w:space="0"/>
              <w:bottom w:val="single" w:color="auto" w:sz="4" w:space="0"/>
              <w:right w:val="single" w:color="auto" w:sz="4" w:space="0"/>
            </w:tcBorders>
            <w:vAlign w:val="center"/>
          </w:tcPr>
          <w:p w14:paraId="6456311D">
            <w:pPr>
              <w:pStyle w:val="14"/>
              <w:spacing w:line="360" w:lineRule="auto"/>
              <w:ind w:firstLine="0" w:firstLineChars="0"/>
              <w:jc w:val="center"/>
              <w:rPr>
                <w:rFonts w:ascii="Times New Roman"/>
                <w:color w:val="000000"/>
                <w:szCs w:val="21"/>
              </w:rPr>
            </w:pPr>
            <w:r>
              <w:rPr>
                <w:rFonts w:hint="eastAsia" w:ascii="Times New Roman"/>
              </w:rPr>
              <w:t>坚果与籽类食品生产质量控制技术规范</w:t>
            </w:r>
          </w:p>
        </w:tc>
      </w:tr>
      <w:tr w14:paraId="5C5BD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7" w:hRule="atLeast"/>
          <w:jc w:val="center"/>
        </w:trPr>
        <w:tc>
          <w:tcPr>
            <w:tcW w:w="1911" w:type="dxa"/>
            <w:gridSpan w:val="3"/>
            <w:tcBorders>
              <w:top w:val="single" w:color="auto" w:sz="4" w:space="0"/>
              <w:left w:val="single" w:color="auto" w:sz="4" w:space="0"/>
              <w:bottom w:val="single" w:color="auto" w:sz="4" w:space="0"/>
              <w:right w:val="single" w:color="auto" w:sz="4" w:space="0"/>
            </w:tcBorders>
            <w:vAlign w:val="center"/>
          </w:tcPr>
          <w:p w14:paraId="6CCDDCC5">
            <w:pPr>
              <w:pStyle w:val="14"/>
              <w:ind w:firstLine="0" w:firstLineChars="0"/>
              <w:jc w:val="center"/>
              <w:rPr>
                <w:rFonts w:ascii="Times New Roman"/>
                <w:color w:val="000000"/>
                <w:szCs w:val="21"/>
              </w:rPr>
            </w:pPr>
            <w:r>
              <w:rPr>
                <w:rFonts w:ascii="Times New Roman"/>
                <w:color w:val="000000"/>
                <w:szCs w:val="21"/>
              </w:rPr>
              <w:t>任务来源</w:t>
            </w:r>
          </w:p>
          <w:p w14:paraId="79155B39">
            <w:pPr>
              <w:pStyle w:val="14"/>
              <w:ind w:firstLine="0" w:firstLineChars="0"/>
              <w:jc w:val="center"/>
              <w:rPr>
                <w:rFonts w:ascii="Times New Roman"/>
                <w:color w:val="000000"/>
                <w:szCs w:val="21"/>
              </w:rPr>
            </w:pPr>
            <w:r>
              <w:rPr>
                <w:rFonts w:ascii="Times New Roman"/>
                <w:color w:val="000000"/>
                <w:szCs w:val="21"/>
              </w:rPr>
              <w:t>（项目计划号）</w:t>
            </w:r>
          </w:p>
        </w:tc>
        <w:tc>
          <w:tcPr>
            <w:tcW w:w="7723" w:type="dxa"/>
            <w:gridSpan w:val="3"/>
            <w:tcBorders>
              <w:top w:val="single" w:color="auto" w:sz="4" w:space="0"/>
              <w:left w:val="single" w:color="auto" w:sz="4" w:space="0"/>
              <w:bottom w:val="single" w:color="auto" w:sz="4" w:space="0"/>
              <w:right w:val="single" w:color="auto" w:sz="4" w:space="0"/>
            </w:tcBorders>
            <w:vAlign w:val="center"/>
          </w:tcPr>
          <w:p w14:paraId="4359854E">
            <w:pPr>
              <w:pStyle w:val="18"/>
              <w:ind w:firstLine="420" w:firstLineChars="200"/>
              <w:jc w:val="center"/>
              <w:rPr>
                <w:rFonts w:ascii="Times New Roman" w:hAnsi="Times New Roman" w:cs="Times New Roman" w:eastAsiaTheme="minorEastAsia"/>
                <w:sz w:val="21"/>
                <w:szCs w:val="21"/>
              </w:rPr>
            </w:pPr>
            <w:r>
              <w:rPr>
                <w:rFonts w:hint="eastAsia" w:ascii="Times New Roman" w:hAnsi="Times New Roman" w:cs="Times New Roman" w:eastAsiaTheme="minorEastAsia"/>
                <w:sz w:val="21"/>
                <w:szCs w:val="21"/>
              </w:rPr>
              <w:t>《安徽省市场监督管理局关于申报2023年度安徽省地方标准制（修）订计划项目的通知》（皖市监函〔2023〕123 号 ）</w:t>
            </w:r>
          </w:p>
        </w:tc>
      </w:tr>
      <w:tr w14:paraId="14405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1911" w:type="dxa"/>
            <w:gridSpan w:val="3"/>
            <w:tcBorders>
              <w:top w:val="single" w:color="auto" w:sz="4" w:space="0"/>
              <w:left w:val="single" w:color="auto" w:sz="4" w:space="0"/>
              <w:bottom w:val="single" w:color="auto" w:sz="4" w:space="0"/>
              <w:right w:val="single" w:color="auto" w:sz="4" w:space="0"/>
            </w:tcBorders>
            <w:vAlign w:val="center"/>
          </w:tcPr>
          <w:p w14:paraId="4A02A9E2">
            <w:pPr>
              <w:pStyle w:val="14"/>
              <w:spacing w:line="360" w:lineRule="auto"/>
              <w:ind w:firstLine="0" w:firstLineChars="0"/>
              <w:jc w:val="center"/>
              <w:rPr>
                <w:rFonts w:ascii="Times New Roman"/>
                <w:color w:val="000000"/>
                <w:szCs w:val="21"/>
              </w:rPr>
            </w:pPr>
            <w:r>
              <w:rPr>
                <w:rFonts w:ascii="Times New Roman"/>
                <w:color w:val="000000"/>
                <w:szCs w:val="21"/>
              </w:rPr>
              <w:t>负责起草单位</w:t>
            </w:r>
          </w:p>
        </w:tc>
        <w:tc>
          <w:tcPr>
            <w:tcW w:w="7723" w:type="dxa"/>
            <w:gridSpan w:val="3"/>
            <w:tcBorders>
              <w:top w:val="single" w:color="auto" w:sz="4" w:space="0"/>
              <w:left w:val="single" w:color="auto" w:sz="4" w:space="0"/>
              <w:bottom w:val="single" w:color="auto" w:sz="4" w:space="0"/>
              <w:right w:val="single" w:color="auto" w:sz="4" w:space="0"/>
            </w:tcBorders>
            <w:vAlign w:val="center"/>
          </w:tcPr>
          <w:p w14:paraId="633C1D63">
            <w:pPr>
              <w:pStyle w:val="14"/>
              <w:spacing w:line="360" w:lineRule="auto"/>
              <w:jc w:val="center"/>
              <w:rPr>
                <w:rFonts w:ascii="Times New Roman"/>
                <w:color w:val="000000"/>
                <w:szCs w:val="21"/>
              </w:rPr>
            </w:pPr>
            <w:r>
              <w:rPr>
                <w:rFonts w:ascii="Times New Roman"/>
              </w:rPr>
              <w:t>安徽省食品药品检验研究院（</w:t>
            </w:r>
            <w:r>
              <w:rPr>
                <w:rFonts w:hint="eastAsia" w:ascii="Times New Roman"/>
              </w:rPr>
              <w:t>国家农副加工食品质量监督检验中心</w:t>
            </w:r>
            <w:r>
              <w:rPr>
                <w:rFonts w:ascii="Times New Roman"/>
              </w:rPr>
              <w:t>）</w:t>
            </w:r>
          </w:p>
        </w:tc>
      </w:tr>
      <w:tr w14:paraId="2A71F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jc w:val="center"/>
        </w:trPr>
        <w:tc>
          <w:tcPr>
            <w:tcW w:w="1911" w:type="dxa"/>
            <w:gridSpan w:val="3"/>
            <w:tcBorders>
              <w:top w:val="single" w:color="auto" w:sz="4" w:space="0"/>
              <w:left w:val="single" w:color="auto" w:sz="4" w:space="0"/>
              <w:bottom w:val="single" w:color="auto" w:sz="4" w:space="0"/>
              <w:right w:val="single" w:color="auto" w:sz="4" w:space="0"/>
            </w:tcBorders>
            <w:vAlign w:val="center"/>
          </w:tcPr>
          <w:p w14:paraId="03DAAE72">
            <w:pPr>
              <w:pStyle w:val="14"/>
              <w:spacing w:line="360" w:lineRule="auto"/>
              <w:ind w:firstLine="0" w:firstLineChars="0"/>
              <w:jc w:val="center"/>
              <w:rPr>
                <w:rFonts w:ascii="Times New Roman"/>
                <w:color w:val="000000"/>
                <w:szCs w:val="21"/>
              </w:rPr>
            </w:pPr>
            <w:r>
              <w:rPr>
                <w:rFonts w:ascii="Times New Roman"/>
                <w:color w:val="000000"/>
                <w:szCs w:val="21"/>
              </w:rPr>
              <w:t>单位地址</w:t>
            </w:r>
          </w:p>
        </w:tc>
        <w:tc>
          <w:tcPr>
            <w:tcW w:w="7723" w:type="dxa"/>
            <w:gridSpan w:val="3"/>
            <w:tcBorders>
              <w:top w:val="single" w:color="auto" w:sz="4" w:space="0"/>
              <w:left w:val="single" w:color="auto" w:sz="4" w:space="0"/>
              <w:bottom w:val="single" w:color="auto" w:sz="4" w:space="0"/>
              <w:right w:val="single" w:color="auto" w:sz="4" w:space="0"/>
            </w:tcBorders>
            <w:vAlign w:val="center"/>
          </w:tcPr>
          <w:p w14:paraId="7762F585">
            <w:pPr>
              <w:pStyle w:val="14"/>
              <w:spacing w:line="360" w:lineRule="auto"/>
              <w:ind w:left="420" w:firstLine="0" w:firstLineChars="0"/>
              <w:jc w:val="center"/>
              <w:rPr>
                <w:rFonts w:ascii="Times New Roman"/>
                <w:szCs w:val="21"/>
              </w:rPr>
            </w:pPr>
            <w:r>
              <w:rPr>
                <w:rFonts w:hint="eastAsia" w:ascii="Times New Roman"/>
                <w:szCs w:val="21"/>
              </w:rPr>
              <w:t>安徽省</w:t>
            </w:r>
            <w:r>
              <w:rPr>
                <w:rFonts w:ascii="Times New Roman"/>
                <w:szCs w:val="21"/>
              </w:rPr>
              <w:t>合肥市包河工业区乌鲁木齐路15号</w:t>
            </w:r>
          </w:p>
        </w:tc>
      </w:tr>
      <w:tr w14:paraId="4CF16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911" w:type="dxa"/>
            <w:gridSpan w:val="3"/>
            <w:tcBorders>
              <w:top w:val="single" w:color="auto" w:sz="4" w:space="0"/>
              <w:left w:val="single" w:color="auto" w:sz="4" w:space="0"/>
              <w:bottom w:val="single" w:color="auto" w:sz="4" w:space="0"/>
              <w:right w:val="single" w:color="auto" w:sz="4" w:space="0"/>
            </w:tcBorders>
            <w:vAlign w:val="center"/>
          </w:tcPr>
          <w:p w14:paraId="70774DA1">
            <w:pPr>
              <w:pStyle w:val="14"/>
              <w:spacing w:line="360" w:lineRule="auto"/>
              <w:ind w:firstLine="0" w:firstLineChars="0"/>
              <w:jc w:val="center"/>
              <w:rPr>
                <w:rFonts w:ascii="Times New Roman"/>
                <w:color w:val="000000"/>
                <w:szCs w:val="21"/>
              </w:rPr>
            </w:pPr>
            <w:r>
              <w:rPr>
                <w:rFonts w:ascii="Times New Roman"/>
                <w:color w:val="000000"/>
                <w:szCs w:val="21"/>
              </w:rPr>
              <w:t>参与起草单位</w:t>
            </w:r>
          </w:p>
        </w:tc>
        <w:tc>
          <w:tcPr>
            <w:tcW w:w="7723" w:type="dxa"/>
            <w:gridSpan w:val="3"/>
            <w:tcBorders>
              <w:top w:val="single" w:color="auto" w:sz="4" w:space="0"/>
              <w:left w:val="single" w:color="auto" w:sz="4" w:space="0"/>
              <w:bottom w:val="single" w:color="auto" w:sz="4" w:space="0"/>
              <w:right w:val="single" w:color="auto" w:sz="4" w:space="0"/>
            </w:tcBorders>
            <w:vAlign w:val="center"/>
          </w:tcPr>
          <w:p w14:paraId="2BEA0C94">
            <w:pPr>
              <w:pStyle w:val="14"/>
              <w:spacing w:line="360" w:lineRule="auto"/>
              <w:ind w:firstLine="0" w:firstLineChars="0"/>
              <w:jc w:val="center"/>
              <w:rPr>
                <w:rFonts w:ascii="Times New Roman"/>
                <w:szCs w:val="21"/>
              </w:rPr>
            </w:pPr>
            <w:r>
              <w:rPr>
                <w:rFonts w:hint="eastAsia" w:ascii="Times New Roman"/>
                <w:szCs w:val="21"/>
              </w:rPr>
              <w:t>三只松鼠股份有限公司、安徽省产品质量监督检验研究院</w:t>
            </w:r>
          </w:p>
        </w:tc>
      </w:tr>
      <w:tr w14:paraId="4D8A3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9634" w:type="dxa"/>
            <w:gridSpan w:val="6"/>
            <w:tcBorders>
              <w:top w:val="single" w:color="auto" w:sz="4" w:space="0"/>
              <w:left w:val="single" w:color="auto" w:sz="4" w:space="0"/>
              <w:bottom w:val="single" w:color="auto" w:sz="4" w:space="0"/>
              <w:right w:val="single" w:color="auto" w:sz="4" w:space="0"/>
            </w:tcBorders>
          </w:tcPr>
          <w:p w14:paraId="638702FB">
            <w:pPr>
              <w:pStyle w:val="15"/>
              <w:numPr>
                <w:ilvl w:val="0"/>
                <w:numId w:val="4"/>
              </w:numPr>
              <w:spacing w:before="156" w:after="156" w:line="360" w:lineRule="auto"/>
              <w:ind w:left="630" w:hanging="210"/>
              <w:rPr>
                <w:rFonts w:ascii="Times New Roman" w:eastAsia="宋体"/>
                <w:color w:val="000000"/>
                <w:szCs w:val="21"/>
              </w:rPr>
            </w:pPr>
            <w:r>
              <w:rPr>
                <w:rFonts w:ascii="Times New Roman" w:eastAsia="宋体"/>
                <w:color w:val="000000"/>
                <w:szCs w:val="21"/>
              </w:rPr>
              <w:t>标准起草人（全部起草人，</w:t>
            </w:r>
            <w:r>
              <w:rPr>
                <w:rFonts w:ascii="Times New Roman" w:eastAsia="宋体"/>
                <w:color w:val="0000FF"/>
                <w:szCs w:val="21"/>
              </w:rPr>
              <w:t>应与标准文本前言中起草人排序一致</w:t>
            </w:r>
            <w:r>
              <w:rPr>
                <w:rFonts w:ascii="Times New Roman" w:eastAsia="宋体"/>
                <w:color w:val="000000"/>
                <w:szCs w:val="21"/>
              </w:rPr>
              <w:t>）</w:t>
            </w:r>
          </w:p>
        </w:tc>
      </w:tr>
      <w:tr w14:paraId="63CB1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704" w:type="dxa"/>
            <w:tcBorders>
              <w:top w:val="single" w:color="auto" w:sz="4" w:space="0"/>
              <w:left w:val="single" w:color="auto" w:sz="4" w:space="0"/>
              <w:bottom w:val="single" w:color="auto" w:sz="4" w:space="0"/>
              <w:right w:val="single" w:color="auto" w:sz="4" w:space="0"/>
            </w:tcBorders>
            <w:vAlign w:val="center"/>
          </w:tcPr>
          <w:p w14:paraId="497645A1">
            <w:pPr>
              <w:pStyle w:val="14"/>
              <w:spacing w:line="360" w:lineRule="auto"/>
              <w:ind w:firstLine="0" w:firstLineChars="0"/>
              <w:jc w:val="center"/>
              <w:rPr>
                <w:rFonts w:ascii="Times New Roman"/>
                <w:color w:val="000000"/>
                <w:szCs w:val="21"/>
              </w:rPr>
            </w:pPr>
            <w:r>
              <w:rPr>
                <w:rFonts w:ascii="Times New Roman"/>
                <w:color w:val="000000"/>
                <w:szCs w:val="21"/>
              </w:rPr>
              <w:t>序号</w:t>
            </w:r>
          </w:p>
        </w:tc>
        <w:tc>
          <w:tcPr>
            <w:tcW w:w="992" w:type="dxa"/>
            <w:tcBorders>
              <w:top w:val="single" w:color="auto" w:sz="4" w:space="0"/>
              <w:left w:val="single" w:color="auto" w:sz="4" w:space="0"/>
              <w:bottom w:val="single" w:color="auto" w:sz="4" w:space="0"/>
              <w:right w:val="single" w:color="auto" w:sz="4" w:space="0"/>
            </w:tcBorders>
            <w:vAlign w:val="center"/>
          </w:tcPr>
          <w:p w14:paraId="5959FD3D">
            <w:pPr>
              <w:pStyle w:val="14"/>
              <w:spacing w:line="360" w:lineRule="auto"/>
              <w:ind w:firstLine="0" w:firstLineChars="0"/>
              <w:jc w:val="center"/>
              <w:rPr>
                <w:rFonts w:ascii="Times New Roman"/>
                <w:color w:val="000000"/>
                <w:szCs w:val="21"/>
              </w:rPr>
            </w:pPr>
            <w:r>
              <w:rPr>
                <w:rFonts w:ascii="Times New Roman"/>
                <w:color w:val="000000"/>
                <w:szCs w:val="21"/>
              </w:rPr>
              <w:t>姓名</w:t>
            </w:r>
          </w:p>
        </w:tc>
        <w:tc>
          <w:tcPr>
            <w:tcW w:w="3544" w:type="dxa"/>
            <w:gridSpan w:val="2"/>
            <w:tcBorders>
              <w:top w:val="single" w:color="auto" w:sz="4" w:space="0"/>
              <w:left w:val="single" w:color="auto" w:sz="4" w:space="0"/>
              <w:bottom w:val="single" w:color="auto" w:sz="4" w:space="0"/>
              <w:right w:val="single" w:color="auto" w:sz="4" w:space="0"/>
            </w:tcBorders>
            <w:vAlign w:val="center"/>
          </w:tcPr>
          <w:p w14:paraId="6C54FF80">
            <w:pPr>
              <w:pStyle w:val="14"/>
              <w:spacing w:line="360" w:lineRule="auto"/>
              <w:ind w:firstLine="0" w:firstLineChars="0"/>
              <w:jc w:val="center"/>
              <w:rPr>
                <w:rFonts w:ascii="Times New Roman"/>
                <w:color w:val="000000"/>
                <w:szCs w:val="21"/>
              </w:rPr>
            </w:pPr>
            <w:r>
              <w:rPr>
                <w:rFonts w:ascii="Times New Roman"/>
                <w:color w:val="000000"/>
                <w:szCs w:val="21"/>
              </w:rPr>
              <w:t>单位</w:t>
            </w:r>
          </w:p>
        </w:tc>
        <w:tc>
          <w:tcPr>
            <w:tcW w:w="1975" w:type="dxa"/>
            <w:tcBorders>
              <w:top w:val="single" w:color="auto" w:sz="4" w:space="0"/>
              <w:left w:val="single" w:color="auto" w:sz="4" w:space="0"/>
              <w:bottom w:val="single" w:color="auto" w:sz="4" w:space="0"/>
              <w:right w:val="single" w:color="auto" w:sz="4" w:space="0"/>
            </w:tcBorders>
            <w:vAlign w:val="center"/>
          </w:tcPr>
          <w:p w14:paraId="13DAB263">
            <w:pPr>
              <w:pStyle w:val="14"/>
              <w:spacing w:line="360" w:lineRule="auto"/>
              <w:ind w:firstLine="210" w:firstLineChars="100"/>
              <w:jc w:val="center"/>
              <w:rPr>
                <w:rFonts w:ascii="Times New Roman"/>
                <w:color w:val="000000"/>
                <w:szCs w:val="21"/>
              </w:rPr>
            </w:pPr>
            <w:r>
              <w:rPr>
                <w:rFonts w:ascii="Times New Roman"/>
                <w:color w:val="000000"/>
                <w:szCs w:val="21"/>
              </w:rPr>
              <w:t>职务/职称</w:t>
            </w:r>
          </w:p>
        </w:tc>
        <w:tc>
          <w:tcPr>
            <w:tcW w:w="2419" w:type="dxa"/>
            <w:tcBorders>
              <w:top w:val="single" w:color="auto" w:sz="4" w:space="0"/>
              <w:left w:val="single" w:color="auto" w:sz="4" w:space="0"/>
              <w:bottom w:val="single" w:color="auto" w:sz="4" w:space="0"/>
              <w:right w:val="single" w:color="auto" w:sz="4" w:space="0"/>
            </w:tcBorders>
            <w:vAlign w:val="center"/>
          </w:tcPr>
          <w:p w14:paraId="47FA2E32">
            <w:pPr>
              <w:pStyle w:val="14"/>
              <w:spacing w:line="360" w:lineRule="auto"/>
              <w:ind w:left="420" w:hanging="420" w:hangingChars="200"/>
              <w:jc w:val="center"/>
              <w:rPr>
                <w:rFonts w:ascii="Times New Roman"/>
                <w:color w:val="000000"/>
                <w:szCs w:val="21"/>
              </w:rPr>
            </w:pPr>
            <w:r>
              <w:rPr>
                <w:rFonts w:ascii="Times New Roman"/>
                <w:color w:val="000000"/>
                <w:szCs w:val="21"/>
              </w:rPr>
              <w:t>电话</w:t>
            </w:r>
          </w:p>
        </w:tc>
      </w:tr>
      <w:tr w14:paraId="646E0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704" w:type="dxa"/>
            <w:tcBorders>
              <w:top w:val="single" w:color="auto" w:sz="4" w:space="0"/>
              <w:left w:val="single" w:color="auto" w:sz="4" w:space="0"/>
              <w:bottom w:val="single" w:color="auto" w:sz="4" w:space="0"/>
              <w:right w:val="single" w:color="auto" w:sz="4" w:space="0"/>
            </w:tcBorders>
            <w:vAlign w:val="center"/>
          </w:tcPr>
          <w:p w14:paraId="004F6941">
            <w:pPr>
              <w:pStyle w:val="14"/>
              <w:spacing w:line="360" w:lineRule="auto"/>
              <w:ind w:firstLine="0" w:firstLineChars="0"/>
              <w:jc w:val="center"/>
              <w:rPr>
                <w:rFonts w:ascii="Times New Roman"/>
                <w:color w:val="000000"/>
                <w:szCs w:val="21"/>
              </w:rPr>
            </w:pPr>
            <w:r>
              <w:rPr>
                <w:rFonts w:ascii="Times New Roman"/>
                <w:color w:val="000000"/>
                <w:szCs w:val="21"/>
              </w:rPr>
              <w:t>1</w:t>
            </w:r>
          </w:p>
        </w:tc>
        <w:tc>
          <w:tcPr>
            <w:tcW w:w="992" w:type="dxa"/>
            <w:tcBorders>
              <w:top w:val="single" w:color="auto" w:sz="4" w:space="0"/>
              <w:left w:val="single" w:color="auto" w:sz="4" w:space="0"/>
              <w:bottom w:val="single" w:color="auto" w:sz="4" w:space="0"/>
              <w:right w:val="single" w:color="auto" w:sz="4" w:space="0"/>
            </w:tcBorders>
            <w:vAlign w:val="center"/>
          </w:tcPr>
          <w:p w14:paraId="0185969E">
            <w:pPr>
              <w:pStyle w:val="14"/>
              <w:spacing w:line="360" w:lineRule="auto"/>
              <w:ind w:left="420" w:hanging="420" w:hangingChars="200"/>
              <w:jc w:val="center"/>
              <w:rPr>
                <w:rFonts w:ascii="Times New Roman"/>
                <w:color w:val="000000"/>
                <w:szCs w:val="21"/>
              </w:rPr>
            </w:pPr>
            <w:r>
              <w:rPr>
                <w:rFonts w:ascii="Times New Roman"/>
              </w:rPr>
              <w:t>张居舟</w:t>
            </w:r>
          </w:p>
        </w:tc>
        <w:tc>
          <w:tcPr>
            <w:tcW w:w="3544" w:type="dxa"/>
            <w:gridSpan w:val="2"/>
            <w:tcBorders>
              <w:top w:val="single" w:color="auto" w:sz="4" w:space="0"/>
              <w:left w:val="single" w:color="auto" w:sz="4" w:space="0"/>
              <w:bottom w:val="single" w:color="auto" w:sz="4" w:space="0"/>
              <w:right w:val="single" w:color="auto" w:sz="4" w:space="0"/>
            </w:tcBorders>
            <w:vAlign w:val="center"/>
          </w:tcPr>
          <w:p w14:paraId="7CEFE11F">
            <w:pPr>
              <w:spacing w:line="360" w:lineRule="auto"/>
              <w:jc w:val="center"/>
              <w:rPr>
                <w:color w:val="000000"/>
                <w:szCs w:val="21"/>
              </w:rPr>
            </w:pPr>
            <w:r>
              <w:t>安徽省食品药品检验研究院</w:t>
            </w:r>
          </w:p>
        </w:tc>
        <w:tc>
          <w:tcPr>
            <w:tcW w:w="1975" w:type="dxa"/>
            <w:tcBorders>
              <w:top w:val="single" w:color="auto" w:sz="4" w:space="0"/>
              <w:left w:val="single" w:color="auto" w:sz="4" w:space="0"/>
              <w:bottom w:val="single" w:color="auto" w:sz="4" w:space="0"/>
              <w:right w:val="single" w:color="auto" w:sz="4" w:space="0"/>
            </w:tcBorders>
            <w:vAlign w:val="center"/>
          </w:tcPr>
          <w:p w14:paraId="199C538B">
            <w:pPr>
              <w:pStyle w:val="14"/>
              <w:spacing w:line="360" w:lineRule="auto"/>
              <w:ind w:firstLine="0" w:firstLineChars="0"/>
              <w:jc w:val="center"/>
              <w:rPr>
                <w:rFonts w:ascii="Times New Roman"/>
                <w:color w:val="000000"/>
                <w:szCs w:val="21"/>
              </w:rPr>
            </w:pPr>
            <w:r>
              <w:rPr>
                <w:rFonts w:ascii="Times New Roman"/>
                <w:color w:val="000000"/>
                <w:szCs w:val="21"/>
              </w:rPr>
              <w:t>正高级工程师</w:t>
            </w:r>
          </w:p>
        </w:tc>
        <w:tc>
          <w:tcPr>
            <w:tcW w:w="2419" w:type="dxa"/>
            <w:tcBorders>
              <w:top w:val="single" w:color="auto" w:sz="4" w:space="0"/>
              <w:left w:val="single" w:color="auto" w:sz="4" w:space="0"/>
              <w:bottom w:val="single" w:color="auto" w:sz="4" w:space="0"/>
              <w:right w:val="single" w:color="auto" w:sz="4" w:space="0"/>
            </w:tcBorders>
            <w:vAlign w:val="center"/>
          </w:tcPr>
          <w:p w14:paraId="1D3DBC50">
            <w:pPr>
              <w:pStyle w:val="14"/>
              <w:spacing w:line="360" w:lineRule="auto"/>
              <w:ind w:firstLine="0" w:firstLineChars="0"/>
              <w:jc w:val="center"/>
              <w:rPr>
                <w:rFonts w:ascii="Times New Roman"/>
                <w:color w:val="000000"/>
                <w:szCs w:val="21"/>
              </w:rPr>
            </w:pPr>
            <w:r>
              <w:rPr>
                <w:rFonts w:ascii="Times New Roman"/>
                <w:color w:val="000000"/>
                <w:szCs w:val="21"/>
              </w:rPr>
              <w:t>13956001993</w:t>
            </w:r>
          </w:p>
        </w:tc>
      </w:tr>
      <w:tr w14:paraId="5BA65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704" w:type="dxa"/>
            <w:tcBorders>
              <w:top w:val="single" w:color="auto" w:sz="4" w:space="0"/>
              <w:left w:val="single" w:color="auto" w:sz="4" w:space="0"/>
              <w:bottom w:val="single" w:color="auto" w:sz="4" w:space="0"/>
              <w:right w:val="single" w:color="auto" w:sz="4" w:space="0"/>
            </w:tcBorders>
            <w:vAlign w:val="center"/>
          </w:tcPr>
          <w:p w14:paraId="415BAC0F">
            <w:pPr>
              <w:pStyle w:val="14"/>
              <w:spacing w:line="360" w:lineRule="auto"/>
              <w:ind w:firstLine="0" w:firstLineChars="0"/>
              <w:jc w:val="center"/>
              <w:rPr>
                <w:rFonts w:ascii="Times New Roman"/>
                <w:color w:val="000000"/>
                <w:szCs w:val="21"/>
              </w:rPr>
            </w:pPr>
            <w:r>
              <w:rPr>
                <w:rFonts w:ascii="Times New Roman"/>
                <w:color w:val="000000"/>
                <w:szCs w:val="21"/>
              </w:rPr>
              <w:t>2</w:t>
            </w:r>
          </w:p>
        </w:tc>
        <w:tc>
          <w:tcPr>
            <w:tcW w:w="992" w:type="dxa"/>
            <w:tcBorders>
              <w:top w:val="single" w:color="auto" w:sz="4" w:space="0"/>
              <w:left w:val="single" w:color="auto" w:sz="4" w:space="0"/>
              <w:bottom w:val="single" w:color="auto" w:sz="4" w:space="0"/>
              <w:right w:val="single" w:color="auto" w:sz="4" w:space="0"/>
            </w:tcBorders>
            <w:vAlign w:val="center"/>
          </w:tcPr>
          <w:p w14:paraId="74E4986F">
            <w:pPr>
              <w:pStyle w:val="14"/>
              <w:spacing w:line="360" w:lineRule="auto"/>
              <w:ind w:left="420" w:hanging="420" w:hangingChars="200"/>
              <w:jc w:val="center"/>
              <w:rPr>
                <w:rFonts w:hint="eastAsia" w:ascii="Times New Roman" w:eastAsia="宋体"/>
                <w:color w:val="000000"/>
                <w:szCs w:val="21"/>
                <w:lang w:val="en-US" w:eastAsia="zh-CN"/>
              </w:rPr>
            </w:pPr>
            <w:r>
              <w:rPr>
                <w:rFonts w:hint="eastAsia" w:ascii="Times New Roman"/>
                <w:color w:val="000000"/>
                <w:szCs w:val="21"/>
                <w:lang w:val="en-US" w:eastAsia="zh-CN"/>
              </w:rPr>
              <w:t>谭炜</w:t>
            </w:r>
          </w:p>
        </w:tc>
        <w:tc>
          <w:tcPr>
            <w:tcW w:w="3544" w:type="dxa"/>
            <w:gridSpan w:val="2"/>
            <w:tcBorders>
              <w:top w:val="single" w:color="auto" w:sz="4" w:space="0"/>
              <w:left w:val="single" w:color="auto" w:sz="4" w:space="0"/>
              <w:bottom w:val="single" w:color="auto" w:sz="4" w:space="0"/>
              <w:right w:val="single" w:color="auto" w:sz="4" w:space="0"/>
            </w:tcBorders>
            <w:vAlign w:val="center"/>
          </w:tcPr>
          <w:p w14:paraId="00B8C421">
            <w:pPr>
              <w:spacing w:line="360" w:lineRule="auto"/>
              <w:jc w:val="center"/>
              <w:rPr>
                <w:color w:val="000000"/>
                <w:szCs w:val="21"/>
              </w:rPr>
            </w:pPr>
            <w:r>
              <w:t>安徽省食品药品检验研究院</w:t>
            </w:r>
          </w:p>
        </w:tc>
        <w:tc>
          <w:tcPr>
            <w:tcW w:w="1975" w:type="dxa"/>
            <w:tcBorders>
              <w:top w:val="single" w:color="auto" w:sz="4" w:space="0"/>
              <w:left w:val="single" w:color="auto" w:sz="4" w:space="0"/>
              <w:bottom w:val="single" w:color="auto" w:sz="4" w:space="0"/>
              <w:right w:val="single" w:color="auto" w:sz="4" w:space="0"/>
            </w:tcBorders>
            <w:vAlign w:val="center"/>
          </w:tcPr>
          <w:p w14:paraId="4B48C562">
            <w:pPr>
              <w:pStyle w:val="14"/>
              <w:spacing w:line="360" w:lineRule="auto"/>
              <w:ind w:firstLine="0" w:firstLineChars="0"/>
              <w:jc w:val="center"/>
              <w:rPr>
                <w:rFonts w:hint="eastAsia" w:ascii="Times New Roman" w:eastAsia="宋体"/>
                <w:color w:val="000000"/>
                <w:szCs w:val="21"/>
                <w:lang w:eastAsia="zh-CN"/>
              </w:rPr>
            </w:pPr>
            <w:r>
              <w:rPr>
                <w:rFonts w:hint="eastAsia" w:ascii="Times New Roman"/>
                <w:color w:val="000000"/>
                <w:szCs w:val="21"/>
                <w:lang w:eastAsia="zh-CN"/>
              </w:rPr>
              <w:t>高级工程师</w:t>
            </w:r>
          </w:p>
        </w:tc>
        <w:tc>
          <w:tcPr>
            <w:tcW w:w="2419" w:type="dxa"/>
            <w:tcBorders>
              <w:top w:val="single" w:color="auto" w:sz="4" w:space="0"/>
              <w:left w:val="single" w:color="auto" w:sz="4" w:space="0"/>
              <w:bottom w:val="single" w:color="auto" w:sz="4" w:space="0"/>
              <w:right w:val="single" w:color="auto" w:sz="4" w:space="0"/>
            </w:tcBorders>
            <w:vAlign w:val="center"/>
          </w:tcPr>
          <w:p w14:paraId="41C91E90">
            <w:pPr>
              <w:pStyle w:val="14"/>
              <w:spacing w:line="360" w:lineRule="auto"/>
              <w:ind w:firstLine="0" w:firstLineChars="0"/>
              <w:jc w:val="center"/>
              <w:rPr>
                <w:rFonts w:hint="default" w:ascii="Times New Roman" w:eastAsia="宋体"/>
                <w:color w:val="000000"/>
                <w:szCs w:val="21"/>
                <w:lang w:val="en-US" w:eastAsia="zh-CN"/>
              </w:rPr>
            </w:pPr>
            <w:r>
              <w:rPr>
                <w:rFonts w:hint="eastAsia" w:ascii="Times New Roman"/>
                <w:color w:val="000000"/>
                <w:szCs w:val="21"/>
                <w:lang w:val="en-US" w:eastAsia="zh-CN"/>
              </w:rPr>
              <w:t>18005604804</w:t>
            </w:r>
          </w:p>
        </w:tc>
      </w:tr>
      <w:tr w14:paraId="58392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704" w:type="dxa"/>
            <w:tcBorders>
              <w:top w:val="single" w:color="auto" w:sz="4" w:space="0"/>
              <w:left w:val="single" w:color="auto" w:sz="4" w:space="0"/>
              <w:bottom w:val="single" w:color="auto" w:sz="4" w:space="0"/>
              <w:right w:val="single" w:color="auto" w:sz="4" w:space="0"/>
            </w:tcBorders>
            <w:vAlign w:val="center"/>
          </w:tcPr>
          <w:p w14:paraId="56E25DC6">
            <w:pPr>
              <w:pStyle w:val="14"/>
              <w:spacing w:line="360" w:lineRule="auto"/>
              <w:ind w:firstLine="0" w:firstLineChars="0"/>
              <w:jc w:val="center"/>
              <w:rPr>
                <w:rFonts w:ascii="Times New Roman"/>
                <w:color w:val="000000"/>
                <w:szCs w:val="21"/>
              </w:rPr>
            </w:pPr>
            <w:r>
              <w:rPr>
                <w:rFonts w:ascii="Times New Roman"/>
                <w:color w:val="000000"/>
                <w:szCs w:val="21"/>
              </w:rPr>
              <w:t>3</w:t>
            </w:r>
          </w:p>
        </w:tc>
        <w:tc>
          <w:tcPr>
            <w:tcW w:w="992" w:type="dxa"/>
            <w:tcBorders>
              <w:top w:val="single" w:color="auto" w:sz="4" w:space="0"/>
              <w:left w:val="single" w:color="auto" w:sz="4" w:space="0"/>
              <w:bottom w:val="single" w:color="auto" w:sz="4" w:space="0"/>
              <w:right w:val="single" w:color="auto" w:sz="4" w:space="0"/>
            </w:tcBorders>
            <w:vAlign w:val="center"/>
          </w:tcPr>
          <w:p w14:paraId="45344EB2">
            <w:pPr>
              <w:pStyle w:val="14"/>
              <w:spacing w:line="360" w:lineRule="auto"/>
              <w:ind w:firstLine="0" w:firstLineChars="0"/>
              <w:jc w:val="center"/>
              <w:rPr>
                <w:rFonts w:hint="eastAsia" w:ascii="Times New Roman" w:eastAsia="宋体"/>
                <w:color w:val="000000"/>
                <w:szCs w:val="21"/>
                <w:lang w:eastAsia="zh-CN"/>
              </w:rPr>
            </w:pPr>
            <w:r>
              <w:rPr>
                <w:rFonts w:hint="eastAsia" w:ascii="Times New Roman"/>
                <w:color w:val="000000"/>
                <w:szCs w:val="21"/>
                <w:lang w:eastAsia="zh-CN"/>
              </w:rPr>
              <w:t>朱慧敏</w:t>
            </w:r>
          </w:p>
        </w:tc>
        <w:tc>
          <w:tcPr>
            <w:tcW w:w="3544" w:type="dxa"/>
            <w:gridSpan w:val="2"/>
            <w:tcBorders>
              <w:top w:val="single" w:color="auto" w:sz="4" w:space="0"/>
              <w:left w:val="single" w:color="auto" w:sz="4" w:space="0"/>
              <w:bottom w:val="single" w:color="auto" w:sz="4" w:space="0"/>
              <w:right w:val="single" w:color="auto" w:sz="4" w:space="0"/>
            </w:tcBorders>
            <w:vAlign w:val="center"/>
          </w:tcPr>
          <w:p w14:paraId="02BBCD5F">
            <w:pPr>
              <w:spacing w:line="360" w:lineRule="auto"/>
              <w:ind w:left="600" w:hanging="600"/>
              <w:jc w:val="center"/>
              <w:rPr>
                <w:color w:val="000000"/>
                <w:szCs w:val="21"/>
              </w:rPr>
            </w:pPr>
            <w:r>
              <w:t>安徽省食品药品检验研究院</w:t>
            </w:r>
          </w:p>
        </w:tc>
        <w:tc>
          <w:tcPr>
            <w:tcW w:w="1975" w:type="dxa"/>
            <w:tcBorders>
              <w:top w:val="single" w:color="auto" w:sz="4" w:space="0"/>
              <w:left w:val="single" w:color="auto" w:sz="4" w:space="0"/>
              <w:bottom w:val="single" w:color="auto" w:sz="4" w:space="0"/>
              <w:right w:val="single" w:color="auto" w:sz="4" w:space="0"/>
            </w:tcBorders>
            <w:vAlign w:val="center"/>
          </w:tcPr>
          <w:p w14:paraId="79C26CA8">
            <w:pPr>
              <w:pStyle w:val="14"/>
              <w:spacing w:line="360" w:lineRule="auto"/>
              <w:ind w:firstLine="0" w:firstLineChars="0"/>
              <w:jc w:val="center"/>
              <w:rPr>
                <w:rFonts w:ascii="Times New Roman"/>
                <w:color w:val="000000"/>
                <w:szCs w:val="21"/>
              </w:rPr>
            </w:pPr>
          </w:p>
        </w:tc>
        <w:tc>
          <w:tcPr>
            <w:tcW w:w="2419" w:type="dxa"/>
            <w:tcBorders>
              <w:top w:val="single" w:color="auto" w:sz="4" w:space="0"/>
              <w:left w:val="single" w:color="auto" w:sz="4" w:space="0"/>
              <w:bottom w:val="single" w:color="auto" w:sz="4" w:space="0"/>
              <w:right w:val="single" w:color="auto" w:sz="4" w:space="0"/>
            </w:tcBorders>
            <w:vAlign w:val="center"/>
          </w:tcPr>
          <w:p w14:paraId="32CF5D40">
            <w:pPr>
              <w:pStyle w:val="14"/>
              <w:spacing w:line="360" w:lineRule="auto"/>
              <w:ind w:firstLine="0" w:firstLineChars="0"/>
              <w:jc w:val="center"/>
              <w:rPr>
                <w:rFonts w:ascii="Times New Roman"/>
                <w:color w:val="000000"/>
                <w:szCs w:val="21"/>
              </w:rPr>
            </w:pPr>
            <w:bookmarkStart w:id="30" w:name="_GoBack"/>
            <w:bookmarkEnd w:id="30"/>
          </w:p>
        </w:tc>
      </w:tr>
      <w:tr w14:paraId="7083A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704" w:type="dxa"/>
            <w:tcBorders>
              <w:top w:val="single" w:color="auto" w:sz="4" w:space="0"/>
              <w:left w:val="single" w:color="auto" w:sz="4" w:space="0"/>
              <w:bottom w:val="single" w:color="auto" w:sz="4" w:space="0"/>
              <w:right w:val="single" w:color="auto" w:sz="4" w:space="0"/>
            </w:tcBorders>
            <w:vAlign w:val="center"/>
          </w:tcPr>
          <w:p w14:paraId="2293C2C7">
            <w:pPr>
              <w:pStyle w:val="14"/>
              <w:spacing w:line="360" w:lineRule="auto"/>
              <w:ind w:firstLine="0" w:firstLineChars="0"/>
              <w:jc w:val="center"/>
              <w:rPr>
                <w:rFonts w:ascii="Times New Roman"/>
                <w:color w:val="000000"/>
                <w:szCs w:val="21"/>
              </w:rPr>
            </w:pPr>
            <w:r>
              <w:rPr>
                <w:rFonts w:ascii="Times New Roman"/>
                <w:color w:val="000000"/>
                <w:szCs w:val="21"/>
              </w:rPr>
              <w:t>4</w:t>
            </w:r>
          </w:p>
        </w:tc>
        <w:tc>
          <w:tcPr>
            <w:tcW w:w="992" w:type="dxa"/>
            <w:tcBorders>
              <w:top w:val="single" w:color="auto" w:sz="4" w:space="0"/>
              <w:left w:val="single" w:color="auto" w:sz="4" w:space="0"/>
              <w:bottom w:val="single" w:color="auto" w:sz="4" w:space="0"/>
              <w:right w:val="single" w:color="auto" w:sz="4" w:space="0"/>
            </w:tcBorders>
            <w:vAlign w:val="center"/>
          </w:tcPr>
          <w:p w14:paraId="19A405C4">
            <w:pPr>
              <w:pStyle w:val="14"/>
              <w:spacing w:line="360" w:lineRule="auto"/>
              <w:ind w:firstLine="0" w:firstLineChars="0"/>
              <w:jc w:val="center"/>
              <w:rPr>
                <w:rFonts w:ascii="Times New Roman"/>
                <w:color w:val="000000"/>
                <w:szCs w:val="21"/>
              </w:rPr>
            </w:pPr>
          </w:p>
        </w:tc>
        <w:tc>
          <w:tcPr>
            <w:tcW w:w="3544" w:type="dxa"/>
            <w:gridSpan w:val="2"/>
            <w:tcBorders>
              <w:top w:val="single" w:color="auto" w:sz="4" w:space="0"/>
              <w:left w:val="single" w:color="auto" w:sz="4" w:space="0"/>
              <w:bottom w:val="single" w:color="auto" w:sz="4" w:space="0"/>
              <w:right w:val="single" w:color="auto" w:sz="4" w:space="0"/>
            </w:tcBorders>
            <w:vAlign w:val="center"/>
          </w:tcPr>
          <w:p w14:paraId="447DEFE4">
            <w:pPr>
              <w:spacing w:line="360" w:lineRule="auto"/>
              <w:ind w:left="180" w:hanging="180"/>
              <w:jc w:val="center"/>
              <w:rPr>
                <w:szCs w:val="21"/>
              </w:rPr>
            </w:pPr>
          </w:p>
        </w:tc>
        <w:tc>
          <w:tcPr>
            <w:tcW w:w="1975" w:type="dxa"/>
            <w:tcBorders>
              <w:top w:val="single" w:color="auto" w:sz="4" w:space="0"/>
              <w:left w:val="single" w:color="auto" w:sz="4" w:space="0"/>
              <w:bottom w:val="single" w:color="auto" w:sz="4" w:space="0"/>
              <w:right w:val="single" w:color="auto" w:sz="4" w:space="0"/>
            </w:tcBorders>
            <w:vAlign w:val="center"/>
          </w:tcPr>
          <w:p w14:paraId="2E68E6CE">
            <w:pPr>
              <w:pStyle w:val="14"/>
              <w:spacing w:line="360" w:lineRule="auto"/>
              <w:ind w:firstLine="0" w:firstLineChars="0"/>
              <w:jc w:val="center"/>
              <w:rPr>
                <w:rFonts w:ascii="Times New Roman"/>
                <w:szCs w:val="21"/>
              </w:rPr>
            </w:pPr>
          </w:p>
        </w:tc>
        <w:tc>
          <w:tcPr>
            <w:tcW w:w="2419" w:type="dxa"/>
            <w:tcBorders>
              <w:top w:val="single" w:color="auto" w:sz="4" w:space="0"/>
              <w:left w:val="single" w:color="auto" w:sz="4" w:space="0"/>
              <w:bottom w:val="single" w:color="auto" w:sz="4" w:space="0"/>
              <w:right w:val="single" w:color="auto" w:sz="4" w:space="0"/>
            </w:tcBorders>
            <w:vAlign w:val="center"/>
          </w:tcPr>
          <w:p w14:paraId="096B32AC">
            <w:pPr>
              <w:pStyle w:val="14"/>
              <w:spacing w:line="360" w:lineRule="auto"/>
              <w:ind w:firstLine="0" w:firstLineChars="0"/>
              <w:jc w:val="center"/>
              <w:rPr>
                <w:rFonts w:ascii="Times New Roman"/>
                <w:szCs w:val="21"/>
              </w:rPr>
            </w:pPr>
          </w:p>
        </w:tc>
      </w:tr>
      <w:tr w14:paraId="09F79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704" w:type="dxa"/>
            <w:tcBorders>
              <w:top w:val="single" w:color="auto" w:sz="4" w:space="0"/>
              <w:left w:val="single" w:color="auto" w:sz="4" w:space="0"/>
              <w:bottom w:val="single" w:color="auto" w:sz="4" w:space="0"/>
              <w:right w:val="single" w:color="auto" w:sz="4" w:space="0"/>
            </w:tcBorders>
            <w:vAlign w:val="center"/>
          </w:tcPr>
          <w:p w14:paraId="06DF52E7">
            <w:pPr>
              <w:pStyle w:val="14"/>
              <w:spacing w:line="360" w:lineRule="auto"/>
              <w:ind w:firstLine="0" w:firstLineChars="0"/>
              <w:jc w:val="center"/>
              <w:rPr>
                <w:rFonts w:ascii="Times New Roman"/>
                <w:color w:val="000000"/>
                <w:szCs w:val="21"/>
              </w:rPr>
            </w:pPr>
            <w:r>
              <w:rPr>
                <w:rFonts w:ascii="Times New Roman"/>
                <w:color w:val="000000"/>
                <w:szCs w:val="21"/>
              </w:rPr>
              <w:t>5</w:t>
            </w:r>
          </w:p>
        </w:tc>
        <w:tc>
          <w:tcPr>
            <w:tcW w:w="992" w:type="dxa"/>
            <w:tcBorders>
              <w:top w:val="single" w:color="auto" w:sz="4" w:space="0"/>
              <w:left w:val="single" w:color="auto" w:sz="4" w:space="0"/>
              <w:bottom w:val="single" w:color="auto" w:sz="4" w:space="0"/>
              <w:right w:val="single" w:color="auto" w:sz="4" w:space="0"/>
            </w:tcBorders>
            <w:vAlign w:val="center"/>
          </w:tcPr>
          <w:p w14:paraId="407C1EFE">
            <w:pPr>
              <w:pStyle w:val="14"/>
              <w:spacing w:line="360" w:lineRule="auto"/>
              <w:ind w:firstLine="0" w:firstLineChars="0"/>
              <w:jc w:val="center"/>
              <w:rPr>
                <w:rFonts w:ascii="Times New Roman"/>
                <w:color w:val="000000"/>
                <w:szCs w:val="21"/>
              </w:rPr>
            </w:pPr>
          </w:p>
        </w:tc>
        <w:tc>
          <w:tcPr>
            <w:tcW w:w="3544" w:type="dxa"/>
            <w:gridSpan w:val="2"/>
            <w:tcBorders>
              <w:top w:val="single" w:color="auto" w:sz="4" w:space="0"/>
              <w:left w:val="single" w:color="auto" w:sz="4" w:space="0"/>
              <w:bottom w:val="single" w:color="auto" w:sz="4" w:space="0"/>
              <w:right w:val="single" w:color="auto" w:sz="4" w:space="0"/>
            </w:tcBorders>
            <w:vAlign w:val="center"/>
          </w:tcPr>
          <w:p w14:paraId="74BDBD27">
            <w:pPr>
              <w:spacing w:line="360" w:lineRule="auto"/>
              <w:jc w:val="center"/>
              <w:rPr>
                <w:color w:val="000000"/>
                <w:szCs w:val="21"/>
              </w:rPr>
            </w:pPr>
          </w:p>
        </w:tc>
        <w:tc>
          <w:tcPr>
            <w:tcW w:w="1975" w:type="dxa"/>
            <w:tcBorders>
              <w:top w:val="single" w:color="auto" w:sz="4" w:space="0"/>
              <w:left w:val="single" w:color="auto" w:sz="4" w:space="0"/>
              <w:bottom w:val="single" w:color="auto" w:sz="4" w:space="0"/>
              <w:right w:val="single" w:color="auto" w:sz="4" w:space="0"/>
            </w:tcBorders>
            <w:vAlign w:val="center"/>
          </w:tcPr>
          <w:p w14:paraId="2E0E7AEE">
            <w:pPr>
              <w:pStyle w:val="14"/>
              <w:spacing w:line="360" w:lineRule="auto"/>
              <w:ind w:firstLine="0" w:firstLineChars="0"/>
              <w:jc w:val="center"/>
              <w:rPr>
                <w:rFonts w:ascii="Times New Roman"/>
                <w:color w:val="000000"/>
                <w:szCs w:val="21"/>
              </w:rPr>
            </w:pPr>
          </w:p>
        </w:tc>
        <w:tc>
          <w:tcPr>
            <w:tcW w:w="2419" w:type="dxa"/>
            <w:tcBorders>
              <w:top w:val="single" w:color="auto" w:sz="4" w:space="0"/>
              <w:left w:val="single" w:color="auto" w:sz="4" w:space="0"/>
              <w:bottom w:val="single" w:color="auto" w:sz="4" w:space="0"/>
              <w:right w:val="single" w:color="auto" w:sz="4" w:space="0"/>
            </w:tcBorders>
            <w:vAlign w:val="center"/>
          </w:tcPr>
          <w:p w14:paraId="7C8EB661">
            <w:pPr>
              <w:pStyle w:val="14"/>
              <w:spacing w:line="360" w:lineRule="auto"/>
              <w:ind w:firstLine="0" w:firstLineChars="0"/>
              <w:jc w:val="center"/>
              <w:rPr>
                <w:rFonts w:ascii="Times New Roman"/>
                <w:color w:val="000000"/>
                <w:szCs w:val="21"/>
              </w:rPr>
            </w:pPr>
          </w:p>
        </w:tc>
      </w:tr>
      <w:tr w14:paraId="3B339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704" w:type="dxa"/>
            <w:tcBorders>
              <w:top w:val="single" w:color="auto" w:sz="4" w:space="0"/>
              <w:left w:val="single" w:color="auto" w:sz="4" w:space="0"/>
              <w:bottom w:val="single" w:color="auto" w:sz="4" w:space="0"/>
              <w:right w:val="single" w:color="auto" w:sz="4" w:space="0"/>
            </w:tcBorders>
            <w:vAlign w:val="center"/>
          </w:tcPr>
          <w:p w14:paraId="7AEC1F2E">
            <w:pPr>
              <w:pStyle w:val="14"/>
              <w:spacing w:line="360" w:lineRule="auto"/>
              <w:ind w:firstLine="0" w:firstLineChars="0"/>
              <w:jc w:val="center"/>
              <w:rPr>
                <w:rFonts w:ascii="Times New Roman"/>
                <w:color w:val="000000"/>
                <w:szCs w:val="21"/>
              </w:rPr>
            </w:pPr>
            <w:r>
              <w:rPr>
                <w:rFonts w:ascii="Times New Roman"/>
                <w:color w:val="000000"/>
                <w:szCs w:val="21"/>
              </w:rPr>
              <w:t>6</w:t>
            </w:r>
          </w:p>
        </w:tc>
        <w:tc>
          <w:tcPr>
            <w:tcW w:w="992" w:type="dxa"/>
            <w:tcBorders>
              <w:top w:val="single" w:color="auto" w:sz="4" w:space="0"/>
              <w:left w:val="single" w:color="auto" w:sz="4" w:space="0"/>
              <w:bottom w:val="single" w:color="auto" w:sz="4" w:space="0"/>
              <w:right w:val="single" w:color="auto" w:sz="4" w:space="0"/>
            </w:tcBorders>
            <w:vAlign w:val="center"/>
          </w:tcPr>
          <w:p w14:paraId="4F750FDC">
            <w:pPr>
              <w:pStyle w:val="14"/>
              <w:spacing w:line="360" w:lineRule="auto"/>
              <w:ind w:firstLine="0" w:firstLineChars="0"/>
              <w:jc w:val="center"/>
              <w:rPr>
                <w:rFonts w:ascii="Times New Roman"/>
                <w:color w:val="000000"/>
                <w:szCs w:val="21"/>
              </w:rPr>
            </w:pPr>
          </w:p>
        </w:tc>
        <w:tc>
          <w:tcPr>
            <w:tcW w:w="3544" w:type="dxa"/>
            <w:gridSpan w:val="2"/>
            <w:tcBorders>
              <w:top w:val="single" w:color="auto" w:sz="4" w:space="0"/>
              <w:left w:val="single" w:color="auto" w:sz="4" w:space="0"/>
              <w:bottom w:val="single" w:color="auto" w:sz="4" w:space="0"/>
              <w:right w:val="single" w:color="auto" w:sz="4" w:space="0"/>
            </w:tcBorders>
            <w:vAlign w:val="center"/>
          </w:tcPr>
          <w:p w14:paraId="58EE5758">
            <w:pPr>
              <w:spacing w:line="360" w:lineRule="auto"/>
              <w:jc w:val="center"/>
              <w:rPr>
                <w:color w:val="000000"/>
                <w:szCs w:val="21"/>
              </w:rPr>
            </w:pPr>
          </w:p>
        </w:tc>
        <w:tc>
          <w:tcPr>
            <w:tcW w:w="1975" w:type="dxa"/>
            <w:tcBorders>
              <w:top w:val="single" w:color="auto" w:sz="4" w:space="0"/>
              <w:left w:val="single" w:color="auto" w:sz="4" w:space="0"/>
              <w:bottom w:val="single" w:color="auto" w:sz="4" w:space="0"/>
              <w:right w:val="single" w:color="auto" w:sz="4" w:space="0"/>
            </w:tcBorders>
            <w:vAlign w:val="center"/>
          </w:tcPr>
          <w:p w14:paraId="4A999E70">
            <w:pPr>
              <w:pStyle w:val="14"/>
              <w:spacing w:line="360" w:lineRule="auto"/>
              <w:ind w:firstLine="0" w:firstLineChars="0"/>
              <w:jc w:val="center"/>
              <w:rPr>
                <w:rFonts w:ascii="Times New Roman"/>
                <w:color w:val="000000"/>
                <w:szCs w:val="21"/>
              </w:rPr>
            </w:pPr>
          </w:p>
        </w:tc>
        <w:tc>
          <w:tcPr>
            <w:tcW w:w="2419" w:type="dxa"/>
            <w:tcBorders>
              <w:top w:val="single" w:color="auto" w:sz="4" w:space="0"/>
              <w:left w:val="single" w:color="auto" w:sz="4" w:space="0"/>
              <w:bottom w:val="single" w:color="auto" w:sz="4" w:space="0"/>
              <w:right w:val="single" w:color="auto" w:sz="4" w:space="0"/>
            </w:tcBorders>
            <w:vAlign w:val="center"/>
          </w:tcPr>
          <w:p w14:paraId="026015DE">
            <w:pPr>
              <w:pStyle w:val="14"/>
              <w:spacing w:line="360" w:lineRule="auto"/>
              <w:ind w:firstLine="0" w:firstLineChars="0"/>
              <w:jc w:val="center"/>
              <w:rPr>
                <w:rFonts w:ascii="Times New Roman"/>
                <w:color w:val="000000"/>
                <w:szCs w:val="21"/>
              </w:rPr>
            </w:pPr>
          </w:p>
        </w:tc>
      </w:tr>
      <w:tr w14:paraId="00DB7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704" w:type="dxa"/>
            <w:tcBorders>
              <w:top w:val="single" w:color="auto" w:sz="4" w:space="0"/>
              <w:left w:val="single" w:color="auto" w:sz="4" w:space="0"/>
              <w:bottom w:val="single" w:color="auto" w:sz="4" w:space="0"/>
              <w:right w:val="single" w:color="auto" w:sz="4" w:space="0"/>
            </w:tcBorders>
            <w:vAlign w:val="center"/>
          </w:tcPr>
          <w:p w14:paraId="138A8E22">
            <w:pPr>
              <w:pStyle w:val="14"/>
              <w:spacing w:line="360" w:lineRule="auto"/>
              <w:ind w:firstLine="0" w:firstLineChars="0"/>
              <w:jc w:val="center"/>
              <w:rPr>
                <w:rFonts w:ascii="Times New Roman"/>
                <w:color w:val="000000"/>
                <w:szCs w:val="21"/>
              </w:rPr>
            </w:pPr>
            <w:r>
              <w:rPr>
                <w:rFonts w:ascii="Times New Roman"/>
                <w:color w:val="000000"/>
                <w:szCs w:val="21"/>
              </w:rPr>
              <w:t>7</w:t>
            </w:r>
          </w:p>
        </w:tc>
        <w:tc>
          <w:tcPr>
            <w:tcW w:w="992" w:type="dxa"/>
            <w:tcBorders>
              <w:top w:val="single" w:color="auto" w:sz="4" w:space="0"/>
              <w:left w:val="single" w:color="auto" w:sz="4" w:space="0"/>
              <w:bottom w:val="single" w:color="auto" w:sz="4" w:space="0"/>
              <w:right w:val="single" w:color="auto" w:sz="4" w:space="0"/>
            </w:tcBorders>
            <w:vAlign w:val="center"/>
          </w:tcPr>
          <w:p w14:paraId="457B6340">
            <w:pPr>
              <w:pStyle w:val="14"/>
              <w:spacing w:line="360" w:lineRule="auto"/>
              <w:ind w:firstLine="0" w:firstLineChars="0"/>
              <w:jc w:val="center"/>
              <w:rPr>
                <w:rFonts w:ascii="Times New Roman"/>
              </w:rPr>
            </w:pPr>
          </w:p>
        </w:tc>
        <w:tc>
          <w:tcPr>
            <w:tcW w:w="3544" w:type="dxa"/>
            <w:gridSpan w:val="2"/>
            <w:tcBorders>
              <w:top w:val="single" w:color="auto" w:sz="4" w:space="0"/>
              <w:left w:val="single" w:color="auto" w:sz="4" w:space="0"/>
              <w:bottom w:val="single" w:color="auto" w:sz="4" w:space="0"/>
              <w:right w:val="single" w:color="auto" w:sz="4" w:space="0"/>
            </w:tcBorders>
            <w:vAlign w:val="center"/>
          </w:tcPr>
          <w:p w14:paraId="299B713B">
            <w:pPr>
              <w:spacing w:line="360" w:lineRule="auto"/>
              <w:jc w:val="center"/>
              <w:rPr>
                <w:color w:val="000000"/>
                <w:szCs w:val="21"/>
              </w:rPr>
            </w:pPr>
          </w:p>
        </w:tc>
        <w:tc>
          <w:tcPr>
            <w:tcW w:w="1975" w:type="dxa"/>
            <w:tcBorders>
              <w:top w:val="single" w:color="auto" w:sz="4" w:space="0"/>
              <w:left w:val="single" w:color="auto" w:sz="4" w:space="0"/>
              <w:bottom w:val="single" w:color="auto" w:sz="4" w:space="0"/>
              <w:right w:val="single" w:color="auto" w:sz="4" w:space="0"/>
            </w:tcBorders>
            <w:vAlign w:val="center"/>
          </w:tcPr>
          <w:p w14:paraId="4B53BC40">
            <w:pPr>
              <w:pStyle w:val="14"/>
              <w:spacing w:line="360" w:lineRule="auto"/>
              <w:ind w:firstLine="0" w:firstLineChars="0"/>
              <w:jc w:val="center"/>
              <w:rPr>
                <w:rFonts w:ascii="Times New Roman"/>
                <w:color w:val="000000"/>
                <w:szCs w:val="21"/>
              </w:rPr>
            </w:pPr>
          </w:p>
        </w:tc>
        <w:tc>
          <w:tcPr>
            <w:tcW w:w="2419" w:type="dxa"/>
            <w:tcBorders>
              <w:top w:val="single" w:color="auto" w:sz="4" w:space="0"/>
              <w:left w:val="single" w:color="auto" w:sz="4" w:space="0"/>
              <w:bottom w:val="single" w:color="auto" w:sz="4" w:space="0"/>
              <w:right w:val="single" w:color="auto" w:sz="4" w:space="0"/>
            </w:tcBorders>
            <w:vAlign w:val="center"/>
          </w:tcPr>
          <w:p w14:paraId="6669B897">
            <w:pPr>
              <w:pStyle w:val="14"/>
              <w:spacing w:line="360" w:lineRule="auto"/>
              <w:ind w:firstLine="0" w:firstLineChars="0"/>
              <w:jc w:val="center"/>
              <w:rPr>
                <w:rFonts w:ascii="Times New Roman"/>
                <w:color w:val="000000"/>
                <w:szCs w:val="21"/>
              </w:rPr>
            </w:pPr>
          </w:p>
        </w:tc>
      </w:tr>
      <w:tr w14:paraId="29B63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704" w:type="dxa"/>
            <w:tcBorders>
              <w:top w:val="single" w:color="auto" w:sz="4" w:space="0"/>
              <w:left w:val="single" w:color="auto" w:sz="4" w:space="0"/>
              <w:bottom w:val="single" w:color="auto" w:sz="4" w:space="0"/>
              <w:right w:val="single" w:color="auto" w:sz="4" w:space="0"/>
            </w:tcBorders>
            <w:vAlign w:val="center"/>
          </w:tcPr>
          <w:p w14:paraId="3AB6E7A4">
            <w:pPr>
              <w:pStyle w:val="14"/>
              <w:spacing w:line="360" w:lineRule="auto"/>
              <w:ind w:firstLine="0" w:firstLineChars="0"/>
              <w:jc w:val="center"/>
              <w:rPr>
                <w:rFonts w:ascii="Times New Roman"/>
                <w:color w:val="000000"/>
                <w:szCs w:val="21"/>
              </w:rPr>
            </w:pPr>
            <w:r>
              <w:rPr>
                <w:rFonts w:ascii="Times New Roman"/>
                <w:color w:val="000000"/>
                <w:szCs w:val="21"/>
              </w:rPr>
              <w:t>8</w:t>
            </w:r>
          </w:p>
        </w:tc>
        <w:tc>
          <w:tcPr>
            <w:tcW w:w="992" w:type="dxa"/>
            <w:tcBorders>
              <w:top w:val="single" w:color="auto" w:sz="4" w:space="0"/>
              <w:left w:val="single" w:color="auto" w:sz="4" w:space="0"/>
              <w:bottom w:val="single" w:color="auto" w:sz="4" w:space="0"/>
              <w:right w:val="single" w:color="auto" w:sz="4" w:space="0"/>
            </w:tcBorders>
            <w:vAlign w:val="center"/>
          </w:tcPr>
          <w:p w14:paraId="15E14071">
            <w:pPr>
              <w:pStyle w:val="14"/>
              <w:spacing w:line="360" w:lineRule="auto"/>
              <w:ind w:firstLine="0" w:firstLineChars="0"/>
              <w:jc w:val="center"/>
              <w:rPr>
                <w:rFonts w:ascii="Times New Roman"/>
              </w:rPr>
            </w:pPr>
          </w:p>
        </w:tc>
        <w:tc>
          <w:tcPr>
            <w:tcW w:w="3544" w:type="dxa"/>
            <w:gridSpan w:val="2"/>
            <w:tcBorders>
              <w:top w:val="single" w:color="auto" w:sz="4" w:space="0"/>
              <w:left w:val="single" w:color="auto" w:sz="4" w:space="0"/>
              <w:bottom w:val="single" w:color="auto" w:sz="4" w:space="0"/>
              <w:right w:val="single" w:color="auto" w:sz="4" w:space="0"/>
            </w:tcBorders>
            <w:vAlign w:val="center"/>
          </w:tcPr>
          <w:p w14:paraId="7D71FBEC">
            <w:pPr>
              <w:spacing w:line="360" w:lineRule="auto"/>
              <w:jc w:val="center"/>
              <w:rPr>
                <w:color w:val="000000"/>
                <w:szCs w:val="21"/>
              </w:rPr>
            </w:pPr>
          </w:p>
        </w:tc>
        <w:tc>
          <w:tcPr>
            <w:tcW w:w="1975" w:type="dxa"/>
            <w:tcBorders>
              <w:top w:val="single" w:color="auto" w:sz="4" w:space="0"/>
              <w:left w:val="single" w:color="auto" w:sz="4" w:space="0"/>
              <w:bottom w:val="single" w:color="auto" w:sz="4" w:space="0"/>
              <w:right w:val="single" w:color="auto" w:sz="4" w:space="0"/>
            </w:tcBorders>
            <w:vAlign w:val="center"/>
          </w:tcPr>
          <w:p w14:paraId="18DA9AE0">
            <w:pPr>
              <w:pStyle w:val="14"/>
              <w:spacing w:line="360" w:lineRule="auto"/>
              <w:ind w:firstLine="0" w:firstLineChars="0"/>
              <w:jc w:val="center"/>
              <w:rPr>
                <w:rFonts w:ascii="Times New Roman"/>
                <w:szCs w:val="21"/>
              </w:rPr>
            </w:pPr>
          </w:p>
        </w:tc>
        <w:tc>
          <w:tcPr>
            <w:tcW w:w="2419" w:type="dxa"/>
            <w:tcBorders>
              <w:top w:val="single" w:color="auto" w:sz="4" w:space="0"/>
              <w:left w:val="single" w:color="auto" w:sz="4" w:space="0"/>
              <w:bottom w:val="single" w:color="auto" w:sz="4" w:space="0"/>
              <w:right w:val="single" w:color="auto" w:sz="4" w:space="0"/>
            </w:tcBorders>
            <w:vAlign w:val="center"/>
          </w:tcPr>
          <w:p w14:paraId="15744CE2">
            <w:pPr>
              <w:pStyle w:val="14"/>
              <w:spacing w:line="360" w:lineRule="auto"/>
              <w:ind w:firstLine="0" w:firstLineChars="0"/>
              <w:jc w:val="center"/>
              <w:rPr>
                <w:rFonts w:ascii="Times New Roman"/>
                <w:szCs w:val="21"/>
              </w:rPr>
            </w:pPr>
          </w:p>
        </w:tc>
      </w:tr>
      <w:tr w14:paraId="3FCC6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704" w:type="dxa"/>
            <w:tcBorders>
              <w:top w:val="single" w:color="auto" w:sz="4" w:space="0"/>
              <w:left w:val="single" w:color="auto" w:sz="4" w:space="0"/>
              <w:bottom w:val="single" w:color="auto" w:sz="4" w:space="0"/>
              <w:right w:val="single" w:color="auto" w:sz="4" w:space="0"/>
            </w:tcBorders>
            <w:vAlign w:val="center"/>
          </w:tcPr>
          <w:p w14:paraId="797872E8">
            <w:pPr>
              <w:pStyle w:val="14"/>
              <w:spacing w:line="360" w:lineRule="auto"/>
              <w:ind w:firstLine="0" w:firstLineChars="0"/>
              <w:jc w:val="center"/>
              <w:rPr>
                <w:rFonts w:ascii="Times New Roman"/>
                <w:color w:val="000000"/>
                <w:szCs w:val="21"/>
              </w:rPr>
            </w:pPr>
            <w:r>
              <w:rPr>
                <w:rFonts w:ascii="Times New Roman"/>
                <w:color w:val="000000"/>
                <w:szCs w:val="21"/>
              </w:rPr>
              <w:t>9</w:t>
            </w:r>
          </w:p>
        </w:tc>
        <w:tc>
          <w:tcPr>
            <w:tcW w:w="992" w:type="dxa"/>
            <w:tcBorders>
              <w:top w:val="single" w:color="auto" w:sz="4" w:space="0"/>
              <w:left w:val="single" w:color="auto" w:sz="4" w:space="0"/>
              <w:bottom w:val="single" w:color="auto" w:sz="4" w:space="0"/>
              <w:right w:val="single" w:color="auto" w:sz="4" w:space="0"/>
            </w:tcBorders>
            <w:vAlign w:val="center"/>
          </w:tcPr>
          <w:p w14:paraId="1CDD1CBA">
            <w:pPr>
              <w:pStyle w:val="14"/>
              <w:spacing w:line="360" w:lineRule="auto"/>
              <w:ind w:firstLine="0" w:firstLineChars="0"/>
              <w:jc w:val="center"/>
              <w:rPr>
                <w:rFonts w:ascii="Times New Roman"/>
                <w:color w:val="000000"/>
                <w:szCs w:val="21"/>
              </w:rPr>
            </w:pPr>
          </w:p>
        </w:tc>
        <w:tc>
          <w:tcPr>
            <w:tcW w:w="3544" w:type="dxa"/>
            <w:gridSpan w:val="2"/>
            <w:tcBorders>
              <w:top w:val="single" w:color="auto" w:sz="4" w:space="0"/>
              <w:left w:val="single" w:color="auto" w:sz="4" w:space="0"/>
              <w:bottom w:val="single" w:color="auto" w:sz="4" w:space="0"/>
              <w:right w:val="single" w:color="auto" w:sz="4" w:space="0"/>
            </w:tcBorders>
            <w:vAlign w:val="center"/>
          </w:tcPr>
          <w:p w14:paraId="69A3DB84">
            <w:pPr>
              <w:spacing w:line="360" w:lineRule="auto"/>
              <w:ind w:left="180" w:hanging="180"/>
              <w:jc w:val="center"/>
              <w:rPr>
                <w:color w:val="000000"/>
                <w:szCs w:val="21"/>
              </w:rPr>
            </w:pPr>
          </w:p>
        </w:tc>
        <w:tc>
          <w:tcPr>
            <w:tcW w:w="1975" w:type="dxa"/>
            <w:tcBorders>
              <w:top w:val="single" w:color="auto" w:sz="4" w:space="0"/>
              <w:left w:val="single" w:color="auto" w:sz="4" w:space="0"/>
              <w:bottom w:val="single" w:color="auto" w:sz="4" w:space="0"/>
              <w:right w:val="single" w:color="auto" w:sz="4" w:space="0"/>
            </w:tcBorders>
            <w:vAlign w:val="center"/>
          </w:tcPr>
          <w:p w14:paraId="4E294FE3">
            <w:pPr>
              <w:pStyle w:val="14"/>
              <w:spacing w:line="360" w:lineRule="auto"/>
              <w:ind w:firstLine="0" w:firstLineChars="0"/>
              <w:jc w:val="center"/>
              <w:rPr>
                <w:rFonts w:ascii="Times New Roman"/>
                <w:color w:val="000000"/>
                <w:szCs w:val="21"/>
              </w:rPr>
            </w:pPr>
          </w:p>
        </w:tc>
        <w:tc>
          <w:tcPr>
            <w:tcW w:w="2419" w:type="dxa"/>
            <w:tcBorders>
              <w:top w:val="single" w:color="auto" w:sz="4" w:space="0"/>
              <w:left w:val="single" w:color="auto" w:sz="4" w:space="0"/>
              <w:bottom w:val="single" w:color="auto" w:sz="4" w:space="0"/>
              <w:right w:val="single" w:color="auto" w:sz="4" w:space="0"/>
            </w:tcBorders>
            <w:vAlign w:val="center"/>
          </w:tcPr>
          <w:p w14:paraId="21EA97C0">
            <w:pPr>
              <w:pStyle w:val="14"/>
              <w:spacing w:line="360" w:lineRule="auto"/>
              <w:ind w:firstLine="0" w:firstLineChars="0"/>
              <w:jc w:val="center"/>
              <w:rPr>
                <w:rFonts w:ascii="Times New Roman"/>
                <w:color w:val="000000"/>
                <w:szCs w:val="21"/>
              </w:rPr>
            </w:pPr>
          </w:p>
        </w:tc>
      </w:tr>
      <w:tr w14:paraId="61494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704" w:type="dxa"/>
            <w:tcBorders>
              <w:top w:val="single" w:color="auto" w:sz="4" w:space="0"/>
              <w:left w:val="single" w:color="auto" w:sz="4" w:space="0"/>
              <w:bottom w:val="single" w:color="auto" w:sz="4" w:space="0"/>
              <w:right w:val="single" w:color="auto" w:sz="4" w:space="0"/>
            </w:tcBorders>
            <w:vAlign w:val="center"/>
          </w:tcPr>
          <w:p w14:paraId="1F20CBB7">
            <w:pPr>
              <w:pStyle w:val="14"/>
              <w:spacing w:line="360" w:lineRule="auto"/>
              <w:ind w:firstLine="0" w:firstLineChars="0"/>
              <w:jc w:val="center"/>
              <w:rPr>
                <w:rFonts w:ascii="Times New Roman"/>
                <w:color w:val="000000"/>
                <w:szCs w:val="21"/>
              </w:rPr>
            </w:pPr>
            <w:r>
              <w:rPr>
                <w:rFonts w:ascii="Times New Roman"/>
                <w:color w:val="000000"/>
                <w:szCs w:val="21"/>
              </w:rPr>
              <w:t>10</w:t>
            </w:r>
          </w:p>
        </w:tc>
        <w:tc>
          <w:tcPr>
            <w:tcW w:w="992" w:type="dxa"/>
            <w:tcBorders>
              <w:top w:val="single" w:color="auto" w:sz="4" w:space="0"/>
              <w:left w:val="single" w:color="auto" w:sz="4" w:space="0"/>
              <w:bottom w:val="single" w:color="auto" w:sz="4" w:space="0"/>
              <w:right w:val="single" w:color="auto" w:sz="4" w:space="0"/>
            </w:tcBorders>
            <w:vAlign w:val="center"/>
          </w:tcPr>
          <w:p w14:paraId="4833F390">
            <w:pPr>
              <w:pStyle w:val="14"/>
              <w:spacing w:line="360" w:lineRule="auto"/>
              <w:ind w:firstLine="0" w:firstLineChars="0"/>
              <w:jc w:val="center"/>
              <w:rPr>
                <w:rFonts w:ascii="Times New Roman"/>
                <w:color w:val="000000"/>
                <w:szCs w:val="21"/>
              </w:rPr>
            </w:pPr>
          </w:p>
        </w:tc>
        <w:tc>
          <w:tcPr>
            <w:tcW w:w="3544" w:type="dxa"/>
            <w:gridSpan w:val="2"/>
            <w:tcBorders>
              <w:top w:val="single" w:color="auto" w:sz="4" w:space="0"/>
              <w:left w:val="single" w:color="auto" w:sz="4" w:space="0"/>
              <w:bottom w:val="single" w:color="auto" w:sz="4" w:space="0"/>
              <w:right w:val="single" w:color="auto" w:sz="4" w:space="0"/>
            </w:tcBorders>
            <w:vAlign w:val="center"/>
          </w:tcPr>
          <w:p w14:paraId="0C13AB1D">
            <w:pPr>
              <w:spacing w:line="360" w:lineRule="auto"/>
              <w:ind w:left="180" w:hanging="180"/>
              <w:jc w:val="center"/>
              <w:rPr>
                <w:color w:val="000000"/>
                <w:szCs w:val="21"/>
              </w:rPr>
            </w:pPr>
          </w:p>
        </w:tc>
        <w:tc>
          <w:tcPr>
            <w:tcW w:w="1975" w:type="dxa"/>
            <w:tcBorders>
              <w:top w:val="single" w:color="auto" w:sz="4" w:space="0"/>
              <w:left w:val="single" w:color="auto" w:sz="4" w:space="0"/>
              <w:bottom w:val="single" w:color="auto" w:sz="4" w:space="0"/>
              <w:right w:val="single" w:color="auto" w:sz="4" w:space="0"/>
            </w:tcBorders>
            <w:vAlign w:val="center"/>
          </w:tcPr>
          <w:p w14:paraId="69983C2B">
            <w:pPr>
              <w:pStyle w:val="14"/>
              <w:spacing w:line="360" w:lineRule="auto"/>
              <w:ind w:firstLine="0" w:firstLineChars="0"/>
              <w:jc w:val="center"/>
              <w:rPr>
                <w:rFonts w:ascii="Times New Roman"/>
                <w:color w:val="000000"/>
                <w:szCs w:val="21"/>
              </w:rPr>
            </w:pPr>
          </w:p>
        </w:tc>
        <w:tc>
          <w:tcPr>
            <w:tcW w:w="2419" w:type="dxa"/>
            <w:tcBorders>
              <w:top w:val="single" w:color="auto" w:sz="4" w:space="0"/>
              <w:left w:val="single" w:color="auto" w:sz="4" w:space="0"/>
              <w:bottom w:val="single" w:color="auto" w:sz="4" w:space="0"/>
              <w:right w:val="single" w:color="auto" w:sz="4" w:space="0"/>
            </w:tcBorders>
            <w:vAlign w:val="center"/>
          </w:tcPr>
          <w:p w14:paraId="10492626">
            <w:pPr>
              <w:pStyle w:val="14"/>
              <w:spacing w:line="360" w:lineRule="auto"/>
              <w:ind w:firstLine="0" w:firstLineChars="0"/>
              <w:jc w:val="center"/>
              <w:rPr>
                <w:rFonts w:ascii="Times New Roman"/>
                <w:color w:val="000000"/>
                <w:szCs w:val="21"/>
              </w:rPr>
            </w:pPr>
          </w:p>
        </w:tc>
      </w:tr>
      <w:tr w14:paraId="2E79B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704" w:type="dxa"/>
            <w:tcBorders>
              <w:top w:val="single" w:color="auto" w:sz="4" w:space="0"/>
              <w:left w:val="single" w:color="auto" w:sz="4" w:space="0"/>
              <w:bottom w:val="single" w:color="auto" w:sz="4" w:space="0"/>
              <w:right w:val="single" w:color="auto" w:sz="4" w:space="0"/>
            </w:tcBorders>
            <w:vAlign w:val="center"/>
          </w:tcPr>
          <w:p w14:paraId="56138690">
            <w:pPr>
              <w:pStyle w:val="14"/>
              <w:spacing w:line="360" w:lineRule="auto"/>
              <w:ind w:firstLine="0" w:firstLineChars="0"/>
              <w:jc w:val="center"/>
              <w:rPr>
                <w:rFonts w:ascii="Times New Roman"/>
                <w:color w:val="000000"/>
                <w:szCs w:val="21"/>
              </w:rPr>
            </w:pPr>
            <w:r>
              <w:rPr>
                <w:rFonts w:hint="eastAsia" w:ascii="Times New Roman"/>
                <w:color w:val="000000"/>
                <w:szCs w:val="21"/>
              </w:rPr>
              <w:t>1</w:t>
            </w:r>
            <w:r>
              <w:rPr>
                <w:rFonts w:ascii="Times New Roman"/>
                <w:color w:val="000000"/>
                <w:szCs w:val="21"/>
              </w:rPr>
              <w:t>1</w:t>
            </w:r>
          </w:p>
        </w:tc>
        <w:tc>
          <w:tcPr>
            <w:tcW w:w="992" w:type="dxa"/>
            <w:tcBorders>
              <w:top w:val="single" w:color="auto" w:sz="4" w:space="0"/>
              <w:left w:val="single" w:color="auto" w:sz="4" w:space="0"/>
              <w:bottom w:val="single" w:color="auto" w:sz="4" w:space="0"/>
              <w:right w:val="single" w:color="auto" w:sz="4" w:space="0"/>
            </w:tcBorders>
            <w:vAlign w:val="center"/>
          </w:tcPr>
          <w:p w14:paraId="461E134F">
            <w:pPr>
              <w:pStyle w:val="14"/>
              <w:spacing w:line="360" w:lineRule="auto"/>
              <w:ind w:firstLine="0" w:firstLineChars="0"/>
              <w:jc w:val="center"/>
              <w:rPr>
                <w:rFonts w:ascii="Times New Roman"/>
                <w:color w:val="000000"/>
                <w:szCs w:val="21"/>
              </w:rPr>
            </w:pPr>
          </w:p>
        </w:tc>
        <w:tc>
          <w:tcPr>
            <w:tcW w:w="3544" w:type="dxa"/>
            <w:gridSpan w:val="2"/>
            <w:tcBorders>
              <w:top w:val="single" w:color="auto" w:sz="4" w:space="0"/>
              <w:left w:val="single" w:color="auto" w:sz="4" w:space="0"/>
              <w:bottom w:val="single" w:color="auto" w:sz="4" w:space="0"/>
              <w:right w:val="single" w:color="auto" w:sz="4" w:space="0"/>
            </w:tcBorders>
            <w:vAlign w:val="center"/>
          </w:tcPr>
          <w:p w14:paraId="0AD7A51B">
            <w:pPr>
              <w:spacing w:line="360" w:lineRule="auto"/>
              <w:ind w:left="180" w:hanging="180"/>
              <w:jc w:val="center"/>
              <w:rPr>
                <w:color w:val="000000"/>
                <w:szCs w:val="21"/>
              </w:rPr>
            </w:pPr>
          </w:p>
        </w:tc>
        <w:tc>
          <w:tcPr>
            <w:tcW w:w="1975" w:type="dxa"/>
            <w:tcBorders>
              <w:top w:val="single" w:color="auto" w:sz="4" w:space="0"/>
              <w:left w:val="single" w:color="auto" w:sz="4" w:space="0"/>
              <w:bottom w:val="single" w:color="auto" w:sz="4" w:space="0"/>
              <w:right w:val="single" w:color="auto" w:sz="4" w:space="0"/>
            </w:tcBorders>
            <w:vAlign w:val="center"/>
          </w:tcPr>
          <w:p w14:paraId="0DE5A366">
            <w:pPr>
              <w:pStyle w:val="14"/>
              <w:spacing w:line="360" w:lineRule="auto"/>
              <w:ind w:firstLine="0" w:firstLineChars="0"/>
              <w:jc w:val="center"/>
              <w:rPr>
                <w:rFonts w:ascii="Times New Roman"/>
                <w:color w:val="000000"/>
                <w:szCs w:val="21"/>
              </w:rPr>
            </w:pPr>
          </w:p>
        </w:tc>
        <w:tc>
          <w:tcPr>
            <w:tcW w:w="2419" w:type="dxa"/>
            <w:tcBorders>
              <w:top w:val="single" w:color="auto" w:sz="4" w:space="0"/>
              <w:left w:val="single" w:color="auto" w:sz="4" w:space="0"/>
              <w:bottom w:val="single" w:color="auto" w:sz="4" w:space="0"/>
              <w:right w:val="single" w:color="auto" w:sz="4" w:space="0"/>
            </w:tcBorders>
            <w:vAlign w:val="center"/>
          </w:tcPr>
          <w:p w14:paraId="3DBA4870">
            <w:pPr>
              <w:pStyle w:val="14"/>
              <w:spacing w:line="360" w:lineRule="auto"/>
              <w:ind w:firstLine="0" w:firstLineChars="0"/>
              <w:jc w:val="center"/>
              <w:rPr>
                <w:rFonts w:ascii="Times New Roman"/>
                <w:color w:val="000000"/>
                <w:szCs w:val="21"/>
              </w:rPr>
            </w:pPr>
          </w:p>
        </w:tc>
      </w:tr>
      <w:tr w14:paraId="5AE41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704" w:type="dxa"/>
            <w:tcBorders>
              <w:top w:val="single" w:color="auto" w:sz="4" w:space="0"/>
              <w:left w:val="single" w:color="auto" w:sz="4" w:space="0"/>
              <w:bottom w:val="single" w:color="auto" w:sz="4" w:space="0"/>
              <w:right w:val="single" w:color="auto" w:sz="4" w:space="0"/>
            </w:tcBorders>
            <w:vAlign w:val="center"/>
          </w:tcPr>
          <w:p w14:paraId="5D635C9B">
            <w:pPr>
              <w:pStyle w:val="14"/>
              <w:spacing w:line="360" w:lineRule="auto"/>
              <w:ind w:firstLine="0" w:firstLineChars="0"/>
              <w:jc w:val="center"/>
              <w:rPr>
                <w:rFonts w:ascii="Times New Roman"/>
                <w:color w:val="000000"/>
                <w:szCs w:val="21"/>
              </w:rPr>
            </w:pPr>
            <w:r>
              <w:rPr>
                <w:rFonts w:hint="eastAsia" w:ascii="Times New Roman"/>
                <w:color w:val="000000"/>
                <w:szCs w:val="21"/>
              </w:rPr>
              <w:t>1</w:t>
            </w:r>
            <w:r>
              <w:rPr>
                <w:rFonts w:ascii="Times New Roman"/>
                <w:color w:val="000000"/>
                <w:szCs w:val="21"/>
              </w:rPr>
              <w:t>2</w:t>
            </w:r>
          </w:p>
        </w:tc>
        <w:tc>
          <w:tcPr>
            <w:tcW w:w="992" w:type="dxa"/>
            <w:tcBorders>
              <w:top w:val="single" w:color="auto" w:sz="4" w:space="0"/>
              <w:left w:val="single" w:color="auto" w:sz="4" w:space="0"/>
              <w:bottom w:val="single" w:color="auto" w:sz="4" w:space="0"/>
              <w:right w:val="single" w:color="auto" w:sz="4" w:space="0"/>
            </w:tcBorders>
            <w:vAlign w:val="center"/>
          </w:tcPr>
          <w:p w14:paraId="47E4A144">
            <w:pPr>
              <w:pStyle w:val="14"/>
              <w:spacing w:line="360" w:lineRule="auto"/>
              <w:ind w:firstLine="0" w:firstLineChars="0"/>
              <w:jc w:val="center"/>
              <w:rPr>
                <w:rFonts w:ascii="Times New Roman"/>
              </w:rPr>
            </w:pPr>
          </w:p>
        </w:tc>
        <w:tc>
          <w:tcPr>
            <w:tcW w:w="3544" w:type="dxa"/>
            <w:gridSpan w:val="2"/>
            <w:tcBorders>
              <w:top w:val="single" w:color="auto" w:sz="4" w:space="0"/>
              <w:left w:val="single" w:color="auto" w:sz="4" w:space="0"/>
              <w:bottom w:val="single" w:color="auto" w:sz="4" w:space="0"/>
              <w:right w:val="single" w:color="auto" w:sz="4" w:space="0"/>
            </w:tcBorders>
            <w:vAlign w:val="center"/>
          </w:tcPr>
          <w:p w14:paraId="290B8A51">
            <w:pPr>
              <w:spacing w:line="360" w:lineRule="auto"/>
              <w:ind w:left="180" w:hanging="180"/>
              <w:jc w:val="center"/>
              <w:rPr>
                <w:color w:val="000000" w:themeColor="text1"/>
                <w14:textFill>
                  <w14:solidFill>
                    <w14:schemeClr w14:val="tx1"/>
                  </w14:solidFill>
                </w14:textFill>
              </w:rPr>
            </w:pPr>
          </w:p>
        </w:tc>
        <w:tc>
          <w:tcPr>
            <w:tcW w:w="1975" w:type="dxa"/>
            <w:tcBorders>
              <w:top w:val="single" w:color="auto" w:sz="4" w:space="0"/>
              <w:left w:val="single" w:color="auto" w:sz="4" w:space="0"/>
              <w:bottom w:val="single" w:color="auto" w:sz="4" w:space="0"/>
              <w:right w:val="single" w:color="auto" w:sz="4" w:space="0"/>
            </w:tcBorders>
            <w:vAlign w:val="center"/>
          </w:tcPr>
          <w:p w14:paraId="3AC60C62">
            <w:pPr>
              <w:pStyle w:val="14"/>
              <w:spacing w:line="360" w:lineRule="auto"/>
              <w:ind w:firstLine="0" w:firstLineChars="0"/>
              <w:jc w:val="center"/>
              <w:rPr>
                <w:rFonts w:ascii="Times New Roman"/>
                <w:color w:val="000000"/>
                <w:szCs w:val="21"/>
              </w:rPr>
            </w:pPr>
          </w:p>
        </w:tc>
        <w:tc>
          <w:tcPr>
            <w:tcW w:w="2419" w:type="dxa"/>
            <w:tcBorders>
              <w:top w:val="single" w:color="auto" w:sz="4" w:space="0"/>
              <w:left w:val="single" w:color="auto" w:sz="4" w:space="0"/>
              <w:bottom w:val="single" w:color="auto" w:sz="4" w:space="0"/>
              <w:right w:val="single" w:color="auto" w:sz="4" w:space="0"/>
            </w:tcBorders>
            <w:vAlign w:val="center"/>
          </w:tcPr>
          <w:p w14:paraId="5AD5E5F7">
            <w:pPr>
              <w:pStyle w:val="14"/>
              <w:spacing w:line="360" w:lineRule="auto"/>
              <w:ind w:firstLine="0" w:firstLineChars="0"/>
              <w:jc w:val="center"/>
              <w:rPr>
                <w:rFonts w:ascii="Times New Roman"/>
                <w:color w:val="000000"/>
                <w:szCs w:val="21"/>
              </w:rPr>
            </w:pPr>
          </w:p>
        </w:tc>
      </w:tr>
      <w:tr w14:paraId="4BBC6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704" w:type="dxa"/>
            <w:tcBorders>
              <w:top w:val="single" w:color="auto" w:sz="4" w:space="0"/>
              <w:left w:val="single" w:color="auto" w:sz="4" w:space="0"/>
              <w:bottom w:val="single" w:color="auto" w:sz="4" w:space="0"/>
              <w:right w:val="single" w:color="auto" w:sz="4" w:space="0"/>
            </w:tcBorders>
            <w:vAlign w:val="center"/>
          </w:tcPr>
          <w:p w14:paraId="6047160A">
            <w:pPr>
              <w:pStyle w:val="14"/>
              <w:spacing w:line="360" w:lineRule="auto"/>
              <w:ind w:firstLine="0" w:firstLineChars="0"/>
              <w:jc w:val="center"/>
              <w:rPr>
                <w:rFonts w:ascii="Times New Roman"/>
                <w:color w:val="000000"/>
                <w:szCs w:val="21"/>
              </w:rPr>
            </w:pPr>
            <w:r>
              <w:rPr>
                <w:rFonts w:hint="eastAsia" w:ascii="Times New Roman"/>
                <w:color w:val="000000"/>
                <w:szCs w:val="21"/>
              </w:rPr>
              <w:t>1</w:t>
            </w:r>
            <w:r>
              <w:rPr>
                <w:rFonts w:ascii="Times New Roman"/>
                <w:color w:val="000000"/>
                <w:szCs w:val="21"/>
              </w:rPr>
              <w:t>3</w:t>
            </w:r>
          </w:p>
        </w:tc>
        <w:tc>
          <w:tcPr>
            <w:tcW w:w="992" w:type="dxa"/>
            <w:tcBorders>
              <w:top w:val="single" w:color="auto" w:sz="4" w:space="0"/>
              <w:left w:val="single" w:color="auto" w:sz="4" w:space="0"/>
              <w:bottom w:val="single" w:color="auto" w:sz="4" w:space="0"/>
              <w:right w:val="single" w:color="auto" w:sz="4" w:space="0"/>
            </w:tcBorders>
            <w:vAlign w:val="center"/>
          </w:tcPr>
          <w:p w14:paraId="22256257">
            <w:pPr>
              <w:pStyle w:val="14"/>
              <w:spacing w:line="360" w:lineRule="auto"/>
              <w:ind w:firstLine="0" w:firstLineChars="0"/>
              <w:jc w:val="center"/>
              <w:rPr>
                <w:rFonts w:ascii="Times New Roman"/>
              </w:rPr>
            </w:pPr>
          </w:p>
        </w:tc>
        <w:tc>
          <w:tcPr>
            <w:tcW w:w="3544" w:type="dxa"/>
            <w:gridSpan w:val="2"/>
            <w:tcBorders>
              <w:top w:val="single" w:color="auto" w:sz="4" w:space="0"/>
              <w:left w:val="single" w:color="auto" w:sz="4" w:space="0"/>
              <w:bottom w:val="single" w:color="auto" w:sz="4" w:space="0"/>
              <w:right w:val="single" w:color="auto" w:sz="4" w:space="0"/>
            </w:tcBorders>
            <w:vAlign w:val="center"/>
          </w:tcPr>
          <w:p w14:paraId="0F3A5BE1">
            <w:pPr>
              <w:spacing w:line="360" w:lineRule="auto"/>
              <w:ind w:left="180" w:hanging="180"/>
              <w:jc w:val="center"/>
            </w:pPr>
          </w:p>
        </w:tc>
        <w:tc>
          <w:tcPr>
            <w:tcW w:w="1975" w:type="dxa"/>
            <w:tcBorders>
              <w:top w:val="single" w:color="auto" w:sz="4" w:space="0"/>
              <w:left w:val="single" w:color="auto" w:sz="4" w:space="0"/>
              <w:bottom w:val="single" w:color="auto" w:sz="4" w:space="0"/>
              <w:right w:val="single" w:color="auto" w:sz="4" w:space="0"/>
            </w:tcBorders>
            <w:vAlign w:val="center"/>
          </w:tcPr>
          <w:p w14:paraId="4CE38A06">
            <w:pPr>
              <w:pStyle w:val="14"/>
              <w:spacing w:line="360" w:lineRule="auto"/>
              <w:ind w:firstLine="0" w:firstLineChars="0"/>
              <w:jc w:val="center"/>
              <w:rPr>
                <w:rFonts w:ascii="Times New Roman"/>
                <w:color w:val="000000"/>
                <w:szCs w:val="21"/>
              </w:rPr>
            </w:pPr>
          </w:p>
        </w:tc>
        <w:tc>
          <w:tcPr>
            <w:tcW w:w="2419" w:type="dxa"/>
            <w:tcBorders>
              <w:top w:val="single" w:color="auto" w:sz="4" w:space="0"/>
              <w:left w:val="single" w:color="auto" w:sz="4" w:space="0"/>
              <w:bottom w:val="single" w:color="auto" w:sz="4" w:space="0"/>
              <w:right w:val="single" w:color="auto" w:sz="4" w:space="0"/>
            </w:tcBorders>
            <w:vAlign w:val="center"/>
          </w:tcPr>
          <w:p w14:paraId="5032E65D">
            <w:pPr>
              <w:pStyle w:val="14"/>
              <w:spacing w:line="360" w:lineRule="auto"/>
              <w:ind w:firstLine="0" w:firstLineChars="0"/>
              <w:jc w:val="center"/>
              <w:rPr>
                <w:rFonts w:ascii="Times New Roman"/>
                <w:color w:val="000000"/>
                <w:szCs w:val="21"/>
              </w:rPr>
            </w:pPr>
          </w:p>
        </w:tc>
      </w:tr>
      <w:tr w14:paraId="269E4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 w:hRule="atLeast"/>
          <w:jc w:val="center"/>
        </w:trPr>
        <w:tc>
          <w:tcPr>
            <w:tcW w:w="9634" w:type="dxa"/>
            <w:gridSpan w:val="6"/>
            <w:tcBorders>
              <w:top w:val="single" w:color="auto" w:sz="4" w:space="0"/>
              <w:left w:val="single" w:color="auto" w:sz="4" w:space="0"/>
              <w:bottom w:val="single" w:color="auto" w:sz="4" w:space="0"/>
              <w:right w:val="single" w:color="auto" w:sz="4" w:space="0"/>
            </w:tcBorders>
          </w:tcPr>
          <w:p w14:paraId="527D2917">
            <w:pPr>
              <w:pStyle w:val="14"/>
              <w:spacing w:line="360" w:lineRule="auto"/>
              <w:ind w:left="420" w:firstLine="0" w:firstLineChars="0"/>
              <w:jc w:val="center"/>
              <w:rPr>
                <w:rFonts w:ascii="Times New Roman"/>
                <w:color w:val="000000"/>
                <w:szCs w:val="21"/>
              </w:rPr>
            </w:pPr>
            <w:r>
              <w:rPr>
                <w:rFonts w:ascii="Times New Roman"/>
                <w:color w:val="000000"/>
                <w:szCs w:val="21"/>
              </w:rPr>
              <w:t>编制情况</w:t>
            </w:r>
          </w:p>
        </w:tc>
      </w:tr>
      <w:tr w14:paraId="74C08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 w:hRule="atLeast"/>
          <w:jc w:val="center"/>
        </w:trPr>
        <w:tc>
          <w:tcPr>
            <w:tcW w:w="9634" w:type="dxa"/>
            <w:gridSpan w:val="6"/>
            <w:tcBorders>
              <w:top w:val="single" w:color="auto" w:sz="4" w:space="0"/>
              <w:left w:val="single" w:color="auto" w:sz="4" w:space="0"/>
              <w:bottom w:val="single" w:color="auto" w:sz="4" w:space="0"/>
              <w:right w:val="single" w:color="auto" w:sz="4" w:space="0"/>
            </w:tcBorders>
          </w:tcPr>
          <w:p w14:paraId="2155D45C">
            <w:pPr>
              <w:pStyle w:val="14"/>
              <w:spacing w:line="360" w:lineRule="auto"/>
              <w:ind w:firstLine="0" w:firstLineChars="0"/>
              <w:rPr>
                <w:rFonts w:ascii="Times New Roman"/>
                <w:color w:val="000000"/>
                <w:szCs w:val="21"/>
              </w:rPr>
            </w:pPr>
            <w:r>
              <w:rPr>
                <w:rFonts w:ascii="Times New Roman"/>
                <w:color w:val="000000"/>
                <w:szCs w:val="21"/>
              </w:rPr>
              <w:t>1、编制过程简介</w:t>
            </w:r>
          </w:p>
        </w:tc>
      </w:tr>
      <w:tr w14:paraId="5985D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 w:hRule="atLeast"/>
          <w:jc w:val="center"/>
        </w:trPr>
        <w:tc>
          <w:tcPr>
            <w:tcW w:w="9634" w:type="dxa"/>
            <w:gridSpan w:val="6"/>
            <w:tcBorders>
              <w:top w:val="single" w:color="auto" w:sz="4" w:space="0"/>
              <w:left w:val="single" w:color="auto" w:sz="4" w:space="0"/>
              <w:bottom w:val="single" w:color="auto" w:sz="4" w:space="0"/>
              <w:right w:val="single" w:color="auto" w:sz="4" w:space="0"/>
            </w:tcBorders>
          </w:tcPr>
          <w:p w14:paraId="1A37510C">
            <w:pPr>
              <w:spacing w:line="360" w:lineRule="auto"/>
              <w:ind w:firstLine="420" w:firstLineChars="200"/>
            </w:pPr>
            <w:r>
              <w:rPr>
                <w:color w:val="000000"/>
                <w:szCs w:val="21"/>
              </w:rPr>
              <w:t>202</w:t>
            </w:r>
            <w:r>
              <w:rPr>
                <w:rFonts w:hint="eastAsia"/>
                <w:color w:val="000000"/>
                <w:szCs w:val="21"/>
                <w:lang w:val="en-US" w:eastAsia="zh-CN"/>
              </w:rPr>
              <w:t>3</w:t>
            </w:r>
            <w:r>
              <w:rPr>
                <w:color w:val="000000"/>
                <w:szCs w:val="21"/>
              </w:rPr>
              <w:t>年</w:t>
            </w:r>
            <w:r>
              <w:rPr>
                <w:rFonts w:hint="eastAsia"/>
                <w:color w:val="000000"/>
                <w:szCs w:val="21"/>
                <w:lang w:val="en-US" w:eastAsia="zh-CN"/>
              </w:rPr>
              <w:t>3</w:t>
            </w:r>
            <w:r>
              <w:rPr>
                <w:color w:val="000000"/>
                <w:szCs w:val="21"/>
              </w:rPr>
              <w:t>月，收到</w:t>
            </w:r>
            <w:r>
              <w:rPr>
                <w:rFonts w:eastAsiaTheme="minorEastAsia"/>
                <w:szCs w:val="21"/>
              </w:rPr>
              <w:t>安徽省市场监督管理局关于下达</w:t>
            </w:r>
            <w:r>
              <w:rPr>
                <w:rFonts w:hint="eastAsia" w:eastAsiaTheme="minorEastAsia"/>
                <w:szCs w:val="21"/>
              </w:rPr>
              <w:t>《安徽省市场监督管理局关于申报2023年度安徽省地方标准制（修）订计划项目的通知》（皖市监函〔2023〕123 号 ）</w:t>
            </w:r>
            <w:r>
              <w:rPr>
                <w:color w:val="000000"/>
                <w:szCs w:val="21"/>
              </w:rPr>
              <w:t>，立即成立标准编制小组，成员有张居舟</w:t>
            </w:r>
            <w:r>
              <w:rPr>
                <w:rFonts w:hint="eastAsia"/>
                <w:color w:val="000000"/>
                <w:szCs w:val="21"/>
                <w:lang w:eastAsia="zh-CN"/>
              </w:rPr>
              <w:t>、谭炜、朱慧敏</w:t>
            </w:r>
            <w:r>
              <w:rPr>
                <w:color w:val="000000"/>
                <w:szCs w:val="21"/>
              </w:rPr>
              <w:t>等</w:t>
            </w:r>
            <w:r>
              <w:rPr>
                <w:color w:val="000000" w:themeColor="text1"/>
                <w:szCs w:val="21"/>
                <w14:textFill>
                  <w14:solidFill>
                    <w14:schemeClr w14:val="tx1"/>
                  </w14:solidFill>
                </w14:textFill>
              </w:rPr>
              <w:t>多</w:t>
            </w:r>
            <w:r>
              <w:rPr>
                <w:color w:val="000000"/>
                <w:szCs w:val="21"/>
              </w:rPr>
              <w:t>位专业技术人员。</w:t>
            </w:r>
          </w:p>
          <w:p w14:paraId="572CE916">
            <w:pPr>
              <w:spacing w:line="360" w:lineRule="auto"/>
              <w:ind w:firstLine="420" w:firstLineChars="200"/>
              <w:rPr>
                <w:color w:val="000000"/>
                <w:szCs w:val="21"/>
              </w:rPr>
            </w:pPr>
            <w:r>
              <w:rPr>
                <w:color w:val="000000"/>
                <w:szCs w:val="21"/>
              </w:rPr>
              <w:t>标准起草过程：</w:t>
            </w:r>
          </w:p>
          <w:p w14:paraId="59EB3972">
            <w:pPr>
              <w:spacing w:line="360" w:lineRule="auto"/>
              <w:ind w:firstLine="420" w:firstLineChars="200"/>
              <w:rPr>
                <w:color w:val="000000"/>
                <w:szCs w:val="21"/>
              </w:rPr>
            </w:pPr>
            <w:r>
              <w:rPr>
                <w:color w:val="000000"/>
                <w:szCs w:val="21"/>
              </w:rPr>
              <w:t>202</w:t>
            </w:r>
            <w:r>
              <w:rPr>
                <w:rFonts w:hint="eastAsia"/>
                <w:color w:val="000000"/>
                <w:szCs w:val="21"/>
                <w:lang w:val="en-US" w:eastAsia="zh-CN"/>
              </w:rPr>
              <w:t>3</w:t>
            </w:r>
            <w:r>
              <w:rPr>
                <w:color w:val="000000"/>
                <w:szCs w:val="21"/>
              </w:rPr>
              <w:t>年</w:t>
            </w:r>
            <w:r>
              <w:rPr>
                <w:rFonts w:hint="eastAsia"/>
                <w:color w:val="000000"/>
                <w:szCs w:val="21"/>
                <w:lang w:val="en-US" w:eastAsia="zh-CN"/>
              </w:rPr>
              <w:t>3</w:t>
            </w:r>
            <w:r>
              <w:rPr>
                <w:color w:val="000000"/>
                <w:szCs w:val="21"/>
              </w:rPr>
              <w:t>月，安徽省食品药品检验研究院等单位向安徽省食品质量安全检验方法标准化技术委员会提出安徽省地方标准《</w:t>
            </w:r>
            <w:r>
              <w:rPr>
                <w:rFonts w:hint="eastAsia"/>
                <w:lang w:eastAsia="zh-CN"/>
              </w:rPr>
              <w:t>坚果与籽类食品生产质量控制技术规范</w:t>
            </w:r>
            <w:r>
              <w:rPr>
                <w:color w:val="000000"/>
                <w:szCs w:val="21"/>
              </w:rPr>
              <w:t>》制定申请，并上报安徽省市场监督管理局。202</w:t>
            </w:r>
            <w:r>
              <w:rPr>
                <w:rFonts w:hint="eastAsia"/>
                <w:color w:val="000000"/>
                <w:szCs w:val="21"/>
                <w:lang w:val="en-US" w:eastAsia="zh-CN"/>
              </w:rPr>
              <w:t>3</w:t>
            </w:r>
            <w:r>
              <w:rPr>
                <w:color w:val="000000"/>
                <w:szCs w:val="21"/>
              </w:rPr>
              <w:t>年</w:t>
            </w:r>
            <w:r>
              <w:rPr>
                <w:szCs w:val="21"/>
              </w:rPr>
              <w:t>8</w:t>
            </w:r>
            <w:r>
              <w:rPr>
                <w:color w:val="000000"/>
                <w:szCs w:val="21"/>
              </w:rPr>
              <w:t>月，经过答辩、公示等程序，《</w:t>
            </w:r>
            <w:r>
              <w:rPr>
                <w:rFonts w:hint="eastAsia"/>
                <w:lang w:eastAsia="zh-CN"/>
              </w:rPr>
              <w:t>坚果与籽类食品生产质量控制技术规范</w:t>
            </w:r>
            <w:r>
              <w:rPr>
                <w:color w:val="000000"/>
                <w:szCs w:val="21"/>
              </w:rPr>
              <w:t>》被批准正式立项，随后成立标准编制小组。编制小组</w:t>
            </w:r>
            <w:r>
              <w:rPr>
                <w:szCs w:val="21"/>
              </w:rPr>
              <w:t>制定了规范的编制计划、方法步骤和具体分工。202</w:t>
            </w:r>
            <w:r>
              <w:rPr>
                <w:rFonts w:hint="eastAsia"/>
                <w:szCs w:val="21"/>
                <w:lang w:val="en-US" w:eastAsia="zh-CN"/>
              </w:rPr>
              <w:t>3</w:t>
            </w:r>
            <w:r>
              <w:rPr>
                <w:szCs w:val="21"/>
              </w:rPr>
              <w:t>年9月至10月，系统查阅了</w:t>
            </w:r>
            <w:r>
              <w:rPr>
                <w:rFonts w:hint="eastAsia"/>
                <w:szCs w:val="21"/>
                <w:lang w:eastAsia="zh-CN"/>
              </w:rPr>
              <w:t>《食品安全国家标准 坚果与籽类食品》、《坚果与籽类炒货食品良好生产规范》、《</w:t>
            </w:r>
            <w:r>
              <w:t>食品检验检测机构通用要求</w:t>
            </w:r>
            <w:r>
              <w:rPr>
                <w:rFonts w:hint="eastAsia"/>
                <w:szCs w:val="21"/>
                <w:lang w:eastAsia="zh-CN"/>
              </w:rPr>
              <w:t>》</w:t>
            </w:r>
            <w:r>
              <w:t>、</w:t>
            </w:r>
            <w:r>
              <w:rPr>
                <w:rFonts w:hint="eastAsia"/>
                <w:lang w:eastAsia="zh-CN"/>
              </w:rPr>
              <w:t>《</w:t>
            </w:r>
            <w:r>
              <w:t>食品安全抽样检验管理办法</w:t>
            </w:r>
            <w:r>
              <w:rPr>
                <w:rFonts w:hint="eastAsia"/>
                <w:lang w:eastAsia="zh-CN"/>
              </w:rPr>
              <w:t>》</w:t>
            </w:r>
            <w:r>
              <w:t>、</w:t>
            </w:r>
            <w:r>
              <w:rPr>
                <w:rFonts w:hint="eastAsia"/>
                <w:lang w:eastAsia="zh-CN"/>
              </w:rPr>
              <w:t>《</w:t>
            </w:r>
            <w:r>
              <w:t>食品检验工作规范（征求意见稿）</w:t>
            </w:r>
            <w:r>
              <w:rPr>
                <w:rFonts w:hint="eastAsia"/>
                <w:lang w:eastAsia="zh-CN"/>
              </w:rPr>
              <w:t>》</w:t>
            </w:r>
            <w:r>
              <w:rPr>
                <w:szCs w:val="21"/>
              </w:rPr>
              <w:t>等相关技术资料，系统全面的整理立项标准框架的关键点，系统设计标准方案。202</w:t>
            </w:r>
            <w:r>
              <w:rPr>
                <w:rFonts w:hint="eastAsia"/>
                <w:szCs w:val="21"/>
                <w:lang w:val="en-US" w:eastAsia="zh-CN"/>
              </w:rPr>
              <w:t>3</w:t>
            </w:r>
            <w:r>
              <w:rPr>
                <w:szCs w:val="21"/>
              </w:rPr>
              <w:t>年10月至1</w:t>
            </w:r>
            <w:r>
              <w:rPr>
                <w:rFonts w:hint="eastAsia"/>
                <w:szCs w:val="21"/>
                <w:lang w:val="en-US" w:eastAsia="zh-CN"/>
              </w:rPr>
              <w:t>2</w:t>
            </w:r>
            <w:r>
              <w:rPr>
                <w:szCs w:val="21"/>
              </w:rPr>
              <w:t>月，通过讨论和广泛征求意见，确定了</w:t>
            </w:r>
            <w:r>
              <w:rPr>
                <w:color w:val="000000"/>
                <w:szCs w:val="21"/>
              </w:rPr>
              <w:t>《</w:t>
            </w:r>
            <w:r>
              <w:rPr>
                <w:rFonts w:hint="eastAsia"/>
                <w:lang w:eastAsia="zh-CN"/>
              </w:rPr>
              <w:t>坚果与籽类食品生产质量控制技术规范</w:t>
            </w:r>
            <w:r>
              <w:rPr>
                <w:color w:val="000000"/>
                <w:szCs w:val="21"/>
              </w:rPr>
              <w:t>》的</w:t>
            </w:r>
            <w:r>
              <w:rPr>
                <w:rFonts w:hint="eastAsia"/>
                <w:color w:val="000000"/>
                <w:szCs w:val="21"/>
              </w:rPr>
              <w:t>文本</w:t>
            </w:r>
            <w:r>
              <w:rPr>
                <w:color w:val="000000"/>
                <w:szCs w:val="21"/>
              </w:rPr>
              <w:t>内容</w:t>
            </w:r>
            <w:r>
              <w:rPr>
                <w:szCs w:val="21"/>
              </w:rPr>
              <w:t>，</w:t>
            </w:r>
            <w:r>
              <w:rPr>
                <w:color w:val="000000"/>
                <w:szCs w:val="21"/>
              </w:rPr>
              <w:t>完成初稿的起草。</w:t>
            </w:r>
          </w:p>
          <w:p w14:paraId="0CC57FEC">
            <w:pPr>
              <w:spacing w:line="360" w:lineRule="auto"/>
              <w:ind w:firstLine="420" w:firstLineChars="200"/>
              <w:rPr>
                <w:rFonts w:hint="eastAsia" w:eastAsia="宋体"/>
                <w:color w:val="000000"/>
                <w:szCs w:val="21"/>
                <w:lang w:eastAsia="zh-CN"/>
              </w:rPr>
            </w:pPr>
            <w:r>
              <w:rPr>
                <w:color w:val="000000"/>
                <w:szCs w:val="21"/>
              </w:rPr>
              <w:t>202</w:t>
            </w:r>
            <w:r>
              <w:rPr>
                <w:rFonts w:hint="eastAsia"/>
                <w:color w:val="000000"/>
                <w:szCs w:val="21"/>
                <w:lang w:val="en-US" w:eastAsia="zh-CN"/>
              </w:rPr>
              <w:t>4</w:t>
            </w:r>
            <w:r>
              <w:rPr>
                <w:szCs w:val="21"/>
              </w:rPr>
              <w:t>年2</w:t>
            </w:r>
            <w:r>
              <w:rPr>
                <w:color w:val="000000"/>
                <w:szCs w:val="21"/>
              </w:rPr>
              <w:t>月</w:t>
            </w:r>
            <w:r>
              <w:rPr>
                <w:rFonts w:hint="eastAsia"/>
                <w:color w:val="000000"/>
                <w:szCs w:val="21"/>
                <w:lang w:eastAsia="zh-CN"/>
              </w:rPr>
              <w:t>至</w:t>
            </w:r>
            <w:r>
              <w:rPr>
                <w:rFonts w:hint="eastAsia"/>
                <w:color w:val="000000"/>
                <w:szCs w:val="21"/>
                <w:lang w:val="en-US" w:eastAsia="zh-CN"/>
              </w:rPr>
              <w:t>6月</w:t>
            </w:r>
            <w:r>
              <w:rPr>
                <w:color w:val="000000"/>
                <w:szCs w:val="21"/>
              </w:rPr>
              <w:t>，在前期调研和对相关政策文件研究的基础上，参考相关标准内容，</w:t>
            </w:r>
            <w:r>
              <w:rPr>
                <w:rFonts w:hint="eastAsia"/>
                <w:color w:val="000000"/>
                <w:szCs w:val="21"/>
                <w:lang w:eastAsia="zh-CN"/>
              </w:rPr>
              <w:t>走访企业，</w:t>
            </w:r>
          </w:p>
          <w:p w14:paraId="70F6E5E1">
            <w:pPr>
              <w:spacing w:line="360" w:lineRule="auto"/>
              <w:ind w:firstLine="420" w:firstLineChars="200"/>
              <w:rPr>
                <w:color w:val="000000"/>
                <w:szCs w:val="21"/>
              </w:rPr>
            </w:pPr>
            <w:r>
              <w:rPr>
                <w:color w:val="000000"/>
                <w:szCs w:val="21"/>
              </w:rPr>
              <w:t>并经多次征询相关专家的意见对标准初稿进行了修改完善，形成征求意见稿。</w:t>
            </w:r>
          </w:p>
          <w:p w14:paraId="3EEA5550">
            <w:pPr>
              <w:pStyle w:val="14"/>
              <w:adjustRightInd w:val="0"/>
              <w:spacing w:line="360" w:lineRule="auto"/>
              <w:contextualSpacing/>
              <w:rPr>
                <w:rFonts w:ascii="Times New Roman"/>
                <w:szCs w:val="21"/>
              </w:rPr>
            </w:pPr>
            <w:r>
              <w:rPr>
                <w:rFonts w:ascii="Times New Roman"/>
                <w:szCs w:val="21"/>
              </w:rPr>
              <w:t>征求意见情况：</w:t>
            </w:r>
          </w:p>
          <w:p w14:paraId="109C15FD">
            <w:pPr>
              <w:spacing w:line="360" w:lineRule="auto"/>
              <w:ind w:firstLine="420" w:firstLineChars="200"/>
              <w:rPr>
                <w:szCs w:val="21"/>
              </w:rPr>
            </w:pPr>
            <w:r>
              <w:rPr>
                <w:color w:val="000000"/>
                <w:szCs w:val="21"/>
              </w:rPr>
              <w:t>202</w:t>
            </w:r>
            <w:r>
              <w:rPr>
                <w:rFonts w:hint="eastAsia"/>
                <w:color w:val="000000"/>
                <w:szCs w:val="21"/>
                <w:lang w:val="en-US" w:eastAsia="zh-CN"/>
              </w:rPr>
              <w:t>4</w:t>
            </w:r>
            <w:r>
              <w:rPr>
                <w:color w:val="000000"/>
                <w:szCs w:val="21"/>
              </w:rPr>
              <w:t>年</w:t>
            </w:r>
            <w:r>
              <w:rPr>
                <w:rFonts w:hint="eastAsia"/>
                <w:color w:val="000000"/>
                <w:szCs w:val="21"/>
                <w:lang w:val="en-US" w:eastAsia="zh-CN"/>
              </w:rPr>
              <w:t>7</w:t>
            </w:r>
            <w:r>
              <w:rPr>
                <w:color w:val="000000"/>
                <w:szCs w:val="21"/>
              </w:rPr>
              <w:t>月，</w:t>
            </w:r>
            <w:r>
              <w:rPr>
                <w:szCs w:val="21"/>
              </w:rPr>
              <w:t>将标准征求意见稿发至同行业单位和其他检测机构进行了广泛征求意见，标准编制小组认真分析了收集的宝贵意见，并对征求意见稿进行了修改，形成最终的征求意见稿。</w:t>
            </w:r>
          </w:p>
          <w:p w14:paraId="6FC7A806">
            <w:pPr>
              <w:spacing w:line="360" w:lineRule="auto"/>
              <w:ind w:firstLine="420" w:firstLineChars="200"/>
              <w:rPr>
                <w:szCs w:val="21"/>
              </w:rPr>
            </w:pPr>
          </w:p>
        </w:tc>
      </w:tr>
      <w:tr w14:paraId="6231C7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 w:hRule="atLeast"/>
          <w:jc w:val="center"/>
        </w:trPr>
        <w:tc>
          <w:tcPr>
            <w:tcW w:w="9634" w:type="dxa"/>
            <w:gridSpan w:val="6"/>
            <w:tcBorders>
              <w:top w:val="single" w:color="auto" w:sz="4" w:space="0"/>
              <w:left w:val="single" w:color="auto" w:sz="4" w:space="0"/>
              <w:bottom w:val="single" w:color="auto" w:sz="4" w:space="0"/>
              <w:right w:val="single" w:color="auto" w:sz="4" w:space="0"/>
            </w:tcBorders>
          </w:tcPr>
          <w:p w14:paraId="7EFD9B0A">
            <w:pPr>
              <w:pStyle w:val="14"/>
              <w:spacing w:line="360" w:lineRule="auto"/>
              <w:ind w:firstLine="0" w:firstLineChars="0"/>
              <w:rPr>
                <w:rFonts w:ascii="Times New Roman"/>
                <w:color w:val="000000"/>
                <w:szCs w:val="21"/>
              </w:rPr>
            </w:pPr>
            <w:r>
              <w:rPr>
                <w:rFonts w:ascii="Times New Roman"/>
                <w:color w:val="000000"/>
                <w:szCs w:val="21"/>
              </w:rPr>
              <w:t>2、制定标准的必要性和意义</w:t>
            </w:r>
          </w:p>
        </w:tc>
      </w:tr>
      <w:tr w14:paraId="04ECF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 w:hRule="atLeast"/>
          <w:jc w:val="center"/>
        </w:trPr>
        <w:tc>
          <w:tcPr>
            <w:tcW w:w="9634" w:type="dxa"/>
            <w:gridSpan w:val="6"/>
            <w:tcBorders>
              <w:top w:val="single" w:color="auto" w:sz="4" w:space="0"/>
              <w:left w:val="single" w:color="auto" w:sz="4" w:space="0"/>
              <w:bottom w:val="single" w:color="auto" w:sz="4" w:space="0"/>
              <w:right w:val="single" w:color="auto" w:sz="4" w:space="0"/>
            </w:tcBorders>
          </w:tcPr>
          <w:p w14:paraId="2ACD6598">
            <w:pPr>
              <w:pStyle w:val="14"/>
              <w:spacing w:line="360" w:lineRule="auto"/>
              <w:ind w:firstLine="0" w:firstLineChars="0"/>
              <w:rPr>
                <w:rFonts w:ascii="Times New Roman"/>
                <w:b/>
                <w:color w:val="000000"/>
                <w:szCs w:val="21"/>
              </w:rPr>
            </w:pPr>
            <w:r>
              <w:rPr>
                <w:rFonts w:ascii="Times New Roman"/>
                <w:b/>
                <w:color w:val="000000"/>
                <w:szCs w:val="21"/>
              </w:rPr>
              <w:t>必要性：</w:t>
            </w:r>
          </w:p>
          <w:p w14:paraId="09EDC7EB">
            <w:pPr>
              <w:pStyle w:val="14"/>
              <w:spacing w:line="360" w:lineRule="auto"/>
              <w:rPr>
                <w:rFonts w:hint="eastAsia" w:ascii="Times New Roman" w:eastAsia="宋体"/>
                <w:color w:val="000000"/>
                <w:szCs w:val="21"/>
                <w:lang w:eastAsia="zh-CN"/>
              </w:rPr>
            </w:pPr>
            <w:r>
              <w:rPr>
                <w:rFonts w:hint="eastAsia" w:ascii="Times New Roman"/>
                <w:color w:val="000000"/>
                <w:szCs w:val="21"/>
              </w:rPr>
              <w:t>坚果与籽类食品，作为健康零食的重要组成部分，在中国休闲食品市场中占据着举足轻重的地位。安徽省，作为中国知名的坚果炒货生产地，孕育了洽洽、傻子、真心等一批领军企业。随着三只松鼠等电商品牌的崛起，安徽省内的坚果籽类代加工业务也迎来了快速发展，催生了众多代工企业。然而，由于坚果炒货行业的入门门槛相对较低，市场的快速扩张并未同步带动行业技术水平的提升。相反，这导致了更多企业涌入坚果与籽类食品的生产领域，使得市场上销售的产品品质出现了明显的良莠不齐。近年来的抽检数据也反映出这一趋势，坚果与籽类食品的不合格率呈现逐年上升的态势，这不仅影响了消费者健康，也对行业的可持续发展构成了挑战。</w:t>
            </w:r>
          </w:p>
          <w:p w14:paraId="24BF38CF">
            <w:pPr>
              <w:pStyle w:val="14"/>
              <w:spacing w:line="360" w:lineRule="auto"/>
              <w:rPr>
                <w:rFonts w:ascii="Times New Roman"/>
                <w:color w:val="000000"/>
                <w:szCs w:val="21"/>
              </w:rPr>
            </w:pPr>
            <w:r>
              <w:rPr>
                <w:rFonts w:hint="eastAsia" w:ascii="Times New Roman"/>
                <w:color w:val="000000"/>
                <w:szCs w:val="21"/>
              </w:rPr>
              <w:t>目前，关于坚果与籽类食品的标准共56项，其中产品类标准共37项（国家标准8项，地方标准3项，行业标准26项），规范与规程类17项，术语类标准1项，分类标准1项。尚无关于坚果与籽类食品生产质量控制与管理通用技术规范实施发布。</w:t>
            </w:r>
          </w:p>
          <w:p w14:paraId="56F326B4">
            <w:pPr>
              <w:pStyle w:val="14"/>
              <w:spacing w:line="360" w:lineRule="auto"/>
              <w:ind w:firstLine="0" w:firstLineChars="0"/>
              <w:rPr>
                <w:rFonts w:ascii="Times New Roman"/>
                <w:b/>
                <w:color w:val="000000"/>
                <w:szCs w:val="21"/>
              </w:rPr>
            </w:pPr>
            <w:r>
              <w:rPr>
                <w:rFonts w:ascii="Times New Roman"/>
                <w:b/>
                <w:color w:val="000000"/>
                <w:szCs w:val="21"/>
              </w:rPr>
              <w:t>意义：</w:t>
            </w:r>
          </w:p>
          <w:p w14:paraId="62D3DA27">
            <w:pPr>
              <w:pStyle w:val="14"/>
              <w:spacing w:line="360" w:lineRule="auto"/>
              <w:ind w:firstLine="405" w:firstLineChars="193"/>
              <w:rPr>
                <w:rFonts w:hint="eastAsia" w:ascii="Times New Roman"/>
                <w:bCs/>
                <w:color w:val="000000"/>
                <w:szCs w:val="21"/>
              </w:rPr>
            </w:pPr>
            <w:r>
              <w:rPr>
                <w:rFonts w:hint="eastAsia" w:ascii="Times New Roman"/>
                <w:bCs/>
                <w:color w:val="000000"/>
                <w:szCs w:val="21"/>
              </w:rPr>
              <w:t>提高产品质量与安全：该标准通过规范生产流程和质量控制，提升坚果与籽类食品的整体品质，确保食品安全，保护消费者健康。</w:t>
            </w:r>
          </w:p>
          <w:p w14:paraId="29DA794C">
            <w:pPr>
              <w:pStyle w:val="14"/>
              <w:spacing w:line="360" w:lineRule="auto"/>
              <w:ind w:firstLine="405" w:firstLineChars="193"/>
              <w:rPr>
                <w:rFonts w:hint="eastAsia" w:ascii="Times New Roman"/>
                <w:bCs/>
                <w:color w:val="000000"/>
                <w:szCs w:val="21"/>
              </w:rPr>
            </w:pPr>
            <w:r>
              <w:rPr>
                <w:rFonts w:hint="eastAsia" w:ascii="Times New Roman"/>
                <w:bCs/>
                <w:color w:val="000000"/>
                <w:szCs w:val="21"/>
              </w:rPr>
              <w:t>促进行业规范与发展：标准有助于统一行业生产行为，提升技术水平，增强市场竞争力，同时推动产业升级和可持续发展。</w:t>
            </w:r>
          </w:p>
          <w:p w14:paraId="4920A87F">
            <w:pPr>
              <w:pStyle w:val="14"/>
              <w:spacing w:line="360" w:lineRule="auto"/>
              <w:ind w:firstLine="405" w:firstLineChars="193"/>
              <w:rPr>
                <w:rFonts w:ascii="Times New Roman"/>
                <w:color w:val="000000"/>
                <w:szCs w:val="21"/>
              </w:rPr>
            </w:pPr>
            <w:r>
              <w:rPr>
                <w:rFonts w:hint="eastAsia" w:ascii="Times New Roman"/>
                <w:bCs/>
                <w:color w:val="000000"/>
                <w:szCs w:val="21"/>
              </w:rPr>
              <w:t>保护消费者权益与加强监管：明确产品质量标准，增强消费者信心，同时为市场监管提供技术依据，便于打击假冒伪劣产品，维护市场秩序。</w:t>
            </w:r>
          </w:p>
        </w:tc>
      </w:tr>
      <w:tr w14:paraId="2951D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 w:hRule="atLeast"/>
          <w:jc w:val="center"/>
        </w:trPr>
        <w:tc>
          <w:tcPr>
            <w:tcW w:w="9634" w:type="dxa"/>
            <w:gridSpan w:val="6"/>
            <w:tcBorders>
              <w:top w:val="single" w:color="auto" w:sz="4" w:space="0"/>
              <w:left w:val="single" w:color="auto" w:sz="4" w:space="0"/>
              <w:bottom w:val="single" w:color="auto" w:sz="4" w:space="0"/>
              <w:right w:val="single" w:color="auto" w:sz="4" w:space="0"/>
            </w:tcBorders>
          </w:tcPr>
          <w:p w14:paraId="122ED298">
            <w:pPr>
              <w:pStyle w:val="14"/>
              <w:spacing w:line="360" w:lineRule="auto"/>
              <w:ind w:firstLine="0" w:firstLineChars="0"/>
              <w:rPr>
                <w:rFonts w:ascii="Times New Roman"/>
                <w:color w:val="000000"/>
                <w:szCs w:val="21"/>
              </w:rPr>
            </w:pPr>
            <w:r>
              <w:rPr>
                <w:rFonts w:ascii="Times New Roman"/>
                <w:color w:val="000000"/>
                <w:szCs w:val="21"/>
              </w:rPr>
              <w:t>3、制定标准的原则和依据，与现行法律法规、标准的关系。</w:t>
            </w:r>
          </w:p>
        </w:tc>
      </w:tr>
      <w:tr w14:paraId="55D99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 w:hRule="atLeast"/>
          <w:jc w:val="center"/>
        </w:trPr>
        <w:tc>
          <w:tcPr>
            <w:tcW w:w="9634" w:type="dxa"/>
            <w:gridSpan w:val="6"/>
            <w:tcBorders>
              <w:top w:val="single" w:color="auto" w:sz="4" w:space="0"/>
              <w:left w:val="single" w:color="auto" w:sz="4" w:space="0"/>
              <w:bottom w:val="single" w:color="auto" w:sz="4" w:space="0"/>
              <w:right w:val="single" w:color="auto" w:sz="4" w:space="0"/>
            </w:tcBorders>
          </w:tcPr>
          <w:p w14:paraId="44A847A9">
            <w:pPr>
              <w:pStyle w:val="14"/>
              <w:spacing w:line="360" w:lineRule="auto"/>
              <w:ind w:firstLineChars="0"/>
              <w:rPr>
                <w:rFonts w:ascii="Times New Roman"/>
                <w:b/>
                <w:bCs/>
                <w:color w:val="000000"/>
                <w:szCs w:val="21"/>
              </w:rPr>
            </w:pPr>
            <w:r>
              <w:rPr>
                <w:rFonts w:ascii="Times New Roman"/>
                <w:b/>
                <w:bCs/>
                <w:color w:val="000000"/>
                <w:szCs w:val="21"/>
              </w:rPr>
              <w:t>编制原则：</w:t>
            </w:r>
          </w:p>
          <w:p w14:paraId="7BA2BF03">
            <w:pPr>
              <w:pStyle w:val="14"/>
              <w:spacing w:line="360" w:lineRule="auto"/>
              <w:ind w:firstLineChars="0"/>
              <w:rPr>
                <w:rFonts w:ascii="Times New Roman"/>
                <w:szCs w:val="21"/>
              </w:rPr>
            </w:pPr>
            <w:r>
              <w:rPr>
                <w:rFonts w:ascii="Times New Roman"/>
                <w:color w:val="000000"/>
                <w:szCs w:val="21"/>
              </w:rPr>
              <w:t>本标准在制定过程中，遵</w:t>
            </w:r>
            <w:r>
              <w:rPr>
                <w:rFonts w:asciiTheme="minorEastAsia" w:hAnsiTheme="minorEastAsia" w:eastAsiaTheme="minorEastAsia"/>
                <w:color w:val="000000"/>
                <w:szCs w:val="21"/>
              </w:rPr>
              <w:t>循“统一性、协调性、适用性、一致性、规范性”原</w:t>
            </w:r>
            <w:r>
              <w:rPr>
                <w:rFonts w:ascii="Times New Roman"/>
                <w:color w:val="000000"/>
                <w:szCs w:val="21"/>
              </w:rPr>
              <w:t>则，</w:t>
            </w:r>
            <w:r>
              <w:rPr>
                <w:rFonts w:ascii="Times New Roman"/>
                <w:szCs w:val="21"/>
                <w:lang w:val="zh-CN"/>
              </w:rPr>
              <w:t>注重标准的先进性和可操作性</w:t>
            </w:r>
            <w:r>
              <w:rPr>
                <w:rFonts w:ascii="Times New Roman"/>
                <w:color w:val="000000"/>
                <w:szCs w:val="21"/>
              </w:rPr>
              <w:t>。按照GB/T 1.1-2020《标准化工作导则 第1部分：标准的结构和编写》的相关规定进行编写，在术语定义、结构版式以及单位符号等方面保</w:t>
            </w:r>
            <w:r>
              <w:rPr>
                <w:rFonts w:ascii="Times New Roman"/>
                <w:szCs w:val="21"/>
              </w:rPr>
              <w:t>持一致性。另在编制过程中：</w:t>
            </w:r>
            <w:r>
              <w:rPr>
                <w:rFonts w:hint="eastAsia" w:hAnsi="宋体" w:cs="宋体"/>
                <w:szCs w:val="21"/>
              </w:rPr>
              <w:t>①</w:t>
            </w:r>
            <w:r>
              <w:rPr>
                <w:rFonts w:ascii="Times New Roman"/>
                <w:szCs w:val="21"/>
              </w:rPr>
              <w:t xml:space="preserve"> 符合相关法律法规、现行国家标准和技术法规的要求；</w:t>
            </w:r>
            <w:r>
              <w:rPr>
                <w:rFonts w:hint="eastAsia" w:hAnsi="宋体" w:cs="宋体"/>
                <w:szCs w:val="21"/>
              </w:rPr>
              <w:t>②</w:t>
            </w:r>
            <w:r>
              <w:rPr>
                <w:rFonts w:ascii="Times New Roman"/>
                <w:szCs w:val="21"/>
              </w:rPr>
              <w:t>符合食品安全法、国家相关食品的安全标准要求。</w:t>
            </w:r>
          </w:p>
          <w:p w14:paraId="3D8685FD">
            <w:pPr>
              <w:pStyle w:val="14"/>
              <w:spacing w:line="360" w:lineRule="auto"/>
              <w:ind w:firstLine="422"/>
              <w:jc w:val="left"/>
              <w:rPr>
                <w:rFonts w:ascii="Times New Roman" w:eastAsiaTheme="minorEastAsia"/>
                <w:b/>
                <w:bCs/>
                <w:color w:val="000000"/>
                <w:szCs w:val="21"/>
              </w:rPr>
            </w:pPr>
            <w:r>
              <w:rPr>
                <w:rFonts w:ascii="Times New Roman" w:eastAsiaTheme="minorEastAsia"/>
                <w:b/>
                <w:bCs/>
                <w:color w:val="000000"/>
                <w:szCs w:val="21"/>
              </w:rPr>
              <w:t>编制依据：</w:t>
            </w:r>
          </w:p>
          <w:p w14:paraId="7A554E78">
            <w:pPr>
              <w:pStyle w:val="14"/>
              <w:spacing w:line="360" w:lineRule="auto"/>
              <w:rPr>
                <w:rFonts w:hint="eastAsia" w:ascii="Times New Roman" w:eastAsiaTheme="minorEastAsia"/>
                <w:color w:val="000000"/>
                <w:szCs w:val="21"/>
              </w:rPr>
            </w:pPr>
            <w:r>
              <w:rPr>
                <w:rFonts w:hint="eastAsia" w:ascii="Times New Roman" w:eastAsiaTheme="minorEastAsia"/>
                <w:color w:val="000000"/>
                <w:szCs w:val="21"/>
              </w:rPr>
              <w:t>1. 相关的政策法规；《中华人民共和国标准化法》；《中华人民共和国食品安全法》；安徽省地方标准管理办法》（皖质发[2013]61号）。</w:t>
            </w:r>
          </w:p>
          <w:p w14:paraId="6021E671">
            <w:pPr>
              <w:pStyle w:val="14"/>
              <w:spacing w:line="360" w:lineRule="auto"/>
              <w:rPr>
                <w:rFonts w:hint="eastAsia" w:ascii="Times New Roman" w:eastAsiaTheme="minorEastAsia"/>
                <w:color w:val="000000"/>
                <w:szCs w:val="21"/>
              </w:rPr>
            </w:pPr>
            <w:r>
              <w:rPr>
                <w:rFonts w:hint="eastAsia" w:ascii="Times New Roman" w:eastAsiaTheme="minorEastAsia"/>
                <w:color w:val="000000"/>
                <w:szCs w:val="21"/>
              </w:rPr>
              <w:t>2. 相关标准：《保健食品理化及卫生指标检验与评价技术指导原则》（2020年版）、RB/T 214-2017《检验检测机构资质认定能力评价 检验检测机构通用要求》、GB/T 27404-2017《实验室质量控制规范 食品理化检测》、GB/T 27025-2019《检测和校准实验室能力的通用要求》等。</w:t>
            </w:r>
          </w:p>
          <w:p w14:paraId="615004EB">
            <w:pPr>
              <w:pStyle w:val="14"/>
              <w:spacing w:line="360" w:lineRule="auto"/>
              <w:rPr>
                <w:rFonts w:ascii="Times New Roman" w:eastAsiaTheme="minorEastAsia"/>
                <w:color w:val="000000"/>
                <w:szCs w:val="21"/>
              </w:rPr>
            </w:pPr>
            <w:r>
              <w:rPr>
                <w:rFonts w:hint="eastAsia" w:ascii="Times New Roman" w:eastAsiaTheme="minorEastAsia"/>
                <w:color w:val="000000"/>
                <w:szCs w:val="21"/>
              </w:rPr>
              <w:t>3．相关文件：国家市场监督管理总局令[2019]第15号《食品安全抽样检验管理办法》、《食品检验工作规范（征求意见稿）》、《安徽省食品安全承检机构管理办法（试行）》等。</w:t>
            </w:r>
          </w:p>
        </w:tc>
      </w:tr>
      <w:tr w14:paraId="400FE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jc w:val="center"/>
        </w:trPr>
        <w:tc>
          <w:tcPr>
            <w:tcW w:w="9634" w:type="dxa"/>
            <w:gridSpan w:val="6"/>
            <w:tcBorders>
              <w:top w:val="single" w:color="auto" w:sz="4" w:space="0"/>
              <w:left w:val="single" w:color="auto" w:sz="4" w:space="0"/>
              <w:bottom w:val="single" w:color="auto" w:sz="8" w:space="0"/>
              <w:right w:val="single" w:color="auto" w:sz="4" w:space="0"/>
            </w:tcBorders>
          </w:tcPr>
          <w:p w14:paraId="168D26A2">
            <w:pPr>
              <w:pStyle w:val="14"/>
              <w:spacing w:line="360" w:lineRule="auto"/>
              <w:ind w:firstLine="0" w:firstLineChars="0"/>
              <w:rPr>
                <w:rFonts w:ascii="Times New Roman"/>
                <w:color w:val="000000"/>
                <w:szCs w:val="21"/>
              </w:rPr>
            </w:pPr>
            <w:r>
              <w:rPr>
                <w:rFonts w:ascii="Times New Roman"/>
                <w:color w:val="000000"/>
                <w:szCs w:val="21"/>
              </w:rPr>
              <w:t>4、主要条款的说明，主要技术指标、参数、试验验证的论述（详细说明）</w:t>
            </w:r>
          </w:p>
        </w:tc>
      </w:tr>
      <w:tr w14:paraId="5CA78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jc w:val="center"/>
        </w:trPr>
        <w:tc>
          <w:tcPr>
            <w:tcW w:w="9634" w:type="dxa"/>
            <w:gridSpan w:val="6"/>
            <w:tcBorders>
              <w:top w:val="single" w:color="auto" w:sz="8" w:space="0"/>
              <w:left w:val="single" w:color="auto" w:sz="4" w:space="0"/>
              <w:bottom w:val="single" w:color="auto" w:sz="4" w:space="0"/>
              <w:right w:val="single" w:color="auto" w:sz="6" w:space="0"/>
            </w:tcBorders>
          </w:tcPr>
          <w:p w14:paraId="3C50A47A">
            <w:pPr>
              <w:spacing w:line="360" w:lineRule="auto"/>
              <w:ind w:firstLine="422" w:firstLineChars="200"/>
              <w:jc w:val="left"/>
              <w:rPr>
                <w:rFonts w:eastAsiaTheme="minorEastAsia"/>
                <w:b/>
                <w:color w:val="000000" w:themeColor="text1"/>
                <w:szCs w:val="21"/>
                <w14:textFill>
                  <w14:solidFill>
                    <w14:schemeClr w14:val="tx1"/>
                  </w14:solidFill>
                </w14:textFill>
              </w:rPr>
            </w:pPr>
            <w:r>
              <w:rPr>
                <w:rFonts w:eastAsiaTheme="minorEastAsia"/>
                <w:b/>
                <w:color w:val="000000" w:themeColor="text1"/>
                <w:szCs w:val="21"/>
                <w14:textFill>
                  <w14:solidFill>
                    <w14:schemeClr w14:val="tx1"/>
                  </w14:solidFill>
                </w14:textFill>
              </w:rPr>
              <w:t>4.1主要条款：</w:t>
            </w:r>
          </w:p>
          <w:p w14:paraId="47EE7B4A">
            <w:pPr>
              <w:pStyle w:val="14"/>
              <w:spacing w:line="360" w:lineRule="auto"/>
              <w:rPr>
                <w:rFonts w:ascii="Times New Roman" w:eastAsiaTheme="minorEastAsia"/>
                <w:color w:val="000000" w:themeColor="text1"/>
                <w:szCs w:val="21"/>
                <w14:textFill>
                  <w14:solidFill>
                    <w14:schemeClr w14:val="tx1"/>
                  </w14:solidFill>
                </w14:textFill>
              </w:rPr>
            </w:pPr>
            <w:r>
              <w:rPr>
                <w:rFonts w:ascii="Times New Roman" w:eastAsiaTheme="minorEastAsia"/>
                <w:color w:val="000000" w:themeColor="text1"/>
                <w:szCs w:val="21"/>
                <w14:textFill>
                  <w14:solidFill>
                    <w14:schemeClr w14:val="tx1"/>
                  </w14:solidFill>
                </w14:textFill>
              </w:rPr>
              <w:t>本标准的章节由：</w:t>
            </w:r>
            <w:r>
              <w:rPr>
                <w:rFonts w:hint="eastAsia" w:ascii="Times New Roman" w:eastAsiaTheme="minorEastAsia"/>
                <w:color w:val="000000" w:themeColor="text1"/>
                <w:szCs w:val="21"/>
                <w14:textFill>
                  <w14:solidFill>
                    <w14:schemeClr w14:val="tx1"/>
                  </w14:solidFill>
                </w14:textFill>
              </w:rPr>
              <w:t>范围、规范性引用文件、术语和定义、总体要求、厂区环境与厂房设计、设施和设备、原辅料、加工过程、成品质量检验、潜在风险项目控制、食品质量缺陷产品处理、信息记录管理制度等</w:t>
            </w:r>
            <w:r>
              <w:rPr>
                <w:rFonts w:ascii="Times New Roman" w:eastAsiaTheme="minorEastAsia"/>
                <w:color w:val="000000" w:themeColor="text1"/>
                <w:szCs w:val="21"/>
                <w14:textFill>
                  <w14:solidFill>
                    <w14:schemeClr w14:val="tx1"/>
                  </w14:solidFill>
                </w14:textFill>
              </w:rPr>
              <w:t>。</w:t>
            </w:r>
          </w:p>
          <w:p w14:paraId="573830E3">
            <w:pPr>
              <w:spacing w:line="360" w:lineRule="auto"/>
              <w:ind w:firstLine="422" w:firstLineChars="200"/>
              <w:jc w:val="left"/>
              <w:rPr>
                <w:rFonts w:eastAsiaTheme="minorEastAsia"/>
                <w:b/>
                <w:color w:val="000000" w:themeColor="text1"/>
                <w:szCs w:val="21"/>
                <w14:textFill>
                  <w14:solidFill>
                    <w14:schemeClr w14:val="tx1"/>
                  </w14:solidFill>
                </w14:textFill>
              </w:rPr>
            </w:pPr>
            <w:r>
              <w:rPr>
                <w:rFonts w:eastAsiaTheme="minorEastAsia"/>
                <w:b/>
                <w:color w:val="000000" w:themeColor="text1"/>
                <w:szCs w:val="21"/>
                <w14:textFill>
                  <w14:solidFill>
                    <w14:schemeClr w14:val="tx1"/>
                  </w14:solidFill>
                </w14:textFill>
              </w:rPr>
              <w:t>4.2 主要技术指标、参数：</w:t>
            </w:r>
          </w:p>
          <w:p w14:paraId="1E6DDED1">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4 总体要求</w:t>
            </w:r>
          </w:p>
          <w:p w14:paraId="5AADDF06">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4.1 指导原则</w:t>
            </w:r>
          </w:p>
          <w:p w14:paraId="0E67BAD3">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4.1.1 坚果与籽类食品生产质量控制与管理应全面覆盖产品的全生命周期，依据PDCA（策划-实施-检查-行动）循环原则，系统地开展质量控制活动。</w:t>
            </w:r>
          </w:p>
          <w:p w14:paraId="18E1845D">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4.1.2 在进行质量控制与管理活动时，应充分考虑并采取措施提升产业链和供应链的控制能力及整体质量水平。</w:t>
            </w:r>
          </w:p>
          <w:p w14:paraId="610B6BDC">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4.1.3 鼓励企业根据自身的生产和管理实际情况，采纳精益生产、全面质量管理、六西格玛等先进的质量管理理论和方法，以提高坚果与籽类食品的生产质量管理效能。</w:t>
            </w:r>
          </w:p>
          <w:p w14:paraId="431DC9EB">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4.1.4 鼓励坚果与籽类食品生产企业建立整合产品研发、原辅料管理、生产管理和实验室管理的数字一体化管理平台，以提高生产过程的透明度和追溯性。生产加工过程的电子记录应符合GB/T 30644的要求。</w:t>
            </w:r>
          </w:p>
          <w:p w14:paraId="10DDDDCC">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4.1.5 鼓励企业实施绿色加工与贮运操作，符合GB/T 36132和GB/T 41243的要求，促进可持续发展和环境保护。</w:t>
            </w:r>
          </w:p>
          <w:p w14:paraId="3C9F4D5C">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4.2 确定坚果与籽类食品质量要求</w:t>
            </w:r>
          </w:p>
          <w:p w14:paraId="012B0C62">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4.2.1 坚果与籽类食品生产企业必须明确坚果与籽类食品的质量要求，这些要求应涵盖产品的各个方面，包括但不限于原辅料的标准、感官特性（如色泽、气味、口感等）、理化指标（如水分含量、酸价、过氧化值等）、营养成分、产品等级（如有）等。</w:t>
            </w:r>
          </w:p>
          <w:p w14:paraId="35351261">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4.2.2 企业应根据坚果与籽类食品的特性和既定的质量要求，设定可接受的质量波动水平。这应包括对生产过程中可能出现的变异进行评估，并基于风险管理原则，确定能够保证食品安全和质量的控制限值。</w:t>
            </w:r>
          </w:p>
          <w:p w14:paraId="227A1A50">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4.2.3 确定的质量要求和可接受的质量波动水平应被文件化，并作为质量控制和产品放行的标准。这</w:t>
            </w:r>
          </w:p>
          <w:p w14:paraId="3621414A">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些要求应用于整个生产过程，以确保所有产品都能满足消费者和法规的期望。</w:t>
            </w:r>
          </w:p>
          <w:p w14:paraId="5DC44BC6">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4.2.4 企业应定期审查和更新质量要求，以适应市场变化、技术进步和新的科学信息，确保质量标准的持续适用性和有效性。</w:t>
            </w:r>
          </w:p>
          <w:p w14:paraId="1A30462A">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4.3 确定坚果与籽类食品质量影响因素</w:t>
            </w:r>
          </w:p>
          <w:p w14:paraId="570014E8">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4.3.1 坚果与籽类食品生产企业在开展质量控制与管理时，应全面识别并考虑影响产品质量的各种因素，确保从原料采购到最终产品销售的全周期质量管理。</w:t>
            </w:r>
          </w:p>
          <w:p w14:paraId="5ED0E570">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4.3.2 应综合考虑以下方面确定坚果与籽类食品质量的影响因素： a) 资源条件：包括但不限于人力资源、原辅料资源、环境资源和信息资源等，确保这些资源的质量和可用性能够满足生产需求。 b) 加工方式：根据坚果与籽类食品的特性，选择适宜的加工方法，以保持产品的品质和特性。 c) 技术因素：包括加工技术水平和设备装备水平，确保技术先进性和设备的可靠性，以提高产品质量和生产效率。 d) 质量稳定性和一致性：通过严格的质量控制，确保产品在不同批次间的质量稳定性和一致性。 e) 生产产能与效能：评估并优化生产流程，提高产能和效能，以满足市场需求。 f) 生产体系的有效性和可持续性：确保生产体系的有效运行，并考虑其长期可持续性，包括对环境的影响和资源的使用。 g) 成本因素：在保证产品质量的前提下，合理控制生产成本，提高企业竞争力。 h) 资源节约：采取措施减少食品损耗和节约用水，提高资源利用效率。 i) 节能环保：采用节能和环保的生产技术和设备，减少生产过程中的能源消耗和环境污染。 j) 人文因素：考虑员工的技能、培训和工作态度等因素，以及它们对产品质量的影响。 k) 其他影响因素：识别和评估其他可能影响坚果与籽类食品质量的因素，如供应链管理、市场变化等，并采取相应的控制措施。</w:t>
            </w:r>
          </w:p>
          <w:p w14:paraId="276FD934">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4.4 建立坚果与籽类食品生产质量目标</w:t>
            </w:r>
          </w:p>
          <w:p w14:paraId="4220AD52">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4.4.1 坚果与籽类食品生产企业必须明确并落实其产品质量责任，建立清晰的生产质量目标。这些目标应贯穿于企业内部各个部门，并在供应链上下游企业间进行有效的沟通、理解和应用。</w:t>
            </w:r>
          </w:p>
          <w:p w14:paraId="1B9BFFE4">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4.4.2 企业应以市场需求为导向，依据产品设计的质量方针，综合考虑坚果与籽类食品的品质、营养、感官、理化等质量指标，以及原辅料的质量要求、加工工艺参数、包装材料和形式等，制定全面覆盖食品生产全过程的质量目标。</w:t>
            </w:r>
          </w:p>
          <w:p w14:paraId="10EDCDBA">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4.4.3 制定的质量目标应满足以下要求： a) 明确指出坚果与籽类食品的质量要求，确保目标具有明确的质量指标和性能标准； b) 确定实现这些质量目标所需的资源配置，包括人力、技术、设备和财务资源等； c) 确保质量目标既可实现又可测量，通过设定具体、量化的目标，便于监控和评估； d) 与企业的质量政策和食品安全标准保持一致，确保目标的实现能够提升产品质量和市场竞争力； e) 根据市场变化、技术进步和消费者反馈，适时对质量目标进行评估和更新，确保其持续适应企业发展和市场需求。</w:t>
            </w:r>
          </w:p>
          <w:p w14:paraId="4FDDE877">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4.5 确立坚果与籽类食品生产质量控制</w:t>
            </w:r>
          </w:p>
          <w:p w14:paraId="1C823452">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4.5.1 企业应针对人员、设施与设备、物料、工艺方法、环境等关键质量控制对象，确立全面的坚果与籽类食品生产质量控制措施。</w:t>
            </w:r>
          </w:p>
          <w:p w14:paraId="340F3718">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4.5.2 质量控制措施应综合考虑生产过程中可能出现的各种影响因素，包括但不限于原料质量、加工技术、生产环境、设备性能、操作人员技能等。</w:t>
            </w:r>
          </w:p>
          <w:p w14:paraId="031F42A7">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4.5.3 制定的质量控制措施应能有效地将坚果与籽类食品的质量缺陷和质量波动水平控制在企业内部设定的可接受范围内，以确保最终产品符合食品安全和质量标准。</w:t>
            </w:r>
          </w:p>
          <w:p w14:paraId="4B674E75">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4.5.4 企业应定期评估和审查质量控制措施的有效性，并根据生产实际和质量反馈，适时进行调整和优化，以实现持续改进和质量管理的动态提升。</w:t>
            </w:r>
          </w:p>
          <w:p w14:paraId="791F8B48">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4.6 实施坚果与籽类食品生产质量质量控制评价与改进</w:t>
            </w:r>
          </w:p>
          <w:p w14:paraId="1DB2F357">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4.6.1 企业应建立坚果与籽类食品生产质量跟踪评价体系，对生产过程进行持续监控，确保产品质量符合既定标准。</w:t>
            </w:r>
          </w:p>
          <w:p w14:paraId="74BD03EA">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4.6.2 当生产过程中出现质量偏差时，应立即组织相关技术人员和管理人员进行原因分析，并针对已识别的原因制定具体的改进建议和措施。</w:t>
            </w:r>
          </w:p>
          <w:p w14:paraId="59A18597">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4.6.3 企业应实施这些改进措施，并跟踪其效果，以保证坚果与籽类食品质量的持续改进和提高。</w:t>
            </w:r>
          </w:p>
          <w:p w14:paraId="3823B4DF">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4.6.4 为提升企业的整体质量管理水平，鼓励企业实施卓越绩效管理，符合GB/T 19580的要求，以提高企业的竞争力和市场响应能力。</w:t>
            </w:r>
          </w:p>
          <w:p w14:paraId="375D6B26">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4.6.5 鼓励企业开展质量文化建设，符合GB/T 32230的要求，通过培养员工的质量意识和责任感，提升企业的质量管理体系。</w:t>
            </w:r>
          </w:p>
          <w:p w14:paraId="64500685">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4.6.6 同时，鼓励企业开展品牌建设，符合GB/T 39906的标准，通过提高产品质量和品牌形象，增强消费者对企业产品的信任和忠诚度。</w:t>
            </w:r>
          </w:p>
          <w:p w14:paraId="5CEBA144">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5 厂区环境与厂房设计</w:t>
            </w:r>
          </w:p>
          <w:p w14:paraId="47AC3FF0">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5.1 厂区的周边环境条件，包括温度、湿度、光照等，应符合GB 14881的相关规定，以确保生产环境对食品安全和产品质量无不良影响。</w:t>
            </w:r>
          </w:p>
          <w:p w14:paraId="31366AF8">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5.2 厂房的面积和空间大小应与企业的生产能力相匹配，确保生产过程中的各个环节有足够的操作空间，避免因空间拥挤影响生产效率和产品质量。</w:t>
            </w:r>
          </w:p>
          <w:p w14:paraId="7B59D5D3">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5.3 对于以初级农产品为原料的企业，应配备与生产能力相适应的原料验收区域和预处理区域，以满足原料的接收、检验和初步处理需求。预处理区域应设置必要的防护，以减少粉尘和气味对其他生产区域的影响，并防止交叉污染。</w:t>
            </w:r>
          </w:p>
          <w:p w14:paraId="76E75ECB">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5.4 厂房和车间的布局应遵循GB 14881的相关规定，并结合坚果与籽类食品的生产工艺特点进行合理设计。</w:t>
            </w:r>
          </w:p>
          <w:p w14:paraId="09BE3511">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5.5 功能布局应清晰，确保人流和物流的顺畅流动，同时满足清理、浸泡、蒸煮、干燥、裹衣、烘炒、拌料、油炸及包装等各个工序的要求。</w:t>
            </w:r>
          </w:p>
          <w:p w14:paraId="7E3ADA32">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5.6 应保证生产过程高效有序地进行，防止生产过程中的交叉污染，确保产品质量和食品安全。</w:t>
            </w:r>
          </w:p>
          <w:p w14:paraId="0658FF92">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6 设施和设备</w:t>
            </w:r>
          </w:p>
          <w:p w14:paraId="4C180CDE">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6.1 生产设施和设备</w:t>
            </w:r>
          </w:p>
          <w:p w14:paraId="056156F7">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6.1.1 生产设施和设备的设计和布局应合理，保证厂房和车间内的通道、传送系统等结构设计能够满足人员通行和物料运输的需要。</w:t>
            </w:r>
          </w:p>
          <w:p w14:paraId="35A1A26B">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6.1.2 原辅料预处理设施须满足原料清理、去除杂质、筛选分级等工艺技术要求，确保原料处理过程的效率和质量。</w:t>
            </w:r>
          </w:p>
          <w:p w14:paraId="53FA58CF">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6.1.3 对于产尘量大的车间，应配备有效的除尘设施，以控制粉尘的扩散和积聚。架空构件和设备的安装位置应便于日常清理和维护。</w:t>
            </w:r>
          </w:p>
          <w:p w14:paraId="495EB4FD">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6.1.4 煮制、干燥、油炸等在生产过程中产生大量热能及水蒸气的车间，必须安装能够有效防止倒灌</w:t>
            </w:r>
          </w:p>
          <w:p w14:paraId="2DF1EAFB">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的排风设施，确保热能和水蒸气能被迅速并有效地排除。</w:t>
            </w:r>
          </w:p>
          <w:p w14:paraId="2C8F7433">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6.1.5 排风设施的设计应具备足够的排除能力，以适应生产过程中产生的热能和水蒸气量，防止车间内温度过高或蒸汽凝结。</w:t>
            </w:r>
          </w:p>
          <w:p w14:paraId="6C11DC3A">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6.1.6 排风设施的入口应装有耐腐蚀、易于清洗的网罩。</w:t>
            </w:r>
          </w:p>
          <w:p w14:paraId="47FFC882">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6.1.7 安装于产生热能及水蒸气设备上方的排风设施，应配备导流口和废液收集器，定期检查和清理废液收集器，防止油污和水分滴落到车间地面或设备上，保持车间的清洁和卫生。</w:t>
            </w:r>
          </w:p>
          <w:p w14:paraId="58EF9769">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6.1.8 存放食用油、卤水等液体的设备和设施，应配备密封盖，以防止污染和交叉感染。</w:t>
            </w:r>
          </w:p>
          <w:p w14:paraId="2FB54DF1">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6.1.9 对于有温湿度控制要求的场所，应配备相应的温湿度控制和监控设施，确保生产环境满足产品质量和工艺要求。</w:t>
            </w:r>
          </w:p>
          <w:p w14:paraId="74983884">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6.2 仓储设施</w:t>
            </w:r>
          </w:p>
          <w:p w14:paraId="2DC30AD9">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6.2.1 企业应配备与生产经营坚果与籽类食品的品种和数量相适应的仓储设施，确保仓储能力满足生产和经营的需求。</w:t>
            </w:r>
          </w:p>
          <w:p w14:paraId="2DBF5940">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6.2.2 仓储设施的设计、建造和维护应严格遵循QB/T 5486《坚果与籽类食品贮存技术规范》的要求，确保物料在储存过程中的品质和安全。</w:t>
            </w:r>
          </w:p>
          <w:p w14:paraId="7D1910BF">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6.2.3 企业应设定专门的危险品和废弃物贮存区，这些区域应与其他仓储区域隔离，并配备适当的安全措施，如防火、防爆、防泄漏等，以防止危险品和废弃物对人员和环境造成危害。</w:t>
            </w:r>
          </w:p>
          <w:p w14:paraId="53BF192C">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6.3 排水设施</w:t>
            </w:r>
          </w:p>
          <w:p w14:paraId="7978052F">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6.3.1 企业应根据车间的实际用水量合理设置排水设施，确保在生产过程中产生的废水能够快速、通畅地排出车间，避免积水对生产环境和产品质量造成影响。</w:t>
            </w:r>
          </w:p>
          <w:p w14:paraId="07532066">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6.3.2 车间内设置的排水设施，包括排水沟、排水管道、检查井等，应设计合理，结构严密，便于清洁和维护，符合GB 14881的相关规定，确保排水设施不对食品生产环境造成污染。</w:t>
            </w:r>
          </w:p>
          <w:p w14:paraId="6A375894">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6.3.3 排水系统应配备防止固体废弃物和有害物质进入的装置，如过滤网、格栅等，以保证排水过程不会对环境造成二次污染。</w:t>
            </w:r>
          </w:p>
          <w:p w14:paraId="2F09BD4E">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6.3.4 应定期对排水设施进行检查和清理，确保排水系统的有效运行，防止因设施堵塞或损坏而导致的废水积聚。</w:t>
            </w:r>
          </w:p>
          <w:p w14:paraId="72F4AD71">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6.4 检验设施</w:t>
            </w:r>
          </w:p>
          <w:p w14:paraId="443188A7">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6.4.1 企业应配备满足产品质量检测需求的化验设备，至少应包括检测“净含量”、“水分”、“酸价”、“过氧化值”等关键质量指标的设备。</w:t>
            </w:r>
          </w:p>
          <w:p w14:paraId="46C4FC99">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6.4.2 对于采用快速检测（快检）设备的，企业应定期将其检测结果与国家标准方法进行比对验证，并详细记录比对过程和结果，以确保快检设备的准确性和可靠性。</w:t>
            </w:r>
          </w:p>
          <w:p w14:paraId="21BA2D29">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6.4.3 企业应定期对化验设备进行检定或校准，以确保检测结果的准确性。所有化验设备的检定或校准应按照国家相关标准或计量技术规范进行，并应有详细的记录和档案管理。</w:t>
            </w:r>
          </w:p>
          <w:p w14:paraId="131936B1">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6.5 食品直接接触材料</w:t>
            </w:r>
          </w:p>
          <w:p w14:paraId="6F1E6975">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6.5.1 与食品直接接触的设备和工具，包括机械设备、容器、管道和工具等，应设计为易于拆卸、清洗和消毒，以确保食品加工过程的卫生安全。</w:t>
            </w:r>
          </w:p>
          <w:p w14:paraId="67122773">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6.5.2 清洗剂应选用安全、无毒、不会对产品造成污染的类型，并应遵循正确的使用浓度和接触时间，以防止食品受到化学污染。</w:t>
            </w:r>
          </w:p>
          <w:p w14:paraId="6B439426">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6.5.3 直接接触食品的设备和工具应使用稳定性较好、不易迁移有害成分的材料制成，以降低材料中有害物质迁移至食品的风险。</w:t>
            </w:r>
          </w:p>
          <w:p w14:paraId="1A0BBFA7">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6.5.4 设备所用的润滑剂应选择食品级或符合食品安全标准的产品，以防止对原辅料或设备造成污染。在必要时，应采取适当的防护措施，如使用密封系统或定期检查和维护，确保润滑剂不与食品接触。</w:t>
            </w:r>
          </w:p>
          <w:p w14:paraId="526CB16E">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6.6 其他设备设施</w:t>
            </w:r>
          </w:p>
          <w:p w14:paraId="0794026F">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6.6.1 若企业使用燃煤锅炉，锅炉房必须设置在厂区全年最小频率风向的上风侧，以减少对生产环境的潜在影响。</w:t>
            </w:r>
          </w:p>
          <w:p w14:paraId="4C3254F9">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6.6.2 各种蒸汽管道应采用无毒、防腐的材料，以防止蒸汽品质受到污染，进而避免对食品安全造成影响。同时，锅炉气体排放应严格符合GB13271的规定，确保排放符合环保要求。</w:t>
            </w:r>
          </w:p>
          <w:p w14:paraId="2F8A5B92">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6.7 设施和设备信息</w:t>
            </w:r>
          </w:p>
          <w:p w14:paraId="6D6CD672">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6.7.1 企业应建立设施和设备信息管理系统，记录并保持以下信息： a) 设施和设备的详细清单，包括型号、规格、数量等； b) 设施和设备的性能信息，如技术参数、性能指标等； c) 设施和设备的更新情况，包括购置日期、更新改造记录等； d) 设施和设备的保养维护信息，包括维护计划、维护记录、检修报告等； e) 其他认为对设施和设备管理重要的信息。</w:t>
            </w:r>
          </w:p>
          <w:p w14:paraId="7600AC2D">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6.7.2 应制定设备操作规程，明确操作方法、故障处理措施和维护保养要求，确保设备的安全运行和性能稳定性。</w:t>
            </w:r>
          </w:p>
          <w:p w14:paraId="4DADB900">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6.7.3 设备操作规程应定期审查和更新，以适应生产实际的变化和新技术的应用。</w:t>
            </w:r>
          </w:p>
          <w:p w14:paraId="7D5C09F6">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7 原辅料</w:t>
            </w:r>
          </w:p>
          <w:p w14:paraId="7EF25BB2">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7.1 原辅料供应商</w:t>
            </w:r>
          </w:p>
          <w:p w14:paraId="56E06B7D">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7.1.1 企业应建立并实施食品生产原辅料供应商的准入、评价和退出机制，确保供应商提供的原辅料符合食品安全和质量标准。</w:t>
            </w:r>
          </w:p>
          <w:p w14:paraId="0C15103E">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7.1.2 企业应对供应商的资质、供货来源、生产条件、信誉、管理能力、服务质量和产品质量状况进行综合评价和验证，以此建立原辅料合格供应商目录。</w:t>
            </w:r>
          </w:p>
          <w:p w14:paraId="15266708">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7.1.3 应定期对列入合格供应商目录的供应商进行复审和检查，以确保其持续满足企业的质量和安全要求。</w:t>
            </w:r>
          </w:p>
          <w:p w14:paraId="43A49AC0">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7.1.4 对于不能持续满足企业要求的原辅料供应商，应及时采取更换措施，以保证原辅料的质量稳定可靠。</w:t>
            </w:r>
          </w:p>
          <w:p w14:paraId="745E69A3">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7.1.5 企业必要时应自行或委托有资质的第三方机构，对原辅料供应商的生产现场进行定期或不定期的审核和评价，以验证其生产和管理条件是否符合要求。</w:t>
            </w:r>
          </w:p>
          <w:p w14:paraId="3C85195D">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7.1.6 鼓励企业通过建立自有的原辅料供应基地，直接控制原辅料的生产和供应过程，从而更好地保障原辅料的质量和安全。</w:t>
            </w:r>
          </w:p>
          <w:p w14:paraId="5CA7AA76">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7.2 原辅料验收</w:t>
            </w:r>
          </w:p>
          <w:p w14:paraId="30C63C0B">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7.2.1 企业应制定并实施原辅料质量管理制度，明确原辅料的验收标准、查验程序、入库、储存和运输等要求，确保原辅料的质量符合生产需要。</w:t>
            </w:r>
          </w:p>
          <w:p w14:paraId="41F4950C">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7.2.2 原辅料的验收标准和抽样检验方案应具体、可操作，并且能够被有效执行。验收标准至少应涵盖色泽、气味、霉变粒、酸价、过氧化值等关键质量指标。</w:t>
            </w:r>
          </w:p>
          <w:p w14:paraId="22DA454D">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7.2.3 企业应查验供应商提供的质量检验报告和其他质量合格证明文件，以验证原辅料的质量符合性。对于关</w:t>
            </w:r>
          </w:p>
          <w:p w14:paraId="021D30C3">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7.2.4 对于不符合质量控制要求的原辅料，企业必须禁止其投入生产，并应进行明确标识和及时隔离，采取适当处置措施，防止与合格物料混用或误用。</w:t>
            </w:r>
          </w:p>
          <w:p w14:paraId="67E40E6D">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7.2.5 所有进口物料在入库前应通过出入境植物检疫，确保病虫或杂草种子检验合格，以避免外来有害生物的引入和传播。</w:t>
            </w:r>
          </w:p>
          <w:p w14:paraId="37AEC143">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7.3 原辅料运输与储存</w:t>
            </w:r>
          </w:p>
          <w:p w14:paraId="5F7F1769">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7.3.1 原辅料运输工具、容器和设备应保持清洁，确保不对原料造成污染。运输不同原辅料时，应采取分装、分离或分隔的措施。</w:t>
            </w:r>
          </w:p>
          <w:p w14:paraId="14C49421">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7.3.2 原辅料仓库应设专人管理，并定期检查原料的质量状况，确保储存环境符合食品安全要求。</w:t>
            </w:r>
          </w:p>
          <w:p w14:paraId="561DC794">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7.3.3 原辅料应根据不同食品质量特性进行分类和分级存放，不同质量等级的原辅料应有明显标识，以便于管理和使用。</w:t>
            </w:r>
          </w:p>
          <w:p w14:paraId="73BC73B2">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7.3.4 企业应根据原辅料的质量需求，对运输与储存环境的温度、湿度、光照、通风等因素进行有效控制，确保原辅料的安全和质量。</w:t>
            </w:r>
          </w:p>
          <w:p w14:paraId="2E37E47B">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7.3.5 产品应及时采用人工或机械方式分期分批入库，装卸过程中应小心操作，合理安排堆码方式。</w:t>
            </w:r>
          </w:p>
          <w:p w14:paraId="452CC227">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7.3.6 原辅料应按种类、等级和收获年份分开贮存；安全水分、半安全水分和危险水分的坚果与籽类应分开贮存，并做好标识，防止与有毒、有害、易串味的其他货物混贮。对含有致敏原的物料与非致敏原的物料应进行有效隔离，防止交叉感染。</w:t>
            </w:r>
          </w:p>
          <w:p w14:paraId="3DE2DFAF">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7.3.7 货垛的排列方式、走向及间距应与库存内空气环流方向一致，物料堆码应合理交错、整齐稳固，避免歪斜，确保设施及人员安全。堆码应距墙、柱0.6米以上；高水分物料的堆码高度不应超过1米，并应尽快处理。</w:t>
            </w:r>
          </w:p>
          <w:p w14:paraId="52920108">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7.3.8 已感染害虫的物料应单独存放，并根据感染程度采取相应的虫害处理措施。</w:t>
            </w:r>
          </w:p>
          <w:p w14:paraId="02433E24">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7.3.9 对于筒仓或散存贮存的物料，其品质应保持相对稳定一致，不应混入危险水分的物料，半安全水分物料应控制好出入库时间，防止物料变质。</w:t>
            </w:r>
          </w:p>
          <w:p w14:paraId="27A32F01">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7.3.10 在高温季节，应合理控制贮存量，确保物料的质量安全。</w:t>
            </w:r>
          </w:p>
          <w:p w14:paraId="2FF99FFA">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7.3.11 物料在运输过程中应做好防护，防止雨淋、曝晒、潮湿和污染等。</w:t>
            </w:r>
          </w:p>
          <w:p w14:paraId="275701A8">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7.3.12 高温季节运输时，宜选择在早晚气温较低时进行；长途运输应防止物料受热及高温加速熟制坚果与籽类的过氧化值突变。</w:t>
            </w:r>
          </w:p>
          <w:p w14:paraId="32887404">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7.3.13 对于油脂含量高且对温度敏感的物料，高温季节应采用冷藏车进行运输。</w:t>
            </w:r>
          </w:p>
          <w:p w14:paraId="77C192D4">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7.3.14 电子商务物料在流通过程中的贮存应符合SB/T 11132的相关规定。</w:t>
            </w:r>
          </w:p>
          <w:p w14:paraId="620D7858">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7.3.15 产品出入仓库应遵循“先进先出”的原则，定期检查库存食品的质量和数量，及时清理变质或超过保质期的食品。</w:t>
            </w:r>
          </w:p>
          <w:p w14:paraId="2F35A8A3">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7.3.16 仓库管理部门应制定并实施保证储存物资安全的防护措施，根据库存原料质量状况制定仓库通风作业指导书，确保库内物资保持相对低温及干燥状态。</w:t>
            </w:r>
          </w:p>
          <w:p w14:paraId="642DF1C6">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7.3.17 质量和仓库管理部门应定期对库存原料进行监测，监测项目包括： a) 感官鉴定：如原料色泽、滋味、气味等； b) 质量指标检测：如水分、虫蚀、霉变、酸价等； c) 仓库的温湿度：仓内空间气温和仓库湿度； d) 虫害检查：防鼠、防鸟、防虫设施检查；物料生虫检查。</w:t>
            </w:r>
          </w:p>
          <w:p w14:paraId="3081BCD1">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7.3.18 质量管理部门应根据原料的质量状况确定详细的质量检查频次、项目及要求。监测过程中如发现虫害、霉变、发热等异常情况，应立即对原料进行隔离或处置，必要时请专家指导，防止危害扩大。对原料储存中出现的不合格情况（如霉变、受潮或水分超标等）应及时协调解决，监测时发现其他异常情况应及时反馈并协调解决。</w:t>
            </w:r>
          </w:p>
          <w:p w14:paraId="487CA564">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7.3.19 仓库管理部门应在物料贮存期限到期前3个月及时预警，提醒生产部门及时安排生产使用，防</w:t>
            </w:r>
          </w:p>
          <w:p w14:paraId="063CBE79">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止出现超贮存期物料。</w:t>
            </w:r>
          </w:p>
          <w:p w14:paraId="5888FA9E">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7.4 半成品的质量控制与储存</w:t>
            </w:r>
          </w:p>
          <w:p w14:paraId="439D7F51">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7.4.1 入库的坚果与籽类半成品应具有稳定的品质，并采用适当的包装方式进行密闭包装，如气调、添加吸氧剂/干燥剂、使用多层复合材质等。应监控霉变粒含量，对于带壳产品，霉变粒不宜大于2.0%；对于去壳产品，霉变粒不宜大于0.5%。</w:t>
            </w:r>
          </w:p>
          <w:p w14:paraId="03F22647">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7.4.2 半成品的质量和安全指标应符合GB 19300及相应产品标准的规定。熟制加工的坚果与籽类半成品应严格控制生产日期和产品质量，确保酸价（以脂肪计，KOH）不大于2.5mg/kg，过氧化值（以脂肪计）不大于0.15g/100g。</w:t>
            </w:r>
          </w:p>
          <w:p w14:paraId="01B057B6">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7.4.3 半成品应按照品种、生产日期进行分开堆放，并应有明确的标识。对于含有致敏原的物料与非致敏原的物料，应进行有效隔离，防止交叉感染。同时，半成品应与原料有效隔离，防止交叉污染，并应避免与有毒、有害、易串味的其他货物混放。</w:t>
            </w:r>
          </w:p>
          <w:p w14:paraId="2BA191F7">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7.4.4 含油脂较高的去壳坚果类、花生类等半成品应贮存在准低温环境中。在高温季节，建议将这些半成品贮存在0℃~10℃的温度范围内，以维持产品质量和延长保质期。</w:t>
            </w:r>
          </w:p>
          <w:p w14:paraId="3D1A74E3">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7.5 原辅料信息记录</w:t>
            </w:r>
          </w:p>
          <w:p w14:paraId="0981710E">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7.5.1 企业应建立并维护原辅料信息记录系统，确保所有相关信息的完整性和可追溯性。</w:t>
            </w:r>
          </w:p>
          <w:p w14:paraId="409D7473">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7.5.2 记录内容应包括但不限于以下信息： a) 供应商目录、供应商资质证明及评价记录，以及供应商的进入和退出机制的相关记录； b) 原辅料的名称、规格、等级（如有）、数量、质量、生产日期或批号、保质期、进货日期以及供应商的名称、地址和联系方式； c) 原辅料的验收标准、抽样方案、检验方法、检验记录和检验结果； d) 原辅料存放管理的责任人信息、定期检查记录、储存环境的监控信息； e) 原辅料的库存信息、出入库记录、不合格品的处理记录、标识管理信息； f) 其他认为对原辅料质量控制和产品追溯有用的信息。</w:t>
            </w:r>
          </w:p>
          <w:p w14:paraId="296C828B">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7.5.3 所有记录应真实、准确，并以易于识别和检索的方式保存。应定期对记录进行审核，确保信息的及时更新和准确性。</w:t>
            </w:r>
          </w:p>
          <w:p w14:paraId="454D7770">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7.5.4 记录的保存期限应符合相关法律法规的要求，至少保存至产品保质期满后六个月，或在没有明确保质期的情况下，保存期限不得少于二年。</w:t>
            </w:r>
          </w:p>
          <w:p w14:paraId="798700AF">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8 加工过程</w:t>
            </w:r>
          </w:p>
          <w:p w14:paraId="6DC994DD">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8.1 产品研发</w:t>
            </w:r>
          </w:p>
          <w:p w14:paraId="2C36A165">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8.1.1 宜通过产学研合作，加强产品创新能力，涵盖创意产生、概念成型、消费者需求调研、市场现状分析、产品设计开发、工艺测试验证至产品上市的全过程。</w:t>
            </w:r>
          </w:p>
          <w:p w14:paraId="5E5FAE11">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8.1.2 研发过程应依据科学方法和先进技术，确保产品创新的系统性和有效性，提升产品的市场竞争力。</w:t>
            </w:r>
          </w:p>
          <w:p w14:paraId="3F5E9330">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8.1.3 宜建立研发成果的评价和反馈机制，确保研发活动的质量持续提升，满足消费者需求和市场变化。</w:t>
            </w:r>
          </w:p>
          <w:p w14:paraId="7E0A47C7">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8.1.4 宜开发采用合适的包装材料和方式，提高包装的保护性能，确保在正常环境储存和运输条件下，产品在有效期内不发生变质。</w:t>
            </w:r>
          </w:p>
          <w:p w14:paraId="1324F98C">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8.1.5 鼓励大型食品生产企业设立研发中心，企业为研发中心提供必要的资源保障，包括但不限于资金投入、人才培养和国际交流合作，以促进技术创新和产品研发，提升产品市场竞争力和消费者满意度，</w:t>
            </w:r>
          </w:p>
          <w:p w14:paraId="37C26519">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确保研发流程的系统性和科学性。</w:t>
            </w:r>
          </w:p>
          <w:p w14:paraId="4291AA2D">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8.2 生产工艺设计</w:t>
            </w:r>
          </w:p>
          <w:p w14:paraId="6886BA9C">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8.2.1 企业应根据产品特性和质量要求，设计合理的生产工艺流程，确保从原料到成品的每个环节均符合食品安全和质量标准。</w:t>
            </w:r>
          </w:p>
          <w:p w14:paraId="7CE20FB8">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8.2.2 生产工艺流程通常包括以下步骤：原料的接收和检验、预处理（包括去杂和清洗）、前处理（浸泡、浸料或裹衣）、熟制（油炸、烘炒或蒸煮）、拌料（如工艺有要求）、冷却、挑拣（如工艺有要求）、包装、杀菌（如工艺有要求）以及成品检验和储存。</w:t>
            </w:r>
          </w:p>
          <w:p w14:paraId="53BBDA97">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8.2.3 在设计生产工艺时，应考虑原料的特性、加工设备的效率、产品质量的一致性以及生产过程的可追溯性。</w:t>
            </w:r>
          </w:p>
          <w:p w14:paraId="75770D9D">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8.2.4 企业应建立和维护生产工艺的文件记录，包括工艺流程图、操作指导书和关键控制点的监控记录，以确保生产过程的透明度和可追溯性。</w:t>
            </w:r>
          </w:p>
          <w:p w14:paraId="5CC8162C">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8.2.5 对于涉及特殊工艺要求的步骤，如拌料和杀菌，企业应制定详细的操作规程，并进行严格的质量控制，以确保产品的安全性和符合性。</w:t>
            </w:r>
          </w:p>
          <w:p w14:paraId="336DC0B7">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8.3 食品原辅料预处理</w:t>
            </w:r>
          </w:p>
          <w:p w14:paraId="5426B59C">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8.3.1 企业应根据产品工艺要求，对坚果与籽类原料实施有效的预处理措施，包括机械清理、手工挑选和清洗等，以确保原料的纯净度和后续加工的质量。</w:t>
            </w:r>
          </w:p>
          <w:p w14:paraId="49025147">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8.3.2 应选择适宜的清选设备如清选机、比重机、去石机、窝眼机、色选机和分级机等，对原料进行机械清理，去除杂质并按大小、重量、密度等特性进行分级。</w:t>
            </w:r>
          </w:p>
          <w:p w14:paraId="7D8A471A">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8.3.3 对于机械清理无法处理的原料，应采用手工挑选的方式，以去除霉变粒、脱皮籽等异常原料，确保原料质量。</w:t>
            </w:r>
          </w:p>
          <w:p w14:paraId="227C6356">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8.3.4 根据产品工艺需求，对原料进行彻底清洗，去除表面灰尘和其他污染物，清洗过程应采用适宜的水质，并确保清洗效果。</w:t>
            </w:r>
          </w:p>
          <w:p w14:paraId="1E943B60">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8.3.5 所有预处理操作应符合食品安全要求，操作人员应接受相关培训，确保预处理过程的规范性和有效性。</w:t>
            </w:r>
          </w:p>
          <w:p w14:paraId="43E429EB">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8.3.6 企业应记录预处理过程中的关键操作参数，如设备设置、处理时间和清洗用水的质量等，以便于质量控制和追溯。</w:t>
            </w:r>
          </w:p>
          <w:p w14:paraId="61E1BDB1">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8.4 加工过程质量控制</w:t>
            </w:r>
          </w:p>
          <w:p w14:paraId="1BC6C8DC">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8.4.1 企业应依据工艺设计方案中确立的食品质量关键环节和影响因素，结合相关质量文件要求，在关键环节实施有效的质量控制措施，以确保产品质量符合标准。</w:t>
            </w:r>
          </w:p>
          <w:p w14:paraId="34351A9F">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8.4.2 应加强对生产物料及上道工序半成品的质量监控，防止食品质量缺陷的产生或流入下道工序，确保每个环节的产品质量稳定。</w:t>
            </w:r>
          </w:p>
          <w:p w14:paraId="1CD4C289">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8.4.3 企业应记录并保留以下食品生产加工过程的质量信息，以便于追溯和质量管理： a) 生产工艺设计过程的详细记录； b) 蒸煮或浸料过程中按照工艺要求添加的相关配辅料记录，以避免食品添加剂使用量超标； c) 影响食品质量的关键过程记录，包括操作参数、监控结果和异常情况处理记录。</w:t>
            </w:r>
          </w:p>
          <w:p w14:paraId="5BD10DB1">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8.4.4 关键加工过程质量控制</w:t>
            </w:r>
          </w:p>
          <w:p w14:paraId="7B61BE88">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8.4.4.1 蒸煮或浸料 a) 蒸煮或浸料应严格按照工艺要求添加相关配辅料，确保食品添加剂使用量不超标。 b) 应配备必要的监控仪器，对蒸煮的时间、温度等参数进行监控和记录，以确保蒸煮效果。 c) 汤料水需存放在适宜的环境，并进行有效防护确保不被污染。应监控并记录蒸煮用汤料水的使用次数和存放时间，必要时需对汤料水进行检验，确保汤料水的品质。</w:t>
            </w:r>
          </w:p>
          <w:p w14:paraId="72E3C003">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8.4.4.2 烘炒 (烘干)</w:t>
            </w:r>
          </w:p>
          <w:p w14:paraId="662B6418">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a) 应配备必要的监控设施，对烘炒的时间、温度等参数进行监控和记录，以确保产品符合相应的卫生要求。</w:t>
            </w:r>
          </w:p>
          <w:p w14:paraId="32614A09">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b) 生产企业应对烘炒后的产品进行抽样检测，以验证烘炒效果，确保最终产品的安全性。</w:t>
            </w:r>
          </w:p>
          <w:p w14:paraId="3AEC431B">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c) 若烘炒采用传热介质，该介质应符合相关规定，并应控制其使用次数，以确保卫生安全和传热性能。</w:t>
            </w:r>
          </w:p>
          <w:p w14:paraId="30244F9D">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8.4.4.3 油炸 a) 应配备必要的监控仪器，对油炸的时间、温度等参数进行描述和记录，以确保产品符合相应的卫生要求。 b) 应做好煎炸油脂的更换控制，以避免产品出现酸价、过氧化值和羰基价超标。</w:t>
            </w:r>
          </w:p>
          <w:p w14:paraId="6AD388B3">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8.4.4.4 杀菌 a) 应配备必要的监控仪器，对杀菌的时间、温度等参数进行描述和记录，以确保产品符合相应的卫生要求。 b) 应定期对杀菌釜进行性能参数验证，以确保杀菌效果。</w:t>
            </w:r>
          </w:p>
          <w:p w14:paraId="1565A43F">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8.4.4.5 冷却</w:t>
            </w:r>
          </w:p>
          <w:p w14:paraId="76EA29AD">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a) 高温产品在包装之前应进行冷却处理，产品宜冷却至45℃以下，最高不得超过50℃。</w:t>
            </w:r>
          </w:p>
          <w:p w14:paraId="235D0E00">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b) 应控制冷却时间，以防止产品品质下降。</w:t>
            </w:r>
          </w:p>
          <w:p w14:paraId="128062B4">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8.4.4.6 包装</w:t>
            </w:r>
          </w:p>
          <w:p w14:paraId="1726B663">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a) 应制定包装工序操作规程，并对实际操作进行记录。</w:t>
            </w:r>
          </w:p>
          <w:p w14:paraId="7FEE82FA">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b) 应选择适宜的包装材料，以有效保护产品品质，必要时应对包装的密封性进行控制。</w:t>
            </w:r>
          </w:p>
          <w:p w14:paraId="6009E76F">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c) 采取充氮包装时，所用氮气应符合食品安全标准要求，确保包装区域的洁净。</w:t>
            </w:r>
          </w:p>
          <w:p w14:paraId="34091B7D">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8.4.5 加工过程质量检查</w:t>
            </w:r>
          </w:p>
          <w:p w14:paraId="45E82FD4">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8.4.5.1 质量管理人员应对生产过程中的半成品进行质量检测。</w:t>
            </w:r>
          </w:p>
          <w:p w14:paraId="259518EE">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8.4.5.2 质量管理人员应定期检查关键加工过程的操作情况及参数控制，确保遵循操作规范和作业指导书的规定。</w:t>
            </w:r>
          </w:p>
          <w:p w14:paraId="731062EE">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8.5 包装与标识</w:t>
            </w:r>
          </w:p>
          <w:p w14:paraId="66CF0899">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8.5.1 食品的包装形式和材质应设计为能在正常的储存、运输和销售条件下保持食品品质，防止食品在流通过程中受到污染和损害。</w:t>
            </w:r>
          </w:p>
          <w:p w14:paraId="4B78EC60">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8.5.2 应避免不必要的过度包装，确保包装的实用性和环保性。</w:t>
            </w:r>
          </w:p>
          <w:p w14:paraId="0C28F0A4">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8.5.3 食品包装上的标识和说明应客观、准确地反映产品质量信息。对于具有质量等级的产品，应明确标注其质量等级，不得以低等级产品冒充高等级产品。</w:t>
            </w:r>
          </w:p>
          <w:p w14:paraId="79EC6721">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8.5.4 食品包装标签应遵循GB/T 18455的相关要求，标示回收标志，以促进环保和资源回收。</w:t>
            </w:r>
          </w:p>
          <w:p w14:paraId="729F58C8">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8.5.5 食品外包装的包装运输标志应符合GB/T 191的规定，确保在运输过程中能够正确处理，减少运输过程中可能对产品造成的损害。</w:t>
            </w:r>
          </w:p>
          <w:p w14:paraId="6CE436EC">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9 成品质量检验</w:t>
            </w:r>
          </w:p>
          <w:p w14:paraId="49B6615C">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9.1 成品质量检验总体要求</w:t>
            </w:r>
          </w:p>
          <w:p w14:paraId="271D118F">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9.1.1 企业应制定完善的成品检验制度，确保所有出厂产品均经过严格的质量检验，并取得合格证明后方能出厂。</w:t>
            </w:r>
          </w:p>
          <w:p w14:paraId="3097BE16">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9.1.2 企业可根据自身条件和能力，对原料和产品进行自行检验，或委托具有相应食品检验资质的第</w:t>
            </w:r>
          </w:p>
          <w:p w14:paraId="13DFE557">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三方检验机构进行检验，以保证检验的专业性和准确性。</w:t>
            </w:r>
          </w:p>
          <w:p w14:paraId="1D2F2307">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9.1.3 无论采取何种检验方式，企业都应确保检验结果的准确性和真实性，并完整保存各项检验记录和检验报告，以备追溯和质量改进之用。</w:t>
            </w:r>
          </w:p>
          <w:p w14:paraId="5DB2ABFB">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9.1.4 企业应定期对检验设备进行校准和维护，确保检验数据的可靠性。同时，应建立检验人员的培训和考核机制，不断提升检验人员的专业技能和责任意识。</w:t>
            </w:r>
          </w:p>
          <w:p w14:paraId="691D0E3E">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9.2 成品质量检验工作要求</w:t>
            </w:r>
          </w:p>
          <w:p w14:paraId="0E40C31E">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9.2.1 企业应配备与生产能力相适应的检验室，以及配备资质合格的检验人员，确保检验工作的顺利进行。</w:t>
            </w:r>
          </w:p>
          <w:p w14:paraId="2255EC6F">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9.2.2 检验人员应严格依据国家及相关标准要求实施检验，并对检验过程、结果进行详细记录，保证检验记录和检验报告的完整性和准确性。</w:t>
            </w:r>
          </w:p>
          <w:p w14:paraId="0FBD3407">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9.2.3 企业应建立检验仪器设备的台账和管理档案，实施仪器设备的规范化管理，确保检验设备的可追溯性和符合性。</w:t>
            </w:r>
          </w:p>
          <w:p w14:paraId="04DFB0D3">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9.2.4 企业应根据国家相关要求，对检验设备进行定期的检定或校准，并实施定期的维护保养，以保证检验设备的精度和可靠性。</w:t>
            </w:r>
          </w:p>
          <w:p w14:paraId="5F7DF60C">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9.2.5 企业应建立设备期间核查制度，定期对检验设备进行核查，确保检验设备在两次检定或校准之间的准确度。</w:t>
            </w:r>
          </w:p>
          <w:p w14:paraId="5C600B52">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9.2.6 企业应按照相关要求保留样品，样品的保留时间不得少于2年，以便于产品质量的追溯和必要的复检。</w:t>
            </w:r>
          </w:p>
          <w:p w14:paraId="1C188BF2">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9.2.7 企业应定期开展质量检验能力验证活动，按照预先策划的周期进行，以确保检验结果的准确性和可靠性。</w:t>
            </w:r>
          </w:p>
          <w:p w14:paraId="4B6BAAFE">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9.2.8 企业应记录食品质量检验的完整信息，包括检验方法、结果、日期、检验人员等，并妥善保存检验记录和样品，以保证产品质量的可追溯性。</w:t>
            </w:r>
          </w:p>
          <w:p w14:paraId="028732DA">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10 潜在风险项目控制</w:t>
            </w:r>
          </w:p>
          <w:p w14:paraId="392C607A">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10.1 异物控制</w:t>
            </w:r>
          </w:p>
          <w:p w14:paraId="72D87E6D">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10.1.1 企业应在原料验收标准中明确规定异物控制的要求，并采购符合这些要求的原料。</w:t>
            </w:r>
          </w:p>
          <w:p w14:paraId="2785DC9B">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10.1.2 应根据坚果与籽类食品的原料特性，采取适当的异物处理方法，例如使用清选机、比重机、去石机、色选机等原料筛选设备进行处理，并结合人工挑拣，以确保原料中不含异物。</w:t>
            </w:r>
          </w:p>
          <w:p w14:paraId="556C87DB">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10.1.3 为降低金属或其他异物污染食品的风险，应采取有效措施，如在生产线上设置磁铁和金属检查器等。</w:t>
            </w:r>
          </w:p>
          <w:p w14:paraId="290BBE37">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10.1.4 生产过程中应避免进行电焊、切割、打磨等可能产生碎屑的作业，以防止异物污染。</w:t>
            </w:r>
          </w:p>
          <w:p w14:paraId="571A626D">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10.2 霉菌控制</w:t>
            </w:r>
          </w:p>
          <w:p w14:paraId="3154A952">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10.2.1 对于采用烘炒工艺加工的熟制坚果与籽类食品，其霉菌指标必须符合GB 19300的规定。</w:t>
            </w:r>
          </w:p>
          <w:p w14:paraId="67A58959">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10.2.2 企业应根据原料特性、产品要求和工艺特点，制定并实施有效的清洁消毒制度，以降低生产设备和环境中霉菌生长的概率。</w:t>
            </w:r>
          </w:p>
          <w:p w14:paraId="36A1737A">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10.2.3 在产品熟制过程中，应严格控制温度、时间、物料厚度等关键工艺参数，确保能够有效消灭或抑制霉菌的生长和繁殖，使产品满足相应的卫生要求。</w:t>
            </w:r>
          </w:p>
          <w:p w14:paraId="38F0CE4D">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10.2.4 企业应建立并实施温度、时间等关键工艺参数的控制措施和纠偏措施，并保持完整的监控记录，以确保产品在生产过程中的微生物安全。</w:t>
            </w:r>
          </w:p>
          <w:p w14:paraId="1CD2CF59">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10.3 酸价及过氧化值控制</w:t>
            </w:r>
          </w:p>
          <w:p w14:paraId="70C8384F">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10.3.1 企业应在原料验收标准中明确规定酸价和过氧化值的指标要求，优先采购当年生产的原料进行加工生产，严禁使用变质或超过保质期的原料。</w:t>
            </w:r>
          </w:p>
          <w:p w14:paraId="538F8F13">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10.3.2 对于易发生氧化或水解反应的坚果与籽类原料，应采用低温冷藏或使用阻隔性能良好的包装材料进行包装储藏，以减缓油脂氧化过程。</w:t>
            </w:r>
          </w:p>
          <w:p w14:paraId="5F085C67">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10.3.3 原料仓库的出货顺序应遵循“先进先出”的原则，根据原料特性确定合适的出货顺序，确保原料新鲜度和质量。</w:t>
            </w:r>
          </w:p>
          <w:p w14:paraId="048B0808">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10.3.4 若采用油炸作为熟制工艺，应严格控制煎炸油脂的质量，定期更换油脂，避免油脂过热和反复使用，以防产品酸价和过氧化值超标。</w:t>
            </w:r>
          </w:p>
          <w:p w14:paraId="514D4E07">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10.3.5 企业应严格控制委托加工生产的坚果与籽类食品的酸价和过氧化值，制定OEM半成品的验收标准，并将酸价控制在2 (KOH) /(mg/g)以下，过氧化值控制在0.15 (g/100g)以下，以确保产品的质量和安全。</w:t>
            </w:r>
          </w:p>
          <w:p w14:paraId="4E37ACA1">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10.4 霉变粒控制</w:t>
            </w:r>
          </w:p>
          <w:p w14:paraId="0A96D6EA">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10.4.1 坚果与籽类食品中的霉变粒必须符合GB 19300的规定。</w:t>
            </w:r>
          </w:p>
          <w:p w14:paraId="2362D5CE">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10.4.2 企业应在原料验收标准中设定原料的霉变粒指标要求，确保从采购环节开始控制原料的霉变粒含量。</w:t>
            </w:r>
          </w:p>
          <w:p w14:paraId="7705084B">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10.4.3 针对坚果与籽类原料的特性，建议采用低温冷藏或使用阻隔性能良好的包装材料进行包装储藏，以减少霉变风险。</w:t>
            </w:r>
          </w:p>
          <w:p w14:paraId="2D1E2F97">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10.4.4 对于水分含量超标的坚果与籽类原料，应在入库储存前采取有效措施降低水分含量，例如进行低温预干燥处理，以降低储存过程中霉变粒增加的风险。</w:t>
            </w:r>
          </w:p>
          <w:p w14:paraId="4A240954">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10.4.5 在加工过程中，应通过色选、人工挑拣或其他有效方式去除霉变粒，以提高产品的品质和安全性。</w:t>
            </w:r>
          </w:p>
          <w:p w14:paraId="431194A5">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11 食品质量缺陷产品处理</w:t>
            </w:r>
          </w:p>
          <w:p w14:paraId="5E0F3969">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11.1 企业应建立并实施食品质量缺陷产品控制程序，确保对不符合质量要求的产品进行有效管理。控制程序应包括返工、退货、改为其他用途、销毁等多种处理措施。</w:t>
            </w:r>
          </w:p>
          <w:p w14:paraId="02B109CB">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11.2 企业应具备有效的识别和隔离机制，对所有不符合食品质量要求的产品进行标识和隔离，防止不合格产品流入市场。</w:t>
            </w:r>
          </w:p>
          <w:p w14:paraId="4AD4C468">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11.3 对食品质量缺陷产品的处理，应根据产品存在的问题性质和（或）客户的特殊要求，采取相应的处理措施。处理措施应能确保产品安全，防止对消费者健康造成危害。</w:t>
            </w:r>
          </w:p>
          <w:p w14:paraId="74EB3619">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11.4 企业应记录和保存食品质量缺陷产品处理的详细记录，包括产品信息、缺陷描述、处理措施和结果等，以便于追溯和持续改进产品质量。</w:t>
            </w:r>
          </w:p>
          <w:p w14:paraId="5F46F97A">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11.5 企业应建立并实施产品追溯制度，确保从原料（配料）采购、生产加工、储存运输直至最终产品销售的全过程都有详细记录，记录的信息应足够详实，以实现产品全过程的可追溯性。</w:t>
            </w:r>
          </w:p>
          <w:p w14:paraId="035B5E05">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11.6 企业应建立产品召回制度，确保在出厂产品出现食品安全问题时，能够及时发出警示并采取召回措施。召回过程中，企业应对召回的产品采取补救、无害化处理或销毁等适当措施，并按照规定向食品安全监管部门报告召回原因、处理情况和结果。</w:t>
            </w:r>
          </w:p>
          <w:p w14:paraId="6045FD26">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11.7 鼓励企业建立产品信息网站查询系统，公开产品的标签、外包装、质量标准、出厂检验报告等信息，以便于消费者和相关方进行网上查询，增强产品透明度和消费者信心。</w:t>
            </w:r>
          </w:p>
          <w:p w14:paraId="5EA597DF">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12 信息记录管理制度</w:t>
            </w:r>
          </w:p>
          <w:p w14:paraId="5F09A817">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12.1 记录信息应全面覆盖食品生产的全过程，包括但不限于原料采购、生产加工、产品检验、储存运输和销售等环节。所有记录应保持完整、真实、清晰，并易于识别和检索，以确保食品生产质量的可追溯性。</w:t>
            </w:r>
          </w:p>
          <w:p w14:paraId="745B03D4">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12.2 记录和凭证的保存期限不得少于食品保质期满后六个月；对于没有明确食品保质期的产品，记录和凭证的保存期限不得少于二年。如法律法规或相关标准对记录保存期限有特别规定的，应从其规定。</w:t>
            </w:r>
          </w:p>
          <w:p w14:paraId="6AE7FDDD">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12.3 原辅料采购记录应详尽，包括供应商评价记录、合格供应商名单、采购记录、采购合同、验收记录、供应商证明和检验报告等。</w:t>
            </w:r>
          </w:p>
          <w:p w14:paraId="29D92F72">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12.4 成品检验记录应全面，涵盖检验原始记录、检验报告、检验留存样品记录等，确保产品质量的可追溯性。</w:t>
            </w:r>
          </w:p>
          <w:p w14:paraId="2956FD20">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12.5 产品追溯记录应包括产品生产记录、产品销售记录、产品召回记录、退货处置记录、消费者投诉处理记录、食品安全事故处置记录等，以便于在必要时进行追溯和采取相应措施。</w:t>
            </w:r>
          </w:p>
          <w:p w14:paraId="08DE9757">
            <w:pPr>
              <w:pStyle w:val="46"/>
              <w:numPr>
                <w:ilvl w:val="0"/>
                <w:numId w:val="0"/>
              </w:numPr>
              <w:spacing w:before="156" w:after="156"/>
              <w:ind w:leftChars="0"/>
              <w:rPr>
                <w:rFonts w:hint="eastAsia" w:ascii="宋体" w:hAnsi="宋体" w:eastAsia="宋体"/>
                <w:lang w:eastAsia="zh-CN"/>
              </w:rPr>
            </w:pPr>
            <w:r>
              <w:rPr>
                <w:rFonts w:hint="eastAsia" w:ascii="宋体" w:hAnsi="宋体" w:eastAsia="宋体"/>
              </w:rPr>
              <w:t>12.6 应对食品质量管理制度文件进行严格管理，包括文件的批准、分发、使用、存储、防护、变更和处置等环节，确保所使用的文件均为有效版本。</w:t>
            </w:r>
          </w:p>
          <w:p w14:paraId="01921F0C">
            <w:pPr>
              <w:pStyle w:val="46"/>
              <w:numPr>
                <w:ilvl w:val="0"/>
                <w:numId w:val="0"/>
              </w:numPr>
              <w:spacing w:before="156" w:after="156"/>
              <w:ind w:leftChars="0"/>
              <w:rPr>
                <w:rFonts w:ascii="宋体" w:hAnsi="宋体" w:eastAsia="宋体"/>
              </w:rPr>
            </w:pPr>
            <w:r>
              <w:rPr>
                <w:rFonts w:hint="eastAsia" w:ascii="宋体" w:hAnsi="宋体" w:eastAsia="宋体"/>
              </w:rPr>
              <w:t>12.7 鼓励企业采用先进技术手段，如数字化信息系统，进行文件与记录的管理，以提高管理效率和准确性。</w:t>
            </w:r>
          </w:p>
          <w:p w14:paraId="2C15D560">
            <w:pPr>
              <w:pStyle w:val="53"/>
              <w:rPr>
                <w:rFonts w:ascii="Times New Roman" w:eastAsiaTheme="minorEastAsia"/>
                <w:b/>
                <w:color w:val="FF0000"/>
                <w:szCs w:val="21"/>
              </w:rPr>
            </w:pPr>
          </w:p>
        </w:tc>
      </w:tr>
      <w:tr w14:paraId="2B916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jc w:val="center"/>
        </w:trPr>
        <w:tc>
          <w:tcPr>
            <w:tcW w:w="9634" w:type="dxa"/>
            <w:gridSpan w:val="6"/>
            <w:tcBorders>
              <w:top w:val="single" w:color="auto" w:sz="4" w:space="0"/>
              <w:left w:val="single" w:color="auto" w:sz="4" w:space="0"/>
              <w:bottom w:val="single" w:color="auto" w:sz="4" w:space="0"/>
              <w:right w:val="single" w:color="auto" w:sz="4" w:space="0"/>
            </w:tcBorders>
          </w:tcPr>
          <w:p w14:paraId="222CCBC1">
            <w:pPr>
              <w:pStyle w:val="14"/>
              <w:spacing w:line="360" w:lineRule="auto"/>
              <w:ind w:firstLine="0" w:firstLineChars="0"/>
              <w:rPr>
                <w:rFonts w:ascii="Times New Roman"/>
                <w:color w:val="000000"/>
              </w:rPr>
            </w:pPr>
            <w:bookmarkStart w:id="0" w:name="_Toc464902852"/>
            <w:bookmarkStart w:id="1" w:name="_Toc464905557"/>
            <w:bookmarkStart w:id="2" w:name="_Toc464905809"/>
            <w:bookmarkStart w:id="3" w:name="_Toc465074266"/>
            <w:bookmarkStart w:id="4" w:name="_Toc464905613"/>
            <w:r>
              <w:rPr>
                <w:rFonts w:ascii="Times New Roman"/>
                <w:color w:val="000000"/>
                <w:szCs w:val="21"/>
              </w:rPr>
              <w:t>5、标准中如果涉及专利，应有明确的知识产权说明</w:t>
            </w:r>
            <w:bookmarkEnd w:id="0"/>
            <w:bookmarkEnd w:id="1"/>
            <w:bookmarkEnd w:id="2"/>
            <w:bookmarkEnd w:id="3"/>
            <w:bookmarkEnd w:id="4"/>
          </w:p>
        </w:tc>
      </w:tr>
      <w:tr w14:paraId="1C329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9634" w:type="dxa"/>
            <w:gridSpan w:val="6"/>
            <w:tcBorders>
              <w:top w:val="single" w:color="auto" w:sz="4" w:space="0"/>
              <w:left w:val="single" w:color="auto" w:sz="4" w:space="0"/>
              <w:bottom w:val="single" w:color="auto" w:sz="4" w:space="0"/>
              <w:right w:val="single" w:color="auto" w:sz="4" w:space="0"/>
            </w:tcBorders>
          </w:tcPr>
          <w:p w14:paraId="05229ECC">
            <w:pPr>
              <w:pStyle w:val="14"/>
              <w:spacing w:line="360" w:lineRule="auto"/>
              <w:ind w:left="420" w:firstLine="0" w:firstLineChars="0"/>
              <w:rPr>
                <w:rFonts w:ascii="Times New Roman"/>
                <w:color w:val="000000"/>
                <w:szCs w:val="21"/>
              </w:rPr>
            </w:pPr>
            <w:r>
              <w:rPr>
                <w:rFonts w:ascii="Times New Roman"/>
                <w:color w:val="000000"/>
                <w:szCs w:val="21"/>
              </w:rPr>
              <w:t>本标准不涉及任何专利。</w:t>
            </w:r>
          </w:p>
        </w:tc>
      </w:tr>
      <w:tr w14:paraId="1C78B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jc w:val="center"/>
        </w:trPr>
        <w:tc>
          <w:tcPr>
            <w:tcW w:w="9634" w:type="dxa"/>
            <w:gridSpan w:val="6"/>
            <w:tcBorders>
              <w:top w:val="single" w:color="auto" w:sz="4" w:space="0"/>
              <w:left w:val="single" w:color="auto" w:sz="4" w:space="0"/>
              <w:bottom w:val="single" w:color="auto" w:sz="4" w:space="0"/>
              <w:right w:val="single" w:color="auto" w:sz="4" w:space="0"/>
            </w:tcBorders>
          </w:tcPr>
          <w:p w14:paraId="5CB164E6">
            <w:pPr>
              <w:pStyle w:val="14"/>
              <w:spacing w:line="360" w:lineRule="auto"/>
              <w:ind w:firstLine="0" w:firstLineChars="0"/>
              <w:rPr>
                <w:rFonts w:ascii="Times New Roman"/>
                <w:color w:val="000000"/>
              </w:rPr>
            </w:pPr>
            <w:bookmarkStart w:id="5" w:name="_Toc465074267"/>
            <w:bookmarkStart w:id="6" w:name="_Toc464902853"/>
            <w:bookmarkStart w:id="7" w:name="_Toc464905558"/>
            <w:bookmarkStart w:id="8" w:name="_Toc464905810"/>
            <w:bookmarkStart w:id="9" w:name="_Toc464905614"/>
            <w:r>
              <w:rPr>
                <w:rFonts w:ascii="Times New Roman"/>
                <w:color w:val="000000"/>
                <w:szCs w:val="21"/>
              </w:rPr>
              <w:t>6、采用国际标准或国外先进标准的，说明采标程度，以及国内外同类标准水平的对比情况</w:t>
            </w:r>
            <w:bookmarkEnd w:id="5"/>
            <w:bookmarkEnd w:id="6"/>
            <w:bookmarkEnd w:id="7"/>
            <w:bookmarkEnd w:id="8"/>
            <w:bookmarkEnd w:id="9"/>
          </w:p>
        </w:tc>
      </w:tr>
      <w:tr w14:paraId="1CBCF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jc w:val="center"/>
        </w:trPr>
        <w:tc>
          <w:tcPr>
            <w:tcW w:w="9634" w:type="dxa"/>
            <w:gridSpan w:val="6"/>
            <w:tcBorders>
              <w:top w:val="single" w:color="auto" w:sz="4" w:space="0"/>
              <w:left w:val="single" w:color="auto" w:sz="4" w:space="0"/>
              <w:bottom w:val="single" w:color="auto" w:sz="4" w:space="0"/>
              <w:right w:val="single" w:color="auto" w:sz="4" w:space="0"/>
            </w:tcBorders>
          </w:tcPr>
          <w:p w14:paraId="5D876D2E">
            <w:pPr>
              <w:pStyle w:val="18"/>
              <w:ind w:firstLine="420" w:firstLineChars="200"/>
              <w:jc w:val="both"/>
              <w:rPr>
                <w:rFonts w:ascii="Times New Roman" w:hAnsi="Times New Roman" w:cs="Times New Roman" w:eastAsiaTheme="minorEastAsia"/>
                <w:sz w:val="21"/>
                <w:szCs w:val="21"/>
              </w:rPr>
            </w:pPr>
            <w:r>
              <w:rPr>
                <w:rFonts w:ascii="Times New Roman" w:hAnsi="Times New Roman" w:cs="Times New Roman" w:eastAsiaTheme="minorEastAsia"/>
                <w:sz w:val="21"/>
                <w:szCs w:val="21"/>
              </w:rPr>
              <w:t xml:space="preserve">本标准没有采用国际标准。 </w:t>
            </w:r>
          </w:p>
          <w:p w14:paraId="2F7453BB">
            <w:pPr>
              <w:spacing w:line="360" w:lineRule="auto"/>
              <w:ind w:firstLine="420" w:firstLineChars="200"/>
              <w:rPr>
                <w:color w:val="000000"/>
                <w:szCs w:val="21"/>
              </w:rPr>
            </w:pPr>
            <w:r>
              <w:rPr>
                <w:szCs w:val="21"/>
              </w:rPr>
              <w:t xml:space="preserve">本标准制定过程中未查到同类国内外标准。 </w:t>
            </w:r>
          </w:p>
        </w:tc>
      </w:tr>
      <w:tr w14:paraId="44DC1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jc w:val="center"/>
        </w:trPr>
        <w:tc>
          <w:tcPr>
            <w:tcW w:w="9634" w:type="dxa"/>
            <w:gridSpan w:val="6"/>
            <w:tcBorders>
              <w:top w:val="single" w:color="auto" w:sz="4" w:space="0"/>
              <w:left w:val="single" w:color="auto" w:sz="4" w:space="0"/>
              <w:bottom w:val="single" w:color="auto" w:sz="4" w:space="0"/>
              <w:right w:val="single" w:color="auto" w:sz="4" w:space="0"/>
            </w:tcBorders>
          </w:tcPr>
          <w:p w14:paraId="17FC4B29">
            <w:pPr>
              <w:pStyle w:val="14"/>
              <w:spacing w:line="360" w:lineRule="auto"/>
              <w:ind w:firstLine="0" w:firstLineChars="0"/>
              <w:rPr>
                <w:rFonts w:ascii="Times New Roman"/>
                <w:color w:val="000000"/>
              </w:rPr>
            </w:pPr>
            <w:bookmarkStart w:id="10" w:name="_Toc464905811"/>
            <w:bookmarkStart w:id="11" w:name="_Toc464905559"/>
            <w:bookmarkStart w:id="12" w:name="_Toc465074268"/>
            <w:bookmarkStart w:id="13" w:name="_Toc464905615"/>
            <w:bookmarkStart w:id="14" w:name="_Toc464902854"/>
            <w:r>
              <w:rPr>
                <w:rFonts w:ascii="Times New Roman"/>
                <w:color w:val="000000"/>
                <w:szCs w:val="21"/>
              </w:rPr>
              <w:t>7、重大分歧意见的处理经过和依据</w:t>
            </w:r>
            <w:bookmarkEnd w:id="10"/>
            <w:bookmarkEnd w:id="11"/>
            <w:bookmarkEnd w:id="12"/>
            <w:bookmarkEnd w:id="13"/>
            <w:bookmarkEnd w:id="14"/>
          </w:p>
        </w:tc>
      </w:tr>
      <w:tr w14:paraId="1ED33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634" w:type="dxa"/>
            <w:gridSpan w:val="6"/>
            <w:tcBorders>
              <w:top w:val="single" w:color="auto" w:sz="4" w:space="0"/>
              <w:left w:val="single" w:color="auto" w:sz="4" w:space="0"/>
              <w:bottom w:val="single" w:color="auto" w:sz="4" w:space="0"/>
              <w:right w:val="single" w:color="auto" w:sz="4" w:space="0"/>
            </w:tcBorders>
          </w:tcPr>
          <w:p w14:paraId="4B9E9BFE">
            <w:pPr>
              <w:pStyle w:val="14"/>
              <w:spacing w:line="360" w:lineRule="auto"/>
              <w:ind w:left="420" w:firstLine="0" w:firstLineChars="0"/>
              <w:rPr>
                <w:rFonts w:ascii="Times New Roman"/>
                <w:color w:val="000000"/>
                <w:szCs w:val="21"/>
              </w:rPr>
            </w:pPr>
            <w:r>
              <w:rPr>
                <w:rFonts w:ascii="Times New Roman"/>
                <w:color w:val="000000"/>
                <w:szCs w:val="21"/>
              </w:rPr>
              <w:t>无</w:t>
            </w:r>
          </w:p>
        </w:tc>
      </w:tr>
      <w:tr w14:paraId="0CE06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jc w:val="center"/>
        </w:trPr>
        <w:tc>
          <w:tcPr>
            <w:tcW w:w="9634" w:type="dxa"/>
            <w:gridSpan w:val="6"/>
            <w:tcBorders>
              <w:top w:val="single" w:color="auto" w:sz="4" w:space="0"/>
              <w:left w:val="single" w:color="auto" w:sz="4" w:space="0"/>
              <w:bottom w:val="single" w:color="auto" w:sz="4" w:space="0"/>
              <w:right w:val="single" w:color="auto" w:sz="4" w:space="0"/>
            </w:tcBorders>
          </w:tcPr>
          <w:p w14:paraId="2870DD24">
            <w:pPr>
              <w:pStyle w:val="14"/>
              <w:spacing w:line="360" w:lineRule="auto"/>
              <w:ind w:firstLine="0" w:firstLineChars="0"/>
              <w:rPr>
                <w:rFonts w:ascii="Times New Roman"/>
                <w:color w:val="000000"/>
              </w:rPr>
            </w:pPr>
            <w:bookmarkStart w:id="15" w:name="_Toc464905560"/>
            <w:bookmarkStart w:id="16" w:name="_Toc465074269"/>
            <w:bookmarkStart w:id="17" w:name="_Toc464902855"/>
            <w:bookmarkStart w:id="18" w:name="_Toc464905616"/>
            <w:bookmarkStart w:id="19" w:name="_Toc464905812"/>
            <w:r>
              <w:rPr>
                <w:rFonts w:ascii="Times New Roman"/>
                <w:color w:val="000000"/>
                <w:szCs w:val="21"/>
              </w:rPr>
              <w:t>8、贯彻标准的要求和措施建议（包括组织措施、技术措施、过渡办法、实施日期等）</w:t>
            </w:r>
            <w:bookmarkEnd w:id="15"/>
            <w:bookmarkEnd w:id="16"/>
            <w:bookmarkEnd w:id="17"/>
            <w:bookmarkEnd w:id="18"/>
            <w:bookmarkEnd w:id="19"/>
          </w:p>
        </w:tc>
      </w:tr>
      <w:tr w14:paraId="1AEE1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jc w:val="center"/>
        </w:trPr>
        <w:tc>
          <w:tcPr>
            <w:tcW w:w="9634" w:type="dxa"/>
            <w:gridSpan w:val="6"/>
            <w:tcBorders>
              <w:top w:val="single" w:color="auto" w:sz="4" w:space="0"/>
              <w:left w:val="single" w:color="auto" w:sz="4" w:space="0"/>
              <w:bottom w:val="single" w:color="auto" w:sz="4" w:space="0"/>
              <w:right w:val="single" w:color="auto" w:sz="4" w:space="0"/>
            </w:tcBorders>
          </w:tcPr>
          <w:p w14:paraId="1898046A">
            <w:pPr>
              <w:spacing w:line="360" w:lineRule="exact"/>
              <w:ind w:firstLine="210" w:firstLineChars="100"/>
              <w:rPr>
                <w:rFonts w:eastAsiaTheme="minorEastAsia"/>
                <w:color w:val="000000"/>
                <w:szCs w:val="21"/>
              </w:rPr>
            </w:pPr>
            <w:r>
              <w:rPr>
                <w:rFonts w:eastAsiaTheme="minorEastAsia"/>
                <w:color w:val="000000"/>
                <w:szCs w:val="21"/>
              </w:rPr>
              <w:t>标准一经发布，在安徽省范围内组织实施，并按标准实施保护。</w:t>
            </w:r>
          </w:p>
        </w:tc>
      </w:tr>
      <w:tr w14:paraId="46382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jc w:val="center"/>
        </w:trPr>
        <w:tc>
          <w:tcPr>
            <w:tcW w:w="9634" w:type="dxa"/>
            <w:gridSpan w:val="6"/>
            <w:tcBorders>
              <w:top w:val="single" w:color="auto" w:sz="4" w:space="0"/>
              <w:left w:val="single" w:color="auto" w:sz="4" w:space="0"/>
              <w:bottom w:val="single" w:color="auto" w:sz="4" w:space="0"/>
              <w:right w:val="single" w:color="auto" w:sz="4" w:space="0"/>
            </w:tcBorders>
          </w:tcPr>
          <w:p w14:paraId="39F34F5B">
            <w:pPr>
              <w:pStyle w:val="14"/>
              <w:spacing w:line="360" w:lineRule="auto"/>
              <w:ind w:firstLine="0" w:firstLineChars="0"/>
              <w:rPr>
                <w:rFonts w:ascii="Times New Roman"/>
                <w:color w:val="000000"/>
              </w:rPr>
            </w:pPr>
            <w:bookmarkStart w:id="20" w:name="_Toc464905813"/>
            <w:bookmarkStart w:id="21" w:name="_Toc464905617"/>
            <w:bookmarkStart w:id="22" w:name="_Toc464902856"/>
            <w:bookmarkStart w:id="23" w:name="_Toc465074270"/>
            <w:bookmarkStart w:id="24" w:name="_Toc464905561"/>
            <w:r>
              <w:rPr>
                <w:rFonts w:ascii="Times New Roman"/>
                <w:color w:val="000000"/>
                <w:szCs w:val="21"/>
              </w:rPr>
              <w:t>9、废止现行相关标准的建议</w:t>
            </w:r>
            <w:bookmarkEnd w:id="20"/>
            <w:bookmarkEnd w:id="21"/>
            <w:bookmarkEnd w:id="22"/>
            <w:bookmarkEnd w:id="23"/>
            <w:bookmarkEnd w:id="24"/>
          </w:p>
        </w:tc>
      </w:tr>
      <w:tr w14:paraId="6CF58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jc w:val="center"/>
        </w:trPr>
        <w:tc>
          <w:tcPr>
            <w:tcW w:w="9634" w:type="dxa"/>
            <w:gridSpan w:val="6"/>
            <w:tcBorders>
              <w:top w:val="single" w:color="auto" w:sz="4" w:space="0"/>
              <w:left w:val="single" w:color="auto" w:sz="4" w:space="0"/>
              <w:bottom w:val="single" w:color="auto" w:sz="4" w:space="0"/>
              <w:right w:val="single" w:color="auto" w:sz="4" w:space="0"/>
            </w:tcBorders>
          </w:tcPr>
          <w:p w14:paraId="745E9E8D">
            <w:pPr>
              <w:pStyle w:val="14"/>
              <w:spacing w:line="360" w:lineRule="auto"/>
              <w:rPr>
                <w:rFonts w:ascii="Times New Roman"/>
                <w:color w:val="000000"/>
                <w:szCs w:val="21"/>
              </w:rPr>
            </w:pPr>
            <w:r>
              <w:rPr>
                <w:rFonts w:ascii="Times New Roman"/>
                <w:color w:val="000000"/>
                <w:szCs w:val="21"/>
              </w:rPr>
              <w:t>无</w:t>
            </w:r>
          </w:p>
        </w:tc>
      </w:tr>
      <w:tr w14:paraId="17ECA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jc w:val="center"/>
        </w:trPr>
        <w:tc>
          <w:tcPr>
            <w:tcW w:w="9634" w:type="dxa"/>
            <w:gridSpan w:val="6"/>
            <w:tcBorders>
              <w:top w:val="single" w:color="auto" w:sz="4" w:space="0"/>
              <w:left w:val="single" w:color="auto" w:sz="4" w:space="0"/>
              <w:bottom w:val="single" w:color="auto" w:sz="4" w:space="0"/>
              <w:right w:val="single" w:color="auto" w:sz="4" w:space="0"/>
            </w:tcBorders>
          </w:tcPr>
          <w:p w14:paraId="21E63785">
            <w:pPr>
              <w:pStyle w:val="14"/>
              <w:spacing w:line="360" w:lineRule="auto"/>
              <w:ind w:firstLine="0" w:firstLineChars="0"/>
              <w:rPr>
                <w:rFonts w:ascii="Times New Roman"/>
                <w:color w:val="000000"/>
              </w:rPr>
            </w:pPr>
            <w:bookmarkStart w:id="25" w:name="_Toc464905562"/>
            <w:bookmarkStart w:id="26" w:name="_Toc464905618"/>
            <w:bookmarkStart w:id="27" w:name="_Toc465074271"/>
            <w:bookmarkStart w:id="28" w:name="_Toc464902857"/>
            <w:bookmarkStart w:id="29" w:name="_Toc464905814"/>
            <w:r>
              <w:rPr>
                <w:rFonts w:ascii="Times New Roman"/>
                <w:color w:val="000000"/>
                <w:szCs w:val="21"/>
              </w:rPr>
              <w:t>10、其它应予说明的事项</w:t>
            </w:r>
            <w:bookmarkEnd w:id="25"/>
            <w:bookmarkEnd w:id="26"/>
            <w:bookmarkEnd w:id="27"/>
            <w:bookmarkEnd w:id="28"/>
            <w:bookmarkEnd w:id="29"/>
          </w:p>
        </w:tc>
      </w:tr>
      <w:tr w14:paraId="22D5C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9634" w:type="dxa"/>
            <w:gridSpan w:val="6"/>
            <w:tcBorders>
              <w:top w:val="single" w:color="auto" w:sz="4" w:space="0"/>
              <w:left w:val="single" w:color="auto" w:sz="4" w:space="0"/>
              <w:bottom w:val="single" w:color="auto" w:sz="4" w:space="0"/>
              <w:right w:val="single" w:color="auto" w:sz="4" w:space="0"/>
            </w:tcBorders>
          </w:tcPr>
          <w:p w14:paraId="6DF9CA61">
            <w:pPr>
              <w:spacing w:line="360" w:lineRule="auto"/>
              <w:ind w:left="600" w:hanging="180"/>
              <w:rPr>
                <w:color w:val="000000"/>
                <w:szCs w:val="21"/>
              </w:rPr>
            </w:pPr>
            <w:r>
              <w:rPr>
                <w:color w:val="000000"/>
                <w:szCs w:val="21"/>
              </w:rPr>
              <w:t>无</w:t>
            </w:r>
          </w:p>
        </w:tc>
      </w:tr>
    </w:tbl>
    <w:p w14:paraId="343A67D0">
      <w:pPr>
        <w:jc w:val="left"/>
        <w:rPr>
          <w:rFonts w:hint="eastAsia" w:eastAsia="仿宋_GB2312"/>
          <w:b/>
          <w:color w:val="000000"/>
          <w:kern w:val="0"/>
          <w:szCs w:val="21"/>
          <w:lang w:eastAsia="zh-CN"/>
        </w:rPr>
      </w:pPr>
      <w:r>
        <w:rPr>
          <w:rFonts w:eastAsia="仿宋_GB2312"/>
          <w:b/>
          <w:color w:val="000000"/>
          <w:kern w:val="0"/>
          <w:szCs w:val="21"/>
        </w:rPr>
        <w:t>注：没有的请填写 “无”</w:t>
      </w:r>
    </w:p>
    <w:p w14:paraId="0535F1D1">
      <w:pPr>
        <w:jc w:val="left"/>
        <w:rPr>
          <w:rFonts w:hint="eastAsia" w:eastAsia="仿宋_GB2312"/>
          <w:b/>
          <w:color w:val="000000"/>
          <w:kern w:val="0"/>
          <w:szCs w:val="21"/>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华文中宋">
    <w:altName w:val="宋体"/>
    <w:panose1 w:val="02010600040101010101"/>
    <w:charset w:val="86"/>
    <w:family w:val="auto"/>
    <w:pitch w:val="default"/>
    <w:sig w:usb0="00000000" w:usb1="00000000" w:usb2="00000010" w:usb3="00000000" w:csb0="0004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4C50F90"/>
    <w:multiLevelType w:val="multilevel"/>
    <w:tmpl w:val="44C50F90"/>
    <w:lvl w:ilvl="0" w:tentative="0">
      <w:start w:val="1"/>
      <w:numFmt w:val="lowerLetter"/>
      <w:pStyle w:val="57"/>
      <w:lvlText w:val="%1)"/>
      <w:lvlJc w:val="left"/>
      <w:pPr>
        <w:tabs>
          <w:tab w:val="left" w:pos="851"/>
        </w:tabs>
        <w:ind w:left="851" w:hanging="426"/>
      </w:pPr>
      <w:rPr>
        <w:rFonts w:hint="eastAsia" w:ascii="宋体" w:hAnsi="Times New Roman" w:eastAsia="宋体"/>
        <w:sz w:val="21"/>
      </w:rPr>
    </w:lvl>
    <w:lvl w:ilvl="1" w:tentative="0">
      <w:start w:val="1"/>
      <w:numFmt w:val="decimal"/>
      <w:pStyle w:val="55"/>
      <w:lvlText w:val="%2)"/>
      <w:lvlJc w:val="left"/>
      <w:pPr>
        <w:tabs>
          <w:tab w:val="left" w:pos="1276"/>
        </w:tabs>
        <w:ind w:left="1276" w:hanging="425"/>
      </w:pPr>
      <w:rPr>
        <w:rFonts w:hint="eastAsia" w:ascii="宋体" w:hAnsi="Times New Roman" w:eastAsia="宋体"/>
        <w:sz w:val="21"/>
      </w:rPr>
    </w:lvl>
    <w:lvl w:ilvl="2" w:tentative="0">
      <w:start w:val="1"/>
      <w:numFmt w:val="decimal"/>
      <w:pStyle w:val="56"/>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
    <w:nsid w:val="646260FA"/>
    <w:multiLevelType w:val="multilevel"/>
    <w:tmpl w:val="646260FA"/>
    <w:lvl w:ilvl="0" w:tentative="0">
      <w:start w:val="1"/>
      <w:numFmt w:val="decimal"/>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8"/>
        </w:tabs>
        <w:ind w:left="1418"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657D3FBC"/>
    <w:multiLevelType w:val="multilevel"/>
    <w:tmpl w:val="657D3FBC"/>
    <w:lvl w:ilvl="0" w:tentative="0">
      <w:start w:val="1"/>
      <w:numFmt w:val="upperLetter"/>
      <w:pStyle w:val="36"/>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42"/>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41"/>
      <w:suff w:val="nothing"/>
      <w:lvlText w:val="%1.%2.%3　"/>
      <w:lvlJc w:val="left"/>
      <w:pPr>
        <w:ind w:left="0" w:firstLine="0"/>
      </w:pPr>
      <w:rPr>
        <w:rFonts w:hint="eastAsia" w:ascii="黑体" w:hAnsi="Times New Roman" w:eastAsia="黑体"/>
        <w:b w:val="0"/>
        <w:i w:val="0"/>
        <w:sz w:val="21"/>
      </w:rPr>
    </w:lvl>
    <w:lvl w:ilvl="3" w:tentative="0">
      <w:start w:val="1"/>
      <w:numFmt w:val="decimal"/>
      <w:pStyle w:val="37"/>
      <w:suff w:val="nothing"/>
      <w:lvlText w:val="%1.%2.%3.%4　"/>
      <w:lvlJc w:val="left"/>
      <w:pPr>
        <w:ind w:left="0" w:firstLine="0"/>
      </w:pPr>
      <w:rPr>
        <w:rFonts w:hint="eastAsia" w:ascii="黑体" w:hAnsi="Times New Roman" w:eastAsia="黑体"/>
        <w:b w:val="0"/>
        <w:i w:val="0"/>
        <w:sz w:val="21"/>
      </w:rPr>
    </w:lvl>
    <w:lvl w:ilvl="4" w:tentative="0">
      <w:start w:val="1"/>
      <w:numFmt w:val="decimal"/>
      <w:pStyle w:val="40"/>
      <w:suff w:val="nothing"/>
      <w:lvlText w:val="%1.%2.%3.%4.%5　"/>
      <w:lvlJc w:val="left"/>
      <w:pPr>
        <w:ind w:left="0" w:firstLine="0"/>
      </w:pPr>
      <w:rPr>
        <w:rFonts w:hint="eastAsia" w:ascii="黑体" w:hAnsi="Times New Roman" w:eastAsia="黑体"/>
        <w:b w:val="0"/>
        <w:i w:val="0"/>
        <w:sz w:val="21"/>
      </w:rPr>
    </w:lvl>
    <w:lvl w:ilvl="5" w:tentative="0">
      <w:start w:val="1"/>
      <w:numFmt w:val="decimal"/>
      <w:pStyle w:val="39"/>
      <w:suff w:val="nothing"/>
      <w:lvlText w:val="%1.%2.%3.%4.%5.%6　"/>
      <w:lvlJc w:val="left"/>
      <w:pPr>
        <w:ind w:left="0" w:firstLine="0"/>
      </w:pPr>
      <w:rPr>
        <w:rFonts w:hint="eastAsia" w:ascii="黑体" w:hAnsi="Times New Roman" w:eastAsia="黑体"/>
        <w:b w:val="0"/>
        <w:i w:val="0"/>
        <w:sz w:val="21"/>
      </w:rPr>
    </w:lvl>
    <w:lvl w:ilvl="6" w:tentative="0">
      <w:start w:val="1"/>
      <w:numFmt w:val="decimal"/>
      <w:pStyle w:val="38"/>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3">
    <w:nsid w:val="6CEA2025"/>
    <w:multiLevelType w:val="multilevel"/>
    <w:tmpl w:val="6CEA2025"/>
    <w:lvl w:ilvl="0" w:tentative="0">
      <w:start w:val="1"/>
      <w:numFmt w:val="none"/>
      <w:pStyle w:val="24"/>
      <w:suff w:val="nothing"/>
      <w:lvlText w:val="%1"/>
      <w:lvlJc w:val="left"/>
      <w:pPr>
        <w:ind w:left="0" w:firstLine="0"/>
      </w:pPr>
      <w:rPr>
        <w:rFonts w:hint="default" w:ascii="Times New Roman" w:hAnsi="Times New Roman"/>
        <w:b/>
        <w:i w:val="0"/>
        <w:sz w:val="21"/>
      </w:rPr>
    </w:lvl>
    <w:lvl w:ilvl="1" w:tentative="0">
      <w:start w:val="4"/>
      <w:numFmt w:val="decimal"/>
      <w:pStyle w:val="25"/>
      <w:suff w:val="nothing"/>
      <w:lvlText w:val="%1%2　"/>
      <w:lvlJc w:val="left"/>
      <w:pPr>
        <w:ind w:left="0" w:firstLine="0"/>
      </w:pPr>
      <w:rPr>
        <w:rFonts w:hint="eastAsia" w:ascii="黑体" w:hAnsi="Times New Roman" w:eastAsia="黑体"/>
        <w:b w:val="0"/>
        <w:i w:val="0"/>
        <w:sz w:val="21"/>
      </w:rPr>
    </w:lvl>
    <w:lvl w:ilvl="2" w:tentative="0">
      <w:start w:val="1"/>
      <w:numFmt w:val="decimal"/>
      <w:pStyle w:val="26"/>
      <w:suff w:val="nothing"/>
      <w:lvlText w:val="%1%2.%3　"/>
      <w:lvlJc w:val="left"/>
      <w:pPr>
        <w:ind w:left="0" w:firstLine="0"/>
      </w:pPr>
      <w:rPr>
        <w:rFonts w:hint="eastAsia" w:ascii="黑体" w:hAnsi="Times New Roman" w:eastAsia="黑体"/>
        <w:b w:val="0"/>
        <w:i w:val="0"/>
        <w:sz w:val="21"/>
      </w:rPr>
    </w:lvl>
    <w:lvl w:ilvl="3" w:tentative="0">
      <w:start w:val="1"/>
      <w:numFmt w:val="decimal"/>
      <w:pStyle w:val="27"/>
      <w:suff w:val="nothing"/>
      <w:lvlText w:val="%1%2.%3.%4　"/>
      <w:lvlJc w:val="left"/>
      <w:pPr>
        <w:ind w:left="708" w:firstLine="0"/>
      </w:pPr>
      <w:rPr>
        <w:rFonts w:hint="eastAsia" w:ascii="黑体" w:hAnsi="Times New Roman" w:eastAsia="黑体"/>
        <w:b w:val="0"/>
        <w:i w:val="0"/>
        <w:sz w:val="21"/>
      </w:rPr>
    </w:lvl>
    <w:lvl w:ilvl="4" w:tentative="0">
      <w:start w:val="1"/>
      <w:numFmt w:val="decimal"/>
      <w:pStyle w:val="28"/>
      <w:suff w:val="nothing"/>
      <w:lvlText w:val="%1%2.%3.%4.%5　"/>
      <w:lvlJc w:val="left"/>
      <w:pPr>
        <w:ind w:left="0" w:firstLine="0"/>
      </w:pPr>
      <w:rPr>
        <w:rFonts w:hint="eastAsia" w:ascii="黑体" w:hAnsi="Times New Roman" w:eastAsia="黑体"/>
        <w:b w:val="0"/>
        <w:i w:val="0"/>
        <w:sz w:val="21"/>
      </w:rPr>
    </w:lvl>
    <w:lvl w:ilvl="5" w:tentative="0">
      <w:start w:val="1"/>
      <w:numFmt w:val="decimal"/>
      <w:pStyle w:val="29"/>
      <w:suff w:val="nothing"/>
      <w:lvlText w:val="%1%2.%3.%4.%5.%6　"/>
      <w:lvlJc w:val="left"/>
      <w:pPr>
        <w:ind w:left="0" w:firstLine="0"/>
      </w:pPr>
      <w:rPr>
        <w:rFonts w:hint="eastAsia" w:ascii="黑体" w:hAnsi="Times New Roman" w:eastAsia="黑体"/>
        <w:b w:val="0"/>
        <w:i w:val="0"/>
        <w:sz w:val="21"/>
      </w:rPr>
    </w:lvl>
    <w:lvl w:ilvl="6" w:tentative="0">
      <w:start w:val="1"/>
      <w:numFmt w:val="decimal"/>
      <w:pStyle w:val="30"/>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3"/>
  </w:num>
  <w:num w:numId="2">
    <w:abstractNumId w:val="2"/>
  </w:num>
  <w:num w:numId="3">
    <w:abstractNumId w:val="0"/>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0BB9"/>
    <w:rsid w:val="00007080"/>
    <w:rsid w:val="00014724"/>
    <w:rsid w:val="00014BAF"/>
    <w:rsid w:val="00017243"/>
    <w:rsid w:val="0001727D"/>
    <w:rsid w:val="000172C0"/>
    <w:rsid w:val="00022E9E"/>
    <w:rsid w:val="00023A00"/>
    <w:rsid w:val="00025A53"/>
    <w:rsid w:val="00025FEE"/>
    <w:rsid w:val="00033BEF"/>
    <w:rsid w:val="00036A77"/>
    <w:rsid w:val="00040061"/>
    <w:rsid w:val="00041EE2"/>
    <w:rsid w:val="000470C2"/>
    <w:rsid w:val="000508F5"/>
    <w:rsid w:val="000515A8"/>
    <w:rsid w:val="00053D03"/>
    <w:rsid w:val="00057526"/>
    <w:rsid w:val="00063972"/>
    <w:rsid w:val="0006645D"/>
    <w:rsid w:val="00066FCD"/>
    <w:rsid w:val="00072857"/>
    <w:rsid w:val="00081979"/>
    <w:rsid w:val="000834F8"/>
    <w:rsid w:val="00083FCB"/>
    <w:rsid w:val="00085804"/>
    <w:rsid w:val="000934B4"/>
    <w:rsid w:val="00093ABD"/>
    <w:rsid w:val="00097E34"/>
    <w:rsid w:val="000A0CCA"/>
    <w:rsid w:val="000A3BB3"/>
    <w:rsid w:val="000A75ED"/>
    <w:rsid w:val="000B79E5"/>
    <w:rsid w:val="000C0197"/>
    <w:rsid w:val="000C3B27"/>
    <w:rsid w:val="000C60E9"/>
    <w:rsid w:val="000C6AF2"/>
    <w:rsid w:val="000D4FE4"/>
    <w:rsid w:val="000E0393"/>
    <w:rsid w:val="000E5725"/>
    <w:rsid w:val="000E5B1F"/>
    <w:rsid w:val="000E67F9"/>
    <w:rsid w:val="000F3F46"/>
    <w:rsid w:val="001002D5"/>
    <w:rsid w:val="00100FBF"/>
    <w:rsid w:val="001012FD"/>
    <w:rsid w:val="0010208B"/>
    <w:rsid w:val="001034EA"/>
    <w:rsid w:val="001049AF"/>
    <w:rsid w:val="00104B0E"/>
    <w:rsid w:val="00104C35"/>
    <w:rsid w:val="00106B9D"/>
    <w:rsid w:val="001104EC"/>
    <w:rsid w:val="00112852"/>
    <w:rsid w:val="001147BB"/>
    <w:rsid w:val="00114B7F"/>
    <w:rsid w:val="001205E0"/>
    <w:rsid w:val="00122775"/>
    <w:rsid w:val="00122ED0"/>
    <w:rsid w:val="00124DCF"/>
    <w:rsid w:val="0012597D"/>
    <w:rsid w:val="001352C8"/>
    <w:rsid w:val="00136ABB"/>
    <w:rsid w:val="00136BFF"/>
    <w:rsid w:val="001405B1"/>
    <w:rsid w:val="0014505F"/>
    <w:rsid w:val="00146B2A"/>
    <w:rsid w:val="001508BA"/>
    <w:rsid w:val="00152A5D"/>
    <w:rsid w:val="00152F96"/>
    <w:rsid w:val="00153C25"/>
    <w:rsid w:val="00153CAB"/>
    <w:rsid w:val="00155082"/>
    <w:rsid w:val="00162104"/>
    <w:rsid w:val="00166C12"/>
    <w:rsid w:val="00171F89"/>
    <w:rsid w:val="00180962"/>
    <w:rsid w:val="001815DD"/>
    <w:rsid w:val="00182520"/>
    <w:rsid w:val="00182C69"/>
    <w:rsid w:val="00190F40"/>
    <w:rsid w:val="00190F82"/>
    <w:rsid w:val="0019163E"/>
    <w:rsid w:val="00195B96"/>
    <w:rsid w:val="001A023A"/>
    <w:rsid w:val="001A3E64"/>
    <w:rsid w:val="001A4BEA"/>
    <w:rsid w:val="001B6F9F"/>
    <w:rsid w:val="001C63E9"/>
    <w:rsid w:val="001D0DF6"/>
    <w:rsid w:val="001E3ED7"/>
    <w:rsid w:val="001E54AF"/>
    <w:rsid w:val="001E6EA9"/>
    <w:rsid w:val="001E708C"/>
    <w:rsid w:val="001F456C"/>
    <w:rsid w:val="001F525E"/>
    <w:rsid w:val="00202D33"/>
    <w:rsid w:val="00203520"/>
    <w:rsid w:val="00204BE1"/>
    <w:rsid w:val="00207589"/>
    <w:rsid w:val="00207B3B"/>
    <w:rsid w:val="00207FD7"/>
    <w:rsid w:val="00212956"/>
    <w:rsid w:val="00213737"/>
    <w:rsid w:val="0021655C"/>
    <w:rsid w:val="00222730"/>
    <w:rsid w:val="00227EB2"/>
    <w:rsid w:val="00230547"/>
    <w:rsid w:val="0024740B"/>
    <w:rsid w:val="0025355D"/>
    <w:rsid w:val="00260BB9"/>
    <w:rsid w:val="0027020B"/>
    <w:rsid w:val="00271FBD"/>
    <w:rsid w:val="0027200E"/>
    <w:rsid w:val="00272147"/>
    <w:rsid w:val="00276B68"/>
    <w:rsid w:val="00280B25"/>
    <w:rsid w:val="0028175A"/>
    <w:rsid w:val="00281A47"/>
    <w:rsid w:val="0028352C"/>
    <w:rsid w:val="00286325"/>
    <w:rsid w:val="00293E64"/>
    <w:rsid w:val="00293E77"/>
    <w:rsid w:val="002A020D"/>
    <w:rsid w:val="002A086B"/>
    <w:rsid w:val="002A50FE"/>
    <w:rsid w:val="002B5966"/>
    <w:rsid w:val="002B5BE6"/>
    <w:rsid w:val="002C340B"/>
    <w:rsid w:val="002C3B67"/>
    <w:rsid w:val="002C3CED"/>
    <w:rsid w:val="002C6706"/>
    <w:rsid w:val="002C6CF3"/>
    <w:rsid w:val="002D4543"/>
    <w:rsid w:val="002D4C61"/>
    <w:rsid w:val="002D5188"/>
    <w:rsid w:val="002D590F"/>
    <w:rsid w:val="002D7016"/>
    <w:rsid w:val="002E1366"/>
    <w:rsid w:val="002E7885"/>
    <w:rsid w:val="002F1374"/>
    <w:rsid w:val="002F2904"/>
    <w:rsid w:val="002F5C6C"/>
    <w:rsid w:val="002F64EF"/>
    <w:rsid w:val="002F7A4F"/>
    <w:rsid w:val="002F7F9A"/>
    <w:rsid w:val="003027C9"/>
    <w:rsid w:val="00302B52"/>
    <w:rsid w:val="00304508"/>
    <w:rsid w:val="00310BEB"/>
    <w:rsid w:val="00312229"/>
    <w:rsid w:val="0031495D"/>
    <w:rsid w:val="00317211"/>
    <w:rsid w:val="00320068"/>
    <w:rsid w:val="0032051F"/>
    <w:rsid w:val="003251B6"/>
    <w:rsid w:val="00330145"/>
    <w:rsid w:val="00330681"/>
    <w:rsid w:val="00331D75"/>
    <w:rsid w:val="00331F1B"/>
    <w:rsid w:val="00332DAC"/>
    <w:rsid w:val="003339C5"/>
    <w:rsid w:val="0034501F"/>
    <w:rsid w:val="00354641"/>
    <w:rsid w:val="003555E7"/>
    <w:rsid w:val="0035633C"/>
    <w:rsid w:val="00363D23"/>
    <w:rsid w:val="0037038C"/>
    <w:rsid w:val="00370A74"/>
    <w:rsid w:val="00370C9E"/>
    <w:rsid w:val="0037462D"/>
    <w:rsid w:val="00391C2D"/>
    <w:rsid w:val="00395E7A"/>
    <w:rsid w:val="003971BB"/>
    <w:rsid w:val="003A1952"/>
    <w:rsid w:val="003A3326"/>
    <w:rsid w:val="003A5644"/>
    <w:rsid w:val="003A639D"/>
    <w:rsid w:val="003B1401"/>
    <w:rsid w:val="003B1D15"/>
    <w:rsid w:val="003B372C"/>
    <w:rsid w:val="003B425F"/>
    <w:rsid w:val="003B4711"/>
    <w:rsid w:val="003C3681"/>
    <w:rsid w:val="003C4FF2"/>
    <w:rsid w:val="003C5AA4"/>
    <w:rsid w:val="003C6002"/>
    <w:rsid w:val="003D18B9"/>
    <w:rsid w:val="003D6720"/>
    <w:rsid w:val="003E20BC"/>
    <w:rsid w:val="003E6FD0"/>
    <w:rsid w:val="003F031E"/>
    <w:rsid w:val="003F3321"/>
    <w:rsid w:val="003F34B2"/>
    <w:rsid w:val="003F65F4"/>
    <w:rsid w:val="003F6A97"/>
    <w:rsid w:val="00400F8D"/>
    <w:rsid w:val="004014FB"/>
    <w:rsid w:val="0040437A"/>
    <w:rsid w:val="00405B4E"/>
    <w:rsid w:val="004113AF"/>
    <w:rsid w:val="00416506"/>
    <w:rsid w:val="00417A1C"/>
    <w:rsid w:val="00421909"/>
    <w:rsid w:val="00422121"/>
    <w:rsid w:val="00423E3F"/>
    <w:rsid w:val="0042538C"/>
    <w:rsid w:val="00427C05"/>
    <w:rsid w:val="004302C3"/>
    <w:rsid w:val="004323AA"/>
    <w:rsid w:val="0043248C"/>
    <w:rsid w:val="004379E6"/>
    <w:rsid w:val="004419ED"/>
    <w:rsid w:val="00442AF4"/>
    <w:rsid w:val="00443E61"/>
    <w:rsid w:val="00447D6E"/>
    <w:rsid w:val="00452167"/>
    <w:rsid w:val="00452967"/>
    <w:rsid w:val="0045418F"/>
    <w:rsid w:val="0045489D"/>
    <w:rsid w:val="00462E9F"/>
    <w:rsid w:val="004730E5"/>
    <w:rsid w:val="00475B28"/>
    <w:rsid w:val="00476964"/>
    <w:rsid w:val="00482ACC"/>
    <w:rsid w:val="004836C8"/>
    <w:rsid w:val="00486EEF"/>
    <w:rsid w:val="004904B4"/>
    <w:rsid w:val="00490939"/>
    <w:rsid w:val="00494436"/>
    <w:rsid w:val="00495605"/>
    <w:rsid w:val="004A6C20"/>
    <w:rsid w:val="004B3FE0"/>
    <w:rsid w:val="004C1C08"/>
    <w:rsid w:val="004C5BCA"/>
    <w:rsid w:val="004C64BE"/>
    <w:rsid w:val="004D0B05"/>
    <w:rsid w:val="004D3D5B"/>
    <w:rsid w:val="004D582D"/>
    <w:rsid w:val="004D6B76"/>
    <w:rsid w:val="004E0D89"/>
    <w:rsid w:val="004E685B"/>
    <w:rsid w:val="004F15C4"/>
    <w:rsid w:val="004F725E"/>
    <w:rsid w:val="00500D9D"/>
    <w:rsid w:val="00514581"/>
    <w:rsid w:val="005146B3"/>
    <w:rsid w:val="00521FB5"/>
    <w:rsid w:val="00524BA7"/>
    <w:rsid w:val="0053039F"/>
    <w:rsid w:val="00533DB2"/>
    <w:rsid w:val="00537820"/>
    <w:rsid w:val="0054309D"/>
    <w:rsid w:val="0054622A"/>
    <w:rsid w:val="00547EC6"/>
    <w:rsid w:val="0055094D"/>
    <w:rsid w:val="005509A8"/>
    <w:rsid w:val="00552105"/>
    <w:rsid w:val="00553B66"/>
    <w:rsid w:val="00557B67"/>
    <w:rsid w:val="005639A0"/>
    <w:rsid w:val="00565C12"/>
    <w:rsid w:val="0056655E"/>
    <w:rsid w:val="00571539"/>
    <w:rsid w:val="00571660"/>
    <w:rsid w:val="00574340"/>
    <w:rsid w:val="00574766"/>
    <w:rsid w:val="00576395"/>
    <w:rsid w:val="00577D16"/>
    <w:rsid w:val="005807B8"/>
    <w:rsid w:val="00581019"/>
    <w:rsid w:val="0058119A"/>
    <w:rsid w:val="005829EF"/>
    <w:rsid w:val="00584C71"/>
    <w:rsid w:val="0058718F"/>
    <w:rsid w:val="00591655"/>
    <w:rsid w:val="00591E63"/>
    <w:rsid w:val="005924CD"/>
    <w:rsid w:val="005931F7"/>
    <w:rsid w:val="00593F34"/>
    <w:rsid w:val="005A0683"/>
    <w:rsid w:val="005A2EFF"/>
    <w:rsid w:val="005A36F1"/>
    <w:rsid w:val="005A6B50"/>
    <w:rsid w:val="005B1DE1"/>
    <w:rsid w:val="005B3CF7"/>
    <w:rsid w:val="005B526E"/>
    <w:rsid w:val="005B5AAE"/>
    <w:rsid w:val="005B5FE8"/>
    <w:rsid w:val="005C0A37"/>
    <w:rsid w:val="005C166F"/>
    <w:rsid w:val="005C309D"/>
    <w:rsid w:val="005C639B"/>
    <w:rsid w:val="005D78D8"/>
    <w:rsid w:val="005E48DB"/>
    <w:rsid w:val="005E77EE"/>
    <w:rsid w:val="005E7C41"/>
    <w:rsid w:val="005F2E69"/>
    <w:rsid w:val="005F594D"/>
    <w:rsid w:val="00601847"/>
    <w:rsid w:val="00602327"/>
    <w:rsid w:val="006031E0"/>
    <w:rsid w:val="00606DC0"/>
    <w:rsid w:val="006101B4"/>
    <w:rsid w:val="006140A2"/>
    <w:rsid w:val="00622BF4"/>
    <w:rsid w:val="00625AD4"/>
    <w:rsid w:val="0062739B"/>
    <w:rsid w:val="00627916"/>
    <w:rsid w:val="00631AAF"/>
    <w:rsid w:val="006340BE"/>
    <w:rsid w:val="006362DC"/>
    <w:rsid w:val="00636A15"/>
    <w:rsid w:val="0064144C"/>
    <w:rsid w:val="006417B6"/>
    <w:rsid w:val="0064243A"/>
    <w:rsid w:val="00650436"/>
    <w:rsid w:val="00653E1E"/>
    <w:rsid w:val="0065776F"/>
    <w:rsid w:val="00662E4D"/>
    <w:rsid w:val="00665D3A"/>
    <w:rsid w:val="00666BB9"/>
    <w:rsid w:val="00674952"/>
    <w:rsid w:val="00681856"/>
    <w:rsid w:val="006821C0"/>
    <w:rsid w:val="006A45BF"/>
    <w:rsid w:val="006A66C8"/>
    <w:rsid w:val="006B418F"/>
    <w:rsid w:val="006C0913"/>
    <w:rsid w:val="006C156A"/>
    <w:rsid w:val="006C736D"/>
    <w:rsid w:val="006D2E90"/>
    <w:rsid w:val="006D2FFC"/>
    <w:rsid w:val="006D4719"/>
    <w:rsid w:val="006D7F2D"/>
    <w:rsid w:val="006E0DB6"/>
    <w:rsid w:val="006E1BC2"/>
    <w:rsid w:val="006E44C4"/>
    <w:rsid w:val="006E7C5F"/>
    <w:rsid w:val="0070704A"/>
    <w:rsid w:val="00707120"/>
    <w:rsid w:val="00710414"/>
    <w:rsid w:val="007127D9"/>
    <w:rsid w:val="00720A26"/>
    <w:rsid w:val="007219A3"/>
    <w:rsid w:val="00722FA9"/>
    <w:rsid w:val="00727744"/>
    <w:rsid w:val="00730A02"/>
    <w:rsid w:val="00731CB5"/>
    <w:rsid w:val="00732B0D"/>
    <w:rsid w:val="0073303D"/>
    <w:rsid w:val="007357B3"/>
    <w:rsid w:val="007362CB"/>
    <w:rsid w:val="00736412"/>
    <w:rsid w:val="00747517"/>
    <w:rsid w:val="0075344F"/>
    <w:rsid w:val="00756AA5"/>
    <w:rsid w:val="0075793A"/>
    <w:rsid w:val="0076347D"/>
    <w:rsid w:val="00763ADB"/>
    <w:rsid w:val="00767A7E"/>
    <w:rsid w:val="0077142F"/>
    <w:rsid w:val="007718F0"/>
    <w:rsid w:val="00772A85"/>
    <w:rsid w:val="007754BF"/>
    <w:rsid w:val="0078227B"/>
    <w:rsid w:val="0078236C"/>
    <w:rsid w:val="00784066"/>
    <w:rsid w:val="00784CFB"/>
    <w:rsid w:val="00786D5E"/>
    <w:rsid w:val="00787599"/>
    <w:rsid w:val="00791794"/>
    <w:rsid w:val="007925E0"/>
    <w:rsid w:val="00794D13"/>
    <w:rsid w:val="007A0FE4"/>
    <w:rsid w:val="007A35C7"/>
    <w:rsid w:val="007A4BBE"/>
    <w:rsid w:val="007B1411"/>
    <w:rsid w:val="007B29E9"/>
    <w:rsid w:val="007C206D"/>
    <w:rsid w:val="007C28F5"/>
    <w:rsid w:val="007C650D"/>
    <w:rsid w:val="007D2471"/>
    <w:rsid w:val="007D42C8"/>
    <w:rsid w:val="007D616F"/>
    <w:rsid w:val="007D7E7A"/>
    <w:rsid w:val="007E5B08"/>
    <w:rsid w:val="007E6B36"/>
    <w:rsid w:val="007E741E"/>
    <w:rsid w:val="007F22E1"/>
    <w:rsid w:val="007F27EB"/>
    <w:rsid w:val="007F43DD"/>
    <w:rsid w:val="0080445F"/>
    <w:rsid w:val="0081119D"/>
    <w:rsid w:val="008164CA"/>
    <w:rsid w:val="0081668F"/>
    <w:rsid w:val="008170E9"/>
    <w:rsid w:val="00820457"/>
    <w:rsid w:val="008234F6"/>
    <w:rsid w:val="00825704"/>
    <w:rsid w:val="00830F9A"/>
    <w:rsid w:val="008316CC"/>
    <w:rsid w:val="00831ED5"/>
    <w:rsid w:val="00837D45"/>
    <w:rsid w:val="00837D9E"/>
    <w:rsid w:val="00841416"/>
    <w:rsid w:val="00842640"/>
    <w:rsid w:val="00846C33"/>
    <w:rsid w:val="008473BA"/>
    <w:rsid w:val="00847559"/>
    <w:rsid w:val="008475F6"/>
    <w:rsid w:val="00847B09"/>
    <w:rsid w:val="00847CE9"/>
    <w:rsid w:val="00853614"/>
    <w:rsid w:val="00860014"/>
    <w:rsid w:val="00862839"/>
    <w:rsid w:val="00866239"/>
    <w:rsid w:val="008751B7"/>
    <w:rsid w:val="008770BB"/>
    <w:rsid w:val="00877DA4"/>
    <w:rsid w:val="00882454"/>
    <w:rsid w:val="00884E61"/>
    <w:rsid w:val="00893165"/>
    <w:rsid w:val="008939C7"/>
    <w:rsid w:val="008945E0"/>
    <w:rsid w:val="008A0C05"/>
    <w:rsid w:val="008A35EC"/>
    <w:rsid w:val="008A557A"/>
    <w:rsid w:val="008A557F"/>
    <w:rsid w:val="008B2EE5"/>
    <w:rsid w:val="008B6856"/>
    <w:rsid w:val="008C1CED"/>
    <w:rsid w:val="008C5A5D"/>
    <w:rsid w:val="008C639C"/>
    <w:rsid w:val="008D2364"/>
    <w:rsid w:val="008E2E1A"/>
    <w:rsid w:val="008F4073"/>
    <w:rsid w:val="008F7F0F"/>
    <w:rsid w:val="00900CD0"/>
    <w:rsid w:val="0091082D"/>
    <w:rsid w:val="00911CF1"/>
    <w:rsid w:val="0091395B"/>
    <w:rsid w:val="00913FA9"/>
    <w:rsid w:val="0091484E"/>
    <w:rsid w:val="0091718D"/>
    <w:rsid w:val="0093072F"/>
    <w:rsid w:val="009316E0"/>
    <w:rsid w:val="009320D0"/>
    <w:rsid w:val="00932BF8"/>
    <w:rsid w:val="009420C7"/>
    <w:rsid w:val="009422D6"/>
    <w:rsid w:val="00947E09"/>
    <w:rsid w:val="009562A9"/>
    <w:rsid w:val="00956AF8"/>
    <w:rsid w:val="00976385"/>
    <w:rsid w:val="009821EB"/>
    <w:rsid w:val="0098226A"/>
    <w:rsid w:val="00983811"/>
    <w:rsid w:val="009844BD"/>
    <w:rsid w:val="0098738C"/>
    <w:rsid w:val="00987542"/>
    <w:rsid w:val="0099134B"/>
    <w:rsid w:val="0099409C"/>
    <w:rsid w:val="009A00AE"/>
    <w:rsid w:val="009A08DA"/>
    <w:rsid w:val="009A0F7A"/>
    <w:rsid w:val="009A1002"/>
    <w:rsid w:val="009A279C"/>
    <w:rsid w:val="009A2D54"/>
    <w:rsid w:val="009A5586"/>
    <w:rsid w:val="009A7C00"/>
    <w:rsid w:val="009B3ACE"/>
    <w:rsid w:val="009B59BC"/>
    <w:rsid w:val="009B7CCE"/>
    <w:rsid w:val="009C0ED3"/>
    <w:rsid w:val="009C7EE5"/>
    <w:rsid w:val="009D0F8E"/>
    <w:rsid w:val="009D2CB1"/>
    <w:rsid w:val="009D327F"/>
    <w:rsid w:val="009D453C"/>
    <w:rsid w:val="009D75B0"/>
    <w:rsid w:val="009E21B4"/>
    <w:rsid w:val="009E3EA7"/>
    <w:rsid w:val="009E4803"/>
    <w:rsid w:val="009E799F"/>
    <w:rsid w:val="009F1265"/>
    <w:rsid w:val="009F5F93"/>
    <w:rsid w:val="009F6B74"/>
    <w:rsid w:val="00A010A4"/>
    <w:rsid w:val="00A103B0"/>
    <w:rsid w:val="00A12EAC"/>
    <w:rsid w:val="00A20694"/>
    <w:rsid w:val="00A3167D"/>
    <w:rsid w:val="00A32655"/>
    <w:rsid w:val="00A327F8"/>
    <w:rsid w:val="00A334FA"/>
    <w:rsid w:val="00A34654"/>
    <w:rsid w:val="00A3585C"/>
    <w:rsid w:val="00A37A2C"/>
    <w:rsid w:val="00A4290A"/>
    <w:rsid w:val="00A4379B"/>
    <w:rsid w:val="00A51FFF"/>
    <w:rsid w:val="00A54756"/>
    <w:rsid w:val="00A56B52"/>
    <w:rsid w:val="00A56BBA"/>
    <w:rsid w:val="00A62250"/>
    <w:rsid w:val="00A65891"/>
    <w:rsid w:val="00A67F27"/>
    <w:rsid w:val="00A7264B"/>
    <w:rsid w:val="00A81D93"/>
    <w:rsid w:val="00A835DE"/>
    <w:rsid w:val="00A84997"/>
    <w:rsid w:val="00A90F34"/>
    <w:rsid w:val="00A9176B"/>
    <w:rsid w:val="00AA0BDC"/>
    <w:rsid w:val="00AA0CBD"/>
    <w:rsid w:val="00AA0D0E"/>
    <w:rsid w:val="00AA3C25"/>
    <w:rsid w:val="00AA4075"/>
    <w:rsid w:val="00AA7E75"/>
    <w:rsid w:val="00AB199D"/>
    <w:rsid w:val="00AB6095"/>
    <w:rsid w:val="00AB6697"/>
    <w:rsid w:val="00AC1046"/>
    <w:rsid w:val="00AC5F3E"/>
    <w:rsid w:val="00AD136F"/>
    <w:rsid w:val="00AD4918"/>
    <w:rsid w:val="00AE01A2"/>
    <w:rsid w:val="00AE06A5"/>
    <w:rsid w:val="00AE3A22"/>
    <w:rsid w:val="00AE5C4E"/>
    <w:rsid w:val="00AE61EE"/>
    <w:rsid w:val="00AF0BA0"/>
    <w:rsid w:val="00AF0F78"/>
    <w:rsid w:val="00AF2662"/>
    <w:rsid w:val="00AF3AF3"/>
    <w:rsid w:val="00AF578C"/>
    <w:rsid w:val="00AF5CF6"/>
    <w:rsid w:val="00B00D9E"/>
    <w:rsid w:val="00B012D4"/>
    <w:rsid w:val="00B02D53"/>
    <w:rsid w:val="00B032A9"/>
    <w:rsid w:val="00B0437F"/>
    <w:rsid w:val="00B0439E"/>
    <w:rsid w:val="00B054DF"/>
    <w:rsid w:val="00B10EFB"/>
    <w:rsid w:val="00B11F53"/>
    <w:rsid w:val="00B13041"/>
    <w:rsid w:val="00B15C41"/>
    <w:rsid w:val="00B17597"/>
    <w:rsid w:val="00B20921"/>
    <w:rsid w:val="00B21271"/>
    <w:rsid w:val="00B22192"/>
    <w:rsid w:val="00B232B5"/>
    <w:rsid w:val="00B30EED"/>
    <w:rsid w:val="00B34376"/>
    <w:rsid w:val="00B3673A"/>
    <w:rsid w:val="00B373F4"/>
    <w:rsid w:val="00B378EE"/>
    <w:rsid w:val="00B41C57"/>
    <w:rsid w:val="00B45D76"/>
    <w:rsid w:val="00B502DD"/>
    <w:rsid w:val="00B6242F"/>
    <w:rsid w:val="00B738D9"/>
    <w:rsid w:val="00B756EC"/>
    <w:rsid w:val="00B75CD0"/>
    <w:rsid w:val="00B76C08"/>
    <w:rsid w:val="00B81327"/>
    <w:rsid w:val="00B8492F"/>
    <w:rsid w:val="00B857EB"/>
    <w:rsid w:val="00B924FD"/>
    <w:rsid w:val="00B93D4A"/>
    <w:rsid w:val="00B94BDC"/>
    <w:rsid w:val="00B94F38"/>
    <w:rsid w:val="00B97DC1"/>
    <w:rsid w:val="00BA18A5"/>
    <w:rsid w:val="00BA2F75"/>
    <w:rsid w:val="00BA2F88"/>
    <w:rsid w:val="00BA53BD"/>
    <w:rsid w:val="00BA5E05"/>
    <w:rsid w:val="00BA5F42"/>
    <w:rsid w:val="00BC5332"/>
    <w:rsid w:val="00BC6CC7"/>
    <w:rsid w:val="00BD00EB"/>
    <w:rsid w:val="00BD2BA8"/>
    <w:rsid w:val="00BD3DBE"/>
    <w:rsid w:val="00BE2120"/>
    <w:rsid w:val="00BE3470"/>
    <w:rsid w:val="00BF0B9E"/>
    <w:rsid w:val="00BF0C5E"/>
    <w:rsid w:val="00BF14A1"/>
    <w:rsid w:val="00BF2C4E"/>
    <w:rsid w:val="00BF56C9"/>
    <w:rsid w:val="00BF5992"/>
    <w:rsid w:val="00BF68D6"/>
    <w:rsid w:val="00BF7B1A"/>
    <w:rsid w:val="00C04B5A"/>
    <w:rsid w:val="00C1226B"/>
    <w:rsid w:val="00C21F46"/>
    <w:rsid w:val="00C2535D"/>
    <w:rsid w:val="00C25B98"/>
    <w:rsid w:val="00C2749D"/>
    <w:rsid w:val="00C30769"/>
    <w:rsid w:val="00C40843"/>
    <w:rsid w:val="00C40EF9"/>
    <w:rsid w:val="00C41C37"/>
    <w:rsid w:val="00C41E86"/>
    <w:rsid w:val="00C433F0"/>
    <w:rsid w:val="00C47F87"/>
    <w:rsid w:val="00C53797"/>
    <w:rsid w:val="00C56AF5"/>
    <w:rsid w:val="00C63900"/>
    <w:rsid w:val="00C70B0C"/>
    <w:rsid w:val="00C71A22"/>
    <w:rsid w:val="00C75C40"/>
    <w:rsid w:val="00C83BE6"/>
    <w:rsid w:val="00C91EED"/>
    <w:rsid w:val="00C974EC"/>
    <w:rsid w:val="00CA1AD7"/>
    <w:rsid w:val="00CA207A"/>
    <w:rsid w:val="00CA42AB"/>
    <w:rsid w:val="00CB3A98"/>
    <w:rsid w:val="00CB5A9E"/>
    <w:rsid w:val="00CC371B"/>
    <w:rsid w:val="00CC53C0"/>
    <w:rsid w:val="00CC6C84"/>
    <w:rsid w:val="00CC7202"/>
    <w:rsid w:val="00CD2FC0"/>
    <w:rsid w:val="00CD3B90"/>
    <w:rsid w:val="00CE67D4"/>
    <w:rsid w:val="00CE6C68"/>
    <w:rsid w:val="00CF2778"/>
    <w:rsid w:val="00CF4228"/>
    <w:rsid w:val="00CF6E3A"/>
    <w:rsid w:val="00D04632"/>
    <w:rsid w:val="00D0581E"/>
    <w:rsid w:val="00D072DC"/>
    <w:rsid w:val="00D10421"/>
    <w:rsid w:val="00D15C49"/>
    <w:rsid w:val="00D251C8"/>
    <w:rsid w:val="00D25C56"/>
    <w:rsid w:val="00D32A32"/>
    <w:rsid w:val="00D41A81"/>
    <w:rsid w:val="00D50C37"/>
    <w:rsid w:val="00D55899"/>
    <w:rsid w:val="00D56369"/>
    <w:rsid w:val="00D56D8A"/>
    <w:rsid w:val="00D57A3E"/>
    <w:rsid w:val="00D643F4"/>
    <w:rsid w:val="00D65B65"/>
    <w:rsid w:val="00D70C96"/>
    <w:rsid w:val="00D711C6"/>
    <w:rsid w:val="00D7366C"/>
    <w:rsid w:val="00D7690C"/>
    <w:rsid w:val="00D76D88"/>
    <w:rsid w:val="00D81F53"/>
    <w:rsid w:val="00D8630E"/>
    <w:rsid w:val="00D86457"/>
    <w:rsid w:val="00D873B0"/>
    <w:rsid w:val="00D939FE"/>
    <w:rsid w:val="00D96ECE"/>
    <w:rsid w:val="00D977AF"/>
    <w:rsid w:val="00DA34C6"/>
    <w:rsid w:val="00DA5AD4"/>
    <w:rsid w:val="00DA7939"/>
    <w:rsid w:val="00DB7F8D"/>
    <w:rsid w:val="00DC0F7F"/>
    <w:rsid w:val="00DC43D0"/>
    <w:rsid w:val="00DC543F"/>
    <w:rsid w:val="00DC5B7C"/>
    <w:rsid w:val="00DC7694"/>
    <w:rsid w:val="00DD25B0"/>
    <w:rsid w:val="00DD39CE"/>
    <w:rsid w:val="00DD5651"/>
    <w:rsid w:val="00DD56FE"/>
    <w:rsid w:val="00DD6102"/>
    <w:rsid w:val="00DE0712"/>
    <w:rsid w:val="00DE10A8"/>
    <w:rsid w:val="00DE20D3"/>
    <w:rsid w:val="00DE5177"/>
    <w:rsid w:val="00DE5928"/>
    <w:rsid w:val="00DE7134"/>
    <w:rsid w:val="00DF6E64"/>
    <w:rsid w:val="00DF70BE"/>
    <w:rsid w:val="00E00921"/>
    <w:rsid w:val="00E01F3F"/>
    <w:rsid w:val="00E0285F"/>
    <w:rsid w:val="00E03526"/>
    <w:rsid w:val="00E0385E"/>
    <w:rsid w:val="00E06677"/>
    <w:rsid w:val="00E1136C"/>
    <w:rsid w:val="00E11787"/>
    <w:rsid w:val="00E11E76"/>
    <w:rsid w:val="00E122A3"/>
    <w:rsid w:val="00E21B13"/>
    <w:rsid w:val="00E21BA3"/>
    <w:rsid w:val="00E24402"/>
    <w:rsid w:val="00E2577D"/>
    <w:rsid w:val="00E25CD0"/>
    <w:rsid w:val="00E2726D"/>
    <w:rsid w:val="00E41228"/>
    <w:rsid w:val="00E46A59"/>
    <w:rsid w:val="00E51A9F"/>
    <w:rsid w:val="00E60569"/>
    <w:rsid w:val="00E605C5"/>
    <w:rsid w:val="00E60D13"/>
    <w:rsid w:val="00E615BB"/>
    <w:rsid w:val="00E64DA6"/>
    <w:rsid w:val="00E64DCE"/>
    <w:rsid w:val="00E6673B"/>
    <w:rsid w:val="00E6754C"/>
    <w:rsid w:val="00E704C9"/>
    <w:rsid w:val="00E707E9"/>
    <w:rsid w:val="00E7327D"/>
    <w:rsid w:val="00E8115D"/>
    <w:rsid w:val="00E82647"/>
    <w:rsid w:val="00E913B2"/>
    <w:rsid w:val="00E916D1"/>
    <w:rsid w:val="00E93849"/>
    <w:rsid w:val="00E97310"/>
    <w:rsid w:val="00E974B7"/>
    <w:rsid w:val="00EA1BFB"/>
    <w:rsid w:val="00EA269E"/>
    <w:rsid w:val="00EA26C4"/>
    <w:rsid w:val="00EA3718"/>
    <w:rsid w:val="00EA7072"/>
    <w:rsid w:val="00EA7BF0"/>
    <w:rsid w:val="00EA7C25"/>
    <w:rsid w:val="00EB288D"/>
    <w:rsid w:val="00EC2D78"/>
    <w:rsid w:val="00EC3112"/>
    <w:rsid w:val="00EC37D4"/>
    <w:rsid w:val="00EC7562"/>
    <w:rsid w:val="00EC78C4"/>
    <w:rsid w:val="00EC7CC0"/>
    <w:rsid w:val="00ED21D0"/>
    <w:rsid w:val="00ED49D5"/>
    <w:rsid w:val="00ED6E5F"/>
    <w:rsid w:val="00EE18D8"/>
    <w:rsid w:val="00EE3A51"/>
    <w:rsid w:val="00EE76EA"/>
    <w:rsid w:val="00F01A19"/>
    <w:rsid w:val="00F0209D"/>
    <w:rsid w:val="00F03354"/>
    <w:rsid w:val="00F073A4"/>
    <w:rsid w:val="00F1366E"/>
    <w:rsid w:val="00F13C25"/>
    <w:rsid w:val="00F21F1C"/>
    <w:rsid w:val="00F21F59"/>
    <w:rsid w:val="00F23E5F"/>
    <w:rsid w:val="00F347A5"/>
    <w:rsid w:val="00F3546A"/>
    <w:rsid w:val="00F35696"/>
    <w:rsid w:val="00F40B23"/>
    <w:rsid w:val="00F46D33"/>
    <w:rsid w:val="00F472A0"/>
    <w:rsid w:val="00F516C9"/>
    <w:rsid w:val="00F5646F"/>
    <w:rsid w:val="00F56919"/>
    <w:rsid w:val="00F63765"/>
    <w:rsid w:val="00F63FF0"/>
    <w:rsid w:val="00F67350"/>
    <w:rsid w:val="00F71EDE"/>
    <w:rsid w:val="00F722F7"/>
    <w:rsid w:val="00F7440E"/>
    <w:rsid w:val="00F805B9"/>
    <w:rsid w:val="00F82ED2"/>
    <w:rsid w:val="00F86D9C"/>
    <w:rsid w:val="00F90652"/>
    <w:rsid w:val="00F90766"/>
    <w:rsid w:val="00F90957"/>
    <w:rsid w:val="00F9320F"/>
    <w:rsid w:val="00F94077"/>
    <w:rsid w:val="00F945E7"/>
    <w:rsid w:val="00F94A8E"/>
    <w:rsid w:val="00F95539"/>
    <w:rsid w:val="00F95C70"/>
    <w:rsid w:val="00F97B64"/>
    <w:rsid w:val="00F97D95"/>
    <w:rsid w:val="00FA7866"/>
    <w:rsid w:val="00FA7DF0"/>
    <w:rsid w:val="00FB1706"/>
    <w:rsid w:val="00FB1FFD"/>
    <w:rsid w:val="00FB536E"/>
    <w:rsid w:val="00FC49E2"/>
    <w:rsid w:val="00FD1EE5"/>
    <w:rsid w:val="00FD3BEC"/>
    <w:rsid w:val="00FE3312"/>
    <w:rsid w:val="00FE49D9"/>
    <w:rsid w:val="00FE7033"/>
    <w:rsid w:val="00FE75FA"/>
    <w:rsid w:val="00FF13B4"/>
    <w:rsid w:val="00FF144E"/>
    <w:rsid w:val="00FF166B"/>
    <w:rsid w:val="00FF2398"/>
    <w:rsid w:val="00FF4141"/>
    <w:rsid w:val="00FF4C5E"/>
    <w:rsid w:val="03263D57"/>
    <w:rsid w:val="06DE78AF"/>
    <w:rsid w:val="078E1ED9"/>
    <w:rsid w:val="08180D44"/>
    <w:rsid w:val="09256817"/>
    <w:rsid w:val="09814DE1"/>
    <w:rsid w:val="0B696845"/>
    <w:rsid w:val="0D543B51"/>
    <w:rsid w:val="112E6A05"/>
    <w:rsid w:val="114D1A4D"/>
    <w:rsid w:val="124B7379"/>
    <w:rsid w:val="14BD183A"/>
    <w:rsid w:val="199677A3"/>
    <w:rsid w:val="1B7F2EAF"/>
    <w:rsid w:val="1D5A3F4C"/>
    <w:rsid w:val="1F552F5D"/>
    <w:rsid w:val="20444836"/>
    <w:rsid w:val="21C55098"/>
    <w:rsid w:val="249632D2"/>
    <w:rsid w:val="2DA71154"/>
    <w:rsid w:val="2EB32D75"/>
    <w:rsid w:val="346E5CA1"/>
    <w:rsid w:val="375413F4"/>
    <w:rsid w:val="39BC6A82"/>
    <w:rsid w:val="3ABF550D"/>
    <w:rsid w:val="3BF91620"/>
    <w:rsid w:val="3D6C3806"/>
    <w:rsid w:val="4259463E"/>
    <w:rsid w:val="42C81B2D"/>
    <w:rsid w:val="43C26E1B"/>
    <w:rsid w:val="441548D8"/>
    <w:rsid w:val="45E241A9"/>
    <w:rsid w:val="477610BB"/>
    <w:rsid w:val="493A1E08"/>
    <w:rsid w:val="49BD667A"/>
    <w:rsid w:val="4A9800B1"/>
    <w:rsid w:val="4F3A61EF"/>
    <w:rsid w:val="51FB5CA7"/>
    <w:rsid w:val="53153078"/>
    <w:rsid w:val="56AB4C96"/>
    <w:rsid w:val="5BEC71F7"/>
    <w:rsid w:val="5C6F2536"/>
    <w:rsid w:val="60AD445C"/>
    <w:rsid w:val="6411548B"/>
    <w:rsid w:val="64985452"/>
    <w:rsid w:val="6F9D025F"/>
    <w:rsid w:val="7029683D"/>
    <w:rsid w:val="7F80766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caption"/>
    <w:basedOn w:val="1"/>
    <w:next w:val="1"/>
    <w:semiHidden/>
    <w:unhideWhenUsed/>
    <w:qFormat/>
    <w:uiPriority w:val="35"/>
    <w:rPr>
      <w:rFonts w:eastAsia="黑体" w:asciiTheme="majorHAnsi" w:hAnsiTheme="majorHAnsi" w:cstheme="majorBidi"/>
      <w:sz w:val="20"/>
      <w:szCs w:val="20"/>
    </w:rPr>
  </w:style>
  <w:style w:type="paragraph" w:styleId="3">
    <w:name w:val="annotation text"/>
    <w:basedOn w:val="1"/>
    <w:link w:val="43"/>
    <w:semiHidden/>
    <w:unhideWhenUsed/>
    <w:qFormat/>
    <w:uiPriority w:val="99"/>
    <w:pPr>
      <w:jc w:val="left"/>
    </w:pPr>
  </w:style>
  <w:style w:type="paragraph" w:styleId="4">
    <w:name w:val="Date"/>
    <w:basedOn w:val="1"/>
    <w:next w:val="1"/>
    <w:link w:val="33"/>
    <w:qFormat/>
    <w:uiPriority w:val="0"/>
    <w:pPr>
      <w:ind w:left="100" w:leftChars="2500"/>
    </w:pPr>
  </w:style>
  <w:style w:type="paragraph" w:styleId="5">
    <w:name w:val="Balloon Text"/>
    <w:basedOn w:val="1"/>
    <w:link w:val="17"/>
    <w:unhideWhenUsed/>
    <w:qFormat/>
    <w:uiPriority w:val="0"/>
    <w:rPr>
      <w:sz w:val="18"/>
      <w:szCs w:val="18"/>
    </w:rPr>
  </w:style>
  <w:style w:type="paragraph" w:styleId="6">
    <w:name w:val="footer"/>
    <w:basedOn w:val="1"/>
    <w:link w:val="19"/>
    <w:qFormat/>
    <w:uiPriority w:val="0"/>
    <w:pPr>
      <w:tabs>
        <w:tab w:val="center" w:pos="4153"/>
        <w:tab w:val="right" w:pos="8306"/>
      </w:tabs>
      <w:snapToGrid w:val="0"/>
      <w:jc w:val="left"/>
    </w:pPr>
    <w:rPr>
      <w:rFonts w:asciiTheme="minorHAnsi" w:hAnsiTheme="minorHAnsi" w:cstheme="minorBidi"/>
      <w:sz w:val="18"/>
      <w:szCs w:val="18"/>
    </w:rPr>
  </w:style>
  <w:style w:type="paragraph" w:styleId="7">
    <w:name w:val="header"/>
    <w:basedOn w:val="1"/>
    <w:link w:val="23"/>
    <w:unhideWhenUsed/>
    <w:qFormat/>
    <w:uiPriority w:val="0"/>
    <w:pPr>
      <w:pBdr>
        <w:bottom w:val="single" w:color="auto" w:sz="6" w:space="1"/>
      </w:pBdr>
      <w:tabs>
        <w:tab w:val="center" w:pos="4153"/>
        <w:tab w:val="right" w:pos="8306"/>
      </w:tabs>
      <w:snapToGrid w:val="0"/>
      <w:jc w:val="center"/>
    </w:pPr>
    <w:rPr>
      <w:sz w:val="18"/>
      <w:szCs w:val="18"/>
    </w:rPr>
  </w:style>
  <w:style w:type="paragraph" w:styleId="8">
    <w:name w:val="annotation subject"/>
    <w:basedOn w:val="3"/>
    <w:next w:val="3"/>
    <w:link w:val="44"/>
    <w:semiHidden/>
    <w:unhideWhenUsed/>
    <w:qFormat/>
    <w:uiPriority w:val="99"/>
    <w:rPr>
      <w:b/>
      <w:bCs/>
    </w:rPr>
  </w:style>
  <w:style w:type="table" w:styleId="10">
    <w:name w:val="Table Grid"/>
    <w:basedOn w:val="9"/>
    <w:qFormat/>
    <w:uiPriority w:val="3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page number"/>
    <w:basedOn w:val="11"/>
    <w:qFormat/>
    <w:uiPriority w:val="0"/>
  </w:style>
  <w:style w:type="character" w:styleId="13">
    <w:name w:val="annotation reference"/>
    <w:basedOn w:val="11"/>
    <w:semiHidden/>
    <w:unhideWhenUsed/>
    <w:qFormat/>
    <w:uiPriority w:val="99"/>
    <w:rPr>
      <w:sz w:val="21"/>
      <w:szCs w:val="21"/>
    </w:rPr>
  </w:style>
  <w:style w:type="paragraph" w:customStyle="1" w:styleId="14">
    <w:name w:val="段"/>
    <w:link w:val="16"/>
    <w:qFormat/>
    <w:uiPriority w:val="99"/>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15">
    <w:name w:val="正文表标题"/>
    <w:next w:val="14"/>
    <w:qFormat/>
    <w:uiPriority w:val="0"/>
    <w:pPr>
      <w:tabs>
        <w:tab w:val="left" w:pos="360"/>
      </w:tabs>
      <w:spacing w:beforeLines="50" w:afterLines="50"/>
      <w:jc w:val="center"/>
    </w:pPr>
    <w:rPr>
      <w:rFonts w:ascii="黑体" w:hAnsi="Times New Roman" w:eastAsia="黑体" w:cs="Times New Roman"/>
      <w:sz w:val="21"/>
      <w:lang w:val="en-US" w:eastAsia="zh-CN" w:bidi="ar-SA"/>
    </w:rPr>
  </w:style>
  <w:style w:type="character" w:customStyle="1" w:styleId="16">
    <w:name w:val="段 Char"/>
    <w:basedOn w:val="11"/>
    <w:link w:val="14"/>
    <w:qFormat/>
    <w:locked/>
    <w:uiPriority w:val="0"/>
    <w:rPr>
      <w:rFonts w:ascii="宋体" w:hAnsi="Times New Roman" w:eastAsia="宋体" w:cs="Times New Roman"/>
      <w:kern w:val="0"/>
      <w:szCs w:val="20"/>
    </w:rPr>
  </w:style>
  <w:style w:type="character" w:customStyle="1" w:styleId="17">
    <w:name w:val="批注框文本 字符"/>
    <w:basedOn w:val="11"/>
    <w:link w:val="5"/>
    <w:qFormat/>
    <w:uiPriority w:val="0"/>
    <w:rPr>
      <w:rFonts w:ascii="Times New Roman" w:hAnsi="Times New Roman" w:eastAsia="宋体" w:cs="Times New Roman"/>
      <w:sz w:val="18"/>
      <w:szCs w:val="18"/>
    </w:rPr>
  </w:style>
  <w:style w:type="paragraph" w:customStyle="1" w:styleId="18">
    <w:name w:val="Default"/>
    <w:qFormat/>
    <w:uiPriority w:val="0"/>
    <w:pPr>
      <w:widowControl w:val="0"/>
      <w:autoSpaceDE w:val="0"/>
      <w:autoSpaceDN w:val="0"/>
      <w:adjustRightInd w:val="0"/>
    </w:pPr>
    <w:rPr>
      <w:rFonts w:ascii="仿宋" w:eastAsia="仿宋" w:cs="仿宋" w:hAnsiTheme="minorHAnsi"/>
      <w:color w:val="000000"/>
      <w:sz w:val="24"/>
      <w:szCs w:val="24"/>
      <w:lang w:val="en-US" w:eastAsia="zh-CN" w:bidi="ar-SA"/>
    </w:rPr>
  </w:style>
  <w:style w:type="character" w:customStyle="1" w:styleId="19">
    <w:name w:val="页脚 字符"/>
    <w:basedOn w:val="11"/>
    <w:link w:val="6"/>
    <w:qFormat/>
    <w:uiPriority w:val="0"/>
    <w:rPr>
      <w:rFonts w:eastAsia="宋体"/>
      <w:kern w:val="2"/>
      <w:sz w:val="18"/>
      <w:szCs w:val="18"/>
    </w:rPr>
  </w:style>
  <w:style w:type="character" w:customStyle="1" w:styleId="20">
    <w:name w:val="font01"/>
    <w:basedOn w:val="11"/>
    <w:qFormat/>
    <w:uiPriority w:val="0"/>
    <w:rPr>
      <w:rFonts w:hint="eastAsia" w:ascii="宋体" w:hAnsi="宋体" w:eastAsia="宋体" w:cs="宋体"/>
      <w:color w:val="000000"/>
      <w:sz w:val="20"/>
      <w:szCs w:val="20"/>
      <w:u w:val="none"/>
      <w:vertAlign w:val="superscript"/>
    </w:rPr>
  </w:style>
  <w:style w:type="character" w:customStyle="1" w:styleId="21">
    <w:name w:val="font11"/>
    <w:basedOn w:val="11"/>
    <w:qFormat/>
    <w:uiPriority w:val="0"/>
    <w:rPr>
      <w:rFonts w:hint="default" w:ascii="Times New Roman" w:hAnsi="Times New Roman" w:cs="Times New Roman"/>
      <w:color w:val="000000"/>
      <w:sz w:val="20"/>
      <w:szCs w:val="20"/>
      <w:u w:val="none"/>
    </w:rPr>
  </w:style>
  <w:style w:type="character" w:customStyle="1" w:styleId="22">
    <w:name w:val="font31"/>
    <w:basedOn w:val="11"/>
    <w:qFormat/>
    <w:uiPriority w:val="0"/>
    <w:rPr>
      <w:rFonts w:hint="eastAsia" w:ascii="宋体" w:hAnsi="宋体" w:eastAsia="宋体" w:cs="宋体"/>
      <w:color w:val="000000"/>
      <w:sz w:val="20"/>
      <w:szCs w:val="20"/>
      <w:u w:val="none"/>
    </w:rPr>
  </w:style>
  <w:style w:type="character" w:customStyle="1" w:styleId="23">
    <w:name w:val="页眉 字符"/>
    <w:basedOn w:val="11"/>
    <w:link w:val="7"/>
    <w:qFormat/>
    <w:uiPriority w:val="99"/>
    <w:rPr>
      <w:rFonts w:ascii="Times New Roman" w:hAnsi="Times New Roman" w:eastAsia="宋体" w:cs="Times New Roman"/>
      <w:kern w:val="2"/>
      <w:sz w:val="18"/>
      <w:szCs w:val="18"/>
    </w:rPr>
  </w:style>
  <w:style w:type="paragraph" w:customStyle="1" w:styleId="24">
    <w:name w:val="前言、引言标题"/>
    <w:next w:val="1"/>
    <w:qFormat/>
    <w:uiPriority w:val="0"/>
    <w:pPr>
      <w:numPr>
        <w:ilvl w:val="0"/>
        <w:numId w:val="1"/>
      </w:num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25">
    <w:name w:val="章标题"/>
    <w:next w:val="14"/>
    <w:qFormat/>
    <w:uiPriority w:val="0"/>
    <w:pPr>
      <w:numPr>
        <w:ilvl w:val="1"/>
        <w:numId w:val="1"/>
      </w:numPr>
      <w:spacing w:before="50" w:beforeLines="50" w:after="50" w:afterLines="50"/>
      <w:jc w:val="both"/>
      <w:outlineLvl w:val="1"/>
    </w:pPr>
    <w:rPr>
      <w:rFonts w:ascii="黑体" w:hAnsi="Times New Roman" w:eastAsia="黑体" w:cs="Times New Roman"/>
      <w:sz w:val="21"/>
      <w:lang w:val="en-US" w:eastAsia="zh-CN" w:bidi="ar-SA"/>
    </w:rPr>
  </w:style>
  <w:style w:type="paragraph" w:customStyle="1" w:styleId="26">
    <w:name w:val="一级条标题"/>
    <w:next w:val="14"/>
    <w:qFormat/>
    <w:uiPriority w:val="0"/>
    <w:pPr>
      <w:numPr>
        <w:ilvl w:val="2"/>
        <w:numId w:val="1"/>
      </w:numPr>
      <w:outlineLvl w:val="2"/>
    </w:pPr>
    <w:rPr>
      <w:rFonts w:ascii="Times New Roman" w:hAnsi="Times New Roman" w:eastAsia="黑体" w:cs="Times New Roman"/>
      <w:sz w:val="21"/>
      <w:lang w:val="en-US" w:eastAsia="zh-CN" w:bidi="ar-SA"/>
    </w:rPr>
  </w:style>
  <w:style w:type="paragraph" w:customStyle="1" w:styleId="27">
    <w:name w:val="二级条标题"/>
    <w:basedOn w:val="26"/>
    <w:next w:val="14"/>
    <w:qFormat/>
    <w:uiPriority w:val="0"/>
    <w:pPr>
      <w:numPr>
        <w:ilvl w:val="3"/>
      </w:numPr>
      <w:outlineLvl w:val="3"/>
    </w:pPr>
  </w:style>
  <w:style w:type="paragraph" w:customStyle="1" w:styleId="28">
    <w:name w:val="三级条标题"/>
    <w:basedOn w:val="27"/>
    <w:next w:val="14"/>
    <w:qFormat/>
    <w:uiPriority w:val="0"/>
    <w:pPr>
      <w:numPr>
        <w:ilvl w:val="4"/>
      </w:numPr>
      <w:outlineLvl w:val="4"/>
    </w:pPr>
  </w:style>
  <w:style w:type="paragraph" w:customStyle="1" w:styleId="29">
    <w:name w:val="四级条标题"/>
    <w:basedOn w:val="28"/>
    <w:next w:val="14"/>
    <w:qFormat/>
    <w:uiPriority w:val="0"/>
    <w:pPr>
      <w:numPr>
        <w:ilvl w:val="5"/>
      </w:numPr>
      <w:outlineLvl w:val="5"/>
    </w:pPr>
  </w:style>
  <w:style w:type="paragraph" w:customStyle="1" w:styleId="30">
    <w:name w:val="五级条标题"/>
    <w:basedOn w:val="29"/>
    <w:next w:val="14"/>
    <w:qFormat/>
    <w:uiPriority w:val="0"/>
    <w:pPr>
      <w:numPr>
        <w:ilvl w:val="6"/>
      </w:numPr>
      <w:outlineLvl w:val="6"/>
    </w:pPr>
  </w:style>
  <w:style w:type="table" w:customStyle="1" w:styleId="31">
    <w:name w:val="Plain Table 2"/>
    <w:basedOn w:val="9"/>
    <w:qFormat/>
    <w:uiPriority w:val="42"/>
    <w:rPr>
      <w:rFonts w:ascii="Calibri" w:hAnsi="Calibri" w:eastAsia="宋体" w:cs="Times New Roman"/>
      <w:kern w:val="2"/>
      <w:sz w:val="21"/>
      <w:szCs w:val="22"/>
    </w:rPr>
    <w:tblPr>
      <w:tblBorders>
        <w:top w:val="single" w:color="7F7F7F" w:sz="4" w:space="0"/>
        <w:bottom w:val="single" w:color="7F7F7F" w:sz="4" w:space="0"/>
      </w:tblBorders>
    </w:tblPr>
    <w:tblStylePr w:type="firstRow">
      <w:rPr>
        <w:b/>
        <w:bCs/>
      </w:rPr>
      <w:tcPr>
        <w:tcBorders>
          <w:bottom w:val="single" w:color="7F7F7F" w:sz="4" w:space="0"/>
        </w:tcBorders>
      </w:tcPr>
    </w:tblStylePr>
    <w:tblStylePr w:type="lastRow">
      <w:rPr>
        <w:b/>
        <w:bCs/>
      </w:rPr>
      <w:tcPr>
        <w:tcBorders>
          <w:top w:val="single" w:color="7F7F7F" w:sz="4" w:space="0"/>
        </w:tcBorders>
      </w:tcPr>
    </w:tblStylePr>
    <w:tblStylePr w:type="firstCol">
      <w:rPr>
        <w:b/>
        <w:bCs/>
      </w:rPr>
    </w:tblStylePr>
    <w:tblStylePr w:type="lastCol">
      <w:rPr>
        <w:b/>
        <w:bCs/>
      </w:rPr>
    </w:tblStylePr>
    <w:tblStylePr w:type="band1Vert">
      <w:tcPr>
        <w:tcBorders>
          <w:left w:val="single" w:color="7F7F7F" w:sz="4" w:space="0"/>
          <w:right w:val="single" w:color="7F7F7F" w:sz="4" w:space="0"/>
        </w:tcBorders>
      </w:tcPr>
    </w:tblStylePr>
    <w:tblStylePr w:type="band2Vert">
      <w:tcPr>
        <w:tcBorders>
          <w:left w:val="single" w:color="7F7F7F" w:sz="4" w:space="0"/>
          <w:right w:val="single" w:color="7F7F7F" w:sz="4" w:space="0"/>
        </w:tcBorders>
      </w:tcPr>
    </w:tblStylePr>
    <w:tblStylePr w:type="band1Horz">
      <w:tcPr>
        <w:tcBorders>
          <w:top w:val="single" w:color="7F7F7F" w:sz="4" w:space="0"/>
          <w:bottom w:val="single" w:color="7F7F7F" w:sz="4" w:space="0"/>
        </w:tcBorders>
      </w:tcPr>
    </w:tblStylePr>
  </w:style>
  <w:style w:type="character" w:customStyle="1" w:styleId="32">
    <w:name w:val="日期 字符"/>
    <w:basedOn w:val="11"/>
    <w:semiHidden/>
    <w:uiPriority w:val="99"/>
    <w:rPr>
      <w:rFonts w:ascii="Times New Roman" w:hAnsi="Times New Roman" w:eastAsia="宋体" w:cs="Times New Roman"/>
      <w:kern w:val="2"/>
      <w:sz w:val="21"/>
      <w:szCs w:val="24"/>
    </w:rPr>
  </w:style>
  <w:style w:type="character" w:customStyle="1" w:styleId="33">
    <w:name w:val="日期 字符1"/>
    <w:link w:val="4"/>
    <w:qFormat/>
    <w:uiPriority w:val="0"/>
    <w:rPr>
      <w:rFonts w:ascii="Times New Roman" w:hAnsi="Times New Roman" w:eastAsia="宋体" w:cs="Times New Roman"/>
      <w:kern w:val="2"/>
      <w:sz w:val="21"/>
      <w:szCs w:val="24"/>
    </w:rPr>
  </w:style>
  <w:style w:type="character" w:customStyle="1" w:styleId="34">
    <w:name w:val="font21"/>
    <w:qFormat/>
    <w:uiPriority w:val="0"/>
    <w:rPr>
      <w:rFonts w:hint="eastAsia" w:ascii="仿宋_GB2312" w:eastAsia="仿宋_GB2312" w:cs="仿宋_GB2312"/>
      <w:color w:val="000000"/>
      <w:sz w:val="24"/>
      <w:szCs w:val="24"/>
      <w:u w:val="none"/>
    </w:rPr>
  </w:style>
  <w:style w:type="character" w:customStyle="1" w:styleId="35">
    <w:name w:val="font41"/>
    <w:uiPriority w:val="0"/>
    <w:rPr>
      <w:rFonts w:ascii="等线" w:hAnsi="等线" w:eastAsia="等线" w:cs="等线"/>
      <w:color w:val="000000"/>
      <w:sz w:val="21"/>
      <w:szCs w:val="21"/>
      <w:u w:val="none"/>
    </w:rPr>
  </w:style>
  <w:style w:type="paragraph" w:customStyle="1" w:styleId="36">
    <w:name w:val="附录标识"/>
    <w:basedOn w:val="1"/>
    <w:next w:val="14"/>
    <w:qFormat/>
    <w:uiPriority w:val="0"/>
    <w:pPr>
      <w:keepNext/>
      <w:widowControl/>
      <w:numPr>
        <w:ilvl w:val="0"/>
        <w:numId w:val="2"/>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37">
    <w:name w:val="附录二级条标题"/>
    <w:basedOn w:val="1"/>
    <w:next w:val="14"/>
    <w:qFormat/>
    <w:uiPriority w:val="0"/>
    <w:pPr>
      <w:widowControl/>
      <w:numPr>
        <w:ilvl w:val="3"/>
        <w:numId w:val="2"/>
      </w:numPr>
      <w:tabs>
        <w:tab w:val="left" w:pos="360"/>
      </w:tabs>
      <w:wordWrap w:val="0"/>
      <w:overflowPunct w:val="0"/>
      <w:autoSpaceDE w:val="0"/>
      <w:autoSpaceDN w:val="0"/>
      <w:spacing w:before="50" w:beforeLines="50" w:after="50" w:afterLines="50"/>
      <w:textAlignment w:val="baseline"/>
      <w:outlineLvl w:val="3"/>
    </w:pPr>
    <w:rPr>
      <w:rFonts w:ascii="黑体" w:eastAsia="黑体"/>
      <w:kern w:val="21"/>
      <w:szCs w:val="20"/>
    </w:rPr>
  </w:style>
  <w:style w:type="paragraph" w:customStyle="1" w:styleId="38">
    <w:name w:val="附录五级条标题"/>
    <w:basedOn w:val="39"/>
    <w:next w:val="14"/>
    <w:uiPriority w:val="0"/>
    <w:pPr>
      <w:numPr>
        <w:ilvl w:val="6"/>
      </w:numPr>
      <w:tabs>
        <w:tab w:val="left" w:pos="360"/>
      </w:tabs>
      <w:outlineLvl w:val="6"/>
    </w:pPr>
  </w:style>
  <w:style w:type="paragraph" w:customStyle="1" w:styleId="39">
    <w:name w:val="附录四级条标题"/>
    <w:basedOn w:val="40"/>
    <w:next w:val="14"/>
    <w:qFormat/>
    <w:uiPriority w:val="0"/>
    <w:pPr>
      <w:numPr>
        <w:ilvl w:val="5"/>
      </w:numPr>
      <w:tabs>
        <w:tab w:val="left" w:pos="360"/>
      </w:tabs>
      <w:outlineLvl w:val="5"/>
    </w:pPr>
  </w:style>
  <w:style w:type="paragraph" w:customStyle="1" w:styleId="40">
    <w:name w:val="附录三级条标题"/>
    <w:basedOn w:val="37"/>
    <w:next w:val="14"/>
    <w:qFormat/>
    <w:uiPriority w:val="0"/>
    <w:pPr>
      <w:numPr>
        <w:ilvl w:val="4"/>
      </w:numPr>
      <w:outlineLvl w:val="4"/>
    </w:pPr>
  </w:style>
  <w:style w:type="paragraph" w:customStyle="1" w:styleId="41">
    <w:name w:val="附录一级无"/>
    <w:basedOn w:val="1"/>
    <w:uiPriority w:val="0"/>
    <w:pPr>
      <w:widowControl/>
      <w:numPr>
        <w:ilvl w:val="2"/>
        <w:numId w:val="2"/>
      </w:numPr>
      <w:wordWrap w:val="0"/>
      <w:overflowPunct w:val="0"/>
      <w:autoSpaceDE w:val="0"/>
      <w:autoSpaceDN w:val="0"/>
      <w:textAlignment w:val="baseline"/>
      <w:outlineLvl w:val="2"/>
    </w:pPr>
    <w:rPr>
      <w:rFonts w:ascii="宋体"/>
      <w:kern w:val="21"/>
      <w:szCs w:val="21"/>
    </w:rPr>
  </w:style>
  <w:style w:type="paragraph" w:customStyle="1" w:styleId="42">
    <w:name w:val="附录章标题"/>
    <w:next w:val="14"/>
    <w:qFormat/>
    <w:uiPriority w:val="0"/>
    <w:pPr>
      <w:numPr>
        <w:ilvl w:val="1"/>
        <w:numId w:val="2"/>
      </w:numPr>
      <w:tabs>
        <w:tab w:val="left" w:pos="360"/>
      </w:tabs>
      <w:wordWrap w:val="0"/>
      <w:overflowPunct w:val="0"/>
      <w:autoSpaceDE w:val="0"/>
      <w:spacing w:before="100" w:beforeLines="100" w:after="100" w:afterLines="100"/>
      <w:jc w:val="both"/>
      <w:textAlignment w:val="baseline"/>
      <w:outlineLvl w:val="1"/>
    </w:pPr>
    <w:rPr>
      <w:rFonts w:ascii="黑体" w:hAnsi="Times New Roman" w:eastAsia="黑体" w:cs="Times New Roman"/>
      <w:kern w:val="21"/>
      <w:sz w:val="21"/>
      <w:lang w:val="en-US" w:eastAsia="zh-CN" w:bidi="ar-SA"/>
    </w:rPr>
  </w:style>
  <w:style w:type="character" w:customStyle="1" w:styleId="43">
    <w:name w:val="批注文字 字符"/>
    <w:basedOn w:val="11"/>
    <w:link w:val="3"/>
    <w:semiHidden/>
    <w:qFormat/>
    <w:uiPriority w:val="99"/>
    <w:rPr>
      <w:rFonts w:ascii="Times New Roman" w:hAnsi="Times New Roman" w:eastAsia="宋体" w:cs="Times New Roman"/>
      <w:kern w:val="2"/>
      <w:sz w:val="21"/>
      <w:szCs w:val="24"/>
    </w:rPr>
  </w:style>
  <w:style w:type="character" w:customStyle="1" w:styleId="44">
    <w:name w:val="批注主题 字符"/>
    <w:basedOn w:val="43"/>
    <w:link w:val="8"/>
    <w:semiHidden/>
    <w:qFormat/>
    <w:uiPriority w:val="99"/>
    <w:rPr>
      <w:rFonts w:ascii="Times New Roman" w:hAnsi="Times New Roman" w:eastAsia="宋体" w:cs="Times New Roman"/>
      <w:b/>
      <w:bCs/>
      <w:kern w:val="2"/>
      <w:sz w:val="21"/>
      <w:szCs w:val="24"/>
    </w:rPr>
  </w:style>
  <w:style w:type="paragraph" w:customStyle="1" w:styleId="45">
    <w:name w:val="标准文件_段"/>
    <w:link w:val="5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46">
    <w:name w:val="标准文件_二级条标题"/>
    <w:next w:val="45"/>
    <w:qFormat/>
    <w:uiPriority w:val="0"/>
    <w:pPr>
      <w:widowControl w:val="0"/>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47">
    <w:name w:val="标准文件_三级条标题"/>
    <w:basedOn w:val="46"/>
    <w:next w:val="45"/>
    <w:qFormat/>
    <w:uiPriority w:val="0"/>
    <w:pPr>
      <w:widowControl/>
      <w:outlineLvl w:val="3"/>
    </w:pPr>
  </w:style>
  <w:style w:type="paragraph" w:customStyle="1" w:styleId="48">
    <w:name w:val="标准文件_四级条标题"/>
    <w:next w:val="45"/>
    <w:qFormat/>
    <w:uiPriority w:val="0"/>
    <w:pPr>
      <w:widowControl w:val="0"/>
      <w:spacing w:before="50" w:beforeLines="50" w:after="50" w:afterLines="50"/>
      <w:jc w:val="both"/>
      <w:outlineLvl w:val="4"/>
    </w:pPr>
    <w:rPr>
      <w:rFonts w:ascii="黑体" w:hAnsi="Times New Roman" w:eastAsia="黑体" w:cs="Times New Roman"/>
      <w:sz w:val="21"/>
      <w:lang w:val="en-US" w:eastAsia="zh-CN" w:bidi="ar-SA"/>
    </w:rPr>
  </w:style>
  <w:style w:type="paragraph" w:customStyle="1" w:styleId="49">
    <w:name w:val="标准文件_五级条标题"/>
    <w:next w:val="45"/>
    <w:qFormat/>
    <w:uiPriority w:val="0"/>
    <w:pPr>
      <w:widowControl w:val="0"/>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50">
    <w:name w:val="标准文件_章标题"/>
    <w:next w:val="45"/>
    <w:qFormat/>
    <w:uiPriority w:val="0"/>
    <w:p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51">
    <w:name w:val="标准文件_一级条标题"/>
    <w:basedOn w:val="50"/>
    <w:next w:val="45"/>
    <w:qFormat/>
    <w:uiPriority w:val="0"/>
    <w:pPr>
      <w:spacing w:before="50" w:beforeLines="50" w:after="50" w:afterLines="50"/>
      <w:ind w:left="568"/>
      <w:outlineLvl w:val="1"/>
    </w:pPr>
  </w:style>
  <w:style w:type="paragraph" w:customStyle="1" w:styleId="52">
    <w:name w:val="前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53">
    <w:name w:val="标准文件_二级无标题"/>
    <w:basedOn w:val="46"/>
    <w:qFormat/>
    <w:uiPriority w:val="0"/>
    <w:pPr>
      <w:spacing w:before="0" w:beforeLines="0" w:after="0" w:afterLines="0"/>
      <w:outlineLvl w:val="9"/>
    </w:pPr>
    <w:rPr>
      <w:rFonts w:ascii="宋体" w:eastAsia="宋体"/>
    </w:rPr>
  </w:style>
  <w:style w:type="character" w:customStyle="1" w:styleId="54">
    <w:name w:val="标准文件_段 Char"/>
    <w:link w:val="45"/>
    <w:qFormat/>
    <w:uiPriority w:val="0"/>
    <w:rPr>
      <w:rFonts w:ascii="宋体" w:hAnsi="Times New Roman" w:eastAsia="宋体" w:cs="Times New Roman"/>
      <w:sz w:val="21"/>
    </w:rPr>
  </w:style>
  <w:style w:type="paragraph" w:customStyle="1" w:styleId="55">
    <w:name w:val="标准文件_数字编号列项（二级）"/>
    <w:qFormat/>
    <w:uiPriority w:val="0"/>
    <w:pPr>
      <w:numPr>
        <w:ilvl w:val="1"/>
        <w:numId w:val="3"/>
      </w:numPr>
      <w:jc w:val="both"/>
    </w:pPr>
    <w:rPr>
      <w:rFonts w:ascii="宋体" w:hAnsi="Times New Roman" w:eastAsia="宋体" w:cs="Times New Roman"/>
      <w:sz w:val="21"/>
      <w:lang w:val="en-US" w:eastAsia="zh-CN" w:bidi="ar-SA"/>
    </w:rPr>
  </w:style>
  <w:style w:type="paragraph" w:customStyle="1" w:styleId="56">
    <w:name w:val="标准文件_编号列项（三级）"/>
    <w:qFormat/>
    <w:uiPriority w:val="0"/>
    <w:pPr>
      <w:numPr>
        <w:ilvl w:val="2"/>
        <w:numId w:val="3"/>
      </w:numPr>
    </w:pPr>
    <w:rPr>
      <w:rFonts w:ascii="宋体" w:hAnsi="Times New Roman" w:eastAsia="宋体" w:cs="Times New Roman"/>
      <w:sz w:val="21"/>
      <w:lang w:val="en-US" w:eastAsia="zh-CN" w:bidi="ar-SA"/>
    </w:rPr>
  </w:style>
  <w:style w:type="paragraph" w:customStyle="1" w:styleId="57">
    <w:name w:val="标准文件_字母编号列项（一级）"/>
    <w:qFormat/>
    <w:uiPriority w:val="0"/>
    <w:pPr>
      <w:numPr>
        <w:ilvl w:val="0"/>
        <w:numId w:val="3"/>
      </w:numPr>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16</Pages>
  <Words>2547</Words>
  <Characters>2795</Characters>
  <Lines>54</Lines>
  <Paragraphs>15</Paragraphs>
  <TotalTime>7</TotalTime>
  <ScaleCrop>false</ScaleCrop>
  <LinksUpToDate>false</LinksUpToDate>
  <CharactersWithSpaces>2820</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2019-04-26T10:43:00Z</dcterms:created>
  <dc:creator>王飞</dc:creator>
  <cp:lastModifiedBy>sunday11403140978</cp:lastModifiedBy>
  <cp:lastPrinted>2020-07-30T00:55:00Z</cp:lastPrinted>
  <dcterms:modified xsi:type="dcterms:W3CDTF">2024-12-20T08:16:46Z</dcterms:modified>
  <cp:revision>566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DF8322AE20BD46DCABC5B183DCE3EE28_13</vt:lpwstr>
  </property>
</Properties>
</file>