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3</w:t>
            </w:r>
            <w:r>
              <w:rPr>
                <w:rFonts w:hint="eastAsia"/>
                <w:lang w:val="en-US" w:eastAsia="zh-CN"/>
              </w:rPr>
              <w:t>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急诊创伤整形修复</w:t>
      </w:r>
      <w:r>
        <w:rPr>
          <w:rFonts w:hint="eastAsia"/>
          <w:lang w:eastAsia="zh-CN"/>
        </w:rPr>
        <w:t>中心</w:t>
      </w:r>
      <w:r>
        <w:rPr>
          <w:rFonts w:hint="eastAsia"/>
        </w:rPr>
        <w:t>建设</w:t>
      </w:r>
      <w:r>
        <w:rPr>
          <w:rFonts w:hint="eastAsia"/>
          <w:lang w:eastAsia="zh-CN"/>
        </w:rPr>
        <w:t>指南</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lang w:val="en-US" w:eastAsia="zh-CN"/>
        </w:rPr>
        <w:t xml:space="preserve">Guidelines for the </w:t>
      </w:r>
      <w:r>
        <w:rPr>
          <w:rFonts w:hint="eastAsia" w:ascii="黑体" w:hAnsi="黑体" w:eastAsia="黑体"/>
          <w:szCs w:val="28"/>
        </w:rPr>
        <w:t>Construction</w:t>
      </w:r>
      <w:r>
        <w:rPr>
          <w:rFonts w:hint="eastAsia" w:ascii="黑体" w:hAnsi="黑体" w:eastAsia="黑体"/>
          <w:szCs w:val="28"/>
          <w:lang w:val="en-US" w:eastAsia="zh-CN"/>
        </w:rPr>
        <w:t xml:space="preserve"> </w:t>
      </w:r>
      <w:r>
        <w:rPr>
          <w:rFonts w:hint="eastAsia" w:ascii="黑体" w:hAnsi="黑体" w:eastAsia="黑体"/>
          <w:szCs w:val="28"/>
        </w:rPr>
        <w:t xml:space="preserve">of </w:t>
      </w:r>
      <w:r>
        <w:rPr>
          <w:rFonts w:hint="eastAsia" w:ascii="黑体" w:hAnsi="黑体" w:eastAsia="黑体"/>
          <w:szCs w:val="28"/>
          <w:lang w:val="en-US" w:eastAsia="zh-CN"/>
        </w:rPr>
        <w:t>E</w:t>
      </w:r>
      <w:r>
        <w:rPr>
          <w:rFonts w:hint="eastAsia" w:ascii="黑体" w:hAnsi="黑体" w:eastAsia="黑体"/>
          <w:szCs w:val="28"/>
        </w:rPr>
        <w:t xml:space="preserve">mergency </w:t>
      </w:r>
      <w:r>
        <w:rPr>
          <w:rFonts w:hint="eastAsia" w:ascii="黑体" w:hAnsi="黑体" w:eastAsia="黑体"/>
          <w:szCs w:val="28"/>
          <w:lang w:val="en-US" w:eastAsia="zh-CN"/>
        </w:rPr>
        <w:t>T</w:t>
      </w:r>
      <w:r>
        <w:rPr>
          <w:rFonts w:hint="eastAsia" w:ascii="黑体" w:hAnsi="黑体" w:eastAsia="黑体"/>
          <w:szCs w:val="28"/>
        </w:rPr>
        <w:t xml:space="preserve">rauma </w:t>
      </w:r>
      <w:r>
        <w:rPr>
          <w:rFonts w:hint="eastAsia" w:ascii="黑体" w:hAnsi="黑体" w:eastAsia="黑体"/>
          <w:szCs w:val="28"/>
          <w:lang w:val="en-US" w:eastAsia="zh-CN"/>
        </w:rPr>
        <w:t>P</w:t>
      </w:r>
      <w:r>
        <w:rPr>
          <w:rFonts w:hint="eastAsia" w:ascii="黑体" w:hAnsi="黑体" w:eastAsia="黑体"/>
          <w:szCs w:val="28"/>
        </w:rPr>
        <w:t xml:space="preserve">lastic </w:t>
      </w:r>
      <w:r>
        <w:rPr>
          <w:rFonts w:hint="eastAsia" w:ascii="黑体" w:hAnsi="黑体" w:eastAsia="黑体"/>
          <w:szCs w:val="28"/>
          <w:lang w:val="en-US" w:eastAsia="zh-CN"/>
        </w:rPr>
        <w:t>R</w:t>
      </w:r>
      <w:r>
        <w:rPr>
          <w:rFonts w:hint="eastAsia" w:ascii="黑体" w:hAnsi="黑体" w:eastAsia="黑体"/>
          <w:szCs w:val="28"/>
        </w:rPr>
        <w:t xml:space="preserve">epair </w:t>
      </w:r>
      <w:r>
        <w:rPr>
          <w:rFonts w:hint="eastAsia" w:ascii="黑体" w:hAnsi="黑体" w:eastAsia="黑体"/>
          <w:szCs w:val="28"/>
          <w:lang w:val="en-US" w:eastAsia="zh-CN"/>
        </w:rPr>
        <w:t>Center</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62E06445CAE54B76B8D8ED7E06AFA2E3"/>
        </w:placeholder>
      </w:sdtPr>
      <w:sdtContent>
        <w:p>
          <w:pPr>
            <w:pStyle w:val="230"/>
            <w:spacing w:before="400" w:after="400" w:line="360" w:lineRule="auto"/>
            <w:rPr>
              <w:rFonts w:ascii="Times New Roman"/>
              <w:szCs w:val="32"/>
            </w:rPr>
          </w:pPr>
          <w:bookmarkStart w:id="22" w:name="NEW_STAND_NAME"/>
          <w:r>
            <w:rPr>
              <w:rFonts w:ascii="Times New Roman"/>
              <w:szCs w:val="32"/>
            </w:rPr>
            <w:t>目</w:t>
          </w:r>
          <w:bookmarkStart w:id="23" w:name="BKML"/>
          <w:r>
            <w:rPr>
              <w:rFonts w:ascii="Times New Roman"/>
              <w:szCs w:val="32"/>
            </w:rPr>
            <w:t>  次</w:t>
          </w:r>
          <w:bookmarkEnd w:id="23"/>
        </w:p>
        <w:p>
          <w:pPr>
            <w:pStyle w:val="19"/>
            <w:tabs>
              <w:tab w:val="right" w:leader="dot" w:pos="9241"/>
            </w:tabs>
            <w:spacing w:before="78" w:after="78" w:line="240" w:lineRule="auto"/>
            <w:rPr>
              <w:rFonts w:ascii="Times New Roman"/>
            </w:rPr>
          </w:pPr>
          <w:r>
            <w:rPr>
              <w:rFonts w:hint="eastAsia" w:ascii="Times New Roman"/>
            </w:rPr>
            <w:fldChar w:fldCharType="begin"/>
          </w:r>
          <w:r>
            <w:rPr>
              <w:rFonts w:hint="eastAsia" w:ascii="Times New Roman"/>
            </w:rPr>
            <w:instrText xml:space="preserve"> TOC \h \z \t"前言、引言标题,1,参考文献、索引标题,1,章标题,1,参考文献,1,附录标识,1" \* MERGEFORMAT </w:instrText>
          </w:r>
          <w:r>
            <w:rPr>
              <w:rFonts w:hint="eastAsia" w:ascii="Times New Roman"/>
            </w:rPr>
            <w:fldChar w:fldCharType="separate"/>
          </w:r>
          <w:r>
            <w:fldChar w:fldCharType="begin"/>
          </w:r>
          <w:r>
            <w:instrText xml:space="preserve"> HYPERLINK \l "_Toc98951426" </w:instrText>
          </w:r>
          <w:r>
            <w:fldChar w:fldCharType="separate"/>
          </w:r>
          <w:r>
            <w:rPr>
              <w:rFonts w:hint="eastAsia" w:ascii="Times New Roman"/>
            </w:rPr>
            <w:t>前言</w:t>
          </w:r>
          <w:r>
            <w:rPr>
              <w:rFonts w:hint="eastAsia" w:ascii="Times New Roman"/>
            </w:rPr>
            <w:tab/>
          </w:r>
          <w:r>
            <w:rPr>
              <w:rFonts w:hint="eastAsia" w:ascii="Times New Roman"/>
            </w:rPr>
            <w:t>1</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"_Toc98951426" </w:instrText>
          </w:r>
          <w:r>
            <w:fldChar w:fldCharType="separate"/>
          </w:r>
          <w:r>
            <w:rPr>
              <w:rFonts w:hint="eastAsia" w:ascii="Times New Roman"/>
            </w:rPr>
            <w:t>1 范围</w:t>
          </w:r>
          <w:r>
            <w:rPr>
              <w:rFonts w:hint="eastAsia" w:ascii="Times New Roman"/>
            </w:rPr>
            <w:tab/>
          </w:r>
          <w:r>
            <w:rPr>
              <w:rFonts w:hint="eastAsia" w:ascii="Times New Roman"/>
              <w:lang w:val="en-US" w:eastAsia="zh-CN"/>
            </w:rPr>
            <w:t>1</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"_Toc98951427" </w:instrText>
          </w:r>
          <w:r>
            <w:fldChar w:fldCharType="separate"/>
          </w:r>
          <w:r>
            <w:rPr>
              <w:rFonts w:hint="eastAsia" w:ascii="Times New Roman"/>
            </w:rPr>
            <w:t>2 规范性引用文件</w:t>
          </w:r>
          <w:r>
            <w:rPr>
              <w:rFonts w:hint="eastAsia" w:ascii="Times New Roman"/>
            </w:rPr>
            <w:tab/>
          </w:r>
          <w:r>
            <w:rPr>
              <w:rFonts w:hint="eastAsia" w:ascii="Times New Roman"/>
              <w:lang w:val="en-US" w:eastAsia="zh-CN"/>
            </w:rPr>
            <w:t>1</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"_Toc98951428" </w:instrText>
          </w:r>
          <w:r>
            <w:fldChar w:fldCharType="separate"/>
          </w:r>
          <w:r>
            <w:rPr>
              <w:rFonts w:hint="eastAsia" w:ascii="Times New Roman"/>
            </w:rPr>
            <w:t>3 术语和定义</w:t>
          </w:r>
          <w:r>
            <w:rPr>
              <w:rFonts w:hint="eastAsia" w:ascii="Times New Roman"/>
            </w:rPr>
            <w:tab/>
          </w:r>
          <w:r>
            <w:rPr>
              <w:rFonts w:hint="eastAsia" w:ascii="Times New Roman"/>
              <w:lang w:val="en-US" w:eastAsia="zh-CN"/>
            </w:rPr>
            <w:t>1</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"_Toc98951429" </w:instrText>
          </w:r>
          <w:r>
            <w:fldChar w:fldCharType="separate"/>
          </w:r>
          <w:r>
            <w:rPr>
              <w:rFonts w:hint="eastAsia" w:ascii="Times New Roman"/>
            </w:rPr>
            <w:t xml:space="preserve">4 </w:t>
          </w:r>
          <w:r>
            <w:rPr>
              <w:rFonts w:hint="eastAsia" w:ascii="Times New Roman"/>
              <w:lang w:val="en-US" w:eastAsia="zh-CN"/>
            </w:rPr>
            <w:t>基本要求</w:t>
          </w:r>
          <w:r>
            <w:rPr>
              <w:rFonts w:hint="eastAsia" w:ascii="Times New Roman"/>
            </w:rPr>
            <w:tab/>
          </w:r>
          <w:r>
            <w:rPr>
              <w:rFonts w:hint="eastAsia" w:ascii="Times New Roman"/>
              <w:lang w:val="en-US" w:eastAsia="zh-CN"/>
            </w:rPr>
            <w:t>2</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"_Toc98951430" </w:instrText>
          </w:r>
          <w:r>
            <w:fldChar w:fldCharType="separate"/>
          </w:r>
          <w:r>
            <w:rPr>
              <w:rFonts w:hint="eastAsia" w:ascii="Times New Roman"/>
              <w:lang w:val="en-US" w:eastAsia="zh-CN"/>
            </w:rPr>
            <w:t>5 团队建设与培训管理</w:t>
          </w:r>
          <w:r>
            <w:rPr>
              <w:rFonts w:hint="eastAsia" w:ascii="Times New Roman"/>
            </w:rPr>
            <w:tab/>
          </w:r>
          <w:r>
            <w:rPr>
              <w:rFonts w:hint="eastAsia" w:ascii="Times New Roman"/>
              <w:lang w:val="en-US" w:eastAsia="zh-CN"/>
            </w:rPr>
            <w:t>3</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"_Toc98951431" </w:instrText>
          </w:r>
          <w:r>
            <w:fldChar w:fldCharType="separate"/>
          </w:r>
          <w:r>
            <w:rPr>
              <w:rFonts w:hint="eastAsia" w:ascii="Times New Roman"/>
              <w:lang w:val="en-US" w:eastAsia="zh-CN"/>
            </w:rPr>
            <w:t>6 技术及服务要求</w:t>
          </w:r>
          <w:r>
            <w:rPr>
              <w:rFonts w:hint="eastAsia" w:ascii="Times New Roman"/>
            </w:rPr>
            <w:tab/>
          </w:r>
          <w:r>
            <w:rPr>
              <w:rFonts w:hint="eastAsia" w:ascii="Times New Roman"/>
              <w:lang w:val="en-US" w:eastAsia="zh-CN"/>
            </w:rPr>
            <w:t>4</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"_Toc98951433" </w:instrText>
          </w:r>
          <w:r>
            <w:fldChar w:fldCharType="separate"/>
          </w:r>
          <w:r>
            <w:rPr>
              <w:rFonts w:hint="eastAsia"/>
              <w:lang w:val="en-US" w:eastAsia="zh-CN"/>
            </w:rPr>
            <w:t>7</w:t>
          </w:r>
          <w:r>
            <w:rPr>
              <w:rFonts w:hint="eastAsia" w:ascii="Times New Roman"/>
            </w:rPr>
            <w:t xml:space="preserve"> </w:t>
          </w:r>
          <w:r>
            <w:rPr>
              <w:rFonts w:hint="eastAsia" w:ascii="Times New Roman"/>
              <w:lang w:val="en-US" w:eastAsia="zh-CN"/>
            </w:rPr>
            <w:t>感染预防与控制</w:t>
          </w:r>
          <w:r>
            <w:rPr>
              <w:rFonts w:hint="eastAsia" w:ascii="Times New Roman"/>
            </w:rPr>
            <w:tab/>
          </w:r>
          <w:r>
            <w:rPr>
              <w:rFonts w:hint="eastAsia" w:ascii="Times New Roman"/>
              <w:lang w:val="en-US" w:eastAsia="zh-CN"/>
            </w:rPr>
            <w:t>4</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"_Toc98951439" </w:instrText>
          </w:r>
          <w:r>
            <w:fldChar w:fldCharType="separate"/>
          </w:r>
          <w:r>
            <w:rPr>
              <w:rFonts w:hint="eastAsia" w:ascii="Times New Roman"/>
              <w:lang w:val="en-US" w:eastAsia="zh-CN"/>
            </w:rPr>
            <w:t>8</w:t>
          </w:r>
          <w:r>
            <w:rPr>
              <w:rFonts w:hint="eastAsia" w:ascii="Times New Roman"/>
            </w:rPr>
            <w:t xml:space="preserve"> </w:t>
          </w:r>
          <w:r>
            <w:rPr>
              <w:rFonts w:hint="eastAsia" w:ascii="Times New Roman"/>
              <w:lang w:val="en-US" w:eastAsia="zh-CN"/>
            </w:rPr>
            <w:t>质量管理</w:t>
          </w:r>
          <w:r>
            <w:rPr>
              <w:rFonts w:hint="eastAsia" w:ascii="Times New Roman"/>
            </w:rPr>
            <w:tab/>
          </w:r>
          <w:r>
            <w:rPr>
              <w:rFonts w:hint="eastAsia" w:ascii="Times New Roman"/>
              <w:lang w:val="en-US" w:eastAsia="zh-CN"/>
            </w:rPr>
            <w:t>5</w:t>
          </w:r>
          <w:r>
            <w:rPr>
              <w:rFonts w:hint="eastAsia" w:ascii="Times New Roman"/>
            </w:rPr>
            <w:fldChar w:fldCharType="end"/>
          </w:r>
        </w:p>
        <w:p>
          <w:pPr>
            <w:pStyle w:val="19"/>
            <w:tabs>
              <w:tab w:val="right" w:leader="dot" w:pos="9241"/>
            </w:tabs>
            <w:spacing w:before="78" w:after="78" w:line="240" w:lineRule="auto"/>
            <w:rPr>
              <w:rFonts w:ascii="Times New Roman"/>
            </w:rPr>
          </w:pPr>
          <w:r>
            <w:fldChar w:fldCharType="begin"/>
          </w:r>
          <w:r>
            <w:instrText xml:space="preserve"> HYPERLINK \l "_Toc98951440" </w:instrText>
          </w:r>
          <w:r>
            <w:fldChar w:fldCharType="separate"/>
          </w:r>
          <w:r>
            <w:rPr>
              <w:rFonts w:hint="eastAsia" w:ascii="Times New Roman"/>
              <w:lang w:val="en-US" w:eastAsia="zh-CN"/>
            </w:rPr>
            <w:t>9</w:t>
          </w:r>
          <w:r>
            <w:rPr>
              <w:rFonts w:hint="eastAsia" w:ascii="Times New Roman"/>
            </w:rPr>
            <w:t xml:space="preserve"> </w:t>
          </w:r>
          <w:r>
            <w:rPr>
              <w:rFonts w:hint="eastAsia" w:ascii="Times New Roman"/>
              <w:lang w:val="en-US" w:eastAsia="zh-CN"/>
            </w:rPr>
            <w:t>消防与安全要求</w:t>
          </w:r>
          <w:r>
            <w:rPr>
              <w:rFonts w:hint="eastAsia" w:ascii="Times New Roman"/>
            </w:rPr>
            <w:tab/>
          </w:r>
          <w:r>
            <w:rPr>
              <w:rFonts w:hint="eastAsia" w:ascii="Times New Roman"/>
              <w:lang w:val="en-US" w:eastAsia="zh-CN"/>
            </w:rPr>
            <w:t>5</w:t>
          </w:r>
          <w:r>
            <w:rPr>
              <w:rFonts w:hint="eastAsia" w:ascii="Times New Roman"/>
            </w:rPr>
            <w:fldChar w:fldCharType="end"/>
          </w:r>
        </w:p>
        <w:p>
          <w:pPr>
            <w:pStyle w:val="177"/>
            <w:rPr>
              <w:rFonts w:hint="eastAsia" w:ascii="Times New Roman"/>
            </w:rPr>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pPr>
          <w:r>
            <w:rPr>
              <w:rFonts w:hint="eastAsia" w:ascii="Times New Roman"/>
            </w:rPr>
            <w:fldChar w:fldCharType="end"/>
          </w:r>
        </w:p>
        <w:p>
          <w:pPr>
            <w:pStyle w:val="232"/>
          </w:pPr>
          <w:r>
            <w:rPr>
              <w:rFonts w:hint="eastAsia"/>
            </w:rPr>
            <w:t>前</w:t>
          </w:r>
          <w:bookmarkStart w:id="24" w:name="BKQY"/>
          <w:r>
            <w:t>  </w:t>
          </w:r>
          <w:r>
            <w:rPr>
              <w:rFonts w:hint="eastAsia"/>
            </w:rPr>
            <w:t>言</w:t>
          </w:r>
          <w:bookmarkEnd w:id="24"/>
        </w:p>
        <w:p>
          <w:pPr>
            <w:ind w:firstLine="420" w:firstLineChars="200"/>
            <w:rPr>
              <w:rFonts w:ascii="宋体" w:hAnsi="宋体"/>
            </w:rPr>
          </w:pPr>
          <w:r>
            <w:rPr>
              <w:rFonts w:ascii="宋体" w:hAnsi="宋体"/>
            </w:rPr>
            <w:t>本文件按照GB/T1.1-2020《标准化工作导则 第1部分：标准化文件的结构和起草规则》的规定起草。</w:t>
          </w:r>
        </w:p>
        <w:p>
          <w:pPr>
            <w:ind w:firstLine="420" w:firstLineChars="200"/>
            <w:rPr>
              <w:rFonts w:ascii="宋体" w:hAnsi="宋体"/>
            </w:rPr>
          </w:pPr>
          <w:r>
            <w:rPr>
              <w:rFonts w:hint="eastAsia" w:ascii="宋体" w:hAnsi="宋体"/>
            </w:rPr>
            <w:t>本文件主要起草单位：安徽省</w:t>
          </w:r>
          <w:r>
            <w:rPr>
              <w:rFonts w:hint="eastAsia" w:ascii="宋体" w:hAnsi="宋体"/>
              <w:lang w:val="en-US" w:eastAsia="zh-CN"/>
            </w:rPr>
            <w:t>第二人民医院</w:t>
          </w:r>
          <w:r>
            <w:rPr>
              <w:rFonts w:ascii="宋体" w:hAnsi="宋体"/>
            </w:rPr>
            <w:t>。</w:t>
          </w:r>
        </w:p>
        <w:p>
          <w:pPr>
            <w:ind w:firstLine="420" w:firstLineChars="200"/>
            <w:rPr>
              <w:rFonts w:hint="default" w:ascii="宋体" w:hAnsi="宋体" w:eastAsia="宋体"/>
              <w:lang w:val="en-US" w:eastAsia="zh-CN"/>
            </w:rPr>
          </w:pPr>
          <w:r>
            <w:rPr>
              <w:rFonts w:hint="eastAsia" w:ascii="宋体" w:hAnsi="宋体"/>
            </w:rPr>
            <w:t>本文件参与起草单位：</w:t>
          </w:r>
          <w:r>
            <w:rPr>
              <w:rFonts w:hint="eastAsia" w:ascii="宋体" w:hAnsi="宋体"/>
              <w:lang w:val="en-US" w:eastAsia="zh-CN"/>
            </w:rPr>
            <w:t>安徽医科大学第二附属医院、池州市人民医院、灵璧县人民医院。</w:t>
          </w:r>
        </w:p>
        <w:p>
          <w:pPr>
            <w:ind w:firstLine="420" w:firstLineChars="200"/>
            <w:rPr>
              <w:rFonts w:ascii="宋体" w:hAnsi="宋体"/>
            </w:rPr>
          </w:pPr>
          <w:r>
            <w:rPr>
              <w:rFonts w:hint="eastAsia" w:ascii="宋体" w:hAnsi="宋体"/>
            </w:rPr>
            <w:t>本文件由安徽省卫生健康委员会归口。</w:t>
          </w:r>
        </w:p>
        <w:p>
          <w:pPr>
            <w:ind w:firstLine="420" w:firstLineChars="200"/>
            <w:rPr>
              <w:rFonts w:hint="default" w:ascii="宋体" w:hAnsi="宋体" w:eastAsia="宋体"/>
              <w:lang w:val="en-US" w:eastAsia="zh-CN"/>
            </w:rPr>
          </w:pPr>
          <w:r>
            <w:rPr>
              <w:rFonts w:hint="eastAsia"/>
            </w:rPr>
            <w:t>本文件</w:t>
          </w:r>
          <w:r>
            <w:t>主要起</w:t>
          </w:r>
          <w:r>
            <w:rPr>
              <w:rFonts w:hint="eastAsia"/>
            </w:rPr>
            <w:t>草人</w:t>
          </w:r>
          <w:r>
            <w:t>：</w:t>
          </w:r>
          <w:r>
            <w:rPr>
              <w:rFonts w:hint="eastAsia"/>
              <w:lang w:val="en-US" w:eastAsia="zh-CN"/>
            </w:rPr>
            <w:t>左宗宝、孔维昌、杨子政、曹东升、吕京陵、宁金龙、刘春、杨会强、韩雷、杨静。</w:t>
          </w:r>
        </w:p>
        <w:p>
          <w:pPr>
            <w:pStyle w:val="177"/>
            <w:jc w:val="both"/>
            <w:rPr>
              <w:rFonts w:hint="eastAsia" w:ascii="Times New Roman"/>
            </w:rPr>
            <w:sectPr>
              <w:pgSz w:w="11906" w:h="16838"/>
              <w:pgMar w:top="1928" w:right="1134" w:bottom="1134" w:left="1134" w:header="1418" w:footer="1134" w:gutter="284"/>
              <w:pgNumType w:start="1"/>
              <w:cols w:space="425" w:num="1"/>
              <w:formProt w:val="0"/>
              <w:docGrid w:type="lines" w:linePitch="312" w:charSpace="0"/>
            </w:sectPr>
          </w:pPr>
        </w:p>
        <w:p>
          <w:pPr>
            <w:pStyle w:val="177"/>
          </w:pPr>
          <w:r>
            <w:rPr>
              <w:rFonts w:hint="eastAsia"/>
            </w:rPr>
            <w:t>急诊创伤整形修复</w:t>
          </w:r>
          <w:r>
            <w:rPr>
              <w:rFonts w:hint="eastAsia"/>
              <w:lang w:eastAsia="zh-CN"/>
            </w:rPr>
            <w:t>中心</w:t>
          </w:r>
          <w:r>
            <w:rPr>
              <w:rFonts w:hint="eastAsia"/>
            </w:rPr>
            <w:t>建设</w:t>
          </w:r>
          <w:r>
            <w:rPr>
              <w:rFonts w:hint="eastAsia"/>
              <w:lang w:eastAsia="zh-CN"/>
            </w:rPr>
            <w:t>指南</w:t>
          </w:r>
        </w:p>
      </w:sdtContent>
    </w:sdt>
    <w:bookmarkEnd w:id="22"/>
    <w:p>
      <w:pPr>
        <w:pStyle w:val="233"/>
        <w:rPr>
          <w:rFonts w:hint="eastAsia"/>
          <w:szCs w:val="22"/>
        </w:rPr>
      </w:pPr>
      <w:bookmarkStart w:id="25" w:name="_Toc33690060"/>
      <w:bookmarkStart w:id="26" w:name="_Toc33702970"/>
      <w:bookmarkStart w:id="27" w:name="_Toc33692324"/>
      <w:bookmarkStart w:id="28" w:name="_Toc33695447"/>
      <w:bookmarkStart w:id="29" w:name="_Toc33695132"/>
      <w:bookmarkStart w:id="30" w:name="_Toc33692460"/>
      <w:bookmarkStart w:id="31" w:name="_Toc33689446"/>
      <w:bookmarkStart w:id="32" w:name="_Toc24564"/>
      <w:r>
        <w:rPr>
          <w:rFonts w:hint="eastAsia"/>
          <w:szCs w:val="22"/>
        </w:rPr>
        <w:t>范围</w:t>
      </w:r>
      <w:bookmarkEnd w:id="25"/>
      <w:bookmarkEnd w:id="26"/>
      <w:bookmarkEnd w:id="27"/>
      <w:bookmarkEnd w:id="28"/>
      <w:bookmarkEnd w:id="29"/>
      <w:bookmarkEnd w:id="30"/>
      <w:bookmarkEnd w:id="31"/>
      <w:bookmarkEnd w:id="32"/>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Times New Roman"/>
          <w:lang w:val="en-US" w:eastAsia="zh-CN"/>
        </w:rPr>
      </w:pPr>
      <w:r>
        <w:rPr>
          <w:rFonts w:hint="eastAsia" w:ascii="宋体" w:hAnsi="宋体" w:eastAsia="宋体" w:cs="宋体"/>
          <w:color w:val="000000"/>
          <w:kern w:val="0"/>
          <w:sz w:val="21"/>
          <w:szCs w:val="21"/>
          <w:lang w:val="en-US" w:eastAsia="zh-CN" w:bidi="ar"/>
        </w:rPr>
        <w:t>本标准规定了急诊创伤整形修复</w:t>
      </w:r>
      <w:r>
        <w:rPr>
          <w:rFonts w:hint="eastAsia" w:hAnsi="宋体" w:cs="宋体"/>
          <w:color w:val="000000"/>
          <w:kern w:val="0"/>
          <w:sz w:val="21"/>
          <w:szCs w:val="21"/>
          <w:lang w:val="en-US" w:eastAsia="zh-CN" w:bidi="ar"/>
        </w:rPr>
        <w:t>中心</w:t>
      </w:r>
      <w:r>
        <w:rPr>
          <w:rFonts w:hint="eastAsia" w:ascii="宋体" w:hAnsi="宋体" w:eastAsia="宋体" w:cs="宋体"/>
          <w:color w:val="000000"/>
          <w:kern w:val="0"/>
          <w:sz w:val="21"/>
          <w:szCs w:val="21"/>
          <w:lang w:val="en-US" w:eastAsia="zh-CN" w:bidi="ar"/>
        </w:rPr>
        <w:t>的</w:t>
      </w:r>
      <w:bookmarkStart w:id="50" w:name="_GoBack"/>
      <w:r>
        <w:rPr>
          <w:rFonts w:hint="eastAsia" w:ascii="宋体" w:hAnsi="宋体" w:eastAsia="宋体" w:cs="宋体"/>
          <w:color w:val="000000"/>
          <w:kern w:val="0"/>
          <w:sz w:val="21"/>
          <w:szCs w:val="21"/>
          <w:lang w:val="en-US" w:eastAsia="zh-CN" w:bidi="ar"/>
        </w:rPr>
        <w:t>术语和定义、基本要求、</w:t>
      </w:r>
      <w:r>
        <w:rPr>
          <w:rFonts w:hint="eastAsia" w:ascii="Times New Roman"/>
          <w:lang w:val="en-US" w:eastAsia="zh-CN"/>
        </w:rPr>
        <w:t>团队建设与培训管理</w:t>
      </w:r>
      <w:r>
        <w:rPr>
          <w:rFonts w:hint="eastAsia" w:ascii="宋体" w:hAnsi="宋体" w:eastAsia="宋体" w:cs="宋体"/>
          <w:color w:val="000000"/>
          <w:kern w:val="0"/>
          <w:sz w:val="21"/>
          <w:szCs w:val="21"/>
          <w:lang w:val="en-US" w:eastAsia="zh-CN" w:bidi="ar"/>
        </w:rPr>
        <w:t>、</w:t>
      </w:r>
      <w:r>
        <w:rPr>
          <w:rFonts w:hint="eastAsia" w:ascii="Times New Roman"/>
          <w:lang w:val="en-US" w:eastAsia="zh-CN"/>
        </w:rPr>
        <w:t>技术及服</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ind w:left="0" w:leftChars="0" w:firstLine="0" w:firstLineChars="0"/>
        <w:textAlignment w:val="auto"/>
        <w:rPr>
          <w:rFonts w:hint="eastAsia" w:ascii="宋体" w:hAnsi="宋体" w:eastAsia="宋体" w:cs="宋体"/>
          <w:color w:val="000000"/>
          <w:kern w:val="0"/>
          <w:sz w:val="21"/>
          <w:szCs w:val="21"/>
          <w:lang w:val="en-US" w:eastAsia="zh-CN" w:bidi="ar"/>
        </w:rPr>
      </w:pPr>
      <w:r>
        <w:rPr>
          <w:rFonts w:hint="eastAsia" w:ascii="Times New Roman"/>
          <w:lang w:val="en-US" w:eastAsia="zh-CN"/>
        </w:rPr>
        <w:t>务要求、感染预防与控制、质量管理、</w:t>
      </w:r>
      <w:r>
        <w:rPr>
          <w:rFonts w:hint="eastAsia" w:ascii="宋体" w:hAnsi="宋体" w:eastAsia="宋体" w:cs="宋体"/>
          <w:color w:val="000000"/>
          <w:kern w:val="0"/>
          <w:sz w:val="21"/>
          <w:szCs w:val="21"/>
          <w:lang w:val="en-US" w:eastAsia="zh-CN" w:bidi="ar"/>
        </w:rPr>
        <w:t>消防与安全要求。</w:t>
      </w:r>
    </w:p>
    <w:bookmarkEnd w:id="50"/>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本标准适用于</w:t>
      </w:r>
      <w:r>
        <w:rPr>
          <w:rFonts w:hint="eastAsia"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二级</w:t>
      </w:r>
      <w:r>
        <w:rPr>
          <w:rFonts w:hint="eastAsia" w:hAnsi="宋体" w:cs="宋体"/>
          <w:color w:val="000000"/>
          <w:kern w:val="0"/>
          <w:sz w:val="21"/>
          <w:szCs w:val="21"/>
          <w:lang w:val="en-US" w:eastAsia="zh-CN" w:bidi="ar"/>
        </w:rPr>
        <w:t>及</w:t>
      </w:r>
      <w:r>
        <w:rPr>
          <w:rFonts w:hint="eastAsia" w:ascii="宋体" w:hAnsi="宋体" w:eastAsia="宋体" w:cs="宋体"/>
          <w:color w:val="000000"/>
          <w:kern w:val="0"/>
          <w:sz w:val="21"/>
          <w:szCs w:val="21"/>
          <w:lang w:val="en-US" w:eastAsia="zh-CN" w:bidi="ar"/>
        </w:rPr>
        <w:t>以上医疗机构</w:t>
      </w:r>
      <w:r>
        <w:rPr>
          <w:rFonts w:hint="eastAsia" w:hAnsi="宋体" w:cs="宋体"/>
          <w:color w:val="000000"/>
          <w:kern w:val="0"/>
          <w:sz w:val="21"/>
          <w:szCs w:val="21"/>
          <w:lang w:val="en-US" w:eastAsia="zh-CN" w:bidi="ar"/>
        </w:rPr>
        <w:t>）</w:t>
      </w:r>
      <w:r>
        <w:rPr>
          <w:rFonts w:hint="eastAsia"/>
        </w:rPr>
        <w:t>急诊创伤整形修复</w:t>
      </w:r>
      <w:r>
        <w:rPr>
          <w:rFonts w:hint="eastAsia"/>
          <w:lang w:val="en-US" w:eastAsia="zh-CN"/>
        </w:rPr>
        <w:t>中心的建设指南</w:t>
      </w:r>
      <w:r>
        <w:rPr>
          <w:rFonts w:hint="eastAsia" w:ascii="宋体" w:hAnsi="宋体" w:eastAsia="宋体" w:cs="宋体"/>
          <w:color w:val="000000"/>
          <w:kern w:val="0"/>
          <w:sz w:val="21"/>
          <w:szCs w:val="21"/>
          <w:lang w:val="en-US" w:eastAsia="zh-CN" w:bidi="ar"/>
        </w:rPr>
        <w:t>。</w:t>
      </w:r>
    </w:p>
    <w:p>
      <w:pPr>
        <w:pStyle w:val="233"/>
        <w:rPr>
          <w:rFonts w:hint="eastAsia"/>
          <w:szCs w:val="22"/>
        </w:rPr>
      </w:pPr>
      <w:bookmarkStart w:id="33" w:name="_Toc28384"/>
      <w:bookmarkStart w:id="34" w:name="_Toc33695133"/>
      <w:bookmarkStart w:id="35" w:name="_Toc33690061"/>
      <w:bookmarkStart w:id="36" w:name="_Toc33692461"/>
      <w:bookmarkStart w:id="37" w:name="_Toc33692325"/>
      <w:bookmarkStart w:id="38" w:name="_Toc33695448"/>
      <w:bookmarkStart w:id="39" w:name="_Toc33702971"/>
      <w:bookmarkStart w:id="40" w:name="_Toc33689447"/>
      <w:r>
        <w:rPr>
          <w:rFonts w:hint="eastAsia"/>
          <w:szCs w:val="22"/>
        </w:rPr>
        <w:t>规范性引用文件</w:t>
      </w:r>
      <w:bookmarkEnd w:id="33"/>
      <w:bookmarkEnd w:id="34"/>
      <w:bookmarkEnd w:id="35"/>
      <w:bookmarkEnd w:id="36"/>
      <w:bookmarkEnd w:id="37"/>
      <w:bookmarkEnd w:id="38"/>
      <w:bookmarkEnd w:id="39"/>
      <w:bookmarkEnd w:id="40"/>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下列文件对于本文件的应用是必不可少的。凡是注日期的引用文件，仅注日期的版本适用于本文件。</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ind w:left="0" w:leftChars="0" w:firstLine="0" w:firstLineChars="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凡是不注日期的引用文件，其最新版本（包括所有的修改单）适用于本文件。</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hAnsi="宋体" w:cs="宋体"/>
          <w:color w:val="000000"/>
          <w:kern w:val="0"/>
          <w:sz w:val="21"/>
          <w:szCs w:val="21"/>
          <w:highlight w:val="none"/>
          <w:lang w:val="en-US" w:eastAsia="zh-CN" w:bidi="ar"/>
        </w:rPr>
      </w:pPr>
      <w:r>
        <w:rPr>
          <w:rFonts w:hint="eastAsia" w:hAnsi="宋体" w:cs="宋体"/>
          <w:color w:val="000000"/>
          <w:kern w:val="0"/>
          <w:sz w:val="21"/>
          <w:szCs w:val="21"/>
          <w:highlight w:val="none"/>
          <w:lang w:val="en-US" w:eastAsia="zh-CN" w:bidi="ar"/>
        </w:rPr>
        <w:t>WS/T 313  医务人员手卫生规范</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default" w:hAnsi="宋体" w:cs="宋体"/>
          <w:color w:val="000000"/>
          <w:kern w:val="0"/>
          <w:sz w:val="21"/>
          <w:szCs w:val="21"/>
          <w:highlight w:val="none"/>
          <w:lang w:val="en-US" w:eastAsia="zh-CN" w:bidi="ar"/>
        </w:rPr>
      </w:pPr>
      <w:r>
        <w:rPr>
          <w:rFonts w:hint="eastAsia" w:hAnsi="宋体" w:cs="宋体"/>
          <w:color w:val="000000"/>
          <w:kern w:val="0"/>
          <w:sz w:val="21"/>
          <w:szCs w:val="21"/>
          <w:highlight w:val="none"/>
          <w:lang w:val="en-US" w:eastAsia="zh-CN" w:bidi="ar"/>
        </w:rPr>
        <w:t>WS/T 367  医疗机构消毒技术规范</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WS/T 390  医院急救科规范化流程</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hAnsi="宋体" w:cs="宋体"/>
          <w:color w:val="000000"/>
          <w:kern w:val="0"/>
          <w:sz w:val="21"/>
          <w:szCs w:val="21"/>
          <w:highlight w:val="none"/>
          <w:lang w:val="en-US" w:eastAsia="zh-CN" w:bidi="ar"/>
        </w:rPr>
      </w:pPr>
      <w:r>
        <w:rPr>
          <w:rFonts w:hint="eastAsia" w:hAnsi="宋体" w:cs="宋体"/>
          <w:color w:val="000000"/>
          <w:kern w:val="0"/>
          <w:sz w:val="21"/>
          <w:szCs w:val="21"/>
          <w:highlight w:val="none"/>
          <w:lang w:val="en-US" w:eastAsia="zh-CN" w:bidi="ar"/>
        </w:rPr>
        <w:t>WS/T 510  病区医院感染管理规范</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default" w:hAnsi="宋体" w:cs="宋体"/>
          <w:color w:val="000000"/>
          <w:kern w:val="0"/>
          <w:sz w:val="21"/>
          <w:szCs w:val="21"/>
          <w:highlight w:val="none"/>
          <w:lang w:val="en-US" w:eastAsia="zh-CN" w:bidi="ar"/>
        </w:rPr>
      </w:pPr>
      <w:r>
        <w:rPr>
          <w:rFonts w:hint="eastAsia" w:hAnsi="宋体" w:cs="宋体"/>
          <w:color w:val="000000"/>
          <w:kern w:val="0"/>
          <w:sz w:val="21"/>
          <w:szCs w:val="21"/>
          <w:highlight w:val="none"/>
          <w:lang w:val="en-US" w:eastAsia="zh-CN" w:bidi="ar"/>
        </w:rPr>
        <w:t>WS/T 512  医疗机构环境表面清洁与消毒管理规范</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GB 15630  消防安全标志设置要求</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default" w:ascii="宋体" w:hAnsi="宋体" w:eastAsia="宋体" w:cs="宋体"/>
          <w:color w:val="000000"/>
          <w:kern w:val="0"/>
          <w:sz w:val="21"/>
          <w:szCs w:val="21"/>
          <w:highlight w:val="none"/>
          <w:lang w:val="en-US" w:eastAsia="zh-CN" w:bidi="ar"/>
        </w:rPr>
      </w:pPr>
      <w:r>
        <w:rPr>
          <w:rFonts w:hint="eastAsia" w:hAnsi="宋体" w:cs="宋体"/>
          <w:color w:val="000000"/>
          <w:kern w:val="0"/>
          <w:sz w:val="21"/>
          <w:szCs w:val="21"/>
          <w:highlight w:val="none"/>
          <w:lang w:val="en-US" w:eastAsia="zh-CN" w:bidi="ar"/>
        </w:rPr>
        <w:t>GB 15982  医院消毒卫生标准</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GB 25201  建筑消防设施的维护管理</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GB 50140  建筑灭火器配置设计规范</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eastAsia" w:hAnsi="宋体" w:cs="宋体"/>
          <w:color w:val="000000"/>
          <w:kern w:val="0"/>
          <w:sz w:val="21"/>
          <w:szCs w:val="21"/>
          <w:highlight w:val="none"/>
          <w:lang w:val="en-US" w:eastAsia="zh-CN" w:bidi="ar"/>
        </w:rPr>
      </w:pPr>
      <w:r>
        <w:rPr>
          <w:rFonts w:hint="eastAsia" w:hAnsi="宋体" w:cs="宋体"/>
          <w:color w:val="000000"/>
          <w:kern w:val="0"/>
          <w:sz w:val="21"/>
          <w:szCs w:val="21"/>
          <w:highlight w:val="none"/>
          <w:lang w:val="en-US" w:eastAsia="zh-CN" w:bidi="ar"/>
        </w:rPr>
        <w:t>GB 50333  医院洁净手术部建筑技术规范</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textAlignment w:val="auto"/>
        <w:rPr>
          <w:rFonts w:hint="default" w:hAnsi="宋体" w:cs="宋体"/>
          <w:color w:val="000000"/>
          <w:kern w:val="0"/>
          <w:sz w:val="21"/>
          <w:szCs w:val="21"/>
          <w:highlight w:val="none"/>
          <w:lang w:val="en-US" w:eastAsia="zh-CN" w:bidi="ar"/>
        </w:rPr>
      </w:pPr>
      <w:r>
        <w:rPr>
          <w:rFonts w:hint="default" w:hAnsi="宋体" w:cs="宋体"/>
          <w:color w:val="000000"/>
          <w:kern w:val="0"/>
          <w:sz w:val="21"/>
          <w:szCs w:val="21"/>
          <w:highlight w:val="none"/>
          <w:lang w:val="en-US" w:eastAsia="zh-CN" w:bidi="ar"/>
        </w:rPr>
        <w:t>中华人民共和国国务院令（第380号）</w:t>
      </w:r>
      <w:r>
        <w:rPr>
          <w:rFonts w:hint="eastAsia" w:hAnsi="宋体" w:cs="宋体"/>
          <w:color w:val="000000"/>
          <w:kern w:val="0"/>
          <w:sz w:val="21"/>
          <w:szCs w:val="21"/>
          <w:highlight w:val="none"/>
          <w:lang w:val="en-US" w:eastAsia="zh-CN" w:bidi="ar"/>
        </w:rPr>
        <w:t xml:space="preserve"> </w:t>
      </w:r>
      <w:r>
        <w:rPr>
          <w:rFonts w:hint="default" w:hAnsi="宋体" w:cs="宋体"/>
          <w:color w:val="000000"/>
          <w:kern w:val="0"/>
          <w:sz w:val="21"/>
          <w:szCs w:val="21"/>
          <w:highlight w:val="none"/>
          <w:lang w:val="en-US" w:eastAsia="zh-CN" w:bidi="ar"/>
        </w:rPr>
        <w:t>医疗废物管理条例</w:t>
      </w:r>
    </w:p>
    <w:p>
      <w:pPr>
        <w:pStyle w:val="233"/>
        <w:rPr>
          <w:rFonts w:hint="eastAsia"/>
          <w:szCs w:val="22"/>
        </w:rPr>
      </w:pPr>
      <w:bookmarkStart w:id="41" w:name="_Toc33695134"/>
      <w:bookmarkStart w:id="42" w:name="_Toc21650"/>
      <w:bookmarkStart w:id="43" w:name="_Toc33689448"/>
      <w:bookmarkStart w:id="44" w:name="_Toc33692462"/>
      <w:bookmarkStart w:id="45" w:name="_Toc33690062"/>
      <w:bookmarkStart w:id="46" w:name="_Toc33692326"/>
      <w:bookmarkStart w:id="47" w:name="_Toc33702972"/>
      <w:bookmarkStart w:id="48" w:name="_Toc33695449"/>
      <w:r>
        <w:rPr>
          <w:rFonts w:hint="eastAsia"/>
          <w:szCs w:val="22"/>
        </w:rPr>
        <w:t>术语和定义</w:t>
      </w:r>
      <w:bookmarkEnd w:id="41"/>
      <w:bookmarkEnd w:id="42"/>
      <w:bookmarkEnd w:id="43"/>
      <w:bookmarkEnd w:id="44"/>
      <w:bookmarkEnd w:id="45"/>
      <w:bookmarkEnd w:id="46"/>
      <w:bookmarkEnd w:id="47"/>
      <w:bookmarkEnd w:id="48"/>
    </w:p>
    <w:sdt>
      <w:sdtPr>
        <w:id w:val="-1909835108"/>
        <w:placeholder>
          <w:docPart w:val="FCAD93C867E5475BBD85D834104E5B6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keepNext w:val="0"/>
            <w:keepLines w:val="0"/>
            <w:pageBreakBefore w:val="0"/>
            <w:widowControl/>
            <w:kinsoku/>
            <w:wordWrap/>
            <w:overflowPunct/>
            <w:topLinePunct w:val="0"/>
            <w:autoSpaceDE w:val="0"/>
            <w:autoSpaceDN w:val="0"/>
            <w:bidi w:val="0"/>
            <w:adjustRightInd/>
            <w:snapToGrid/>
            <w:spacing w:before="79" w:beforeLines="25" w:afterAutospacing="0"/>
            <w:ind w:firstLine="420"/>
            <w:textAlignment w:val="auto"/>
          </w:pPr>
          <w:r>
            <w:rPr>
              <w:rFonts w:hint="eastAsia" w:hAnsi="宋体" w:cs="宋体"/>
              <w:color w:val="000000"/>
              <w:kern w:val="0"/>
              <w:sz w:val="21"/>
              <w:szCs w:val="21"/>
              <w:lang w:val="en-US" w:eastAsia="zh-CN" w:bidi="ar"/>
            </w:rPr>
            <w:t>WS/T 313、WS/T 367、</w:t>
          </w:r>
          <w:r>
            <w:rPr>
              <w:rFonts w:hint="eastAsia" w:ascii="宋体" w:hAnsi="宋体" w:eastAsia="宋体" w:cs="宋体"/>
              <w:color w:val="000000"/>
              <w:kern w:val="0"/>
              <w:sz w:val="21"/>
              <w:szCs w:val="21"/>
              <w:lang w:val="en-US" w:eastAsia="zh-CN" w:bidi="ar"/>
            </w:rPr>
            <w:t>WS/T 390</w:t>
          </w:r>
          <w:r>
            <w:rPr>
              <w:rFonts w:hint="eastAsia" w:hAnsi="宋体" w:cs="宋体"/>
              <w:color w:val="000000"/>
              <w:kern w:val="0"/>
              <w:sz w:val="21"/>
              <w:szCs w:val="21"/>
              <w:lang w:val="en-US" w:eastAsia="zh-CN" w:bidi="ar"/>
            </w:rPr>
            <w:t>、WS/T 510、WS/T 512、</w:t>
          </w:r>
          <w:r>
            <w:rPr>
              <w:rFonts w:hint="eastAsia" w:ascii="宋体" w:hAnsi="宋体" w:eastAsia="宋体" w:cs="宋体"/>
              <w:color w:val="000000"/>
              <w:kern w:val="0"/>
              <w:sz w:val="21"/>
              <w:szCs w:val="21"/>
              <w:lang w:val="en-US" w:eastAsia="zh-CN" w:bidi="ar"/>
            </w:rPr>
            <w:t>GB 15630</w:t>
          </w:r>
          <w:r>
            <w:rPr>
              <w:rFonts w:hint="eastAsia" w:hAnsi="宋体" w:cs="宋体"/>
              <w:color w:val="000000"/>
              <w:kern w:val="0"/>
              <w:sz w:val="21"/>
              <w:szCs w:val="21"/>
              <w:lang w:val="en-US" w:eastAsia="zh-CN" w:bidi="ar"/>
            </w:rPr>
            <w:t>、GB 15982、</w:t>
          </w:r>
          <w:r>
            <w:rPr>
              <w:rFonts w:hint="eastAsia" w:ascii="宋体" w:hAnsi="宋体" w:eastAsia="宋体" w:cs="宋体"/>
              <w:color w:val="000000"/>
              <w:kern w:val="0"/>
              <w:sz w:val="21"/>
              <w:szCs w:val="21"/>
              <w:lang w:val="en-US" w:eastAsia="zh-CN" w:bidi="ar"/>
            </w:rPr>
            <w:t>GB 25201</w:t>
          </w:r>
          <w:r>
            <w:rPr>
              <w:rFonts w:hint="eastAsia"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GB 50140</w:t>
          </w:r>
          <w:r>
            <w:rPr>
              <w:rFonts w:hint="eastAsia" w:hAnsi="宋体" w:cs="宋体"/>
              <w:color w:val="000000"/>
              <w:kern w:val="0"/>
              <w:sz w:val="21"/>
              <w:szCs w:val="21"/>
              <w:lang w:val="en-US" w:eastAsia="zh-CN" w:bidi="ar"/>
            </w:rPr>
            <w:t xml:space="preserve">、GB 50333等 </w:t>
          </w:r>
          <w:r>
            <w:rPr>
              <w:rFonts w:ascii="宋体" w:hAnsi="Times New Roman" w:eastAsia="宋体" w:cs="Times New Roman"/>
              <w:sz w:val="21"/>
              <w:lang w:val="en-US" w:eastAsia="zh-CN" w:bidi="ar-SA"/>
            </w:rPr>
            <w:t>界定的以及下列术语和定义适用于本文件。</w:t>
          </w:r>
        </w:p>
      </w:sdtContent>
    </w:sdt>
    <w:p>
      <w:pPr>
        <w:pStyle w:val="234"/>
        <w:keepNext w:val="0"/>
        <w:keepLines w:val="0"/>
        <w:pageBreakBefore w:val="0"/>
        <w:widowControl/>
        <w:kinsoku/>
        <w:wordWrap/>
        <w:overflowPunct/>
        <w:topLinePunct w:val="0"/>
        <w:autoSpaceDE/>
        <w:autoSpaceDN/>
        <w:bidi w:val="0"/>
        <w:adjustRightInd/>
        <w:snapToGrid/>
        <w:spacing w:before="159" w:beforeLines="50" w:beforeAutospacing="0" w:after="79" w:afterLines="25" w:afterAutospacing="0" w:line="240" w:lineRule="auto"/>
        <w:textAlignment w:val="auto"/>
        <w:rPr>
          <w:rFonts w:hint="eastAsia"/>
        </w:rPr>
      </w:pPr>
      <w:bookmarkStart w:id="49" w:name="_Toc7374"/>
    </w:p>
    <w:p>
      <w:pPr>
        <w:pStyle w:val="13"/>
        <w:keepNext w:val="0"/>
        <w:keepLines w:val="0"/>
        <w:pageBreakBefore w:val="0"/>
        <w:widowControl w:val="0"/>
        <w:kinsoku/>
        <w:wordWrap/>
        <w:overflowPunct/>
        <w:topLinePunct w:val="0"/>
        <w:autoSpaceDE/>
        <w:autoSpaceDN/>
        <w:bidi w:val="0"/>
        <w:adjustRightInd w:val="0"/>
        <w:snapToGrid/>
        <w:spacing w:beforeAutospacing="0" w:after="79" w:afterLines="25" w:line="240" w:lineRule="auto"/>
        <w:ind w:firstLine="420" w:firstLineChars="200"/>
        <w:textAlignment w:val="auto"/>
        <w:rPr>
          <w:rFonts w:hint="default" w:ascii="黑体" w:eastAsia="黑体"/>
          <w:lang w:val="en-US" w:eastAsia="zh-CN"/>
        </w:rPr>
      </w:pPr>
      <w:r>
        <w:rPr>
          <w:rFonts w:hint="eastAsia" w:ascii="黑体" w:eastAsia="黑体"/>
          <w:lang w:val="en-US" w:eastAsia="zh-CN"/>
        </w:rPr>
        <w:t>洁净手术部  clean operating department</w:t>
      </w:r>
    </w:p>
    <w:p>
      <w:pPr>
        <w:pStyle w:val="1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ind w:firstLine="420" w:firstLineChars="200"/>
        <w:textAlignment w:val="auto"/>
        <w:rPr>
          <w:rFonts w:hint="eastAsia" w:ascii="黑体" w:eastAsia="宋体"/>
          <w:lang w:eastAsia="zh-CN"/>
        </w:rPr>
      </w:pPr>
      <w:r>
        <w:rPr>
          <w:rFonts w:hint="eastAsia" w:ascii="宋体" w:hAnsi="宋体" w:cs="宋体"/>
          <w:color w:val="000000"/>
          <w:kern w:val="0"/>
          <w:sz w:val="21"/>
          <w:szCs w:val="21"/>
          <w:lang w:val="en-US" w:eastAsia="zh-CN" w:bidi="ar"/>
        </w:rPr>
        <w:t>由洁净手术间、洁净辅助用房和非洁净辅助用房等部分或全部组成的独立的功能区域。</w:t>
      </w:r>
    </w:p>
    <w:p>
      <w:pPr>
        <w:pStyle w:val="234"/>
        <w:keepNext w:val="0"/>
        <w:keepLines w:val="0"/>
        <w:pageBreakBefore w:val="0"/>
        <w:kinsoku/>
        <w:wordWrap/>
        <w:overflowPunct/>
        <w:topLinePunct w:val="0"/>
        <w:autoSpaceDE/>
        <w:autoSpaceDN/>
        <w:bidi w:val="0"/>
        <w:snapToGrid/>
        <w:spacing w:before="79" w:beforeLines="25" w:after="79" w:afterLines="25" w:line="240" w:lineRule="auto"/>
        <w:textAlignment w:val="auto"/>
        <w:rPr>
          <w:rFonts w:hint="eastAsia"/>
        </w:rPr>
      </w:pPr>
      <w:r>
        <w:rPr>
          <w:rFonts w:hint="eastAsia"/>
          <w:lang w:val="en-US" w:eastAsia="zh-CN"/>
        </w:rPr>
        <w:t xml:space="preserve"> </w:t>
      </w:r>
    </w:p>
    <w:p>
      <w:pPr>
        <w:pStyle w:val="13"/>
        <w:keepNext w:val="0"/>
        <w:keepLines w:val="0"/>
        <w:pageBreakBefore w:val="0"/>
        <w:widowControl w:val="0"/>
        <w:kinsoku/>
        <w:wordWrap/>
        <w:overflowPunct/>
        <w:topLinePunct w:val="0"/>
        <w:autoSpaceDE/>
        <w:autoSpaceDN/>
        <w:bidi w:val="0"/>
        <w:adjustRightInd w:val="0"/>
        <w:snapToGrid/>
        <w:spacing w:before="79" w:beforeLines="25" w:after="79" w:afterLines="25" w:afterAutospacing="0" w:line="240" w:lineRule="auto"/>
        <w:ind w:firstLine="420" w:firstLineChars="200"/>
        <w:textAlignment w:val="auto"/>
        <w:rPr>
          <w:rFonts w:hint="default" w:ascii="黑体" w:eastAsia="黑体"/>
          <w:lang w:val="en-US" w:eastAsia="zh-CN"/>
        </w:rPr>
      </w:pPr>
      <w:r>
        <w:rPr>
          <w:rFonts w:hint="eastAsia" w:ascii="黑体" w:eastAsia="黑体"/>
          <w:lang w:val="en-US" w:eastAsia="zh-CN"/>
        </w:rPr>
        <w:t>洁净辅助用房  clean supporting space</w:t>
      </w:r>
    </w:p>
    <w:p>
      <w:pPr>
        <w:pStyle w:val="234"/>
        <w:keepNext w:val="0"/>
        <w:keepLines w:val="0"/>
        <w:pageBreakBefore w:val="0"/>
        <w:widowControl/>
        <w:numPr>
          <w:ilvl w:val="0"/>
          <w:numId w:val="0"/>
        </w:numPr>
        <w:kinsoku/>
        <w:wordWrap/>
        <w:overflowPunct/>
        <w:topLinePunct w:val="0"/>
        <w:autoSpaceDE/>
        <w:autoSpaceDN/>
        <w:bidi w:val="0"/>
        <w:adjustRightInd/>
        <w:snapToGrid/>
        <w:spacing w:before="79" w:beforeLines="25" w:beforeAutospacing="0" w:after="79" w:afterLines="25" w:afterAutospacing="0" w:line="240" w:lineRule="auto"/>
        <w:ind w:leftChars="0"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对空气清净度有要求的非手术室的</w:t>
      </w:r>
      <w:r>
        <w:rPr>
          <w:rFonts w:hint="eastAsia" w:hAnsi="宋体" w:cs="宋体"/>
          <w:color w:val="000000"/>
          <w:kern w:val="0"/>
          <w:sz w:val="21"/>
          <w:szCs w:val="21"/>
          <w:lang w:val="en-US" w:eastAsia="zh-CN" w:bidi="ar"/>
        </w:rPr>
        <w:t>房间</w:t>
      </w:r>
      <w:r>
        <w:rPr>
          <w:rFonts w:hint="eastAsia" w:ascii="宋体" w:hAnsi="宋体" w:eastAsia="宋体" w:cs="宋体"/>
          <w:color w:val="000000"/>
          <w:kern w:val="0"/>
          <w:sz w:val="21"/>
          <w:szCs w:val="21"/>
          <w:lang w:val="en-US" w:eastAsia="zh-CN" w:bidi="ar"/>
        </w:rPr>
        <w:t xml:space="preserve">。 </w:t>
      </w:r>
    </w:p>
    <w:p>
      <w:pPr>
        <w:pStyle w:val="234"/>
        <w:keepNext w:val="0"/>
        <w:keepLines w:val="0"/>
        <w:pageBreakBefore w:val="0"/>
        <w:kinsoku/>
        <w:wordWrap/>
        <w:overflowPunct/>
        <w:topLinePunct w:val="0"/>
        <w:autoSpaceDE/>
        <w:autoSpaceDN/>
        <w:bidi w:val="0"/>
        <w:snapToGrid/>
        <w:spacing w:before="79" w:beforeLines="25" w:beforeAutospacing="0" w:after="79" w:afterLines="25" w:line="240" w:lineRule="auto"/>
        <w:textAlignment w:val="auto"/>
        <w:rPr>
          <w:rFonts w:hint="eastAsia"/>
        </w:rPr>
      </w:pPr>
      <w:r>
        <w:rPr>
          <w:rFonts w:hint="eastAsia"/>
          <w:lang w:val="en-US" w:eastAsia="zh-CN"/>
        </w:rPr>
        <w:t xml:space="preserve">  </w:t>
      </w:r>
    </w:p>
    <w:p>
      <w:pPr>
        <w:pStyle w:val="1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ind w:firstLine="420" w:firstLineChars="200"/>
        <w:textAlignment w:val="auto"/>
        <w:rPr>
          <w:rFonts w:hint="eastAsia" w:ascii="黑体" w:eastAsia="黑体"/>
        </w:rPr>
      </w:pPr>
      <w:r>
        <w:rPr>
          <w:rFonts w:hint="eastAsia" w:ascii="黑体" w:eastAsia="黑体"/>
        </w:rPr>
        <w:t>非洁净辅助用房</w:t>
      </w:r>
      <w:r>
        <w:rPr>
          <w:rFonts w:hint="eastAsia" w:ascii="黑体" w:eastAsia="黑体"/>
          <w:lang w:val="en-US" w:eastAsia="zh-CN"/>
        </w:rPr>
        <w:t xml:space="preserve">  </w:t>
      </w:r>
      <w:r>
        <w:rPr>
          <w:rFonts w:hint="eastAsia" w:ascii="黑体" w:eastAsia="黑体"/>
        </w:rPr>
        <w:t>non-clean supporting space</w:t>
      </w:r>
    </w:p>
    <w:p>
      <w:pPr>
        <w:pStyle w:val="1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ind w:firstLine="420" w:firstLineChars="200"/>
        <w:textAlignment w:val="auto"/>
        <w:rPr>
          <w:rFonts w:hint="default" w:eastAsia="宋体"/>
          <w:lang w:val="en-US" w:eastAsia="zh-CN"/>
        </w:rPr>
      </w:pPr>
      <w:r>
        <w:rPr>
          <w:rFonts w:hint="eastAsia" w:ascii="宋体" w:hAnsi="宋体" w:eastAsia="宋体" w:cs="宋体"/>
          <w:color w:val="000000"/>
          <w:kern w:val="0"/>
          <w:sz w:val="21"/>
          <w:szCs w:val="21"/>
          <w:lang w:val="en-US" w:eastAsia="zh-CN" w:bidi="ar"/>
        </w:rPr>
        <w:t>对空气洁净度无要求的非手术室的</w:t>
      </w:r>
      <w:r>
        <w:rPr>
          <w:rFonts w:hint="eastAsia" w:ascii="宋体" w:hAnsi="宋体" w:cs="宋体"/>
          <w:color w:val="000000"/>
          <w:kern w:val="0"/>
          <w:sz w:val="21"/>
          <w:szCs w:val="21"/>
          <w:lang w:val="en-US" w:eastAsia="zh-CN" w:bidi="ar"/>
        </w:rPr>
        <w:t>房间</w:t>
      </w:r>
      <w:r>
        <w:rPr>
          <w:rFonts w:hint="eastAsia" w:ascii="宋体" w:hAnsi="宋体" w:eastAsia="宋体" w:cs="宋体"/>
          <w:color w:val="000000"/>
          <w:kern w:val="0"/>
          <w:sz w:val="21"/>
          <w:szCs w:val="21"/>
          <w:lang w:val="en-US" w:eastAsia="zh-CN" w:bidi="ar"/>
        </w:rPr>
        <w:t>。</w:t>
      </w:r>
    </w:p>
    <w:p>
      <w:pPr>
        <w:pStyle w:val="234"/>
        <w:keepNext w:val="0"/>
        <w:keepLines w:val="0"/>
        <w:pageBreakBefore w:val="0"/>
        <w:kinsoku/>
        <w:wordWrap/>
        <w:overflowPunct/>
        <w:topLinePunct w:val="0"/>
        <w:autoSpaceDE/>
        <w:autoSpaceDN/>
        <w:bidi w:val="0"/>
        <w:snapToGrid/>
        <w:spacing w:before="79" w:beforeLines="25" w:after="79" w:afterLines="25" w:afterAutospacing="0" w:line="240" w:lineRule="auto"/>
        <w:textAlignment w:val="auto"/>
        <w:rPr>
          <w:rFonts w:hint="eastAsia"/>
        </w:rPr>
      </w:pPr>
    </w:p>
    <w:p>
      <w:pPr>
        <w:pStyle w:val="13"/>
        <w:keepNext w:val="0"/>
        <w:keepLines w:val="0"/>
        <w:pageBreakBefore w:val="0"/>
        <w:kinsoku/>
        <w:wordWrap/>
        <w:overflowPunct/>
        <w:topLinePunct w:val="0"/>
        <w:autoSpaceDE/>
        <w:autoSpaceDN/>
        <w:bidi w:val="0"/>
        <w:snapToGrid/>
        <w:spacing w:before="79" w:beforeLines="25" w:beforeAutospacing="0" w:after="79" w:afterLines="25" w:line="240" w:lineRule="auto"/>
        <w:ind w:firstLine="420" w:firstLineChars="200"/>
        <w:textAlignment w:val="auto"/>
        <w:rPr>
          <w:rFonts w:hint="eastAsia" w:ascii="黑体" w:eastAsia="黑体"/>
          <w:lang w:eastAsia="zh-CN"/>
        </w:rPr>
      </w:pPr>
      <w:r>
        <w:rPr>
          <w:rFonts w:hint="eastAsia" w:ascii="黑体" w:eastAsia="黑体"/>
        </w:rPr>
        <w:t>洁净区</w:t>
      </w:r>
      <w:r>
        <w:rPr>
          <w:rFonts w:hint="eastAsia" w:ascii="黑体" w:eastAsia="黑体"/>
          <w:lang w:val="en-US" w:eastAsia="zh-CN"/>
        </w:rPr>
        <w:t xml:space="preserve">  </w:t>
      </w:r>
      <w:r>
        <w:rPr>
          <w:rFonts w:hint="eastAsia" w:ascii="黑体" w:eastAsia="黑体"/>
        </w:rPr>
        <w:t xml:space="preserve">clean </w:t>
      </w:r>
      <w:r>
        <w:rPr>
          <w:rFonts w:hint="eastAsia" w:ascii="黑体" w:eastAsia="黑体"/>
          <w:lang w:val="en-US" w:eastAsia="zh-CN"/>
        </w:rPr>
        <w:t>area</w:t>
      </w:r>
    </w:p>
    <w:p>
      <w:pPr>
        <w:pStyle w:val="13"/>
        <w:keepNext w:val="0"/>
        <w:keepLines w:val="0"/>
        <w:pageBreakBefore w:val="0"/>
        <w:kinsoku/>
        <w:wordWrap/>
        <w:overflowPunct/>
        <w:topLinePunct w:val="0"/>
        <w:autoSpaceDE/>
        <w:autoSpaceDN/>
        <w:bidi w:val="0"/>
        <w:snapToGrid/>
        <w:spacing w:before="79" w:beforeLines="25" w:after="79" w:afterLines="25" w:line="240" w:lineRule="auto"/>
        <w:ind w:firstLine="420" w:firstLineChars="200"/>
        <w:textAlignment w:val="auto"/>
      </w:pPr>
      <w:r>
        <w:rPr>
          <w:rFonts w:hint="eastAsia" w:ascii="宋体" w:hAnsi="宋体" w:eastAsia="宋体" w:cs="宋体"/>
          <w:color w:val="000000"/>
          <w:kern w:val="0"/>
          <w:sz w:val="21"/>
          <w:szCs w:val="21"/>
          <w:lang w:val="en-US" w:eastAsia="zh-CN" w:bidi="ar"/>
        </w:rPr>
        <w:t>凡有</w:t>
      </w:r>
      <w:r>
        <w:rPr>
          <w:rFonts w:hint="eastAsia" w:ascii="宋体" w:hAnsi="宋体" w:cs="宋体"/>
          <w:color w:val="000000"/>
          <w:kern w:val="0"/>
          <w:sz w:val="21"/>
          <w:szCs w:val="21"/>
          <w:lang w:val="en-US" w:eastAsia="zh-CN" w:bidi="ar"/>
        </w:rPr>
        <w:t>Ⅳ</w:t>
      </w:r>
      <w:r>
        <w:rPr>
          <w:rFonts w:hint="eastAsia" w:ascii="宋体" w:hAnsi="宋体" w:eastAsia="宋体" w:cs="宋体"/>
          <w:color w:val="000000"/>
          <w:kern w:val="0"/>
          <w:sz w:val="21"/>
          <w:szCs w:val="21"/>
          <w:lang w:val="en-US" w:eastAsia="zh-CN" w:bidi="ar"/>
        </w:rPr>
        <w:t>级及以上洁净度要求的区域均为洁净区。</w:t>
      </w:r>
    </w:p>
    <w:p>
      <w:pPr>
        <w:pStyle w:val="234"/>
        <w:keepNext w:val="0"/>
        <w:keepLines w:val="0"/>
        <w:pageBreakBefore w:val="0"/>
        <w:kinsoku/>
        <w:wordWrap/>
        <w:overflowPunct/>
        <w:topLinePunct w:val="0"/>
        <w:autoSpaceDE/>
        <w:autoSpaceDN/>
        <w:bidi w:val="0"/>
        <w:snapToGrid/>
        <w:spacing w:before="79" w:beforeLines="25" w:after="79" w:afterLines="25" w:afterAutospacing="0" w:line="240" w:lineRule="auto"/>
        <w:textAlignment w:val="auto"/>
        <w:rPr>
          <w:rFonts w:hint="eastAsia"/>
        </w:rPr>
      </w:pPr>
    </w:p>
    <w:p>
      <w:pPr>
        <w:pStyle w:val="13"/>
        <w:keepNext w:val="0"/>
        <w:keepLines w:val="0"/>
        <w:pageBreakBefore w:val="0"/>
        <w:kinsoku/>
        <w:wordWrap/>
        <w:overflowPunct/>
        <w:topLinePunct w:val="0"/>
        <w:autoSpaceDE/>
        <w:autoSpaceDN/>
        <w:bidi w:val="0"/>
        <w:snapToGrid/>
        <w:spacing w:before="79" w:beforeLines="25" w:beforeAutospacing="0" w:after="79" w:afterLines="25" w:line="240" w:lineRule="auto"/>
        <w:ind w:firstLine="420" w:firstLineChars="200"/>
        <w:textAlignment w:val="auto"/>
        <w:rPr>
          <w:rFonts w:hint="eastAsia" w:ascii="黑体" w:eastAsia="黑体"/>
          <w:lang w:val="en-US" w:eastAsia="zh-CN"/>
        </w:rPr>
      </w:pPr>
      <w:r>
        <w:rPr>
          <w:rFonts w:hint="eastAsia" w:ascii="黑体" w:eastAsia="黑体"/>
          <w:lang w:val="en-US" w:eastAsia="zh-CN"/>
        </w:rPr>
        <w:t>限制区  restricted area</w:t>
      </w:r>
    </w:p>
    <w:p>
      <w:pPr>
        <w:pStyle w:val="13"/>
        <w:keepNext w:val="0"/>
        <w:keepLines w:val="0"/>
        <w:pageBreakBefore w:val="0"/>
        <w:kinsoku/>
        <w:wordWrap/>
        <w:overflowPunct/>
        <w:topLinePunct w:val="0"/>
        <w:autoSpaceDE/>
        <w:autoSpaceDN/>
        <w:bidi w:val="0"/>
        <w:snapToGrid/>
        <w:spacing w:before="79" w:beforeLines="25" w:after="79" w:afterLines="25" w:line="24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设在手术</w:t>
      </w:r>
      <w:r>
        <w:rPr>
          <w:rFonts w:hint="eastAsia" w:ascii="宋体" w:hAnsi="宋体" w:cs="宋体"/>
          <w:color w:val="000000"/>
          <w:kern w:val="0"/>
          <w:sz w:val="21"/>
          <w:szCs w:val="21"/>
          <w:lang w:val="en-US" w:eastAsia="zh-CN" w:bidi="ar"/>
        </w:rPr>
        <w:t>室</w:t>
      </w: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区</w:t>
      </w:r>
      <w:r>
        <w:rPr>
          <w:rFonts w:hint="eastAsia" w:ascii="宋体" w:hAnsi="宋体" w:eastAsia="宋体" w:cs="宋体"/>
          <w:color w:val="000000"/>
          <w:kern w:val="0"/>
          <w:sz w:val="21"/>
          <w:szCs w:val="21"/>
          <w:lang w:val="en-US" w:eastAsia="zh-CN" w:bidi="ar"/>
        </w:rPr>
        <w:t>）内侧，包括手术间、刷手</w:t>
      </w:r>
      <w:r>
        <w:rPr>
          <w:rFonts w:hint="eastAsia" w:ascii="宋体" w:hAnsi="宋体" w:cs="宋体"/>
          <w:color w:val="000000"/>
          <w:kern w:val="0"/>
          <w:sz w:val="21"/>
          <w:szCs w:val="21"/>
          <w:lang w:val="en-US" w:eastAsia="zh-CN" w:bidi="ar"/>
        </w:rPr>
        <w:t>间</w:t>
      </w:r>
      <w:r>
        <w:rPr>
          <w:rFonts w:hint="eastAsia" w:ascii="宋体" w:hAnsi="宋体" w:eastAsia="宋体" w:cs="宋体"/>
          <w:color w:val="000000"/>
          <w:kern w:val="0"/>
          <w:sz w:val="21"/>
          <w:szCs w:val="21"/>
          <w:lang w:val="en-US" w:eastAsia="zh-CN" w:bidi="ar"/>
        </w:rPr>
        <w:t>（区）、无菌物品存放室等。</w:t>
      </w:r>
    </w:p>
    <w:p>
      <w:pPr>
        <w:pStyle w:val="234"/>
        <w:keepNext w:val="0"/>
        <w:keepLines w:val="0"/>
        <w:pageBreakBefore w:val="0"/>
        <w:kinsoku/>
        <w:wordWrap/>
        <w:overflowPunct/>
        <w:topLinePunct w:val="0"/>
        <w:autoSpaceDE/>
        <w:autoSpaceDN/>
        <w:bidi w:val="0"/>
        <w:snapToGrid/>
        <w:spacing w:before="79" w:beforeLines="25" w:after="79" w:afterLines="25" w:line="240" w:lineRule="auto"/>
        <w:textAlignment w:val="auto"/>
        <w:rPr>
          <w:rFonts w:hint="eastAsia" w:ascii="黑体" w:eastAsia="黑体"/>
          <w:lang w:val="en-US" w:eastAsia="zh-CN"/>
        </w:rPr>
      </w:pPr>
    </w:p>
    <w:p>
      <w:pPr>
        <w:pStyle w:val="234"/>
        <w:keepNext w:val="0"/>
        <w:keepLines w:val="0"/>
        <w:pageBreakBefore w:val="0"/>
        <w:numPr>
          <w:ilvl w:val="0"/>
          <w:numId w:val="0"/>
        </w:numPr>
        <w:kinsoku/>
        <w:wordWrap/>
        <w:overflowPunct/>
        <w:topLinePunct w:val="0"/>
        <w:autoSpaceDE/>
        <w:autoSpaceDN/>
        <w:bidi w:val="0"/>
        <w:snapToGrid/>
        <w:spacing w:before="79" w:beforeLines="25" w:after="79" w:afterLines="25" w:line="240" w:lineRule="auto"/>
        <w:ind w:leftChars="0" w:firstLine="420" w:firstLineChars="200"/>
        <w:textAlignment w:val="auto"/>
        <w:rPr>
          <w:rFonts w:hint="eastAsia" w:ascii="黑体" w:eastAsia="黑体"/>
          <w:lang w:val="en-US" w:eastAsia="zh-CN"/>
        </w:rPr>
      </w:pPr>
      <w:r>
        <w:rPr>
          <w:rFonts w:hint="eastAsia" w:ascii="黑体" w:eastAsia="黑体"/>
          <w:lang w:val="en-US" w:eastAsia="zh-CN"/>
        </w:rPr>
        <w:t>围手术期护理  perioperative nursing</w:t>
      </w:r>
    </w:p>
    <w:p>
      <w:pPr>
        <w:pStyle w:val="13"/>
        <w:keepNext w:val="0"/>
        <w:keepLines w:val="0"/>
        <w:pageBreakBefore w:val="0"/>
        <w:kinsoku/>
        <w:wordWrap/>
        <w:overflowPunct/>
        <w:topLinePunct w:val="0"/>
        <w:autoSpaceDE/>
        <w:autoSpaceDN/>
        <w:bidi w:val="0"/>
        <w:snapToGrid/>
        <w:spacing w:before="79" w:beforeLines="25" w:after="79" w:afterLines="25" w:line="24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用来描述在</w:t>
      </w:r>
      <w:r>
        <w:rPr>
          <w:rFonts w:hint="eastAsia" w:ascii="宋体" w:hAnsi="宋体" w:cs="宋体"/>
          <w:color w:val="000000"/>
          <w:kern w:val="0"/>
          <w:sz w:val="21"/>
          <w:szCs w:val="21"/>
          <w:lang w:val="en-US" w:eastAsia="zh-CN" w:bidi="ar"/>
        </w:rPr>
        <w:t>围手术期</w:t>
      </w:r>
      <w:r>
        <w:rPr>
          <w:rFonts w:hint="eastAsia" w:ascii="宋体" w:hAnsi="宋体" w:eastAsia="宋体" w:cs="宋体"/>
          <w:color w:val="000000"/>
          <w:kern w:val="0"/>
          <w:sz w:val="21"/>
          <w:szCs w:val="21"/>
          <w:lang w:val="en-US" w:eastAsia="zh-CN" w:bidi="ar"/>
        </w:rPr>
        <w:t>中护理工作的目的和范围，也就是护理人员运用所学的知识与技能，针对患者</w:t>
      </w:r>
    </w:p>
    <w:p>
      <w:pPr>
        <w:pStyle w:val="13"/>
        <w:keepNext w:val="0"/>
        <w:keepLines w:val="0"/>
        <w:pageBreakBefore w:val="0"/>
        <w:kinsoku/>
        <w:wordWrap/>
        <w:overflowPunct/>
        <w:topLinePunct w:val="0"/>
        <w:autoSpaceDE/>
        <w:autoSpaceDN/>
        <w:bidi w:val="0"/>
        <w:snapToGrid/>
        <w:spacing w:before="79" w:beforeLines="25" w:after="79" w:afterLines="25" w:line="240" w:lineRule="auto"/>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存在的健康问题和需要，</w:t>
      </w:r>
      <w:r>
        <w:rPr>
          <w:rFonts w:hint="eastAsia" w:ascii="宋体" w:hAnsi="宋体" w:cs="宋体"/>
          <w:color w:val="000000"/>
          <w:kern w:val="0"/>
          <w:sz w:val="21"/>
          <w:szCs w:val="21"/>
          <w:lang w:val="en-US" w:eastAsia="zh-CN" w:bidi="ar"/>
        </w:rPr>
        <w:t>在</w:t>
      </w:r>
      <w:r>
        <w:rPr>
          <w:rFonts w:hint="eastAsia" w:ascii="宋体" w:hAnsi="宋体" w:eastAsia="宋体" w:cs="宋体"/>
          <w:color w:val="000000"/>
          <w:kern w:val="0"/>
          <w:sz w:val="21"/>
          <w:szCs w:val="21"/>
          <w:lang w:val="en-US" w:eastAsia="zh-CN" w:bidi="ar"/>
        </w:rPr>
        <w:t>患者手术</w:t>
      </w:r>
      <w:r>
        <w:rPr>
          <w:rFonts w:hint="eastAsia" w:ascii="宋体" w:hAnsi="宋体" w:cs="宋体"/>
          <w:color w:val="000000"/>
          <w:kern w:val="0"/>
          <w:sz w:val="21"/>
          <w:szCs w:val="21"/>
          <w:lang w:val="en-US" w:eastAsia="zh-CN" w:bidi="ar"/>
        </w:rPr>
        <w:t>的</w:t>
      </w:r>
      <w:r>
        <w:rPr>
          <w:rFonts w:hint="eastAsia" w:ascii="宋体" w:hAnsi="宋体" w:eastAsia="宋体" w:cs="宋体"/>
          <w:color w:val="000000"/>
          <w:kern w:val="0"/>
          <w:sz w:val="21"/>
          <w:szCs w:val="21"/>
          <w:lang w:val="en-US" w:eastAsia="zh-CN" w:bidi="ar"/>
        </w:rPr>
        <w:t>前、中、后期</w:t>
      </w:r>
      <w:r>
        <w:rPr>
          <w:rFonts w:hint="eastAsia" w:ascii="宋体" w:hAnsi="宋体" w:cs="宋体"/>
          <w:color w:val="000000"/>
          <w:kern w:val="0"/>
          <w:sz w:val="21"/>
          <w:szCs w:val="21"/>
          <w:lang w:val="en-US" w:eastAsia="zh-CN" w:bidi="ar"/>
        </w:rPr>
        <w:t>提供</w:t>
      </w:r>
      <w:r>
        <w:rPr>
          <w:rFonts w:hint="eastAsia" w:ascii="宋体" w:hAnsi="宋体" w:eastAsia="宋体" w:cs="宋体"/>
          <w:color w:val="000000"/>
          <w:kern w:val="0"/>
          <w:sz w:val="21"/>
          <w:szCs w:val="21"/>
          <w:lang w:val="en-US" w:eastAsia="zh-CN" w:bidi="ar"/>
        </w:rPr>
        <w:t>各项专业及持续性的护理活动。</w:t>
      </w:r>
    </w:p>
    <w:bookmarkEnd w:id="49"/>
    <w:p>
      <w:pPr>
        <w:pStyle w:val="233"/>
        <w:rPr>
          <w:rFonts w:hint="default"/>
          <w:szCs w:val="22"/>
          <w:lang w:val="en-US" w:eastAsia="zh-CN"/>
        </w:rPr>
      </w:pPr>
      <w:r>
        <w:rPr>
          <w:rFonts w:hint="eastAsia"/>
          <w:szCs w:val="22"/>
          <w:lang w:val="en-US" w:eastAsia="zh-CN"/>
        </w:rPr>
        <w:t>基本要求</w:t>
      </w:r>
    </w:p>
    <w:p>
      <w:pPr>
        <w:pStyle w:val="235"/>
        <w:spacing w:line="240" w:lineRule="auto"/>
        <w:rPr>
          <w:rFonts w:hint="eastAsia" w:ascii="黑体" w:hAnsi="黑体" w:eastAsia="黑体" w:cs="黑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建筑设计与布局</w:t>
      </w:r>
    </w:p>
    <w:p>
      <w:pPr>
        <w:pStyle w:val="235"/>
        <w:keepNext w:val="0"/>
        <w:keepLines w:val="0"/>
        <w:pageBreakBefore w:val="0"/>
        <w:widowControl/>
        <w:numPr>
          <w:ilvl w:val="1"/>
          <w:numId w:val="0"/>
        </w:numPr>
        <w:kinsoku/>
        <w:wordWrap/>
        <w:overflowPunct/>
        <w:topLinePunct w:val="0"/>
        <w:autoSpaceDE/>
        <w:autoSpaceDN/>
        <w:bidi w:val="0"/>
        <w:adjustRightInd/>
        <w:snapToGrid/>
        <w:spacing w:after="79" w:afterLines="25" w:line="240" w:lineRule="auto"/>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4.1.1</w:t>
      </w:r>
      <w:r>
        <w:rPr>
          <w:rFonts w:hint="eastAsia" w:ascii="宋体" w:hAnsi="宋体" w:eastAsia="宋体" w:cs="宋体"/>
          <w:color w:val="000000"/>
          <w:kern w:val="0"/>
          <w:sz w:val="21"/>
          <w:szCs w:val="21"/>
          <w:lang w:val="en-US" w:eastAsia="zh-CN" w:bidi="ar"/>
        </w:rPr>
        <w:t xml:space="preserve">  建筑设计应符合GB 25201、GB 50140、GB 50333等的要求；</w:t>
      </w:r>
    </w:p>
    <w:p>
      <w:pPr>
        <w:pStyle w:val="235"/>
        <w:keepNext w:val="0"/>
        <w:keepLines w:val="0"/>
        <w:pageBreakBefore w:val="0"/>
        <w:widowControl/>
        <w:numPr>
          <w:ilvl w:val="1"/>
          <w:numId w:val="0"/>
        </w:numPr>
        <w:kinsoku/>
        <w:wordWrap/>
        <w:overflowPunct/>
        <w:topLinePunct w:val="0"/>
        <w:bidi w:val="0"/>
        <w:adjustRightInd/>
        <w:snapToGrid/>
        <w:spacing w:before="79" w:beforeLines="25" w:after="79" w:afterLines="25" w:line="240" w:lineRule="auto"/>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 xml:space="preserve">4.1.2 </w:t>
      </w:r>
      <w:r>
        <w:rPr>
          <w:rFonts w:hint="eastAsia" w:ascii="宋体" w:hAnsi="宋体" w:eastAsia="宋体" w:cs="宋体"/>
          <w:color w:val="000000"/>
          <w:kern w:val="0"/>
          <w:sz w:val="21"/>
          <w:szCs w:val="21"/>
          <w:lang w:val="en-US" w:eastAsia="zh-CN" w:bidi="ar"/>
        </w:rPr>
        <w:t xml:space="preserve"> 应具备与医院等级、功能和任务项相适应的场所、设施、仪器设备、手术器械、药品、耗材及相关医疗用品；</w:t>
      </w:r>
    </w:p>
    <w:p>
      <w:pPr>
        <w:pStyle w:val="231"/>
        <w:keepNext w:val="0"/>
        <w:keepLines w:val="0"/>
        <w:pageBreakBefore w:val="0"/>
        <w:widowControl/>
        <w:kinsoku/>
        <w:wordWrap/>
        <w:overflowPunct/>
        <w:topLinePunct w:val="0"/>
        <w:bidi w:val="0"/>
        <w:adjustRightInd/>
        <w:snapToGrid/>
        <w:spacing w:before="79" w:beforeLines="25" w:after="79" w:afterLines="25" w:afterAutospacing="0" w:line="240" w:lineRule="auto"/>
        <w:ind w:left="0" w:leftChars="0" w:firstLine="0" w:firstLineChars="0"/>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4.1.3</w:t>
      </w:r>
      <w:r>
        <w:rPr>
          <w:rFonts w:hint="eastAsia" w:hAnsi="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宜设置在临近急诊科、重症医学科、临床手术科室、输血科、检验科、</w:t>
      </w:r>
      <w:r>
        <w:rPr>
          <w:rFonts w:hint="eastAsia" w:hAnsi="宋体" w:cs="宋体"/>
          <w:color w:val="000000"/>
          <w:kern w:val="0"/>
          <w:sz w:val="21"/>
          <w:szCs w:val="21"/>
          <w:lang w:val="en-US" w:eastAsia="zh-CN" w:bidi="ar"/>
        </w:rPr>
        <w:t>放射科、</w:t>
      </w:r>
      <w:r>
        <w:rPr>
          <w:rFonts w:hint="eastAsia" w:ascii="宋体" w:hAnsi="宋体" w:eastAsia="宋体" w:cs="宋体"/>
          <w:color w:val="000000"/>
          <w:kern w:val="0"/>
          <w:sz w:val="21"/>
          <w:szCs w:val="21"/>
          <w:lang w:val="en-US" w:eastAsia="zh-CN" w:bidi="ar"/>
        </w:rPr>
        <w:t>病理科、药房、消毒供应中心等部门；</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4.1.4</w:t>
      </w:r>
      <w:r>
        <w:rPr>
          <w:rFonts w:hint="eastAsia" w:hAnsi="宋体" w:cs="宋体"/>
          <w:color w:val="000000"/>
          <w:kern w:val="0"/>
          <w:sz w:val="21"/>
          <w:szCs w:val="21"/>
          <w:lang w:val="en-US" w:eastAsia="zh-CN" w:bidi="ar"/>
        </w:rPr>
        <w:t xml:space="preserve">  应设立急诊手术患者绿色通道；</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4.1.5</w:t>
      </w:r>
      <w:r>
        <w:rPr>
          <w:rFonts w:hint="eastAsia" w:hAnsi="宋体" w:cs="宋体"/>
          <w:color w:val="000000"/>
          <w:kern w:val="0"/>
          <w:sz w:val="21"/>
          <w:szCs w:val="21"/>
          <w:lang w:val="en-US" w:eastAsia="zh-CN" w:bidi="ar"/>
        </w:rPr>
        <w:t xml:space="preserve">  应功能流程合理，洁污区域分开并便于人员疏散；</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4.1.6</w:t>
      </w:r>
      <w:r>
        <w:rPr>
          <w:rFonts w:hint="eastAsia" w:hAnsi="宋体" w:cs="宋体"/>
          <w:color w:val="000000"/>
          <w:kern w:val="0"/>
          <w:sz w:val="21"/>
          <w:szCs w:val="21"/>
          <w:lang w:val="en-US" w:eastAsia="zh-CN" w:bidi="ar"/>
        </w:rPr>
        <w:t xml:space="preserve">  应设有工作人员通道、患者通道、物资通道，物流应做到洁污分开，流向合理；</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4.1.7</w:t>
      </w:r>
      <w:r>
        <w:rPr>
          <w:rFonts w:hint="eastAsia" w:hAnsi="宋体" w:cs="宋体"/>
          <w:color w:val="000000"/>
          <w:kern w:val="0"/>
          <w:sz w:val="21"/>
          <w:szCs w:val="21"/>
          <w:lang w:val="en-US" w:eastAsia="zh-CN" w:bidi="ar"/>
        </w:rPr>
        <w:t xml:space="preserve">  应分为工作区域和辅助区域，具体应：</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a） 工作区域为诊室、手术间、刷手间（区）、术后观察室、家属等待间（区）、无菌物品存放室、器械处理间、药品制剂存放间；</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b） 辅助区域为工作人员更衣室、卫生间、淋浴室、办公室、休息室、用餐室、清扫用具存放间等。</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4.1.8</w:t>
      </w:r>
      <w:r>
        <w:rPr>
          <w:rFonts w:hint="eastAsia" w:hAnsi="宋体" w:cs="宋体"/>
          <w:color w:val="000000"/>
          <w:kern w:val="0"/>
          <w:sz w:val="21"/>
          <w:szCs w:val="21"/>
          <w:lang w:val="en-US" w:eastAsia="zh-CN" w:bidi="ar"/>
        </w:rPr>
        <w:t xml:space="preserve">  洁净手术部应执行 GB 50333 医院洁净手术部建筑技术规范；</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4.1.9</w:t>
      </w:r>
      <w:r>
        <w:rPr>
          <w:rFonts w:hint="eastAsia" w:hAnsi="宋体" w:cs="宋体"/>
          <w:color w:val="000000"/>
          <w:kern w:val="0"/>
          <w:sz w:val="21"/>
          <w:szCs w:val="21"/>
          <w:lang w:val="en-US" w:eastAsia="zh-CN" w:bidi="ar"/>
        </w:rPr>
        <w:t xml:space="preserve">  手术间的数量应满足日常手术工作的需要；</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4.1.10</w:t>
      </w:r>
      <w:r>
        <w:rPr>
          <w:rFonts w:hint="eastAsia" w:hAnsi="宋体" w:cs="宋体"/>
          <w:color w:val="000000"/>
          <w:kern w:val="0"/>
          <w:sz w:val="21"/>
          <w:szCs w:val="21"/>
          <w:lang w:val="en-US" w:eastAsia="zh-CN" w:bidi="ar"/>
        </w:rPr>
        <w:t xml:space="preserve">  外科手消毒应符合WS/T 313 医务人员手卫生规范及以下要求：</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a） 应配置洗手池。洗手池设置在手术间附近，洁净手术部（室）刷手间可设在洁净走廊内。水池</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0" w:firstLineChars="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应达到一定高度和深度，能防止洗手水溅出。池面应光滑无死角易于清洁，洗手池应每日清洁与消毒；</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b） 洗手池及水龙头的数量应根据手术间的数量设置，水龙头数量应不少于手术间的数量的2倍，水龙头开关应为非手触式；</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c） 应配备清洁剂，盛放清洁剂的容器宜为一次性使用，重复使用的容器应每周清洁与消毒；</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d） 应配备清洁指甲的用品，可配备手卫生的揉搓用品，并定期检查；</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e） 手消毒剂的出液器应采用非手触式，消毒剂宜采用一次性包装，重复使用的消毒剂容器应每周清洁与消毒；</w:t>
      </w:r>
    </w:p>
    <w:p>
      <w:pPr>
        <w:pStyle w:val="231"/>
        <w:keepNext w:val="0"/>
        <w:keepLines w:val="0"/>
        <w:pageBreakBefore w:val="0"/>
        <w:widowControl/>
        <w:kinsoku/>
        <w:wordWrap/>
        <w:overflowPunct/>
        <w:topLinePunct w:val="0"/>
        <w:bidi w:val="0"/>
        <w:adjustRightInd/>
        <w:snapToGrid/>
        <w:spacing w:before="79" w:beforeLines="25" w:beforeAutospacing="0" w:after="79" w:afterLines="25" w:line="240" w:lineRule="auto"/>
        <w:ind w:left="0" w:leftChars="0"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 xml:space="preserve">f） </w:t>
      </w:r>
      <w:r>
        <w:rPr>
          <w:rFonts w:hint="eastAsia"/>
          <w:lang w:val="en-US" w:eastAsia="zh-CN"/>
        </w:rPr>
        <w:t>应配备干手巾，放置于灭菌容器内，一人一用，用后丢弃至指定收集容器，统一清洗、包装、灭菌</w:t>
      </w:r>
      <w:r>
        <w:rPr>
          <w:rFonts w:hint="eastAsia" w:hAnsi="宋体" w:cs="宋体"/>
          <w:color w:val="000000"/>
          <w:kern w:val="0"/>
          <w:sz w:val="21"/>
          <w:szCs w:val="21"/>
          <w:lang w:val="en-US" w:eastAsia="zh-CN" w:bidi="ar"/>
        </w:rPr>
        <w:t>；</w:t>
      </w:r>
    </w:p>
    <w:p>
      <w:pPr>
        <w:pStyle w:val="231"/>
        <w:keepNext w:val="0"/>
        <w:keepLines w:val="0"/>
        <w:pageBreakBefore w:val="0"/>
        <w:widowControl/>
        <w:kinsoku/>
        <w:wordWrap/>
        <w:overflowPunct/>
        <w:topLinePunct w:val="0"/>
        <w:bidi w:val="0"/>
        <w:adjustRightInd/>
        <w:snapToGrid/>
        <w:spacing w:before="79" w:beforeLines="25" w:beforeAutospacing="0" w:after="79" w:afterLines="25" w:afterAutospacing="0" w:line="240" w:lineRule="auto"/>
        <w:ind w:left="0" w:leftChars="0" w:firstLine="420" w:firstLineChars="200"/>
        <w:textAlignment w:val="auto"/>
        <w:rPr>
          <w:rFonts w:hint="default" w:hAnsi="宋体" w:cs="宋体"/>
          <w:color w:val="000000"/>
          <w:kern w:val="0"/>
          <w:sz w:val="21"/>
          <w:szCs w:val="21"/>
          <w:lang w:val="en-US" w:eastAsia="zh-CN" w:bidi="ar"/>
        </w:rPr>
      </w:pPr>
      <w:r>
        <w:rPr>
          <w:rFonts w:hint="eastAsia" w:hAnsi="宋体" w:cs="宋体"/>
          <w:color w:val="000000"/>
          <w:kern w:val="0"/>
          <w:sz w:val="21"/>
          <w:szCs w:val="21"/>
          <w:lang w:val="en-US" w:eastAsia="zh-CN" w:bidi="ar"/>
        </w:rPr>
        <w:t>g） 应配备</w:t>
      </w:r>
      <w:r>
        <w:rPr>
          <w:rFonts w:hint="eastAsia"/>
          <w:lang w:val="en-US" w:eastAsia="zh-CN"/>
        </w:rPr>
        <w:t>七步洗手法流程示意图</w:t>
      </w:r>
      <w:r>
        <w:rPr>
          <w:rFonts w:hint="eastAsia" w:hAnsi="宋体" w:cs="宋体"/>
          <w:color w:val="000000"/>
          <w:kern w:val="0"/>
          <w:sz w:val="21"/>
          <w:szCs w:val="21"/>
          <w:lang w:val="en-US" w:eastAsia="zh-CN" w:bidi="ar"/>
        </w:rPr>
        <w:t>。</w:t>
      </w:r>
    </w:p>
    <w:p>
      <w:pPr>
        <w:pStyle w:val="235"/>
        <w:keepNext w:val="0"/>
        <w:keepLines w:val="0"/>
        <w:pageBreakBefore w:val="0"/>
        <w:widowControl/>
        <w:kinsoku/>
        <w:wordWrap/>
        <w:overflowPunct/>
        <w:topLinePunct w:val="0"/>
        <w:autoSpaceDE/>
        <w:autoSpaceDN/>
        <w:bidi w:val="0"/>
        <w:adjustRightInd/>
        <w:snapToGrid/>
        <w:spacing w:before="157" w:beforeLines="50" w:beforeAutospacing="0" w:after="157" w:afterLines="50"/>
        <w:textAlignment w:val="auto"/>
        <w:rPr>
          <w:rFonts w:hint="eastAsia" w:ascii="黑体" w:hAnsi="黑体" w:eastAsia="黑体" w:cs="黑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设备、设施</w:t>
      </w:r>
    </w:p>
    <w:p>
      <w:pPr>
        <w:pStyle w:val="231"/>
        <w:keepNext w:val="0"/>
        <w:keepLines w:val="0"/>
        <w:pageBreakBefore w:val="0"/>
        <w:widowControl/>
        <w:numPr>
          <w:ilvl w:val="0"/>
          <w:numId w:val="0"/>
        </w:numPr>
        <w:kinsoku/>
        <w:wordWrap/>
        <w:overflowPunct/>
        <w:topLinePunct w:val="0"/>
        <w:bidi w:val="0"/>
        <w:adjustRightInd/>
        <w:snapToGrid/>
        <w:spacing w:before="79" w:beforeLines="25" w:after="79" w:afterLines="25" w:afterAutospacing="0"/>
        <w:ind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设备、设施要求应包括：</w:t>
      </w:r>
    </w:p>
    <w:p>
      <w:pPr>
        <w:pStyle w:val="231"/>
        <w:keepNext w:val="0"/>
        <w:keepLines w:val="0"/>
        <w:pageBreakBefore w:val="0"/>
        <w:widowControl/>
        <w:numPr>
          <w:ilvl w:val="0"/>
          <w:numId w:val="33"/>
        </w:numPr>
        <w:kinsoku/>
        <w:wordWrap/>
        <w:overflowPunct/>
        <w:topLinePunct w:val="0"/>
        <w:bidi w:val="0"/>
        <w:adjustRightInd/>
        <w:snapToGrid/>
        <w:spacing w:before="79" w:beforeLines="25" w:beforeAutospacing="0" w:after="79" w:afterLines="25" w:afterAutospacing="0" w:line="240" w:lineRule="auto"/>
        <w:ind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手术间内应配备：无影灯、手术床、成套整形外科手术器械、手术耗材、心电监护仪、单/双极电凝器、器械台、托盘、输液导轨/架、可升降圆凳、脚踏凳、钟表、温湿度计、X线阅片灯、氧气、负压吸引装置、污物桶等；</w:t>
      </w:r>
    </w:p>
    <w:p>
      <w:pPr>
        <w:pStyle w:val="231"/>
        <w:keepNext w:val="0"/>
        <w:keepLines w:val="0"/>
        <w:pageBreakBefore w:val="0"/>
        <w:widowControl/>
        <w:numPr>
          <w:ilvl w:val="0"/>
          <w:numId w:val="33"/>
        </w:numPr>
        <w:kinsoku/>
        <w:wordWrap/>
        <w:overflowPunct/>
        <w:topLinePunct w:val="0"/>
        <w:bidi w:val="0"/>
        <w:adjustRightInd/>
        <w:snapToGrid/>
        <w:spacing w:before="79" w:beforeLines="25" w:beforeAutospacing="0" w:after="79" w:afterLines="25" w:afterAutospacing="0" w:line="240" w:lineRule="auto"/>
        <w:ind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建筑装饰应不产尘、不积尘、耐腐蚀、防潮、防霉、易清洁和符合防火要求；</w:t>
      </w:r>
    </w:p>
    <w:p>
      <w:pPr>
        <w:pStyle w:val="231"/>
        <w:keepNext w:val="0"/>
        <w:keepLines w:val="0"/>
        <w:pageBreakBefore w:val="0"/>
        <w:widowControl/>
        <w:numPr>
          <w:ilvl w:val="0"/>
          <w:numId w:val="33"/>
        </w:numPr>
        <w:kinsoku/>
        <w:wordWrap/>
        <w:overflowPunct/>
        <w:topLinePunct w:val="0"/>
        <w:bidi w:val="0"/>
        <w:adjustRightInd/>
        <w:snapToGrid/>
        <w:spacing w:before="79" w:beforeLines="25" w:beforeAutospacing="0" w:after="79" w:afterLines="25" w:afterAutospacing="0" w:line="240" w:lineRule="auto"/>
        <w:ind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手术间内设置的插座、开关、器械柜、观片灯宜嵌入墙内，普通照明灯宜为嵌入式密闭灯带；</w:t>
      </w:r>
    </w:p>
    <w:p>
      <w:pPr>
        <w:pStyle w:val="231"/>
        <w:keepNext w:val="0"/>
        <w:keepLines w:val="0"/>
        <w:pageBreakBefore w:val="0"/>
        <w:widowControl/>
        <w:numPr>
          <w:ilvl w:val="0"/>
          <w:numId w:val="33"/>
        </w:numPr>
        <w:kinsoku/>
        <w:wordWrap/>
        <w:overflowPunct/>
        <w:topLinePunct w:val="0"/>
        <w:bidi w:val="0"/>
        <w:adjustRightInd/>
        <w:snapToGrid/>
        <w:spacing w:before="79" w:beforeLines="25" w:beforeAutospacing="0" w:after="79" w:afterLines="25" w:afterAutospacing="0" w:line="240" w:lineRule="auto"/>
        <w:ind w:firstLine="420" w:firstLineChars="200"/>
        <w:textAlignment w:val="auto"/>
        <w:rPr>
          <w:rFonts w:hint="eastAsia" w:hAnsi="宋体" w:cs="宋体"/>
          <w:color w:val="000000"/>
          <w:kern w:val="0"/>
          <w:sz w:val="21"/>
          <w:szCs w:val="21"/>
          <w:lang w:val="en-US" w:eastAsia="zh-CN" w:bidi="ar"/>
        </w:rPr>
      </w:pPr>
      <w:r>
        <w:rPr>
          <w:rFonts w:hint="eastAsia" w:hAnsi="宋体" w:cs="宋体"/>
          <w:color w:val="000000"/>
          <w:kern w:val="0"/>
          <w:sz w:val="21"/>
          <w:szCs w:val="21"/>
          <w:lang w:val="en-US" w:eastAsia="zh-CN" w:bidi="ar"/>
        </w:rPr>
        <w:t>设置双路供电设施及应急备用电源；</w:t>
      </w:r>
    </w:p>
    <w:p>
      <w:pPr>
        <w:pStyle w:val="231"/>
        <w:keepNext w:val="0"/>
        <w:keepLines w:val="0"/>
        <w:pageBreakBefore w:val="0"/>
        <w:widowControl/>
        <w:numPr>
          <w:ilvl w:val="0"/>
          <w:numId w:val="33"/>
        </w:numPr>
        <w:kinsoku/>
        <w:wordWrap/>
        <w:overflowPunct/>
        <w:topLinePunct w:val="0"/>
        <w:bidi w:val="0"/>
        <w:adjustRightInd/>
        <w:snapToGrid/>
        <w:spacing w:before="79" w:beforeLines="25" w:beforeAutospacing="0" w:after="79" w:afterLines="25" w:afterAutospacing="0" w:line="240" w:lineRule="auto"/>
        <w:ind w:firstLine="420" w:firstLineChars="200"/>
        <w:textAlignment w:val="auto"/>
        <w:rPr>
          <w:rFonts w:hint="default" w:hAnsi="宋体" w:cs="宋体"/>
          <w:color w:val="000000"/>
          <w:kern w:val="0"/>
          <w:sz w:val="21"/>
          <w:szCs w:val="21"/>
          <w:lang w:val="en-US" w:eastAsia="zh-CN" w:bidi="ar"/>
        </w:rPr>
      </w:pPr>
      <w:r>
        <w:rPr>
          <w:rFonts w:hint="eastAsia" w:hAnsi="宋体" w:cs="宋体"/>
          <w:color w:val="000000"/>
          <w:kern w:val="0"/>
          <w:sz w:val="21"/>
          <w:szCs w:val="21"/>
          <w:lang w:val="en-US" w:eastAsia="zh-CN" w:bidi="ar"/>
        </w:rPr>
        <w:t>应配置消防设施、器材，有明显标识，并符合</w:t>
      </w:r>
      <w:r>
        <w:rPr>
          <w:rFonts w:hint="eastAsia" w:ascii="宋体" w:hAnsi="宋体" w:eastAsia="宋体" w:cs="宋体"/>
          <w:color w:val="000000"/>
          <w:kern w:val="0"/>
          <w:sz w:val="21"/>
          <w:szCs w:val="21"/>
          <w:lang w:val="en-US" w:eastAsia="zh-CN" w:bidi="ar"/>
        </w:rPr>
        <w:t>GB 15630</w:t>
      </w:r>
      <w:r>
        <w:rPr>
          <w:rFonts w:hint="eastAsia" w:hAnsi="宋体" w:cs="宋体"/>
          <w:color w:val="000000"/>
          <w:kern w:val="0"/>
          <w:sz w:val="21"/>
          <w:szCs w:val="21"/>
          <w:lang w:val="en-US" w:eastAsia="zh-CN" w:bidi="ar"/>
        </w:rPr>
        <w:t xml:space="preserve"> </w:t>
      </w:r>
      <w:r>
        <w:rPr>
          <w:rFonts w:hint="eastAsia" w:ascii="宋体" w:hAnsi="宋体" w:eastAsia="宋体" w:cs="宋体"/>
          <w:color w:val="000000"/>
          <w:kern w:val="0"/>
          <w:sz w:val="21"/>
          <w:szCs w:val="21"/>
          <w:highlight w:val="none"/>
          <w:lang w:val="en-US" w:eastAsia="zh-CN" w:bidi="ar"/>
        </w:rPr>
        <w:t>消防安全标志设置要求</w:t>
      </w:r>
      <w:r>
        <w:rPr>
          <w:rFonts w:hint="eastAsia" w:hAnsi="宋体" w:cs="宋体"/>
          <w:color w:val="000000"/>
          <w:kern w:val="0"/>
          <w:sz w:val="21"/>
          <w:szCs w:val="21"/>
          <w:highlight w:val="none"/>
          <w:lang w:val="en-US" w:eastAsia="zh-CN" w:bidi="ar"/>
        </w:rPr>
        <w:t>；</w:t>
      </w:r>
    </w:p>
    <w:p>
      <w:pPr>
        <w:pStyle w:val="231"/>
        <w:keepNext w:val="0"/>
        <w:keepLines w:val="0"/>
        <w:pageBreakBefore w:val="0"/>
        <w:widowControl/>
        <w:numPr>
          <w:ilvl w:val="0"/>
          <w:numId w:val="33"/>
        </w:numPr>
        <w:kinsoku/>
        <w:wordWrap/>
        <w:overflowPunct/>
        <w:topLinePunct w:val="0"/>
        <w:bidi w:val="0"/>
        <w:adjustRightInd/>
        <w:snapToGrid/>
        <w:spacing w:before="79" w:beforeLines="25" w:beforeAutospacing="0" w:after="79" w:afterLines="25" w:afterAutospacing="0" w:line="240" w:lineRule="auto"/>
        <w:ind w:firstLine="420" w:firstLineChars="200"/>
        <w:textAlignment w:val="auto"/>
        <w:rPr>
          <w:rFonts w:hint="default" w:hAnsi="宋体" w:cs="宋体"/>
          <w:color w:val="000000"/>
          <w:kern w:val="0"/>
          <w:sz w:val="21"/>
          <w:szCs w:val="21"/>
          <w:lang w:val="en-US" w:eastAsia="zh-CN" w:bidi="ar"/>
        </w:rPr>
      </w:pPr>
      <w:r>
        <w:rPr>
          <w:rFonts w:hint="default" w:hAnsi="宋体" w:cs="宋体"/>
          <w:color w:val="000000"/>
          <w:kern w:val="0"/>
          <w:sz w:val="21"/>
          <w:szCs w:val="21"/>
          <w:lang w:val="en-US" w:eastAsia="zh-CN" w:bidi="ar"/>
        </w:rPr>
        <w:t>应在医院门诊、导诊、楼层等区域设置相关的辅助性标识标牌。</w:t>
      </w:r>
    </w:p>
    <w:p>
      <w:pPr>
        <w:pStyle w:val="235"/>
        <w:numPr>
          <w:ilvl w:val="1"/>
          <w:numId w:val="0"/>
        </w:numPr>
        <w:spacing w:before="315" w:beforeLines="100" w:beforeAutospacing="0" w:after="315" w:afterLines="100" w:afterAutospacing="0"/>
        <w:ind w:leftChars="0"/>
        <w:rPr>
          <w:rFonts w:hint="eastAsia" w:ascii="黑体" w:hAnsi="黑体" w:eastAsia="黑体" w:cs="黑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5  团队建设与培训管理</w:t>
      </w:r>
    </w:p>
    <w:p>
      <w:pPr>
        <w:pStyle w:val="231"/>
        <w:spacing w:beforeAutospacing="0" w:after="159" w:afterLines="50" w:afterAutospacing="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5.1  团队建设</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ascii="黑体" w:hAnsi="黑体" w:eastAsia="黑体" w:cs="黑体"/>
          <w:lang w:val="en-US" w:eastAsia="zh-CN"/>
        </w:rPr>
        <w:t>5.1.1</w:t>
      </w:r>
      <w:r>
        <w:rPr>
          <w:rFonts w:hint="eastAsia"/>
          <w:lang w:val="en-US" w:eastAsia="zh-CN"/>
        </w:rPr>
        <w:t xml:space="preserve">  拥有一支专业的急诊创伤整形修复团队，至少有5名医师，其中至少有1名从事整形外科工作5</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lang w:val="en-US" w:eastAsia="zh-CN"/>
        </w:rPr>
        <w:t>年以上并具有副主任医师及以上职称的整形外科医师、至少2名从事整形外科工作3年以上并具有主治医</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lang w:val="en-US" w:eastAsia="zh-CN"/>
        </w:rPr>
        <w:t>师职称的整形外科医师，至少有5名护士，其中至少有1名具有护师及以上职称的护士；</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ascii="黑体" w:hAnsi="黑体" w:eastAsia="黑体" w:cs="黑体"/>
          <w:lang w:val="en-US" w:eastAsia="zh-CN"/>
        </w:rPr>
        <w:t>5.1.2</w:t>
      </w:r>
      <w:r>
        <w:rPr>
          <w:rFonts w:hint="eastAsia"/>
          <w:lang w:val="en-US" w:eastAsia="zh-CN"/>
        </w:rPr>
        <w:t xml:space="preserve">  根据手术床和手术量配备足够数量的手术室护士，人员结构合理。三级医院手术部（室）护士</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lang w:val="en-US" w:eastAsia="zh-CN"/>
        </w:rPr>
        <w:t>与手术间之比不低于2.5:1~3:1，护士应进行分层次和定期的岗位培训；</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ascii="黑体" w:hAnsi="黑体" w:eastAsia="黑体" w:cs="黑体"/>
          <w:lang w:val="en-US" w:eastAsia="zh-CN"/>
        </w:rPr>
        <w:t>5.1.3</w:t>
      </w:r>
      <w:r>
        <w:rPr>
          <w:rFonts w:hint="eastAsia"/>
          <w:lang w:val="en-US" w:eastAsia="zh-CN"/>
        </w:rPr>
        <w:t xml:space="preserve">  三级医院手术部（室）护士长应具备主管护师以上专业技术职务任职资格、5年以上手术室工作</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lang w:val="en-US" w:eastAsia="zh-CN"/>
        </w:rPr>
        <w:t>经验和一定的管理能力；二级医院手术部（室）护士长应具备护师以上专业技术职务任职资格、3年以</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lang w:val="en-US" w:eastAsia="zh-CN"/>
        </w:rPr>
        <w:t>上手术室工作经验和一定的管理能力。</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ascii="黑体" w:hAnsi="黑体" w:eastAsia="黑体" w:cs="黑体"/>
          <w:lang w:val="en-US" w:eastAsia="zh-CN"/>
        </w:rPr>
        <w:t>5.1.4</w:t>
      </w:r>
      <w:r>
        <w:rPr>
          <w:rFonts w:hint="eastAsia"/>
          <w:lang w:val="en-US" w:eastAsia="zh-CN"/>
        </w:rPr>
        <w:t xml:space="preserve">  配备适当数量的保洁及其他辅助工作人员，经培训后上岗，工作区域相对固定，应掌握常规消毒隔离知识。</w:t>
      </w:r>
    </w:p>
    <w:p>
      <w:pPr>
        <w:pStyle w:val="231"/>
        <w:spacing w:before="315" w:beforeLines="100" w:beforeAutospacing="0" w:after="159" w:afterLines="50" w:afterAutospacing="0"/>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5.2  培训管理</w:t>
      </w:r>
    </w:p>
    <w:p>
      <w:pPr>
        <w:pStyle w:val="231"/>
        <w:keepNext w:val="0"/>
        <w:keepLines w:val="0"/>
        <w:pageBreakBefore w:val="0"/>
        <w:widowControl/>
        <w:kinsoku/>
        <w:wordWrap/>
        <w:overflowPunct/>
        <w:topLinePunct w:val="0"/>
        <w:bidi w:val="0"/>
        <w:adjustRightInd/>
        <w:snapToGrid/>
        <w:spacing w:before="79" w:beforeLines="25" w:beforeAutospacing="0" w:after="79" w:afterLines="25" w:afterAutospacing="0"/>
        <w:ind w:left="0" w:leftChars="0" w:firstLine="0" w:firstLineChars="0"/>
        <w:textAlignment w:val="auto"/>
        <w:rPr>
          <w:rFonts w:hint="eastAsia" w:hAnsi="宋体" w:cs="宋体"/>
          <w:lang w:val="en-US" w:eastAsia="zh-CN"/>
        </w:rPr>
      </w:pPr>
      <w:r>
        <w:rPr>
          <w:rFonts w:hint="eastAsia" w:ascii="黑体" w:hAnsi="黑体" w:eastAsia="黑体" w:cs="黑体"/>
          <w:lang w:val="en-US" w:eastAsia="zh-CN"/>
        </w:rPr>
        <w:t xml:space="preserve">5.2.1  </w:t>
      </w:r>
      <w:r>
        <w:rPr>
          <w:rFonts w:hint="eastAsia" w:ascii="宋体" w:hAnsi="宋体" w:eastAsia="宋体" w:cs="宋体"/>
          <w:lang w:val="en-US" w:eastAsia="zh-CN"/>
        </w:rPr>
        <w:t>定期</w:t>
      </w:r>
      <w:r>
        <w:rPr>
          <w:rFonts w:hint="eastAsia" w:hAnsi="宋体" w:cs="宋体"/>
          <w:lang w:val="en-US" w:eastAsia="zh-CN"/>
        </w:rPr>
        <w:t>进行技术培训和科室讲座活动，提高医务人员的专业技能和理论水平；</w:t>
      </w:r>
    </w:p>
    <w:p>
      <w:pPr>
        <w:pStyle w:val="231"/>
        <w:keepNext w:val="0"/>
        <w:keepLines w:val="0"/>
        <w:pageBreakBefore w:val="0"/>
        <w:widowControl/>
        <w:kinsoku/>
        <w:wordWrap/>
        <w:overflowPunct/>
        <w:topLinePunct w:val="0"/>
        <w:bidi w:val="0"/>
        <w:adjustRightInd/>
        <w:snapToGrid/>
        <w:spacing w:before="79" w:beforeLines="25" w:beforeAutospacing="0" w:after="79" w:afterLines="25" w:afterAutospacing="0"/>
        <w:ind w:left="0" w:leftChars="0" w:firstLine="0" w:firstLineChars="0"/>
        <w:textAlignment w:val="auto"/>
        <w:rPr>
          <w:rFonts w:hint="eastAsia" w:hAnsi="宋体" w:cs="宋体"/>
          <w:lang w:val="en-US" w:eastAsia="zh-CN"/>
        </w:rPr>
      </w:pPr>
      <w:r>
        <w:rPr>
          <w:rFonts w:hint="eastAsia" w:ascii="黑体" w:hAnsi="黑体" w:eastAsia="黑体" w:cs="黑体"/>
          <w:lang w:val="en-US" w:eastAsia="zh-CN"/>
        </w:rPr>
        <w:t>5.2.2</w:t>
      </w:r>
      <w:r>
        <w:rPr>
          <w:rFonts w:hint="eastAsia" w:hAnsi="宋体" w:cs="宋体"/>
          <w:lang w:val="en-US" w:eastAsia="zh-CN"/>
        </w:rPr>
        <w:t xml:space="preserve">  鼓励技术创新和研究，引入先进的整形修复技术，提高治疗效果；</w:t>
      </w:r>
    </w:p>
    <w:p>
      <w:pPr>
        <w:pStyle w:val="231"/>
        <w:keepNext w:val="0"/>
        <w:keepLines w:val="0"/>
        <w:pageBreakBefore w:val="0"/>
        <w:widowControl/>
        <w:kinsoku/>
        <w:wordWrap/>
        <w:overflowPunct/>
        <w:topLinePunct w:val="0"/>
        <w:bidi w:val="0"/>
        <w:adjustRightInd/>
        <w:snapToGrid/>
        <w:spacing w:before="79" w:beforeLines="25" w:beforeAutospacing="0" w:after="79" w:afterLines="25" w:afterAutospacing="0"/>
        <w:ind w:left="0" w:leftChars="0" w:firstLine="0" w:firstLineChars="0"/>
        <w:textAlignment w:val="auto"/>
        <w:rPr>
          <w:rFonts w:hint="default" w:hAnsi="宋体" w:cs="宋体"/>
          <w:lang w:val="en-US" w:eastAsia="zh-CN"/>
        </w:rPr>
      </w:pPr>
      <w:r>
        <w:rPr>
          <w:rFonts w:hint="eastAsia" w:ascii="黑体" w:hAnsi="黑体" w:eastAsia="黑体" w:cs="黑体"/>
          <w:lang w:val="en-US" w:eastAsia="zh-CN"/>
        </w:rPr>
        <w:t>5.2.3</w:t>
      </w:r>
      <w:r>
        <w:rPr>
          <w:rFonts w:hint="eastAsia" w:hAnsi="宋体" w:cs="宋体"/>
          <w:lang w:val="en-US" w:eastAsia="zh-CN"/>
        </w:rPr>
        <w:t xml:space="preserve">  定期对技术水平进行评估和考核，确保机构的技术水平始终与时俱进；</w:t>
      </w:r>
    </w:p>
    <w:p>
      <w:pPr>
        <w:pStyle w:val="235"/>
        <w:keepNext w:val="0"/>
        <w:keepLines w:val="0"/>
        <w:pageBreakBefore w:val="0"/>
        <w:widowControl/>
        <w:numPr>
          <w:ilvl w:val="1"/>
          <w:numId w:val="0"/>
        </w:numPr>
        <w:kinsoku/>
        <w:wordWrap/>
        <w:overflowPunct/>
        <w:topLinePunct w:val="0"/>
        <w:bidi w:val="0"/>
        <w:adjustRightInd/>
        <w:snapToGrid/>
        <w:spacing w:before="79" w:beforeLines="25" w:after="79" w:afterLines="25"/>
        <w:ind w:leftChars="0"/>
        <w:textAlignment w:val="auto"/>
        <w:rPr>
          <w:rFonts w:hint="eastAsia" w:ascii="宋体" w:hAnsi="宋体" w:eastAsia="宋体" w:cs="宋体"/>
          <w:kern w:val="2"/>
          <w:sz w:val="21"/>
          <w:szCs w:val="21"/>
          <w:lang w:val="en-US" w:eastAsia="zh-CN" w:bidi="zh-CN"/>
        </w:rPr>
      </w:pPr>
      <w:r>
        <w:rPr>
          <w:rFonts w:hint="eastAsia" w:ascii="黑体" w:hAnsi="黑体" w:eastAsia="黑体" w:cs="黑体"/>
          <w:sz w:val="21"/>
          <w:szCs w:val="20"/>
          <w:lang w:val="en-US" w:eastAsia="zh-CN" w:bidi="ar-SA"/>
        </w:rPr>
        <w:t>5.2.4</w:t>
      </w:r>
      <w:r>
        <w:rPr>
          <w:rFonts w:hint="eastAsia" w:ascii="宋体" w:hAnsi="宋体" w:eastAsia="宋体" w:cs="宋体"/>
          <w:color w:val="000000"/>
          <w:kern w:val="0"/>
          <w:sz w:val="21"/>
          <w:szCs w:val="21"/>
          <w:lang w:val="en-US" w:eastAsia="zh-CN" w:bidi="ar"/>
        </w:rPr>
        <w:t xml:space="preserve">  应建立工作手册，其内容包括但不限于岗位职责、工作流程、操作规范、交接班制度等；</w:t>
      </w:r>
    </w:p>
    <w:p>
      <w:pPr>
        <w:pStyle w:val="235"/>
        <w:keepNext w:val="0"/>
        <w:keepLines w:val="0"/>
        <w:pageBreakBefore w:val="0"/>
        <w:widowControl/>
        <w:numPr>
          <w:ilvl w:val="1"/>
          <w:numId w:val="0"/>
        </w:numPr>
        <w:kinsoku/>
        <w:wordWrap/>
        <w:overflowPunct/>
        <w:topLinePunct w:val="0"/>
        <w:bidi w:val="0"/>
        <w:adjustRightInd/>
        <w:snapToGrid/>
        <w:spacing w:before="79" w:beforeLines="25" w:after="79" w:afterLines="25"/>
        <w:ind w:leftChars="0"/>
        <w:textAlignment w:val="auto"/>
        <w:rPr>
          <w:rFonts w:hint="eastAsia" w:ascii="宋体" w:hAnsi="宋体" w:eastAsia="宋体" w:cs="宋体"/>
          <w:kern w:val="2"/>
          <w:sz w:val="21"/>
          <w:szCs w:val="21"/>
          <w:lang w:val="en-US" w:eastAsia="zh-CN" w:bidi="zh-CN"/>
        </w:rPr>
      </w:pPr>
      <w:r>
        <w:rPr>
          <w:rFonts w:hint="eastAsia" w:ascii="黑体" w:hAnsi="黑体" w:eastAsia="黑体" w:cs="黑体"/>
          <w:sz w:val="21"/>
          <w:szCs w:val="20"/>
          <w:lang w:val="en-US" w:eastAsia="zh-CN" w:bidi="ar-SA"/>
        </w:rPr>
        <w:t>5.2.5</w:t>
      </w:r>
      <w:r>
        <w:rPr>
          <w:rFonts w:hint="eastAsia" w:ascii="宋体" w:hAnsi="宋体" w:eastAsia="宋体" w:cs="宋体"/>
          <w:color w:val="000000"/>
          <w:kern w:val="0"/>
          <w:sz w:val="21"/>
          <w:szCs w:val="21"/>
          <w:lang w:val="en-US" w:eastAsia="zh-CN" w:bidi="ar"/>
        </w:rPr>
        <w:t xml:space="preserve">  医院服务人员应统一着装、佩戴工牌，使用文明用语、提供规范服务</w:t>
      </w:r>
      <w:r>
        <w:rPr>
          <w:rFonts w:hint="eastAsia" w:ascii="宋体" w:hAnsi="宋体" w:eastAsia="宋体" w:cs="宋体"/>
          <w:kern w:val="2"/>
          <w:sz w:val="21"/>
          <w:szCs w:val="21"/>
          <w:lang w:val="en-US" w:eastAsia="zh-CN" w:bidi="zh-CN"/>
        </w:rPr>
        <w:t>。</w:t>
      </w:r>
    </w:p>
    <w:p>
      <w:pPr>
        <w:pStyle w:val="233"/>
        <w:numPr>
          <w:ilvl w:val="0"/>
          <w:numId w:val="0"/>
        </w:numPr>
        <w:ind w:leftChars="0"/>
        <w:rPr>
          <w:rFonts w:hint="eastAsia"/>
          <w:lang w:val="en-US" w:eastAsia="zh-CN"/>
        </w:rPr>
      </w:pPr>
      <w:r>
        <w:rPr>
          <w:rFonts w:hint="eastAsia"/>
          <w:szCs w:val="22"/>
          <w:lang w:val="en-US" w:eastAsia="zh-CN"/>
        </w:rPr>
        <w:t>6  技术及服务要求</w:t>
      </w:r>
    </w:p>
    <w:p>
      <w:pPr>
        <w:pStyle w:val="235"/>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sz w:val="21"/>
          <w:szCs w:val="20"/>
          <w:lang w:val="en-US" w:eastAsia="zh-CN" w:bidi="ar-SA"/>
        </w:rPr>
        <w:t xml:space="preserve">6.1  </w:t>
      </w:r>
      <w:r>
        <w:rPr>
          <w:rFonts w:hint="eastAsia" w:ascii="宋体" w:hAnsi="宋体" w:eastAsia="宋体" w:cs="宋体"/>
          <w:color w:val="000000"/>
          <w:kern w:val="0"/>
          <w:sz w:val="21"/>
          <w:szCs w:val="21"/>
          <w:lang w:val="en-US" w:eastAsia="zh-CN" w:bidi="ar"/>
        </w:rPr>
        <w:t>针对不同类型的创伤，术前仔细评估，并与患者及家属沟通并取得理解，制定个性化的修复方案，</w:t>
      </w:r>
    </w:p>
    <w:p>
      <w:pPr>
        <w:pStyle w:val="235"/>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如清创减张缝合、各类皮瓣移植、组织重建、组织畸形与修复等；</w:t>
      </w:r>
    </w:p>
    <w:p>
      <w:pPr>
        <w:pStyle w:val="235"/>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sz w:val="21"/>
          <w:szCs w:val="20"/>
          <w:lang w:val="en-US" w:eastAsia="zh-CN" w:bidi="ar-SA"/>
        </w:rPr>
        <w:t xml:space="preserve">6.2  </w:t>
      </w:r>
      <w:r>
        <w:rPr>
          <w:rFonts w:hint="eastAsia" w:ascii="宋体" w:hAnsi="宋体" w:eastAsia="宋体" w:cs="宋体"/>
          <w:color w:val="000000"/>
          <w:kern w:val="0"/>
          <w:sz w:val="21"/>
          <w:szCs w:val="21"/>
          <w:lang w:val="en-US" w:eastAsia="zh-CN" w:bidi="ar"/>
        </w:rPr>
        <w:t>遵循整形外科的基本原则和技术规范，确保手术操作的有效性和安全性；</w:t>
      </w:r>
    </w:p>
    <w:p>
      <w:pPr>
        <w:pStyle w:val="235"/>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kern w:val="0"/>
          <w:sz w:val="21"/>
          <w:szCs w:val="21"/>
          <w:lang w:val="en-US" w:eastAsia="zh-CN" w:bidi="ar"/>
        </w:rPr>
      </w:pPr>
      <w:r>
        <w:rPr>
          <w:rFonts w:hint="eastAsia" w:ascii="黑体" w:hAnsi="黑体" w:eastAsia="黑体" w:cs="黑体"/>
          <w:sz w:val="21"/>
          <w:szCs w:val="20"/>
          <w:lang w:val="en-US" w:eastAsia="zh-CN" w:bidi="ar-SA"/>
        </w:rPr>
        <w:t xml:space="preserve">6.3  </w:t>
      </w:r>
      <w:r>
        <w:rPr>
          <w:rFonts w:hint="eastAsia" w:ascii="宋体" w:hAnsi="宋体" w:eastAsia="宋体" w:cs="宋体"/>
          <w:sz w:val="21"/>
          <w:szCs w:val="20"/>
          <w:lang w:val="en-US" w:eastAsia="zh-CN" w:bidi="ar-SA"/>
        </w:rPr>
        <w:t>术后告知注意事项并交付病历，</w:t>
      </w:r>
      <w:r>
        <w:rPr>
          <w:rFonts w:hint="eastAsia" w:ascii="宋体" w:hAnsi="宋体" w:eastAsia="宋体" w:cs="宋体"/>
          <w:color w:val="000000"/>
          <w:kern w:val="0"/>
          <w:sz w:val="21"/>
          <w:szCs w:val="21"/>
          <w:lang w:val="en-US" w:eastAsia="zh-CN" w:bidi="ar"/>
        </w:rPr>
        <w:t>注重术后康复治疗和功能锻炼，促进患者早日恢复健康。</w:t>
      </w:r>
    </w:p>
    <w:p>
      <w:pPr>
        <w:pStyle w:val="233"/>
        <w:numPr>
          <w:ilvl w:val="0"/>
          <w:numId w:val="0"/>
        </w:numPr>
        <w:ind w:leftChars="0"/>
        <w:rPr>
          <w:rFonts w:hint="eastAsia"/>
          <w:lang w:val="en-US" w:eastAsia="zh-CN"/>
        </w:rPr>
      </w:pPr>
      <w:r>
        <w:rPr>
          <w:rFonts w:hint="eastAsia"/>
          <w:szCs w:val="22"/>
          <w:lang w:val="en-US" w:eastAsia="zh-CN"/>
        </w:rPr>
        <w:t>7  感染预防与控制</w:t>
      </w:r>
    </w:p>
    <w:p>
      <w:pPr>
        <w:pStyle w:val="235"/>
        <w:numPr>
          <w:ilvl w:val="1"/>
          <w:numId w:val="0"/>
        </w:numPr>
        <w:ind w:leftChars="0"/>
        <w:rPr>
          <w:rFonts w:hint="eastAsia" w:ascii="黑体" w:hAnsi="黑体" w:eastAsia="黑体" w:cs="黑体"/>
          <w:color w:val="000000"/>
          <w:kern w:val="0"/>
          <w:sz w:val="21"/>
          <w:szCs w:val="21"/>
          <w:lang w:val="en-US" w:eastAsia="zh-CN" w:bidi="ar"/>
        </w:rPr>
      </w:pPr>
      <w:r>
        <w:rPr>
          <w:rFonts w:hint="eastAsia" w:ascii="黑体" w:hAnsi="黑体" w:eastAsia="黑体" w:cs="黑体"/>
          <w:color w:val="000000"/>
          <w:kern w:val="0"/>
          <w:sz w:val="21"/>
          <w:szCs w:val="21"/>
          <w:lang w:val="en-US" w:eastAsia="zh-CN" w:bidi="ar"/>
        </w:rPr>
        <w:t>7.1  一般要求</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ascii="黑体" w:hAnsi="黑体" w:eastAsia="黑体" w:cs="黑体"/>
          <w:color w:val="000000"/>
          <w:kern w:val="0"/>
          <w:sz w:val="21"/>
          <w:szCs w:val="21"/>
          <w:lang w:val="en-US" w:eastAsia="zh-CN" w:bidi="ar"/>
        </w:rPr>
        <w:t>7.1.1</w:t>
      </w:r>
      <w:r>
        <w:rPr>
          <w:rFonts w:hint="eastAsia"/>
          <w:lang w:val="en-US" w:eastAsia="zh-CN"/>
        </w:rPr>
        <w:t xml:space="preserve">  建筑布局和设施应符合环境卫生学和医院感染管理的要求，符合WS/T 510 病区医院感染管理规</w:t>
      </w:r>
    </w:p>
    <w:p>
      <w:pPr>
        <w:pStyle w:val="231"/>
        <w:keepNext w:val="0"/>
        <w:keepLines w:val="0"/>
        <w:pageBreakBefore w:val="0"/>
        <w:widowControl/>
        <w:kinsoku/>
        <w:wordWrap/>
        <w:overflowPunct/>
        <w:topLinePunct w:val="0"/>
        <w:autoSpaceDE w:val="0"/>
        <w:autoSpaceDN w:val="0"/>
        <w:bidi w:val="0"/>
        <w:adjustRightInd/>
        <w:snapToGrid/>
        <w:spacing w:before="79" w:beforeLines="25" w:after="79" w:afterLines="25" w:afterAutospacing="0"/>
        <w:ind w:left="0" w:leftChars="0" w:firstLine="0" w:firstLineChars="0"/>
        <w:textAlignment w:val="auto"/>
        <w:rPr>
          <w:rFonts w:hint="eastAsia"/>
          <w:lang w:val="en-US" w:eastAsia="zh-CN"/>
        </w:rPr>
      </w:pPr>
      <w:r>
        <w:rPr>
          <w:rFonts w:hint="eastAsia"/>
          <w:lang w:val="en-US" w:eastAsia="zh-CN"/>
        </w:rPr>
        <w:t>范；</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ascii="黑体" w:hAnsi="黑体" w:eastAsia="黑体" w:cs="黑体"/>
          <w:color w:val="000000"/>
          <w:kern w:val="0"/>
          <w:sz w:val="21"/>
          <w:szCs w:val="21"/>
          <w:lang w:val="en-US" w:eastAsia="zh-CN" w:bidi="ar"/>
        </w:rPr>
        <w:t>7.1.2</w:t>
      </w:r>
      <w:r>
        <w:rPr>
          <w:rFonts w:hint="eastAsia"/>
          <w:lang w:val="en-US" w:eastAsia="zh-CN"/>
        </w:rPr>
        <w:t xml:space="preserve">  建立健全感染预防与控制相关规章制度和工作规范，并按照医院感染控制原则设置工作流程；</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ascii="黑体" w:hAnsi="黑体" w:eastAsia="黑体" w:cs="黑体"/>
          <w:color w:val="000000"/>
          <w:kern w:val="0"/>
          <w:sz w:val="21"/>
          <w:szCs w:val="21"/>
          <w:lang w:val="en-US" w:eastAsia="zh-CN" w:bidi="ar"/>
        </w:rPr>
        <w:t>7.1.3</w:t>
      </w:r>
      <w:r>
        <w:rPr>
          <w:rFonts w:hint="eastAsia"/>
          <w:lang w:val="en-US" w:eastAsia="zh-CN"/>
        </w:rPr>
        <w:t xml:space="preserve">  洁净手术室采用空气洁净系统，普通手术室可采用对人无毒无害且可连续消毒的方法，要求符</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lang w:val="en-US" w:eastAsia="zh-CN"/>
        </w:rPr>
        <w:t>合WS/T 367、GB 15982 技术规范；</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ind w:left="0" w:leftChars="0" w:firstLine="0" w:firstLineChars="0"/>
        <w:textAlignment w:val="auto"/>
        <w:rPr>
          <w:rFonts w:hint="eastAsia"/>
          <w:lang w:val="en-US" w:eastAsia="zh-CN"/>
        </w:rPr>
      </w:pPr>
      <w:r>
        <w:rPr>
          <w:rFonts w:hint="eastAsia" w:ascii="黑体" w:hAnsi="黑体" w:eastAsia="黑体" w:cs="黑体"/>
          <w:color w:val="000000"/>
          <w:kern w:val="0"/>
          <w:sz w:val="21"/>
          <w:szCs w:val="21"/>
          <w:lang w:val="en-US" w:eastAsia="zh-CN" w:bidi="ar"/>
        </w:rPr>
        <w:t>7.1.4</w:t>
      </w:r>
      <w:r>
        <w:rPr>
          <w:rFonts w:hint="eastAsia"/>
          <w:lang w:val="en-US" w:eastAsia="zh-CN"/>
        </w:rPr>
        <w:t xml:space="preserve">  应限制非工作人员的进入；</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lang w:val="en-US" w:eastAsia="zh-CN"/>
        </w:rPr>
      </w:pPr>
      <w:r>
        <w:rPr>
          <w:rFonts w:hint="eastAsia" w:ascii="黑体" w:hAnsi="黑体" w:eastAsia="黑体" w:cs="黑体"/>
          <w:color w:val="000000"/>
          <w:kern w:val="0"/>
          <w:sz w:val="21"/>
          <w:szCs w:val="21"/>
          <w:lang w:val="en-US" w:eastAsia="zh-CN" w:bidi="ar"/>
        </w:rPr>
        <w:t>7.1.5</w:t>
      </w:r>
      <w:r>
        <w:rPr>
          <w:rFonts w:hint="eastAsia"/>
          <w:lang w:val="en-US" w:eastAsia="zh-CN"/>
        </w:rPr>
        <w:t xml:space="preserve">  工作区域，应每24h清洁消毒一次，手术完毕后，及时进行手术间清洁消毒后才能再次使用。</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line="240" w:lineRule="auto"/>
        <w:ind w:left="0" w:leftChars="0" w:firstLine="0" w:firstLineChars="0"/>
        <w:textAlignment w:val="auto"/>
        <w:rPr>
          <w:rFonts w:hint="eastAsia"/>
          <w:lang w:val="en-US" w:eastAsia="zh-CN"/>
        </w:rPr>
      </w:pPr>
      <w:r>
        <w:rPr>
          <w:rFonts w:hint="eastAsia"/>
          <w:lang w:val="en-US" w:eastAsia="zh-CN"/>
        </w:rPr>
        <w:t>连台手术，应对手术间工作区域及接触患者及其血液、体液的设施、仪器设备、物体表面、手术台面、</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line="240" w:lineRule="auto"/>
        <w:ind w:left="0" w:leftChars="0" w:firstLine="0" w:firstLineChars="0"/>
        <w:textAlignment w:val="auto"/>
        <w:rPr>
          <w:rFonts w:hint="eastAsia"/>
          <w:lang w:val="en-US" w:eastAsia="zh-CN"/>
        </w:rPr>
      </w:pPr>
      <w:r>
        <w:rPr>
          <w:rFonts w:hint="eastAsia"/>
          <w:lang w:val="en-US" w:eastAsia="zh-CN"/>
        </w:rPr>
        <w:t>灯、地面等进行清洁处理，要求符合WS/T 512 医疗机构环境表面清洁与消毒管理规范；</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line="240" w:lineRule="auto"/>
        <w:ind w:left="0" w:leftChars="0" w:firstLine="0" w:firstLineChars="0"/>
        <w:textAlignment w:val="auto"/>
        <w:rPr>
          <w:rFonts w:hint="default"/>
          <w:lang w:val="en-US" w:eastAsia="zh-CN"/>
        </w:rPr>
      </w:pPr>
      <w:r>
        <w:rPr>
          <w:rFonts w:hint="eastAsia" w:ascii="黑体" w:hAnsi="黑体" w:eastAsia="黑体" w:cs="黑体"/>
          <w:color w:val="000000"/>
          <w:kern w:val="0"/>
          <w:sz w:val="21"/>
          <w:szCs w:val="21"/>
          <w:lang w:val="en-US" w:eastAsia="zh-CN" w:bidi="ar"/>
        </w:rPr>
        <w:t>7</w:t>
      </w:r>
      <w:r>
        <w:rPr>
          <w:rFonts w:hint="default" w:ascii="黑体" w:hAnsi="黑体" w:eastAsia="黑体" w:cs="黑体"/>
          <w:color w:val="000000"/>
          <w:kern w:val="0"/>
          <w:sz w:val="21"/>
          <w:szCs w:val="21"/>
          <w:lang w:val="en-US" w:eastAsia="zh-CN" w:bidi="ar"/>
        </w:rPr>
        <w:t>.1.6</w:t>
      </w:r>
      <w:r>
        <w:rPr>
          <w:rFonts w:hint="default"/>
          <w:lang w:val="en-US" w:eastAsia="zh-CN"/>
        </w:rPr>
        <w:t xml:space="preserve"> 传染病患者的手术应在隔离手术间进行。手术结束后，应对手术间环境及物品、仪器等进行终末消毒。</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line="240" w:lineRule="auto"/>
        <w:ind w:left="0" w:leftChars="0" w:firstLine="0" w:firstLineChars="0"/>
        <w:textAlignment w:val="auto"/>
        <w:rPr>
          <w:rFonts w:hint="default"/>
          <w:lang w:val="en-US" w:eastAsia="zh-CN"/>
        </w:rPr>
      </w:pPr>
      <w:r>
        <w:rPr>
          <w:rFonts w:hint="eastAsia" w:ascii="黑体" w:hAnsi="黑体" w:eastAsia="黑体" w:cs="黑体"/>
          <w:color w:val="000000"/>
          <w:kern w:val="0"/>
          <w:sz w:val="21"/>
          <w:szCs w:val="21"/>
          <w:lang w:val="en-US" w:eastAsia="zh-CN" w:bidi="ar"/>
        </w:rPr>
        <w:t>7</w:t>
      </w:r>
      <w:r>
        <w:rPr>
          <w:rFonts w:hint="default" w:ascii="黑体" w:hAnsi="黑体" w:eastAsia="黑体" w:cs="黑体"/>
          <w:color w:val="000000"/>
          <w:kern w:val="0"/>
          <w:sz w:val="21"/>
          <w:szCs w:val="21"/>
          <w:lang w:val="en-US" w:eastAsia="zh-CN" w:bidi="ar"/>
        </w:rPr>
        <w:t>.1.7</w:t>
      </w:r>
      <w:r>
        <w:rPr>
          <w:rFonts w:hint="default"/>
          <w:lang w:val="en-US" w:eastAsia="zh-CN"/>
        </w:rPr>
        <w:t xml:space="preserve"> 不同区域及不同手术用房的清洁、消毒用具应分开使用。拖布、抹布等用具应采用不易掉纤维的织物材料。</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default"/>
          <w:lang w:val="en-US" w:eastAsia="zh-CN"/>
        </w:rPr>
      </w:pPr>
      <w:r>
        <w:rPr>
          <w:rFonts w:hint="eastAsia" w:ascii="黑体" w:hAnsi="黑体" w:eastAsia="黑体" w:cs="黑体"/>
          <w:color w:val="000000"/>
          <w:kern w:val="0"/>
          <w:sz w:val="21"/>
          <w:szCs w:val="21"/>
          <w:lang w:val="en-US" w:eastAsia="zh-CN" w:bidi="ar"/>
        </w:rPr>
        <w:t>7</w:t>
      </w:r>
      <w:r>
        <w:rPr>
          <w:rFonts w:hint="default" w:ascii="黑体" w:hAnsi="黑体" w:eastAsia="黑体" w:cs="黑体"/>
          <w:color w:val="000000"/>
          <w:kern w:val="0"/>
          <w:sz w:val="21"/>
          <w:szCs w:val="21"/>
          <w:lang w:val="en-US" w:eastAsia="zh-CN" w:bidi="ar"/>
        </w:rPr>
        <w:t>.1.8</w:t>
      </w:r>
      <w:r>
        <w:rPr>
          <w:rFonts w:hint="default"/>
          <w:lang w:val="en-US" w:eastAsia="zh-CN"/>
        </w:rPr>
        <w:t xml:space="preserve"> 医疗废物的处理应按照《医疗废物管理条例》及有关规定执行。</w:t>
      </w:r>
    </w:p>
    <w:p>
      <w:pPr>
        <w:pStyle w:val="231"/>
        <w:keepNext w:val="0"/>
        <w:keepLines w:val="0"/>
        <w:pageBreakBefore w:val="0"/>
        <w:widowControl/>
        <w:kinsoku/>
        <w:wordWrap/>
        <w:overflowPunct/>
        <w:topLinePunct w:val="0"/>
        <w:autoSpaceDE w:val="0"/>
        <w:autoSpaceDN w:val="0"/>
        <w:bidi w:val="0"/>
        <w:adjustRightInd/>
        <w:snapToGrid/>
        <w:spacing w:before="159" w:beforeLines="50" w:beforeAutospacing="0" w:after="159" w:afterLines="50" w:afterAutospacing="0" w:line="240" w:lineRule="auto"/>
        <w:ind w:left="0" w:leftChars="0" w:firstLine="0" w:firstLineChars="0"/>
        <w:textAlignment w:val="auto"/>
        <w:rPr>
          <w:rFonts w:hint="default" w:ascii="黑体" w:hAnsi="黑体" w:eastAsia="黑体" w:cs="黑体"/>
          <w:lang w:val="en-US" w:eastAsia="zh-CN"/>
        </w:rPr>
      </w:pPr>
      <w:r>
        <w:rPr>
          <w:rFonts w:hint="eastAsia" w:ascii="黑体" w:hAnsi="黑体" w:eastAsia="黑体" w:cs="黑体"/>
          <w:lang w:val="en-US" w:eastAsia="zh-CN"/>
        </w:rPr>
        <w:t>7.2  设备与器械要求</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 xml:space="preserve">7.2.1  </w:t>
      </w:r>
      <w:r>
        <w:rPr>
          <w:rFonts w:hint="eastAsia" w:ascii="宋体" w:hAnsi="宋体" w:eastAsia="宋体" w:cs="宋体"/>
          <w:lang w:val="en-US" w:eastAsia="zh-CN"/>
        </w:rPr>
        <w:t>进入人体组织或无菌器官的器械、器具及物品应达到灭菌标准，</w:t>
      </w:r>
      <w:r>
        <w:rPr>
          <w:rFonts w:hint="eastAsia" w:hAnsi="宋体" w:cs="宋体"/>
          <w:lang w:val="en-US" w:eastAsia="zh-CN"/>
        </w:rPr>
        <w:t>并</w:t>
      </w:r>
      <w:r>
        <w:rPr>
          <w:rFonts w:hint="eastAsia" w:ascii="宋体" w:hAnsi="宋体" w:eastAsia="宋体" w:cs="宋体"/>
          <w:lang w:val="en-US" w:eastAsia="zh-CN"/>
        </w:rPr>
        <w:t>有灭菌效果的监测</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 xml:space="preserve">7.2.2  </w:t>
      </w:r>
      <w:r>
        <w:rPr>
          <w:rFonts w:hint="eastAsia" w:ascii="宋体" w:hAnsi="宋体" w:eastAsia="宋体" w:cs="宋体"/>
          <w:lang w:val="en-US" w:eastAsia="zh-CN"/>
        </w:rPr>
        <w:t>接触患者皮肤、</w:t>
      </w:r>
      <w:r>
        <w:rPr>
          <w:rFonts w:hint="eastAsia" w:hAnsi="宋体" w:cs="宋体"/>
          <w:lang w:val="en-US" w:eastAsia="zh-CN"/>
        </w:rPr>
        <w:t>黏膜</w:t>
      </w:r>
      <w:r>
        <w:rPr>
          <w:rFonts w:hint="eastAsia" w:ascii="宋体" w:hAnsi="宋体" w:eastAsia="宋体" w:cs="宋体"/>
          <w:lang w:val="en-US" w:eastAsia="zh-CN"/>
        </w:rPr>
        <w:t>的器械、器具及物品应一人一用一消毒</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 xml:space="preserve">7.2.3  </w:t>
      </w:r>
      <w:r>
        <w:rPr>
          <w:rFonts w:hint="eastAsia" w:ascii="宋体" w:hAnsi="宋体" w:eastAsia="宋体" w:cs="宋体"/>
          <w:lang w:val="en-US" w:eastAsia="zh-CN"/>
        </w:rPr>
        <w:t>一次性使用的医疗器械、器具应符合国家有关规定，不得重复使用</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hAnsi="宋体" w:cs="宋体"/>
          <w:lang w:val="en-US" w:eastAsia="zh-CN"/>
        </w:rPr>
      </w:pPr>
      <w:r>
        <w:rPr>
          <w:rFonts w:hint="eastAsia" w:ascii="黑体" w:hAnsi="黑体" w:eastAsia="黑体" w:cs="黑体"/>
          <w:lang w:val="en-US" w:eastAsia="zh-CN"/>
        </w:rPr>
        <w:t xml:space="preserve">7.2.4  </w:t>
      </w:r>
      <w:r>
        <w:rPr>
          <w:rFonts w:hint="eastAsia" w:ascii="宋体" w:hAnsi="宋体" w:eastAsia="宋体" w:cs="宋体"/>
          <w:lang w:val="en-US" w:eastAsia="zh-CN"/>
        </w:rPr>
        <w:t>无菌物品柜或物品架应距地面高度≥20cm、距</w:t>
      </w:r>
      <w:r>
        <w:rPr>
          <w:rFonts w:hint="eastAsia" w:hAnsi="宋体" w:cs="宋体"/>
          <w:lang w:val="en-US" w:eastAsia="zh-CN"/>
        </w:rPr>
        <w:t>墙</w:t>
      </w:r>
      <w:r>
        <w:rPr>
          <w:rFonts w:hint="eastAsia" w:ascii="宋体" w:hAnsi="宋体" w:eastAsia="宋体" w:cs="宋体"/>
          <w:lang w:val="en-US" w:eastAsia="zh-CN"/>
        </w:rPr>
        <w:t>≥5cm、距天花板≥50cm，标识清楚，分类放置</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包装不合格、超过灭菌有效期或可疑被污染的物品不得使用</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 xml:space="preserve">7.2.5  </w:t>
      </w:r>
      <w:r>
        <w:rPr>
          <w:rFonts w:hint="eastAsia" w:ascii="宋体" w:hAnsi="宋体" w:eastAsia="宋体" w:cs="宋体"/>
          <w:lang w:val="en-US" w:eastAsia="zh-CN"/>
        </w:rPr>
        <w:t>设备管理应做到专人管理、定点存放、定期检查和定期维护，同时应注意防尘、防潮、防蚀和</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Autospacing="0" w:line="240" w:lineRule="auto"/>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防盗。</w:t>
      </w:r>
    </w:p>
    <w:p>
      <w:pPr>
        <w:pStyle w:val="231"/>
        <w:keepNext w:val="0"/>
        <w:keepLines w:val="0"/>
        <w:pageBreakBefore w:val="0"/>
        <w:widowControl/>
        <w:kinsoku/>
        <w:wordWrap/>
        <w:overflowPunct/>
        <w:topLinePunct w:val="0"/>
        <w:autoSpaceDE w:val="0"/>
        <w:autoSpaceDN w:val="0"/>
        <w:bidi w:val="0"/>
        <w:adjustRightInd/>
        <w:snapToGrid/>
        <w:spacing w:before="159" w:beforeLines="50" w:beforeAutospacing="0" w:after="159" w:afterLines="50" w:afterAutospacing="0" w:line="240" w:lineRule="auto"/>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7.3  人员要求</w:t>
      </w:r>
    </w:p>
    <w:p>
      <w:pPr>
        <w:pStyle w:val="231"/>
        <w:keepNext w:val="0"/>
        <w:keepLines w:val="0"/>
        <w:pageBreakBefore w:val="0"/>
        <w:widowControl/>
        <w:kinsoku/>
        <w:wordWrap/>
        <w:overflowPunct/>
        <w:topLinePunct w:val="0"/>
        <w:autoSpaceDE w:val="0"/>
        <w:autoSpaceDN w:val="0"/>
        <w:bidi w:val="0"/>
        <w:adjustRightInd/>
        <w:snapToGrid/>
        <w:spacing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7.3.1</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进入手术</w:t>
      </w:r>
      <w:r>
        <w:rPr>
          <w:rFonts w:hint="eastAsia" w:hAnsi="宋体" w:cs="宋体"/>
          <w:lang w:val="en-US" w:eastAsia="zh-CN"/>
        </w:rPr>
        <w:t>室</w:t>
      </w:r>
      <w:r>
        <w:rPr>
          <w:rFonts w:hint="eastAsia" w:ascii="宋体" w:hAnsi="宋体" w:eastAsia="宋体" w:cs="宋体"/>
          <w:lang w:val="en-US" w:eastAsia="zh-CN"/>
        </w:rPr>
        <w:t>（</w:t>
      </w:r>
      <w:r>
        <w:rPr>
          <w:rFonts w:hint="eastAsia" w:hAnsi="宋体" w:cs="宋体"/>
          <w:lang w:val="en-US" w:eastAsia="zh-CN"/>
        </w:rPr>
        <w:t>区</w:t>
      </w:r>
      <w:r>
        <w:rPr>
          <w:rFonts w:hint="eastAsia" w:ascii="宋体" w:hAnsi="宋体" w:eastAsia="宋体" w:cs="宋体"/>
          <w:lang w:val="en-US" w:eastAsia="zh-CN"/>
        </w:rPr>
        <w:t>）的人员应更换手术专用服装和鞋，戴好手术帽和口罩，头发不可外露，口罩</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应遮住口鼻。手术结束将手术专用服装、鞋、手术帽和口罩等放入指定位置。外出时穿外出服、更换外</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出鞋</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7.3.2</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医务人员应执行WS/T313 医务人员手卫生规范</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7.3.3</w:t>
      </w:r>
      <w:r>
        <w:rPr>
          <w:rFonts w:hint="eastAsia" w:hAnsi="宋体" w:cs="宋体"/>
          <w:lang w:val="en-US" w:eastAsia="zh-CN"/>
        </w:rPr>
        <w:t xml:space="preserve">  </w:t>
      </w:r>
      <w:r>
        <w:rPr>
          <w:rFonts w:hint="eastAsia" w:ascii="宋体" w:hAnsi="宋体" w:eastAsia="宋体" w:cs="宋体"/>
          <w:lang w:val="en-US" w:eastAsia="zh-CN"/>
        </w:rPr>
        <w:t>根据手术通知单上参加手术人员的名字进行管理，其他人员均不准入内。每个手术间</w:t>
      </w:r>
      <w:r>
        <w:rPr>
          <w:rFonts w:hint="eastAsia" w:hAnsi="宋体" w:cs="宋体"/>
          <w:lang w:val="en-US" w:eastAsia="zh-CN"/>
        </w:rPr>
        <w:t>最多</w:t>
      </w:r>
      <w:r>
        <w:rPr>
          <w:rFonts w:hint="eastAsia" w:ascii="宋体" w:hAnsi="宋体" w:eastAsia="宋体" w:cs="宋体"/>
          <w:lang w:val="en-US" w:eastAsia="zh-CN"/>
        </w:rPr>
        <w:t>只允许5名手术医生进入</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7.3.4</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见习、进修和参观人员需经医院有关部门批准办理相关手续后方可进入手术</w:t>
      </w:r>
      <w:r>
        <w:rPr>
          <w:rFonts w:hint="eastAsia" w:hAnsi="宋体" w:cs="宋体"/>
          <w:lang w:val="en-US" w:eastAsia="zh-CN"/>
        </w:rPr>
        <w:t>室</w:t>
      </w:r>
      <w:r>
        <w:rPr>
          <w:rFonts w:hint="eastAsia" w:ascii="宋体" w:hAnsi="宋体" w:eastAsia="宋体" w:cs="宋体"/>
          <w:lang w:val="en-US" w:eastAsia="zh-CN"/>
        </w:rPr>
        <w:t>（</w:t>
      </w:r>
      <w:r>
        <w:rPr>
          <w:rFonts w:hint="eastAsia" w:hAnsi="宋体" w:cs="宋体"/>
          <w:lang w:val="en-US" w:eastAsia="zh-CN"/>
        </w:rPr>
        <w:t>区</w:t>
      </w:r>
      <w:r>
        <w:rPr>
          <w:rFonts w:hint="eastAsia" w:ascii="宋体" w:hAnsi="宋体" w:eastAsia="宋体" w:cs="宋体"/>
          <w:lang w:val="en-US" w:eastAsia="zh-CN"/>
        </w:rPr>
        <w:t>），应接受</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手术</w:t>
      </w:r>
      <w:r>
        <w:rPr>
          <w:rFonts w:hint="eastAsia" w:hAnsi="宋体" w:cs="宋体"/>
          <w:lang w:val="en-US" w:eastAsia="zh-CN"/>
        </w:rPr>
        <w:t>室</w:t>
      </w:r>
      <w:r>
        <w:rPr>
          <w:rFonts w:hint="eastAsia" w:ascii="宋体" w:hAnsi="宋体" w:eastAsia="宋体" w:cs="宋体"/>
          <w:lang w:val="en-US" w:eastAsia="zh-CN"/>
        </w:rPr>
        <w:t>（</w:t>
      </w:r>
      <w:r>
        <w:rPr>
          <w:rFonts w:hint="eastAsia" w:hAnsi="宋体" w:cs="宋体"/>
          <w:lang w:val="en-US" w:eastAsia="zh-CN"/>
        </w:rPr>
        <w:t>区</w:t>
      </w:r>
      <w:r>
        <w:rPr>
          <w:rFonts w:hint="eastAsia" w:ascii="宋体" w:hAnsi="宋体" w:eastAsia="宋体" w:cs="宋体"/>
          <w:lang w:val="en-US" w:eastAsia="zh-CN"/>
        </w:rPr>
        <w:t>）人员的管理，遵守手术</w:t>
      </w:r>
      <w:r>
        <w:rPr>
          <w:rFonts w:hint="eastAsia" w:hAnsi="宋体" w:cs="宋体"/>
          <w:lang w:val="en-US" w:eastAsia="zh-CN"/>
        </w:rPr>
        <w:t>室</w:t>
      </w:r>
      <w:r>
        <w:rPr>
          <w:rFonts w:hint="eastAsia" w:ascii="宋体" w:hAnsi="宋体" w:eastAsia="宋体" w:cs="宋体"/>
          <w:lang w:val="en-US" w:eastAsia="zh-CN"/>
        </w:rPr>
        <w:t>（</w:t>
      </w:r>
      <w:r>
        <w:rPr>
          <w:rFonts w:hint="eastAsia" w:hAnsi="宋体" w:cs="宋体"/>
          <w:lang w:val="en-US" w:eastAsia="zh-CN"/>
        </w:rPr>
        <w:t>区</w:t>
      </w:r>
      <w:r>
        <w:rPr>
          <w:rFonts w:hint="eastAsia" w:ascii="宋体" w:hAnsi="宋体" w:eastAsia="宋体" w:cs="宋体"/>
          <w:lang w:val="en-US" w:eastAsia="zh-CN"/>
        </w:rPr>
        <w:t>）各项规章制度及无菌原则，在指定手术间参观，不得任意</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游走及出入</w:t>
      </w:r>
      <w:r>
        <w:rPr>
          <w:rFonts w:hint="eastAsia" w:hAnsi="宋体" w:cs="宋体"/>
          <w:lang w:val="en-US" w:eastAsia="zh-CN"/>
        </w:rPr>
        <w:t>，</w:t>
      </w:r>
      <w:r>
        <w:rPr>
          <w:rFonts w:hint="eastAsia" w:ascii="宋体" w:hAnsi="宋体" w:eastAsia="宋体" w:cs="宋体"/>
          <w:lang w:val="en-US" w:eastAsia="zh-CN"/>
        </w:rPr>
        <w:t>感染手术谢绝参观</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7.3.5</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在手术过程中手术间的门应</w:t>
      </w:r>
      <w:r>
        <w:rPr>
          <w:rFonts w:hint="eastAsia" w:hAnsi="宋体" w:cs="宋体"/>
          <w:lang w:val="en-US" w:eastAsia="zh-CN"/>
        </w:rPr>
        <w:t>保持</w:t>
      </w:r>
      <w:r>
        <w:rPr>
          <w:rFonts w:hint="eastAsia" w:ascii="宋体" w:hAnsi="宋体" w:eastAsia="宋体" w:cs="宋体"/>
          <w:lang w:val="en-US" w:eastAsia="zh-CN"/>
        </w:rPr>
        <w:t>关闭，减少人员出入</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7.3.6</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患有上呼吸道感染或者其他传染病的工作人员应限制进入手术部（室）工作</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79" w:afterLines="25"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7.3.7</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各级医务人员要严肃、认真、密切配合，不得在手术中议论与手术无关的事，执行保护医疗制度</w:t>
      </w:r>
      <w:r>
        <w:rPr>
          <w:rFonts w:hint="eastAsia" w:hAnsi="宋体" w:cs="宋体"/>
          <w:lang w:val="en-US" w:eastAsia="zh-CN"/>
        </w:rPr>
        <w:t>；</w:t>
      </w:r>
    </w:p>
    <w:p>
      <w:pPr>
        <w:pStyle w:val="231"/>
        <w:keepNext w:val="0"/>
        <w:keepLines w:val="0"/>
        <w:pageBreakBefore w:val="0"/>
        <w:widowControl/>
        <w:kinsoku/>
        <w:wordWrap/>
        <w:overflowPunct/>
        <w:topLinePunct w:val="0"/>
        <w:autoSpaceDE w:val="0"/>
        <w:autoSpaceDN w:val="0"/>
        <w:bidi w:val="0"/>
        <w:adjustRightInd/>
        <w:snapToGrid/>
        <w:spacing w:before="79" w:beforeLines="25" w:beforeAutospacing="0" w:afterAutospacing="0" w:line="240" w:lineRule="auto"/>
        <w:ind w:left="0" w:leftChars="0" w:firstLine="0" w:firstLineChars="0"/>
        <w:textAlignment w:val="auto"/>
        <w:rPr>
          <w:rFonts w:hint="eastAsia" w:ascii="宋体" w:hAnsi="宋体" w:eastAsia="宋体" w:cs="宋体"/>
          <w:lang w:val="en-US" w:eastAsia="zh-CN"/>
        </w:rPr>
      </w:pPr>
      <w:r>
        <w:rPr>
          <w:rFonts w:hint="eastAsia" w:ascii="黑体" w:hAnsi="黑体" w:eastAsia="黑体" w:cs="黑体"/>
          <w:lang w:val="en-US" w:eastAsia="zh-CN"/>
        </w:rPr>
        <w:t>7.3.8</w:t>
      </w:r>
      <w:r>
        <w:rPr>
          <w:rFonts w:hint="eastAsia" w:ascii="宋体" w:hAnsi="宋体" w:eastAsia="宋体" w:cs="宋体"/>
          <w:lang w:val="en-US" w:eastAsia="zh-CN"/>
        </w:rPr>
        <w:t xml:space="preserve"> </w:t>
      </w:r>
      <w:r>
        <w:rPr>
          <w:rFonts w:hint="eastAsia" w:hAnsi="宋体" w:cs="宋体"/>
          <w:lang w:val="en-US" w:eastAsia="zh-CN"/>
        </w:rPr>
        <w:t xml:space="preserve"> </w:t>
      </w:r>
      <w:r>
        <w:rPr>
          <w:rFonts w:hint="eastAsia" w:ascii="宋体" w:hAnsi="宋体" w:eastAsia="宋体" w:cs="宋体"/>
          <w:lang w:val="en-US" w:eastAsia="zh-CN"/>
        </w:rPr>
        <w:t>应做好医务人员的职业卫生安全与防护</w:t>
      </w:r>
      <w:r>
        <w:rPr>
          <w:rFonts w:hint="eastAsia" w:hAnsi="宋体" w:cs="宋体"/>
          <w:lang w:val="en-US" w:eastAsia="zh-CN"/>
        </w:rPr>
        <w:t>工</w:t>
      </w:r>
      <w:r>
        <w:rPr>
          <w:rFonts w:hint="eastAsia" w:ascii="宋体" w:hAnsi="宋体" w:eastAsia="宋体" w:cs="宋体"/>
          <w:lang w:val="en-US" w:eastAsia="zh-CN"/>
        </w:rPr>
        <w:t>作，制定具体措施，配备必要的防护用品</w:t>
      </w:r>
      <w:r>
        <w:rPr>
          <w:rFonts w:hint="eastAsia" w:hAnsi="宋体" w:cs="宋体"/>
          <w:lang w:val="en-US" w:eastAsia="zh-CN"/>
        </w:rPr>
        <w:t>。</w:t>
      </w:r>
    </w:p>
    <w:p>
      <w:pPr>
        <w:pStyle w:val="233"/>
        <w:numPr>
          <w:ilvl w:val="0"/>
          <w:numId w:val="0"/>
        </w:numPr>
        <w:spacing w:before="315" w:beforeLines="100" w:beforeAutospacing="0"/>
        <w:ind w:leftChars="0"/>
        <w:rPr>
          <w:rFonts w:hint="eastAsia"/>
          <w:szCs w:val="22"/>
          <w:lang w:val="en-US" w:eastAsia="zh-CN"/>
        </w:rPr>
      </w:pPr>
      <w:r>
        <w:rPr>
          <w:rFonts w:hint="eastAsia"/>
          <w:szCs w:val="22"/>
          <w:lang w:val="en-US" w:eastAsia="zh-CN"/>
        </w:rPr>
        <w:t>8  质量管理</w:t>
      </w:r>
    </w:p>
    <w:p>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lang w:val="en-US" w:eastAsia="zh-CN"/>
        </w:rPr>
      </w:pPr>
      <w:r>
        <w:rPr>
          <w:rFonts w:hint="eastAsia" w:ascii="黑体" w:hAnsi="黑体" w:eastAsia="黑体" w:cs="黑体"/>
          <w:lang w:val="en-US" w:eastAsia="zh-CN"/>
        </w:rPr>
        <w:t>8.1</w:t>
      </w:r>
      <w:r>
        <w:rPr>
          <w:rFonts w:hint="eastAsia"/>
          <w:lang w:val="en-US" w:eastAsia="zh-CN"/>
        </w:rPr>
        <w:t xml:space="preserve">  建立完善的质量监控体系，对急诊创伤整形修复服务的全过程进行监控和管理；</w:t>
      </w:r>
    </w:p>
    <w:p>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lang w:val="en-US" w:eastAsia="zh-CN"/>
        </w:rPr>
      </w:pPr>
      <w:r>
        <w:rPr>
          <w:rFonts w:hint="eastAsia" w:ascii="黑体" w:hAnsi="黑体" w:eastAsia="黑体" w:cs="黑体"/>
          <w:lang w:val="en-US" w:eastAsia="zh-CN"/>
        </w:rPr>
        <w:t>8.2</w:t>
      </w:r>
      <w:r>
        <w:rPr>
          <w:rFonts w:hint="eastAsia"/>
          <w:lang w:val="en-US" w:eastAsia="zh-CN"/>
        </w:rPr>
        <w:t xml:space="preserve">  定期对医疗质量进行评估和考核，及时发现问题并采取改进措施；</w:t>
      </w:r>
    </w:p>
    <w:p>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lang w:val="en-US" w:eastAsia="zh-CN"/>
        </w:rPr>
      </w:pPr>
      <w:r>
        <w:rPr>
          <w:rFonts w:hint="eastAsia" w:ascii="黑体" w:hAnsi="Times New Roman" w:eastAsia="黑体" w:cs="Times New Roman"/>
          <w:sz w:val="21"/>
          <w:szCs w:val="22"/>
          <w:lang w:val="en-US" w:eastAsia="zh-CN" w:bidi="ar-SA"/>
        </w:rPr>
        <w:t>8.3</w:t>
      </w:r>
      <w:r>
        <w:rPr>
          <w:rFonts w:hint="eastAsia"/>
          <w:lang w:val="en-US" w:eastAsia="zh-CN"/>
        </w:rPr>
        <w:t xml:space="preserve">  建立健全质量管理追溯制度，做好手术相关不良事件的报告、调查、分析和考核工作；</w:t>
      </w:r>
    </w:p>
    <w:p>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sz w:val="21"/>
          <w:szCs w:val="22"/>
          <w:lang w:val="en-US" w:eastAsia="zh-CN" w:bidi="ar-SA"/>
        </w:rPr>
        <w:t>8.4</w:t>
      </w:r>
      <w:r>
        <w:rPr>
          <w:rFonts w:hint="eastAsia"/>
          <w:lang w:val="en-US" w:eastAsia="zh-CN"/>
        </w:rPr>
        <w:t xml:space="preserve">  鼓励患者参与质量评价，收集患者反馈意见，</w:t>
      </w:r>
      <w:r>
        <w:rPr>
          <w:rFonts w:hint="eastAsia" w:ascii="宋体" w:hAnsi="宋体" w:eastAsia="宋体" w:cs="宋体"/>
          <w:color w:val="000000"/>
          <w:kern w:val="0"/>
          <w:sz w:val="21"/>
          <w:szCs w:val="21"/>
          <w:lang w:val="en-US" w:eastAsia="zh-CN" w:bidi="ar"/>
        </w:rPr>
        <w:t>通过开展服务满意度测评、服务质量问卷调查、就</w:t>
      </w:r>
    </w:p>
    <w:p>
      <w:pPr>
        <w:pStyle w:val="231"/>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default"/>
          <w:lang w:val="en-US" w:eastAsia="zh-CN"/>
        </w:rPr>
      </w:pPr>
      <w:r>
        <w:rPr>
          <w:rFonts w:hint="eastAsia" w:ascii="宋体" w:hAnsi="宋体" w:eastAsia="宋体" w:cs="宋体"/>
          <w:color w:val="000000"/>
          <w:kern w:val="0"/>
          <w:sz w:val="21"/>
          <w:szCs w:val="21"/>
          <w:lang w:val="en-US" w:eastAsia="zh-CN" w:bidi="ar"/>
        </w:rPr>
        <w:t>诊建议及群众意见反馈、设置意见箱等方式，完善服务质量的自我评价</w:t>
      </w:r>
      <w:r>
        <w:rPr>
          <w:rFonts w:hint="eastAsia" w:hAnsi="宋体" w:cs="宋体"/>
          <w:color w:val="000000"/>
          <w:kern w:val="0"/>
          <w:sz w:val="21"/>
          <w:szCs w:val="21"/>
          <w:lang w:val="en-US" w:eastAsia="zh-CN" w:bidi="ar"/>
        </w:rPr>
        <w:t>，</w:t>
      </w:r>
      <w:r>
        <w:rPr>
          <w:rFonts w:hint="eastAsia"/>
          <w:lang w:val="en-US" w:eastAsia="zh-CN"/>
        </w:rPr>
        <w:t>持续提升服务质量。</w:t>
      </w:r>
    </w:p>
    <w:p>
      <w:pPr>
        <w:pStyle w:val="233"/>
        <w:numPr>
          <w:ilvl w:val="0"/>
          <w:numId w:val="0"/>
        </w:numPr>
        <w:ind w:leftChars="0"/>
        <w:rPr>
          <w:rFonts w:hint="eastAsia" w:ascii="宋体" w:hAnsi="宋体" w:eastAsia="宋体" w:cs="宋体"/>
          <w:kern w:val="2"/>
          <w:sz w:val="21"/>
          <w:szCs w:val="21"/>
          <w:lang w:val="en-US" w:eastAsia="zh-CN" w:bidi="zh-CN"/>
        </w:rPr>
      </w:pPr>
      <w:r>
        <w:rPr>
          <w:rFonts w:hint="eastAsia"/>
          <w:szCs w:val="22"/>
          <w:lang w:val="en-US" w:eastAsia="zh-CN"/>
        </w:rPr>
        <w:t>9  消防与安全要求</w:t>
      </w:r>
    </w:p>
    <w:p>
      <w:pPr>
        <w:pStyle w:val="235"/>
        <w:numPr>
          <w:ilvl w:val="1"/>
          <w:numId w:val="0"/>
        </w:numPr>
        <w:ind w:leftChars="0"/>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sz w:val="21"/>
          <w:szCs w:val="22"/>
          <w:lang w:val="en-US" w:eastAsia="zh-CN" w:bidi="ar-SA"/>
        </w:rPr>
        <w:t>9.1</w:t>
      </w:r>
      <w:r>
        <w:rPr>
          <w:rFonts w:hint="eastAsia" w:ascii="宋体" w:hAnsi="宋体" w:eastAsia="宋体" w:cs="宋体"/>
          <w:color w:val="000000"/>
          <w:kern w:val="0"/>
          <w:sz w:val="21"/>
          <w:szCs w:val="21"/>
          <w:lang w:val="en-US" w:eastAsia="zh-CN" w:bidi="ar"/>
        </w:rPr>
        <w:t xml:space="preserve">  应按照GB 25201规定的技术要求和方法，落实建筑消防设施的日常维护管理，保证配置齐全、完</w:t>
      </w:r>
    </w:p>
    <w:p>
      <w:pPr>
        <w:pStyle w:val="235"/>
        <w:numPr>
          <w:ilvl w:val="1"/>
          <w:numId w:val="0"/>
        </w:numPr>
        <w:ind w:leftChars="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好有效；</w:t>
      </w:r>
    </w:p>
    <w:p>
      <w:pPr>
        <w:pStyle w:val="235"/>
        <w:numPr>
          <w:ilvl w:val="1"/>
          <w:numId w:val="0"/>
        </w:numPr>
        <w:ind w:leftChars="0"/>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sz w:val="21"/>
          <w:szCs w:val="22"/>
          <w:lang w:val="en-US" w:eastAsia="zh-CN" w:bidi="ar-SA"/>
        </w:rPr>
        <w:t>9.2</w:t>
      </w:r>
      <w:r>
        <w:rPr>
          <w:rFonts w:hint="eastAsia" w:ascii="宋体" w:hAnsi="宋体" w:eastAsia="宋体" w:cs="宋体"/>
          <w:color w:val="000000"/>
          <w:kern w:val="0"/>
          <w:sz w:val="21"/>
          <w:szCs w:val="21"/>
          <w:lang w:val="en-US" w:eastAsia="zh-CN" w:bidi="ar"/>
        </w:rPr>
        <w:t xml:space="preserve">  灭火器应按照GB 50140的规定，结合场所的火灾类别和危险等级，配置灭火器；</w:t>
      </w:r>
    </w:p>
    <w:p>
      <w:pPr>
        <w:pStyle w:val="235"/>
        <w:numPr>
          <w:ilvl w:val="1"/>
          <w:numId w:val="0"/>
        </w:numPr>
        <w:ind w:leftChars="0"/>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sz w:val="21"/>
          <w:szCs w:val="22"/>
          <w:lang w:val="en-US" w:eastAsia="zh-CN" w:bidi="ar-SA"/>
        </w:rPr>
        <w:t>9.3</w:t>
      </w:r>
      <w:r>
        <w:rPr>
          <w:rFonts w:hint="eastAsia" w:ascii="宋体" w:hAnsi="宋体" w:eastAsia="宋体" w:cs="宋体"/>
          <w:color w:val="000000"/>
          <w:kern w:val="0"/>
          <w:sz w:val="21"/>
          <w:szCs w:val="21"/>
          <w:lang w:val="en-US" w:eastAsia="zh-CN" w:bidi="ar"/>
        </w:rPr>
        <w:t xml:space="preserve">  出入通道应保证救护车、消防车等特种车辆能就近停靠救援，方便轮椅及平车通行，配有夜间照</w:t>
      </w:r>
    </w:p>
    <w:p>
      <w:pPr>
        <w:pStyle w:val="235"/>
        <w:numPr>
          <w:ilvl w:val="1"/>
          <w:numId w:val="0"/>
        </w:numPr>
        <w:ind w:leftChars="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明和标识，室内外无障碍；</w:t>
      </w:r>
    </w:p>
    <w:p>
      <w:pPr>
        <w:pStyle w:val="235"/>
        <w:numPr>
          <w:ilvl w:val="1"/>
          <w:numId w:val="0"/>
        </w:numPr>
        <w:ind w:leftChars="0"/>
        <w:rPr>
          <w:rFonts w:hint="eastAsia" w:ascii="宋体" w:hAnsi="宋体" w:eastAsia="宋体" w:cs="宋体"/>
          <w:color w:val="000000"/>
          <w:kern w:val="0"/>
          <w:sz w:val="21"/>
          <w:szCs w:val="21"/>
          <w:lang w:val="en-US" w:eastAsia="zh-CN" w:bidi="ar"/>
        </w:rPr>
      </w:pPr>
      <w:r>
        <w:rPr>
          <w:rFonts w:hint="eastAsia" w:ascii="黑体" w:hAnsi="Times New Roman" w:eastAsia="黑体" w:cs="Times New Roman"/>
          <w:sz w:val="21"/>
          <w:szCs w:val="22"/>
          <w:lang w:val="en-US" w:eastAsia="zh-CN" w:bidi="ar-SA"/>
        </w:rPr>
        <w:t>9.</w:t>
      </w:r>
      <w:r>
        <w:rPr>
          <w:rFonts w:hint="eastAsia" w:cs="Times New Roman"/>
          <w:sz w:val="21"/>
          <w:szCs w:val="22"/>
          <w:lang w:val="en-US" w:eastAsia="zh-CN" w:bidi="ar-SA"/>
        </w:rPr>
        <w:t>4</w:t>
      </w:r>
      <w:r>
        <w:rPr>
          <w:rFonts w:hint="eastAsia" w:ascii="宋体" w:hAnsi="宋体" w:eastAsia="宋体" w:cs="宋体"/>
          <w:color w:val="000000"/>
          <w:kern w:val="0"/>
          <w:sz w:val="21"/>
          <w:szCs w:val="21"/>
          <w:lang w:val="en-US" w:eastAsia="zh-CN" w:bidi="ar"/>
        </w:rPr>
        <w:t xml:space="preserve">  配置必要的消防器材，消防标识完整准确，符合GB 15630要求；</w:t>
      </w:r>
    </w:p>
    <w:p>
      <w:pPr>
        <w:pStyle w:val="235"/>
        <w:numPr>
          <w:ilvl w:val="1"/>
          <w:numId w:val="0"/>
        </w:numPr>
        <w:ind w:leftChars="0"/>
      </w:pPr>
      <w:r>
        <w:rPr>
          <w:rFonts w:hint="eastAsia" w:ascii="黑体" w:hAnsi="Times New Roman" w:eastAsia="黑体" w:cs="Times New Roman"/>
          <w:sz w:val="21"/>
          <w:szCs w:val="22"/>
          <w:lang w:val="en-US" w:eastAsia="zh-CN" w:bidi="ar-SA"/>
        </w:rPr>
        <w:t>9.5</w:t>
      </w:r>
      <w:r>
        <w:rPr>
          <w:rFonts w:hint="eastAsia" w:ascii="宋体" w:hAnsi="宋体" w:eastAsia="宋体" w:cs="宋体"/>
          <w:color w:val="000000"/>
          <w:kern w:val="0"/>
          <w:sz w:val="21"/>
          <w:szCs w:val="21"/>
          <w:lang w:val="en-US" w:eastAsia="zh-CN" w:bidi="ar"/>
        </w:rPr>
        <w:t xml:space="preserve">  设备放置安全，并处于受控状态；</w:t>
      </w:r>
    </w:p>
    <w:p>
      <w:pPr>
        <w:pStyle w:val="235"/>
        <w:numPr>
          <w:ilvl w:val="1"/>
          <w:numId w:val="0"/>
        </w:numPr>
        <w:ind w:leftChars="0"/>
      </w:pPr>
      <w:r>
        <w:rPr>
          <w:rFonts w:hint="eastAsia" w:ascii="黑体" w:hAnsi="Times New Roman" w:eastAsia="黑体" w:cs="Times New Roman"/>
          <w:sz w:val="21"/>
          <w:szCs w:val="22"/>
          <w:lang w:val="en-US" w:eastAsia="zh-CN" w:bidi="ar-SA"/>
        </w:rPr>
        <w:t>9.6</w:t>
      </w:r>
      <w:r>
        <w:rPr>
          <w:rFonts w:hint="eastAsia" w:ascii="宋体" w:hAnsi="宋体" w:eastAsia="宋体" w:cs="宋体"/>
          <w:color w:val="000000"/>
          <w:kern w:val="0"/>
          <w:sz w:val="21"/>
          <w:szCs w:val="21"/>
          <w:lang w:val="en-US" w:eastAsia="zh-CN" w:bidi="ar"/>
        </w:rPr>
        <w:t xml:space="preserve">  定期检查设施设备的安全性，保证完好并能正常使用。</w:t>
      </w:r>
    </w:p>
    <w:bookmarkEnd w:id="21"/>
    <w:p>
      <w:pPr>
        <w:pStyle w:val="56"/>
        <w:ind w:left="0" w:leftChars="0" w:firstLine="0" w:firstLineChars="0"/>
      </w:pPr>
    </w:p>
    <w:sectPr>
      <w:footerReference r:id="rId13"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6"/>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01D2C"/>
    <w:multiLevelType w:val="singleLevel"/>
    <w:tmpl w:val="B3901D2C"/>
    <w:lvl w:ilvl="0" w:tentative="0">
      <w:start w:val="1"/>
      <w:numFmt w:val="lowerLetter"/>
      <w:suff w:val="space"/>
      <w:lvlText w:val="%1）"/>
      <w:lvlJc w:val="left"/>
    </w:lvl>
  </w:abstractNum>
  <w:abstractNum w:abstractNumId="1">
    <w:nsid w:val="00000020"/>
    <w:multiLevelType w:val="multilevel"/>
    <w:tmpl w:val="00000020"/>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702" w:firstLine="0"/>
      </w:pPr>
      <w:rPr>
        <w:rFonts w:hint="eastAsia" w:ascii="黑体" w:hAnsi="Times New Roman" w:eastAsia="黑体"/>
        <w:b w:val="0"/>
        <w:i w:val="0"/>
        <w:sz w:val="21"/>
      </w:rPr>
    </w:lvl>
    <w:lvl w:ilvl="3" w:tentative="0">
      <w:start w:val="1"/>
      <w:numFmt w:val="decimal"/>
      <w:suff w:val="nothing"/>
      <w:lvlText w:val="%1.%2.%3.%4　"/>
      <w:lvlJc w:val="left"/>
      <w:pPr>
        <w:ind w:left="2269"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yMjQxNzAxYTFmMDM3Zjc2NmNkNGU1OTUxNzQwN2IifQ=="/>
  </w:docVars>
  <w:rsids>
    <w:rsidRoot w:val="00F469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133"/>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96D"/>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411E19"/>
    <w:rsid w:val="1DA578BD"/>
    <w:rsid w:val="21AC12C7"/>
    <w:rsid w:val="32A77E8F"/>
    <w:rsid w:val="351B51F6"/>
    <w:rsid w:val="38E452E6"/>
    <w:rsid w:val="42310E70"/>
    <w:rsid w:val="4A091012"/>
    <w:rsid w:val="4FBF7786"/>
    <w:rsid w:val="5A523C4E"/>
    <w:rsid w:val="5F1B04DA"/>
    <w:rsid w:val="666267BD"/>
    <w:rsid w:val="6FD6290B"/>
    <w:rsid w:val="73D634A1"/>
    <w:rsid w:val="74D2446E"/>
    <w:rsid w:val="78A230DC"/>
    <w:rsid w:val="7E921CD4"/>
    <w:rsid w:val="7EE12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uiPriority w:val="0"/>
    <w:rPr>
      <w:rFonts w:ascii="黑体" w:eastAsia="黑体"/>
      <w:spacing w:val="85"/>
      <w:w w:val="100"/>
      <w:position w:val="3"/>
      <w:sz w:val="28"/>
      <w:szCs w:val="28"/>
    </w:rPr>
  </w:style>
  <w:style w:type="paragraph" w:customStyle="1" w:styleId="230">
    <w:name w:val="目次、标准名称标题"/>
    <w:basedOn w:val="1"/>
    <w:next w:val="23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3">
    <w:name w:val="章标题"/>
    <w:next w:val="23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4">
    <w:name w:val="一级无"/>
    <w:basedOn w:val="235"/>
    <w:qFormat/>
    <w:uiPriority w:val="0"/>
    <w:pPr>
      <w:spacing w:before="0" w:beforeLines="0" w:after="0" w:afterLines="0"/>
    </w:pPr>
    <w:rPr>
      <w:rFonts w:ascii="宋体" w:eastAsia="宋体"/>
    </w:rPr>
  </w:style>
  <w:style w:type="paragraph" w:customStyle="1" w:styleId="235">
    <w:name w:val="一级条标题"/>
    <w:next w:val="23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6">
    <w:name w:val="标准书脚_奇数页"/>
    <w:qFormat/>
    <w:uiPriority w:val="0"/>
    <w:pPr>
      <w:spacing w:before="120" w:beforeLines="0"/>
      <w:ind w:right="198"/>
      <w:jc w:val="right"/>
    </w:pPr>
    <w:rPr>
      <w:rFonts w:ascii="宋体" w:hAnsi="Times New Roman" w:eastAsia="宋体" w:cs="Times New Roman"/>
      <w:sz w:val="18"/>
      <w:szCs w:val="18"/>
      <w:lang w:val="en-US" w:eastAsia="zh-CN" w:bidi="ar-SA"/>
    </w:rPr>
  </w:style>
  <w:style w:type="paragraph" w:customStyle="1" w:styleId="237">
    <w:name w:val="标准书脚_偶数页"/>
    <w:qFormat/>
    <w:uiPriority w:val="0"/>
    <w:pPr>
      <w:spacing w:before="120" w:beforeLines="0"/>
      <w:ind w:left="221"/>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2E06445CAE54B76B8D8ED7E06AFA2E3"/>
        <w:style w:val=""/>
        <w:category>
          <w:name w:val="常规"/>
          <w:gallery w:val="placeholder"/>
        </w:category>
        <w:types>
          <w:type w:val="bbPlcHdr"/>
        </w:types>
        <w:behaviors>
          <w:behavior w:val="content"/>
        </w:behaviors>
        <w:description w:val=""/>
        <w:guid w:val="{2C7B9C09-A6EE-4318-A075-BED059A716A4}"/>
      </w:docPartPr>
      <w:docPartBody>
        <w:p>
          <w:pPr>
            <w:pStyle w:val="5"/>
          </w:pPr>
          <w:r>
            <w:rPr>
              <w:rStyle w:val="4"/>
              <w:rFonts w:hint="eastAsia"/>
            </w:rPr>
            <w:t>单击或点击此处输入文字。</w:t>
          </w:r>
        </w:p>
      </w:docPartBody>
    </w:docPart>
    <w:docPart>
      <w:docPartPr>
        <w:name w:val="FCAD93C867E5475BBD85D834104E5B6C"/>
        <w:style w:val=""/>
        <w:category>
          <w:name w:val="常规"/>
          <w:gallery w:val="placeholder"/>
        </w:category>
        <w:types>
          <w:type w:val="bbPlcHdr"/>
        </w:types>
        <w:behaviors>
          <w:behavior w:val="content"/>
        </w:behaviors>
        <w:description w:val=""/>
        <w:guid w:val="{6616E442-0158-4ACD-81B4-12C27254388A}"/>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808"/>
    <w:rsid w:val="006D6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2E06445CAE54B76B8D8ED7E06AFA2E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BEFC14E883E4733923CC3DDEEB3F38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CAD93C867E5475BBD85D834104E5B6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2614</Words>
  <Characters>2796</Characters>
  <Lines>38</Lines>
  <Paragraphs>21</Paragraphs>
  <TotalTime>1</TotalTime>
  <ScaleCrop>false</ScaleCrop>
  <LinksUpToDate>false</LinksUpToDate>
  <CharactersWithSpaces>12619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2024-03-20T02:11:00Z</dcterms:created>
  <dc:creator>admin</dc:creator>
  <dc:description>&lt;config cover="true" show_menu="true" version="1.0.0" doctype="SDKXY"&gt;_x000d_
&lt;/config&gt;</dc:description>
  <cp:lastModifiedBy>MisterPolaris</cp:lastModifiedBy>
  <cp:lastPrinted>2024-04-03T04:05:00Z</cp:lastPrinted>
  <dcterms:modified xsi:type="dcterms:W3CDTF">2024-12-12T16:49:33Z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404E171D543E46ADA767828BF60C1252_13</vt:lpwstr>
  </property>
</Properties>
</file>