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32432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3AC24B4">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7E08CA3B">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29.240.20</w:t>
            </w:r>
            <w:r>
              <w:rPr>
                <w:rFonts w:ascii="黑体" w:hAnsi="黑体" w:eastAsia="黑体"/>
                <w:sz w:val="21"/>
                <w:szCs w:val="21"/>
              </w:rPr>
              <w:fldChar w:fldCharType="end"/>
            </w:r>
            <w:bookmarkEnd w:id="0"/>
          </w:p>
        </w:tc>
      </w:tr>
      <w:tr w14:paraId="10A2A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51B9596">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1E467928">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F 21</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14:paraId="527AE89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4B388609">
            <w:pPr>
              <w:pStyle w:val="50"/>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rPr>
                <w:rFonts w:hint="eastAsia"/>
              </w:rPr>
              <w:t>34</w:t>
            </w:r>
          </w:p>
        </w:tc>
      </w:tr>
    </w:tbl>
    <w:p w14:paraId="503A33E9">
      <w:pPr>
        <w:pStyle w:val="51"/>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3"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3"/>
      <w:r>
        <w:rPr>
          <w:rFonts w:hint="eastAsia" w:ascii="黑体" w:hAnsi="黑体" w:eastAsia="黑体"/>
          <w:b w:val="0"/>
          <w:bCs w:val="0"/>
          <w:w w:val="100"/>
          <w:sz w:val="48"/>
          <w:szCs w:val="48"/>
        </w:rPr>
        <w:t>地方标准</w:t>
      </w:r>
    </w:p>
    <w:bookmarkEnd w:id="2"/>
    <w:p w14:paraId="63E654EC">
      <w:pPr>
        <w:pStyle w:val="196"/>
        <w:framePr w:wrap="around"/>
      </w:pPr>
      <w:r>
        <w:rPr>
          <w:lang w:val="fr-FR"/>
        </w:rPr>
        <w:t>DB</w:t>
      </w:r>
      <w:r>
        <w:fldChar w:fldCharType="begin">
          <w:ffData>
            <w:name w:val="文字1"/>
            <w:enabled/>
            <w:calcOnExit w:val="0"/>
            <w:textInput>
              <w:default w:val="XX/T"/>
            </w:textInput>
          </w:ffData>
        </w:fldChar>
      </w:r>
      <w:bookmarkStart w:id="4" w:name="文字1"/>
      <w:r>
        <w:rPr>
          <w:lang w:val="fr-FR"/>
        </w:rPr>
        <w:instrText xml:space="preserve"> FORMTEXT </w:instrText>
      </w:r>
      <w:r>
        <w:fldChar w:fldCharType="separate"/>
      </w:r>
      <w:r>
        <w:rPr>
          <w:rFonts w:hint="eastAsia"/>
          <w:lang w:val="fr-FR"/>
        </w:rPr>
        <w:t>3</w:t>
      </w:r>
      <w:r>
        <w:rPr>
          <w:rFonts w:hint="eastAsia"/>
        </w:rPr>
        <w:t>4</w:t>
      </w:r>
      <w:r>
        <w:rPr>
          <w:lang w:val="fr-FR"/>
        </w:rPr>
        <w:t>/T</w:t>
      </w:r>
      <w:r>
        <w:fldChar w:fldCharType="end"/>
      </w:r>
      <w:bookmarkEnd w:id="4"/>
      <w:r>
        <w:rPr>
          <w:lang w:val="fr-FR"/>
        </w:rPr>
        <w:t xml:space="preserve"> </w:t>
      </w:r>
      <w:r>
        <w:rPr>
          <w:rFonts w:hint="eastAsia"/>
        </w:rPr>
        <w:t>XXXX</w:t>
      </w:r>
      <w:r>
        <w:rPr>
          <w:rFonts w:hAnsi="黑体"/>
          <w:lang w:val="fr-FR"/>
        </w:rPr>
        <w:t>—</w:t>
      </w:r>
      <w:r>
        <w:rPr>
          <w:rFonts w:hint="eastAsia"/>
        </w:rPr>
        <w:t>2024</w:t>
      </w:r>
    </w:p>
    <w:p w14:paraId="1654D56D">
      <w:pPr>
        <w:pStyle w:val="197"/>
        <w:framePr w:wrap="around"/>
        <w:rPr>
          <w:rFonts w:hint="eastAsia" w:hAnsi="黑体"/>
        </w:rPr>
      </w:pPr>
      <w:r>
        <w:rPr>
          <w:rFonts w:hAnsi="黑体"/>
        </w:rPr>
        <w:fldChar w:fldCharType="begin">
          <w:ffData>
            <w:name w:val="OSTD_CODE"/>
            <w:enabled/>
            <w:calcOnExit w:val="0"/>
            <w:textInput/>
          </w:ffData>
        </w:fldChar>
      </w:r>
      <w:bookmarkStart w:id="5"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5"/>
    </w:p>
    <w:p w14:paraId="4F8C7B75">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B690E92">
      <w:pPr>
        <w:pStyle w:val="51"/>
        <w:framePr w:w="9639" w:h="6976" w:hRule="exact" w:hSpace="0" w:vSpace="0" w:wrap="around" w:hAnchor="page" w:y="6408"/>
        <w:jc w:val="center"/>
        <w:rPr>
          <w:rFonts w:hint="eastAsia" w:ascii="黑体" w:hAnsi="黑体" w:eastAsia="黑体"/>
          <w:b w:val="0"/>
          <w:bCs w:val="0"/>
          <w:w w:val="100"/>
        </w:rPr>
      </w:pPr>
    </w:p>
    <w:p w14:paraId="6860D36C">
      <w:pPr>
        <w:pStyle w:val="198"/>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6" w:name="CSTD_NAME"/>
      <w:r>
        <w:instrText xml:space="preserve"> FORMTEXT </w:instrText>
      </w:r>
      <w:r>
        <w:fldChar w:fldCharType="separate"/>
      </w:r>
      <w:r>
        <w:rPr>
          <w:rFonts w:hint="eastAsia"/>
        </w:rPr>
        <w:t>传统村落中低压配电网建设改造技术导则</w:t>
      </w:r>
      <w:r>
        <w:fldChar w:fldCharType="end"/>
      </w:r>
      <w:bookmarkEnd w:id="6"/>
    </w:p>
    <w:p w14:paraId="659BD503">
      <w:pPr>
        <w:framePr w:w="9639" w:h="6974" w:hRule="exact" w:wrap="around" w:vAnchor="page" w:hAnchor="page" w:x="1419" w:y="6408" w:anchorLock="1"/>
        <w:ind w:left="-1418"/>
      </w:pPr>
    </w:p>
    <w:p w14:paraId="2647BAD2">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7" w:name="ESTD_NAME"/>
      <w:r>
        <w:rPr>
          <w:rFonts w:eastAsia="黑体"/>
          <w:szCs w:val="28"/>
        </w:rPr>
        <w:instrText xml:space="preserve"> FORMTEXT </w:instrText>
      </w:r>
      <w:r>
        <w:rPr>
          <w:rFonts w:eastAsia="黑体"/>
          <w:szCs w:val="28"/>
        </w:rPr>
        <w:fldChar w:fldCharType="separate"/>
      </w:r>
      <w:r>
        <w:rPr>
          <w:rFonts w:eastAsia="黑体"/>
          <w:szCs w:val="28"/>
        </w:rPr>
        <w:t xml:space="preserve">Technical </w:t>
      </w:r>
      <w:r>
        <w:rPr>
          <w:rFonts w:hint="eastAsia" w:eastAsia="黑体"/>
          <w:szCs w:val="28"/>
        </w:rPr>
        <w:t>g</w:t>
      </w:r>
      <w:r>
        <w:rPr>
          <w:rFonts w:eastAsia="黑体"/>
          <w:szCs w:val="28"/>
        </w:rPr>
        <w:t>uidelines for construction and transformation of low-voltage distribution network in traditional villagesion</w:t>
      </w:r>
      <w:r>
        <w:rPr>
          <w:rFonts w:eastAsia="黑体"/>
          <w:szCs w:val="28"/>
        </w:rPr>
        <w:fldChar w:fldCharType="end"/>
      </w:r>
      <w:bookmarkEnd w:id="7"/>
    </w:p>
    <w:p w14:paraId="28D6BEE4">
      <w:pPr>
        <w:framePr w:w="9639" w:h="6974" w:hRule="exact" w:wrap="around" w:vAnchor="page" w:hAnchor="page" w:x="1419" w:y="6408" w:anchorLock="1"/>
        <w:spacing w:line="760" w:lineRule="exact"/>
        <w:ind w:left="-1418"/>
      </w:pPr>
    </w:p>
    <w:p w14:paraId="5165F7EF">
      <w:pPr>
        <w:pStyle w:val="126"/>
        <w:framePr w:w="9639" w:h="6974" w:hRule="exact" w:wrap="around" w:vAnchor="page" w:hAnchor="page" w:x="1419" w:y="6408" w:anchorLock="1"/>
        <w:textAlignment w:val="bottom"/>
        <w:rPr>
          <w:rFonts w:eastAsia="黑体"/>
          <w:szCs w:val="28"/>
        </w:rPr>
      </w:pPr>
    </w:p>
    <w:p w14:paraId="4FE57420">
      <w:pPr>
        <w:pStyle w:val="126"/>
        <w:framePr w:w="9639" w:h="6974" w:hRule="exact" w:wrap="around" w:vAnchor="page" w:hAnchor="page" w:x="1419" w:y="6408" w:anchorLock="1"/>
        <w:spacing w:before="440" w:after="160"/>
        <w:textAlignment w:val="bottom"/>
        <w:rPr>
          <w:sz w:val="24"/>
          <w:szCs w:val="28"/>
        </w:rPr>
      </w:pPr>
      <w:r>
        <w:rPr>
          <w:rFonts w:hint="eastAsia"/>
          <w:sz w:val="24"/>
          <w:szCs w:val="28"/>
        </w:rPr>
        <w:t>（征求意见稿）</w:t>
      </w:r>
    </w:p>
    <w:p w14:paraId="30A4C379">
      <w:pPr>
        <w:pStyle w:val="126"/>
        <w:framePr w:w="9639" w:h="6974" w:hRule="exact" w:wrap="around" w:vAnchor="page" w:hAnchor="page" w:x="1419" w:y="6408" w:anchorLock="1"/>
        <w:spacing w:before="180" w:line="240" w:lineRule="atLeast"/>
        <w:textAlignment w:val="bottom"/>
        <w:rPr>
          <w:sz w:val="21"/>
          <w:szCs w:val="28"/>
        </w:rPr>
      </w:pPr>
    </w:p>
    <w:p w14:paraId="3BEBB640">
      <w:pPr>
        <w:pStyle w:val="126"/>
        <w:framePr w:w="9639" w:h="6974" w:hRule="exact" w:wrap="around" w:vAnchor="page" w:hAnchor="page" w:x="1419" w:y="6408" w:anchorLock="1"/>
        <w:spacing w:before="720" w:beforeLines="300" w:after="72" w:afterLines="30" w:line="240" w:lineRule="auto"/>
        <w:textAlignment w:val="bottom"/>
        <w:rPr>
          <w:b/>
          <w:sz w:val="21"/>
          <w:szCs w:val="28"/>
        </w:rPr>
      </w:pPr>
    </w:p>
    <w:p w14:paraId="5CBB7F0E">
      <w:pPr>
        <w:pStyle w:val="194"/>
        <w:framePr w:wrap="around" w:y="14176"/>
      </w:pPr>
      <w:r>
        <w:rPr>
          <w:rFonts w:hint="eastAsia" w:ascii="黑体"/>
        </w:rPr>
        <w:t>2024</w:t>
      </w:r>
      <w:r>
        <w:t xml:space="preserve"> </w:t>
      </w:r>
      <w:r>
        <w:rPr>
          <w:rFonts w:ascii="黑体"/>
        </w:rPr>
        <w:t>-</w:t>
      </w:r>
      <w:r>
        <w:t xml:space="preserve"> </w:t>
      </w:r>
      <w:r>
        <w:rPr>
          <w:rFonts w:hint="eastAsia" w:ascii="黑体"/>
        </w:rPr>
        <w:t>XX</w:t>
      </w:r>
      <w:r>
        <w:t xml:space="preserve"> </w:t>
      </w:r>
      <w:r>
        <w:rPr>
          <w:rFonts w:ascii="黑体"/>
        </w:rPr>
        <w:t>-</w:t>
      </w:r>
      <w:r>
        <w:t xml:space="preserve"> </w:t>
      </w:r>
      <w:r>
        <w:rPr>
          <w:rFonts w:hint="eastAsia" w:ascii="黑体"/>
        </w:rPr>
        <w:t>XX</w:t>
      </w:r>
      <w:r>
        <w:rPr>
          <w:rFonts w:hint="eastAsia"/>
        </w:rPr>
        <w:t>发布</w:t>
      </w:r>
    </w:p>
    <w:p w14:paraId="200612B5">
      <w:pPr>
        <w:pStyle w:val="195"/>
        <w:framePr w:wrap="around" w:y="14176"/>
      </w:pPr>
      <w:r>
        <w:rPr>
          <w:rFonts w:hint="eastAsia" w:ascii="黑体"/>
        </w:rPr>
        <w:t>2024</w:t>
      </w:r>
      <w:r>
        <w:t xml:space="preserve"> </w:t>
      </w:r>
      <w:r>
        <w:rPr>
          <w:rFonts w:ascii="黑体"/>
        </w:rPr>
        <w:t>-</w:t>
      </w:r>
      <w:r>
        <w:t xml:space="preserve"> </w:t>
      </w:r>
      <w:r>
        <w:rPr>
          <w:rFonts w:hint="eastAsia" w:ascii="黑体"/>
        </w:rPr>
        <w:t>XX</w:t>
      </w:r>
      <w:r>
        <w:t xml:space="preserve"> </w:t>
      </w:r>
      <w:r>
        <w:rPr>
          <w:rFonts w:ascii="黑体"/>
        </w:rPr>
        <w:t>-</w:t>
      </w:r>
      <w:r>
        <w:t xml:space="preserve"> </w:t>
      </w:r>
      <w:r>
        <w:rPr>
          <w:rFonts w:hint="eastAsia" w:ascii="黑体"/>
        </w:rPr>
        <w:t>XX</w:t>
      </w:r>
      <w:r>
        <w:rPr>
          <w:rFonts w:hint="eastAsia"/>
        </w:rPr>
        <w:t>实施</w:t>
      </w:r>
    </w:p>
    <w:p w14:paraId="24085C55">
      <w:pPr>
        <w:pStyle w:val="152"/>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8"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w:t>
      </w:r>
      <w:r>
        <w:rPr>
          <w:rFonts w:hAnsi="黑体"/>
          <w:w w:val="100"/>
          <w:sz w:val="28"/>
        </w:rPr>
        <w:t>市场监督管理局</w:t>
      </w:r>
      <w:r>
        <w:rPr>
          <w:rFonts w:hAnsi="黑体"/>
          <w:w w:val="100"/>
          <w:sz w:val="28"/>
        </w:rPr>
        <w:fldChar w:fldCharType="end"/>
      </w:r>
      <w:bookmarkEnd w:id="8"/>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5A93EEC8">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7F25882">
      <w:pPr>
        <w:pStyle w:val="90"/>
        <w:spacing w:after="468"/>
      </w:pPr>
      <w:bookmarkStart w:id="9" w:name="_Toc110331710"/>
      <w:bookmarkStart w:id="10" w:name="_Toc110338992"/>
      <w:bookmarkStart w:id="11" w:name="_Toc112665283"/>
      <w:bookmarkStart w:id="12" w:name="_Toc112655887"/>
      <w:bookmarkStart w:id="13" w:name="_Toc110842013"/>
      <w:bookmarkStart w:id="14" w:name="BookMark2"/>
      <w:r>
        <w:rPr>
          <w:spacing w:val="320"/>
        </w:rPr>
        <w:t>前</w:t>
      </w:r>
      <w:r>
        <w:t>言</w:t>
      </w:r>
      <w:bookmarkEnd w:id="9"/>
      <w:bookmarkEnd w:id="10"/>
      <w:bookmarkEnd w:id="11"/>
      <w:bookmarkEnd w:id="12"/>
      <w:bookmarkEnd w:id="13"/>
    </w:p>
    <w:p w14:paraId="073A6366">
      <w:pPr>
        <w:pStyle w:val="57"/>
        <w:ind w:firstLine="420"/>
      </w:pPr>
      <w:r>
        <w:rPr>
          <w:rFonts w:hint="eastAsia"/>
        </w:rPr>
        <w:t>本文件按照GB/T 1.1—2020《标准化工作导则  第1部分：标准化文件的结构和起草规则》的规定起草。</w:t>
      </w:r>
    </w:p>
    <w:p w14:paraId="6603F04E">
      <w:pPr>
        <w:pStyle w:val="57"/>
        <w:ind w:firstLine="420"/>
      </w:pPr>
      <w:r>
        <w:rPr>
          <w:rFonts w:hint="eastAsia"/>
        </w:rPr>
        <w:t>请注意本文件的某些内容可能涉及专利。本文件的发布机构不承担识别专利的责任。</w:t>
      </w:r>
    </w:p>
    <w:p w14:paraId="4026DFA4">
      <w:pPr>
        <w:pStyle w:val="57"/>
        <w:ind w:firstLine="420"/>
      </w:pPr>
      <w:r>
        <w:rPr>
          <w:rFonts w:hint="eastAsia"/>
        </w:rPr>
        <w:t>本文件由安徽省能源局提出并归口。</w:t>
      </w:r>
    </w:p>
    <w:p w14:paraId="2E5E615C">
      <w:pPr>
        <w:pStyle w:val="57"/>
        <w:ind w:firstLine="420"/>
      </w:pPr>
      <w:r>
        <w:rPr>
          <w:rFonts w:hint="eastAsia"/>
        </w:rPr>
        <w:t>本文件起草单位：国网安徽省电力有限公司</w:t>
      </w:r>
      <w:r>
        <w:rPr>
          <w:rFonts w:hint="eastAsia"/>
          <w:lang w:eastAsia="zh-CN"/>
        </w:rPr>
        <w:t>、</w:t>
      </w:r>
      <w:r>
        <w:rPr>
          <w:rFonts w:hint="eastAsia" w:hAnsi="宋体"/>
          <w:szCs w:val="21"/>
          <w:lang w:eastAsia="zh-CN"/>
        </w:rPr>
        <w:t>国网安徽省电力有限公司黄山供电公司</w:t>
      </w:r>
      <w:r>
        <w:rPr>
          <w:rFonts w:hint="eastAsia"/>
        </w:rPr>
        <w:t>等。</w:t>
      </w:r>
    </w:p>
    <w:p w14:paraId="75C9C489">
      <w:pPr>
        <w:pStyle w:val="57"/>
        <w:ind w:firstLine="420"/>
      </w:pPr>
      <w:r>
        <w:rPr>
          <w:rFonts w:hint="eastAsia"/>
        </w:rPr>
        <w:t>本文件主要起草人：</w:t>
      </w:r>
    </w:p>
    <w:p w14:paraId="7923DAA6">
      <w:pPr>
        <w:pStyle w:val="57"/>
        <w:ind w:firstLine="420"/>
        <w:sectPr>
          <w:headerReference r:id="rId11" w:type="default"/>
          <w:footerReference r:id="rId13" w:type="default"/>
          <w:headerReference r:id="rId12" w:type="even"/>
          <w:pgSz w:w="11906" w:h="16838"/>
          <w:pgMar w:top="567" w:right="1134" w:bottom="1134" w:left="1134" w:header="1418" w:footer="1134" w:gutter="284"/>
          <w:pgNumType w:fmt="upperRoman"/>
          <w:cols w:space="425" w:num="1"/>
          <w:formProt w:val="0"/>
          <w:docGrid w:type="lines" w:linePitch="312" w:charSpace="0"/>
        </w:sectPr>
      </w:pPr>
    </w:p>
    <w:bookmarkEnd w:id="14"/>
    <w:p w14:paraId="1B1F0CF0">
      <w:pPr>
        <w:spacing w:line="20" w:lineRule="exact"/>
        <w:jc w:val="center"/>
        <w:rPr>
          <w:rFonts w:hint="eastAsia" w:ascii="黑体" w:hAnsi="黑体" w:eastAsia="黑体"/>
          <w:sz w:val="32"/>
          <w:szCs w:val="32"/>
        </w:rPr>
      </w:pPr>
      <w:bookmarkStart w:id="15" w:name="BookMark4"/>
    </w:p>
    <w:p w14:paraId="114009E3">
      <w:pPr>
        <w:spacing w:line="20" w:lineRule="exact"/>
        <w:jc w:val="center"/>
        <w:rPr>
          <w:rFonts w:hint="eastAsia" w:ascii="黑体" w:hAnsi="黑体" w:eastAsia="黑体"/>
          <w:sz w:val="32"/>
          <w:szCs w:val="32"/>
        </w:rPr>
      </w:pPr>
    </w:p>
    <w:sdt>
      <w:sdtPr>
        <w:tag w:val="NEW_STAND_NAME"/>
        <w:id w:val="595910757"/>
        <w:lock w:val="sdtLocked"/>
        <w:placeholder>
          <w:docPart w:val="021382BEB6334716A3C4C81BC1FFB301"/>
        </w:placeholder>
      </w:sdtPr>
      <w:sdtContent>
        <w:p w14:paraId="60C813DE">
          <w:pPr>
            <w:pStyle w:val="178"/>
            <w:spacing w:before="312" w:beforeLines="100" w:after="686" w:afterLines="220"/>
            <w:rPr>
              <w:rFonts w:hint="eastAsia"/>
            </w:rPr>
          </w:pPr>
          <w:bookmarkStart w:id="16" w:name="NEW_STAND_NAME"/>
          <w:r>
            <w:rPr>
              <w:rFonts w:hint="eastAsia"/>
            </w:rPr>
            <w:t>传统村落中低压配电网建设改造技术导则</w:t>
          </w:r>
        </w:p>
      </w:sdtContent>
    </w:sdt>
    <w:bookmarkEnd w:id="16"/>
    <w:p w14:paraId="76AF13A5">
      <w:pPr>
        <w:pStyle w:val="105"/>
        <w:spacing w:before="312" w:after="312"/>
      </w:pPr>
      <w:bookmarkStart w:id="17" w:name="_Toc24884218"/>
      <w:bookmarkStart w:id="18" w:name="_Toc26986771"/>
      <w:bookmarkStart w:id="19" w:name="_Toc26718930"/>
      <w:bookmarkStart w:id="20" w:name="_Toc24884211"/>
      <w:bookmarkStart w:id="21" w:name="_Toc112655888"/>
      <w:bookmarkStart w:id="22" w:name="_Toc17233325"/>
      <w:bookmarkStart w:id="23" w:name="_Toc110842014"/>
      <w:bookmarkStart w:id="24" w:name="_Toc110331711"/>
      <w:bookmarkStart w:id="25" w:name="_Toc26648465"/>
      <w:bookmarkStart w:id="26" w:name="_Toc26986530"/>
      <w:bookmarkStart w:id="27" w:name="_Toc17233333"/>
      <w:bookmarkStart w:id="28" w:name="_Toc112665284"/>
      <w:bookmarkStart w:id="29" w:name="_Toc110338993"/>
      <w:r>
        <w:rPr>
          <w:rFonts w:hint="eastAsia"/>
        </w:rPr>
        <w:t>范围</w:t>
      </w:r>
      <w:bookmarkEnd w:id="17"/>
      <w:bookmarkEnd w:id="18"/>
      <w:bookmarkEnd w:id="19"/>
      <w:bookmarkEnd w:id="20"/>
      <w:bookmarkEnd w:id="21"/>
      <w:bookmarkEnd w:id="22"/>
      <w:bookmarkEnd w:id="23"/>
      <w:bookmarkEnd w:id="24"/>
      <w:bookmarkEnd w:id="25"/>
      <w:bookmarkEnd w:id="26"/>
      <w:bookmarkEnd w:id="27"/>
      <w:bookmarkEnd w:id="28"/>
      <w:bookmarkEnd w:id="29"/>
    </w:p>
    <w:p w14:paraId="3591A5A4">
      <w:pPr>
        <w:pStyle w:val="57"/>
        <w:ind w:firstLine="420"/>
      </w:pPr>
      <w:bookmarkStart w:id="30" w:name="_Toc26648466"/>
      <w:bookmarkStart w:id="31" w:name="_Toc24884212"/>
      <w:bookmarkStart w:id="32" w:name="_Toc17233334"/>
      <w:bookmarkStart w:id="33" w:name="_Toc24884219"/>
      <w:bookmarkStart w:id="34" w:name="_Toc17233326"/>
      <w:r>
        <w:rPr>
          <w:rFonts w:hint="eastAsia"/>
        </w:rPr>
        <w:t>本文件确立了传统村落中低压配电网建设改造的基本要求，并规定了传统村落中低压配电网的中压配电网、低压配电网、低压户表和通信及自动化建设改造的技术要求。</w:t>
      </w:r>
    </w:p>
    <w:p w14:paraId="2F8C526E">
      <w:pPr>
        <w:pStyle w:val="57"/>
        <w:ind w:firstLine="420"/>
      </w:pPr>
      <w:r>
        <w:rPr>
          <w:rFonts w:hint="eastAsia"/>
        </w:rPr>
        <w:t>本文件适用于传统村落中低压配电网建设改造。</w:t>
      </w:r>
    </w:p>
    <w:p w14:paraId="3543153C">
      <w:pPr>
        <w:pStyle w:val="105"/>
        <w:spacing w:before="312" w:after="312"/>
      </w:pPr>
      <w:bookmarkStart w:id="35" w:name="_Toc112665285"/>
      <w:bookmarkStart w:id="36" w:name="_Toc110338994"/>
      <w:bookmarkStart w:id="37" w:name="_Toc26986772"/>
      <w:bookmarkStart w:id="38" w:name="_Toc26986531"/>
      <w:bookmarkStart w:id="39" w:name="_Toc110842015"/>
      <w:bookmarkStart w:id="40" w:name="_Toc112655889"/>
      <w:bookmarkStart w:id="41" w:name="_Toc110331712"/>
      <w:bookmarkStart w:id="42" w:name="_Toc26718931"/>
      <w:r>
        <w:rPr>
          <w:rFonts w:hint="eastAsia"/>
        </w:rPr>
        <w:t>规范性引用文件</w:t>
      </w:r>
      <w:bookmarkEnd w:id="30"/>
      <w:bookmarkEnd w:id="31"/>
      <w:bookmarkEnd w:id="32"/>
      <w:bookmarkEnd w:id="33"/>
      <w:bookmarkEnd w:id="34"/>
      <w:bookmarkEnd w:id="35"/>
      <w:bookmarkEnd w:id="36"/>
      <w:bookmarkEnd w:id="37"/>
      <w:bookmarkEnd w:id="38"/>
      <w:bookmarkEnd w:id="39"/>
      <w:bookmarkEnd w:id="40"/>
      <w:bookmarkEnd w:id="41"/>
      <w:bookmarkEnd w:id="42"/>
      <w:bookmarkStart w:id="50" w:name="_GoBack"/>
      <w:bookmarkEnd w:id="50"/>
    </w:p>
    <w:sdt>
      <w:sdtPr>
        <w:rPr>
          <w:rFonts w:hint="eastAsia"/>
        </w:rPr>
        <w:id w:val="715848253"/>
        <w:placeholder>
          <w:docPart w:val="2210F4A9D9514149AC47FA0AB2C24B4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9927F61">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42D8B40">
      <w:pPr>
        <w:pStyle w:val="57"/>
        <w:ind w:firstLine="420"/>
      </w:pPr>
      <w:bookmarkStart w:id="43" w:name="_Toc110331713"/>
      <w:bookmarkStart w:id="44" w:name="_Toc112655890"/>
      <w:bookmarkStart w:id="45" w:name="_Toc110842016"/>
      <w:bookmarkStart w:id="46" w:name="_Toc110338995"/>
      <w:bookmarkStart w:id="47" w:name="_Toc112665286"/>
      <w:r>
        <w:rPr>
          <w:rFonts w:hint="eastAsia"/>
        </w:rPr>
        <w:t>GB/T 13955  剩余电流动作保护装置安装和运行</w:t>
      </w:r>
    </w:p>
    <w:p w14:paraId="5243D603">
      <w:pPr>
        <w:pStyle w:val="57"/>
        <w:ind w:firstLine="420"/>
      </w:pPr>
      <w:r>
        <w:rPr>
          <w:rFonts w:hint="eastAsia"/>
        </w:rPr>
        <w:t>GB 20052  电力变压器能效限定值及能效等级</w:t>
      </w:r>
    </w:p>
    <w:p w14:paraId="0F762109">
      <w:pPr>
        <w:pStyle w:val="57"/>
        <w:ind w:firstLine="420"/>
      </w:pPr>
      <w:r>
        <w:rPr>
          <w:rFonts w:hint="eastAsia"/>
        </w:rPr>
        <w:t xml:space="preserve">GB/T 33593  分布式电源并网技术要求 </w:t>
      </w:r>
    </w:p>
    <w:p w14:paraId="41DE17FB">
      <w:pPr>
        <w:pStyle w:val="57"/>
        <w:ind w:firstLine="420"/>
      </w:pPr>
      <w:r>
        <w:rPr>
          <w:rFonts w:hint="eastAsia"/>
        </w:rPr>
        <w:t>GB/T 36278  电动汽车充换电设施接入配电网技术规范</w:t>
      </w:r>
    </w:p>
    <w:p w14:paraId="004ADD7E">
      <w:pPr>
        <w:pStyle w:val="57"/>
        <w:ind w:firstLine="420"/>
      </w:pPr>
      <w:r>
        <w:rPr>
          <w:rFonts w:hint="eastAsia"/>
        </w:rPr>
        <w:t>GB/T 36547  电化学储能系统接入电网技术规定</w:t>
      </w:r>
    </w:p>
    <w:p w14:paraId="531FCE10">
      <w:pPr>
        <w:pStyle w:val="57"/>
        <w:ind w:firstLine="420"/>
      </w:pPr>
      <w:r>
        <w:rPr>
          <w:rFonts w:hint="eastAsia"/>
        </w:rPr>
        <w:t>GB 50150  电气装置安装工程 电气设备交接试验标准</w:t>
      </w:r>
    </w:p>
    <w:p w14:paraId="06312ADD">
      <w:pPr>
        <w:pStyle w:val="57"/>
        <w:ind w:firstLine="420"/>
      </w:pPr>
      <w:r>
        <w:rPr>
          <w:rFonts w:hint="eastAsia"/>
        </w:rPr>
        <w:t>GB 50173  电气装置安装工程66kV及以下架空电力线路施工及验收规范</w:t>
      </w:r>
    </w:p>
    <w:p w14:paraId="27460321">
      <w:pPr>
        <w:pStyle w:val="57"/>
        <w:ind w:firstLine="420"/>
      </w:pPr>
      <w:r>
        <w:rPr>
          <w:rFonts w:hint="eastAsia"/>
        </w:rPr>
        <w:t>GB 50303  建筑电气工程施工质量验收规范</w:t>
      </w:r>
    </w:p>
    <w:p w14:paraId="43F2CE39">
      <w:pPr>
        <w:pStyle w:val="57"/>
        <w:ind w:firstLine="420"/>
      </w:pPr>
      <w:r>
        <w:rPr>
          <w:rFonts w:hint="eastAsia"/>
        </w:rPr>
        <w:t>DL/T 599  中低压配电网改造技术导则</w:t>
      </w:r>
    </w:p>
    <w:p w14:paraId="54DE3440">
      <w:pPr>
        <w:pStyle w:val="57"/>
        <w:ind w:firstLine="420"/>
      </w:pPr>
      <w:r>
        <w:rPr>
          <w:rFonts w:hint="eastAsia"/>
        </w:rPr>
        <w:t>DL/T 814  配电自动化系统技术规范</w:t>
      </w:r>
    </w:p>
    <w:p w14:paraId="6B876964">
      <w:pPr>
        <w:pStyle w:val="57"/>
        <w:ind w:firstLine="420"/>
      </w:pPr>
      <w:r>
        <w:rPr>
          <w:rFonts w:hint="eastAsia"/>
        </w:rPr>
        <w:t>DL/T 985  配电变压器能效技术经济评价导则</w:t>
      </w:r>
    </w:p>
    <w:p w14:paraId="44E321FB">
      <w:pPr>
        <w:pStyle w:val="57"/>
        <w:ind w:firstLine="420"/>
      </w:pPr>
      <w:r>
        <w:rPr>
          <w:rFonts w:hint="eastAsia"/>
        </w:rPr>
        <w:t>NB/T 32015  分布式电源接入配电网技术规定</w:t>
      </w:r>
    </w:p>
    <w:p w14:paraId="589B6F60">
      <w:pPr>
        <w:pStyle w:val="57"/>
        <w:ind w:firstLine="420"/>
      </w:pPr>
      <w:r>
        <w:rPr>
          <w:rFonts w:hint="eastAsia"/>
        </w:rPr>
        <w:t>NB/T 33015  电化学储能系统接入配电网技术规定</w:t>
      </w:r>
    </w:p>
    <w:p w14:paraId="5E0CA3DE">
      <w:pPr>
        <w:pStyle w:val="105"/>
        <w:spacing w:before="312" w:after="312"/>
      </w:pPr>
      <w:r>
        <w:rPr>
          <w:rFonts w:hint="eastAsia"/>
          <w:szCs w:val="21"/>
        </w:rPr>
        <w:t>术语和定义</w:t>
      </w:r>
      <w:bookmarkEnd w:id="43"/>
      <w:bookmarkEnd w:id="44"/>
      <w:bookmarkEnd w:id="45"/>
      <w:bookmarkEnd w:id="46"/>
      <w:bookmarkEnd w:id="47"/>
    </w:p>
    <w:sdt>
      <w:sdtPr>
        <w:id w:val="-1909835108"/>
        <w:placeholder>
          <w:docPart w:val="B6C04ECD658C4D36A0E55EFDD044BEC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5F76E5E">
          <w:pPr>
            <w:pStyle w:val="57"/>
            <w:ind w:firstLine="420"/>
          </w:pPr>
          <w:bookmarkStart w:id="48" w:name="_Toc26986532"/>
          <w:bookmarkEnd w:id="48"/>
          <w:r>
            <w:t>下列术语和定义适用于本文件。</w:t>
          </w:r>
        </w:p>
      </w:sdtContent>
    </w:sdt>
    <w:p w14:paraId="2051C326">
      <w:pPr>
        <w:pStyle w:val="224"/>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台区 Zone Area </w:t>
      </w:r>
    </w:p>
    <w:p w14:paraId="7BB848B7">
      <w:pPr>
        <w:pStyle w:val="57"/>
        <w:ind w:firstLine="420"/>
      </w:pPr>
      <w:r>
        <w:rPr>
          <w:rFonts w:hint="eastAsia"/>
        </w:rPr>
        <w:t>台区是指单台变压器的供电范围。</w:t>
      </w:r>
    </w:p>
    <w:p w14:paraId="67CA925C">
      <w:pPr>
        <w:pStyle w:val="224"/>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分接箱 load center</w:t>
      </w:r>
    </w:p>
    <w:p w14:paraId="615DB341">
      <w:pPr>
        <w:pStyle w:val="57"/>
        <w:ind w:firstLine="420"/>
      </w:pPr>
      <w:r>
        <w:rPr>
          <w:rFonts w:hint="eastAsia"/>
        </w:rPr>
        <w:t>用来对电力线路实施接续、分供及三相与单相转换的设备。</w:t>
      </w:r>
    </w:p>
    <w:p w14:paraId="62B2AAAA">
      <w:pPr>
        <w:pStyle w:val="224"/>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传统村落 traditional ancient villages</w:t>
      </w:r>
    </w:p>
    <w:p w14:paraId="7B4A24BB">
      <w:pPr>
        <w:pStyle w:val="57"/>
        <w:ind w:firstLine="420"/>
      </w:pPr>
      <w:r>
        <w:rPr>
          <w:rFonts w:hint="eastAsia"/>
        </w:rPr>
        <w:t>村落主体形成于1911年以前，拥有较为丰富的物质和非物质文化遗产，具备一定历史、文化、科学、艺术、社会、经济价值，具有地域文化特色或者传统风貌的村落。</w:t>
      </w:r>
    </w:p>
    <w:p w14:paraId="66700621">
      <w:pPr>
        <w:pStyle w:val="57"/>
        <w:ind w:firstLine="420"/>
      </w:pPr>
    </w:p>
    <w:p w14:paraId="72A804EA">
      <w:pPr>
        <w:pStyle w:val="224"/>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核心保护区 core protected area</w:t>
      </w:r>
    </w:p>
    <w:p w14:paraId="32D1788C">
      <w:pPr>
        <w:pStyle w:val="57"/>
        <w:ind w:firstLine="420"/>
      </w:pPr>
      <w:r>
        <w:rPr>
          <w:rFonts w:hint="eastAsia"/>
        </w:rPr>
        <w:t>村落内传统格局和历史风貌较为完整、历史建筑和传统风貌建筑集中成片的区域。</w:t>
      </w:r>
    </w:p>
    <w:p w14:paraId="290A704C">
      <w:pPr>
        <w:pStyle w:val="224"/>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建设控制地带 construction control zone</w:t>
      </w:r>
    </w:p>
    <w:p w14:paraId="1082DA7F">
      <w:pPr>
        <w:pStyle w:val="57"/>
        <w:ind w:firstLine="420"/>
      </w:pPr>
      <w:r>
        <w:rPr>
          <w:rFonts w:hint="eastAsia"/>
        </w:rPr>
        <w:t>在核心保护区范围以外允许建设，但应严格按所在地城区规划或村庄规划建设，控制其建（构）筑物的性质、体量、高度、色彩及形式的区域。</w:t>
      </w:r>
    </w:p>
    <w:p w14:paraId="0704E72C">
      <w:pPr>
        <w:pStyle w:val="224"/>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环境协调区 environmental coordination area</w:t>
      </w:r>
    </w:p>
    <w:p w14:paraId="62253CD4">
      <w:pPr>
        <w:pStyle w:val="57"/>
        <w:ind w:firstLine="420"/>
      </w:pPr>
      <w:r>
        <w:rPr>
          <w:rFonts w:hint="eastAsia"/>
        </w:rPr>
        <w:t>在建设控制地带之外，划定的以保护自然环境为主要内容的区域。</w:t>
      </w:r>
    </w:p>
    <w:p w14:paraId="499B738C">
      <w:pPr>
        <w:pStyle w:val="105"/>
        <w:spacing w:before="312" w:after="312"/>
        <w:rPr>
          <w:highlight w:val="none"/>
        </w:rPr>
      </w:pPr>
      <w:r>
        <w:rPr>
          <w:rFonts w:hint="eastAsia"/>
          <w:highlight w:val="none"/>
        </w:rPr>
        <w:t>基本要求</w:t>
      </w:r>
    </w:p>
    <w:p w14:paraId="6BAC963A">
      <w:pPr>
        <w:pStyle w:val="106"/>
        <w:spacing w:before="156" w:after="156"/>
        <w:rPr>
          <w:highlight w:val="none"/>
        </w:rPr>
      </w:pPr>
      <w:r>
        <w:rPr>
          <w:rFonts w:hint="eastAsia"/>
          <w:highlight w:val="none"/>
        </w:rPr>
        <w:t>文物保护及环境融合</w:t>
      </w:r>
    </w:p>
    <w:p w14:paraId="570C1D24">
      <w:pPr>
        <w:pStyle w:val="166"/>
        <w:rPr>
          <w:highlight w:val="none"/>
        </w:rPr>
      </w:pPr>
      <w:r>
        <w:rPr>
          <w:rFonts w:hint="eastAsia"/>
          <w:highlight w:val="none"/>
        </w:rPr>
        <w:t>架空线路建设改造应避开传统村落核心保护区、环境协调区、重要景观带、主干街道、房屋正面，应减少跨越村内道路、河道及建筑物。</w:t>
      </w:r>
    </w:p>
    <w:p w14:paraId="06C6C17A">
      <w:pPr>
        <w:pStyle w:val="166"/>
        <w:rPr>
          <w:highlight w:val="none"/>
        </w:rPr>
      </w:pPr>
      <w:r>
        <w:rPr>
          <w:rFonts w:hint="eastAsia"/>
          <w:highlight w:val="none"/>
        </w:rPr>
        <w:t>水泥电杆应根据村落内建筑物高度、周围环境和运输难度选择杆型，杆身可依据周边建筑物或环境色彩特点做刷漆处理。需在房屋密集处立杆时，宜通过选用加强杆、基础加固等措施减少拉线使用。</w:t>
      </w:r>
    </w:p>
    <w:p w14:paraId="11F91F2B">
      <w:pPr>
        <w:pStyle w:val="166"/>
        <w:rPr>
          <w:highlight w:val="none"/>
        </w:rPr>
      </w:pPr>
      <w:r>
        <w:rPr>
          <w:rFonts w:hint="eastAsia"/>
          <w:highlight w:val="none"/>
        </w:rPr>
        <w:t>受军事设施、铁路、高速公路等外界条件限制，架空线路难以通过的地区或存在国家批准的风景文化胜地、文物保护单位等特殊情况时可采用电缆敷设的方式。</w:t>
      </w:r>
    </w:p>
    <w:p w14:paraId="1D2D70CA">
      <w:pPr>
        <w:pStyle w:val="166"/>
        <w:rPr>
          <w:highlight w:val="none"/>
        </w:rPr>
      </w:pPr>
      <w:r>
        <w:rPr>
          <w:rFonts w:hint="eastAsia"/>
          <w:highlight w:val="none"/>
        </w:rPr>
        <w:t>电缆宜采用阻燃型，增强电气防火能力，穿越主干道路时，应采用抗压力的镀锌钢管进行防护。</w:t>
      </w:r>
    </w:p>
    <w:p w14:paraId="734CC9C0">
      <w:pPr>
        <w:pStyle w:val="166"/>
        <w:rPr>
          <w:highlight w:val="none"/>
        </w:rPr>
      </w:pPr>
      <w:r>
        <w:rPr>
          <w:rFonts w:hint="eastAsia"/>
          <w:highlight w:val="none"/>
        </w:rPr>
        <w:t>中低压配电设备安装位置应留有消防、检修、抢修通道。</w:t>
      </w:r>
    </w:p>
    <w:p w14:paraId="63E4B8D1">
      <w:pPr>
        <w:pStyle w:val="166"/>
        <w:rPr>
          <w:highlight w:val="none"/>
        </w:rPr>
      </w:pPr>
      <w:r>
        <w:rPr>
          <w:rFonts w:hint="eastAsia"/>
          <w:highlight w:val="none"/>
        </w:rPr>
        <w:t>对于文物保护单位、墙体乘重力不足以挂墙的建筑物，可采用落地式分接箱、计量箱，安装时应与墙体有效隔离。</w:t>
      </w:r>
    </w:p>
    <w:p w14:paraId="589323AF">
      <w:pPr>
        <w:pStyle w:val="166"/>
        <w:rPr>
          <w:highlight w:val="none"/>
        </w:rPr>
      </w:pPr>
      <w:r>
        <w:rPr>
          <w:rFonts w:hint="eastAsia"/>
          <w:highlight w:val="none"/>
        </w:rPr>
        <w:t>中低压配电网建设改造宜基于远景年负荷预测一次性选定线路截面和设备容量宜，廊道宜一次到位，减少重复建设对传统村落自然生态及人文生活的影响。</w:t>
      </w:r>
    </w:p>
    <w:p w14:paraId="1FCCD0C9">
      <w:pPr>
        <w:pStyle w:val="166"/>
        <w:rPr>
          <w:highlight w:val="none"/>
        </w:rPr>
      </w:pPr>
      <w:r>
        <w:rPr>
          <w:rFonts w:hint="eastAsia"/>
          <w:highlight w:val="none"/>
        </w:rPr>
        <w:t>柱上变、箱式配变、配电室、环网柜、分接箱、计量箱体宜选址在建设控制地带的背街、背墙、树丛背侧等隐蔽位置，有户外进出线的应采用套管且排列整齐。</w:t>
      </w:r>
    </w:p>
    <w:p w14:paraId="0F726B31">
      <w:pPr>
        <w:pStyle w:val="166"/>
        <w:rPr>
          <w:highlight w:val="none"/>
        </w:rPr>
      </w:pPr>
      <w:r>
        <w:rPr>
          <w:rFonts w:hint="eastAsia"/>
          <w:highlight w:val="none"/>
        </w:rPr>
        <w:t>柱上变围栏、配电站房可根据村落内建筑风格、地方文化特色等在颜色、形状上做个性化定制，如采用徽派建筑风格。设备箱体表面或背景墙可做刷漆处理，如融入徽州壁画艺术。</w:t>
      </w:r>
    </w:p>
    <w:p w14:paraId="3386E4CF">
      <w:pPr>
        <w:pStyle w:val="106"/>
        <w:spacing w:before="156" w:after="156"/>
        <w:rPr>
          <w:highlight w:val="none"/>
        </w:rPr>
      </w:pPr>
      <w:r>
        <w:rPr>
          <w:rFonts w:hint="eastAsia"/>
          <w:highlight w:val="none"/>
        </w:rPr>
        <w:t>新型电力系统接入</w:t>
      </w:r>
    </w:p>
    <w:p w14:paraId="5904A0E8">
      <w:pPr>
        <w:pStyle w:val="166"/>
        <w:rPr>
          <w:highlight w:val="none"/>
        </w:rPr>
      </w:pPr>
      <w:r>
        <w:rPr>
          <w:rFonts w:hint="eastAsia"/>
          <w:highlight w:val="none"/>
        </w:rPr>
        <w:t>中低压配电网建设改造应满足分布式电源、储能装置、电动汽车充换电设施等新型电力系统的接入需求。</w:t>
      </w:r>
    </w:p>
    <w:p w14:paraId="219DB79B">
      <w:pPr>
        <w:pStyle w:val="166"/>
        <w:rPr>
          <w:highlight w:val="none"/>
        </w:rPr>
      </w:pPr>
      <w:r>
        <w:rPr>
          <w:rFonts w:hint="eastAsia"/>
          <w:highlight w:val="none"/>
        </w:rPr>
        <w:t>分布式电源并网应符合GB/T 33593、NB/T 32015的规定。</w:t>
      </w:r>
    </w:p>
    <w:p w14:paraId="3A996830">
      <w:pPr>
        <w:pStyle w:val="166"/>
        <w:rPr>
          <w:highlight w:val="none"/>
        </w:rPr>
      </w:pPr>
      <w:r>
        <w:rPr>
          <w:rFonts w:hint="eastAsia"/>
          <w:highlight w:val="none"/>
        </w:rPr>
        <w:t>电化学储能系统接入应符合GB/T 36547、NB/T 33015的规定。</w:t>
      </w:r>
    </w:p>
    <w:p w14:paraId="2A3EB9BA">
      <w:pPr>
        <w:pStyle w:val="166"/>
        <w:rPr>
          <w:highlight w:val="none"/>
        </w:rPr>
      </w:pPr>
      <w:r>
        <w:rPr>
          <w:rFonts w:hint="eastAsia"/>
          <w:highlight w:val="none"/>
        </w:rPr>
        <w:t>电动汽车充换电设施接入应符合GB/T 36278的规定。</w:t>
      </w:r>
    </w:p>
    <w:p w14:paraId="4367E891">
      <w:pPr>
        <w:pStyle w:val="106"/>
        <w:spacing w:before="156" w:after="156"/>
        <w:rPr>
          <w:highlight w:val="none"/>
        </w:rPr>
      </w:pPr>
      <w:r>
        <w:rPr>
          <w:rFonts w:hint="eastAsia"/>
          <w:highlight w:val="none"/>
        </w:rPr>
        <w:t>施工、试验、验收及交付</w:t>
      </w:r>
    </w:p>
    <w:p w14:paraId="0451CDE8">
      <w:pPr>
        <w:pStyle w:val="166"/>
        <w:rPr>
          <w:highlight w:val="none"/>
        </w:rPr>
      </w:pPr>
      <w:r>
        <w:rPr>
          <w:rFonts w:hint="eastAsia"/>
          <w:highlight w:val="none"/>
        </w:rPr>
        <w:t>中低压配电线路建改造应符合GB 50173、DL/T 599 的规定。</w:t>
      </w:r>
    </w:p>
    <w:p w14:paraId="5154FED8">
      <w:pPr>
        <w:pStyle w:val="166"/>
        <w:rPr>
          <w:highlight w:val="none"/>
        </w:rPr>
      </w:pPr>
      <w:r>
        <w:rPr>
          <w:rFonts w:hint="eastAsia"/>
          <w:highlight w:val="none"/>
        </w:rPr>
        <w:t xml:space="preserve">高压电气设备和布线系统及继电保护系统的交接试验应符合GB 50150的规定。 </w:t>
      </w:r>
    </w:p>
    <w:p w14:paraId="44C17BD6">
      <w:pPr>
        <w:pStyle w:val="166"/>
        <w:rPr>
          <w:highlight w:val="none"/>
        </w:rPr>
      </w:pPr>
      <w:r>
        <w:rPr>
          <w:rFonts w:hint="eastAsia"/>
          <w:highlight w:val="none"/>
        </w:rPr>
        <w:t>低压电气设备和布线系统的交接试验应符合GB 50303的规定。</w:t>
      </w:r>
    </w:p>
    <w:p w14:paraId="4DB892A3">
      <w:pPr>
        <w:pStyle w:val="166"/>
        <w:rPr>
          <w:highlight w:val="none"/>
        </w:rPr>
      </w:pPr>
      <w:r>
        <w:rPr>
          <w:rFonts w:hint="eastAsia"/>
          <w:highlight w:val="none"/>
        </w:rPr>
        <w:t>地下电力线路建设改造宜与当地供水、供气、弱电等单位同期开展，减少村落街巷重复开挖，宜采用套管、隔板、挡墙等措施加强地下管网空间资源的节约整合。</w:t>
      </w:r>
    </w:p>
    <w:p w14:paraId="3CDE6583">
      <w:pPr>
        <w:pStyle w:val="166"/>
        <w:rPr>
          <w:highlight w:val="none"/>
        </w:rPr>
      </w:pPr>
      <w:r>
        <w:rPr>
          <w:rFonts w:hint="eastAsia"/>
          <w:highlight w:val="none"/>
        </w:rPr>
        <w:t>施工中应做好隐藏工程的记录和中间验收。</w:t>
      </w:r>
    </w:p>
    <w:p w14:paraId="3AE91474">
      <w:pPr>
        <w:pStyle w:val="166"/>
        <w:rPr>
          <w:highlight w:val="none"/>
        </w:rPr>
      </w:pPr>
      <w:r>
        <w:rPr>
          <w:rFonts w:hint="eastAsia"/>
          <w:highlight w:val="none"/>
        </w:rPr>
        <w:t>工程验收时应提交竣工图、安装技术记录等资料和文件。</w:t>
      </w:r>
    </w:p>
    <w:p w14:paraId="1AC27305">
      <w:pPr>
        <w:pStyle w:val="166"/>
        <w:rPr>
          <w:highlight w:val="none"/>
        </w:rPr>
      </w:pPr>
      <w:r>
        <w:rPr>
          <w:rFonts w:hint="eastAsia"/>
          <w:highlight w:val="none"/>
        </w:rPr>
        <w:t>工程交付时应提交由施工单位、监理单位、业主单位及设备主人等多方签署的竣工验收报告。</w:t>
      </w:r>
    </w:p>
    <w:p w14:paraId="30C3483B">
      <w:pPr>
        <w:pStyle w:val="105"/>
        <w:spacing w:before="312" w:after="312"/>
        <w:rPr>
          <w:highlight w:val="none"/>
        </w:rPr>
      </w:pPr>
      <w:r>
        <w:rPr>
          <w:rFonts w:hint="eastAsia"/>
          <w:highlight w:val="none"/>
        </w:rPr>
        <w:t>中压配电网</w:t>
      </w:r>
    </w:p>
    <w:p w14:paraId="4EB6C8DD">
      <w:pPr>
        <w:pStyle w:val="106"/>
        <w:spacing w:before="156" w:after="156"/>
        <w:rPr>
          <w:highlight w:val="none"/>
        </w:rPr>
      </w:pPr>
      <w:r>
        <w:rPr>
          <w:rFonts w:hint="eastAsia"/>
          <w:highlight w:val="none"/>
        </w:rPr>
        <w:t>建设改造内容</w:t>
      </w:r>
    </w:p>
    <w:p w14:paraId="5544A06C">
      <w:pPr>
        <w:pStyle w:val="57"/>
        <w:ind w:firstLine="420"/>
        <w:rPr>
          <w:highlight w:val="none"/>
        </w:rPr>
      </w:pPr>
      <w:r>
        <w:rPr>
          <w:rFonts w:hint="eastAsia"/>
          <w:highlight w:val="none"/>
        </w:rPr>
        <w:t>中压配电网建设改造内容包括但不限于架空线路、电缆线路、架空设备、电缆设备和接地保护。</w:t>
      </w:r>
    </w:p>
    <w:p w14:paraId="44CB3CC8">
      <w:pPr>
        <w:pStyle w:val="106"/>
        <w:spacing w:before="156" w:after="156"/>
        <w:rPr>
          <w:highlight w:val="none"/>
        </w:rPr>
      </w:pPr>
      <w:r>
        <w:rPr>
          <w:rFonts w:hint="eastAsia"/>
          <w:highlight w:val="none"/>
        </w:rPr>
        <w:t>架空线路</w:t>
      </w:r>
    </w:p>
    <w:p w14:paraId="43E78D90">
      <w:pPr>
        <w:pStyle w:val="166"/>
        <w:rPr>
          <w:highlight w:val="none"/>
        </w:rPr>
      </w:pPr>
      <w:r>
        <w:rPr>
          <w:rFonts w:hint="eastAsia"/>
          <w:highlight w:val="none"/>
        </w:rPr>
        <w:t>线路主干线建设改造宜不超过10km，地处偏远地区、山区可适当放宽，且应满足末端电压质量的要求。</w:t>
      </w:r>
    </w:p>
    <w:p w14:paraId="252E9D0A">
      <w:pPr>
        <w:pStyle w:val="166"/>
      </w:pPr>
      <w:r>
        <w:rPr>
          <w:rFonts w:hint="eastAsia"/>
          <w:highlight w:val="none"/>
        </w:rPr>
        <w:t>主干线路建设改造应分为3段-5段，每段应该装</w:t>
      </w:r>
      <w:r>
        <w:rPr>
          <w:rFonts w:hint="eastAsia"/>
        </w:rPr>
        <w:t>设分段开关，重要或较大分支线路首端应装设分支开关。</w:t>
      </w:r>
    </w:p>
    <w:p w14:paraId="084B464D">
      <w:pPr>
        <w:pStyle w:val="166"/>
      </w:pPr>
      <w:r>
        <w:rPr>
          <w:rFonts w:hint="eastAsia"/>
        </w:rPr>
        <w:t>中、重覆冰线路建设改造应采用避冰及抗冰措施，有条件地区经技术经济比较后可采用融冰及防冰等措施。</w:t>
      </w:r>
    </w:p>
    <w:p w14:paraId="4AD4BE41">
      <w:pPr>
        <w:pStyle w:val="166"/>
      </w:pPr>
      <w:r>
        <w:rPr>
          <w:rFonts w:hint="eastAsia"/>
        </w:rPr>
        <w:t>线路建设改造宜采用单回路或多回路架设，廊道资源充裕的情况下宜减少同杆三回以上的排列方式。杆头宜选用三角形和一字型排列方式。</w:t>
      </w:r>
    </w:p>
    <w:p w14:paraId="5E93ABFD">
      <w:pPr>
        <w:pStyle w:val="166"/>
      </w:pPr>
      <w:r>
        <w:rPr>
          <w:rFonts w:hint="eastAsia"/>
        </w:rPr>
        <w:t>强风区中压架空主干线路建设改造宜采用单回架设，保证线路之间的安全距离，可适当减小档距、配置防风拉线、增加分段数量。</w:t>
      </w:r>
    </w:p>
    <w:p w14:paraId="6239E3B9">
      <w:pPr>
        <w:pStyle w:val="166"/>
      </w:pPr>
      <w:r>
        <w:rPr>
          <w:rFonts w:hint="eastAsia"/>
        </w:rPr>
        <w:t>线路建设改造应深入负荷中心，宜采取“密布点、短距离”的供电方式配置配电变压器，以缩短低压供电距离，降低低压线路线损率。</w:t>
      </w:r>
    </w:p>
    <w:p w14:paraId="61E20FBD">
      <w:pPr>
        <w:pStyle w:val="166"/>
      </w:pPr>
      <w:r>
        <w:rPr>
          <w:rFonts w:hint="eastAsia"/>
        </w:rPr>
        <w:t>台区建设改造宜按照“先分容、后增容”的方式，优先选用小容量组合方案，户均配变容量宜不低于3.5kVA/户，单个台区所供用户数宜与户均容量标准相对应。</w:t>
      </w:r>
    </w:p>
    <w:p w14:paraId="3882B634">
      <w:pPr>
        <w:pStyle w:val="166"/>
      </w:pPr>
      <w:r>
        <w:rPr>
          <w:rFonts w:hint="eastAsia"/>
        </w:rPr>
        <w:t>线路建设改造宜采用绝缘铝芯导线，跨越较大等情况可采用钢芯铝绞线或绝缘钢芯铝绞线。线路导线主干线截面应不低于185mm²，分支线截面应不低于120mm²。</w:t>
      </w:r>
    </w:p>
    <w:p w14:paraId="0994BBFD">
      <w:pPr>
        <w:pStyle w:val="166"/>
      </w:pPr>
      <w:r>
        <w:rPr>
          <w:rFonts w:hint="eastAsia"/>
        </w:rPr>
        <w:t>线路建改造宜以普通水泥电杆为主，特殊地段可采用钢管杆或加强型水泥杆，山区、跨越等特殊情况可采用角钢塔。水泥杆可选用15m、18m三种规格，钢管杆可采用13m、16m，其中15m水泥杆及13m钢管杆适用于单回线路，18m水泥杆及16m钢管杆适用于双回线路或多回线路。平原地区线路档距不宜超过70m，山区丘陵地带使用钢芯铝绞线时，档距可根据实际情况做适当调整。</w:t>
      </w:r>
    </w:p>
    <w:p w14:paraId="29FC9D3F">
      <w:pPr>
        <w:pStyle w:val="166"/>
      </w:pPr>
      <w:r>
        <w:rPr>
          <w:rFonts w:hint="eastAsia"/>
        </w:rPr>
        <w:t>水泥电杆建设时应采取加装底盘和卡盘等措施，满足电杆载荷需求。房屋分布较为密集情况下，宜采用加强杆配合基础加固措施减少拉线使用。</w:t>
      </w:r>
    </w:p>
    <w:p w14:paraId="5B294689">
      <w:pPr>
        <w:pStyle w:val="166"/>
      </w:pPr>
      <w:r>
        <w:rPr>
          <w:rFonts w:hint="eastAsia"/>
        </w:rPr>
        <w:t>配电变压器建设应综合景观和谐、文物保护、消防安全、线路廊道、运输及施工等因素进行选址，尽量布置在负荷中心，可充分利用村落闲置和不宜建设房屋的公用用地。</w:t>
      </w:r>
    </w:p>
    <w:p w14:paraId="5983EF01">
      <w:pPr>
        <w:pStyle w:val="106"/>
        <w:spacing w:before="156" w:after="156"/>
      </w:pPr>
      <w:r>
        <w:rPr>
          <w:rFonts w:hint="eastAsia"/>
        </w:rPr>
        <w:t>电缆线路</w:t>
      </w:r>
    </w:p>
    <w:p w14:paraId="3574CF28">
      <w:pPr>
        <w:pStyle w:val="166"/>
      </w:pPr>
      <w:r>
        <w:rPr>
          <w:rFonts w:hint="eastAsia"/>
        </w:rPr>
        <w:t>电缆线路建设改造宜采用铜芯交联聚乙烯绝缘电力电缆，并根据使用环境采用具有防水、防蚁和阻燃等性能的外护套。</w:t>
      </w:r>
    </w:p>
    <w:p w14:paraId="5D3C0A8B">
      <w:pPr>
        <w:pStyle w:val="166"/>
      </w:pPr>
      <w:r>
        <w:rPr>
          <w:rFonts w:hint="eastAsia"/>
        </w:rPr>
        <w:t>电缆线路建设改造宜在分支和电缆分接处加装线路故障指示器。电缆线路分支设备宜采用户外环网室。</w:t>
      </w:r>
    </w:p>
    <w:p w14:paraId="636D6E9B">
      <w:pPr>
        <w:pStyle w:val="166"/>
      </w:pPr>
      <w:r>
        <w:rPr>
          <w:rFonts w:hint="eastAsia"/>
        </w:rPr>
        <w:t>电缆主干线路建设改造时截面应不小于300mm²，分支线截面应不小于185mm²。</w:t>
      </w:r>
    </w:p>
    <w:p w14:paraId="783910AA">
      <w:pPr>
        <w:pStyle w:val="166"/>
      </w:pPr>
      <w:r>
        <w:rPr>
          <w:rFonts w:hint="eastAsia"/>
        </w:rPr>
        <w:t>电缆线路建设改造应根据建设场合、地质状况差异化采用排管、电缆沟、直埋等敷设方式。</w:t>
      </w:r>
    </w:p>
    <w:p w14:paraId="40413A3A">
      <w:pPr>
        <w:pStyle w:val="166"/>
      </w:pPr>
      <w:r>
        <w:rPr>
          <w:rFonts w:hint="eastAsia"/>
        </w:rPr>
        <w:t>电缆通道建设改造应采用先进施工技术，防止井壁渗漏水、地基不均匀沉降，应封堵设备电缆孔洞、电缆排管端口，避免设备凝露、管孔淤塞等。</w:t>
      </w:r>
    </w:p>
    <w:p w14:paraId="21638F46">
      <w:pPr>
        <w:pStyle w:val="166"/>
      </w:pPr>
      <w:r>
        <w:rPr>
          <w:rFonts w:hint="eastAsia"/>
        </w:rPr>
        <w:t>采用直埋、排管敷设的地下电缆，敷设路径起、终点及转弯处，以及直线段每隔20m应设置电缆警示桩或行道警示砖，当电缆路径在绿化隔离带、灌木丛等位置时可延至每隔50m设置电缆警示桩。</w:t>
      </w:r>
    </w:p>
    <w:p w14:paraId="037C3FDC">
      <w:pPr>
        <w:pStyle w:val="106"/>
        <w:spacing w:before="156" w:after="156"/>
      </w:pPr>
      <w:r>
        <w:rPr>
          <w:rFonts w:hint="eastAsia"/>
        </w:rPr>
        <w:t>架空设备</w:t>
      </w:r>
    </w:p>
    <w:p w14:paraId="50AA7CB7">
      <w:pPr>
        <w:pStyle w:val="166"/>
      </w:pPr>
      <w:r>
        <w:rPr>
          <w:rFonts w:hint="eastAsia"/>
        </w:rPr>
        <w:t>柱上配电变压器单台容量可选择400kVA、200kVA、100kVA。配电变压器容量的选定宜符合DL/T 985的规定。</w:t>
      </w:r>
    </w:p>
    <w:p w14:paraId="377F4F40">
      <w:pPr>
        <w:pStyle w:val="166"/>
      </w:pPr>
      <w:r>
        <w:rPr>
          <w:rFonts w:hint="eastAsia"/>
        </w:rPr>
        <w:t>柱上配电变压器应选用低损耗、低噪声的环保节能型全密封三相变压器，其绕组联结组别应选用Dyn11。变压器能效等级应不低于GB 20052中的2级能效标准。</w:t>
      </w:r>
    </w:p>
    <w:p w14:paraId="2A100AC4">
      <w:pPr>
        <w:pStyle w:val="166"/>
      </w:pPr>
      <w:r>
        <w:rPr>
          <w:rFonts w:hint="eastAsia"/>
        </w:rPr>
        <w:t>柱上配电变压器综合配电箱体外壳宜选用不锈钢材料，也可选用纤维增强型不饱和聚酯树脂材料(SMC)。</w:t>
      </w:r>
    </w:p>
    <w:p w14:paraId="4479C3BD">
      <w:pPr>
        <w:pStyle w:val="166"/>
      </w:pPr>
      <w:r>
        <w:rPr>
          <w:rFonts w:hint="eastAsia"/>
        </w:rPr>
        <w:t>线路分段开关宜采用一二次融合成套装置，满足配电自动化要求。</w:t>
      </w:r>
    </w:p>
    <w:p w14:paraId="0E570EE4">
      <w:pPr>
        <w:pStyle w:val="106"/>
        <w:spacing w:before="156" w:after="156"/>
      </w:pPr>
      <w:r>
        <w:rPr>
          <w:rFonts w:hint="eastAsia"/>
        </w:rPr>
        <w:t>电缆设备</w:t>
      </w:r>
    </w:p>
    <w:p w14:paraId="3CE30384">
      <w:pPr>
        <w:pStyle w:val="166"/>
      </w:pPr>
      <w:r>
        <w:rPr>
          <w:rFonts w:hint="eastAsia"/>
        </w:rPr>
        <w:t>配电室配电变压器单台容量不宜超过800kVA，箱式变电站配电变压器单台容量不宜超过630kVA。变压器能效等级应不低于GB20052中的2级能效标准。</w:t>
      </w:r>
    </w:p>
    <w:p w14:paraId="6C0AABC1">
      <w:pPr>
        <w:pStyle w:val="166"/>
      </w:pPr>
      <w:r>
        <w:rPr>
          <w:rFonts w:hint="eastAsia"/>
        </w:rPr>
        <w:t>电缆线路分支设备宜采用一二次融合成套环网箱，进出线均为断路器型式。</w:t>
      </w:r>
    </w:p>
    <w:p w14:paraId="706BEBEB">
      <w:pPr>
        <w:pStyle w:val="166"/>
      </w:pPr>
      <w:r>
        <w:rPr>
          <w:rFonts w:hint="eastAsia"/>
        </w:rPr>
        <w:t>箱式变电站、环网箱、分支箱应采用全绝缘、全封闭、防凝露等技术，外壳应具有耐候、放腐蚀等性能，满足防火、防水、防小动物的要求。</w:t>
      </w:r>
    </w:p>
    <w:p w14:paraId="77468A48">
      <w:pPr>
        <w:pStyle w:val="166"/>
      </w:pPr>
      <w:r>
        <w:rPr>
          <w:rFonts w:hint="eastAsia"/>
        </w:rPr>
        <w:t>箱式变电站、环网箱、分支箱基础底座应高出地面不小于200mm, 宜装设防护围栏，安全警示标识应明晰。</w:t>
      </w:r>
    </w:p>
    <w:p w14:paraId="6833EC5B">
      <w:pPr>
        <w:pStyle w:val="106"/>
        <w:spacing w:before="156" w:after="156"/>
      </w:pPr>
      <w:r>
        <w:rPr>
          <w:rFonts w:hint="eastAsia"/>
        </w:rPr>
        <w:t>保护及接地</w:t>
      </w:r>
    </w:p>
    <w:p w14:paraId="2AFF572C">
      <w:pPr>
        <w:pStyle w:val="166"/>
      </w:pPr>
      <w:r>
        <w:rPr>
          <w:rFonts w:hint="eastAsia"/>
        </w:rPr>
        <w:t>中压线路建设改造可采用三段式电流保护、两段式零序过电流保护。系统安全稳定需要时，线路可配置光纤纵差等快速保护或其他方式实现全线速断功能。</w:t>
      </w:r>
    </w:p>
    <w:p w14:paraId="20BFECFB">
      <w:pPr>
        <w:pStyle w:val="166"/>
      </w:pPr>
      <w:r>
        <w:rPr>
          <w:rFonts w:hint="eastAsia"/>
        </w:rPr>
        <w:t>架空线路建设改造宜在分段开关和分界开关处加装电流保护。</w:t>
      </w:r>
    </w:p>
    <w:p w14:paraId="7DF32349">
      <w:pPr>
        <w:pStyle w:val="166"/>
      </w:pPr>
      <w:r>
        <w:rPr>
          <w:rFonts w:hint="eastAsia"/>
        </w:rPr>
        <w:t>采用专线接入中压配电网的分布式电源宜配置光纤纵差保护；采用 T 接线路接入系统时，在满足可靠性、选择性、灵敏性和速动性要求时，可采用电流电压保护。</w:t>
      </w:r>
    </w:p>
    <w:p w14:paraId="739D9A02">
      <w:pPr>
        <w:pStyle w:val="166"/>
      </w:pPr>
      <w:r>
        <w:rPr>
          <w:rFonts w:hint="eastAsia"/>
        </w:rPr>
        <w:t>架空线路建设改造应结合线路走向和负荷分布合理设置接地挂环。</w:t>
      </w:r>
    </w:p>
    <w:p w14:paraId="002A2D8D">
      <w:pPr>
        <w:pStyle w:val="166"/>
      </w:pPr>
      <w:r>
        <w:rPr>
          <w:rFonts w:hint="eastAsia"/>
        </w:rPr>
        <w:t>线路建设改造时，柱上断路器、电缆终端及柱上变压器10kV侧应安装避雷器，避雷器应尽量靠近被保护设备，且连接引线尽可能短而直。</w:t>
      </w:r>
    </w:p>
    <w:p w14:paraId="6D222035">
      <w:pPr>
        <w:pStyle w:val="166"/>
      </w:pPr>
      <w:r>
        <w:rPr>
          <w:rFonts w:hint="eastAsia"/>
        </w:rPr>
        <w:t>水泥杆可通过杆外外敷接地引下线接地或者杆身接地螺母直接连接接地，钢管杆和窄基塔的杆（塔）身双接地点应可靠接地。</w:t>
      </w:r>
    </w:p>
    <w:p w14:paraId="513A94FB">
      <w:pPr>
        <w:pStyle w:val="166"/>
      </w:pPr>
      <w:r>
        <w:rPr>
          <w:rFonts w:hint="eastAsia"/>
        </w:rPr>
        <w:t>箱式变电站、成套环网箱、电缆分支箱等均需可靠接地，柱上配变避雷器接地引下线应与变压器二次侧中性点及变压器的金属外壳相连接并可靠接地。</w:t>
      </w:r>
    </w:p>
    <w:p w14:paraId="4F722F7C">
      <w:pPr>
        <w:pStyle w:val="166"/>
      </w:pPr>
      <w:r>
        <w:rPr>
          <w:rFonts w:hint="eastAsia"/>
        </w:rPr>
        <w:t>雷暴活动频繁区中压架空线路可通过降低接地电阻、加强线路绝缘水平、安装大通流雷击防护装置、加装避雷线和加装耦合地线等措施降低雷暴影响。</w:t>
      </w:r>
    </w:p>
    <w:p w14:paraId="6A947AC4">
      <w:pPr>
        <w:pStyle w:val="166"/>
      </w:pPr>
      <w:r>
        <w:rPr>
          <w:rFonts w:hint="eastAsia"/>
        </w:rPr>
        <w:t>接地网应以水平接地体为主、垂直接地体为辅的闭合环形接地网，接地体宜采用热镀锌钢材。接地电阻值不大于4Ω，非独立建筑的配电室接地网接地电阻值不大于1Ω。</w:t>
      </w:r>
    </w:p>
    <w:p w14:paraId="5D369F6C">
      <w:pPr>
        <w:pStyle w:val="105"/>
        <w:spacing w:before="312" w:after="312"/>
      </w:pPr>
      <w:r>
        <w:rPr>
          <w:rFonts w:hint="eastAsia"/>
        </w:rPr>
        <w:t>低压配电网</w:t>
      </w:r>
    </w:p>
    <w:p w14:paraId="138ED37F">
      <w:pPr>
        <w:pStyle w:val="106"/>
        <w:spacing w:before="156" w:after="156"/>
      </w:pPr>
      <w:r>
        <w:rPr>
          <w:rFonts w:hint="eastAsia"/>
        </w:rPr>
        <w:t>建设改造内容</w:t>
      </w:r>
    </w:p>
    <w:p w14:paraId="695459C5">
      <w:pPr>
        <w:pStyle w:val="57"/>
        <w:ind w:firstLine="420"/>
      </w:pPr>
      <w:r>
        <w:rPr>
          <w:rFonts w:hint="eastAsia"/>
        </w:rPr>
        <w:t>低压配电网建设改造的内容包括但不限于架空线路、电缆线路、保护及接地。</w:t>
      </w:r>
    </w:p>
    <w:p w14:paraId="6404C1F7">
      <w:pPr>
        <w:pStyle w:val="106"/>
        <w:spacing w:before="156" w:after="156"/>
      </w:pPr>
      <w:r>
        <w:rPr>
          <w:rFonts w:hint="eastAsia"/>
        </w:rPr>
        <w:t xml:space="preserve">架空线路 </w:t>
      </w:r>
    </w:p>
    <w:p w14:paraId="2592140C">
      <w:pPr>
        <w:pStyle w:val="166"/>
      </w:pPr>
      <w:r>
        <w:rPr>
          <w:rFonts w:hint="eastAsia"/>
        </w:rPr>
        <w:t>线路建设改造宜采用辐射式结构，季节性负荷特性较大区域宜构建低压联络。</w:t>
      </w:r>
    </w:p>
    <w:p w14:paraId="7017D8BD">
      <w:pPr>
        <w:pStyle w:val="166"/>
      </w:pPr>
      <w:r>
        <w:rPr>
          <w:rFonts w:hint="eastAsia"/>
        </w:rPr>
        <w:t>线路建设改造不应跨越铁路、河流，且严禁跨越场院、池塘、库房、学校、房屋、草垛等。</w:t>
      </w:r>
    </w:p>
    <w:p w14:paraId="5DE2B655">
      <w:pPr>
        <w:pStyle w:val="166"/>
      </w:pPr>
      <w:r>
        <w:rPr>
          <w:rFonts w:hint="eastAsia"/>
        </w:rPr>
        <w:t>线路建设改造应三相四线延伸至多表位表箱或分支箱，宜在多表位表箱、分支箱、T接点等处调整相别，减少登杆作业。</w:t>
      </w:r>
    </w:p>
    <w:p w14:paraId="5D79B577">
      <w:pPr>
        <w:pStyle w:val="166"/>
      </w:pPr>
      <w:r>
        <w:rPr>
          <w:rFonts w:hint="eastAsia"/>
        </w:rPr>
        <w:t>线路建设改造供电距离宜与配电变压器容量相适应，200kVA及以下配变供电距离宜不超过500m，400kVA供电距离宜不超过250m，630kVA供电距离宜不超过150m。用户分布特别分散的地区供电距离可适当延长，末端压降校核应不超过4%。</w:t>
      </w:r>
    </w:p>
    <w:p w14:paraId="21338739">
      <w:pPr>
        <w:pStyle w:val="166"/>
      </w:pPr>
      <w:r>
        <w:rPr>
          <w:rFonts w:hint="eastAsia"/>
        </w:rPr>
        <w:t>线路建设改造应减少空档线路，线路曲折系数宜不大于1.8。</w:t>
      </w:r>
    </w:p>
    <w:p w14:paraId="50D76C40">
      <w:pPr>
        <w:pStyle w:val="166"/>
      </w:pPr>
      <w:r>
        <w:rPr>
          <w:rFonts w:hint="eastAsia"/>
        </w:rPr>
        <w:t>线路建设改造宜在横担、墙担的安装方式上保持整个村落的统一协调。</w:t>
      </w:r>
    </w:p>
    <w:p w14:paraId="7360A538">
      <w:pPr>
        <w:pStyle w:val="166"/>
      </w:pPr>
      <w:r>
        <w:rPr>
          <w:rFonts w:hint="eastAsia"/>
        </w:rPr>
        <w:t>线路建设改造宜减少电杆的使用，宜结合传统村落内居民建筑的型式采用沿墙母排方式敷设方式，局部过路地段可采用电缆穿管方式。</w:t>
      </w:r>
    </w:p>
    <w:p w14:paraId="5DAF4A9B">
      <w:pPr>
        <w:pStyle w:val="166"/>
      </w:pPr>
      <w:r>
        <w:rPr>
          <w:rFonts w:hint="eastAsia"/>
        </w:rPr>
        <w:t>线路建设改造宜采用绝缘导线，可与中压配电线路同杆架设。线路通道困难、房屋密集、安全距离难以满足要求的场所宜采用集束绝缘导线和电缆。</w:t>
      </w:r>
    </w:p>
    <w:p w14:paraId="28CE007D">
      <w:pPr>
        <w:pStyle w:val="166"/>
      </w:pPr>
      <w:r>
        <w:rPr>
          <w:rFonts w:hint="eastAsia"/>
        </w:rPr>
        <w:t>采用集束导线沿墙转角时宜采用转角支架并配合工字绝缘子，应减少支架伸出墙体距离，满足与对侧墙体导线间的安全距离。</w:t>
      </w:r>
    </w:p>
    <w:p w14:paraId="01F58FA2">
      <w:pPr>
        <w:pStyle w:val="166"/>
      </w:pPr>
      <w:r>
        <w:rPr>
          <w:rFonts w:hint="eastAsia"/>
        </w:rPr>
        <w:t>线路导线主干线截面应不小于150mm²，分支线截面应不小于70mm</w:t>
      </w:r>
      <w:r>
        <w:rPr>
          <w:rFonts w:hint="eastAsia"/>
          <w:vertAlign w:val="superscript"/>
        </w:rPr>
        <w:t>2</w:t>
      </w:r>
      <w:r>
        <w:rPr>
          <w:rFonts w:hint="eastAsia"/>
        </w:rPr>
        <w:t>。集束导线一般不用于主干线路，截面不大于120mm</w:t>
      </w:r>
      <w:r>
        <w:rPr>
          <w:rFonts w:hint="eastAsia"/>
          <w:vertAlign w:val="superscript"/>
        </w:rPr>
        <w:t>2</w:t>
      </w:r>
      <w:r>
        <w:rPr>
          <w:rFonts w:hint="eastAsia"/>
        </w:rPr>
        <w:t>。</w:t>
      </w:r>
    </w:p>
    <w:p w14:paraId="4493F39F">
      <w:pPr>
        <w:pStyle w:val="166"/>
      </w:pPr>
      <w:r>
        <w:rPr>
          <w:rFonts w:hint="eastAsia"/>
        </w:rPr>
        <w:t>低压架空线路建设改造宜采用10m及以上水泥电杆，线路档距宜为40m-50m，具体杆位定点应以表箱或分接箱下户线长度最短确定。低压线路与高压线路同杆架设时，应采用15m及以上电杆，横担间的垂直距离不应小于1.5m。</w:t>
      </w:r>
    </w:p>
    <w:p w14:paraId="7AF5F653">
      <w:pPr>
        <w:pStyle w:val="106"/>
        <w:spacing w:before="156" w:after="156"/>
      </w:pPr>
      <w:r>
        <w:rPr>
          <w:rFonts w:hint="eastAsia"/>
        </w:rPr>
        <w:t>电缆线路</w:t>
      </w:r>
    </w:p>
    <w:p w14:paraId="48F7BDA5">
      <w:pPr>
        <w:pStyle w:val="166"/>
      </w:pPr>
      <w:r>
        <w:rPr>
          <w:rFonts w:hint="eastAsia"/>
        </w:rPr>
        <w:t>电缆应采用阻燃电缆，增强电气防火能力。</w:t>
      </w:r>
    </w:p>
    <w:p w14:paraId="63334791">
      <w:pPr>
        <w:pStyle w:val="166"/>
      </w:pPr>
      <w:r>
        <w:rPr>
          <w:rFonts w:hint="eastAsia"/>
        </w:rPr>
        <w:t>电缆主干截面应不小于185mm²，分支线应不小于95 mm</w:t>
      </w:r>
      <w:r>
        <w:rPr>
          <w:rFonts w:hint="eastAsia"/>
          <w:vertAlign w:val="superscript"/>
        </w:rPr>
        <w:t>2</w:t>
      </w:r>
      <w:r>
        <w:rPr>
          <w:rFonts w:hint="eastAsia"/>
        </w:rPr>
        <w:t>。</w:t>
      </w:r>
    </w:p>
    <w:p w14:paraId="414D83B5">
      <w:pPr>
        <w:pStyle w:val="166"/>
      </w:pPr>
      <w:r>
        <w:rPr>
          <w:rFonts w:hint="eastAsia"/>
        </w:rPr>
        <w:t>文物保护单位或建筑墙体承重能力不足沿以沿墙母排方式敷设可采用电缆下地。</w:t>
      </w:r>
    </w:p>
    <w:p w14:paraId="55C27E29">
      <w:pPr>
        <w:pStyle w:val="166"/>
      </w:pPr>
      <w:r>
        <w:rPr>
          <w:rFonts w:hint="eastAsia"/>
        </w:rPr>
        <w:t>电缆敷设可采用排管、沟槽、直埋等方式，穿越道路时，应采用抗压力的保护管进行防护。</w:t>
      </w:r>
    </w:p>
    <w:p w14:paraId="216EC8B5">
      <w:pPr>
        <w:pStyle w:val="106"/>
        <w:spacing w:before="156" w:after="156"/>
      </w:pPr>
      <w:r>
        <w:rPr>
          <w:rFonts w:hint="eastAsia"/>
        </w:rPr>
        <w:t>保护及接地</w:t>
      </w:r>
    </w:p>
    <w:p w14:paraId="32168B1E">
      <w:pPr>
        <w:pStyle w:val="166"/>
      </w:pPr>
      <w:r>
        <w:rPr>
          <w:rFonts w:hint="eastAsia"/>
        </w:rPr>
        <w:t>低压线路建设改造时应装设短路保护、过负荷保护和剩余电流动作保护，剩余电流动作保护装置的安装应符合GB/T 13955的规定。</w:t>
      </w:r>
    </w:p>
    <w:p w14:paraId="25E3BCB1">
      <w:pPr>
        <w:pStyle w:val="166"/>
      </w:pPr>
      <w:r>
        <w:rPr>
          <w:rFonts w:hint="eastAsia"/>
        </w:rPr>
        <w:t>配电室或箱式变电站变低压系统接地方式宜选用TN-C。TN-C系统用户末端需装设漏电保护，在干线和分支线的终端处，应将零线重复接地，且接地点不应少于三处。当采用TT系统时，在综合配电箱低压出线装设剩余电流保护装置。</w:t>
      </w:r>
    </w:p>
    <w:p w14:paraId="2CCA8E05">
      <w:pPr>
        <w:pStyle w:val="105"/>
        <w:spacing w:before="312" w:after="312"/>
      </w:pPr>
      <w:r>
        <w:rPr>
          <w:rFonts w:hint="eastAsia"/>
        </w:rPr>
        <w:t>低压户表</w:t>
      </w:r>
    </w:p>
    <w:p w14:paraId="71B726BC">
      <w:pPr>
        <w:pStyle w:val="163"/>
      </w:pPr>
      <w:r>
        <w:rPr>
          <w:rFonts w:hint="eastAsia"/>
        </w:rPr>
        <w:t>接户线建设改造应将相线和中性线从同一基电杆引下，每处电杆下火不宜超过2户，其档距不应大于25m，超过25m时，应设置接户杆，接户杆不宜超过2根。沿墙敷设的支持点间的距离不应大于6m。接户线导线截面应根据用户负荷确定，并按末端压降不超过4%校核。</w:t>
      </w:r>
    </w:p>
    <w:p w14:paraId="1A560118">
      <w:pPr>
        <w:pStyle w:val="163"/>
      </w:pPr>
      <w:r>
        <w:rPr>
          <w:rFonts w:hint="eastAsia"/>
        </w:rPr>
        <w:t>对于同一基电杆引下接户线较多或零散不规则的房屋宜采用分接箱，用于延长三相四线分支线，缩短单相供电距离。</w:t>
      </w:r>
    </w:p>
    <w:p w14:paraId="7074C6DD">
      <w:pPr>
        <w:pStyle w:val="163"/>
      </w:pPr>
      <w:r>
        <w:rPr>
          <w:rFonts w:hint="eastAsia"/>
        </w:rPr>
        <w:t>接户线建设改造宜沿电杆下降1m-1.5m后下火，线路末端应做滴水弯，减少雨水沿接户线对古民居等建筑物墙体冲刷破坏。</w:t>
      </w:r>
    </w:p>
    <w:p w14:paraId="4AFE019F">
      <w:pPr>
        <w:pStyle w:val="163"/>
      </w:pPr>
      <w:r>
        <w:rPr>
          <w:rFonts w:hint="eastAsia"/>
        </w:rPr>
        <w:t>接户线和进户线建设改造时可选用架空绝缘线、集束导线和低压电缆。沿墙敷设的进户线采用绝缘导线时应加装保护套管，管口应做防水弯头。</w:t>
      </w:r>
    </w:p>
    <w:p w14:paraId="0D911BFD">
      <w:pPr>
        <w:pStyle w:val="163"/>
      </w:pPr>
      <w:r>
        <w:rPr>
          <w:rFonts w:hint="eastAsia"/>
        </w:rPr>
        <w:t>计量箱宜靠近用户侧设置，进线侧应装设总开关，电能表出口应装设分户开关，用户能够对其进行操作，计量箱底部距地面高度宜为1.8m-2.0m。箱体外壳应满足坚固、防雨、防火、防锈蚀的要求，箱体应有便于客户查询和用电检查的观察窗。</w:t>
      </w:r>
    </w:p>
    <w:p w14:paraId="12EB699E">
      <w:pPr>
        <w:pStyle w:val="105"/>
        <w:spacing w:before="312" w:after="312"/>
      </w:pPr>
      <w:r>
        <w:rPr>
          <w:rFonts w:hint="eastAsia"/>
        </w:rPr>
        <w:t>通信及自动化</w:t>
      </w:r>
    </w:p>
    <w:p w14:paraId="6C3F886B">
      <w:pPr>
        <w:pStyle w:val="163"/>
      </w:pPr>
      <w:r>
        <w:rPr>
          <w:rFonts w:hint="eastAsia"/>
        </w:rPr>
        <w:t xml:space="preserve">配电通信网建设应满足配电自动化系统、用电信息采集系统、分布式电源、电动汽车充换电设施、储能设施等源网荷储终端的现状及中远期通信。 </w:t>
      </w:r>
    </w:p>
    <w:p w14:paraId="5C616FA6">
      <w:pPr>
        <w:pStyle w:val="163"/>
      </w:pPr>
      <w:r>
        <w:rPr>
          <w:rFonts w:hint="eastAsia"/>
        </w:rPr>
        <w:t>配电通信网建设应根据中低压配电网的业务性能需求、技术经济效益、环境和实施难度等因素，选择适宜的通信方式（光纤、无线、载波通信等）构建终端远程通信通道。</w:t>
      </w:r>
    </w:p>
    <w:p w14:paraId="21051A09">
      <w:pPr>
        <w:pStyle w:val="163"/>
      </w:pPr>
      <w:r>
        <w:rPr>
          <w:rFonts w:hint="eastAsia"/>
        </w:rPr>
        <w:t>配电网自动化建设改造应符合DL/T 814的规定。</w:t>
      </w:r>
    </w:p>
    <w:bookmarkEnd w:id="15"/>
    <w:p w14:paraId="5BC47FDE">
      <w:pPr>
        <w:pStyle w:val="57"/>
        <w:ind w:firstLine="0" w:firstLineChars="0"/>
        <w:jc w:val="center"/>
      </w:pPr>
      <w:bookmarkStart w:id="49" w:name="BookMark8"/>
      <w:r>
        <w:rPr>
          <w:rFonts w:hint="eastAsia"/>
        </w:rPr>
        <w:drawing>
          <wp:inline distT="0" distB="0" distL="0" distR="0">
            <wp:extent cx="1485900" cy="317500"/>
            <wp:effectExtent l="0" t="0" r="0" b="6350"/>
            <wp:docPr id="1586315136" name="图片 1"/>
            <wp:cNvGraphicFramePr/>
            <a:graphic xmlns:a="http://schemas.openxmlformats.org/drawingml/2006/main">
              <a:graphicData uri="http://schemas.openxmlformats.org/drawingml/2006/picture">
                <pic:pic xmlns:pic="http://schemas.openxmlformats.org/drawingml/2006/picture">
                  <pic:nvPicPr>
                    <pic:cNvPr id="1586315136"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9"/>
    </w:p>
    <w:sectPr>
      <w:pgSz w:w="11906" w:h="16838"/>
      <w:pgMar w:top="567"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38EE1">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446E49">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769DA5">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1CABB1">
    <w:pPr>
      <w:pStyle w:val="53"/>
    </w:pPr>
    <w:r>
      <w:fldChar w:fldCharType="begin"/>
    </w:r>
    <w:r>
      <w:instrText xml:space="preserve">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5809D">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17AFB">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13EE5F">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93B77">
    <w:pPr>
      <w:pStyle w:val="62"/>
      <w:rPr>
        <w:rFonts w:hint="eastAsia"/>
      </w:rPr>
    </w:pPr>
    <w:r>
      <w:fldChar w:fldCharType="begin"/>
    </w:r>
    <w:r>
      <w:instrText xml:space="preserve"> STYLEREF  标准文件_文件编号  \* MERGEFORMAT </w:instrText>
    </w:r>
    <w:r>
      <w:fldChar w:fldCharType="separate"/>
    </w:r>
    <w:r>
      <w:t>DB34/T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5DD381">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DB34/T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1" w:cryptProviderType="rsaAES" w:cryptAlgorithmClass="hash" w:cryptAlgorithmType="typeAny" w:cryptAlgorithmSid="14" w:cryptSpinCount="100000" w:hash="1B5Vc91+UVqWIkDaowkIeVkBazG0th3goqAVFCWBCyL7WcUbGiU5I5vL6hgrlAOxhMvzIpRj/4XaCKKjzPMlmA==" w:salt="r9DpnA/amS3Y+QB7QRgHc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yYWNiMjA2ZWJkOTFmMWM4MzQwZDNkZGNlODIxYzcifQ=="/>
  </w:docVars>
  <w:rsids>
    <w:rsidRoot w:val="0090193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2D5"/>
    <w:rsid w:val="00092B8A"/>
    <w:rsid w:val="00092FB0"/>
    <w:rsid w:val="000934C5"/>
    <w:rsid w:val="00093D25"/>
    <w:rsid w:val="00093DAB"/>
    <w:rsid w:val="00094D73"/>
    <w:rsid w:val="00096D63"/>
    <w:rsid w:val="00097064"/>
    <w:rsid w:val="000A0B60"/>
    <w:rsid w:val="000A0EB8"/>
    <w:rsid w:val="000A19FC"/>
    <w:rsid w:val="000A296B"/>
    <w:rsid w:val="000A7311"/>
    <w:rsid w:val="000B060F"/>
    <w:rsid w:val="000B0FDD"/>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2CF4"/>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BA1"/>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2FC2"/>
    <w:rsid w:val="002031F7"/>
    <w:rsid w:val="002040E6"/>
    <w:rsid w:val="0020527B"/>
    <w:rsid w:val="00205F2C"/>
    <w:rsid w:val="00210B15"/>
    <w:rsid w:val="002142EA"/>
    <w:rsid w:val="002204BB"/>
    <w:rsid w:val="00221B79"/>
    <w:rsid w:val="00221C6B"/>
    <w:rsid w:val="002253A1"/>
    <w:rsid w:val="00225CF8"/>
    <w:rsid w:val="002272F1"/>
    <w:rsid w:val="0022794E"/>
    <w:rsid w:val="00233D64"/>
    <w:rsid w:val="0023482A"/>
    <w:rsid w:val="00234896"/>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1432"/>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CED"/>
    <w:rsid w:val="00350D1D"/>
    <w:rsid w:val="00352C83"/>
    <w:rsid w:val="003615D2"/>
    <w:rsid w:val="00361BED"/>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5CA"/>
    <w:rsid w:val="00484936"/>
    <w:rsid w:val="00485C89"/>
    <w:rsid w:val="00486BE3"/>
    <w:rsid w:val="004905E4"/>
    <w:rsid w:val="00490A89"/>
    <w:rsid w:val="00490AB4"/>
    <w:rsid w:val="00492F02"/>
    <w:rsid w:val="004939AE"/>
    <w:rsid w:val="00497CD0"/>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4E46"/>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0A19"/>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C7639"/>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6624"/>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3E54"/>
    <w:rsid w:val="007C4593"/>
    <w:rsid w:val="007C5309"/>
    <w:rsid w:val="007C6069"/>
    <w:rsid w:val="007D06C4"/>
    <w:rsid w:val="007D1352"/>
    <w:rsid w:val="007D2508"/>
    <w:rsid w:val="007D346A"/>
    <w:rsid w:val="007D4706"/>
    <w:rsid w:val="007D6518"/>
    <w:rsid w:val="007D76BD"/>
    <w:rsid w:val="007E0BF1"/>
    <w:rsid w:val="007E2802"/>
    <w:rsid w:val="007E39D0"/>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17DA6"/>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2FD6"/>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5F70"/>
    <w:rsid w:val="008C619A"/>
    <w:rsid w:val="008C7E24"/>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1930"/>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51F"/>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1FAE"/>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714"/>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77A"/>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2780E"/>
    <w:rsid w:val="00B31FB1"/>
    <w:rsid w:val="00B33952"/>
    <w:rsid w:val="00B33C5E"/>
    <w:rsid w:val="00B342F4"/>
    <w:rsid w:val="00B34369"/>
    <w:rsid w:val="00B34DC2"/>
    <w:rsid w:val="00B378E5"/>
    <w:rsid w:val="00B4346D"/>
    <w:rsid w:val="00B440F4"/>
    <w:rsid w:val="00B447A5"/>
    <w:rsid w:val="00B4633D"/>
    <w:rsid w:val="00B4654C"/>
    <w:rsid w:val="00B47293"/>
    <w:rsid w:val="00B50E50"/>
    <w:rsid w:val="00B517EE"/>
    <w:rsid w:val="00B52120"/>
    <w:rsid w:val="00B54ABC"/>
    <w:rsid w:val="00B54DDE"/>
    <w:rsid w:val="00B56FBE"/>
    <w:rsid w:val="00B60ACF"/>
    <w:rsid w:val="00B62B58"/>
    <w:rsid w:val="00B65149"/>
    <w:rsid w:val="00B66567"/>
    <w:rsid w:val="00B66F52"/>
    <w:rsid w:val="00B66FE5"/>
    <w:rsid w:val="00B70E7D"/>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64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754C"/>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57604"/>
    <w:rsid w:val="00D66846"/>
    <w:rsid w:val="00D675FB"/>
    <w:rsid w:val="00D71F25"/>
    <w:rsid w:val="00D72A9C"/>
    <w:rsid w:val="00D77031"/>
    <w:rsid w:val="00D80720"/>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A49"/>
    <w:rsid w:val="00DE6E81"/>
    <w:rsid w:val="00DE703F"/>
    <w:rsid w:val="00DE7595"/>
    <w:rsid w:val="00DF1961"/>
    <w:rsid w:val="00DF44DE"/>
    <w:rsid w:val="00DF462E"/>
    <w:rsid w:val="00DF5F11"/>
    <w:rsid w:val="00E01138"/>
    <w:rsid w:val="00E02DFB"/>
    <w:rsid w:val="00E030F9"/>
    <w:rsid w:val="00E0311A"/>
    <w:rsid w:val="00E03138"/>
    <w:rsid w:val="00E06404"/>
    <w:rsid w:val="00E11A85"/>
    <w:rsid w:val="00E12495"/>
    <w:rsid w:val="00E1340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67DA4"/>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B7E0A"/>
    <w:rsid w:val="00EC5359"/>
    <w:rsid w:val="00EC562A"/>
    <w:rsid w:val="00ED067A"/>
    <w:rsid w:val="00ED2B50"/>
    <w:rsid w:val="00ED4FFD"/>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370932"/>
    <w:rsid w:val="07D91D66"/>
    <w:rsid w:val="0B772A8D"/>
    <w:rsid w:val="0E810F16"/>
    <w:rsid w:val="0F444339"/>
    <w:rsid w:val="11A2361F"/>
    <w:rsid w:val="12745D7F"/>
    <w:rsid w:val="1F952153"/>
    <w:rsid w:val="20735EFA"/>
    <w:rsid w:val="20A3217B"/>
    <w:rsid w:val="2220573B"/>
    <w:rsid w:val="24FD34DE"/>
    <w:rsid w:val="255E214B"/>
    <w:rsid w:val="25CA7A53"/>
    <w:rsid w:val="27795424"/>
    <w:rsid w:val="2B6067CB"/>
    <w:rsid w:val="2EE944D2"/>
    <w:rsid w:val="39855D6C"/>
    <w:rsid w:val="40997DF6"/>
    <w:rsid w:val="4406112C"/>
    <w:rsid w:val="51536EE0"/>
    <w:rsid w:val="52234D4B"/>
    <w:rsid w:val="54DF16B0"/>
    <w:rsid w:val="5CBE75B8"/>
    <w:rsid w:val="686D1FCC"/>
    <w:rsid w:val="6D593BB0"/>
    <w:rsid w:val="6F996318"/>
    <w:rsid w:val="77705314"/>
    <w:rsid w:val="79E11B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rPr>
      <w:sz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rFonts w:ascii="Times New Roman" w:hAnsi="Times New Roman" w:eastAsia="宋体" w:cs="Times New Roman"/>
      <w:b/>
      <w:bCs/>
      <w:kern w:val="44"/>
      <w:sz w:val="44"/>
      <w:szCs w:val="44"/>
    </w:rPr>
  </w:style>
  <w:style w:type="character" w:customStyle="1" w:styleId="36">
    <w:name w:val="标题 2 字符"/>
    <w:link w:val="3"/>
    <w:qFormat/>
    <w:uiPriority w:val="0"/>
    <w:rPr>
      <w:rFonts w:ascii="Arial" w:hAnsi="Arial" w:eastAsia="黑体" w:cs="Times New Roman"/>
      <w:b/>
      <w:bCs/>
      <w:sz w:val="32"/>
      <w:szCs w:val="32"/>
    </w:rPr>
  </w:style>
  <w:style w:type="character" w:customStyle="1" w:styleId="37">
    <w:name w:val="标题 3 字符"/>
    <w:link w:val="4"/>
    <w:qFormat/>
    <w:uiPriority w:val="0"/>
    <w:rPr>
      <w:rFonts w:ascii="Times New Roman" w:hAnsi="Times New Roman" w:eastAsia="宋体" w:cs="Times New Roman"/>
      <w:b/>
      <w:bCs/>
      <w:sz w:val="32"/>
      <w:szCs w:val="32"/>
    </w:rPr>
  </w:style>
  <w:style w:type="character" w:customStyle="1" w:styleId="38">
    <w:name w:val="标题 4 字符"/>
    <w:link w:val="5"/>
    <w:qFormat/>
    <w:uiPriority w:val="0"/>
    <w:rPr>
      <w:rFonts w:ascii="Arial" w:hAnsi="Arial" w:eastAsia="黑体" w:cs="Times New Roman"/>
      <w:b/>
      <w:bCs/>
      <w:sz w:val="28"/>
      <w:szCs w:val="28"/>
    </w:rPr>
  </w:style>
  <w:style w:type="character" w:customStyle="1" w:styleId="39">
    <w:name w:val="标题 5 字符"/>
    <w:link w:val="6"/>
    <w:qFormat/>
    <w:uiPriority w:val="0"/>
    <w:rPr>
      <w:rFonts w:ascii="Times New Roman" w:hAnsi="Times New Roman" w:eastAsia="宋体" w:cs="Times New Roman"/>
      <w:b/>
      <w:bCs/>
      <w:sz w:val="28"/>
      <w:szCs w:val="28"/>
    </w:rPr>
  </w:style>
  <w:style w:type="character" w:customStyle="1" w:styleId="40">
    <w:name w:val="标题 6 字符"/>
    <w:link w:val="7"/>
    <w:qFormat/>
    <w:uiPriority w:val="0"/>
    <w:rPr>
      <w:rFonts w:ascii="Arial" w:hAnsi="Arial" w:eastAsia="黑体" w:cs="Times New Roman"/>
      <w:b/>
      <w:bCs/>
      <w:sz w:val="24"/>
      <w:szCs w:val="24"/>
    </w:rPr>
  </w:style>
  <w:style w:type="character" w:customStyle="1" w:styleId="41">
    <w:name w:val="标题 7 字符"/>
    <w:link w:val="8"/>
    <w:qFormat/>
    <w:uiPriority w:val="0"/>
    <w:rPr>
      <w:rFonts w:ascii="Times New Roman" w:hAnsi="Times New Roman" w:eastAsia="宋体" w:cs="Times New Roman"/>
      <w:b/>
      <w:bCs/>
      <w:sz w:val="24"/>
      <w:szCs w:val="24"/>
    </w:rPr>
  </w:style>
  <w:style w:type="character" w:customStyle="1" w:styleId="42">
    <w:name w:val="标题 8 字符"/>
    <w:link w:val="9"/>
    <w:qFormat/>
    <w:uiPriority w:val="0"/>
    <w:rPr>
      <w:rFonts w:ascii="Arial" w:hAnsi="Arial" w:eastAsia="黑体" w:cs="Times New Roman"/>
      <w:sz w:val="24"/>
      <w:szCs w:val="24"/>
    </w:rPr>
  </w:style>
  <w:style w:type="character" w:customStyle="1" w:styleId="43">
    <w:name w:val="标题 9 字符"/>
    <w:link w:val="10"/>
    <w:qFormat/>
    <w:uiPriority w:val="0"/>
    <w:rPr>
      <w:rFonts w:ascii="Arial" w:hAnsi="Arial" w:eastAsia="黑体" w:cs="Times New Roman"/>
      <w:szCs w:val="21"/>
    </w:rPr>
  </w:style>
  <w:style w:type="character" w:customStyle="1" w:styleId="44">
    <w:name w:val="页眉 字符"/>
    <w:link w:val="18"/>
    <w:qFormat/>
    <w:uiPriority w:val="99"/>
    <w:rPr>
      <w:rFonts w:ascii="Times New Roman" w:hAnsi="Times New Roman" w:eastAsia="宋体" w:cs="Times New Roman"/>
      <w:sz w:val="18"/>
      <w:szCs w:val="18"/>
    </w:rPr>
  </w:style>
  <w:style w:type="character" w:customStyle="1" w:styleId="45">
    <w:name w:val="页脚 字符"/>
    <w:link w:val="17"/>
    <w:qFormat/>
    <w:uiPriority w:val="99"/>
    <w:rPr>
      <w:rFonts w:ascii="宋体" w:hAnsi="Times New Roman" w:eastAsia="宋体" w:cs="Times New Roman"/>
      <w:sz w:val="18"/>
      <w:szCs w:val="18"/>
    </w:rPr>
  </w:style>
  <w:style w:type="character" w:customStyle="1" w:styleId="46">
    <w:name w:val="批注框文本 字符"/>
    <w:link w:val="16"/>
    <w:semiHidden/>
    <w:qFormat/>
    <w:uiPriority w:val="99"/>
    <w:rPr>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rPr>
  </w:style>
  <w:style w:type="character" w:customStyle="1" w:styleId="49">
    <w:name w:val="标题 字符"/>
    <w:link w:val="26"/>
    <w:qFormat/>
    <w:uiPriority w:val="0"/>
    <w:rPr>
      <w:rFonts w:ascii="Arial" w:hAnsi="Arial" w:eastAsia="宋体" w:cs="Arial"/>
      <w:b/>
      <w:bCs/>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rFonts w:ascii="Times New Roman" w:hAnsi="Times New Roman" w:eastAsia="宋体" w:cs="Times New Roman"/>
      <w:szCs w:val="20"/>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pPr>
  </w:style>
  <w:style w:type="paragraph" w:customStyle="1" w:styleId="92">
    <w:name w:val="标准文件_目录标题"/>
    <w:basedOn w:val="1"/>
    <w:qFormat/>
    <w:uiPriority w:val="0"/>
    <w:pPr>
      <w:spacing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ind w:left="0" w:firstLine="200"/>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hAnsi="Times New Roman" w:eastAsia="宋体" w:cs="Times New Roman"/>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left="1271" w:hanging="420" w:firstLineChars="0"/>
    </w:pPr>
  </w:style>
  <w:style w:type="paragraph" w:customStyle="1" w:styleId="189">
    <w:name w:val="标准文件_三级项2"/>
    <w:basedOn w:val="57"/>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wrap="around"/>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next w:val="57"/>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21382BEB6334716A3C4C81BC1FFB301"/>
        <w:style w:val=""/>
        <w:category>
          <w:name w:val="常规"/>
          <w:gallery w:val="placeholder"/>
        </w:category>
        <w:types>
          <w:type w:val="bbPlcHdr"/>
        </w:types>
        <w:behaviors>
          <w:behavior w:val="content"/>
        </w:behaviors>
        <w:description w:val=""/>
        <w:guid w:val="{8A268A8B-AADC-4170-A6F6-AD4F2FD9B215}"/>
      </w:docPartPr>
      <w:docPartBody>
        <w:p w14:paraId="10B08AF0">
          <w:pPr>
            <w:pStyle w:val="5"/>
            <w:rPr>
              <w:rFonts w:hint="eastAsia"/>
            </w:rPr>
          </w:pPr>
          <w:r>
            <w:rPr>
              <w:rStyle w:val="4"/>
              <w:rFonts w:hint="eastAsia"/>
            </w:rPr>
            <w:t>单击或点击此处输入文字。</w:t>
          </w:r>
        </w:p>
      </w:docPartBody>
    </w:docPart>
    <w:docPart>
      <w:docPartPr>
        <w:name w:val="2210F4A9D9514149AC47FA0AB2C24B49"/>
        <w:style w:val=""/>
        <w:category>
          <w:name w:val="常规"/>
          <w:gallery w:val="placeholder"/>
        </w:category>
        <w:types>
          <w:type w:val="bbPlcHdr"/>
        </w:types>
        <w:behaviors>
          <w:behavior w:val="content"/>
        </w:behaviors>
        <w:description w:val=""/>
        <w:guid w:val="{D2027BD7-8BA1-446D-B135-4E99C2180F1B}"/>
      </w:docPartPr>
      <w:docPartBody>
        <w:p w14:paraId="72957A6D">
          <w:pPr>
            <w:pStyle w:val="6"/>
            <w:rPr>
              <w:rFonts w:hint="eastAsia"/>
            </w:rPr>
          </w:pPr>
          <w:r>
            <w:rPr>
              <w:rStyle w:val="4"/>
              <w:rFonts w:hint="eastAsia"/>
            </w:rPr>
            <w:t>选择一项。</w:t>
          </w:r>
        </w:p>
      </w:docPartBody>
    </w:docPart>
    <w:docPart>
      <w:docPartPr>
        <w:name w:val="B6C04ECD658C4D36A0E55EFDD044BECF"/>
        <w:style w:val=""/>
        <w:category>
          <w:name w:val="常规"/>
          <w:gallery w:val="placeholder"/>
        </w:category>
        <w:types>
          <w:type w:val="bbPlcHdr"/>
        </w:types>
        <w:behaviors>
          <w:behavior w:val="content"/>
        </w:behaviors>
        <w:description w:val=""/>
        <w:guid w:val="{2E546DE0-DB33-424F-B8E4-D5B81816561E}"/>
      </w:docPartPr>
      <w:docPartBody>
        <w:p w14:paraId="04E3651F">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AE9"/>
    <w:rsid w:val="000E6064"/>
    <w:rsid w:val="000E6507"/>
    <w:rsid w:val="00115F94"/>
    <w:rsid w:val="001925AF"/>
    <w:rsid w:val="00202FC2"/>
    <w:rsid w:val="002750EE"/>
    <w:rsid w:val="002964A9"/>
    <w:rsid w:val="00301432"/>
    <w:rsid w:val="003E5AE9"/>
    <w:rsid w:val="003E6552"/>
    <w:rsid w:val="00411B6A"/>
    <w:rsid w:val="00470F59"/>
    <w:rsid w:val="008D55E0"/>
    <w:rsid w:val="00A44180"/>
    <w:rsid w:val="00A7514D"/>
    <w:rsid w:val="00B00AE8"/>
    <w:rsid w:val="00B70AFD"/>
    <w:rsid w:val="00B72BA4"/>
    <w:rsid w:val="00B869DD"/>
    <w:rsid w:val="00C85B96"/>
    <w:rsid w:val="00E66086"/>
    <w:rsid w:val="00FE43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21382BEB6334716A3C4C81BC1FFB30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2210F4A9D9514149AC47FA0AB2C24B4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6C04ECD658C4D36A0E55EFDD044BECF"/>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8</Pages>
  <Words>5393</Words>
  <Characters>5982</Characters>
  <Lines>45</Lines>
  <Paragraphs>12</Paragraphs>
  <TotalTime>0</TotalTime>
  <ScaleCrop>false</ScaleCrop>
  <LinksUpToDate>false</LinksUpToDate>
  <CharactersWithSpaces>6091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2021-03-29T03:30:00Z</dcterms:created>
  <dc:creator>李琰</dc:creator>
  <dc:description>&lt;config cover="true" show_menu="true" version="1.0.0" doctype="SDKXY"&gt;_x000d_
&lt;/config&gt;</dc:description>
  <cp:lastModifiedBy>轻舞飞扬 wf</cp:lastModifiedBy>
  <cp:lastPrinted>2020-08-30T10:00:00Z</cp:lastPrinted>
  <dcterms:modified xsi:type="dcterms:W3CDTF">2024-12-23T00:39:47Z</dcterms:modified>
  <dc:title>地方标准</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2052-12.1.0.19302</vt:lpwstr>
  </property>
  <property fmtid="{D5CDD505-2E9C-101B-9397-08002B2CF9AE}" pid="15" name="ICV">
    <vt:lpwstr>A4AAC65053CD478C91CEFD76838A193D_13</vt:lpwstr>
  </property>
</Properties>
</file>