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6DF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9E4DCC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BF7A77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w:t>
            </w:r>
            <w:r>
              <w:rPr>
                <w:rFonts w:ascii="黑体" w:hAnsi="黑体" w:eastAsia="黑体"/>
                <w:sz w:val="21"/>
                <w:szCs w:val="21"/>
              </w:rPr>
              <w:fldChar w:fldCharType="end"/>
            </w:r>
            <w:bookmarkEnd w:id="0"/>
          </w:p>
        </w:tc>
      </w:tr>
      <w:tr w14:paraId="3222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18DFA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2B49327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50AF72D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6FEC20B3">
            <w:pPr>
              <w:pStyle w:val="49"/>
              <w:framePr w:w="0" w:hRule="auto" w:wrap="auto" w:vAnchor="margin" w:hAnchor="text" w:xAlign="left" w:yAlign="inline"/>
              <w:rPr>
                <w:rFonts w:ascii="宋体" w:hAnsi="宋体"/>
                <w:sz w:val="28"/>
                <w:szCs w:val="28"/>
              </w:rPr>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DB</w:t>
            </w:r>
            <w:r>
              <w:rPr>
                <w:rFonts w:hint="eastAsia"/>
                <w:lang w:val="en-US" w:eastAsia="zh-CN"/>
              </w:rPr>
              <w:t>54</w:t>
            </w:r>
            <w:r>
              <w:fldChar w:fldCharType="end"/>
            </w:r>
            <w:bookmarkEnd w:id="3"/>
          </w:p>
        </w:tc>
      </w:tr>
    </w:tbl>
    <w:p w14:paraId="75D610E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053437D">
      <w:pPr>
        <w:pStyle w:val="195"/>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lang w:val="en-US" w:eastAsia="zh-CN"/>
        </w:rPr>
        <w:t>54</w:t>
      </w:r>
      <w:r>
        <w:t>/T</w:t>
      </w:r>
      <w:r>
        <w:fldChar w:fldCharType="end"/>
      </w:r>
      <w:bookmarkEnd w:id="5"/>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 xml:space="preserve"> </w:t>
      </w:r>
      <w:r>
        <w:rPr>
          <w:rFonts w:hint="eastAsia"/>
          <w:lang w:val="en-US" w:eastAsia="zh-CN"/>
        </w:rP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val="en-US" w:eastAsia="zh-CN"/>
        </w:rPr>
        <w:t>XXXX</w:t>
      </w:r>
      <w:r>
        <w:fldChar w:fldCharType="end"/>
      </w:r>
      <w:bookmarkEnd w:id="7"/>
    </w:p>
    <w:p w14:paraId="0550D6AC">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fldChar w:fldCharType="end"/>
      </w:r>
      <w:bookmarkEnd w:id="8"/>
    </w:p>
    <w:p w14:paraId="09484A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35522A9D">
      <w:pPr>
        <w:pStyle w:val="50"/>
        <w:framePr w:w="9639" w:h="6976" w:hRule="exact" w:hSpace="0" w:vSpace="0" w:wrap="around" w:hAnchor="page" w:y="6408"/>
        <w:jc w:val="center"/>
        <w:rPr>
          <w:rFonts w:ascii="黑体" w:hAnsi="黑体" w:eastAsia="黑体"/>
          <w:b w:val="0"/>
          <w:bCs w:val="0"/>
          <w:w w:val="100"/>
        </w:rPr>
      </w:pPr>
    </w:p>
    <w:p w14:paraId="3980A4A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油菜桃花同期开花栽培技术规程</w:t>
      </w:r>
      <w:r>
        <w:fldChar w:fldCharType="end"/>
      </w:r>
      <w:bookmarkEnd w:id="9"/>
    </w:p>
    <w:p w14:paraId="173A6734">
      <w:pPr>
        <w:framePr w:w="9639" w:h="6974" w:hRule="exact" w:wrap="around" w:vAnchor="page" w:hAnchor="page" w:x="1419" w:y="6408" w:anchorLock="1"/>
        <w:ind w:left="-1418"/>
      </w:pPr>
    </w:p>
    <w:p w14:paraId="3695EE03">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14:paraId="30D8C4CE">
      <w:pPr>
        <w:framePr w:w="9639" w:h="6974" w:hRule="exact" w:wrap="around" w:vAnchor="page" w:hAnchor="page" w:x="1419" w:y="6408" w:anchorLock="1"/>
        <w:spacing w:line="760" w:lineRule="exact"/>
        <w:ind w:left="-1418"/>
      </w:pPr>
    </w:p>
    <w:p w14:paraId="0702D2E7">
      <w:pPr>
        <w:pStyle w:val="125"/>
        <w:framePr w:w="9639" w:h="6974" w:hRule="exact" w:wrap="around" w:vAnchor="page" w:hAnchor="page" w:x="1419" w:y="6408" w:anchorLock="1"/>
        <w:textAlignment w:val="bottom"/>
        <w:rPr>
          <w:rFonts w:eastAsia="黑体"/>
          <w:szCs w:val="28"/>
        </w:rPr>
      </w:pPr>
    </w:p>
    <w:p w14:paraId="1261A70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750CF5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lang w:val="en-US" w:eastAsia="zh-CN"/>
        </w:rPr>
        <w:t>     </w:t>
      </w:r>
      <w:r>
        <w:rPr>
          <w:sz w:val="21"/>
          <w:szCs w:val="28"/>
        </w:rPr>
        <w:fldChar w:fldCharType="end"/>
      </w:r>
      <w:bookmarkEnd w:id="12"/>
    </w:p>
    <w:p w14:paraId="022E3D3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2EFBC0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w:t>
      </w:r>
      <w:r>
        <w:rPr>
          <w:rFonts w:hint="eastAsia" w:ascii="黑体"/>
          <w:lang w:val="en-US" w:eastAsia="zh-CN"/>
        </w:rPr>
        <w:t>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6"/>
      <w:r>
        <w:rPr>
          <w:rFonts w:hint="eastAsia"/>
        </w:rPr>
        <w:t>发布</w:t>
      </w:r>
    </w:p>
    <w:p w14:paraId="020C355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9"/>
      <w:r>
        <w:rPr>
          <w:rFonts w:hint="eastAsia"/>
        </w:rPr>
        <w:t>实施</w:t>
      </w:r>
    </w:p>
    <w:p w14:paraId="29679703">
      <w:pPr>
        <w:pStyle w:val="151"/>
        <w:framePr w:h="584" w:hRule="exact" w:hSpace="181" w:vSpace="181" w:wrap="around" w:y="15027"/>
        <w:rPr>
          <w:rFonts w:hAnsi="黑体"/>
        </w:rPr>
      </w:pPr>
      <w:r>
        <w:rPr>
          <w:rFonts w:hAnsi="黑体"/>
          <w:spacing w:val="20"/>
          <w:sz w:val="28"/>
        </w:rPr>
        <w:fldChar w:fldCharType="begin">
          <w:ffData>
            <w:name w:val="fm"/>
            <w:enabled/>
            <w:calcOnExit w:val="0"/>
            <w:textInput/>
          </w:ffData>
        </w:fldChar>
      </w:r>
      <w:bookmarkStart w:id="20" w:name="fm"/>
      <w:r>
        <w:rPr>
          <w:rFonts w:hAnsi="黑体"/>
          <w:spacing w:val="20"/>
          <w:sz w:val="28"/>
        </w:rPr>
        <w:instrText xml:space="preserve"> FORMTEXT </w:instrText>
      </w:r>
      <w:r>
        <w:rPr>
          <w:rFonts w:hAnsi="黑体"/>
          <w:spacing w:val="20"/>
          <w:sz w:val="28"/>
        </w:rPr>
        <w:fldChar w:fldCharType="separate"/>
      </w:r>
      <w:r>
        <w:rPr>
          <w:rFonts w:hint="eastAsia" w:hAnsi="黑体"/>
          <w:spacing w:val="20"/>
          <w:sz w:val="28"/>
          <w:lang w:eastAsia="zh-CN"/>
        </w:rPr>
        <w:t>西藏自治区</w:t>
      </w:r>
      <w:r>
        <w:rPr>
          <w:rFonts w:hint="eastAsia" w:hAnsi="黑体"/>
          <w:spacing w:val="20"/>
          <w:sz w:val="28"/>
        </w:rPr>
        <w:t>市场监督管理局</w:t>
      </w:r>
      <w:r>
        <w:rPr>
          <w:rFonts w:hAnsi="黑体"/>
          <w:spacing w:val="2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9E9294A">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0B54DE36">
      <w:pPr>
        <w:pStyle w:val="91"/>
        <w:spacing w:after="468"/>
      </w:pPr>
      <w:bookmarkStart w:id="21" w:name="BookMark1"/>
      <w:bookmarkStart w:id="22" w:name="_Toc62479868"/>
      <w:bookmarkStart w:id="23" w:name="_Toc62479893"/>
      <w:bookmarkStart w:id="24" w:name="_Toc62479843"/>
      <w:bookmarkStart w:id="25" w:name="_Toc62479762"/>
      <w:r>
        <w:rPr>
          <w:rFonts w:hint="eastAsia"/>
          <w:spacing w:val="320"/>
        </w:rPr>
        <w:t>目</w:t>
      </w:r>
      <w:r>
        <w:rPr>
          <w:rFonts w:hint="eastAsia"/>
        </w:rPr>
        <w:t>次</w:t>
      </w:r>
    </w:p>
    <w:p w14:paraId="2EB55176">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_Toc21969 </w:instrText>
      </w:r>
      <w:r>
        <w:fldChar w:fldCharType="separate"/>
      </w:r>
      <w:r>
        <w:rPr>
          <w:spacing w:val="320"/>
        </w:rPr>
        <w:t>前</w:t>
      </w:r>
      <w:r>
        <w:t>言</w:t>
      </w:r>
      <w:r>
        <w:tab/>
      </w:r>
      <w:r>
        <w:fldChar w:fldCharType="begin"/>
      </w:r>
      <w:r>
        <w:instrText xml:space="preserve"> PAGEREF _Toc21969 \h </w:instrText>
      </w:r>
      <w:r>
        <w:fldChar w:fldCharType="separate"/>
      </w:r>
      <w:r>
        <w:t>II</w:t>
      </w:r>
      <w:r>
        <w:fldChar w:fldCharType="end"/>
      </w:r>
      <w:r>
        <w:fldChar w:fldCharType="end"/>
      </w:r>
    </w:p>
    <w:p w14:paraId="5A4E20C5">
      <w:pPr>
        <w:pStyle w:val="24"/>
        <w:tabs>
          <w:tab w:val="right" w:leader="dot" w:pos="9354"/>
          <w:tab w:val="clear" w:pos="9344"/>
        </w:tabs>
        <w:ind w:left="0" w:leftChars="0" w:firstLine="0" w:firstLineChars="0"/>
      </w:pPr>
      <w:r>
        <w:fldChar w:fldCharType="begin"/>
      </w:r>
      <w:r>
        <w:instrText xml:space="preserve"> HYPERLINK \l _Toc12471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1</w:t>
      </w:r>
      <w:bookmarkStart w:id="102" w:name="_GoBack"/>
      <w:bookmarkEnd w:id="102"/>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 </w:t>
      </w:r>
      <w:r>
        <w:rPr>
          <w:rFonts w:hint="eastAsia"/>
        </w:rPr>
        <w:t>范围</w:t>
      </w:r>
      <w:r>
        <w:tab/>
      </w:r>
      <w:r>
        <w:fldChar w:fldCharType="begin"/>
      </w:r>
      <w:r>
        <w:instrText xml:space="preserve"> PAGEREF _Toc12471 \h </w:instrText>
      </w:r>
      <w:r>
        <w:fldChar w:fldCharType="separate"/>
      </w:r>
      <w:r>
        <w:t>1</w:t>
      </w:r>
      <w:r>
        <w:fldChar w:fldCharType="end"/>
      </w:r>
      <w:r>
        <w:fldChar w:fldCharType="end"/>
      </w:r>
    </w:p>
    <w:p w14:paraId="48783D2B">
      <w:pPr>
        <w:pStyle w:val="19"/>
        <w:tabs>
          <w:tab w:val="right" w:leader="dot" w:pos="9354"/>
        </w:tabs>
      </w:pPr>
      <w:r>
        <w:fldChar w:fldCharType="begin"/>
      </w:r>
      <w:r>
        <w:instrText xml:space="preserve"> HYPERLINK \l _Toc13715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_Toc13715 \h </w:instrText>
      </w:r>
      <w:r>
        <w:fldChar w:fldCharType="separate"/>
      </w:r>
      <w:r>
        <w:t>1</w:t>
      </w:r>
      <w:r>
        <w:fldChar w:fldCharType="end"/>
      </w:r>
      <w:r>
        <w:fldChar w:fldCharType="end"/>
      </w:r>
    </w:p>
    <w:p w14:paraId="4EDD6170">
      <w:pPr>
        <w:pStyle w:val="19"/>
        <w:tabs>
          <w:tab w:val="right" w:leader="dot" w:pos="9354"/>
        </w:tabs>
      </w:pPr>
      <w:r>
        <w:fldChar w:fldCharType="begin"/>
      </w:r>
      <w:r>
        <w:instrText xml:space="preserve"> HYPERLINK \l _Toc5064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_Toc5064 \h </w:instrText>
      </w:r>
      <w:r>
        <w:fldChar w:fldCharType="separate"/>
      </w:r>
      <w:r>
        <w:t>1</w:t>
      </w:r>
      <w:r>
        <w:fldChar w:fldCharType="end"/>
      </w:r>
      <w:r>
        <w:fldChar w:fldCharType="end"/>
      </w:r>
    </w:p>
    <w:p w14:paraId="213C757E">
      <w:pPr>
        <w:pStyle w:val="19"/>
        <w:tabs>
          <w:tab w:val="right" w:leader="dot" w:pos="9354"/>
        </w:tabs>
      </w:pPr>
      <w:r>
        <w:fldChar w:fldCharType="begin"/>
      </w:r>
      <w:r>
        <w:instrText xml:space="preserve"> HYPERLINK \l _Toc27259 </w:instrText>
      </w:r>
      <w:r>
        <w:fldChar w:fldCharType="separate"/>
      </w:r>
      <w:r>
        <w:rPr>
          <w:rFonts w:hint="eastAsia" w:ascii="黑体" w:eastAsia="黑体"/>
          <w:i w:val="0"/>
        </w:rPr>
        <w:t xml:space="preserve">4 </w:t>
      </w:r>
      <w:r>
        <w:rPr>
          <w:rFonts w:hint="eastAsia"/>
          <w:lang w:val="en-US" w:eastAsia="zh-CN"/>
        </w:rPr>
        <w:t>种植技术</w:t>
      </w:r>
      <w:r>
        <w:tab/>
      </w:r>
      <w:r>
        <w:fldChar w:fldCharType="begin"/>
      </w:r>
      <w:r>
        <w:instrText xml:space="preserve"> PAGEREF _Toc27259 \h </w:instrText>
      </w:r>
      <w:r>
        <w:fldChar w:fldCharType="separate"/>
      </w:r>
      <w:r>
        <w:t>1</w:t>
      </w:r>
      <w:r>
        <w:fldChar w:fldCharType="end"/>
      </w:r>
      <w:r>
        <w:fldChar w:fldCharType="end"/>
      </w:r>
    </w:p>
    <w:p w14:paraId="23B88261">
      <w:pPr>
        <w:pStyle w:val="24"/>
        <w:tabs>
          <w:tab w:val="right" w:leader="dot" w:pos="9354"/>
          <w:tab w:val="clear" w:pos="9344"/>
        </w:tabs>
      </w:pPr>
      <w:r>
        <w:fldChar w:fldCharType="begin"/>
      </w:r>
      <w:r>
        <w:instrText xml:space="preserve"> HYPERLINK \l _Toc11101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4.1 </w:t>
      </w:r>
      <w:r>
        <w:rPr>
          <w:rFonts w:hint="eastAsia"/>
          <w:lang w:val="en-US" w:eastAsia="zh-CN"/>
        </w:rPr>
        <w:t>桃林</w:t>
      </w:r>
      <w:r>
        <w:rPr>
          <w:rFonts w:hint="eastAsia"/>
        </w:rPr>
        <w:t>选择</w:t>
      </w:r>
      <w:r>
        <w:tab/>
      </w:r>
      <w:r>
        <w:fldChar w:fldCharType="begin"/>
      </w:r>
      <w:r>
        <w:instrText xml:space="preserve"> PAGEREF _Toc11101 \h </w:instrText>
      </w:r>
      <w:r>
        <w:fldChar w:fldCharType="separate"/>
      </w:r>
      <w:r>
        <w:t>1</w:t>
      </w:r>
      <w:r>
        <w:fldChar w:fldCharType="end"/>
      </w:r>
      <w:r>
        <w:fldChar w:fldCharType="end"/>
      </w:r>
    </w:p>
    <w:p w14:paraId="7D59302C">
      <w:pPr>
        <w:pStyle w:val="24"/>
        <w:tabs>
          <w:tab w:val="right" w:leader="dot" w:pos="9354"/>
          <w:tab w:val="clear" w:pos="9344"/>
        </w:tabs>
      </w:pPr>
      <w:r>
        <w:fldChar w:fldCharType="begin"/>
      </w:r>
      <w:r>
        <w:instrText xml:space="preserve"> HYPERLINK \l _Toc3828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4.2 </w:t>
      </w:r>
      <w:r>
        <w:rPr>
          <w:rFonts w:hint="eastAsia"/>
        </w:rPr>
        <w:t>油菜品种选择</w:t>
      </w:r>
      <w:r>
        <w:tab/>
      </w:r>
      <w:r>
        <w:fldChar w:fldCharType="begin"/>
      </w:r>
      <w:r>
        <w:instrText xml:space="preserve"> PAGEREF _Toc3828 \h </w:instrText>
      </w:r>
      <w:r>
        <w:fldChar w:fldCharType="separate"/>
      </w:r>
      <w:r>
        <w:t>1</w:t>
      </w:r>
      <w:r>
        <w:fldChar w:fldCharType="end"/>
      </w:r>
      <w:r>
        <w:fldChar w:fldCharType="end"/>
      </w:r>
    </w:p>
    <w:p w14:paraId="22E8DB20">
      <w:pPr>
        <w:pStyle w:val="24"/>
        <w:tabs>
          <w:tab w:val="right" w:leader="dot" w:pos="9354"/>
          <w:tab w:val="clear" w:pos="9344"/>
        </w:tabs>
      </w:pPr>
      <w:r>
        <w:fldChar w:fldCharType="begin"/>
      </w:r>
      <w:r>
        <w:instrText xml:space="preserve"> HYPERLINK \l _Toc20969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4.3 </w:t>
      </w:r>
      <w:r>
        <w:rPr>
          <w:rFonts w:hint="eastAsia"/>
        </w:rPr>
        <w:t>播种时间</w:t>
      </w:r>
      <w:r>
        <w:tab/>
      </w:r>
      <w:r>
        <w:fldChar w:fldCharType="begin"/>
      </w:r>
      <w:r>
        <w:instrText xml:space="preserve"> PAGEREF _Toc20969 \h </w:instrText>
      </w:r>
      <w:r>
        <w:fldChar w:fldCharType="separate"/>
      </w:r>
      <w:r>
        <w:t>1</w:t>
      </w:r>
      <w:r>
        <w:fldChar w:fldCharType="end"/>
      </w:r>
      <w:r>
        <w:fldChar w:fldCharType="end"/>
      </w:r>
    </w:p>
    <w:p w14:paraId="5E5EE697">
      <w:pPr>
        <w:pStyle w:val="24"/>
        <w:tabs>
          <w:tab w:val="right" w:leader="dot" w:pos="9354"/>
          <w:tab w:val="clear" w:pos="9344"/>
        </w:tabs>
      </w:pPr>
      <w:r>
        <w:fldChar w:fldCharType="begin"/>
      </w:r>
      <w:r>
        <w:instrText xml:space="preserve"> HYPERLINK \l _Toc24210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4.4 </w:t>
      </w:r>
      <w:r>
        <w:rPr>
          <w:rFonts w:hint="eastAsia"/>
        </w:rPr>
        <w:t>播种量</w:t>
      </w:r>
      <w:r>
        <w:tab/>
      </w:r>
      <w:r>
        <w:fldChar w:fldCharType="begin"/>
      </w:r>
      <w:r>
        <w:instrText xml:space="preserve"> PAGEREF _Toc24210 \h </w:instrText>
      </w:r>
      <w:r>
        <w:fldChar w:fldCharType="separate"/>
      </w:r>
      <w:r>
        <w:t>1</w:t>
      </w:r>
      <w:r>
        <w:fldChar w:fldCharType="end"/>
      </w:r>
      <w:r>
        <w:fldChar w:fldCharType="end"/>
      </w:r>
    </w:p>
    <w:p w14:paraId="4A0800BB">
      <w:pPr>
        <w:pStyle w:val="24"/>
        <w:tabs>
          <w:tab w:val="right" w:leader="dot" w:pos="9354"/>
          <w:tab w:val="clear" w:pos="9344"/>
        </w:tabs>
      </w:pPr>
      <w:r>
        <w:fldChar w:fldCharType="begin"/>
      </w:r>
      <w:r>
        <w:instrText xml:space="preserve"> HYPERLINK \l _Toc7149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4.5 </w:t>
      </w:r>
      <w:r>
        <w:rPr>
          <w:rFonts w:hint="eastAsia"/>
        </w:rPr>
        <w:t>播种方式</w:t>
      </w:r>
      <w:r>
        <w:tab/>
      </w:r>
      <w:r>
        <w:fldChar w:fldCharType="begin"/>
      </w:r>
      <w:r>
        <w:instrText xml:space="preserve"> PAGEREF _Toc7149 \h </w:instrText>
      </w:r>
      <w:r>
        <w:fldChar w:fldCharType="separate"/>
      </w:r>
      <w:r>
        <w:t>1</w:t>
      </w:r>
      <w:r>
        <w:fldChar w:fldCharType="end"/>
      </w:r>
      <w:r>
        <w:fldChar w:fldCharType="end"/>
      </w:r>
    </w:p>
    <w:p w14:paraId="3C3A8E92">
      <w:pPr>
        <w:pStyle w:val="19"/>
        <w:tabs>
          <w:tab w:val="right" w:leader="dot" w:pos="9354"/>
        </w:tabs>
      </w:pPr>
      <w:r>
        <w:fldChar w:fldCharType="begin"/>
      </w:r>
      <w:r>
        <w:instrText xml:space="preserve"> HYPERLINK \l _Toc19974 </w:instrText>
      </w:r>
      <w:r>
        <w:fldChar w:fldCharType="separate"/>
      </w:r>
      <w:r>
        <w:rPr>
          <w:rFonts w:hint="eastAsia" w:ascii="黑体" w:eastAsia="黑体"/>
          <w:i w:val="0"/>
        </w:rPr>
        <w:t xml:space="preserve">5 </w:t>
      </w:r>
      <w:r>
        <w:rPr>
          <w:rFonts w:hint="eastAsia"/>
          <w:lang w:val="en-US" w:eastAsia="zh-CN"/>
        </w:rPr>
        <w:t>花前</w:t>
      </w:r>
      <w:r>
        <w:rPr>
          <w:rFonts w:hint="eastAsia"/>
        </w:rPr>
        <w:t>管理</w:t>
      </w:r>
      <w:r>
        <w:tab/>
      </w:r>
      <w:r>
        <w:fldChar w:fldCharType="begin"/>
      </w:r>
      <w:r>
        <w:instrText xml:space="preserve"> PAGEREF _Toc19974 \h </w:instrText>
      </w:r>
      <w:r>
        <w:fldChar w:fldCharType="separate"/>
      </w:r>
      <w:r>
        <w:t>2</w:t>
      </w:r>
      <w:r>
        <w:fldChar w:fldCharType="end"/>
      </w:r>
      <w:r>
        <w:fldChar w:fldCharType="end"/>
      </w:r>
    </w:p>
    <w:p w14:paraId="28288EC6">
      <w:pPr>
        <w:pStyle w:val="24"/>
        <w:tabs>
          <w:tab w:val="right" w:leader="dot" w:pos="9354"/>
          <w:tab w:val="clear" w:pos="9344"/>
        </w:tabs>
      </w:pPr>
      <w:r>
        <w:fldChar w:fldCharType="begin"/>
      </w:r>
      <w:r>
        <w:instrText xml:space="preserve"> HYPERLINK \l _Toc31916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5.1 </w:t>
      </w:r>
      <w:r>
        <w:rPr>
          <w:rFonts w:hint="eastAsia"/>
          <w:lang w:val="en-US" w:eastAsia="zh-CN"/>
        </w:rPr>
        <w:t>底肥</w:t>
      </w:r>
      <w:r>
        <w:tab/>
      </w:r>
      <w:r>
        <w:fldChar w:fldCharType="begin"/>
      </w:r>
      <w:r>
        <w:instrText xml:space="preserve"> PAGEREF _Toc31916 \h </w:instrText>
      </w:r>
      <w:r>
        <w:fldChar w:fldCharType="separate"/>
      </w:r>
      <w:r>
        <w:t>2</w:t>
      </w:r>
      <w:r>
        <w:fldChar w:fldCharType="end"/>
      </w:r>
      <w:r>
        <w:fldChar w:fldCharType="end"/>
      </w:r>
    </w:p>
    <w:p w14:paraId="27684E0E">
      <w:pPr>
        <w:pStyle w:val="24"/>
        <w:tabs>
          <w:tab w:val="right" w:leader="dot" w:pos="9354"/>
          <w:tab w:val="clear" w:pos="9344"/>
        </w:tabs>
      </w:pPr>
      <w:r>
        <w:fldChar w:fldCharType="begin"/>
      </w:r>
      <w:r>
        <w:instrText xml:space="preserve"> HYPERLINK \l _Toc22422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5.2 </w:t>
      </w:r>
      <w:r>
        <w:rPr>
          <w:rFonts w:hint="eastAsia"/>
        </w:rPr>
        <w:t>病</w:t>
      </w:r>
      <w:r>
        <w:rPr>
          <w:rFonts w:hint="eastAsia"/>
          <w:lang w:val="en-US" w:eastAsia="zh-CN"/>
        </w:rPr>
        <w:t>虫草</w:t>
      </w:r>
      <w:r>
        <w:rPr>
          <w:rFonts w:hint="eastAsia"/>
        </w:rPr>
        <w:t>害防治</w:t>
      </w:r>
      <w:r>
        <w:tab/>
      </w:r>
      <w:r>
        <w:fldChar w:fldCharType="begin"/>
      </w:r>
      <w:r>
        <w:instrText xml:space="preserve"> PAGEREF _Toc22422 \h </w:instrText>
      </w:r>
      <w:r>
        <w:fldChar w:fldCharType="separate"/>
      </w:r>
      <w:r>
        <w:t>2</w:t>
      </w:r>
      <w:r>
        <w:fldChar w:fldCharType="end"/>
      </w:r>
      <w:r>
        <w:fldChar w:fldCharType="end"/>
      </w:r>
    </w:p>
    <w:p w14:paraId="696F27CC">
      <w:pPr>
        <w:pStyle w:val="24"/>
        <w:tabs>
          <w:tab w:val="right" w:leader="dot" w:pos="9354"/>
          <w:tab w:val="clear" w:pos="9344"/>
        </w:tabs>
      </w:pPr>
      <w:r>
        <w:fldChar w:fldCharType="begin"/>
      </w:r>
      <w:r>
        <w:instrText xml:space="preserve"> HYPERLINK \l _Toc12599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5.3 </w:t>
      </w:r>
      <w:r>
        <w:rPr>
          <w:rFonts w:hint="eastAsia"/>
          <w:lang w:val="en-US" w:eastAsia="zh-CN"/>
        </w:rPr>
        <w:t>越冬管理</w:t>
      </w:r>
      <w:r>
        <w:tab/>
      </w:r>
      <w:r>
        <w:fldChar w:fldCharType="begin"/>
      </w:r>
      <w:r>
        <w:instrText xml:space="preserve"> PAGEREF _Toc12599 \h </w:instrText>
      </w:r>
      <w:r>
        <w:fldChar w:fldCharType="separate"/>
      </w:r>
      <w:r>
        <w:t>2</w:t>
      </w:r>
      <w:r>
        <w:fldChar w:fldCharType="end"/>
      </w:r>
      <w:r>
        <w:fldChar w:fldCharType="end"/>
      </w:r>
    </w:p>
    <w:p w14:paraId="7786590F">
      <w:pPr>
        <w:pStyle w:val="24"/>
        <w:tabs>
          <w:tab w:val="right" w:leader="dot" w:pos="9354"/>
          <w:tab w:val="clear" w:pos="9344"/>
        </w:tabs>
      </w:pPr>
      <w:r>
        <w:fldChar w:fldCharType="begin"/>
      </w:r>
      <w:r>
        <w:instrText xml:space="preserve"> HYPERLINK \l _Toc18535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5.4 </w:t>
      </w:r>
      <w:r>
        <w:rPr>
          <w:rFonts w:hint="eastAsia" w:hAnsi="Times New Roman" w:cs="Times New Roman"/>
          <w:lang w:val="en-US" w:eastAsia="zh-CN"/>
        </w:rPr>
        <w:t>生长调节剂调控</w:t>
      </w:r>
      <w:r>
        <w:tab/>
      </w:r>
      <w:r>
        <w:fldChar w:fldCharType="begin"/>
      </w:r>
      <w:r>
        <w:instrText xml:space="preserve"> PAGEREF _Toc18535 \h </w:instrText>
      </w:r>
      <w:r>
        <w:fldChar w:fldCharType="separate"/>
      </w:r>
      <w:r>
        <w:t>2</w:t>
      </w:r>
      <w:r>
        <w:fldChar w:fldCharType="end"/>
      </w:r>
      <w:r>
        <w:fldChar w:fldCharType="end"/>
      </w:r>
    </w:p>
    <w:p w14:paraId="2E089616">
      <w:pPr>
        <w:pStyle w:val="24"/>
        <w:tabs>
          <w:tab w:val="right" w:leader="dot" w:pos="9354"/>
          <w:tab w:val="clear" w:pos="9344"/>
        </w:tabs>
      </w:pPr>
      <w:r>
        <w:fldChar w:fldCharType="begin"/>
      </w:r>
      <w:r>
        <w:instrText xml:space="preserve"> HYPERLINK \l _Toc11533 </w:instrText>
      </w:r>
      <w:r>
        <w:fldChar w:fldCharType="separate"/>
      </w:r>
      <w:r>
        <w:rPr>
          <w:rFonts w:hint="eastAsia" w:hAnsi="Times New Roman" w:cs="Times New Roman"/>
          <w:lang w:val="en-US" w:eastAsia="zh-CN"/>
        </w:rPr>
        <w:t>5.4.1 弱苗促壮调控</w:t>
      </w:r>
      <w:r>
        <w:tab/>
      </w:r>
      <w:r>
        <w:fldChar w:fldCharType="begin"/>
      </w:r>
      <w:r>
        <w:instrText xml:space="preserve"> PAGEREF _Toc11533 \h </w:instrText>
      </w:r>
      <w:r>
        <w:fldChar w:fldCharType="separate"/>
      </w:r>
      <w:r>
        <w:t>2</w:t>
      </w:r>
      <w:r>
        <w:fldChar w:fldCharType="end"/>
      </w:r>
      <w:r>
        <w:fldChar w:fldCharType="end"/>
      </w:r>
    </w:p>
    <w:p w14:paraId="2B943FE2">
      <w:pPr>
        <w:pStyle w:val="24"/>
        <w:tabs>
          <w:tab w:val="right" w:leader="dot" w:pos="9354"/>
          <w:tab w:val="clear" w:pos="9344"/>
        </w:tabs>
      </w:pPr>
      <w:r>
        <w:fldChar w:fldCharType="begin"/>
      </w:r>
      <w:r>
        <w:instrText xml:space="preserve"> HYPERLINK \l _Toc23729 </w:instrText>
      </w:r>
      <w:r>
        <w:fldChar w:fldCharType="separate"/>
      </w:r>
      <w:r>
        <w:rPr>
          <w:rFonts w:hint="eastAsia" w:hAnsi="Times New Roman" w:cs="Times New Roman"/>
          <w:lang w:val="en-US" w:eastAsia="zh-CN"/>
        </w:rPr>
        <w:t>5.4.2 旺苗控旺调控</w:t>
      </w:r>
      <w:r>
        <w:tab/>
      </w:r>
      <w:r>
        <w:fldChar w:fldCharType="begin"/>
      </w:r>
      <w:r>
        <w:instrText xml:space="preserve"> PAGEREF _Toc23729 \h </w:instrText>
      </w:r>
      <w:r>
        <w:fldChar w:fldCharType="separate"/>
      </w:r>
      <w:r>
        <w:t>2</w:t>
      </w:r>
      <w:r>
        <w:fldChar w:fldCharType="end"/>
      </w:r>
      <w:r>
        <w:fldChar w:fldCharType="end"/>
      </w:r>
    </w:p>
    <w:p w14:paraId="4DE5DC30">
      <w:pPr>
        <w:pStyle w:val="24"/>
        <w:tabs>
          <w:tab w:val="right" w:leader="dot" w:pos="9354"/>
          <w:tab w:val="clear" w:pos="9344"/>
        </w:tabs>
      </w:pPr>
      <w:r>
        <w:fldChar w:fldCharType="begin"/>
      </w:r>
      <w:r>
        <w:instrText xml:space="preserve"> HYPERLINK \l _Toc30168 </w:instrText>
      </w:r>
      <w:r>
        <w:fldChar w:fldCharType="separate"/>
      </w:r>
      <w:r>
        <w:rPr>
          <w:rFonts w:hint="eastAsia" w:hAnsi="Times New Roman" w:cs="Times New Roman"/>
          <w:lang w:val="en-US" w:eastAsia="zh-CN"/>
        </w:rPr>
        <w:t>5.4.3 调控要求</w:t>
      </w:r>
      <w:r>
        <w:tab/>
      </w:r>
      <w:r>
        <w:fldChar w:fldCharType="begin"/>
      </w:r>
      <w:r>
        <w:instrText xml:space="preserve"> PAGEREF _Toc30168 \h </w:instrText>
      </w:r>
      <w:r>
        <w:fldChar w:fldCharType="separate"/>
      </w:r>
      <w:r>
        <w:t>2</w:t>
      </w:r>
      <w:r>
        <w:fldChar w:fldCharType="end"/>
      </w:r>
      <w:r>
        <w:fldChar w:fldCharType="end"/>
      </w:r>
    </w:p>
    <w:p w14:paraId="5B6CE315">
      <w:pPr>
        <w:pStyle w:val="19"/>
        <w:tabs>
          <w:tab w:val="right" w:leader="dot" w:pos="9354"/>
        </w:tabs>
      </w:pPr>
      <w:r>
        <w:fldChar w:fldCharType="begin"/>
      </w:r>
      <w:r>
        <w:instrText xml:space="preserve"> HYPERLINK \l _Toc22126 </w:instrText>
      </w:r>
      <w:r>
        <w:fldChar w:fldCharType="separate"/>
      </w:r>
      <w:r>
        <w:rPr>
          <w:rFonts w:hint="eastAsia" w:ascii="黑体" w:eastAsia="黑体"/>
          <w:i w:val="0"/>
          <w:lang w:val="en-US" w:eastAsia="zh-CN"/>
        </w:rPr>
        <w:t xml:space="preserve">6 </w:t>
      </w:r>
      <w:r>
        <w:rPr>
          <w:rFonts w:hint="eastAsia"/>
          <w:lang w:val="en-US" w:eastAsia="zh-CN"/>
        </w:rPr>
        <w:t>花期管理</w:t>
      </w:r>
      <w:r>
        <w:tab/>
      </w:r>
      <w:r>
        <w:fldChar w:fldCharType="begin"/>
      </w:r>
      <w:r>
        <w:instrText xml:space="preserve"> PAGEREF _Toc22126 \h </w:instrText>
      </w:r>
      <w:r>
        <w:fldChar w:fldCharType="separate"/>
      </w:r>
      <w:r>
        <w:t>2</w:t>
      </w:r>
      <w:r>
        <w:fldChar w:fldCharType="end"/>
      </w:r>
      <w:r>
        <w:fldChar w:fldCharType="end"/>
      </w:r>
    </w:p>
    <w:p w14:paraId="2D186D2E">
      <w:pPr>
        <w:pStyle w:val="24"/>
        <w:tabs>
          <w:tab w:val="right" w:leader="dot" w:pos="9354"/>
          <w:tab w:val="clear" w:pos="9344"/>
        </w:tabs>
      </w:pPr>
      <w:r>
        <w:fldChar w:fldCharType="begin"/>
      </w:r>
      <w:r>
        <w:instrText xml:space="preserve"> HYPERLINK \l _Toc2589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6.1 </w:t>
      </w:r>
      <w:r>
        <w:rPr>
          <w:rFonts w:hint="eastAsia"/>
          <w:lang w:val="en-US" w:eastAsia="zh-CN"/>
        </w:rPr>
        <w:t>病虫害防治</w:t>
      </w:r>
      <w:r>
        <w:tab/>
      </w:r>
      <w:r>
        <w:fldChar w:fldCharType="begin"/>
      </w:r>
      <w:r>
        <w:instrText xml:space="preserve"> PAGEREF _Toc2589 \h </w:instrText>
      </w:r>
      <w:r>
        <w:fldChar w:fldCharType="separate"/>
      </w:r>
      <w:r>
        <w:t>2</w:t>
      </w:r>
      <w:r>
        <w:fldChar w:fldCharType="end"/>
      </w:r>
      <w:r>
        <w:fldChar w:fldCharType="end"/>
      </w:r>
    </w:p>
    <w:p w14:paraId="4D8FD6A1">
      <w:pPr>
        <w:pStyle w:val="24"/>
        <w:tabs>
          <w:tab w:val="right" w:leader="dot" w:pos="9354"/>
          <w:tab w:val="clear" w:pos="9344"/>
        </w:tabs>
      </w:pPr>
      <w:r>
        <w:fldChar w:fldCharType="begin"/>
      </w:r>
      <w:r>
        <w:instrText xml:space="preserve"> HYPERLINK \l _Toc30824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6.2 </w:t>
      </w:r>
      <w:r>
        <w:rPr>
          <w:rFonts w:hint="eastAsia"/>
          <w:lang w:val="en-US" w:eastAsia="zh-CN"/>
        </w:rPr>
        <w:t>追肥</w:t>
      </w:r>
      <w:r>
        <w:tab/>
      </w:r>
      <w:r>
        <w:fldChar w:fldCharType="begin"/>
      </w:r>
      <w:r>
        <w:instrText xml:space="preserve"> PAGEREF _Toc30824 \h </w:instrText>
      </w:r>
      <w:r>
        <w:fldChar w:fldCharType="separate"/>
      </w:r>
      <w:r>
        <w:t>2</w:t>
      </w:r>
      <w:r>
        <w:fldChar w:fldCharType="end"/>
      </w:r>
      <w:r>
        <w:fldChar w:fldCharType="end"/>
      </w:r>
    </w:p>
    <w:p w14:paraId="5553114B">
      <w:pPr>
        <w:pStyle w:val="19"/>
        <w:tabs>
          <w:tab w:val="right" w:leader="dot" w:pos="9354"/>
        </w:tabs>
      </w:pPr>
      <w:r>
        <w:fldChar w:fldCharType="begin"/>
      </w:r>
      <w:r>
        <w:instrText xml:space="preserve"> HYPERLINK \l _Toc7145 </w:instrText>
      </w:r>
      <w:r>
        <w:fldChar w:fldCharType="separate"/>
      </w:r>
      <w:r>
        <w:rPr>
          <w:rFonts w:hint="eastAsia" w:ascii="黑体" w:eastAsia="黑体"/>
          <w:i w:val="0"/>
        </w:rPr>
        <w:t xml:space="preserve">7 </w:t>
      </w:r>
      <w:r>
        <w:rPr>
          <w:rFonts w:hint="eastAsia"/>
          <w:lang w:val="en-US" w:eastAsia="zh-CN"/>
        </w:rPr>
        <w:t>花后管理</w:t>
      </w:r>
      <w:r>
        <w:tab/>
      </w:r>
      <w:r>
        <w:fldChar w:fldCharType="begin"/>
      </w:r>
      <w:r>
        <w:instrText xml:space="preserve"> PAGEREF _Toc7145 \h </w:instrText>
      </w:r>
      <w:r>
        <w:fldChar w:fldCharType="separate"/>
      </w:r>
      <w:r>
        <w:t>2</w:t>
      </w:r>
      <w:r>
        <w:fldChar w:fldCharType="end"/>
      </w:r>
      <w:r>
        <w:fldChar w:fldCharType="end"/>
      </w:r>
    </w:p>
    <w:p w14:paraId="61AF1250">
      <w:pPr>
        <w:pStyle w:val="24"/>
        <w:tabs>
          <w:tab w:val="right" w:leader="dot" w:pos="9354"/>
          <w:tab w:val="clear" w:pos="9344"/>
        </w:tabs>
      </w:pPr>
      <w:r>
        <w:fldChar w:fldCharType="begin"/>
      </w:r>
      <w:r>
        <w:instrText xml:space="preserve"> HYPERLINK \l _Toc31333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7.1 </w:t>
      </w:r>
      <w:r>
        <w:rPr>
          <w:rFonts w:hint="eastAsia"/>
          <w:lang w:val="en-US" w:eastAsia="zh-CN"/>
        </w:rPr>
        <w:t>籽粒收获</w:t>
      </w:r>
      <w:r>
        <w:tab/>
      </w:r>
      <w:r>
        <w:fldChar w:fldCharType="begin"/>
      </w:r>
      <w:r>
        <w:instrText xml:space="preserve"> PAGEREF _Toc31333 \h </w:instrText>
      </w:r>
      <w:r>
        <w:fldChar w:fldCharType="separate"/>
      </w:r>
      <w:r>
        <w:t>2</w:t>
      </w:r>
      <w:r>
        <w:fldChar w:fldCharType="end"/>
      </w:r>
      <w:r>
        <w:fldChar w:fldCharType="end"/>
      </w:r>
    </w:p>
    <w:p w14:paraId="3840DD61">
      <w:pPr>
        <w:pStyle w:val="24"/>
        <w:tabs>
          <w:tab w:val="right" w:leader="dot" w:pos="9354"/>
          <w:tab w:val="clear" w:pos="9344"/>
        </w:tabs>
        <w:outlineLvl w:val="0"/>
      </w:pPr>
      <w:r>
        <w:fldChar w:fldCharType="begin"/>
      </w:r>
      <w:r>
        <w:instrText xml:space="preserve"> HYPERLINK \l _Toc29734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7.2 </w:t>
      </w:r>
      <w:r>
        <w:rPr>
          <w:rFonts w:hint="eastAsia"/>
          <w:lang w:val="en-US" w:eastAsia="zh-CN"/>
        </w:rPr>
        <w:t>其他用途</w:t>
      </w:r>
      <w:r>
        <w:tab/>
      </w:r>
      <w:r>
        <w:fldChar w:fldCharType="begin"/>
      </w:r>
      <w:r>
        <w:instrText xml:space="preserve"> PAGEREF _Toc29734 \h </w:instrText>
      </w:r>
      <w:r>
        <w:fldChar w:fldCharType="separate"/>
      </w:r>
      <w:r>
        <w:t>2</w:t>
      </w:r>
      <w:r>
        <w:fldChar w:fldCharType="end"/>
      </w:r>
      <w:r>
        <w:fldChar w:fldCharType="end"/>
      </w:r>
    </w:p>
    <w:p w14:paraId="70BF279E">
      <w:pPr>
        <w:pStyle w:val="19"/>
        <w:tabs>
          <w:tab w:val="right" w:leader="dot" w:pos="9354"/>
        </w:tabs>
      </w:pPr>
      <w:r>
        <w:fldChar w:fldCharType="begin"/>
      </w:r>
      <w:r>
        <w:instrText xml:space="preserve"> HYPERLINK \l _Toc14005 </w:instrText>
      </w:r>
      <w:r>
        <w:fldChar w:fldCharType="separate"/>
      </w:r>
      <w:r>
        <w:rPr>
          <w:rFonts w:hint="eastAsia"/>
          <w:spacing w:val="100"/>
        </w:rPr>
        <w:t xml:space="preserve">附录A </w:t>
      </w:r>
      <w:r>
        <w:t xml:space="preserve"> </w:t>
      </w:r>
      <w:r>
        <w:rPr>
          <w:rFonts w:hint="eastAsia"/>
        </w:rPr>
        <w:t>（资料性）</w:t>
      </w:r>
      <w:r>
        <w:t xml:space="preserve"> </w:t>
      </w:r>
      <w:r>
        <w:rPr>
          <w:rFonts w:hint="eastAsia" w:hAnsi="Times New Roman" w:cs="Times New Roman"/>
          <w:lang w:val="en-US" w:eastAsia="zh-CN"/>
        </w:rPr>
        <w:t>西藏地区冬油菜品种</w:t>
      </w:r>
      <w:r>
        <w:rPr>
          <w:rFonts w:hint="eastAsia"/>
        </w:rPr>
        <w:t>表</w:t>
      </w:r>
      <w:r>
        <w:tab/>
      </w:r>
      <w:r>
        <w:fldChar w:fldCharType="begin"/>
      </w:r>
      <w:r>
        <w:instrText xml:space="preserve"> PAGEREF _Toc14005 \h </w:instrText>
      </w:r>
      <w:r>
        <w:fldChar w:fldCharType="separate"/>
      </w:r>
      <w:r>
        <w:t>4</w:t>
      </w:r>
      <w:r>
        <w:fldChar w:fldCharType="end"/>
      </w:r>
      <w:r>
        <w:fldChar w:fldCharType="end"/>
      </w:r>
    </w:p>
    <w:p w14:paraId="28D8CD8E">
      <w:pPr>
        <w:pStyle w:val="19"/>
        <w:tabs>
          <w:tab w:val="right" w:leader="dot" w:pos="9354"/>
        </w:tabs>
      </w:pPr>
      <w:r>
        <w:fldChar w:fldCharType="begin"/>
      </w:r>
      <w:r>
        <w:instrText xml:space="preserve"> HYPERLINK \l _Toc20806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油菜常见虫害和草害用药及使用方法</w:t>
      </w:r>
      <w:r>
        <w:tab/>
      </w:r>
      <w:r>
        <w:fldChar w:fldCharType="begin"/>
      </w:r>
      <w:r>
        <w:instrText xml:space="preserve"> PAGEREF _Toc20806 \h </w:instrText>
      </w:r>
      <w:r>
        <w:fldChar w:fldCharType="separate"/>
      </w:r>
      <w:r>
        <w:t>5</w:t>
      </w:r>
      <w:r>
        <w:fldChar w:fldCharType="end"/>
      </w:r>
      <w:r>
        <w:fldChar w:fldCharType="end"/>
      </w:r>
    </w:p>
    <w:p w14:paraId="5F6D7DAC">
      <w:pPr>
        <w:pStyle w:val="91"/>
        <w:spacing w:after="468"/>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1D2C4127">
      <w:pPr>
        <w:pStyle w:val="89"/>
        <w:spacing w:after="468"/>
      </w:pPr>
      <w:bookmarkStart w:id="26" w:name="_Toc21969"/>
      <w:bookmarkStart w:id="27" w:name="BookMark2"/>
      <w:r>
        <w:rPr>
          <w:spacing w:val="320"/>
        </w:rPr>
        <w:t>前</w:t>
      </w:r>
      <w:r>
        <w:t>言</w:t>
      </w:r>
      <w:bookmarkEnd w:id="22"/>
      <w:bookmarkEnd w:id="23"/>
      <w:bookmarkEnd w:id="24"/>
      <w:bookmarkEnd w:id="25"/>
      <w:bookmarkEnd w:id="26"/>
    </w:p>
    <w:p w14:paraId="02A08722">
      <w:pPr>
        <w:pStyle w:val="56"/>
        <w:ind w:firstLine="420"/>
        <w:rPr>
          <w:rFonts w:hint="eastAsia"/>
        </w:rPr>
      </w:pPr>
      <w:r>
        <w:rPr>
          <w:rFonts w:hint="eastAsia"/>
        </w:rPr>
        <w:t>本文件按照GB/T 1.1—2020《标准化工作导则  第1部分：标准化文件的结构和起草规则》的规定起草。</w:t>
      </w:r>
    </w:p>
    <w:p w14:paraId="4CC0ADFE">
      <w:pPr>
        <w:pStyle w:val="56"/>
        <w:ind w:firstLine="420"/>
        <w:rPr>
          <w:rFonts w:hint="eastAsia"/>
        </w:rPr>
      </w:pPr>
      <w:r>
        <w:rPr>
          <w:rFonts w:hint="eastAsia"/>
        </w:rPr>
        <w:t>请注意本文件的某些内容可能涉及专利。本文件的发布机构不承担识别这些专利的责任。</w:t>
      </w:r>
    </w:p>
    <w:p w14:paraId="561ED488">
      <w:pPr>
        <w:pStyle w:val="56"/>
        <w:ind w:firstLine="420"/>
        <w:rPr>
          <w:rFonts w:hint="eastAsia"/>
        </w:rPr>
      </w:pPr>
      <w:r>
        <w:rPr>
          <w:rFonts w:hint="eastAsia"/>
        </w:rPr>
        <w:t>本文件由西藏自治区农业农村标准化技术委员会提出并归口。</w:t>
      </w:r>
    </w:p>
    <w:p w14:paraId="196AB778">
      <w:pPr>
        <w:pStyle w:val="56"/>
        <w:ind w:firstLine="420"/>
        <w:rPr>
          <w:rFonts w:hint="eastAsia"/>
        </w:rPr>
      </w:pPr>
      <w:r>
        <w:rPr>
          <w:rFonts w:hint="eastAsia"/>
        </w:rPr>
        <w:t>本文件起草单位：西藏自治区农牧科学院农业研究所、西藏自治区农业技术推广中心。</w:t>
      </w:r>
    </w:p>
    <w:p w14:paraId="0A92CEEB">
      <w:pPr>
        <w:pStyle w:val="56"/>
        <w:ind w:firstLine="420"/>
        <w:rPr>
          <w:rFonts w:hint="default" w:eastAsia="宋体"/>
          <w:lang w:val="en-US" w:eastAsia="zh-CN"/>
        </w:rPr>
      </w:pPr>
      <w:r>
        <w:rPr>
          <w:rFonts w:hint="eastAsia"/>
        </w:rPr>
        <w:t>本文件主要起草人：王晋雄、</w:t>
      </w:r>
      <w:r>
        <w:rPr>
          <w:rFonts w:hint="eastAsia"/>
          <w:lang w:val="en-US" w:eastAsia="zh-CN"/>
        </w:rPr>
        <w:t>尼玛次仁、李施蒙、米超、信惠君、次仁央宗</w:t>
      </w:r>
    </w:p>
    <w:p w14:paraId="02B860CF">
      <w:pPr>
        <w:pStyle w:val="56"/>
        <w:ind w:firstLine="420"/>
      </w:pPr>
    </w:p>
    <w:p w14:paraId="3C638208">
      <w:pPr>
        <w:pStyle w:val="56"/>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cols w:space="425" w:num="1"/>
          <w:formProt w:val="0"/>
          <w:docGrid w:type="lines" w:linePitch="312" w:charSpace="0"/>
        </w:sectPr>
      </w:pPr>
    </w:p>
    <w:bookmarkEnd w:id="27"/>
    <w:p w14:paraId="0BDFFE8B">
      <w:pPr>
        <w:spacing w:line="20" w:lineRule="exact"/>
        <w:jc w:val="center"/>
        <w:rPr>
          <w:rFonts w:ascii="黑体" w:hAnsi="黑体" w:eastAsia="黑体"/>
          <w:sz w:val="32"/>
          <w:szCs w:val="32"/>
        </w:rPr>
      </w:pPr>
      <w:bookmarkStart w:id="28" w:name="BookMark4"/>
    </w:p>
    <w:p w14:paraId="2B34E08E">
      <w:pPr>
        <w:spacing w:line="20" w:lineRule="exact"/>
        <w:jc w:val="center"/>
        <w:rPr>
          <w:rFonts w:ascii="黑体" w:hAnsi="黑体" w:eastAsia="黑体"/>
          <w:sz w:val="32"/>
          <w:szCs w:val="32"/>
        </w:rPr>
      </w:pPr>
    </w:p>
    <w:sdt>
      <w:sdtPr>
        <w:tag w:val="NEW_STAND_NAME"/>
        <w:id w:val="595910757"/>
        <w:lock w:val="sdtLocked"/>
        <w:placeholder>
          <w:docPart w:val="B9AF70F5CA694CCEB08362DA0B5254F7"/>
        </w:placeholder>
      </w:sdtPr>
      <w:sdtContent>
        <w:p w14:paraId="1C58AF44">
          <w:pPr>
            <w:pStyle w:val="177"/>
            <w:spacing w:before="3" w:beforeLines="1" w:after="3" w:afterLines="1"/>
          </w:pPr>
          <w:bookmarkStart w:id="29" w:name="NEW_STAND_NAME"/>
          <w:r>
            <w:rPr>
              <w:rFonts w:hint="eastAsia"/>
              <w:lang w:val="en-US" w:eastAsia="zh-CN"/>
            </w:rPr>
            <w:t>油菜桃花同期开花栽培</w:t>
          </w:r>
          <w:r>
            <w:rPr>
              <w:rFonts w:hint="eastAsia"/>
            </w:rPr>
            <w:t>技术规程</w:t>
          </w:r>
        </w:p>
      </w:sdtContent>
    </w:sdt>
    <w:bookmarkEnd w:id="29"/>
    <w:p w14:paraId="51DD0419">
      <w:pPr>
        <w:pStyle w:val="105"/>
        <w:bidi w:val="0"/>
      </w:pPr>
      <w:bookmarkStart w:id="30" w:name="_Toc17233333"/>
      <w:bookmarkStart w:id="31" w:name="_Toc26718930"/>
      <w:bookmarkStart w:id="32" w:name="_Toc62479894"/>
      <w:bookmarkStart w:id="33" w:name="_Toc62479844"/>
      <w:bookmarkStart w:id="34" w:name="_Toc62479869"/>
      <w:bookmarkStart w:id="35" w:name="_Toc17233325"/>
      <w:bookmarkStart w:id="36" w:name="_Toc26986771"/>
      <w:bookmarkStart w:id="37" w:name="_Toc26986530"/>
      <w:bookmarkStart w:id="38" w:name="_Toc24884211"/>
      <w:bookmarkStart w:id="39" w:name="_Toc24884218"/>
      <w:bookmarkStart w:id="40" w:name="_Toc26648465"/>
      <w:bookmarkStart w:id="41" w:name="_Toc62479763"/>
      <w:bookmarkStart w:id="42" w:name="_Toc12471"/>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14:paraId="24C0497F">
      <w:pPr>
        <w:pStyle w:val="56"/>
        <w:ind w:firstLine="420"/>
      </w:pPr>
      <w:bookmarkStart w:id="43" w:name="_Toc17233334"/>
      <w:bookmarkStart w:id="44" w:name="_Toc17233326"/>
      <w:bookmarkStart w:id="45" w:name="_Toc26648466"/>
      <w:bookmarkStart w:id="46" w:name="_Toc24884212"/>
      <w:bookmarkStart w:id="47" w:name="_Toc24884219"/>
      <w:r>
        <w:t>本文件规定了</w:t>
      </w:r>
      <w:r>
        <w:rPr>
          <w:rFonts w:hint="eastAsia"/>
          <w:lang w:val="en-US" w:eastAsia="zh-CN"/>
        </w:rPr>
        <w:t>冬</w:t>
      </w:r>
      <w:r>
        <w:t>油菜</w:t>
      </w:r>
      <w:r>
        <w:rPr>
          <w:rFonts w:hint="eastAsia"/>
        </w:rPr>
        <w:t>与</w:t>
      </w:r>
      <w:r>
        <w:rPr>
          <w:rFonts w:hint="eastAsia"/>
          <w:lang w:val="en-US" w:eastAsia="zh-CN"/>
        </w:rPr>
        <w:t>桃树</w:t>
      </w:r>
      <w:r>
        <w:t>间作技术的</w:t>
      </w:r>
      <w:r>
        <w:rPr>
          <w:rFonts w:hint="eastAsia"/>
          <w:lang w:val="en-US" w:eastAsia="zh-CN"/>
        </w:rPr>
        <w:t>油菜</w:t>
      </w:r>
      <w:r>
        <w:rPr>
          <w:rFonts w:hint="eastAsia"/>
        </w:rPr>
        <w:t>品种选择、种植技术</w:t>
      </w:r>
      <w:r>
        <w:rPr>
          <w:rFonts w:hint="eastAsia"/>
          <w:lang w:val="en-US" w:eastAsia="zh-CN"/>
        </w:rPr>
        <w:t>、花前管理、花期管理、花后管理的要求</w:t>
      </w:r>
      <w:r>
        <w:rPr>
          <w:rFonts w:hint="eastAsia"/>
        </w:rPr>
        <w:t>。</w:t>
      </w:r>
    </w:p>
    <w:p w14:paraId="7FD05151">
      <w:pPr>
        <w:pStyle w:val="56"/>
        <w:ind w:firstLine="420"/>
      </w:pPr>
      <w:r>
        <w:t>本</w:t>
      </w:r>
      <w:r>
        <w:rPr>
          <w:rFonts w:hint="eastAsia"/>
        </w:rPr>
        <w:t>文件</w:t>
      </w:r>
      <w:r>
        <w:t>适用于</w:t>
      </w:r>
      <w:r>
        <w:rPr>
          <w:rFonts w:hint="eastAsia"/>
          <w:lang w:val="en-US" w:eastAsia="zh-CN"/>
        </w:rPr>
        <w:t>西藏地区3200米海拔以下范围内野生桃林种植</w:t>
      </w:r>
      <w:r>
        <w:t>地区。</w:t>
      </w:r>
    </w:p>
    <w:p w14:paraId="75CC9BDD">
      <w:pPr>
        <w:pStyle w:val="104"/>
        <w:spacing w:before="312" w:after="312"/>
      </w:pPr>
      <w:bookmarkStart w:id="48" w:name="_Toc62479870"/>
      <w:bookmarkStart w:id="49" w:name="_Toc62479895"/>
      <w:bookmarkStart w:id="50" w:name="_Toc26986531"/>
      <w:bookmarkStart w:id="51" w:name="_Toc62479764"/>
      <w:bookmarkStart w:id="52" w:name="_Toc26986772"/>
      <w:bookmarkStart w:id="53" w:name="_Toc26718931"/>
      <w:bookmarkStart w:id="54" w:name="_Toc62479845"/>
      <w:bookmarkStart w:id="55" w:name="_Toc13715"/>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57B2E644E2D04F10B79986B79DBE3A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5846ED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1C593FE">
      <w:pPr>
        <w:pStyle w:val="56"/>
        <w:ind w:firstLine="420"/>
        <w:rPr>
          <w:rFonts w:ascii="Calibri" w:hAnsi="Calibri"/>
          <w:kern w:val="2"/>
          <w:szCs w:val="21"/>
        </w:rPr>
      </w:pPr>
      <w:r>
        <w:rPr>
          <w:rFonts w:hint="eastAsia" w:ascii="Calibri" w:hAnsi="Calibri"/>
          <w:kern w:val="2"/>
          <w:szCs w:val="21"/>
        </w:rPr>
        <w:t>G</w:t>
      </w:r>
      <w:r>
        <w:rPr>
          <w:rFonts w:ascii="Calibri" w:hAnsi="Calibri"/>
          <w:kern w:val="2"/>
          <w:szCs w:val="21"/>
        </w:rPr>
        <w:t xml:space="preserve">B/T8321 </w:t>
      </w:r>
      <w:r>
        <w:rPr>
          <w:rFonts w:hint="eastAsia" w:ascii="Calibri" w:hAnsi="Calibri"/>
          <w:kern w:val="2"/>
          <w:szCs w:val="21"/>
          <w:lang w:val="en-US" w:eastAsia="zh-CN"/>
        </w:rPr>
        <w:t xml:space="preserve">    </w:t>
      </w:r>
      <w:r>
        <w:rPr>
          <w:rFonts w:hint="eastAsia" w:ascii="Calibri" w:hAnsi="Calibri"/>
          <w:kern w:val="2"/>
          <w:szCs w:val="21"/>
        </w:rPr>
        <w:t>农药合理使用准则</w:t>
      </w:r>
    </w:p>
    <w:p w14:paraId="7287998B">
      <w:pPr>
        <w:pStyle w:val="56"/>
        <w:ind w:firstLine="420"/>
        <w:rPr>
          <w:rFonts w:ascii="Calibri" w:hAnsi="Calibri"/>
          <w:kern w:val="2"/>
          <w:szCs w:val="21"/>
        </w:rPr>
      </w:pPr>
      <w:r>
        <w:rPr>
          <w:rFonts w:hint="eastAsia" w:ascii="Calibri" w:hAnsi="Calibri"/>
          <w:kern w:val="2"/>
          <w:szCs w:val="21"/>
        </w:rPr>
        <w:t xml:space="preserve">NY/T 1276  </w:t>
      </w:r>
      <w:r>
        <w:rPr>
          <w:rFonts w:hint="eastAsia" w:ascii="Calibri" w:hAnsi="Calibri"/>
          <w:kern w:val="2"/>
          <w:szCs w:val="21"/>
          <w:lang w:val="en-US" w:eastAsia="zh-CN"/>
        </w:rPr>
        <w:t xml:space="preserve">   </w:t>
      </w:r>
      <w:r>
        <w:rPr>
          <w:rFonts w:hint="eastAsia" w:ascii="Calibri" w:hAnsi="Calibri"/>
          <w:kern w:val="2"/>
          <w:szCs w:val="21"/>
        </w:rPr>
        <w:t>农药安全使用规范总则</w:t>
      </w:r>
    </w:p>
    <w:p w14:paraId="260A4E4E">
      <w:pPr>
        <w:pStyle w:val="56"/>
        <w:ind w:firstLine="420"/>
        <w:rPr>
          <w:rFonts w:hint="eastAsia" w:ascii="Calibri" w:hAnsi="Calibri"/>
          <w:kern w:val="2"/>
          <w:szCs w:val="21"/>
        </w:rPr>
      </w:pPr>
      <w:r>
        <w:rPr>
          <w:rFonts w:hint="eastAsia" w:ascii="Calibri" w:hAnsi="Calibri"/>
          <w:kern w:val="2"/>
          <w:szCs w:val="21"/>
        </w:rPr>
        <w:t>NY/T 496</w:t>
      </w:r>
      <w:r>
        <w:rPr>
          <w:rFonts w:hint="eastAsia" w:ascii="Calibri" w:hAnsi="Calibri"/>
          <w:kern w:val="2"/>
          <w:szCs w:val="21"/>
          <w:lang w:val="en-US" w:eastAsia="zh-CN"/>
        </w:rPr>
        <w:t xml:space="preserve">    </w:t>
      </w:r>
      <w:r>
        <w:rPr>
          <w:rFonts w:hint="eastAsia" w:ascii="Calibri" w:hAnsi="Calibri"/>
          <w:kern w:val="2"/>
          <w:szCs w:val="21"/>
        </w:rPr>
        <w:t xml:space="preserve">  肥料合理使用准则通则</w:t>
      </w:r>
    </w:p>
    <w:p w14:paraId="0CE9AAAF">
      <w:pPr>
        <w:pStyle w:val="56"/>
        <w:ind w:firstLine="420"/>
        <w:rPr>
          <w:rFonts w:hint="default" w:ascii="Calibri" w:hAnsi="Calibri"/>
          <w:kern w:val="2"/>
          <w:szCs w:val="21"/>
          <w:lang w:val="en-US" w:eastAsia="zh-CN"/>
        </w:rPr>
      </w:pPr>
      <w:r>
        <w:rPr>
          <w:rFonts w:hint="eastAsia" w:ascii="Calibri" w:hAnsi="Calibri"/>
          <w:kern w:val="2"/>
          <w:szCs w:val="21"/>
        </w:rPr>
        <w:t>DB54/T 0074</w:t>
      </w:r>
      <w:r>
        <w:rPr>
          <w:rFonts w:hint="eastAsia" w:ascii="Calibri" w:hAnsi="Calibri"/>
          <w:kern w:val="2"/>
          <w:szCs w:val="21"/>
          <w:lang w:val="en-US" w:eastAsia="zh-CN"/>
        </w:rPr>
        <w:t xml:space="preserve">   白菜型冬油菜生产技术规程</w:t>
      </w:r>
    </w:p>
    <w:p w14:paraId="3AD60DA1">
      <w:pPr>
        <w:pStyle w:val="104"/>
        <w:spacing w:before="312" w:after="312"/>
      </w:pPr>
      <w:bookmarkStart w:id="56" w:name="_Toc62479846"/>
      <w:bookmarkStart w:id="57" w:name="_Toc62479871"/>
      <w:bookmarkStart w:id="58" w:name="_Toc62479765"/>
      <w:bookmarkStart w:id="59" w:name="_Toc62479896"/>
      <w:bookmarkStart w:id="60" w:name="_Toc5064"/>
      <w:r>
        <w:rPr>
          <w:rFonts w:hint="eastAsia"/>
        </w:rPr>
        <w:t>术语和定义</w:t>
      </w:r>
      <w:bookmarkEnd w:id="56"/>
      <w:bookmarkEnd w:id="57"/>
      <w:bookmarkEnd w:id="58"/>
      <w:bookmarkEnd w:id="59"/>
      <w:bookmarkEnd w:id="60"/>
    </w:p>
    <w:sdt>
      <w:sdtPr>
        <w:id w:val="-1909835108"/>
        <w:placeholder>
          <w:docPart w:val="1840C6F839D648C288496C5B6EF060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D5BC9E">
          <w:pPr>
            <w:pStyle w:val="56"/>
            <w:ind w:firstLine="420"/>
          </w:pPr>
          <w:bookmarkStart w:id="61" w:name="_Toc26986532"/>
          <w:bookmarkEnd w:id="61"/>
          <w:r>
            <w:t>下列术语和定义适用于本文件。</w:t>
          </w:r>
        </w:p>
      </w:sdtContent>
    </w:sdt>
    <w:p w14:paraId="62B1DF26">
      <w:pPr>
        <w:pStyle w:val="223"/>
        <w:ind w:left="420" w:hanging="420" w:hangingChars="200"/>
        <w:rPr>
          <w:rFonts w:ascii="黑体" w:hAnsi="黑体" w:eastAsia="黑体"/>
        </w:rPr>
      </w:pPr>
      <w:bookmarkStart w:id="62" w:name="_Toc62479766"/>
      <w:bookmarkStart w:id="63" w:name="_Toc62479872"/>
      <w:bookmarkStart w:id="64" w:name="_Toc62479897"/>
      <w:bookmarkStart w:id="65" w:name="_Toc62479847"/>
      <w:r>
        <w:rPr>
          <w:rFonts w:ascii="黑体" w:hAnsi="黑体" w:eastAsia="黑体"/>
        </w:rPr>
        <w:br w:type="textWrapping"/>
      </w:r>
      <w:r>
        <w:rPr>
          <w:rFonts w:hint="eastAsia" w:ascii="黑体" w:hAnsi="黑体" w:eastAsia="黑体"/>
          <w:lang w:val="en-US" w:eastAsia="zh-CN"/>
        </w:rPr>
        <w:t>同期开花</w:t>
      </w:r>
      <w:r>
        <w:rPr>
          <w:rFonts w:hint="eastAsia" w:ascii="黑体" w:hAnsi="黑体" w:eastAsia="黑体"/>
        </w:rPr>
        <w:t xml:space="preserve">  </w:t>
      </w:r>
      <w:bookmarkEnd w:id="62"/>
      <w:bookmarkEnd w:id="63"/>
      <w:bookmarkEnd w:id="64"/>
      <w:bookmarkEnd w:id="65"/>
      <w:r>
        <w:rPr>
          <w:rFonts w:hint="eastAsia" w:ascii="黑体" w:hAnsi="黑体" w:eastAsia="黑体"/>
          <w:lang w:val="en-US" w:eastAsia="zh-CN"/>
        </w:rPr>
        <w:t>Flowering at the same period</w:t>
      </w:r>
    </w:p>
    <w:p w14:paraId="5CCAA845">
      <w:pPr>
        <w:pStyle w:val="56"/>
        <w:ind w:firstLine="420"/>
      </w:pPr>
      <w:r>
        <w:rPr>
          <w:rFonts w:hint="eastAsia"/>
          <w:lang w:val="en-US" w:eastAsia="zh-CN"/>
        </w:rPr>
        <w:t>在同一时间段内，同一区域不同植物个体、品种，或者是在不同地区的同种植物，都进入开花阶段</w:t>
      </w:r>
      <w:r>
        <w:rPr>
          <w:rFonts w:hint="eastAsia"/>
        </w:rPr>
        <w:t>。</w:t>
      </w:r>
    </w:p>
    <w:p w14:paraId="6090F3C3">
      <w:pPr>
        <w:pStyle w:val="104"/>
        <w:spacing w:before="312" w:after="312"/>
      </w:pPr>
      <w:bookmarkStart w:id="66" w:name="_Toc27259"/>
      <w:r>
        <w:rPr>
          <w:rFonts w:hint="eastAsia"/>
          <w:lang w:val="en-US" w:eastAsia="zh-CN"/>
        </w:rPr>
        <w:t>种植技术</w:t>
      </w:r>
      <w:bookmarkEnd w:id="66"/>
    </w:p>
    <w:p w14:paraId="5FC4B1CE">
      <w:pPr>
        <w:pStyle w:val="105"/>
        <w:spacing w:before="156" w:after="156"/>
      </w:pPr>
      <w:bookmarkStart w:id="67" w:name="_Toc11101"/>
      <w:bookmarkStart w:id="68" w:name="_Toc62479850"/>
      <w:bookmarkStart w:id="69" w:name="_Toc62479769"/>
      <w:bookmarkStart w:id="70" w:name="_Toc62479875"/>
      <w:bookmarkStart w:id="71" w:name="_Toc62479900"/>
      <w:r>
        <w:rPr>
          <w:rFonts w:hint="eastAsia"/>
          <w:lang w:val="en-US" w:eastAsia="zh-CN"/>
        </w:rPr>
        <w:t>桃林</w:t>
      </w:r>
      <w:r>
        <w:rPr>
          <w:rFonts w:hint="eastAsia"/>
        </w:rPr>
        <w:t>选择</w:t>
      </w:r>
      <w:bookmarkEnd w:id="67"/>
    </w:p>
    <w:p w14:paraId="672AB2C4">
      <w:pPr>
        <w:pStyle w:val="56"/>
        <w:ind w:firstLine="420"/>
      </w:pPr>
      <w:r>
        <w:rPr>
          <w:rFonts w:hint="eastAsia"/>
        </w:rPr>
        <w:t>果树</w:t>
      </w:r>
      <w:r>
        <w:rPr>
          <w:rFonts w:hint="eastAsia"/>
          <w:lang w:val="en-US" w:eastAsia="zh-CN"/>
        </w:rPr>
        <w:t>间</w:t>
      </w:r>
      <w:r>
        <w:rPr>
          <w:rFonts w:hint="eastAsia"/>
        </w:rPr>
        <w:t>距不低于2m。</w:t>
      </w:r>
    </w:p>
    <w:p w14:paraId="76967943">
      <w:pPr>
        <w:pStyle w:val="105"/>
        <w:spacing w:before="156" w:after="156"/>
      </w:pPr>
      <w:bookmarkStart w:id="72" w:name="_Toc3828"/>
      <w:r>
        <w:rPr>
          <w:rFonts w:hint="eastAsia"/>
        </w:rPr>
        <w:t>油菜品种选择</w:t>
      </w:r>
      <w:bookmarkEnd w:id="72"/>
    </w:p>
    <w:p w14:paraId="4487FDF7">
      <w:pPr>
        <w:pStyle w:val="56"/>
        <w:ind w:firstLine="420"/>
      </w:pPr>
      <w:r>
        <w:rPr>
          <w:rFonts w:hint="eastAsia"/>
        </w:rPr>
        <w:t>推荐选用各地区审定（登记）的高产、耐密、抗倒、抗病</w:t>
      </w:r>
      <w:r>
        <w:rPr>
          <w:rFonts w:hint="eastAsia"/>
          <w:lang w:val="en-US" w:eastAsia="zh-CN"/>
        </w:rPr>
        <w:t>冬</w:t>
      </w:r>
      <w:r>
        <w:rPr>
          <w:rFonts w:hint="eastAsia"/>
        </w:rPr>
        <w:t>油菜品种；或者适合本地种植且已经应用多年的</w:t>
      </w:r>
      <w:r>
        <w:rPr>
          <w:rFonts w:hint="eastAsia"/>
          <w:lang w:val="en-US" w:eastAsia="zh-CN"/>
        </w:rPr>
        <w:t>品</w:t>
      </w:r>
      <w:r>
        <w:rPr>
          <w:rFonts w:hint="eastAsia"/>
        </w:rPr>
        <w:t>种</w:t>
      </w:r>
      <w:r>
        <w:rPr>
          <w:rFonts w:hint="eastAsia"/>
          <w:lang w:eastAsia="zh-CN"/>
        </w:rPr>
        <w:t>，</w:t>
      </w:r>
      <w:r>
        <w:rPr>
          <w:rFonts w:hint="eastAsia"/>
          <w:lang w:val="en-US" w:eastAsia="zh-CN"/>
        </w:rPr>
        <w:t>可参照附录A</w:t>
      </w:r>
      <w:r>
        <w:rPr>
          <w:rFonts w:hint="eastAsia"/>
        </w:rPr>
        <w:t>。</w:t>
      </w:r>
    </w:p>
    <w:p w14:paraId="710FCC55">
      <w:pPr>
        <w:pStyle w:val="105"/>
        <w:spacing w:before="156" w:after="156"/>
      </w:pPr>
      <w:bookmarkStart w:id="73" w:name="_Toc20969"/>
      <w:r>
        <w:rPr>
          <w:rFonts w:hint="eastAsia"/>
        </w:rPr>
        <w:t>播种时间</w:t>
      </w:r>
      <w:bookmarkEnd w:id="73"/>
    </w:p>
    <w:p w14:paraId="2ED1184D">
      <w:pPr>
        <w:pStyle w:val="56"/>
        <w:ind w:firstLine="420"/>
      </w:pPr>
      <w:r>
        <w:rPr>
          <w:rFonts w:hint="eastAsia"/>
          <w:lang w:val="en-US" w:eastAsia="zh-CN"/>
        </w:rPr>
        <w:t>林芝地区</w:t>
      </w:r>
      <w:r>
        <w:rPr>
          <w:rFonts w:hint="eastAsia"/>
        </w:rPr>
        <w:t>最佳播种期为9月</w:t>
      </w:r>
      <w:r>
        <w:rPr>
          <w:rFonts w:hint="eastAsia"/>
          <w:lang w:val="en-US" w:eastAsia="zh-CN"/>
        </w:rPr>
        <w:t>15</w:t>
      </w:r>
      <w:r>
        <w:rPr>
          <w:rFonts w:hint="eastAsia"/>
        </w:rPr>
        <w:t>日</w:t>
      </w:r>
      <w:r>
        <w:rPr>
          <w:rFonts w:hint="eastAsia" w:ascii="宋体" w:hAnsi="宋体" w:eastAsia="宋体" w:cs="Times New Roman"/>
          <w:sz w:val="21"/>
          <w:lang w:val="en-US" w:eastAsia="zh-CN" w:bidi="ar-SA"/>
        </w:rPr>
        <w:t>～</w:t>
      </w:r>
      <w:r>
        <w:rPr>
          <w:rFonts w:hint="eastAsia"/>
          <w:lang w:val="en-US" w:eastAsia="zh-CN"/>
        </w:rPr>
        <w:t>9</w:t>
      </w:r>
      <w:r>
        <w:rPr>
          <w:rFonts w:hint="eastAsia"/>
        </w:rPr>
        <w:t>月</w:t>
      </w:r>
      <w:r>
        <w:rPr>
          <w:rFonts w:hint="eastAsia"/>
          <w:lang w:val="en-US" w:eastAsia="zh-CN"/>
        </w:rPr>
        <w:t>20</w:t>
      </w:r>
      <w:r>
        <w:rPr>
          <w:rFonts w:hint="eastAsia"/>
        </w:rPr>
        <w:t>日，</w:t>
      </w:r>
      <w:r>
        <w:rPr>
          <w:rFonts w:hint="eastAsia"/>
          <w:lang w:val="en-US" w:eastAsia="zh-CN"/>
        </w:rPr>
        <w:t>拉萨地区应适当提前到9月5日</w:t>
      </w:r>
      <w:r>
        <w:rPr>
          <w:rFonts w:hint="eastAsia" w:ascii="宋体" w:hAnsi="宋体" w:eastAsia="宋体" w:cs="Times New Roman"/>
          <w:sz w:val="21"/>
          <w:lang w:val="en-US" w:eastAsia="zh-CN" w:bidi="ar-SA"/>
        </w:rPr>
        <w:t>～</w:t>
      </w:r>
      <w:r>
        <w:rPr>
          <w:rFonts w:hint="eastAsia"/>
          <w:lang w:val="en-US" w:eastAsia="zh-CN"/>
        </w:rPr>
        <w:t>10日</w:t>
      </w:r>
      <w:r>
        <w:rPr>
          <w:rFonts w:hint="eastAsia"/>
        </w:rPr>
        <w:t>。</w:t>
      </w:r>
    </w:p>
    <w:p w14:paraId="42B56129">
      <w:pPr>
        <w:pStyle w:val="105"/>
        <w:spacing w:before="156" w:after="156"/>
      </w:pPr>
      <w:bookmarkStart w:id="74" w:name="_Toc24210"/>
      <w:r>
        <w:rPr>
          <w:rFonts w:hint="eastAsia"/>
        </w:rPr>
        <w:t>播种量</w:t>
      </w:r>
      <w:bookmarkEnd w:id="74"/>
    </w:p>
    <w:p w14:paraId="176CA881">
      <w:pPr>
        <w:pStyle w:val="56"/>
        <w:ind w:firstLine="420"/>
      </w:pPr>
      <w:r>
        <w:rPr>
          <w:rFonts w:hint="eastAsia"/>
          <w:lang w:val="en-US" w:eastAsia="zh-CN"/>
        </w:rPr>
        <w:t>1.0</w:t>
      </w:r>
      <w:r>
        <w:t>kg/</w:t>
      </w:r>
      <w:r>
        <w:rPr>
          <w:rFonts w:hint="eastAsia"/>
        </w:rPr>
        <w:t>667 m</w:t>
      </w:r>
      <w:r>
        <w:rPr>
          <w:rFonts w:hint="eastAsia"/>
          <w:vertAlign w:val="superscript"/>
        </w:rPr>
        <w:t>2</w:t>
      </w:r>
      <w:r>
        <w:rPr>
          <w:rFonts w:hint="eastAsia"/>
        </w:rPr>
        <w:t>～</w:t>
      </w:r>
      <w:r>
        <w:rPr>
          <w:rFonts w:hint="eastAsia"/>
          <w:lang w:val="en-US" w:eastAsia="zh-CN"/>
        </w:rPr>
        <w:t>1.5</w:t>
      </w:r>
      <w:r>
        <w:t xml:space="preserve"> kg/</w:t>
      </w:r>
      <w:r>
        <w:rPr>
          <w:rFonts w:hint="eastAsia"/>
        </w:rPr>
        <w:t>667 m</w:t>
      </w:r>
      <w:r>
        <w:rPr>
          <w:rFonts w:hint="eastAsia"/>
          <w:vertAlign w:val="superscript"/>
        </w:rPr>
        <w:t>2</w:t>
      </w:r>
      <w:r>
        <w:rPr>
          <w:rFonts w:hint="eastAsia"/>
        </w:rPr>
        <w:t>。</w:t>
      </w:r>
    </w:p>
    <w:p w14:paraId="6AE627A1">
      <w:pPr>
        <w:pStyle w:val="105"/>
        <w:spacing w:before="156" w:after="156"/>
      </w:pPr>
      <w:bookmarkStart w:id="75" w:name="_Toc7149"/>
      <w:r>
        <w:rPr>
          <w:rFonts w:hint="eastAsia"/>
        </w:rPr>
        <w:t>播种方式</w:t>
      </w:r>
      <w:bookmarkEnd w:id="75"/>
    </w:p>
    <w:p w14:paraId="1B28E3D4">
      <w:pPr>
        <w:pStyle w:val="56"/>
        <w:ind w:firstLine="420"/>
      </w:pPr>
      <w:r>
        <w:rPr>
          <w:rFonts w:hint="eastAsia"/>
        </w:rPr>
        <w:t>在</w:t>
      </w:r>
      <w:r>
        <w:rPr>
          <w:rFonts w:hint="eastAsia"/>
          <w:lang w:val="en-US" w:eastAsia="zh-CN"/>
        </w:rPr>
        <w:t>桃林</w:t>
      </w:r>
      <w:r>
        <w:rPr>
          <w:rFonts w:hint="eastAsia"/>
        </w:rPr>
        <w:t>行间浅旋耕后撒播，播种行最外围距离</w:t>
      </w:r>
      <w:r>
        <w:rPr>
          <w:rFonts w:hint="eastAsia"/>
          <w:lang w:val="en-US" w:eastAsia="zh-CN"/>
        </w:rPr>
        <w:t>桃林根部</w:t>
      </w:r>
      <w:r>
        <w:rPr>
          <w:rFonts w:hint="eastAsia"/>
        </w:rPr>
        <w:t>应大于</w:t>
      </w:r>
      <w:r>
        <w:rPr>
          <w:rFonts w:hint="eastAsia"/>
          <w:lang w:val="en-US" w:eastAsia="zh-CN"/>
        </w:rPr>
        <w:t>8</w:t>
      </w:r>
      <w:r>
        <w:rPr>
          <w:rFonts w:hint="eastAsia"/>
        </w:rPr>
        <w:t>0cm。</w:t>
      </w:r>
    </w:p>
    <w:p w14:paraId="006020E9">
      <w:pPr>
        <w:pStyle w:val="104"/>
        <w:spacing w:before="312" w:after="312"/>
      </w:pPr>
      <w:bookmarkStart w:id="76" w:name="_Toc19974"/>
      <w:r>
        <w:rPr>
          <w:rFonts w:hint="eastAsia"/>
          <w:lang w:val="en-US" w:eastAsia="zh-CN"/>
        </w:rPr>
        <w:t>花前</w:t>
      </w:r>
      <w:r>
        <w:rPr>
          <w:rFonts w:hint="eastAsia"/>
        </w:rPr>
        <w:t>管理</w:t>
      </w:r>
      <w:bookmarkEnd w:id="76"/>
    </w:p>
    <w:p w14:paraId="4EAF02D8">
      <w:pPr>
        <w:pStyle w:val="105"/>
        <w:spacing w:before="156" w:after="156"/>
      </w:pPr>
      <w:bookmarkStart w:id="77" w:name="_Toc31916"/>
      <w:r>
        <w:rPr>
          <w:rFonts w:hint="eastAsia"/>
          <w:lang w:val="en-US" w:eastAsia="zh-CN"/>
        </w:rPr>
        <w:t>底肥</w:t>
      </w:r>
      <w:bookmarkEnd w:id="77"/>
    </w:p>
    <w:p w14:paraId="1B83A1F0">
      <w:pPr>
        <w:pStyle w:val="56"/>
        <w:ind w:firstLine="420"/>
      </w:pPr>
      <w:r>
        <w:rPr>
          <w:rFonts w:hint="eastAsia"/>
        </w:rPr>
        <w:t>根据</w:t>
      </w:r>
      <w:r>
        <w:rPr>
          <w:rFonts w:hint="eastAsia"/>
          <w:lang w:val="en-US" w:eastAsia="zh-CN"/>
        </w:rPr>
        <w:t>桃林</w:t>
      </w:r>
      <w:r>
        <w:rPr>
          <w:rFonts w:hint="eastAsia"/>
        </w:rPr>
        <w:t>地力适当调整施肥，一次性</w:t>
      </w:r>
      <w:r>
        <w:rPr>
          <w:rFonts w:hint="eastAsia"/>
          <w:lang w:val="en-US" w:eastAsia="zh-CN"/>
        </w:rPr>
        <w:t>施足</w:t>
      </w:r>
      <w:r>
        <w:rPr>
          <w:rFonts w:hint="eastAsia"/>
        </w:rPr>
        <w:t>底施</w:t>
      </w:r>
      <w:r>
        <w:rPr>
          <w:rFonts w:hint="eastAsia"/>
          <w:lang w:eastAsia="zh-CN"/>
        </w:rPr>
        <w:t>。</w:t>
      </w:r>
      <w:r>
        <w:rPr>
          <w:rFonts w:hint="eastAsia"/>
        </w:rPr>
        <w:t>一般</w:t>
      </w:r>
      <w:r>
        <w:rPr>
          <w:rFonts w:hint="eastAsia" w:ascii="宋体" w:hAnsi="宋体" w:eastAsia="宋体" w:cs="Times New Roman"/>
          <w:sz w:val="21"/>
          <w:lang w:val="en-US" w:eastAsia="zh-CN" w:bidi="ar-SA"/>
        </w:rPr>
        <w:t>施用尿素1</w:t>
      </w:r>
      <w:r>
        <w:rPr>
          <w:rFonts w:hint="eastAsia" w:hAnsi="宋体" w:cs="Times New Roman"/>
          <w:sz w:val="21"/>
          <w:lang w:val="en-US" w:eastAsia="zh-CN" w:bidi="ar-SA"/>
        </w:rPr>
        <w:t>0</w:t>
      </w:r>
      <w:r>
        <w:rPr>
          <w:rFonts w:hint="eastAsia" w:ascii="宋体" w:hAnsi="宋体" w:eastAsia="宋体" w:cs="Times New Roman"/>
          <w:sz w:val="21"/>
          <w:lang w:val="en-US" w:eastAsia="zh-CN" w:bidi="ar-SA"/>
        </w:rPr>
        <w:t xml:space="preserve"> kg/667 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w:t>
      </w:r>
      <w:r>
        <w:rPr>
          <w:rFonts w:hint="eastAsia" w:hAnsi="宋体" w:cs="Times New Roman"/>
          <w:sz w:val="21"/>
          <w:lang w:val="en-US" w:eastAsia="zh-CN" w:bidi="ar-SA"/>
        </w:rPr>
        <w:t>15</w:t>
      </w:r>
      <w:r>
        <w:rPr>
          <w:rFonts w:hint="eastAsia" w:ascii="宋体" w:hAnsi="宋体" w:eastAsia="宋体" w:cs="Times New Roman"/>
          <w:sz w:val="21"/>
          <w:lang w:val="en-US" w:eastAsia="zh-CN" w:bidi="ar-SA"/>
        </w:rPr>
        <w:t>kg/667 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、磷酸二铵</w:t>
      </w:r>
      <w:r>
        <w:rPr>
          <w:rFonts w:hint="eastAsia" w:hAnsi="宋体" w:cs="Times New Roman"/>
          <w:sz w:val="21"/>
          <w:lang w:val="en-US" w:eastAsia="zh-CN" w:bidi="ar-SA"/>
        </w:rPr>
        <w:t>5</w:t>
      </w:r>
      <w:r>
        <w:rPr>
          <w:rFonts w:hint="eastAsia" w:ascii="宋体" w:hAnsi="宋体" w:eastAsia="宋体" w:cs="Times New Roman"/>
          <w:sz w:val="21"/>
          <w:lang w:val="en-US" w:eastAsia="zh-CN" w:bidi="ar-SA"/>
        </w:rPr>
        <w:t xml:space="preserve">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w:t>
      </w:r>
      <w:r>
        <w:rPr>
          <w:rFonts w:hint="eastAsia" w:hAnsi="宋体" w:cs="Times New Roman"/>
          <w:sz w:val="21"/>
          <w:lang w:val="en-US" w:eastAsia="zh-CN" w:bidi="ar-SA"/>
        </w:rPr>
        <w:t>10</w:t>
      </w:r>
      <w:r>
        <w:rPr>
          <w:rFonts w:hint="eastAsia" w:ascii="宋体" w:hAnsi="宋体" w:eastAsia="宋体" w:cs="Times New Roman"/>
          <w:sz w:val="21"/>
          <w:lang w:val="en-US" w:eastAsia="zh-CN" w:bidi="ar-SA"/>
        </w:rPr>
        <w:t xml:space="preserve">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、氯化钾</w:t>
      </w:r>
      <w:r>
        <w:rPr>
          <w:rFonts w:hint="eastAsia" w:hAnsi="宋体" w:cs="Times New Roman"/>
          <w:sz w:val="21"/>
          <w:lang w:val="en-US" w:eastAsia="zh-CN" w:bidi="ar-SA"/>
        </w:rPr>
        <w:t>3</w:t>
      </w:r>
      <w:r>
        <w:rPr>
          <w:rFonts w:hint="eastAsia" w:ascii="宋体" w:hAnsi="宋体" w:eastAsia="宋体" w:cs="Times New Roman"/>
          <w:sz w:val="21"/>
          <w:lang w:val="en-US" w:eastAsia="zh-CN" w:bidi="ar-SA"/>
        </w:rPr>
        <w:t xml:space="preserve">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w:t>
      </w:r>
      <w:r>
        <w:rPr>
          <w:rFonts w:hint="eastAsia" w:hAnsi="宋体" w:cs="Times New Roman"/>
          <w:sz w:val="21"/>
          <w:lang w:val="en-US" w:eastAsia="zh-CN" w:bidi="ar-SA"/>
        </w:rPr>
        <w:t>5</w:t>
      </w:r>
      <w:r>
        <w:rPr>
          <w:rFonts w:hint="eastAsia" w:ascii="宋体" w:hAnsi="宋体" w:eastAsia="宋体" w:cs="Times New Roman"/>
          <w:sz w:val="21"/>
          <w:lang w:val="en-US" w:eastAsia="zh-CN" w:bidi="ar-SA"/>
        </w:rPr>
        <w:t xml:space="preserve">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、硼砂0.5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～0.75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、有机肥1</w:t>
      </w:r>
      <w:r>
        <w:rPr>
          <w:rFonts w:hint="eastAsia" w:hAnsi="宋体" w:cs="Times New Roman"/>
          <w:sz w:val="21"/>
          <w:lang w:val="en-US" w:eastAsia="zh-CN" w:bidi="ar-SA"/>
        </w:rPr>
        <w:t>0</w:t>
      </w:r>
      <w:r>
        <w:rPr>
          <w:rFonts w:hint="eastAsia" w:ascii="宋体" w:hAnsi="宋体" w:eastAsia="宋体" w:cs="Times New Roman"/>
          <w:sz w:val="21"/>
          <w:lang w:val="en-US" w:eastAsia="zh-CN" w:bidi="ar-SA"/>
        </w:rPr>
        <w:t>00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w:t>
      </w:r>
      <w:r>
        <w:rPr>
          <w:rFonts w:hint="eastAsia" w:hAnsi="宋体" w:cs="Times New Roman"/>
          <w:sz w:val="21"/>
          <w:lang w:val="en-US" w:eastAsia="zh-CN" w:bidi="ar-SA"/>
        </w:rPr>
        <w:t>15</w:t>
      </w:r>
      <w:r>
        <w:rPr>
          <w:rFonts w:hint="eastAsia" w:ascii="宋体" w:hAnsi="宋体" w:eastAsia="宋体" w:cs="Times New Roman"/>
          <w:sz w:val="21"/>
          <w:lang w:val="en-US" w:eastAsia="zh-CN" w:bidi="ar-SA"/>
        </w:rPr>
        <w:t>00 kg/667m</w:t>
      </w:r>
      <w:r>
        <w:rPr>
          <w:rFonts w:hint="eastAsia" w:ascii="宋体" w:hAnsi="宋体" w:eastAsia="宋体" w:cs="Times New Roman"/>
          <w:sz w:val="21"/>
          <w:vertAlign w:val="superscript"/>
          <w:lang w:val="en-US" w:eastAsia="zh-CN" w:bidi="ar-SA"/>
        </w:rPr>
        <w:t>2</w:t>
      </w:r>
      <w:r>
        <w:rPr>
          <w:rFonts w:hint="eastAsia" w:ascii="宋体" w:hAnsi="宋体" w:eastAsia="宋体" w:cs="Times New Roman"/>
          <w:sz w:val="21"/>
          <w:lang w:val="en-US" w:eastAsia="zh-CN" w:bidi="ar-SA"/>
        </w:rPr>
        <w:t>。</w:t>
      </w:r>
      <w:r>
        <w:rPr>
          <w:rFonts w:hint="eastAsia"/>
        </w:rPr>
        <w:t>施肥应符合NY/T 496的要求。</w:t>
      </w:r>
    </w:p>
    <w:p w14:paraId="565DC6DD">
      <w:pPr>
        <w:pStyle w:val="105"/>
        <w:spacing w:before="156" w:after="156"/>
      </w:pPr>
      <w:bookmarkStart w:id="78" w:name="_Toc144929147"/>
      <w:bookmarkStart w:id="79" w:name="_Toc22422"/>
      <w:r>
        <w:rPr>
          <w:rFonts w:hint="eastAsia"/>
        </w:rPr>
        <w:t>病</w:t>
      </w:r>
      <w:r>
        <w:rPr>
          <w:rFonts w:hint="eastAsia"/>
          <w:lang w:val="en-US" w:eastAsia="zh-CN"/>
        </w:rPr>
        <w:t>虫草</w:t>
      </w:r>
      <w:r>
        <w:rPr>
          <w:rFonts w:hint="eastAsia"/>
        </w:rPr>
        <w:t>害防治</w:t>
      </w:r>
      <w:bookmarkEnd w:id="78"/>
      <w:bookmarkEnd w:id="79"/>
    </w:p>
    <w:p w14:paraId="6B939134">
      <w:pPr>
        <w:pStyle w:val="56"/>
        <w:ind w:firstLine="420"/>
        <w:rPr>
          <w:rFonts w:hint="default" w:eastAsia="宋体"/>
          <w:lang w:val="en-US" w:eastAsia="zh-CN"/>
        </w:rPr>
      </w:pPr>
      <w:r>
        <w:rPr>
          <w:rFonts w:hint="eastAsia"/>
          <w:lang w:val="en-US" w:eastAsia="zh-CN"/>
        </w:rPr>
        <w:t>冬季低温，</w:t>
      </w:r>
      <w:r>
        <w:rPr>
          <w:rFonts w:hint="eastAsia"/>
        </w:rPr>
        <w:t>一般</w:t>
      </w:r>
      <w:r>
        <w:rPr>
          <w:rFonts w:hint="eastAsia" w:hAnsi="Times New Roman" w:cs="Times New Roman"/>
        </w:rPr>
        <w:t>不需要进行病</w:t>
      </w:r>
      <w:r>
        <w:rPr>
          <w:rFonts w:hint="eastAsia" w:hAnsi="Times New Roman" w:cs="Times New Roman"/>
          <w:lang w:val="en-US" w:eastAsia="zh-CN"/>
        </w:rPr>
        <w:t>虫</w:t>
      </w:r>
      <w:r>
        <w:rPr>
          <w:rFonts w:hint="eastAsia" w:hAnsi="Times New Roman" w:cs="Times New Roman"/>
        </w:rPr>
        <w:t>害防治</w:t>
      </w:r>
      <w:r>
        <w:rPr>
          <w:rFonts w:hint="eastAsia" w:hAnsi="Times New Roman" w:cs="Times New Roman"/>
          <w:lang w:eastAsia="zh-CN"/>
        </w:rPr>
        <w:t>。</w:t>
      </w:r>
      <w:r>
        <w:rPr>
          <w:rFonts w:hint="eastAsia" w:hAnsi="Times New Roman" w:cs="Times New Roman"/>
          <w:lang w:val="en-US" w:eastAsia="zh-CN"/>
        </w:rPr>
        <w:t>草害严重的地块，苗期可进行化学除草，农药使用应符合</w:t>
      </w:r>
      <w:r>
        <w:rPr>
          <w:rFonts w:hint="eastAsia" w:hAnsi="Times New Roman" w:cs="Times New Roman"/>
        </w:rPr>
        <w:t>GB/T8321</w:t>
      </w:r>
      <w:r>
        <w:rPr>
          <w:rFonts w:hint="eastAsia" w:hAnsi="Times New Roman" w:cs="Times New Roman"/>
          <w:lang w:val="en-US" w:eastAsia="zh-CN"/>
        </w:rPr>
        <w:t>的规定，可参照附录B。</w:t>
      </w:r>
    </w:p>
    <w:p w14:paraId="4862314C">
      <w:pPr>
        <w:pStyle w:val="105"/>
        <w:spacing w:before="156" w:after="156"/>
        <w:rPr>
          <w:rFonts w:hint="eastAsia"/>
        </w:rPr>
      </w:pPr>
      <w:bookmarkStart w:id="80" w:name="_Toc12599"/>
      <w:r>
        <w:rPr>
          <w:rFonts w:hint="eastAsia"/>
          <w:lang w:val="en-US" w:eastAsia="zh-CN"/>
        </w:rPr>
        <w:t>越冬管理</w:t>
      </w:r>
      <w:bookmarkEnd w:id="80"/>
    </w:p>
    <w:p w14:paraId="3284AFE6">
      <w:pPr>
        <w:pStyle w:val="56"/>
        <w:ind w:firstLine="420"/>
        <w:rPr>
          <w:rFonts w:hint="eastAsia"/>
          <w:lang w:val="en-US" w:eastAsia="zh-CN"/>
        </w:rPr>
      </w:pPr>
      <w:r>
        <w:rPr>
          <w:rFonts w:hint="eastAsia"/>
          <w:lang w:val="en-US" w:eastAsia="zh-CN"/>
        </w:rPr>
        <w:t>包括越冬前、越冬期、越冬后管理，管理技术应符合 DB54/T 0074的要求。</w:t>
      </w:r>
    </w:p>
    <w:p w14:paraId="48A905F9">
      <w:pPr>
        <w:pStyle w:val="105"/>
        <w:spacing w:before="156" w:after="156"/>
        <w:rPr>
          <w:rFonts w:hint="default" w:hAnsi="Times New Roman" w:cs="Times New Roman"/>
          <w:lang w:val="en-US" w:eastAsia="zh-CN"/>
        </w:rPr>
      </w:pPr>
      <w:bookmarkStart w:id="81" w:name="_Toc18535"/>
      <w:r>
        <w:rPr>
          <w:rFonts w:hint="eastAsia" w:hAnsi="Times New Roman" w:cs="Times New Roman"/>
          <w:lang w:val="en-US" w:eastAsia="zh-CN"/>
        </w:rPr>
        <w:t>生长调节剂调控</w:t>
      </w:r>
      <w:bookmarkEnd w:id="81"/>
    </w:p>
    <w:p w14:paraId="5656FF8D">
      <w:pPr>
        <w:pStyle w:val="105"/>
        <w:numPr>
          <w:ilvl w:val="2"/>
          <w:numId w:val="0"/>
        </w:numPr>
        <w:spacing w:before="156" w:after="156"/>
        <w:ind w:leftChars="0"/>
        <w:rPr>
          <w:rFonts w:hint="eastAsia" w:hAnsi="Times New Roman" w:cs="Times New Roman"/>
          <w:lang w:val="en-US" w:eastAsia="zh-CN"/>
        </w:rPr>
      </w:pPr>
      <w:bookmarkStart w:id="82" w:name="_Toc11533"/>
      <w:r>
        <w:rPr>
          <w:rFonts w:hint="eastAsia" w:hAnsi="Times New Roman" w:cs="Times New Roman"/>
          <w:lang w:val="en-US" w:eastAsia="zh-CN"/>
        </w:rPr>
        <w:t>5.4.1 弱苗促壮调控</w:t>
      </w:r>
      <w:bookmarkEnd w:id="82"/>
    </w:p>
    <w:p w14:paraId="360AD659">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bookmarkStart w:id="83" w:name="_Toc32037"/>
      <w:r>
        <w:rPr>
          <w:rFonts w:hint="eastAsia" w:ascii="宋体" w:hAnsi="Times New Roman" w:eastAsia="宋体" w:cs="Times New Roman"/>
          <w:sz w:val="21"/>
          <w:lang w:val="en-US" w:eastAsia="zh-CN" w:bidi="ar-SA"/>
        </w:rPr>
        <w:t>每亩喷施1.8%复硝酚钠水剂8</w:t>
      </w:r>
      <w:r>
        <w:rPr>
          <w:rFonts w:hint="eastAsia" w:ascii="宋体" w:hAnsi="宋体" w:eastAsia="宋体" w:cs="Times New Roman"/>
          <w:sz w:val="21"/>
          <w:lang w:val="en-US" w:eastAsia="zh-CN" w:bidi="ar-SA"/>
        </w:rPr>
        <w:t>～</w:t>
      </w:r>
      <w:r>
        <w:rPr>
          <w:rFonts w:hint="eastAsia" w:ascii="宋体" w:hAnsi="Times New Roman" w:eastAsia="宋体" w:cs="Times New Roman"/>
          <w:sz w:val="21"/>
          <w:lang w:val="en-US" w:eastAsia="zh-CN" w:bidi="ar-SA"/>
        </w:rPr>
        <w:t>15 g，或8%胺鲜酯粉剂8</w:t>
      </w:r>
      <w:r>
        <w:rPr>
          <w:rFonts w:hint="eastAsia" w:ascii="宋体" w:hAnsi="宋体" w:eastAsia="宋体" w:cs="Times New Roman"/>
          <w:sz w:val="21"/>
          <w:lang w:val="en-US" w:eastAsia="zh-CN" w:bidi="ar-SA"/>
        </w:rPr>
        <w:t>～</w:t>
      </w:r>
      <w:r>
        <w:rPr>
          <w:rFonts w:hint="eastAsia" w:ascii="宋体" w:hAnsi="Times New Roman" w:eastAsia="宋体" w:cs="Times New Roman"/>
          <w:sz w:val="21"/>
          <w:lang w:val="en-US" w:eastAsia="zh-CN" w:bidi="ar-SA"/>
        </w:rPr>
        <w:t>15 g，使用次数1-2次，可配合氨基酸水溶肥等叶面肥使用，促进弱苗苗情转化，培育壮苗，尽快封行。</w:t>
      </w:r>
      <w:bookmarkEnd w:id="83"/>
    </w:p>
    <w:p w14:paraId="769672F2">
      <w:pPr>
        <w:pStyle w:val="105"/>
        <w:numPr>
          <w:ilvl w:val="2"/>
          <w:numId w:val="0"/>
        </w:numPr>
        <w:spacing w:before="156" w:after="156"/>
        <w:ind w:leftChars="0"/>
        <w:rPr>
          <w:rFonts w:hint="eastAsia" w:hAnsi="Times New Roman" w:cs="Times New Roman"/>
          <w:lang w:val="en-US" w:eastAsia="zh-CN"/>
        </w:rPr>
      </w:pPr>
      <w:bookmarkStart w:id="84" w:name="_Toc23729"/>
      <w:r>
        <w:rPr>
          <w:rFonts w:hint="eastAsia" w:hAnsi="Times New Roman" w:cs="Times New Roman"/>
          <w:lang w:val="en-US" w:eastAsia="zh-CN"/>
        </w:rPr>
        <w:t>5.4.2 旺苗控旺调控</w:t>
      </w:r>
      <w:bookmarkEnd w:id="84"/>
    </w:p>
    <w:p w14:paraId="1D93E28F">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bookmarkStart w:id="85" w:name="_Toc12483"/>
      <w:r>
        <w:rPr>
          <w:rFonts w:hint="eastAsia" w:ascii="宋体" w:hAnsi="Times New Roman" w:eastAsia="宋体" w:cs="Times New Roman"/>
          <w:sz w:val="21"/>
          <w:lang w:val="en-US" w:eastAsia="zh-CN" w:bidi="ar-SA"/>
        </w:rPr>
        <w:t>每亩喷施5%烯效唑可湿性粉剂30</w:t>
      </w:r>
      <w:r>
        <w:rPr>
          <w:rFonts w:hint="eastAsia" w:ascii="宋体" w:hAnsi="宋体" w:eastAsia="宋体" w:cs="Times New Roman"/>
          <w:sz w:val="21"/>
          <w:lang w:val="en-US" w:eastAsia="zh-CN" w:bidi="ar-SA"/>
        </w:rPr>
        <w:t>～</w:t>
      </w:r>
      <w:r>
        <w:rPr>
          <w:rFonts w:hint="eastAsia" w:ascii="宋体" w:hAnsi="Times New Roman" w:eastAsia="宋体" w:cs="Times New Roman"/>
          <w:sz w:val="21"/>
          <w:lang w:val="en-US" w:eastAsia="zh-CN" w:bidi="ar-SA"/>
        </w:rPr>
        <w:t>50 g，控制旺长，增强抗寒性。</w:t>
      </w:r>
      <w:bookmarkEnd w:id="85"/>
    </w:p>
    <w:p w14:paraId="0CB300F2">
      <w:pPr>
        <w:pStyle w:val="105"/>
        <w:numPr>
          <w:ilvl w:val="2"/>
          <w:numId w:val="0"/>
        </w:numPr>
        <w:spacing w:before="156" w:after="156"/>
        <w:ind w:leftChars="0"/>
        <w:rPr>
          <w:rFonts w:hint="eastAsia" w:hAnsi="Times New Roman" w:cs="Times New Roman"/>
          <w:lang w:val="en-US" w:eastAsia="zh-CN"/>
        </w:rPr>
      </w:pPr>
      <w:bookmarkStart w:id="86" w:name="_Toc30168"/>
      <w:r>
        <w:rPr>
          <w:rFonts w:hint="eastAsia" w:hAnsi="Times New Roman" w:cs="Times New Roman"/>
          <w:lang w:val="en-US" w:eastAsia="zh-CN"/>
        </w:rPr>
        <w:t>5.4.3 调控要求</w:t>
      </w:r>
      <w:bookmarkEnd w:id="86"/>
    </w:p>
    <w:p w14:paraId="641B70C8">
      <w:pPr>
        <w:pStyle w:val="56"/>
        <w:rPr>
          <w:rFonts w:hint="default"/>
          <w:lang w:val="en-US" w:eastAsia="zh-CN"/>
        </w:rPr>
      </w:pPr>
      <w:r>
        <w:rPr>
          <w:rFonts w:hint="eastAsia" w:ascii="Times New Roman"/>
        </w:rPr>
        <w:t>使用机械喷雾器，在油菜上方20 cm~30 cm处定向喷雾，每亩兑水30 L~50 L，也可使用无人机进行作业；喷施6小时内遇雨水，减半补喷。</w:t>
      </w:r>
    </w:p>
    <w:p w14:paraId="35C30793">
      <w:pPr>
        <w:pStyle w:val="104"/>
        <w:spacing w:before="312" w:after="312"/>
        <w:rPr>
          <w:rFonts w:hint="default"/>
          <w:lang w:val="en-US" w:eastAsia="zh-CN"/>
        </w:rPr>
      </w:pPr>
      <w:bookmarkStart w:id="87" w:name="_Toc22126"/>
      <w:r>
        <w:rPr>
          <w:rFonts w:hint="eastAsia"/>
          <w:lang w:val="en-US" w:eastAsia="zh-CN"/>
        </w:rPr>
        <w:t>花期管理</w:t>
      </w:r>
      <w:bookmarkEnd w:id="87"/>
    </w:p>
    <w:p w14:paraId="66952EF2">
      <w:pPr>
        <w:pStyle w:val="105"/>
        <w:spacing w:before="156" w:after="156"/>
        <w:rPr>
          <w:rFonts w:hint="eastAsia"/>
          <w:lang w:val="en-US" w:eastAsia="zh-CN"/>
        </w:rPr>
      </w:pPr>
      <w:bookmarkStart w:id="88" w:name="_Toc2589"/>
      <w:r>
        <w:rPr>
          <w:rFonts w:hint="eastAsia"/>
          <w:lang w:val="en-US" w:eastAsia="zh-CN"/>
        </w:rPr>
        <w:t>病虫害防治</w:t>
      </w:r>
      <w:bookmarkEnd w:id="88"/>
    </w:p>
    <w:p w14:paraId="0BDA1C43">
      <w:pPr>
        <w:pStyle w:val="105"/>
        <w:numPr>
          <w:ilvl w:val="2"/>
          <w:numId w:val="0"/>
        </w:numPr>
        <w:spacing w:before="156" w:after="156"/>
        <w:ind w:leftChars="0" w:firstLine="420" w:firstLineChars="200"/>
        <w:rPr>
          <w:rFonts w:hint="eastAsia" w:ascii="宋体" w:hAnsi="Times New Roman" w:eastAsia="宋体" w:cs="Times New Roman"/>
          <w:sz w:val="21"/>
          <w:lang w:val="en-US" w:eastAsia="zh-CN" w:bidi="ar-SA"/>
        </w:rPr>
      </w:pPr>
      <w:bookmarkStart w:id="89" w:name="_Toc32746"/>
      <w:r>
        <w:rPr>
          <w:rFonts w:hint="eastAsia" w:ascii="宋体" w:hAnsi="Times New Roman" w:eastAsia="宋体" w:cs="Times New Roman"/>
          <w:sz w:val="21"/>
          <w:lang w:val="en-US" w:eastAsia="zh-CN" w:bidi="ar-SA"/>
        </w:rPr>
        <w:t>返青开花后蚜虫危害重应该适当防治，使用呲蚜酮等防治，参照GB/T8321、NY/T 1276、DB54/T 0074执行。</w:t>
      </w:r>
      <w:bookmarkEnd w:id="89"/>
    </w:p>
    <w:p w14:paraId="6C08C934">
      <w:pPr>
        <w:pStyle w:val="105"/>
        <w:spacing w:before="156" w:after="156"/>
        <w:rPr>
          <w:rFonts w:hint="default"/>
          <w:lang w:val="en-US" w:eastAsia="zh-CN"/>
        </w:rPr>
      </w:pPr>
      <w:bookmarkStart w:id="90" w:name="_Toc30824"/>
      <w:r>
        <w:rPr>
          <w:rFonts w:hint="eastAsia"/>
          <w:lang w:val="en-US" w:eastAsia="zh-CN"/>
        </w:rPr>
        <w:t>追肥</w:t>
      </w:r>
      <w:bookmarkEnd w:id="90"/>
    </w:p>
    <w:p w14:paraId="7403568E">
      <w:pPr>
        <w:pStyle w:val="56"/>
        <w:rPr>
          <w:rFonts w:hint="default"/>
          <w:lang w:val="en-US" w:eastAsia="zh-CN"/>
        </w:rPr>
      </w:pPr>
      <w:r>
        <w:rPr>
          <w:rFonts w:hint="eastAsia"/>
        </w:rPr>
        <w:t>油菜抽薹前追施5kg/667m</w:t>
      </w:r>
      <w:r>
        <w:rPr>
          <w:rFonts w:hint="eastAsia"/>
          <w:vertAlign w:val="superscript"/>
        </w:rPr>
        <w:t>2</w:t>
      </w:r>
      <w:r>
        <w:rPr>
          <w:rFonts w:hint="eastAsia"/>
        </w:rPr>
        <w:t xml:space="preserve"> </w:t>
      </w:r>
      <w:r>
        <w:rPr>
          <w:rFonts w:hint="eastAsia" w:ascii="宋体" w:hAnsi="宋体" w:eastAsia="宋体" w:cs="Times New Roman"/>
          <w:sz w:val="21"/>
          <w:lang w:val="en-US" w:eastAsia="zh-CN" w:bidi="ar-SA"/>
        </w:rPr>
        <w:t>～</w:t>
      </w:r>
      <w:r>
        <w:rPr>
          <w:rFonts w:hint="eastAsia"/>
        </w:rPr>
        <w:t>8 kg/667m2的尿素</w:t>
      </w:r>
      <w:r>
        <w:rPr>
          <w:rFonts w:hint="eastAsia"/>
          <w:lang w:eastAsia="zh-CN"/>
        </w:rPr>
        <w:t>。</w:t>
      </w:r>
      <w:r>
        <w:rPr>
          <w:rFonts w:hint="eastAsia"/>
        </w:rPr>
        <w:t>施肥应符合NY/T 496的要求。</w:t>
      </w:r>
    </w:p>
    <w:bookmarkEnd w:id="68"/>
    <w:bookmarkEnd w:id="69"/>
    <w:bookmarkEnd w:id="70"/>
    <w:bookmarkEnd w:id="71"/>
    <w:p w14:paraId="4BBA06EC">
      <w:pPr>
        <w:pStyle w:val="104"/>
        <w:spacing w:before="312" w:after="312"/>
      </w:pPr>
      <w:bookmarkStart w:id="91" w:name="_Toc7145"/>
      <w:r>
        <w:rPr>
          <w:rFonts w:hint="eastAsia"/>
          <w:lang w:val="en-US" w:eastAsia="zh-CN"/>
        </w:rPr>
        <w:t>花后管理</w:t>
      </w:r>
      <w:bookmarkEnd w:id="91"/>
    </w:p>
    <w:p w14:paraId="3AA85BE9">
      <w:pPr>
        <w:pStyle w:val="105"/>
        <w:spacing w:before="156" w:after="156"/>
      </w:pPr>
      <w:bookmarkStart w:id="92" w:name="_Toc31333"/>
      <w:r>
        <w:rPr>
          <w:rFonts w:hint="eastAsia"/>
          <w:lang w:val="en-US" w:eastAsia="zh-CN"/>
        </w:rPr>
        <w:t>籽粒收获</w:t>
      </w:r>
      <w:bookmarkEnd w:id="92"/>
    </w:p>
    <w:p w14:paraId="67DABAC1">
      <w:pPr>
        <w:pStyle w:val="56"/>
        <w:ind w:firstLine="420"/>
      </w:pPr>
      <w:r>
        <w:rPr>
          <w:rFonts w:hint="eastAsia"/>
          <w:lang w:val="en-US" w:eastAsia="zh-CN"/>
        </w:rPr>
        <w:t>冬油菜成熟期在来年的6月中下旬，</w:t>
      </w:r>
      <w:r>
        <w:rPr>
          <w:rFonts w:hint="eastAsia"/>
        </w:rPr>
        <w:t>角果80%黄熟时进行人工割晒或机械割晒</w:t>
      </w:r>
      <w:r>
        <w:t>。</w:t>
      </w:r>
    </w:p>
    <w:p w14:paraId="4D3B7865">
      <w:pPr>
        <w:pStyle w:val="105"/>
        <w:spacing w:before="156" w:after="156"/>
      </w:pPr>
      <w:bookmarkStart w:id="93" w:name="_Toc29734"/>
      <w:r>
        <w:rPr>
          <w:rFonts w:hint="eastAsia"/>
          <w:lang w:val="en-US" w:eastAsia="zh-CN"/>
        </w:rPr>
        <w:t>其他用途</w:t>
      </w:r>
      <w:bookmarkEnd w:id="93"/>
    </w:p>
    <w:p w14:paraId="5566F787">
      <w:pPr>
        <w:pStyle w:val="56"/>
        <w:ind w:firstLine="420"/>
        <w:rPr>
          <w:rFonts w:hint="eastAsia"/>
        </w:rPr>
      </w:pPr>
      <w:r>
        <w:rPr>
          <w:rFonts w:hint="eastAsia"/>
          <w:lang w:val="en-US" w:eastAsia="zh-CN"/>
        </w:rPr>
        <w:t>可根据生产实际需求，油菜</w:t>
      </w:r>
      <w:r>
        <w:rPr>
          <w:rFonts w:hint="eastAsia"/>
        </w:rPr>
        <w:t>盛花期</w:t>
      </w:r>
      <w:r>
        <w:rPr>
          <w:rFonts w:hint="eastAsia"/>
          <w:lang w:val="en-US" w:eastAsia="zh-CN"/>
        </w:rPr>
        <w:t>结束后4月底</w:t>
      </w:r>
      <w:r>
        <w:rPr>
          <w:rFonts w:hint="eastAsia"/>
        </w:rPr>
        <w:t>将油菜</w:t>
      </w:r>
      <w:r>
        <w:rPr>
          <w:rFonts w:hint="eastAsia"/>
          <w:lang w:val="en-US" w:eastAsia="zh-CN"/>
        </w:rPr>
        <w:t>粉碎</w:t>
      </w:r>
      <w:r>
        <w:rPr>
          <w:rFonts w:hint="eastAsia"/>
        </w:rPr>
        <w:t>还田</w:t>
      </w:r>
      <w:r>
        <w:rPr>
          <w:rFonts w:hint="eastAsia"/>
          <w:lang w:eastAsia="zh-CN"/>
        </w:rPr>
        <w:t>，</w:t>
      </w:r>
      <w:r>
        <w:rPr>
          <w:rFonts w:hint="eastAsia"/>
          <w:lang w:val="en-US" w:eastAsia="zh-CN"/>
        </w:rPr>
        <w:t>后期复种荞麦、玉米、马铃薯等作物</w:t>
      </w:r>
      <w:r>
        <w:rPr>
          <w:rFonts w:hint="eastAsia"/>
        </w:rPr>
        <w:t>。还田方式可以选择机械翻压，翻压深度15cm</w:t>
      </w:r>
      <w:r>
        <w:rPr>
          <w:rFonts w:hint="eastAsia" w:ascii="宋体" w:hAnsi="宋体" w:eastAsia="宋体" w:cs="Times New Roman"/>
          <w:sz w:val="21"/>
          <w:lang w:val="en-US" w:eastAsia="zh-CN" w:bidi="ar-SA"/>
        </w:rPr>
        <w:t>～</w:t>
      </w:r>
      <w:r>
        <w:rPr>
          <w:rFonts w:hint="eastAsia"/>
        </w:rPr>
        <w:t>20cm。</w:t>
      </w:r>
    </w:p>
    <w:p w14:paraId="29F4CF77">
      <w:pPr>
        <w:pStyle w:val="56"/>
        <w:ind w:left="0" w:leftChars="0" w:firstLine="0" w:firstLineChars="0"/>
        <w:rPr>
          <w:rFonts w:hint="eastAsia"/>
        </w:rPr>
      </w:pPr>
    </w:p>
    <w:p w14:paraId="57058B6E">
      <w:pPr>
        <w:pStyle w:val="56"/>
        <w:ind w:left="0" w:leftChars="0" w:firstLine="0" w:firstLineChars="0"/>
        <w:rPr>
          <w:rFonts w:hint="default" w:eastAsia="宋体"/>
          <w:lang w:val="en-US" w:eastAsia="zh-CN"/>
        </w:rPr>
        <w:sectPr>
          <w:headerReference r:id="rId17" w:type="default"/>
          <w:footerReference r:id="rId19" w:type="default"/>
          <w:headerReference r:id="rId18" w:type="even"/>
          <w:footerReference r:id="rId20" w:type="even"/>
          <w:pgSz w:w="11906" w:h="16838"/>
          <w:pgMar w:top="567" w:right="1134" w:bottom="1134" w:left="1134" w:header="1418" w:footer="1134" w:gutter="284"/>
          <w:pgNumType w:start="1"/>
          <w:cols w:space="425" w:num="1"/>
          <w:formProt w:val="0"/>
          <w:docGrid w:type="lines" w:linePitch="312" w:charSpace="0"/>
        </w:sectPr>
      </w:pPr>
    </w:p>
    <w:bookmarkEnd w:id="28"/>
    <w:p w14:paraId="373C3B50">
      <w:pPr>
        <w:pStyle w:val="198"/>
        <w:rPr>
          <w:vanish w:val="0"/>
        </w:rPr>
      </w:pPr>
      <w:bookmarkStart w:id="94" w:name="BookMark5"/>
    </w:p>
    <w:p w14:paraId="6823608E">
      <w:pPr>
        <w:pStyle w:val="76"/>
        <w:spacing w:after="156"/>
        <w:rPr>
          <w:rFonts w:hint="eastAsia"/>
        </w:rPr>
      </w:pPr>
      <w:bookmarkStart w:id="95" w:name="_Toc14005"/>
      <w:r>
        <w:br w:type="textWrapping"/>
      </w:r>
      <w:r>
        <w:rPr>
          <w:rFonts w:hint="eastAsia"/>
        </w:rPr>
        <w:t>（资料性）</w:t>
      </w:r>
      <w:r>
        <w:br w:type="textWrapping"/>
      </w:r>
      <w:r>
        <w:rPr>
          <w:rFonts w:hint="eastAsia" w:hAnsi="Times New Roman" w:cs="Times New Roman"/>
          <w:lang w:val="en-US" w:eastAsia="zh-CN"/>
        </w:rPr>
        <w:t>西藏地区冬油菜品种</w:t>
      </w:r>
      <w:r>
        <w:rPr>
          <w:rFonts w:hint="eastAsia"/>
        </w:rPr>
        <w:t>表</w:t>
      </w:r>
      <w:bookmarkEnd w:id="95"/>
    </w:p>
    <w:tbl>
      <w:tblPr>
        <w:tblStyle w:val="26"/>
        <w:tblW w:w="93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39"/>
        <w:gridCol w:w="3262"/>
        <w:gridCol w:w="4539"/>
      </w:tblGrid>
      <w:tr w14:paraId="48880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2" w:hRule="atLeast"/>
          <w:tblHeader/>
          <w:jc w:val="center"/>
        </w:trPr>
        <w:tc>
          <w:tcPr>
            <w:tcW w:w="1539" w:type="dxa"/>
            <w:noWrap w:val="0"/>
            <w:vAlign w:val="center"/>
          </w:tcPr>
          <w:p w14:paraId="517D4CCB">
            <w:pPr>
              <w:pStyle w:val="178"/>
              <w:rPr>
                <w:rFonts w:hint="default" w:eastAsia="宋体"/>
                <w:lang w:val="en-US" w:eastAsia="zh-CN"/>
              </w:rPr>
            </w:pPr>
            <w:r>
              <w:rPr>
                <w:rFonts w:hint="eastAsia" w:hAnsi="宋体" w:cs="Times New Roman"/>
                <w:b/>
                <w:szCs w:val="21"/>
                <w:lang w:val="en-US" w:eastAsia="zh-CN"/>
              </w:rPr>
              <w:t>品种名称</w:t>
            </w:r>
          </w:p>
        </w:tc>
        <w:tc>
          <w:tcPr>
            <w:tcW w:w="3262" w:type="dxa"/>
            <w:noWrap w:val="0"/>
            <w:vAlign w:val="center"/>
          </w:tcPr>
          <w:p w14:paraId="049F0355">
            <w:pPr>
              <w:pStyle w:val="178"/>
              <w:rPr>
                <w:rFonts w:hint="default" w:eastAsia="宋体"/>
                <w:lang w:val="en-US" w:eastAsia="zh-CN"/>
              </w:rPr>
            </w:pPr>
            <w:r>
              <w:rPr>
                <w:rFonts w:hint="eastAsia" w:hAnsi="宋体" w:cs="Times New Roman"/>
                <w:b/>
                <w:szCs w:val="21"/>
                <w:lang w:val="en-US" w:eastAsia="zh-CN"/>
              </w:rPr>
              <w:t>品种来源</w:t>
            </w:r>
          </w:p>
        </w:tc>
        <w:tc>
          <w:tcPr>
            <w:tcW w:w="4539" w:type="dxa"/>
            <w:noWrap w:val="0"/>
            <w:vAlign w:val="center"/>
          </w:tcPr>
          <w:p w14:paraId="5DD2AE77">
            <w:pPr>
              <w:pStyle w:val="178"/>
              <w:rPr>
                <w:rFonts w:hint="default" w:eastAsia="宋体"/>
                <w:lang w:val="en-US" w:eastAsia="zh-CN"/>
              </w:rPr>
            </w:pPr>
            <w:r>
              <w:rPr>
                <w:rFonts w:hint="eastAsia" w:hAnsi="宋体"/>
                <w:b/>
                <w:szCs w:val="21"/>
                <w:lang w:val="en-US" w:eastAsia="zh-CN"/>
              </w:rPr>
              <w:t>特征特征</w:t>
            </w:r>
          </w:p>
        </w:tc>
      </w:tr>
      <w:tr w14:paraId="2EF14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96" w:hRule="atLeast"/>
          <w:jc w:val="center"/>
        </w:trPr>
        <w:tc>
          <w:tcPr>
            <w:tcW w:w="1539" w:type="dxa"/>
            <w:noWrap w:val="0"/>
            <w:vAlign w:val="center"/>
          </w:tcPr>
          <w:p w14:paraId="31F7B6CC">
            <w:pPr>
              <w:pStyle w:val="178"/>
              <w:rPr>
                <w:rFonts w:hint="default" w:eastAsia="宋体"/>
                <w:lang w:val="en-US" w:eastAsia="zh-CN"/>
              </w:rPr>
            </w:pPr>
            <w:r>
              <w:rPr>
                <w:rFonts w:hint="eastAsia" w:hAnsi="宋体"/>
                <w:szCs w:val="21"/>
                <w:lang w:val="en-US" w:eastAsia="zh-CN"/>
              </w:rPr>
              <w:t>陇油9号</w:t>
            </w:r>
          </w:p>
        </w:tc>
        <w:tc>
          <w:tcPr>
            <w:tcW w:w="3262" w:type="dxa"/>
            <w:noWrap w:val="0"/>
            <w:vAlign w:val="center"/>
          </w:tcPr>
          <w:p w14:paraId="49D3892B">
            <w:pPr>
              <w:pStyle w:val="178"/>
              <w:rPr>
                <w:rFonts w:hint="default" w:eastAsia="宋体"/>
                <w:lang w:val="en-US" w:eastAsia="zh-CN"/>
              </w:rPr>
            </w:pPr>
            <w:r>
              <w:rPr>
                <w:rFonts w:hint="eastAsia"/>
                <w:lang w:val="en-US" w:eastAsia="zh-CN"/>
              </w:rPr>
              <w:t>甘肃农业大学</w:t>
            </w:r>
          </w:p>
        </w:tc>
        <w:tc>
          <w:tcPr>
            <w:tcW w:w="4539" w:type="dxa"/>
            <w:noWrap w:val="0"/>
            <w:vAlign w:val="center"/>
          </w:tcPr>
          <w:p w14:paraId="1221A3E9">
            <w:pPr>
              <w:pStyle w:val="178"/>
              <w:jc w:val="left"/>
              <w:rPr>
                <w:rFonts w:hint="default" w:hAnsi="Times New Roman" w:cs="Times New Roman"/>
                <w:lang w:val="en-US" w:eastAsia="zh-CN"/>
              </w:rPr>
            </w:pPr>
            <w:r>
              <w:rPr>
                <w:rFonts w:hint="eastAsia" w:hAnsi="Times New Roman" w:cs="Times New Roman"/>
                <w:lang w:val="en-US" w:eastAsia="zh-CN"/>
              </w:rPr>
              <w:t>强抗寒性白菜型冬油菜品种</w:t>
            </w:r>
            <w:r>
              <w:rPr>
                <w:rFonts w:hint="eastAsia" w:cs="Times New Roman"/>
                <w:lang w:val="en-US" w:eastAsia="zh-CN"/>
              </w:rPr>
              <w:t>，株高111.7cm，分枝部位17.0，有效分枝数为8.0，主花序有效长度42.3cm，主花序有效结角数40.0个，全株有效结角数112.7个，角粒数20.2粒，角果长度5.66cm，千粒重3.1g，种子黑色，单株生产力10.3g。含油率45.09%。</w:t>
            </w:r>
          </w:p>
        </w:tc>
      </w:tr>
      <w:tr w14:paraId="60126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04" w:hRule="atLeast"/>
          <w:jc w:val="center"/>
        </w:trPr>
        <w:tc>
          <w:tcPr>
            <w:tcW w:w="1539" w:type="dxa"/>
            <w:noWrap w:val="0"/>
            <w:vAlign w:val="center"/>
          </w:tcPr>
          <w:p w14:paraId="56F463A2">
            <w:pPr>
              <w:pStyle w:val="178"/>
              <w:rPr>
                <w:rFonts w:hint="default" w:hAnsi="宋体" w:eastAsia="宋体"/>
                <w:szCs w:val="21"/>
                <w:lang w:val="en-US" w:eastAsia="zh-CN"/>
              </w:rPr>
            </w:pPr>
            <w:r>
              <w:rPr>
                <w:rFonts w:hint="eastAsia" w:hAnsi="宋体"/>
                <w:szCs w:val="21"/>
                <w:lang w:val="en-US" w:eastAsia="zh-CN"/>
              </w:rPr>
              <w:t>陇油12号</w:t>
            </w:r>
          </w:p>
        </w:tc>
        <w:tc>
          <w:tcPr>
            <w:tcW w:w="3262" w:type="dxa"/>
            <w:noWrap w:val="0"/>
            <w:vAlign w:val="center"/>
          </w:tcPr>
          <w:p w14:paraId="209A4204">
            <w:pPr>
              <w:pStyle w:val="178"/>
              <w:rPr>
                <w:rFonts w:hAnsi="宋体"/>
                <w:szCs w:val="21"/>
              </w:rPr>
            </w:pPr>
            <w:r>
              <w:rPr>
                <w:rFonts w:hint="eastAsia"/>
                <w:lang w:val="en-US" w:eastAsia="zh-CN"/>
              </w:rPr>
              <w:t>甘肃农业大学</w:t>
            </w:r>
          </w:p>
        </w:tc>
        <w:tc>
          <w:tcPr>
            <w:tcW w:w="4539" w:type="dxa"/>
            <w:noWrap w:val="0"/>
            <w:vAlign w:val="center"/>
          </w:tcPr>
          <w:p w14:paraId="5C86AA7A">
            <w:pPr>
              <w:pStyle w:val="178"/>
              <w:jc w:val="left"/>
              <w:rPr>
                <w:rFonts w:hint="eastAsia" w:cs="Times New Roman"/>
                <w:lang w:val="en-US" w:eastAsia="zh-CN"/>
              </w:rPr>
            </w:pPr>
            <w:r>
              <w:rPr>
                <w:rFonts w:hint="eastAsia" w:cs="Times New Roman"/>
                <w:lang w:val="en-US" w:eastAsia="zh-CN"/>
              </w:rPr>
              <w:t>白菜型冬油菜品种，苗期匍匐生长，内茎端生长部位低，凹陷，叶色深绿，苔茎叶全抱茎。株高114.0厘米，分枝部位23.7厘米，有效分枝数为7.5个，主花序有效长度44.4厘米，全株有效结角数 131.1个，角果长度6.0厘米，角粒数 21.16。种子黑色，千粒重3.2克，含油率42.62%，芥酸45.2%，硫苷156.96</w:t>
            </w:r>
            <w:r>
              <w:rPr>
                <w:rFonts w:hint="eastAsia" w:hAnsi="Times New Roman" w:cs="Times New Roman"/>
                <w:lang w:val="en-US" w:eastAsia="zh-CN"/>
              </w:rPr>
              <w:t>84.96µmol/g</w:t>
            </w:r>
            <w:r>
              <w:rPr>
                <w:rFonts w:hint="eastAsia" w:cs="Times New Roman"/>
                <w:lang w:val="en-US" w:eastAsia="zh-CN"/>
              </w:rPr>
              <w:t>。</w:t>
            </w:r>
          </w:p>
        </w:tc>
      </w:tr>
      <w:tr w14:paraId="5B79C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04" w:hRule="atLeast"/>
          <w:jc w:val="center"/>
        </w:trPr>
        <w:tc>
          <w:tcPr>
            <w:tcW w:w="1539" w:type="dxa"/>
            <w:noWrap w:val="0"/>
            <w:vAlign w:val="center"/>
          </w:tcPr>
          <w:p w14:paraId="591AA42F">
            <w:pPr>
              <w:pStyle w:val="178"/>
              <w:rPr>
                <w:rFonts w:hint="default" w:hAnsi="宋体"/>
                <w:szCs w:val="21"/>
                <w:lang w:val="en-US" w:eastAsia="zh-CN"/>
              </w:rPr>
            </w:pPr>
            <w:r>
              <w:rPr>
                <w:rFonts w:hint="eastAsia" w:hAnsi="宋体"/>
                <w:szCs w:val="21"/>
                <w:lang w:val="en-US" w:eastAsia="zh-CN"/>
              </w:rPr>
              <w:t>陇油15号</w:t>
            </w:r>
          </w:p>
        </w:tc>
        <w:tc>
          <w:tcPr>
            <w:tcW w:w="3262" w:type="dxa"/>
            <w:noWrap w:val="0"/>
            <w:vAlign w:val="center"/>
          </w:tcPr>
          <w:p w14:paraId="0093D38F">
            <w:pPr>
              <w:pStyle w:val="178"/>
              <w:rPr>
                <w:rFonts w:hint="eastAsia"/>
                <w:lang w:val="en-US" w:eastAsia="zh-CN"/>
              </w:rPr>
            </w:pPr>
            <w:r>
              <w:rPr>
                <w:rFonts w:hint="eastAsia"/>
                <w:lang w:val="en-US" w:eastAsia="zh-CN"/>
              </w:rPr>
              <w:t>甘肃农业大学</w:t>
            </w:r>
          </w:p>
        </w:tc>
        <w:tc>
          <w:tcPr>
            <w:tcW w:w="4539" w:type="dxa"/>
            <w:noWrap w:val="0"/>
            <w:vAlign w:val="center"/>
          </w:tcPr>
          <w:p w14:paraId="6E825992">
            <w:pPr>
              <w:pStyle w:val="178"/>
              <w:rPr>
                <w:rFonts w:hint="eastAsia" w:hAnsi="Times New Roman" w:cs="Times New Roman"/>
                <w:lang w:val="en-US" w:eastAsia="zh-CN"/>
              </w:rPr>
            </w:pPr>
            <w:r>
              <w:rPr>
                <w:rFonts w:hint="eastAsia" w:cs="Times New Roman"/>
                <w:lang w:val="en-US" w:eastAsia="zh-CN"/>
              </w:rPr>
              <w:t>白菜型冬油菜，强冬性，苗期匍匐生长，生长发育缓慢，叶色深，枯叶期早；内茎端生长点凹，冬前不现蕾，苔茎叶全抱茎。兰州越冬率85%左右。株高89.2cm，分枝部位3.4cm，主花序长38cm，角果长度4.77cm，单株有效角果122.6个，角粒数21.2个，千粒重3.3g，单株产量9.1g，含油率42.69%，芥酸41.79%，硫苷95.04</w:t>
            </w:r>
            <w:r>
              <w:rPr>
                <w:rFonts w:hint="eastAsia" w:hAnsi="Times New Roman" w:cs="Times New Roman"/>
                <w:lang w:val="en-US" w:eastAsia="zh-CN"/>
              </w:rPr>
              <w:t>µmol/g</w:t>
            </w:r>
            <w:r>
              <w:rPr>
                <w:rFonts w:hint="eastAsia" w:cs="Times New Roman"/>
                <w:lang w:val="en-US" w:eastAsia="zh-CN"/>
              </w:rPr>
              <w:t>。</w:t>
            </w:r>
          </w:p>
        </w:tc>
      </w:tr>
      <w:tr w14:paraId="652F3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1539" w:type="dxa"/>
            <w:noWrap w:val="0"/>
            <w:vAlign w:val="center"/>
          </w:tcPr>
          <w:p w14:paraId="40CFDE1A">
            <w:pPr>
              <w:pStyle w:val="178"/>
              <w:rPr>
                <w:rFonts w:hint="default" w:hAnsi="宋体" w:eastAsia="宋体"/>
                <w:szCs w:val="21"/>
                <w:lang w:val="en-US" w:eastAsia="zh-CN"/>
              </w:rPr>
            </w:pPr>
            <w:r>
              <w:rPr>
                <w:rFonts w:hint="eastAsia" w:hAnsi="宋体"/>
                <w:szCs w:val="21"/>
                <w:lang w:val="en-US" w:eastAsia="zh-CN"/>
              </w:rPr>
              <w:t>甘油20</w:t>
            </w:r>
          </w:p>
        </w:tc>
        <w:tc>
          <w:tcPr>
            <w:tcW w:w="3262" w:type="dxa"/>
            <w:noWrap w:val="0"/>
            <w:vAlign w:val="center"/>
          </w:tcPr>
          <w:p w14:paraId="2047CCC2">
            <w:pPr>
              <w:pStyle w:val="178"/>
              <w:rPr>
                <w:rFonts w:hint="default" w:hAnsi="宋体" w:eastAsia="宋体"/>
                <w:szCs w:val="21"/>
                <w:lang w:val="en-US" w:eastAsia="zh-CN"/>
              </w:rPr>
            </w:pPr>
            <w:r>
              <w:rPr>
                <w:rFonts w:hint="eastAsia"/>
                <w:lang w:val="en-US" w:eastAsia="zh-CN"/>
              </w:rPr>
              <w:t>甘肃农业大学</w:t>
            </w:r>
          </w:p>
        </w:tc>
        <w:tc>
          <w:tcPr>
            <w:tcW w:w="4539" w:type="dxa"/>
            <w:noWrap w:val="0"/>
            <w:vAlign w:val="center"/>
          </w:tcPr>
          <w:p w14:paraId="7220CC70">
            <w:pPr>
              <w:pStyle w:val="178"/>
              <w:jc w:val="left"/>
              <w:rPr>
                <w:rFonts w:hint="eastAsia" w:hAnsi="Times New Roman" w:eastAsia="宋体" w:cs="Times New Roman"/>
                <w:lang w:val="en-US" w:eastAsia="zh-CN"/>
              </w:rPr>
            </w:pPr>
            <w:r>
              <w:rPr>
                <w:rFonts w:hint="eastAsia" w:hAnsi="Times New Roman" w:cs="Times New Roman"/>
                <w:lang w:val="en-US" w:eastAsia="zh-CN"/>
              </w:rPr>
              <w:t>白菜型冬油菜，苗期匍匐生长，生长发育较缓慢，叶色深，枯叶期早；内茎端生长点凹陷，花芽分化迟，冬前不现蕾，春季返青快，苔茎叶全抱茎。中熟品种；株高111.0cm，分枝部位16.8cm，主花序长48.3cm，角果长度5.43cm，单株有效角果252.6个，角粒数22.4个，千粒重2.34g，含油量45.8%，芥酸39.34%，硫苷84.96µmol/g。</w:t>
            </w:r>
          </w:p>
        </w:tc>
      </w:tr>
      <w:tr w14:paraId="6F8E1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539" w:type="dxa"/>
            <w:noWrap w:val="0"/>
            <w:vAlign w:val="center"/>
          </w:tcPr>
          <w:p w14:paraId="7962CBFE">
            <w:pPr>
              <w:pStyle w:val="178"/>
              <w:rPr>
                <w:rFonts w:hint="default" w:hAnsi="宋体" w:eastAsia="宋体"/>
                <w:szCs w:val="21"/>
                <w:lang w:val="en-US" w:eastAsia="zh-CN"/>
              </w:rPr>
            </w:pPr>
            <w:r>
              <w:rPr>
                <w:rFonts w:hint="eastAsia" w:hAnsi="宋体"/>
                <w:szCs w:val="21"/>
                <w:lang w:val="en-US" w:eastAsia="zh-CN"/>
              </w:rPr>
              <w:t>甘油116</w:t>
            </w:r>
          </w:p>
        </w:tc>
        <w:tc>
          <w:tcPr>
            <w:tcW w:w="3262" w:type="dxa"/>
            <w:noWrap w:val="0"/>
            <w:vAlign w:val="center"/>
          </w:tcPr>
          <w:p w14:paraId="6A59523A">
            <w:pPr>
              <w:pStyle w:val="178"/>
              <w:rPr>
                <w:rFonts w:hint="eastAsia" w:hAnsi="宋体" w:cs="Times New Roman"/>
                <w:szCs w:val="21"/>
                <w:lang w:val="en-US" w:eastAsia="zh-CN"/>
              </w:rPr>
            </w:pPr>
            <w:r>
              <w:rPr>
                <w:rFonts w:hint="eastAsia"/>
                <w:lang w:val="en-US" w:eastAsia="zh-CN"/>
              </w:rPr>
              <w:t>甘肃农业大学</w:t>
            </w:r>
          </w:p>
        </w:tc>
        <w:tc>
          <w:tcPr>
            <w:tcW w:w="4539" w:type="dxa"/>
            <w:noWrap w:val="0"/>
            <w:vAlign w:val="center"/>
          </w:tcPr>
          <w:p w14:paraId="4B4C723B">
            <w:pPr>
              <w:pStyle w:val="178"/>
              <w:jc w:val="left"/>
              <w:rPr>
                <w:rFonts w:hint="eastAsia" w:hAnsi="Times New Roman" w:eastAsia="宋体" w:cs="Times New Roman"/>
                <w:lang w:val="en-US" w:eastAsia="zh-CN"/>
              </w:rPr>
            </w:pPr>
            <w:r>
              <w:rPr>
                <w:rFonts w:hint="eastAsia" w:hAnsi="Times New Roman" w:cs="Times New Roman"/>
                <w:lang w:val="en-US" w:eastAsia="zh-CN"/>
              </w:rPr>
              <w:t>白菜型冬油菜，中熟品种，株高106.2cm，分枝部位16.5cm，主花序长47.5cm，角果长度5.46cm，角粒数23.4个，单株有效角果194.5个，千粒重2.70g，单株产量10.5g，含油量47.30%，芥酸42.55%，硫苷111.38µmol/g。</w:t>
            </w:r>
          </w:p>
        </w:tc>
      </w:tr>
      <w:tr w14:paraId="39933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539" w:type="dxa"/>
            <w:noWrap w:val="0"/>
            <w:vAlign w:val="center"/>
          </w:tcPr>
          <w:p w14:paraId="079D7791">
            <w:pPr>
              <w:pStyle w:val="178"/>
              <w:rPr>
                <w:rFonts w:hint="default" w:hAnsi="宋体" w:eastAsia="宋体"/>
                <w:szCs w:val="21"/>
                <w:lang w:val="en-US" w:eastAsia="zh-CN"/>
              </w:rPr>
            </w:pPr>
            <w:r>
              <w:rPr>
                <w:rFonts w:hint="eastAsia" w:hAnsi="宋体"/>
                <w:szCs w:val="21"/>
                <w:lang w:val="en-US" w:eastAsia="zh-CN"/>
              </w:rPr>
              <w:t>甘油161</w:t>
            </w:r>
          </w:p>
        </w:tc>
        <w:tc>
          <w:tcPr>
            <w:tcW w:w="3262" w:type="dxa"/>
            <w:noWrap w:val="0"/>
            <w:vAlign w:val="center"/>
          </w:tcPr>
          <w:p w14:paraId="6A5F68E6">
            <w:pPr>
              <w:pStyle w:val="178"/>
              <w:rPr>
                <w:rFonts w:hint="eastAsia" w:hAnsi="宋体" w:cs="Times New Roman"/>
                <w:szCs w:val="21"/>
                <w:lang w:val="en-US" w:eastAsia="zh-CN"/>
              </w:rPr>
            </w:pPr>
            <w:r>
              <w:rPr>
                <w:rFonts w:hint="eastAsia"/>
                <w:lang w:val="en-US" w:eastAsia="zh-CN"/>
              </w:rPr>
              <w:t>甘肃农业大学</w:t>
            </w:r>
          </w:p>
        </w:tc>
        <w:tc>
          <w:tcPr>
            <w:tcW w:w="4539" w:type="dxa"/>
            <w:noWrap w:val="0"/>
            <w:vAlign w:val="center"/>
          </w:tcPr>
          <w:p w14:paraId="7FBC0AC3">
            <w:pPr>
              <w:pStyle w:val="178"/>
              <w:jc w:val="left"/>
              <w:rPr>
                <w:rFonts w:hint="eastAsia" w:hAnsi="Times New Roman" w:cs="Times New Roman"/>
                <w:lang w:val="en-US" w:eastAsia="zh-CN"/>
              </w:rPr>
            </w:pPr>
            <w:r>
              <w:rPr>
                <w:rFonts w:hint="eastAsia" w:hAnsi="Times New Roman" w:cs="Times New Roman"/>
                <w:lang w:val="en-US" w:eastAsia="zh-CN"/>
              </w:rPr>
              <w:t>白菜型冬油菜，中熟品种，株高129.9cm，分枝部位26.8cm，主花序长46.2cm，角果长度5.65cm，单株有效角果306.0个，角粒数29.2个，千粒重2.54g，单株产量22.7g。，含油量45.81%，芥酸0.68%，硫苷26.01µmol/g。</w:t>
            </w:r>
          </w:p>
        </w:tc>
      </w:tr>
      <w:tr w14:paraId="1432D6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539" w:type="dxa"/>
            <w:noWrap w:val="0"/>
            <w:vAlign w:val="center"/>
          </w:tcPr>
          <w:p w14:paraId="350C3107">
            <w:pPr>
              <w:pStyle w:val="178"/>
              <w:rPr>
                <w:rFonts w:hint="default" w:hAnsi="宋体"/>
                <w:szCs w:val="21"/>
                <w:lang w:val="en-US" w:eastAsia="zh-CN"/>
              </w:rPr>
            </w:pPr>
            <w:r>
              <w:rPr>
                <w:rFonts w:hint="eastAsia" w:hAnsi="宋体"/>
                <w:szCs w:val="21"/>
                <w:lang w:val="en-US" w:eastAsia="zh-CN"/>
              </w:rPr>
              <w:t>甘油022</w:t>
            </w:r>
          </w:p>
        </w:tc>
        <w:tc>
          <w:tcPr>
            <w:tcW w:w="3262" w:type="dxa"/>
            <w:noWrap w:val="0"/>
            <w:vAlign w:val="center"/>
          </w:tcPr>
          <w:p w14:paraId="2B94F5B0">
            <w:pPr>
              <w:pStyle w:val="178"/>
              <w:rPr>
                <w:rFonts w:hint="eastAsia"/>
                <w:lang w:val="en-US" w:eastAsia="zh-CN"/>
              </w:rPr>
            </w:pPr>
            <w:r>
              <w:rPr>
                <w:rFonts w:hint="eastAsia"/>
                <w:lang w:val="en-US" w:eastAsia="zh-CN"/>
              </w:rPr>
              <w:t>甘肃农业大学</w:t>
            </w:r>
          </w:p>
        </w:tc>
        <w:tc>
          <w:tcPr>
            <w:tcW w:w="4539" w:type="dxa"/>
            <w:noWrap w:val="0"/>
            <w:vAlign w:val="center"/>
          </w:tcPr>
          <w:p w14:paraId="1B0CF814">
            <w:pPr>
              <w:pStyle w:val="178"/>
              <w:jc w:val="left"/>
              <w:rPr>
                <w:rFonts w:hint="eastAsia" w:hAnsi="Times New Roman" w:cs="Times New Roman"/>
                <w:lang w:val="en-US" w:eastAsia="zh-CN"/>
              </w:rPr>
            </w:pPr>
            <w:r>
              <w:rPr>
                <w:rFonts w:hint="eastAsia" w:hAnsi="Times New Roman" w:cs="Times New Roman"/>
                <w:lang w:val="en-US" w:eastAsia="zh-CN"/>
              </w:rPr>
              <w:t>白菜型冬油菜，中熟品种，株高135.1cm，分枝部位27.5cm，主花序长53.4cm，一次有效分枝7.5个，角果长度5.55cm，角粒数27.0个，单株有效角果286.5个，千粒重3.27g，单株产量25.4g。该品种含油率46.01%，芥酸0.36%，硫苷28.24µmol/g。</w:t>
            </w:r>
          </w:p>
        </w:tc>
      </w:tr>
    </w:tbl>
    <w:p w14:paraId="2BC062EF">
      <w:pPr>
        <w:pStyle w:val="56"/>
        <w:ind w:left="0" w:leftChars="0" w:firstLine="0" w:firstLineChars="0"/>
        <w:rPr>
          <w:vanish w:val="0"/>
        </w:rPr>
      </w:pPr>
    </w:p>
    <w:p w14:paraId="4411CE4E">
      <w:pPr>
        <w:pStyle w:val="56"/>
        <w:rPr>
          <w:vanish w:val="0"/>
        </w:rPr>
      </w:pPr>
    </w:p>
    <w:p w14:paraId="1CBC4F6B">
      <w:pPr>
        <w:pStyle w:val="199"/>
        <w:rPr>
          <w:vanish w:val="0"/>
        </w:rPr>
      </w:pPr>
    </w:p>
    <w:p w14:paraId="7F3F9029">
      <w:pPr>
        <w:pStyle w:val="76"/>
        <w:spacing w:before="78" w:after="156"/>
      </w:pPr>
      <w:bookmarkStart w:id="96" w:name="_Toc20806"/>
      <w:r>
        <w:br w:type="textWrapping"/>
      </w:r>
      <w:bookmarkStart w:id="97" w:name="_Toc62479913"/>
      <w:bookmarkStart w:id="98" w:name="_Toc62479786"/>
      <w:bookmarkStart w:id="99" w:name="_Toc62479867"/>
      <w:bookmarkStart w:id="100" w:name="_Toc62479892"/>
      <w:r>
        <w:rPr>
          <w:rFonts w:hint="eastAsia"/>
        </w:rPr>
        <w:t>（资料性）</w:t>
      </w:r>
      <w:r>
        <w:br w:type="textWrapping"/>
      </w:r>
      <w:r>
        <w:rPr>
          <w:rFonts w:hint="eastAsia"/>
        </w:rPr>
        <w:t>油菜常见虫害和草害用药及使用方法</w:t>
      </w:r>
      <w:bookmarkEnd w:id="96"/>
      <w:bookmarkEnd w:id="97"/>
      <w:bookmarkEnd w:id="98"/>
      <w:bookmarkEnd w:id="99"/>
      <w:bookmarkEnd w:id="100"/>
    </w:p>
    <w:p w14:paraId="448A825C">
      <w:pPr>
        <w:pStyle w:val="56"/>
        <w:ind w:firstLine="420"/>
      </w:pPr>
      <w:r>
        <w:rPr>
          <w:rFonts w:hint="eastAsia"/>
        </w:rPr>
        <w:t>表</w:t>
      </w:r>
      <w:r>
        <w:rPr>
          <w:rFonts w:hint="eastAsia"/>
          <w:lang w:val="en-US" w:eastAsia="zh-CN"/>
        </w:rPr>
        <w:t>B</w:t>
      </w:r>
      <w:r>
        <w:t>.1</w:t>
      </w:r>
      <w:r>
        <w:rPr>
          <w:rFonts w:hint="eastAsia"/>
        </w:rPr>
        <w:t>给出了油菜常见虫害和草害用药及使用方法。</w:t>
      </w:r>
    </w:p>
    <w:p w14:paraId="10B7DADE">
      <w:pPr>
        <w:pStyle w:val="77"/>
        <w:numPr>
          <w:ilvl w:val="1"/>
          <w:numId w:val="0"/>
        </w:numPr>
        <w:spacing w:before="156" w:after="156"/>
        <w:ind w:left="420" w:leftChars="0"/>
        <w:jc w:val="center"/>
      </w:pPr>
      <w:r>
        <w:rPr>
          <w:rFonts w:hint="eastAsia"/>
          <w:lang w:val="en-US" w:eastAsia="zh-CN"/>
        </w:rPr>
        <w:t xml:space="preserve">表B.1 </w:t>
      </w:r>
      <w:r>
        <w:rPr>
          <w:rFonts w:hint="eastAsia"/>
        </w:rPr>
        <w:t>绿肥油菜常见虫害和草害用药及使用方法</w:t>
      </w:r>
    </w:p>
    <w:tbl>
      <w:tblPr>
        <w:tblStyle w:val="27"/>
        <w:tblW w:w="962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44"/>
        <w:gridCol w:w="1185"/>
        <w:gridCol w:w="1166"/>
        <w:gridCol w:w="1166"/>
        <w:gridCol w:w="1418"/>
        <w:gridCol w:w="913"/>
        <w:gridCol w:w="1166"/>
        <w:gridCol w:w="1466"/>
      </w:tblGrid>
      <w:tr w14:paraId="6F23E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44" w:type="dxa"/>
            <w:tcBorders>
              <w:top w:val="single" w:color="auto" w:sz="12" w:space="0"/>
              <w:left w:val="single" w:color="auto" w:sz="12" w:space="0"/>
              <w:bottom w:val="single" w:color="auto" w:sz="12" w:space="0"/>
              <w:right w:val="single" w:color="auto" w:sz="12" w:space="0"/>
            </w:tcBorders>
            <w:shd w:val="clear" w:color="auto" w:fill="auto"/>
            <w:vAlign w:val="center"/>
          </w:tcPr>
          <w:p w14:paraId="78542926">
            <w:pPr>
              <w:spacing w:line="240" w:lineRule="auto"/>
              <w:jc w:val="center"/>
              <w:rPr>
                <w:sz w:val="18"/>
              </w:rPr>
            </w:pPr>
            <w:r>
              <w:rPr>
                <w:rFonts w:hint="eastAsia" w:ascii="宋体" w:hAnsi="宋体"/>
                <w:color w:val="000000"/>
                <w:kern w:val="0"/>
                <w:sz w:val="18"/>
                <w:szCs w:val="15"/>
              </w:rPr>
              <w:t>防治对象</w:t>
            </w:r>
          </w:p>
        </w:tc>
        <w:tc>
          <w:tcPr>
            <w:tcW w:w="1185" w:type="dxa"/>
            <w:tcBorders>
              <w:top w:val="single" w:color="auto" w:sz="12" w:space="0"/>
              <w:left w:val="single" w:color="auto" w:sz="12" w:space="0"/>
              <w:bottom w:val="single" w:color="auto" w:sz="12" w:space="0"/>
              <w:right w:val="single" w:color="auto" w:sz="12" w:space="0"/>
            </w:tcBorders>
            <w:shd w:val="clear" w:color="auto" w:fill="auto"/>
            <w:vAlign w:val="center"/>
          </w:tcPr>
          <w:p w14:paraId="4FBB80FA">
            <w:pPr>
              <w:spacing w:line="240" w:lineRule="auto"/>
              <w:jc w:val="center"/>
              <w:rPr>
                <w:sz w:val="18"/>
              </w:rPr>
            </w:pPr>
            <w:r>
              <w:rPr>
                <w:rFonts w:hint="eastAsia" w:ascii="宋体" w:hAnsi="宋体"/>
                <w:color w:val="000000"/>
                <w:kern w:val="0"/>
                <w:sz w:val="18"/>
                <w:szCs w:val="15"/>
              </w:rPr>
              <w:t>防治时期</w:t>
            </w:r>
          </w:p>
        </w:tc>
        <w:tc>
          <w:tcPr>
            <w:tcW w:w="1166" w:type="dxa"/>
            <w:tcBorders>
              <w:top w:val="single" w:color="auto" w:sz="12" w:space="0"/>
              <w:left w:val="single" w:color="auto" w:sz="12" w:space="0"/>
              <w:bottom w:val="single" w:color="auto" w:sz="12" w:space="0"/>
              <w:right w:val="single" w:color="auto" w:sz="12" w:space="0"/>
            </w:tcBorders>
            <w:shd w:val="clear" w:color="auto" w:fill="auto"/>
            <w:vAlign w:val="center"/>
          </w:tcPr>
          <w:p w14:paraId="674FDF7E">
            <w:pPr>
              <w:widowControl/>
              <w:spacing w:line="240" w:lineRule="auto"/>
              <w:jc w:val="center"/>
              <w:rPr>
                <w:rFonts w:ascii="宋体" w:hAnsi="宋体"/>
                <w:color w:val="000000"/>
                <w:kern w:val="0"/>
                <w:sz w:val="18"/>
                <w:szCs w:val="15"/>
              </w:rPr>
            </w:pPr>
            <w:r>
              <w:rPr>
                <w:rFonts w:hint="eastAsia" w:ascii="宋体" w:hAnsi="宋体"/>
                <w:color w:val="000000"/>
                <w:kern w:val="0"/>
                <w:sz w:val="18"/>
                <w:szCs w:val="15"/>
              </w:rPr>
              <w:t>农药商品名</w:t>
            </w:r>
          </w:p>
        </w:tc>
        <w:tc>
          <w:tcPr>
            <w:tcW w:w="1166" w:type="dxa"/>
            <w:tcBorders>
              <w:top w:val="single" w:color="auto" w:sz="12" w:space="0"/>
              <w:left w:val="single" w:color="auto" w:sz="12" w:space="0"/>
              <w:bottom w:val="single" w:color="auto" w:sz="12" w:space="0"/>
              <w:right w:val="single" w:color="auto" w:sz="12" w:space="0"/>
            </w:tcBorders>
            <w:shd w:val="clear" w:color="auto" w:fill="auto"/>
            <w:vAlign w:val="center"/>
          </w:tcPr>
          <w:p w14:paraId="7E3DDB75">
            <w:pPr>
              <w:spacing w:line="240" w:lineRule="auto"/>
              <w:jc w:val="center"/>
              <w:rPr>
                <w:sz w:val="18"/>
              </w:rPr>
            </w:pPr>
            <w:r>
              <w:rPr>
                <w:rFonts w:hint="eastAsia" w:ascii="宋体" w:hAnsi="宋体"/>
                <w:color w:val="000000"/>
                <w:kern w:val="0"/>
                <w:sz w:val="18"/>
                <w:szCs w:val="15"/>
              </w:rPr>
              <w:t>剂型</w:t>
            </w:r>
          </w:p>
        </w:tc>
        <w:tc>
          <w:tcPr>
            <w:tcW w:w="1418" w:type="dxa"/>
            <w:tcBorders>
              <w:top w:val="single" w:color="auto" w:sz="12" w:space="0"/>
              <w:left w:val="single" w:color="auto" w:sz="12" w:space="0"/>
              <w:bottom w:val="single" w:color="auto" w:sz="12" w:space="0"/>
              <w:right w:val="single" w:color="auto" w:sz="12" w:space="0"/>
            </w:tcBorders>
            <w:shd w:val="clear" w:color="auto" w:fill="auto"/>
            <w:vAlign w:val="center"/>
          </w:tcPr>
          <w:p w14:paraId="26190CEB">
            <w:pPr>
              <w:widowControl/>
              <w:spacing w:line="240" w:lineRule="auto"/>
              <w:jc w:val="center"/>
              <w:rPr>
                <w:rFonts w:ascii="宋体" w:hAnsi="宋体"/>
                <w:color w:val="000000"/>
                <w:kern w:val="0"/>
                <w:sz w:val="18"/>
                <w:szCs w:val="15"/>
              </w:rPr>
            </w:pPr>
            <w:r>
              <w:rPr>
                <w:rFonts w:hint="eastAsia" w:ascii="宋体" w:hAnsi="宋体"/>
                <w:bCs/>
                <w:color w:val="000000"/>
                <w:kern w:val="0"/>
                <w:sz w:val="18"/>
                <w:szCs w:val="15"/>
              </w:rPr>
              <w:t>每667</w:t>
            </w:r>
            <w:r>
              <w:rPr>
                <w:rFonts w:ascii="MS Mincho" w:hAnsi="MS Mincho" w:eastAsia="MS Mincho" w:cs="MS Mincho"/>
              </w:rPr>
              <w:t> </w:t>
            </w:r>
            <w:r>
              <w:rPr>
                <w:rFonts w:hint="eastAsia" w:ascii="宋体" w:hAnsi="宋体"/>
                <w:bCs/>
                <w:color w:val="000000"/>
                <w:kern w:val="0"/>
                <w:sz w:val="18"/>
                <w:szCs w:val="15"/>
              </w:rPr>
              <w:t>m</w:t>
            </w:r>
            <w:r>
              <w:rPr>
                <w:rFonts w:hint="eastAsia" w:ascii="宋体" w:hAnsi="宋体"/>
                <w:bCs/>
                <w:color w:val="000000"/>
                <w:kern w:val="0"/>
                <w:sz w:val="18"/>
                <w:szCs w:val="15"/>
                <w:vertAlign w:val="superscript"/>
              </w:rPr>
              <w:t>2</w:t>
            </w:r>
            <w:r>
              <w:rPr>
                <w:rFonts w:hint="eastAsia" w:ascii="宋体" w:hAnsi="宋体"/>
                <w:color w:val="000000"/>
                <w:kern w:val="0"/>
                <w:sz w:val="18"/>
                <w:szCs w:val="15"/>
              </w:rPr>
              <w:t>施用量</w:t>
            </w:r>
          </w:p>
        </w:tc>
        <w:tc>
          <w:tcPr>
            <w:tcW w:w="913" w:type="dxa"/>
            <w:tcBorders>
              <w:top w:val="single" w:color="auto" w:sz="12" w:space="0"/>
              <w:left w:val="single" w:color="auto" w:sz="12" w:space="0"/>
              <w:bottom w:val="single" w:color="auto" w:sz="12" w:space="0"/>
              <w:right w:val="single" w:color="auto" w:sz="12" w:space="0"/>
            </w:tcBorders>
            <w:shd w:val="clear" w:color="auto" w:fill="auto"/>
            <w:vAlign w:val="center"/>
          </w:tcPr>
          <w:p w14:paraId="2A115F20">
            <w:pPr>
              <w:widowControl/>
              <w:spacing w:line="240" w:lineRule="auto"/>
              <w:jc w:val="center"/>
              <w:rPr>
                <w:rFonts w:ascii="宋体" w:hAnsi="宋体"/>
                <w:color w:val="000000"/>
                <w:kern w:val="0"/>
                <w:sz w:val="18"/>
                <w:szCs w:val="15"/>
              </w:rPr>
            </w:pPr>
            <w:r>
              <w:rPr>
                <w:rFonts w:hint="eastAsia" w:ascii="宋体" w:hAnsi="宋体"/>
                <w:color w:val="000000"/>
                <w:kern w:val="0"/>
                <w:sz w:val="18"/>
                <w:szCs w:val="15"/>
              </w:rPr>
              <w:t>使用方法</w:t>
            </w:r>
          </w:p>
        </w:tc>
        <w:tc>
          <w:tcPr>
            <w:tcW w:w="1166" w:type="dxa"/>
            <w:tcBorders>
              <w:top w:val="single" w:color="auto" w:sz="12" w:space="0"/>
              <w:left w:val="single" w:color="auto" w:sz="12" w:space="0"/>
              <w:bottom w:val="single" w:color="auto" w:sz="12" w:space="0"/>
              <w:right w:val="single" w:color="auto" w:sz="12" w:space="0"/>
            </w:tcBorders>
            <w:shd w:val="clear" w:color="auto" w:fill="auto"/>
            <w:vAlign w:val="center"/>
          </w:tcPr>
          <w:p w14:paraId="777B1A99">
            <w:pPr>
              <w:spacing w:line="240" w:lineRule="auto"/>
              <w:jc w:val="center"/>
              <w:rPr>
                <w:rFonts w:ascii="宋体" w:hAnsi="宋体"/>
                <w:color w:val="000000"/>
                <w:kern w:val="0"/>
                <w:sz w:val="18"/>
                <w:szCs w:val="15"/>
              </w:rPr>
            </w:pPr>
            <w:r>
              <w:rPr>
                <w:rFonts w:hint="eastAsia" w:ascii="宋体" w:hAnsi="宋体"/>
                <w:color w:val="000000"/>
                <w:kern w:val="0"/>
                <w:sz w:val="18"/>
                <w:szCs w:val="15"/>
              </w:rPr>
              <w:t>安全间隔期</w:t>
            </w:r>
          </w:p>
          <w:p w14:paraId="48B866D4">
            <w:pPr>
              <w:spacing w:line="240" w:lineRule="auto"/>
              <w:jc w:val="center"/>
              <w:rPr>
                <w:sz w:val="18"/>
              </w:rPr>
            </w:pPr>
            <w:r>
              <w:rPr>
                <w:rFonts w:hint="eastAsia" w:ascii="宋体" w:hAnsi="宋体"/>
                <w:bCs/>
                <w:color w:val="000000"/>
                <w:kern w:val="0"/>
                <w:sz w:val="18"/>
                <w:szCs w:val="15"/>
              </w:rPr>
              <w:t>(d)</w:t>
            </w:r>
          </w:p>
        </w:tc>
        <w:tc>
          <w:tcPr>
            <w:tcW w:w="1466" w:type="dxa"/>
            <w:tcBorders>
              <w:top w:val="single" w:color="auto" w:sz="12" w:space="0"/>
              <w:left w:val="single" w:color="auto" w:sz="12" w:space="0"/>
              <w:bottom w:val="single" w:color="auto" w:sz="12" w:space="0"/>
              <w:right w:val="single" w:color="auto" w:sz="12" w:space="0"/>
            </w:tcBorders>
            <w:shd w:val="clear" w:color="auto" w:fill="auto"/>
            <w:vAlign w:val="center"/>
          </w:tcPr>
          <w:p w14:paraId="654DA79C">
            <w:pPr>
              <w:spacing w:line="240" w:lineRule="auto"/>
              <w:jc w:val="center"/>
              <w:rPr>
                <w:sz w:val="18"/>
              </w:rPr>
            </w:pPr>
            <w:r>
              <w:rPr>
                <w:rFonts w:hint="eastAsia" w:ascii="宋体" w:hAnsi="宋体"/>
                <w:color w:val="000000"/>
                <w:kern w:val="0"/>
                <w:sz w:val="18"/>
                <w:szCs w:val="15"/>
              </w:rPr>
              <w:t>使用的国家标准</w:t>
            </w:r>
          </w:p>
        </w:tc>
      </w:tr>
      <w:tr w14:paraId="66A068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tcBorders>
              <w:top w:val="single" w:color="auto" w:sz="12" w:space="0"/>
              <w:left w:val="single" w:color="auto" w:sz="12" w:space="0"/>
              <w:bottom w:val="single" w:color="auto" w:sz="4" w:space="0"/>
            </w:tcBorders>
            <w:shd w:val="clear" w:color="auto" w:fill="auto"/>
            <w:vAlign w:val="center"/>
          </w:tcPr>
          <w:p w14:paraId="4F92FF7A">
            <w:pPr>
              <w:spacing w:line="240" w:lineRule="auto"/>
              <w:jc w:val="center"/>
              <w:rPr>
                <w:sz w:val="18"/>
              </w:rPr>
            </w:pPr>
            <w:r>
              <w:rPr>
                <w:rFonts w:hint="eastAsia" w:ascii="宋体" w:hAnsi="宋体"/>
                <w:color w:val="000000"/>
                <w:kern w:val="0"/>
                <w:sz w:val="18"/>
                <w:szCs w:val="15"/>
              </w:rPr>
              <w:t>杂草</w:t>
            </w:r>
          </w:p>
        </w:tc>
        <w:tc>
          <w:tcPr>
            <w:tcW w:w="1185" w:type="dxa"/>
            <w:vMerge w:val="restart"/>
            <w:tcBorders>
              <w:top w:val="single" w:color="auto" w:sz="12" w:space="0"/>
              <w:bottom w:val="single" w:color="auto" w:sz="4" w:space="0"/>
            </w:tcBorders>
            <w:shd w:val="clear" w:color="auto" w:fill="auto"/>
            <w:vAlign w:val="center"/>
          </w:tcPr>
          <w:p w14:paraId="555FC5C2">
            <w:pPr>
              <w:spacing w:line="240" w:lineRule="auto"/>
              <w:jc w:val="center"/>
              <w:rPr>
                <w:sz w:val="18"/>
              </w:rPr>
            </w:pPr>
            <w:r>
              <w:rPr>
                <w:rFonts w:hint="eastAsia" w:ascii="宋体" w:hAnsi="宋体"/>
                <w:color w:val="000000"/>
                <w:kern w:val="0"/>
                <w:sz w:val="18"/>
                <w:szCs w:val="15"/>
              </w:rPr>
              <w:t>播后</w:t>
            </w:r>
          </w:p>
        </w:tc>
        <w:tc>
          <w:tcPr>
            <w:tcW w:w="1166" w:type="dxa"/>
            <w:tcBorders>
              <w:top w:val="single" w:color="auto" w:sz="12" w:space="0"/>
              <w:bottom w:val="single" w:color="auto" w:sz="4" w:space="0"/>
            </w:tcBorders>
            <w:shd w:val="clear" w:color="auto" w:fill="auto"/>
            <w:vAlign w:val="center"/>
          </w:tcPr>
          <w:p w14:paraId="56328688">
            <w:pPr>
              <w:pStyle w:val="178"/>
            </w:pPr>
            <w:r>
              <w:rPr>
                <w:rFonts w:hint="eastAsia"/>
              </w:rPr>
              <w:t>乙草胺</w:t>
            </w:r>
          </w:p>
        </w:tc>
        <w:tc>
          <w:tcPr>
            <w:tcW w:w="1166" w:type="dxa"/>
            <w:tcBorders>
              <w:top w:val="single" w:color="auto" w:sz="12" w:space="0"/>
              <w:bottom w:val="single" w:color="auto" w:sz="4" w:space="0"/>
            </w:tcBorders>
            <w:shd w:val="clear" w:color="auto" w:fill="auto"/>
            <w:vAlign w:val="center"/>
          </w:tcPr>
          <w:p w14:paraId="6B5FEE30">
            <w:pPr>
              <w:pStyle w:val="178"/>
            </w:pPr>
            <w:r>
              <w:rPr>
                <w:rFonts w:hint="eastAsia"/>
              </w:rPr>
              <w:t>90%乳油</w:t>
            </w:r>
          </w:p>
        </w:tc>
        <w:tc>
          <w:tcPr>
            <w:tcW w:w="1418" w:type="dxa"/>
            <w:tcBorders>
              <w:top w:val="single" w:color="auto" w:sz="12" w:space="0"/>
              <w:bottom w:val="single" w:color="auto" w:sz="4" w:space="0"/>
            </w:tcBorders>
            <w:shd w:val="clear" w:color="auto" w:fill="auto"/>
            <w:vAlign w:val="center"/>
          </w:tcPr>
          <w:p w14:paraId="5A419F06">
            <w:pPr>
              <w:pStyle w:val="178"/>
            </w:pPr>
            <w:r>
              <w:rPr>
                <w:rFonts w:hint="eastAsia"/>
              </w:rPr>
              <w:t>40</w:t>
            </w:r>
            <w:r>
              <w:rPr>
                <w:rFonts w:ascii="MS Mincho" w:hAnsi="MS Mincho" w:eastAsia="MS Mincho" w:cs="MS Mincho"/>
              </w:rPr>
              <w:t> </w:t>
            </w:r>
            <w:r>
              <w:rPr>
                <w:rFonts w:hint="eastAsia"/>
              </w:rPr>
              <w:t>ml～60</w:t>
            </w:r>
            <w:r>
              <w:rPr>
                <w:rFonts w:ascii="MS Mincho" w:hAnsi="MS Mincho" w:eastAsia="MS Mincho" w:cs="MS Mincho"/>
              </w:rPr>
              <w:t> </w:t>
            </w:r>
            <w:r>
              <w:rPr>
                <w:rFonts w:hint="eastAsia"/>
              </w:rPr>
              <w:t>ml</w:t>
            </w:r>
          </w:p>
        </w:tc>
        <w:tc>
          <w:tcPr>
            <w:tcW w:w="913" w:type="dxa"/>
            <w:tcBorders>
              <w:top w:val="single" w:color="auto" w:sz="12" w:space="0"/>
              <w:bottom w:val="single" w:color="auto" w:sz="4" w:space="0"/>
            </w:tcBorders>
            <w:shd w:val="clear" w:color="auto" w:fill="auto"/>
            <w:vAlign w:val="center"/>
          </w:tcPr>
          <w:p w14:paraId="227E7F20">
            <w:pPr>
              <w:pStyle w:val="178"/>
            </w:pPr>
            <w:r>
              <w:rPr>
                <w:rFonts w:hint="eastAsia"/>
              </w:rPr>
              <w:t>土壤喷雾</w:t>
            </w:r>
          </w:p>
        </w:tc>
        <w:tc>
          <w:tcPr>
            <w:tcW w:w="1166" w:type="dxa"/>
            <w:tcBorders>
              <w:top w:val="single" w:color="auto" w:sz="12" w:space="0"/>
              <w:bottom w:val="single" w:color="auto" w:sz="4" w:space="0"/>
            </w:tcBorders>
            <w:shd w:val="clear" w:color="auto" w:fill="auto"/>
            <w:vAlign w:val="center"/>
          </w:tcPr>
          <w:p w14:paraId="69DFAF36">
            <w:pPr>
              <w:pStyle w:val="178"/>
            </w:pPr>
            <w:r>
              <w:t>-</w:t>
            </w:r>
          </w:p>
        </w:tc>
        <w:tc>
          <w:tcPr>
            <w:tcW w:w="1466" w:type="dxa"/>
            <w:tcBorders>
              <w:top w:val="single" w:color="auto" w:sz="12" w:space="0"/>
              <w:bottom w:val="single" w:color="auto" w:sz="4" w:space="0"/>
              <w:right w:val="single" w:color="auto" w:sz="12" w:space="0"/>
            </w:tcBorders>
            <w:shd w:val="clear" w:color="auto" w:fill="auto"/>
            <w:vAlign w:val="center"/>
          </w:tcPr>
          <w:p w14:paraId="45519A7C">
            <w:pPr>
              <w:spacing w:line="240" w:lineRule="auto"/>
              <w:jc w:val="center"/>
              <w:rPr>
                <w:sz w:val="18"/>
              </w:rPr>
            </w:pPr>
            <w:r>
              <w:rPr>
                <w:rFonts w:hint="eastAsia" w:ascii="宋体" w:hAnsi="宋体"/>
                <w:color w:val="000000"/>
                <w:sz w:val="18"/>
                <w:szCs w:val="15"/>
              </w:rPr>
              <w:t>GB/T 8321.8</w:t>
            </w:r>
          </w:p>
        </w:tc>
      </w:tr>
      <w:tr w14:paraId="793DE5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tcBorders>
              <w:top w:val="single" w:color="auto" w:sz="4" w:space="0"/>
              <w:left w:val="single" w:color="auto" w:sz="12" w:space="0"/>
              <w:bottom w:val="single" w:color="auto" w:sz="4" w:space="0"/>
            </w:tcBorders>
            <w:shd w:val="clear" w:color="auto" w:fill="auto"/>
            <w:vAlign w:val="center"/>
          </w:tcPr>
          <w:p w14:paraId="32C88998">
            <w:pPr>
              <w:pStyle w:val="178"/>
            </w:pPr>
          </w:p>
        </w:tc>
        <w:tc>
          <w:tcPr>
            <w:tcW w:w="1185" w:type="dxa"/>
            <w:vMerge w:val="continue"/>
            <w:tcBorders>
              <w:top w:val="single" w:color="auto" w:sz="4" w:space="0"/>
            </w:tcBorders>
            <w:shd w:val="clear" w:color="auto" w:fill="auto"/>
            <w:vAlign w:val="center"/>
          </w:tcPr>
          <w:p w14:paraId="5253557F">
            <w:pPr>
              <w:pStyle w:val="178"/>
            </w:pPr>
          </w:p>
        </w:tc>
        <w:tc>
          <w:tcPr>
            <w:tcW w:w="1166" w:type="dxa"/>
            <w:tcBorders>
              <w:top w:val="single" w:color="auto" w:sz="4" w:space="0"/>
            </w:tcBorders>
            <w:shd w:val="clear" w:color="auto" w:fill="auto"/>
            <w:vAlign w:val="center"/>
          </w:tcPr>
          <w:p w14:paraId="6203DBB3">
            <w:pPr>
              <w:pStyle w:val="178"/>
            </w:pPr>
            <w:r>
              <w:rPr>
                <w:rFonts w:hint="eastAsia"/>
              </w:rPr>
              <w:t>精异丙甲草胺</w:t>
            </w:r>
          </w:p>
        </w:tc>
        <w:tc>
          <w:tcPr>
            <w:tcW w:w="1166" w:type="dxa"/>
            <w:tcBorders>
              <w:top w:val="single" w:color="auto" w:sz="4" w:space="0"/>
            </w:tcBorders>
            <w:shd w:val="clear" w:color="auto" w:fill="auto"/>
            <w:vAlign w:val="center"/>
          </w:tcPr>
          <w:p w14:paraId="491057D0">
            <w:pPr>
              <w:pStyle w:val="178"/>
            </w:pPr>
            <w:r>
              <w:rPr>
                <w:rFonts w:hint="eastAsia"/>
              </w:rPr>
              <w:t>96%乳油</w:t>
            </w:r>
          </w:p>
        </w:tc>
        <w:tc>
          <w:tcPr>
            <w:tcW w:w="1418" w:type="dxa"/>
            <w:tcBorders>
              <w:top w:val="single" w:color="auto" w:sz="4" w:space="0"/>
            </w:tcBorders>
            <w:shd w:val="clear" w:color="auto" w:fill="auto"/>
            <w:vAlign w:val="center"/>
          </w:tcPr>
          <w:p w14:paraId="1305B516">
            <w:pPr>
              <w:pStyle w:val="178"/>
            </w:pPr>
            <w:r>
              <w:rPr>
                <w:rFonts w:hint="eastAsia"/>
              </w:rPr>
              <w:t>70</w:t>
            </w:r>
            <w:r>
              <w:rPr>
                <w:rFonts w:ascii="MS Mincho" w:hAnsi="MS Mincho" w:eastAsia="MS Mincho" w:cs="MS Mincho"/>
              </w:rPr>
              <w:t> </w:t>
            </w:r>
            <w:r>
              <w:rPr>
                <w:rFonts w:hint="eastAsia"/>
              </w:rPr>
              <w:t>ml～80</w:t>
            </w:r>
            <w:r>
              <w:rPr>
                <w:rFonts w:ascii="MS Mincho" w:hAnsi="MS Mincho" w:eastAsia="MS Mincho" w:cs="MS Mincho"/>
              </w:rPr>
              <w:t> </w:t>
            </w:r>
            <w:r>
              <w:rPr>
                <w:rFonts w:hint="eastAsia"/>
              </w:rPr>
              <w:t>ml</w:t>
            </w:r>
          </w:p>
        </w:tc>
        <w:tc>
          <w:tcPr>
            <w:tcW w:w="913" w:type="dxa"/>
            <w:tcBorders>
              <w:top w:val="single" w:color="auto" w:sz="4" w:space="0"/>
            </w:tcBorders>
            <w:shd w:val="clear" w:color="auto" w:fill="auto"/>
            <w:vAlign w:val="center"/>
          </w:tcPr>
          <w:p w14:paraId="5D00BD65">
            <w:pPr>
              <w:pStyle w:val="178"/>
            </w:pPr>
            <w:r>
              <w:rPr>
                <w:rFonts w:hint="eastAsia"/>
              </w:rPr>
              <w:t>土壤喷雾</w:t>
            </w:r>
          </w:p>
        </w:tc>
        <w:tc>
          <w:tcPr>
            <w:tcW w:w="1166" w:type="dxa"/>
            <w:tcBorders>
              <w:top w:val="single" w:color="auto" w:sz="4" w:space="0"/>
            </w:tcBorders>
            <w:shd w:val="clear" w:color="auto" w:fill="auto"/>
            <w:vAlign w:val="center"/>
          </w:tcPr>
          <w:p w14:paraId="006EB292">
            <w:pPr>
              <w:pStyle w:val="178"/>
            </w:pPr>
            <w:r>
              <w:t>-</w:t>
            </w:r>
          </w:p>
        </w:tc>
        <w:tc>
          <w:tcPr>
            <w:tcW w:w="1466" w:type="dxa"/>
            <w:tcBorders>
              <w:top w:val="single" w:color="auto" w:sz="4" w:space="0"/>
              <w:right w:val="single" w:color="auto" w:sz="12" w:space="0"/>
            </w:tcBorders>
            <w:shd w:val="clear" w:color="auto" w:fill="auto"/>
            <w:vAlign w:val="center"/>
          </w:tcPr>
          <w:p w14:paraId="31C54D94">
            <w:pPr>
              <w:pStyle w:val="178"/>
            </w:pPr>
            <w:r>
              <w:rPr>
                <w:rFonts w:hint="eastAsia" w:hAnsi="宋体"/>
                <w:color w:val="000000"/>
                <w:szCs w:val="15"/>
              </w:rPr>
              <w:t>GB/T 8321.8</w:t>
            </w:r>
          </w:p>
        </w:tc>
      </w:tr>
      <w:tr w14:paraId="43CDBD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tcBorders>
              <w:top w:val="single" w:color="auto" w:sz="4" w:space="0"/>
              <w:left w:val="single" w:color="auto" w:sz="12" w:space="0"/>
            </w:tcBorders>
            <w:shd w:val="clear" w:color="auto" w:fill="auto"/>
            <w:vAlign w:val="center"/>
          </w:tcPr>
          <w:p w14:paraId="569F460A">
            <w:pPr>
              <w:pStyle w:val="178"/>
            </w:pPr>
            <w:r>
              <w:rPr>
                <w:rFonts w:hint="eastAsia"/>
              </w:rPr>
              <w:t>一年生禾本科杂草</w:t>
            </w:r>
          </w:p>
        </w:tc>
        <w:tc>
          <w:tcPr>
            <w:tcW w:w="1185" w:type="dxa"/>
            <w:shd w:val="clear" w:color="auto" w:fill="auto"/>
            <w:vAlign w:val="center"/>
          </w:tcPr>
          <w:p w14:paraId="374EC91F">
            <w:pPr>
              <w:pStyle w:val="178"/>
            </w:pPr>
            <w:r>
              <w:rPr>
                <w:rFonts w:hint="eastAsia"/>
              </w:rPr>
              <w:t>苗期，杂草3叶～4叶期</w:t>
            </w:r>
          </w:p>
        </w:tc>
        <w:tc>
          <w:tcPr>
            <w:tcW w:w="1166" w:type="dxa"/>
            <w:shd w:val="clear" w:color="auto" w:fill="auto"/>
            <w:vAlign w:val="center"/>
          </w:tcPr>
          <w:p w14:paraId="64867BC8">
            <w:pPr>
              <w:pStyle w:val="178"/>
            </w:pPr>
            <w:r>
              <w:rPr>
                <w:rFonts w:hint="eastAsia"/>
              </w:rPr>
              <w:t>氟吡甲禾灵</w:t>
            </w:r>
          </w:p>
        </w:tc>
        <w:tc>
          <w:tcPr>
            <w:tcW w:w="1166" w:type="dxa"/>
            <w:shd w:val="clear" w:color="auto" w:fill="auto"/>
            <w:vAlign w:val="center"/>
          </w:tcPr>
          <w:p w14:paraId="1647997A">
            <w:pPr>
              <w:pStyle w:val="178"/>
            </w:pPr>
            <w:r>
              <w:rPr>
                <w:rFonts w:hint="eastAsia"/>
              </w:rPr>
              <w:t>12.6%乳油（盖草能）</w:t>
            </w:r>
          </w:p>
        </w:tc>
        <w:tc>
          <w:tcPr>
            <w:tcW w:w="1418" w:type="dxa"/>
            <w:shd w:val="clear" w:color="auto" w:fill="auto"/>
            <w:vAlign w:val="center"/>
          </w:tcPr>
          <w:p w14:paraId="53D78D6C">
            <w:pPr>
              <w:pStyle w:val="178"/>
            </w:pPr>
            <w:r>
              <w:rPr>
                <w:rFonts w:hint="eastAsia"/>
              </w:rPr>
              <w:t>30</w:t>
            </w:r>
            <w:r>
              <w:rPr>
                <w:rFonts w:ascii="MS Mincho" w:hAnsi="MS Mincho" w:eastAsia="MS Mincho" w:cs="MS Mincho"/>
              </w:rPr>
              <w:t> </w:t>
            </w:r>
            <w:r>
              <w:rPr>
                <w:rFonts w:hint="eastAsia"/>
              </w:rPr>
              <w:t>ml～40</w:t>
            </w:r>
            <w:r>
              <w:rPr>
                <w:rFonts w:ascii="MS Mincho" w:hAnsi="MS Mincho" w:eastAsia="MS Mincho" w:cs="MS Mincho"/>
              </w:rPr>
              <w:t> </w:t>
            </w:r>
            <w:r>
              <w:rPr>
                <w:rFonts w:hint="eastAsia"/>
              </w:rPr>
              <w:t>ml</w:t>
            </w:r>
          </w:p>
        </w:tc>
        <w:tc>
          <w:tcPr>
            <w:tcW w:w="913" w:type="dxa"/>
            <w:shd w:val="clear" w:color="auto" w:fill="auto"/>
            <w:vAlign w:val="center"/>
          </w:tcPr>
          <w:p w14:paraId="0F59599B">
            <w:pPr>
              <w:pStyle w:val="178"/>
            </w:pPr>
            <w:r>
              <w:rPr>
                <w:rFonts w:hint="eastAsia"/>
              </w:rPr>
              <w:t>喷雾</w:t>
            </w:r>
          </w:p>
        </w:tc>
        <w:tc>
          <w:tcPr>
            <w:tcW w:w="1166" w:type="dxa"/>
            <w:shd w:val="clear" w:color="auto" w:fill="auto"/>
            <w:vAlign w:val="center"/>
          </w:tcPr>
          <w:p w14:paraId="71CF3BF7">
            <w:pPr>
              <w:pStyle w:val="178"/>
            </w:pPr>
            <w:r>
              <w:t>-</w:t>
            </w:r>
          </w:p>
        </w:tc>
        <w:tc>
          <w:tcPr>
            <w:tcW w:w="1466" w:type="dxa"/>
            <w:tcBorders>
              <w:right w:val="single" w:color="auto" w:sz="12" w:space="0"/>
            </w:tcBorders>
            <w:shd w:val="clear" w:color="auto" w:fill="auto"/>
            <w:vAlign w:val="center"/>
          </w:tcPr>
          <w:p w14:paraId="363C5676">
            <w:pPr>
              <w:spacing w:line="240" w:lineRule="auto"/>
              <w:jc w:val="center"/>
              <w:rPr>
                <w:sz w:val="18"/>
              </w:rPr>
            </w:pPr>
            <w:r>
              <w:rPr>
                <w:rFonts w:hint="eastAsia" w:ascii="宋体" w:hAnsi="宋体"/>
                <w:color w:val="000000"/>
                <w:sz w:val="18"/>
                <w:szCs w:val="15"/>
              </w:rPr>
              <w:t>GB/T 8321.5</w:t>
            </w:r>
          </w:p>
        </w:tc>
      </w:tr>
      <w:tr w14:paraId="0712F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tcBorders>
              <w:left w:val="single" w:color="auto" w:sz="12" w:space="0"/>
            </w:tcBorders>
            <w:shd w:val="clear" w:color="auto" w:fill="auto"/>
            <w:vAlign w:val="center"/>
          </w:tcPr>
          <w:p w14:paraId="46F3EEF2">
            <w:pPr>
              <w:pStyle w:val="178"/>
            </w:pPr>
          </w:p>
        </w:tc>
        <w:tc>
          <w:tcPr>
            <w:tcW w:w="1185" w:type="dxa"/>
            <w:shd w:val="clear" w:color="auto" w:fill="auto"/>
            <w:vAlign w:val="center"/>
          </w:tcPr>
          <w:p w14:paraId="17228F1C">
            <w:pPr>
              <w:pStyle w:val="178"/>
            </w:pPr>
            <w:r>
              <w:rPr>
                <w:rFonts w:hint="eastAsia"/>
              </w:rPr>
              <w:t>杂草2叶～4叶期</w:t>
            </w:r>
          </w:p>
        </w:tc>
        <w:tc>
          <w:tcPr>
            <w:tcW w:w="1166" w:type="dxa"/>
            <w:shd w:val="clear" w:color="auto" w:fill="auto"/>
            <w:vAlign w:val="center"/>
          </w:tcPr>
          <w:p w14:paraId="23D8ECCE">
            <w:pPr>
              <w:pStyle w:val="178"/>
            </w:pPr>
            <w:r>
              <w:rPr>
                <w:rFonts w:hint="eastAsia"/>
              </w:rPr>
              <w:t>精喹禾灵</w:t>
            </w:r>
          </w:p>
        </w:tc>
        <w:tc>
          <w:tcPr>
            <w:tcW w:w="1166" w:type="dxa"/>
            <w:shd w:val="clear" w:color="auto" w:fill="auto"/>
            <w:vAlign w:val="center"/>
          </w:tcPr>
          <w:p w14:paraId="54016730">
            <w:pPr>
              <w:pStyle w:val="178"/>
            </w:pPr>
            <w:r>
              <w:rPr>
                <w:rFonts w:hint="eastAsia"/>
              </w:rPr>
              <w:t>5%乳油（精禾草克</w:t>
            </w:r>
          </w:p>
        </w:tc>
        <w:tc>
          <w:tcPr>
            <w:tcW w:w="1418" w:type="dxa"/>
            <w:shd w:val="clear" w:color="auto" w:fill="auto"/>
            <w:vAlign w:val="center"/>
          </w:tcPr>
          <w:p w14:paraId="54E079CC">
            <w:pPr>
              <w:pStyle w:val="178"/>
            </w:pPr>
            <w:r>
              <w:rPr>
                <w:rFonts w:hint="eastAsia"/>
              </w:rPr>
              <w:t>30</w:t>
            </w:r>
            <w:r>
              <w:rPr>
                <w:rFonts w:ascii="MS Mincho" w:hAnsi="MS Mincho" w:eastAsia="MS Mincho" w:cs="MS Mincho"/>
              </w:rPr>
              <w:t> </w:t>
            </w:r>
            <w:r>
              <w:rPr>
                <w:rFonts w:hint="eastAsia"/>
              </w:rPr>
              <w:t>ml～40</w:t>
            </w:r>
            <w:r>
              <w:rPr>
                <w:rFonts w:ascii="MS Mincho" w:hAnsi="MS Mincho" w:eastAsia="MS Mincho" w:cs="MS Mincho"/>
              </w:rPr>
              <w:t> </w:t>
            </w:r>
            <w:r>
              <w:rPr>
                <w:rFonts w:hint="eastAsia"/>
              </w:rPr>
              <w:t>ml</w:t>
            </w:r>
          </w:p>
        </w:tc>
        <w:tc>
          <w:tcPr>
            <w:tcW w:w="913" w:type="dxa"/>
            <w:shd w:val="clear" w:color="auto" w:fill="auto"/>
            <w:vAlign w:val="center"/>
          </w:tcPr>
          <w:p w14:paraId="42AD6D63">
            <w:pPr>
              <w:pStyle w:val="178"/>
            </w:pPr>
            <w:r>
              <w:rPr>
                <w:rFonts w:hint="eastAsia"/>
              </w:rPr>
              <w:t>喷雾</w:t>
            </w:r>
          </w:p>
        </w:tc>
        <w:tc>
          <w:tcPr>
            <w:tcW w:w="1166" w:type="dxa"/>
            <w:shd w:val="clear" w:color="auto" w:fill="auto"/>
            <w:vAlign w:val="center"/>
          </w:tcPr>
          <w:p w14:paraId="124A467C">
            <w:pPr>
              <w:pStyle w:val="178"/>
            </w:pPr>
            <w:r>
              <w:rPr>
                <w:rFonts w:hint="eastAsia"/>
              </w:rPr>
              <w:t>1</w:t>
            </w:r>
            <w:r>
              <w:t>0</w:t>
            </w:r>
          </w:p>
        </w:tc>
        <w:tc>
          <w:tcPr>
            <w:tcW w:w="1466" w:type="dxa"/>
            <w:tcBorders>
              <w:right w:val="single" w:color="auto" w:sz="12" w:space="0"/>
            </w:tcBorders>
            <w:shd w:val="clear" w:color="auto" w:fill="auto"/>
            <w:vAlign w:val="center"/>
          </w:tcPr>
          <w:p w14:paraId="467EBC84">
            <w:pPr>
              <w:spacing w:line="240" w:lineRule="auto"/>
              <w:jc w:val="center"/>
              <w:rPr>
                <w:sz w:val="18"/>
              </w:rPr>
            </w:pPr>
            <w:r>
              <w:rPr>
                <w:rFonts w:hint="eastAsia" w:ascii="宋体" w:hAnsi="宋体"/>
                <w:color w:val="000000"/>
                <w:sz w:val="18"/>
                <w:szCs w:val="15"/>
              </w:rPr>
              <w:t>GB/T 8321.5</w:t>
            </w:r>
          </w:p>
        </w:tc>
      </w:tr>
      <w:tr w14:paraId="3FDF6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tcBorders>
              <w:left w:val="single" w:color="auto" w:sz="12" w:space="0"/>
            </w:tcBorders>
            <w:shd w:val="clear" w:color="auto" w:fill="auto"/>
            <w:vAlign w:val="center"/>
          </w:tcPr>
          <w:p w14:paraId="7E0DE156">
            <w:pPr>
              <w:pStyle w:val="178"/>
            </w:pPr>
          </w:p>
        </w:tc>
        <w:tc>
          <w:tcPr>
            <w:tcW w:w="1185" w:type="dxa"/>
            <w:shd w:val="clear" w:color="auto" w:fill="auto"/>
            <w:vAlign w:val="center"/>
          </w:tcPr>
          <w:p w14:paraId="758A8C70">
            <w:pPr>
              <w:pStyle w:val="178"/>
            </w:pPr>
            <w:r>
              <w:rPr>
                <w:rFonts w:hint="eastAsia"/>
              </w:rPr>
              <w:t>油菜3叶～5叶期</w:t>
            </w:r>
          </w:p>
        </w:tc>
        <w:tc>
          <w:tcPr>
            <w:tcW w:w="1166" w:type="dxa"/>
            <w:shd w:val="clear" w:color="auto" w:fill="auto"/>
            <w:vAlign w:val="center"/>
          </w:tcPr>
          <w:p w14:paraId="5F3A899D">
            <w:pPr>
              <w:pStyle w:val="178"/>
            </w:pPr>
            <w:r>
              <w:rPr>
                <w:rFonts w:hint="eastAsia"/>
              </w:rPr>
              <w:t>精吡氯乙草灵</w:t>
            </w:r>
          </w:p>
        </w:tc>
        <w:tc>
          <w:tcPr>
            <w:tcW w:w="1166" w:type="dxa"/>
            <w:shd w:val="clear" w:color="auto" w:fill="auto"/>
            <w:vAlign w:val="center"/>
          </w:tcPr>
          <w:p w14:paraId="63BE3FA6">
            <w:pPr>
              <w:pStyle w:val="178"/>
            </w:pPr>
            <w:r>
              <w:rPr>
                <w:rFonts w:hint="eastAsia"/>
              </w:rPr>
              <w:t>10.8%乳油（高效盖草能）</w:t>
            </w:r>
          </w:p>
        </w:tc>
        <w:tc>
          <w:tcPr>
            <w:tcW w:w="1418" w:type="dxa"/>
            <w:shd w:val="clear" w:color="auto" w:fill="auto"/>
            <w:vAlign w:val="center"/>
          </w:tcPr>
          <w:p w14:paraId="149CA790">
            <w:pPr>
              <w:pStyle w:val="178"/>
            </w:pPr>
            <w:r>
              <w:rPr>
                <w:rFonts w:hint="eastAsia"/>
              </w:rPr>
              <w:t>30</w:t>
            </w:r>
            <w:r>
              <w:rPr>
                <w:rFonts w:ascii="MS Mincho" w:hAnsi="MS Mincho" w:eastAsia="MS Mincho" w:cs="MS Mincho"/>
              </w:rPr>
              <w:t> </w:t>
            </w:r>
            <w:r>
              <w:rPr>
                <w:rFonts w:hint="eastAsia"/>
              </w:rPr>
              <w:t>ml～40</w:t>
            </w:r>
            <w:r>
              <w:rPr>
                <w:rFonts w:ascii="MS Mincho" w:hAnsi="MS Mincho" w:eastAsia="MS Mincho" w:cs="MS Mincho"/>
              </w:rPr>
              <w:t> </w:t>
            </w:r>
            <w:r>
              <w:rPr>
                <w:rFonts w:hint="eastAsia"/>
              </w:rPr>
              <w:t>ml</w:t>
            </w:r>
          </w:p>
        </w:tc>
        <w:tc>
          <w:tcPr>
            <w:tcW w:w="913" w:type="dxa"/>
            <w:shd w:val="clear" w:color="auto" w:fill="auto"/>
            <w:vAlign w:val="center"/>
          </w:tcPr>
          <w:p w14:paraId="58D4F423">
            <w:pPr>
              <w:pStyle w:val="178"/>
            </w:pPr>
            <w:r>
              <w:rPr>
                <w:rFonts w:hint="eastAsia"/>
              </w:rPr>
              <w:t>喷雾</w:t>
            </w:r>
          </w:p>
        </w:tc>
        <w:tc>
          <w:tcPr>
            <w:tcW w:w="1166" w:type="dxa"/>
            <w:shd w:val="clear" w:color="auto" w:fill="auto"/>
            <w:vAlign w:val="center"/>
          </w:tcPr>
          <w:p w14:paraId="7CA6BEB9">
            <w:pPr>
              <w:pStyle w:val="178"/>
            </w:pPr>
            <w:r>
              <w:t>-</w:t>
            </w:r>
          </w:p>
        </w:tc>
        <w:tc>
          <w:tcPr>
            <w:tcW w:w="1466" w:type="dxa"/>
            <w:tcBorders>
              <w:right w:val="single" w:color="auto" w:sz="12" w:space="0"/>
            </w:tcBorders>
            <w:shd w:val="clear" w:color="auto" w:fill="auto"/>
            <w:vAlign w:val="center"/>
          </w:tcPr>
          <w:p w14:paraId="23EFC182">
            <w:pPr>
              <w:spacing w:line="240" w:lineRule="auto"/>
              <w:jc w:val="center"/>
              <w:rPr>
                <w:sz w:val="18"/>
              </w:rPr>
            </w:pPr>
            <w:r>
              <w:rPr>
                <w:rFonts w:hint="eastAsia" w:ascii="宋体" w:hAnsi="宋体"/>
                <w:color w:val="000000"/>
                <w:sz w:val="18"/>
                <w:szCs w:val="15"/>
              </w:rPr>
              <w:t>GB/T 8321.6</w:t>
            </w:r>
          </w:p>
        </w:tc>
      </w:tr>
      <w:tr w14:paraId="4A8FD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tcBorders>
              <w:left w:val="single" w:color="auto" w:sz="12" w:space="0"/>
            </w:tcBorders>
            <w:shd w:val="clear" w:color="auto" w:fill="auto"/>
            <w:vAlign w:val="center"/>
          </w:tcPr>
          <w:p w14:paraId="796FD01F">
            <w:pPr>
              <w:pStyle w:val="178"/>
            </w:pPr>
            <w:r>
              <w:rPr>
                <w:rFonts w:hint="eastAsia"/>
              </w:rPr>
              <w:t>阔叶类杂草</w:t>
            </w:r>
          </w:p>
        </w:tc>
        <w:tc>
          <w:tcPr>
            <w:tcW w:w="1185" w:type="dxa"/>
            <w:shd w:val="clear" w:color="auto" w:fill="auto"/>
            <w:vAlign w:val="center"/>
          </w:tcPr>
          <w:p w14:paraId="51903038">
            <w:pPr>
              <w:pStyle w:val="178"/>
            </w:pPr>
            <w:r>
              <w:rPr>
                <w:rFonts w:hint="eastAsia"/>
              </w:rPr>
              <w:t>油菜5叶～6叶期、杂草2叶～5叶期</w:t>
            </w:r>
          </w:p>
        </w:tc>
        <w:tc>
          <w:tcPr>
            <w:tcW w:w="1166" w:type="dxa"/>
            <w:shd w:val="clear" w:color="auto" w:fill="auto"/>
            <w:vAlign w:val="center"/>
          </w:tcPr>
          <w:p w14:paraId="2396B108">
            <w:pPr>
              <w:pStyle w:val="178"/>
            </w:pPr>
            <w:r>
              <w:rPr>
                <w:rFonts w:hint="eastAsia"/>
              </w:rPr>
              <w:t>草除灵</w:t>
            </w:r>
          </w:p>
        </w:tc>
        <w:tc>
          <w:tcPr>
            <w:tcW w:w="1166" w:type="dxa"/>
            <w:shd w:val="clear" w:color="auto" w:fill="auto"/>
            <w:vAlign w:val="center"/>
          </w:tcPr>
          <w:p w14:paraId="67124DD4">
            <w:pPr>
              <w:pStyle w:val="178"/>
            </w:pPr>
            <w:r>
              <w:rPr>
                <w:rFonts w:hint="eastAsia"/>
              </w:rPr>
              <w:t>50%乳油（高特克）</w:t>
            </w:r>
          </w:p>
        </w:tc>
        <w:tc>
          <w:tcPr>
            <w:tcW w:w="1418" w:type="dxa"/>
            <w:shd w:val="clear" w:color="auto" w:fill="auto"/>
            <w:vAlign w:val="center"/>
          </w:tcPr>
          <w:p w14:paraId="4440BA9F">
            <w:pPr>
              <w:pStyle w:val="178"/>
            </w:pPr>
            <w:r>
              <w:t>5</w:t>
            </w:r>
            <w:r>
              <w:rPr>
                <w:rFonts w:ascii="MS Mincho" w:hAnsi="MS Mincho" w:eastAsia="MS Mincho" w:cs="MS Mincho"/>
              </w:rPr>
              <w:t> </w:t>
            </w:r>
            <w:r>
              <w:t>g</w:t>
            </w:r>
            <w:r>
              <w:rPr>
                <w:rFonts w:hint="eastAsia"/>
              </w:rPr>
              <w:t>～</w:t>
            </w:r>
            <w:r>
              <w:t>15</w:t>
            </w:r>
            <w:r>
              <w:rPr>
                <w:rFonts w:ascii="MS Mincho" w:hAnsi="MS Mincho" w:eastAsia="MS Mincho" w:cs="MS Mincho"/>
              </w:rPr>
              <w:t> </w:t>
            </w:r>
            <w:r>
              <w:t>g</w:t>
            </w:r>
          </w:p>
        </w:tc>
        <w:tc>
          <w:tcPr>
            <w:tcW w:w="913" w:type="dxa"/>
            <w:shd w:val="clear" w:color="auto" w:fill="auto"/>
            <w:vAlign w:val="center"/>
          </w:tcPr>
          <w:p w14:paraId="0244423A">
            <w:pPr>
              <w:pStyle w:val="178"/>
            </w:pPr>
            <w:r>
              <w:rPr>
                <w:rFonts w:hint="eastAsia"/>
              </w:rPr>
              <w:t>喷雾</w:t>
            </w:r>
          </w:p>
        </w:tc>
        <w:tc>
          <w:tcPr>
            <w:tcW w:w="1166" w:type="dxa"/>
            <w:shd w:val="clear" w:color="auto" w:fill="auto"/>
            <w:vAlign w:val="center"/>
          </w:tcPr>
          <w:p w14:paraId="0FAD6418">
            <w:pPr>
              <w:pStyle w:val="178"/>
            </w:pPr>
            <w:r>
              <w:t>-</w:t>
            </w:r>
          </w:p>
        </w:tc>
        <w:tc>
          <w:tcPr>
            <w:tcW w:w="1466" w:type="dxa"/>
            <w:tcBorders>
              <w:right w:val="single" w:color="auto" w:sz="12" w:space="0"/>
            </w:tcBorders>
            <w:shd w:val="clear" w:color="auto" w:fill="auto"/>
            <w:vAlign w:val="center"/>
          </w:tcPr>
          <w:p w14:paraId="09E5A8F8">
            <w:pPr>
              <w:spacing w:line="240" w:lineRule="auto"/>
              <w:jc w:val="center"/>
              <w:rPr>
                <w:sz w:val="18"/>
              </w:rPr>
            </w:pPr>
            <w:r>
              <w:rPr>
                <w:rFonts w:hint="eastAsia" w:ascii="宋体" w:hAnsi="宋体"/>
                <w:color w:val="000000"/>
                <w:sz w:val="18"/>
                <w:szCs w:val="15"/>
              </w:rPr>
              <w:t>GB/T 8321.6</w:t>
            </w:r>
          </w:p>
        </w:tc>
      </w:tr>
      <w:tr w14:paraId="299F59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tcBorders>
              <w:left w:val="single" w:color="auto" w:sz="12" w:space="0"/>
            </w:tcBorders>
            <w:shd w:val="clear" w:color="auto" w:fill="auto"/>
            <w:vAlign w:val="center"/>
          </w:tcPr>
          <w:p w14:paraId="0B531BA4">
            <w:pPr>
              <w:pStyle w:val="178"/>
            </w:pPr>
            <w:r>
              <w:rPr>
                <w:rFonts w:hint="eastAsia"/>
              </w:rPr>
              <w:t>蚜虫</w:t>
            </w:r>
          </w:p>
        </w:tc>
        <w:tc>
          <w:tcPr>
            <w:tcW w:w="1185" w:type="dxa"/>
            <w:shd w:val="clear" w:color="auto" w:fill="auto"/>
            <w:vAlign w:val="center"/>
          </w:tcPr>
          <w:p w14:paraId="0E5810BD">
            <w:pPr>
              <w:pStyle w:val="178"/>
            </w:pPr>
            <w:r>
              <w:rPr>
                <w:rFonts w:hint="eastAsia"/>
              </w:rPr>
              <w:t>苗期蚜虫株率达10%</w:t>
            </w:r>
          </w:p>
        </w:tc>
        <w:tc>
          <w:tcPr>
            <w:tcW w:w="1166" w:type="dxa"/>
            <w:shd w:val="clear" w:color="auto" w:fill="auto"/>
            <w:vAlign w:val="center"/>
          </w:tcPr>
          <w:p w14:paraId="6386D1F0">
            <w:pPr>
              <w:pStyle w:val="178"/>
            </w:pPr>
            <w:r>
              <w:rPr>
                <w:rFonts w:hint="eastAsia"/>
              </w:rPr>
              <w:t>溴氰菊酯</w:t>
            </w:r>
          </w:p>
        </w:tc>
        <w:tc>
          <w:tcPr>
            <w:tcW w:w="1166" w:type="dxa"/>
            <w:shd w:val="clear" w:color="auto" w:fill="auto"/>
            <w:vAlign w:val="center"/>
          </w:tcPr>
          <w:p w14:paraId="4630D5A1">
            <w:pPr>
              <w:pStyle w:val="178"/>
            </w:pPr>
            <w:r>
              <w:rPr>
                <w:rFonts w:hint="eastAsia"/>
              </w:rPr>
              <w:t>2.5%乳油</w:t>
            </w:r>
          </w:p>
        </w:tc>
        <w:tc>
          <w:tcPr>
            <w:tcW w:w="1418" w:type="dxa"/>
            <w:shd w:val="clear" w:color="auto" w:fill="auto"/>
            <w:vAlign w:val="center"/>
          </w:tcPr>
          <w:p w14:paraId="5A805B7A">
            <w:pPr>
              <w:pStyle w:val="178"/>
            </w:pPr>
            <w:r>
              <w:rPr>
                <w:rFonts w:hint="eastAsia"/>
              </w:rPr>
              <w:t>10</w:t>
            </w:r>
            <w:r>
              <w:rPr>
                <w:rFonts w:ascii="MS Mincho" w:hAnsi="MS Mincho" w:eastAsia="MS Mincho" w:cs="MS Mincho"/>
              </w:rPr>
              <w:t> </w:t>
            </w:r>
            <w:r>
              <w:rPr>
                <w:rFonts w:hint="eastAsia"/>
              </w:rPr>
              <w:t>ml～20</w:t>
            </w:r>
            <w:r>
              <w:rPr>
                <w:rFonts w:ascii="MS Mincho" w:hAnsi="MS Mincho" w:eastAsia="MS Mincho" w:cs="MS Mincho"/>
              </w:rPr>
              <w:t> </w:t>
            </w:r>
            <w:r>
              <w:rPr>
                <w:rFonts w:hint="eastAsia"/>
              </w:rPr>
              <w:t>ml</w:t>
            </w:r>
          </w:p>
        </w:tc>
        <w:tc>
          <w:tcPr>
            <w:tcW w:w="913" w:type="dxa"/>
            <w:shd w:val="clear" w:color="auto" w:fill="auto"/>
            <w:vAlign w:val="center"/>
          </w:tcPr>
          <w:p w14:paraId="094236EF">
            <w:pPr>
              <w:pStyle w:val="178"/>
            </w:pPr>
            <w:r>
              <w:rPr>
                <w:rFonts w:hint="eastAsia"/>
              </w:rPr>
              <w:t>喷雾</w:t>
            </w:r>
          </w:p>
        </w:tc>
        <w:tc>
          <w:tcPr>
            <w:tcW w:w="1166" w:type="dxa"/>
            <w:shd w:val="clear" w:color="auto" w:fill="auto"/>
            <w:vAlign w:val="center"/>
          </w:tcPr>
          <w:p w14:paraId="4C42199C">
            <w:pPr>
              <w:pStyle w:val="178"/>
            </w:pPr>
            <w:r>
              <w:rPr>
                <w:rFonts w:hint="eastAsia"/>
              </w:rPr>
              <w:t>5</w:t>
            </w:r>
          </w:p>
        </w:tc>
        <w:tc>
          <w:tcPr>
            <w:tcW w:w="1466" w:type="dxa"/>
            <w:tcBorders>
              <w:right w:val="single" w:color="auto" w:sz="12" w:space="0"/>
            </w:tcBorders>
            <w:shd w:val="clear" w:color="auto" w:fill="auto"/>
            <w:vAlign w:val="center"/>
          </w:tcPr>
          <w:p w14:paraId="1EDD44A6">
            <w:pPr>
              <w:spacing w:line="240" w:lineRule="auto"/>
              <w:jc w:val="center"/>
              <w:rPr>
                <w:sz w:val="18"/>
              </w:rPr>
            </w:pPr>
            <w:r>
              <w:rPr>
                <w:rFonts w:hint="eastAsia" w:ascii="宋体" w:hAnsi="宋体"/>
                <w:color w:val="000000"/>
                <w:sz w:val="18"/>
                <w:szCs w:val="15"/>
              </w:rPr>
              <w:t>GB/T 8321.9</w:t>
            </w:r>
          </w:p>
        </w:tc>
      </w:tr>
      <w:tr w14:paraId="2CDB4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restart"/>
            <w:tcBorders>
              <w:left w:val="single" w:color="auto" w:sz="12" w:space="0"/>
            </w:tcBorders>
            <w:shd w:val="clear" w:color="auto" w:fill="auto"/>
            <w:vAlign w:val="center"/>
          </w:tcPr>
          <w:p w14:paraId="6126B795">
            <w:pPr>
              <w:pStyle w:val="178"/>
            </w:pPr>
            <w:r>
              <w:rPr>
                <w:rFonts w:hint="eastAsia"/>
              </w:rPr>
              <w:t>菜青虫</w:t>
            </w:r>
          </w:p>
        </w:tc>
        <w:tc>
          <w:tcPr>
            <w:tcW w:w="1185" w:type="dxa"/>
            <w:shd w:val="clear" w:color="auto" w:fill="auto"/>
            <w:vAlign w:val="center"/>
          </w:tcPr>
          <w:p w14:paraId="255DB3C2">
            <w:pPr>
              <w:pStyle w:val="178"/>
            </w:pPr>
            <w:r>
              <w:rPr>
                <w:rFonts w:hint="eastAsia"/>
              </w:rPr>
              <w:t>幼虫3龄以前</w:t>
            </w:r>
          </w:p>
        </w:tc>
        <w:tc>
          <w:tcPr>
            <w:tcW w:w="1166" w:type="dxa"/>
            <w:shd w:val="clear" w:color="auto" w:fill="auto"/>
            <w:vAlign w:val="center"/>
          </w:tcPr>
          <w:p w14:paraId="16C5F125">
            <w:pPr>
              <w:pStyle w:val="178"/>
            </w:pPr>
            <w:r>
              <w:rPr>
                <w:rFonts w:hint="eastAsia"/>
              </w:rPr>
              <w:t>氰戊菊酯</w:t>
            </w:r>
          </w:p>
        </w:tc>
        <w:tc>
          <w:tcPr>
            <w:tcW w:w="1166" w:type="dxa"/>
            <w:shd w:val="clear" w:color="auto" w:fill="auto"/>
            <w:vAlign w:val="center"/>
          </w:tcPr>
          <w:p w14:paraId="42C0DFD9">
            <w:pPr>
              <w:pStyle w:val="178"/>
            </w:pPr>
            <w:r>
              <w:rPr>
                <w:rFonts w:hint="eastAsia"/>
              </w:rPr>
              <w:t>20%乳油</w:t>
            </w:r>
          </w:p>
        </w:tc>
        <w:tc>
          <w:tcPr>
            <w:tcW w:w="1418" w:type="dxa"/>
            <w:shd w:val="clear" w:color="auto" w:fill="auto"/>
            <w:vAlign w:val="center"/>
          </w:tcPr>
          <w:p w14:paraId="7C5865A4">
            <w:pPr>
              <w:pStyle w:val="178"/>
            </w:pPr>
            <w:r>
              <w:rPr>
                <w:rFonts w:hint="eastAsia"/>
              </w:rPr>
              <w:t>20</w:t>
            </w:r>
            <w:r>
              <w:rPr>
                <w:rFonts w:ascii="MS Mincho" w:hAnsi="MS Mincho" w:eastAsia="MS Mincho" w:cs="MS Mincho"/>
              </w:rPr>
              <w:t> </w:t>
            </w:r>
            <w:r>
              <w:rPr>
                <w:rFonts w:hint="eastAsia"/>
              </w:rPr>
              <w:t>ml～40</w:t>
            </w:r>
            <w:r>
              <w:rPr>
                <w:rFonts w:ascii="MS Mincho" w:hAnsi="MS Mincho" w:eastAsia="MS Mincho" w:cs="MS Mincho"/>
              </w:rPr>
              <w:t> </w:t>
            </w:r>
            <w:r>
              <w:rPr>
                <w:rFonts w:hint="eastAsia"/>
              </w:rPr>
              <w:t>ml</w:t>
            </w:r>
          </w:p>
        </w:tc>
        <w:tc>
          <w:tcPr>
            <w:tcW w:w="913" w:type="dxa"/>
            <w:shd w:val="clear" w:color="auto" w:fill="auto"/>
            <w:vAlign w:val="center"/>
          </w:tcPr>
          <w:p w14:paraId="66402E4D">
            <w:pPr>
              <w:pStyle w:val="178"/>
            </w:pPr>
            <w:r>
              <w:rPr>
                <w:rFonts w:hint="eastAsia"/>
              </w:rPr>
              <w:t>喷雾</w:t>
            </w:r>
          </w:p>
        </w:tc>
        <w:tc>
          <w:tcPr>
            <w:tcW w:w="1166" w:type="dxa"/>
            <w:shd w:val="clear" w:color="auto" w:fill="auto"/>
            <w:vAlign w:val="center"/>
          </w:tcPr>
          <w:p w14:paraId="473D2533">
            <w:pPr>
              <w:pStyle w:val="178"/>
            </w:pPr>
            <w:r>
              <w:rPr>
                <w:rFonts w:hint="eastAsia"/>
              </w:rPr>
              <w:t>1</w:t>
            </w:r>
            <w:r>
              <w:t>2</w:t>
            </w:r>
          </w:p>
        </w:tc>
        <w:tc>
          <w:tcPr>
            <w:tcW w:w="1466" w:type="dxa"/>
            <w:vMerge w:val="restart"/>
            <w:tcBorders>
              <w:right w:val="single" w:color="auto" w:sz="12" w:space="0"/>
            </w:tcBorders>
            <w:shd w:val="clear" w:color="auto" w:fill="auto"/>
            <w:vAlign w:val="center"/>
          </w:tcPr>
          <w:p w14:paraId="0FC8FE94">
            <w:pPr>
              <w:spacing w:line="240" w:lineRule="auto"/>
              <w:jc w:val="center"/>
              <w:rPr>
                <w:sz w:val="18"/>
              </w:rPr>
            </w:pPr>
            <w:r>
              <w:rPr>
                <w:rFonts w:hint="eastAsia" w:ascii="宋体" w:hAnsi="宋体"/>
                <w:color w:val="000000"/>
                <w:sz w:val="18"/>
                <w:szCs w:val="15"/>
              </w:rPr>
              <w:t>GB/T 8321.1</w:t>
            </w:r>
          </w:p>
        </w:tc>
      </w:tr>
      <w:tr w14:paraId="7AB746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Merge w:val="continue"/>
            <w:tcBorders>
              <w:left w:val="single" w:color="auto" w:sz="12" w:space="0"/>
              <w:bottom w:val="single" w:color="auto" w:sz="12" w:space="0"/>
            </w:tcBorders>
            <w:shd w:val="clear" w:color="auto" w:fill="auto"/>
            <w:vAlign w:val="center"/>
          </w:tcPr>
          <w:p w14:paraId="7248DB7B">
            <w:pPr>
              <w:pStyle w:val="178"/>
            </w:pPr>
          </w:p>
        </w:tc>
        <w:tc>
          <w:tcPr>
            <w:tcW w:w="1185" w:type="dxa"/>
            <w:tcBorders>
              <w:bottom w:val="single" w:color="auto" w:sz="12" w:space="0"/>
            </w:tcBorders>
            <w:shd w:val="clear" w:color="auto" w:fill="auto"/>
            <w:vAlign w:val="center"/>
          </w:tcPr>
          <w:p w14:paraId="7018F198">
            <w:pPr>
              <w:pStyle w:val="178"/>
            </w:pPr>
            <w:r>
              <w:rPr>
                <w:rFonts w:hint="eastAsia"/>
              </w:rPr>
              <w:t>幼虫3龄以前</w:t>
            </w:r>
          </w:p>
        </w:tc>
        <w:tc>
          <w:tcPr>
            <w:tcW w:w="1166" w:type="dxa"/>
            <w:tcBorders>
              <w:bottom w:val="single" w:color="auto" w:sz="12" w:space="0"/>
            </w:tcBorders>
            <w:shd w:val="clear" w:color="auto" w:fill="auto"/>
            <w:vAlign w:val="center"/>
          </w:tcPr>
          <w:p w14:paraId="07F9546D">
            <w:pPr>
              <w:pStyle w:val="178"/>
            </w:pPr>
            <w:r>
              <w:rPr>
                <w:rFonts w:hint="eastAsia"/>
              </w:rPr>
              <w:t>高效氯氰菊酯</w:t>
            </w:r>
          </w:p>
        </w:tc>
        <w:tc>
          <w:tcPr>
            <w:tcW w:w="1166" w:type="dxa"/>
            <w:tcBorders>
              <w:bottom w:val="single" w:color="auto" w:sz="12" w:space="0"/>
            </w:tcBorders>
            <w:shd w:val="clear" w:color="auto" w:fill="auto"/>
            <w:vAlign w:val="center"/>
          </w:tcPr>
          <w:p w14:paraId="032884FC">
            <w:pPr>
              <w:pStyle w:val="178"/>
            </w:pPr>
            <w:r>
              <w:rPr>
                <w:rFonts w:hint="eastAsia"/>
              </w:rPr>
              <w:t>4.5%水乳剂</w:t>
            </w:r>
          </w:p>
        </w:tc>
        <w:tc>
          <w:tcPr>
            <w:tcW w:w="1418" w:type="dxa"/>
            <w:tcBorders>
              <w:bottom w:val="single" w:color="auto" w:sz="12" w:space="0"/>
            </w:tcBorders>
            <w:shd w:val="clear" w:color="auto" w:fill="auto"/>
            <w:vAlign w:val="center"/>
          </w:tcPr>
          <w:p w14:paraId="4482718B">
            <w:pPr>
              <w:pStyle w:val="178"/>
            </w:pPr>
            <w:r>
              <w:rPr>
                <w:rFonts w:hint="eastAsia"/>
              </w:rPr>
              <w:t>20</w:t>
            </w:r>
            <w:r>
              <w:rPr>
                <w:rFonts w:ascii="MS Mincho" w:hAnsi="MS Mincho" w:eastAsia="MS Mincho" w:cs="MS Mincho"/>
              </w:rPr>
              <w:t> </w:t>
            </w:r>
            <w:r>
              <w:rPr>
                <w:rFonts w:hint="eastAsia"/>
              </w:rPr>
              <w:t>ml～40</w:t>
            </w:r>
            <w:r>
              <w:rPr>
                <w:rFonts w:ascii="MS Mincho" w:hAnsi="MS Mincho" w:eastAsia="MS Mincho" w:cs="MS Mincho"/>
              </w:rPr>
              <w:t> </w:t>
            </w:r>
            <w:r>
              <w:rPr>
                <w:rFonts w:hint="eastAsia"/>
              </w:rPr>
              <w:t>ml兑水30</w:t>
            </w:r>
            <w:r>
              <w:rPr>
                <w:rFonts w:ascii="MS Mincho" w:hAnsi="MS Mincho" w:eastAsia="MS Mincho" w:cs="MS Mincho"/>
              </w:rPr>
              <w:t> </w:t>
            </w:r>
            <w:r>
              <w:rPr>
                <w:rFonts w:hint="eastAsia"/>
              </w:rPr>
              <w:t>kg～40</w:t>
            </w:r>
            <w:r>
              <w:rPr>
                <w:rFonts w:ascii="MS Mincho" w:hAnsi="MS Mincho" w:eastAsia="MS Mincho" w:cs="MS Mincho"/>
              </w:rPr>
              <w:t> </w:t>
            </w:r>
            <w:r>
              <w:rPr>
                <w:rFonts w:hint="eastAsia"/>
              </w:rPr>
              <w:t>kg</w:t>
            </w:r>
          </w:p>
        </w:tc>
        <w:tc>
          <w:tcPr>
            <w:tcW w:w="913" w:type="dxa"/>
            <w:tcBorders>
              <w:bottom w:val="single" w:color="auto" w:sz="12" w:space="0"/>
            </w:tcBorders>
            <w:shd w:val="clear" w:color="auto" w:fill="auto"/>
            <w:vAlign w:val="center"/>
          </w:tcPr>
          <w:p w14:paraId="5B4AAB9A">
            <w:pPr>
              <w:pStyle w:val="178"/>
            </w:pPr>
            <w:r>
              <w:rPr>
                <w:rFonts w:hint="eastAsia"/>
              </w:rPr>
              <w:t>喷雾</w:t>
            </w:r>
          </w:p>
        </w:tc>
        <w:tc>
          <w:tcPr>
            <w:tcW w:w="1166" w:type="dxa"/>
            <w:tcBorders>
              <w:bottom w:val="single" w:color="auto" w:sz="12" w:space="0"/>
            </w:tcBorders>
            <w:shd w:val="clear" w:color="auto" w:fill="auto"/>
            <w:vAlign w:val="center"/>
          </w:tcPr>
          <w:p w14:paraId="5AA61613">
            <w:pPr>
              <w:pStyle w:val="178"/>
            </w:pPr>
            <w:r>
              <w:rPr>
                <w:rFonts w:hint="eastAsia"/>
              </w:rPr>
              <w:t>1</w:t>
            </w:r>
            <w:r>
              <w:t>0</w:t>
            </w:r>
          </w:p>
        </w:tc>
        <w:tc>
          <w:tcPr>
            <w:tcW w:w="1466" w:type="dxa"/>
            <w:vMerge w:val="continue"/>
            <w:tcBorders>
              <w:bottom w:val="single" w:color="auto" w:sz="12" w:space="0"/>
              <w:right w:val="single" w:color="auto" w:sz="12" w:space="0"/>
            </w:tcBorders>
            <w:shd w:val="clear" w:color="auto" w:fill="auto"/>
            <w:vAlign w:val="center"/>
          </w:tcPr>
          <w:p w14:paraId="30A9BCA8">
            <w:pPr>
              <w:pStyle w:val="178"/>
            </w:pPr>
          </w:p>
        </w:tc>
      </w:tr>
    </w:tbl>
    <w:p w14:paraId="640A5CAB">
      <w:pPr>
        <w:pStyle w:val="56"/>
        <w:ind w:firstLine="0" w:firstLineChars="0"/>
      </w:pPr>
    </w:p>
    <w:bookmarkEnd w:id="94"/>
    <w:p w14:paraId="7C91EF8C">
      <w:pPr>
        <w:pStyle w:val="56"/>
        <w:ind w:firstLine="0" w:firstLineChars="0"/>
        <w:jc w:val="center"/>
      </w:pPr>
      <w:bookmarkStart w:id="101" w:name="BookMark8"/>
      <w: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headerReference r:id="rId21" w:type="default"/>
      <w:footerReference r:id="rId23" w:type="default"/>
      <w:headerReference r:id="rId22" w:type="even"/>
      <w:footerReference r:id="rId24" w:type="even"/>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0DB7C">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FD81B">
    <w:pPr>
      <w:pStyle w:val="51"/>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10B3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9AB3A">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5E3A">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A08B2">
    <w:pPr>
      <w:pStyle w:val="52"/>
    </w:pPr>
    <w:r>
      <w:fldChar w:fldCharType="begin"/>
    </w:r>
    <w:r>
      <w:instrText xml:space="preserve">PAGE   \* MERGEFORMAT</w:instrText>
    </w:r>
    <w:r>
      <w:fldChar w:fldCharType="separate"/>
    </w:r>
    <w:r>
      <w:rPr>
        <w:lang w:val="zh-CN"/>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526E5">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994A">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867FF">
    <w:pPr>
      <w:pStyle w:val="51"/>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C6B59">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76E6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77B70">
    <w:pPr>
      <w:pStyle w:val="62"/>
    </w:pPr>
    <w:r>
      <w:fldChar w:fldCharType="begin"/>
    </w:r>
    <w:r>
      <w:instrText xml:space="preserve"> STYLEREF  标准文件_文件编号 \* MERGEFORMAT </w:instrText>
    </w:r>
    <w:r>
      <w:fldChar w:fldCharType="separate"/>
    </w:r>
    <w:r>
      <w:t>DB54/T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C45C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80BD">
    <w:pPr>
      <w:pStyle w:val="61"/>
    </w:pPr>
    <w:r>
      <w:fldChar w:fldCharType="begin"/>
    </w:r>
    <w:r>
      <w:instrText xml:space="preserve"> STYLEREF  标准文件_文件编号  \* MERGEFORMAT </w:instrText>
    </w:r>
    <w:r>
      <w:fldChar w:fldCharType="separate"/>
    </w:r>
    <w:r>
      <w:t>DB54/T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C5648">
    <w:pPr>
      <w:pStyle w:val="62"/>
    </w:pPr>
    <w:r>
      <w:fldChar w:fldCharType="begin"/>
    </w:r>
    <w:r>
      <w:instrText xml:space="preserve"> STYLEREF  标准文件_文件编号 \* MERGEFORMAT </w:instrText>
    </w:r>
    <w:r>
      <w:fldChar w:fldCharType="separate"/>
    </w:r>
    <w:r>
      <w:t>DB54/T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96214">
    <w:pPr>
      <w:pStyle w:val="61"/>
    </w:pPr>
    <w:r>
      <w:fldChar w:fldCharType="begin"/>
    </w:r>
    <w:r>
      <w:instrText xml:space="preserve"> STYLEREF  标准文件_文件编号  \* MERGEFORMAT </w:instrText>
    </w:r>
    <w:r>
      <w:fldChar w:fldCharType="separate"/>
    </w:r>
    <w:r>
      <w:t>DB54/T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3D7B1">
    <w:pPr>
      <w:pStyle w:val="62"/>
    </w:pPr>
    <w:r>
      <w:fldChar w:fldCharType="begin"/>
    </w:r>
    <w:r>
      <w:instrText xml:space="preserve"> STYLEREF  标准文件_文件编号 \* MERGEFORMAT </w:instrText>
    </w:r>
    <w:r>
      <w:fldChar w:fldCharType="separate"/>
    </w:r>
    <w:r>
      <w:t>DB54/T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2C0C">
    <w:pPr>
      <w:pStyle w:val="61"/>
    </w:pPr>
    <w:r>
      <w:fldChar w:fldCharType="begin"/>
    </w:r>
    <w:r>
      <w:instrText xml:space="preserve"> STYLEREF  标准文件_文件编号  \* MERGEFORMAT </w:instrText>
    </w:r>
    <w:r>
      <w:fldChar w:fldCharType="separate"/>
    </w:r>
    <w:r>
      <w:t>DB54/T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BC567">
    <w:pPr>
      <w:pStyle w:val="62"/>
    </w:pPr>
    <w:r>
      <w:fldChar w:fldCharType="begin"/>
    </w:r>
    <w:r>
      <w:instrText xml:space="preserve"> STYLEREF  标准文件_文件编号 \* MERGEFORMAT </w:instrText>
    </w:r>
    <w:r>
      <w:fldChar w:fldCharType="separate"/>
    </w:r>
    <w:r>
      <w:t>DB54/T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4EEBD">
    <w:pPr>
      <w:pStyle w:val="61"/>
    </w:pPr>
    <w:r>
      <w:fldChar w:fldCharType="begin"/>
    </w:r>
    <w:r>
      <w:instrText xml:space="preserve"> STYLEREF  标准文件_文件编号  \* MERGEFORMAT </w:instrText>
    </w:r>
    <w:r>
      <w:fldChar w:fldCharType="separate"/>
    </w:r>
    <w:r>
      <w:t>DB54/T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212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attachedTemplate r:id="rId1"/>
  <w:documentProtection w:edit="forms" w:enforcement="1" w:cryptProviderType="rsaAES" w:cryptAlgorithmClass="hash" w:cryptAlgorithmType="typeAny" w:cryptAlgorithmSid="14" w:cryptSpinCount="100000" w:hash="KvysVY0GPhZXOQshKCaO05i7gcfX31bKR16FxaGBQBxZqJx8iwN+Cd5lNk4onJ8xzIkm+Iu/IcIExEKpeRPxnQ==" w:salt="nOAnqJAuHAUNxPCmAIr+AQ=="/>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MzEyMDc2OTJkNjllNGNlZmQ0MzZlZmQ2YTQ5YmUifQ=="/>
  </w:docVars>
  <w:rsids>
    <w:rsidRoot w:val="0053662E"/>
    <w:rsid w:val="0000040A"/>
    <w:rsid w:val="00000A94"/>
    <w:rsid w:val="00000DC6"/>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FEF"/>
    <w:rsid w:val="000D329A"/>
    <w:rsid w:val="000D4B9C"/>
    <w:rsid w:val="000D4EB6"/>
    <w:rsid w:val="000D753B"/>
    <w:rsid w:val="000E4C9E"/>
    <w:rsid w:val="000E6FD7"/>
    <w:rsid w:val="000F06E1"/>
    <w:rsid w:val="000F0E3C"/>
    <w:rsid w:val="000F19D5"/>
    <w:rsid w:val="000F4AEA"/>
    <w:rsid w:val="000F67E9"/>
    <w:rsid w:val="00104926"/>
    <w:rsid w:val="00113B1E"/>
    <w:rsid w:val="00115D38"/>
    <w:rsid w:val="0011711C"/>
    <w:rsid w:val="00124E4F"/>
    <w:rsid w:val="001260B7"/>
    <w:rsid w:val="001265CB"/>
    <w:rsid w:val="00131B46"/>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96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B0C"/>
    <w:rsid w:val="00194C95"/>
    <w:rsid w:val="00195134"/>
    <w:rsid w:val="00195C34"/>
    <w:rsid w:val="00196EF5"/>
    <w:rsid w:val="001A1567"/>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00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4D7"/>
    <w:rsid w:val="00243540"/>
    <w:rsid w:val="0024497B"/>
    <w:rsid w:val="0024515B"/>
    <w:rsid w:val="00246021"/>
    <w:rsid w:val="0024666E"/>
    <w:rsid w:val="00247F52"/>
    <w:rsid w:val="00250B25"/>
    <w:rsid w:val="00250BBE"/>
    <w:rsid w:val="002515C2"/>
    <w:rsid w:val="0025194F"/>
    <w:rsid w:val="0026148A"/>
    <w:rsid w:val="00262696"/>
    <w:rsid w:val="00262F49"/>
    <w:rsid w:val="00263D25"/>
    <w:rsid w:val="002643C3"/>
    <w:rsid w:val="00264A0C"/>
    <w:rsid w:val="00266EEB"/>
    <w:rsid w:val="00267EF4"/>
    <w:rsid w:val="00270CB8"/>
    <w:rsid w:val="00272B08"/>
    <w:rsid w:val="00281BB8"/>
    <w:rsid w:val="00281E9E"/>
    <w:rsid w:val="00282405"/>
    <w:rsid w:val="0028494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D0B"/>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12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7E0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4B"/>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21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CC8"/>
    <w:rsid w:val="00492F02"/>
    <w:rsid w:val="004939AE"/>
    <w:rsid w:val="004A060E"/>
    <w:rsid w:val="004A12DF"/>
    <w:rsid w:val="004A1BA8"/>
    <w:rsid w:val="004A4B57"/>
    <w:rsid w:val="004A63FA"/>
    <w:rsid w:val="004A6836"/>
    <w:rsid w:val="004B0272"/>
    <w:rsid w:val="004B2701"/>
    <w:rsid w:val="004B2E1B"/>
    <w:rsid w:val="004B3AA8"/>
    <w:rsid w:val="004B3E93"/>
    <w:rsid w:val="004B4C7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0E5"/>
    <w:rsid w:val="004F6456"/>
    <w:rsid w:val="004F696E"/>
    <w:rsid w:val="004F6C71"/>
    <w:rsid w:val="00500C88"/>
    <w:rsid w:val="00501139"/>
    <w:rsid w:val="0050363E"/>
    <w:rsid w:val="005039BC"/>
    <w:rsid w:val="005043BB"/>
    <w:rsid w:val="00504A3D"/>
    <w:rsid w:val="00505494"/>
    <w:rsid w:val="00505767"/>
    <w:rsid w:val="005073F0"/>
    <w:rsid w:val="00510A7B"/>
    <w:rsid w:val="00512F6E"/>
    <w:rsid w:val="00513038"/>
    <w:rsid w:val="00514174"/>
    <w:rsid w:val="00516088"/>
    <w:rsid w:val="00516B0B"/>
    <w:rsid w:val="005220EC"/>
    <w:rsid w:val="00523F95"/>
    <w:rsid w:val="00524D65"/>
    <w:rsid w:val="00525B16"/>
    <w:rsid w:val="005303A0"/>
    <w:rsid w:val="00533D04"/>
    <w:rsid w:val="00534804"/>
    <w:rsid w:val="00534BDF"/>
    <w:rsid w:val="005354EA"/>
    <w:rsid w:val="0053585F"/>
    <w:rsid w:val="00535EC4"/>
    <w:rsid w:val="00535ED9"/>
    <w:rsid w:val="0053662E"/>
    <w:rsid w:val="0053692B"/>
    <w:rsid w:val="00541853"/>
    <w:rsid w:val="00543BDA"/>
    <w:rsid w:val="005441CC"/>
    <w:rsid w:val="005479DA"/>
    <w:rsid w:val="00547BCC"/>
    <w:rsid w:val="0055013B"/>
    <w:rsid w:val="00551F6F"/>
    <w:rsid w:val="00555044"/>
    <w:rsid w:val="00561475"/>
    <w:rsid w:val="0056487B"/>
    <w:rsid w:val="00564FB9"/>
    <w:rsid w:val="0057197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299"/>
    <w:rsid w:val="005B6CF6"/>
    <w:rsid w:val="005B7422"/>
    <w:rsid w:val="005C29B8"/>
    <w:rsid w:val="005C3981"/>
    <w:rsid w:val="005C5F21"/>
    <w:rsid w:val="005C7156"/>
    <w:rsid w:val="005D0C75"/>
    <w:rsid w:val="005D4171"/>
    <w:rsid w:val="005D6A95"/>
    <w:rsid w:val="005D6B2C"/>
    <w:rsid w:val="005D6D9C"/>
    <w:rsid w:val="005E2335"/>
    <w:rsid w:val="005E34CA"/>
    <w:rsid w:val="005E3C18"/>
    <w:rsid w:val="005E6812"/>
    <w:rsid w:val="005E7881"/>
    <w:rsid w:val="005E78E0"/>
    <w:rsid w:val="005F0ADE"/>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9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865"/>
    <w:rsid w:val="00691628"/>
    <w:rsid w:val="006A07AA"/>
    <w:rsid w:val="006A25E5"/>
    <w:rsid w:val="006A2B46"/>
    <w:rsid w:val="006A336D"/>
    <w:rsid w:val="006A37B9"/>
    <w:rsid w:val="006B2672"/>
    <w:rsid w:val="006B50A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65F"/>
    <w:rsid w:val="00722FBF"/>
    <w:rsid w:val="00722FC2"/>
    <w:rsid w:val="00724879"/>
    <w:rsid w:val="00724E1B"/>
    <w:rsid w:val="00725949"/>
    <w:rsid w:val="00727FA2"/>
    <w:rsid w:val="007322D9"/>
    <w:rsid w:val="00732BC0"/>
    <w:rsid w:val="00734AA5"/>
    <w:rsid w:val="0073720F"/>
    <w:rsid w:val="00737796"/>
    <w:rsid w:val="0074165C"/>
    <w:rsid w:val="00742C35"/>
    <w:rsid w:val="007432CA"/>
    <w:rsid w:val="007439EB"/>
    <w:rsid w:val="00743CB4"/>
    <w:rsid w:val="00743F0A"/>
    <w:rsid w:val="007444E8"/>
    <w:rsid w:val="0074548E"/>
    <w:rsid w:val="00745773"/>
    <w:rsid w:val="00746800"/>
    <w:rsid w:val="007501A8"/>
    <w:rsid w:val="0075095B"/>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E9C"/>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2A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C5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6F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97C40"/>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074"/>
    <w:rsid w:val="009C3152"/>
    <w:rsid w:val="009C4CFA"/>
    <w:rsid w:val="009C5070"/>
    <w:rsid w:val="009D112C"/>
    <w:rsid w:val="009D47FA"/>
    <w:rsid w:val="009D4C5B"/>
    <w:rsid w:val="009D50D2"/>
    <w:rsid w:val="009D652E"/>
    <w:rsid w:val="009D6BCA"/>
    <w:rsid w:val="009E0F62"/>
    <w:rsid w:val="009E4A58"/>
    <w:rsid w:val="009E5A2D"/>
    <w:rsid w:val="009E5AB2"/>
    <w:rsid w:val="009E6219"/>
    <w:rsid w:val="009F03B3"/>
    <w:rsid w:val="009F779F"/>
    <w:rsid w:val="00A0096C"/>
    <w:rsid w:val="00A01757"/>
    <w:rsid w:val="00A028C0"/>
    <w:rsid w:val="00A02BAE"/>
    <w:rsid w:val="00A06A6B"/>
    <w:rsid w:val="00A07E47"/>
    <w:rsid w:val="00A101B6"/>
    <w:rsid w:val="00A129D0"/>
    <w:rsid w:val="00A12C33"/>
    <w:rsid w:val="00A138BA"/>
    <w:rsid w:val="00A14C8E"/>
    <w:rsid w:val="00A153D9"/>
    <w:rsid w:val="00A15F09"/>
    <w:rsid w:val="00A169B6"/>
    <w:rsid w:val="00A2271D"/>
    <w:rsid w:val="00A237D5"/>
    <w:rsid w:val="00A30EFC"/>
    <w:rsid w:val="00A31984"/>
    <w:rsid w:val="00A31A5A"/>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C91"/>
    <w:rsid w:val="00A47C03"/>
    <w:rsid w:val="00A55BD6"/>
    <w:rsid w:val="00A55D50"/>
    <w:rsid w:val="00A57142"/>
    <w:rsid w:val="00A648CD"/>
    <w:rsid w:val="00A6537A"/>
    <w:rsid w:val="00A67866"/>
    <w:rsid w:val="00A70B07"/>
    <w:rsid w:val="00A723F8"/>
    <w:rsid w:val="00A76BAC"/>
    <w:rsid w:val="00A77CCB"/>
    <w:rsid w:val="00A83D8D"/>
    <w:rsid w:val="00A8446B"/>
    <w:rsid w:val="00A8473F"/>
    <w:rsid w:val="00A862D6"/>
    <w:rsid w:val="00A8715E"/>
    <w:rsid w:val="00A9295B"/>
    <w:rsid w:val="00A93B09"/>
    <w:rsid w:val="00A952D7"/>
    <w:rsid w:val="00A963F7"/>
    <w:rsid w:val="00A96AD8"/>
    <w:rsid w:val="00A96D27"/>
    <w:rsid w:val="00AA052C"/>
    <w:rsid w:val="00AA1E45"/>
    <w:rsid w:val="00AA3593"/>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81E"/>
    <w:rsid w:val="00AD4126"/>
    <w:rsid w:val="00AD421C"/>
    <w:rsid w:val="00AD44FA"/>
    <w:rsid w:val="00AE070A"/>
    <w:rsid w:val="00AE101C"/>
    <w:rsid w:val="00AE37E5"/>
    <w:rsid w:val="00AE5EB4"/>
    <w:rsid w:val="00AF0C18"/>
    <w:rsid w:val="00AF337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1B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D89"/>
    <w:rsid w:val="00C103E5"/>
    <w:rsid w:val="00C13319"/>
    <w:rsid w:val="00C13EE9"/>
    <w:rsid w:val="00C1630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65F"/>
    <w:rsid w:val="00C71372"/>
    <w:rsid w:val="00C72410"/>
    <w:rsid w:val="00C7287F"/>
    <w:rsid w:val="00C80396"/>
    <w:rsid w:val="00C80CB8"/>
    <w:rsid w:val="00C81739"/>
    <w:rsid w:val="00C819F8"/>
    <w:rsid w:val="00C8248C"/>
    <w:rsid w:val="00C84E33"/>
    <w:rsid w:val="00C86D6F"/>
    <w:rsid w:val="00C905FC"/>
    <w:rsid w:val="00C92D03"/>
    <w:rsid w:val="00C9319C"/>
    <w:rsid w:val="00C9435D"/>
    <w:rsid w:val="00C94DF2"/>
    <w:rsid w:val="00C96741"/>
    <w:rsid w:val="00CA2D1B"/>
    <w:rsid w:val="00CA375D"/>
    <w:rsid w:val="00CA5E01"/>
    <w:rsid w:val="00CA662A"/>
    <w:rsid w:val="00CA7AFD"/>
    <w:rsid w:val="00CA7C3C"/>
    <w:rsid w:val="00CB0189"/>
    <w:rsid w:val="00CB0BA2"/>
    <w:rsid w:val="00CB1A42"/>
    <w:rsid w:val="00CB1B0C"/>
    <w:rsid w:val="00CB2C0B"/>
    <w:rsid w:val="00CB517D"/>
    <w:rsid w:val="00CC009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BA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6A6"/>
    <w:rsid w:val="00D4162B"/>
    <w:rsid w:val="00D4514F"/>
    <w:rsid w:val="00D451E2"/>
    <w:rsid w:val="00D45E89"/>
    <w:rsid w:val="00D45E8D"/>
    <w:rsid w:val="00D466AE"/>
    <w:rsid w:val="00D4734F"/>
    <w:rsid w:val="00D51BF3"/>
    <w:rsid w:val="00D66846"/>
    <w:rsid w:val="00D675FB"/>
    <w:rsid w:val="00D71F25"/>
    <w:rsid w:val="00D72A9C"/>
    <w:rsid w:val="00D73C99"/>
    <w:rsid w:val="00D77031"/>
    <w:rsid w:val="00D84941"/>
    <w:rsid w:val="00D84FA1"/>
    <w:rsid w:val="00D851F0"/>
    <w:rsid w:val="00D86DB7"/>
    <w:rsid w:val="00D926D0"/>
    <w:rsid w:val="00D93030"/>
    <w:rsid w:val="00D950E1"/>
    <w:rsid w:val="00D952A6"/>
    <w:rsid w:val="00D97F99"/>
    <w:rsid w:val="00DA195A"/>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9C6"/>
    <w:rsid w:val="00DC3067"/>
    <w:rsid w:val="00DC370B"/>
    <w:rsid w:val="00DC5B90"/>
    <w:rsid w:val="00DD00FF"/>
    <w:rsid w:val="00DD0205"/>
    <w:rsid w:val="00DD0619"/>
    <w:rsid w:val="00DD07FB"/>
    <w:rsid w:val="00DD25C6"/>
    <w:rsid w:val="00DD4FE5"/>
    <w:rsid w:val="00DD54B0"/>
    <w:rsid w:val="00DD57EE"/>
    <w:rsid w:val="00DD6BCC"/>
    <w:rsid w:val="00DE0A4B"/>
    <w:rsid w:val="00DE2410"/>
    <w:rsid w:val="00DE2939"/>
    <w:rsid w:val="00DE6E81"/>
    <w:rsid w:val="00DE703F"/>
    <w:rsid w:val="00DE7595"/>
    <w:rsid w:val="00DF06FE"/>
    <w:rsid w:val="00DF1961"/>
    <w:rsid w:val="00DF3269"/>
    <w:rsid w:val="00DF44DE"/>
    <w:rsid w:val="00E01138"/>
    <w:rsid w:val="00E02DFB"/>
    <w:rsid w:val="00E030F9"/>
    <w:rsid w:val="00E0311A"/>
    <w:rsid w:val="00E03138"/>
    <w:rsid w:val="00E06404"/>
    <w:rsid w:val="00E11A85"/>
    <w:rsid w:val="00E12495"/>
    <w:rsid w:val="00E15CCD"/>
    <w:rsid w:val="00E17F4F"/>
    <w:rsid w:val="00E202EF"/>
    <w:rsid w:val="00E210B5"/>
    <w:rsid w:val="00E23043"/>
    <w:rsid w:val="00E23D99"/>
    <w:rsid w:val="00E2552F"/>
    <w:rsid w:val="00E31229"/>
    <w:rsid w:val="00E3137A"/>
    <w:rsid w:val="00E32CCF"/>
    <w:rsid w:val="00E34A98"/>
    <w:rsid w:val="00E35D1E"/>
    <w:rsid w:val="00E364F9"/>
    <w:rsid w:val="00E365FA"/>
    <w:rsid w:val="00E36789"/>
    <w:rsid w:val="00E4041A"/>
    <w:rsid w:val="00E44A83"/>
    <w:rsid w:val="00E502C1"/>
    <w:rsid w:val="00E502DD"/>
    <w:rsid w:val="00E50D3A"/>
    <w:rsid w:val="00E51387"/>
    <w:rsid w:val="00E51880"/>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82E"/>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C63"/>
    <w:rsid w:val="00F22C2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340"/>
    <w:rsid w:val="00F6194E"/>
    <w:rsid w:val="00F623AC"/>
    <w:rsid w:val="00F6412A"/>
    <w:rsid w:val="00F65893"/>
    <w:rsid w:val="00F66A4A"/>
    <w:rsid w:val="00F71E22"/>
    <w:rsid w:val="00F72142"/>
    <w:rsid w:val="00F72AE7"/>
    <w:rsid w:val="00F833BA"/>
    <w:rsid w:val="00F84FD0"/>
    <w:rsid w:val="00F85323"/>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458"/>
    <w:rsid w:val="00FE3901"/>
    <w:rsid w:val="00FE39D3"/>
    <w:rsid w:val="00FE4BCE"/>
    <w:rsid w:val="00FE54AE"/>
    <w:rsid w:val="00FE576A"/>
    <w:rsid w:val="00FE7E79"/>
    <w:rsid w:val="00FF3E7D"/>
    <w:rsid w:val="00FF5B99"/>
    <w:rsid w:val="00FF730C"/>
    <w:rsid w:val="00FF73F4"/>
    <w:rsid w:val="00FF7CE4"/>
    <w:rsid w:val="00FF7E39"/>
    <w:rsid w:val="042A198F"/>
    <w:rsid w:val="04700DA8"/>
    <w:rsid w:val="052C2323"/>
    <w:rsid w:val="05F31C91"/>
    <w:rsid w:val="06B331CE"/>
    <w:rsid w:val="0A546366"/>
    <w:rsid w:val="0B4755FC"/>
    <w:rsid w:val="0F156190"/>
    <w:rsid w:val="101747CE"/>
    <w:rsid w:val="127557DC"/>
    <w:rsid w:val="13EA00CD"/>
    <w:rsid w:val="14883EEC"/>
    <w:rsid w:val="163559AE"/>
    <w:rsid w:val="18970459"/>
    <w:rsid w:val="19C0292F"/>
    <w:rsid w:val="1B1A7868"/>
    <w:rsid w:val="1BA23AE5"/>
    <w:rsid w:val="1C550B58"/>
    <w:rsid w:val="1C915908"/>
    <w:rsid w:val="1EEE2B9E"/>
    <w:rsid w:val="1FA567E1"/>
    <w:rsid w:val="20971013"/>
    <w:rsid w:val="20D44015"/>
    <w:rsid w:val="21130FE1"/>
    <w:rsid w:val="244C0899"/>
    <w:rsid w:val="24A438C3"/>
    <w:rsid w:val="28341F69"/>
    <w:rsid w:val="287A1946"/>
    <w:rsid w:val="29BD7D3C"/>
    <w:rsid w:val="2AC85AC0"/>
    <w:rsid w:val="2E053A60"/>
    <w:rsid w:val="2F1E74CF"/>
    <w:rsid w:val="2F792957"/>
    <w:rsid w:val="31271ED2"/>
    <w:rsid w:val="33291F9F"/>
    <w:rsid w:val="37AC319E"/>
    <w:rsid w:val="3C44609B"/>
    <w:rsid w:val="3E4E3201"/>
    <w:rsid w:val="410A78B3"/>
    <w:rsid w:val="4484172B"/>
    <w:rsid w:val="4489178C"/>
    <w:rsid w:val="45961716"/>
    <w:rsid w:val="48C93F7A"/>
    <w:rsid w:val="490E3CB9"/>
    <w:rsid w:val="4AAC5537"/>
    <w:rsid w:val="4EA8070C"/>
    <w:rsid w:val="4FBA6948"/>
    <w:rsid w:val="5043249A"/>
    <w:rsid w:val="505F4DFA"/>
    <w:rsid w:val="50A078EC"/>
    <w:rsid w:val="51E94741"/>
    <w:rsid w:val="51FC6361"/>
    <w:rsid w:val="54F77CF7"/>
    <w:rsid w:val="59A541C5"/>
    <w:rsid w:val="5EC56770"/>
    <w:rsid w:val="60B60A66"/>
    <w:rsid w:val="61021EFD"/>
    <w:rsid w:val="64E8140A"/>
    <w:rsid w:val="661029C7"/>
    <w:rsid w:val="67FC4B01"/>
    <w:rsid w:val="699B2EEF"/>
    <w:rsid w:val="69B24D5F"/>
    <w:rsid w:val="6BFB2851"/>
    <w:rsid w:val="6D885538"/>
    <w:rsid w:val="6F433E0D"/>
    <w:rsid w:val="6F926B42"/>
    <w:rsid w:val="6FE84856"/>
    <w:rsid w:val="753366D1"/>
    <w:rsid w:val="76BA0E58"/>
    <w:rsid w:val="7718792D"/>
    <w:rsid w:val="7E8D0C00"/>
    <w:rsid w:val="7FA41B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link w:val="232"/>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link w:val="233"/>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未处理的提及1"/>
    <w:basedOn w:val="28"/>
    <w:semiHidden/>
    <w:unhideWhenUsed/>
    <w:qFormat/>
    <w:uiPriority w:val="99"/>
    <w:rPr>
      <w:color w:val="605E5C"/>
      <w:shd w:val="clear" w:color="auto" w:fill="E1DFDD"/>
    </w:rPr>
  </w:style>
  <w:style w:type="character" w:customStyle="1" w:styleId="231">
    <w:name w:val="highlight"/>
    <w:basedOn w:val="28"/>
    <w:qFormat/>
    <w:uiPriority w:val="0"/>
  </w:style>
  <w:style w:type="character" w:customStyle="1" w:styleId="232">
    <w:name w:val="目录 1 Char"/>
    <w:link w:val="19"/>
    <w:uiPriority w:val="39"/>
    <w:rPr>
      <w:rFonts w:ascii="宋体"/>
    </w:rPr>
  </w:style>
  <w:style w:type="character" w:customStyle="1" w:styleId="233">
    <w:name w:val="目录 2 Char"/>
    <w:link w:val="24"/>
    <w:uiPriority w:val="39"/>
    <w:rPr>
      <w:rFonts w:ascii="宋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jpe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9AF70F5CA694CCEB08362DA0B5254F7"/>
        <w:style w:val=""/>
        <w:category>
          <w:name w:val="常规"/>
          <w:gallery w:val="placeholder"/>
        </w:category>
        <w:types>
          <w:type w:val="bbPlcHdr"/>
        </w:types>
        <w:behaviors>
          <w:behavior w:val="content"/>
        </w:behaviors>
        <w:description w:val=""/>
        <w:guid w:val="{6B8AC755-89FA-4806-BAF7-35C86E9BD480}"/>
      </w:docPartPr>
      <w:docPartBody>
        <w:p w14:paraId="0944DF67">
          <w:pPr>
            <w:pStyle w:val="5"/>
          </w:pPr>
          <w:r>
            <w:rPr>
              <w:rStyle w:val="4"/>
              <w:rFonts w:hint="eastAsia"/>
            </w:rPr>
            <w:t>单击或点击此处输入文字。</w:t>
          </w:r>
        </w:p>
      </w:docPartBody>
    </w:docPart>
    <w:docPart>
      <w:docPartPr>
        <w:name w:val="57B2E644E2D04F10B79986B79DBE3A65"/>
        <w:style w:val=""/>
        <w:category>
          <w:name w:val="常规"/>
          <w:gallery w:val="placeholder"/>
        </w:category>
        <w:types>
          <w:type w:val="bbPlcHdr"/>
        </w:types>
        <w:behaviors>
          <w:behavior w:val="content"/>
        </w:behaviors>
        <w:description w:val=""/>
        <w:guid w:val="{4A462FBE-0547-42BC-931F-D18B70C5604F}"/>
      </w:docPartPr>
      <w:docPartBody>
        <w:p w14:paraId="4917B6CE">
          <w:pPr>
            <w:pStyle w:val="6"/>
          </w:pPr>
          <w:r>
            <w:rPr>
              <w:rStyle w:val="4"/>
              <w:rFonts w:hint="eastAsia"/>
            </w:rPr>
            <w:t>选择一项。</w:t>
          </w:r>
        </w:p>
      </w:docPartBody>
    </w:docPart>
    <w:docPart>
      <w:docPartPr>
        <w:name w:val="1840C6F839D648C288496C5B6EF060C3"/>
        <w:style w:val=""/>
        <w:category>
          <w:name w:val="常规"/>
          <w:gallery w:val="placeholder"/>
        </w:category>
        <w:types>
          <w:type w:val="bbPlcHdr"/>
        </w:types>
        <w:behaviors>
          <w:behavior w:val="content"/>
        </w:behaviors>
        <w:description w:val=""/>
        <w:guid w:val="{16B5FE9B-EAAD-4D26-94CF-4966B98FCA59}"/>
      </w:docPartPr>
      <w:docPartBody>
        <w:p w14:paraId="63EAD75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674C93"/>
    <w:rsid w:val="00027633"/>
    <w:rsid w:val="00045D40"/>
    <w:rsid w:val="000C46A7"/>
    <w:rsid w:val="00104B21"/>
    <w:rsid w:val="00164EA0"/>
    <w:rsid w:val="00354348"/>
    <w:rsid w:val="00613F8C"/>
    <w:rsid w:val="00622CE2"/>
    <w:rsid w:val="00674C93"/>
    <w:rsid w:val="00720197"/>
    <w:rsid w:val="007919D4"/>
    <w:rsid w:val="008835FD"/>
    <w:rsid w:val="009E2787"/>
    <w:rsid w:val="00A663F1"/>
    <w:rsid w:val="00A85299"/>
    <w:rsid w:val="00E0195E"/>
    <w:rsid w:val="00E4275A"/>
    <w:rsid w:val="00EB0570"/>
    <w:rsid w:val="00EE1073"/>
    <w:rsid w:val="00F31D1B"/>
    <w:rsid w:val="00F530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9AF70F5CA694CCEB08362DA0B5254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7B2E644E2D04F10B79986B79DBE3A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840C6F839D648C288496C5B6EF060C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1569</Words>
  <Characters>2397</Characters>
  <Lines>27</Lines>
  <Paragraphs>7</Paragraphs>
  <TotalTime>0</TotalTime>
  <ScaleCrop>false</ScaleCrop>
  <LinksUpToDate>false</LinksUpToDate>
  <CharactersWithSpaces>2502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2023-09-06T13:38:00Z</dcterms:created>
  <dc:creator>cathy</dc:creator>
  <dc:description>&lt;config cover="true" show_menu="true" version="1.0.0" doctype="SDKXY"&gt;_x000d_
&lt;/config&gt;</dc:description>
  <cp:lastModifiedBy>雄雄</cp:lastModifiedBy>
  <cp:lastPrinted>2023-09-08T07:24:00Z</cp:lastPrinted>
  <dcterms:modified xsi:type="dcterms:W3CDTF">2025-01-03T04:51:08Z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0503FBB5B8294B6A9F4369B19410DEAC_12</vt:lpwstr>
  </property>
  <property fmtid="{D5CDD505-2E9C-101B-9397-08002B2CF9AE}" pid="17" name="KSOTemplateDocerSaveRecord">
    <vt:lpwstr>eyJoZGlkIjoiNzE4MzEyMDc2OTJkNjllNGNlZmQ0MzZlZmQ2YTQ5YmUiLCJ1c2VySWQiOiI0NzU3NjM2OTMifQ==</vt:lpwstr>
  </property>
</Properties>
</file>