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6DFA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39E4DCC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1BF7A773">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0"/>
          </w:p>
        </w:tc>
      </w:tr>
      <w:tr w14:paraId="32227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E18DFA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p w14:paraId="2B49327C">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14:paraId="50AF72D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14:paraId="6FEC20B3">
            <w:pPr>
              <w:pStyle w:val="49"/>
              <w:framePr w:w="0" w:hRule="auto" w:wrap="auto" w:vAnchor="margin" w:hAnchor="text" w:xAlign="left" w:yAlign="inline"/>
              <w:rPr>
                <w:rFonts w:ascii="宋体" w:hAnsi="宋体"/>
                <w:sz w:val="28"/>
                <w:szCs w:val="28"/>
              </w:rPr>
            </w:pPr>
            <w:bookmarkStart w:id="2" w:name="_Hlk26473981"/>
            <w:r>
              <w:fldChar w:fldCharType="begin">
                <w:ffData>
                  <w:name w:val="c1"/>
                  <w:enabled/>
                  <w:calcOnExit w:val="0"/>
                  <w:textInput>
                    <w:maxLength w:val="8"/>
                  </w:textInput>
                </w:ffData>
              </w:fldChar>
            </w:r>
            <w:bookmarkStart w:id="3" w:name="c1"/>
            <w:r>
              <w:instrText xml:space="preserve"> FORMTEXT </w:instrText>
            </w:r>
            <w:r>
              <w:fldChar w:fldCharType="separate"/>
            </w:r>
            <w:r>
              <w:t>DB</w:t>
            </w:r>
            <w:r>
              <w:rPr>
                <w:rFonts w:hint="eastAsia"/>
                <w:lang w:val="en-US" w:eastAsia="zh-CN"/>
              </w:rPr>
              <w:t>54</w:t>
            </w:r>
            <w:r>
              <w:fldChar w:fldCharType="end"/>
            </w:r>
            <w:bookmarkEnd w:id="3"/>
          </w:p>
        </w:tc>
      </w:tr>
    </w:tbl>
    <w:p w14:paraId="75D610E6">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lang w:eastAsia="zh-CN"/>
        </w:rPr>
        <w:t>西藏自治区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053437D">
      <w:pPr>
        <w:pStyle w:val="195"/>
      </w:pPr>
      <w:r>
        <w:t>DB</w:t>
      </w:r>
      <w:r>
        <w:fldChar w:fldCharType="begin">
          <w:ffData>
            <w:name w:val="文字1"/>
            <w:enabled/>
            <w:calcOnExit w:val="0"/>
            <w:textInput>
              <w:default w:val="XX"/>
            </w:textInput>
          </w:ffData>
        </w:fldChar>
      </w:r>
      <w:bookmarkStart w:id="5" w:name="文字1"/>
      <w:r>
        <w:instrText xml:space="preserve"> FORMTEXT </w:instrText>
      </w:r>
      <w:r>
        <w:fldChar w:fldCharType="separate"/>
      </w:r>
      <w:r>
        <w:rPr>
          <w:rFonts w:hint="eastAsia"/>
          <w:lang w:val="en-US" w:eastAsia="zh-CN"/>
        </w:rPr>
        <w:t>54</w:t>
      </w:r>
      <w:r>
        <w:t>/T</w:t>
      </w:r>
      <w:r>
        <w:fldChar w:fldCharType="end"/>
      </w:r>
      <w:bookmarkEnd w:id="5"/>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 xml:space="preserve"> </w:t>
      </w:r>
      <w:r>
        <w:rPr>
          <w:rFonts w:hint="eastAsia"/>
          <w:lang w:val="en-US" w:eastAsia="zh-CN"/>
        </w:rP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lang w:val="en-US" w:eastAsia="zh-CN"/>
        </w:rPr>
        <w:t>XXXX</w:t>
      </w:r>
      <w:r>
        <w:fldChar w:fldCharType="end"/>
      </w:r>
      <w:bookmarkEnd w:id="7"/>
    </w:p>
    <w:p w14:paraId="0550D6AC">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fldChar w:fldCharType="end"/>
      </w:r>
      <w:bookmarkEnd w:id="8"/>
    </w:p>
    <w:p w14:paraId="09484A2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14:paraId="35522A9D">
      <w:pPr>
        <w:pStyle w:val="50"/>
        <w:framePr w:w="9639" w:h="6976" w:hRule="exact" w:hSpace="0" w:vSpace="0" w:wrap="around" w:hAnchor="page" w:y="6408"/>
        <w:jc w:val="center"/>
        <w:rPr>
          <w:rFonts w:ascii="黑体" w:hAnsi="黑体" w:eastAsia="黑体"/>
          <w:b w:val="0"/>
          <w:bCs w:val="0"/>
          <w:w w:val="100"/>
        </w:rPr>
      </w:pPr>
    </w:p>
    <w:p w14:paraId="3980A4AE">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菜用油菜生产技术规程</w:t>
      </w:r>
      <w:r>
        <w:fldChar w:fldCharType="end"/>
      </w:r>
      <w:bookmarkEnd w:id="9"/>
    </w:p>
    <w:p w14:paraId="173A6734">
      <w:pPr>
        <w:framePr w:w="9639" w:h="6974" w:hRule="exact" w:wrap="around" w:vAnchor="page" w:hAnchor="page" w:x="1419" w:y="6408" w:anchorLock="1"/>
        <w:ind w:left="-1418"/>
      </w:pPr>
    </w:p>
    <w:p w14:paraId="3695EE03">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w:t>
      </w:r>
      <w:r>
        <w:rPr>
          <w:rFonts w:ascii="黑体" w:hAnsi="黑体" w:eastAsia="黑体"/>
          <w:szCs w:val="28"/>
        </w:rPr>
        <w:fldChar w:fldCharType="end"/>
      </w:r>
      <w:bookmarkEnd w:id="10"/>
    </w:p>
    <w:p w14:paraId="30D8C4CE">
      <w:pPr>
        <w:framePr w:w="9639" w:h="6974" w:hRule="exact" w:wrap="around" w:vAnchor="page" w:hAnchor="page" w:x="1419" w:y="6408" w:anchorLock="1"/>
        <w:spacing w:line="760" w:lineRule="exact"/>
        <w:ind w:left="-1418"/>
      </w:pPr>
    </w:p>
    <w:p w14:paraId="0702D2E7">
      <w:pPr>
        <w:pStyle w:val="125"/>
        <w:framePr w:w="9639" w:h="6974" w:hRule="exact" w:wrap="around" w:vAnchor="page" w:hAnchor="page" w:x="1419" w:y="6408" w:anchorLock="1"/>
        <w:textAlignment w:val="bottom"/>
        <w:rPr>
          <w:rFonts w:eastAsia="黑体"/>
          <w:szCs w:val="28"/>
        </w:rPr>
      </w:pPr>
    </w:p>
    <w:p w14:paraId="1261A70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750CF51">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lang w:val="en-US" w:eastAsia="zh-CN"/>
        </w:rPr>
        <w:t>     </w:t>
      </w:r>
      <w:r>
        <w:rPr>
          <w:sz w:val="21"/>
          <w:szCs w:val="28"/>
        </w:rPr>
        <w:fldChar w:fldCharType="end"/>
      </w:r>
      <w:bookmarkEnd w:id="12"/>
    </w:p>
    <w:p w14:paraId="022E3D3B">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2EFBC00">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w:t>
      </w:r>
      <w:r>
        <w:rPr>
          <w:rFonts w:hint="eastAsia" w:ascii="黑体"/>
          <w:lang w:val="en-US" w:eastAsia="zh-CN"/>
        </w:rPr>
        <w:t>24</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6"/>
      <w:r>
        <w:rPr>
          <w:rFonts w:hint="eastAsia"/>
        </w:rPr>
        <w:t>发布</w:t>
      </w:r>
    </w:p>
    <w:p w14:paraId="020C355B">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024</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9"/>
      <w:r>
        <w:rPr>
          <w:rFonts w:hint="eastAsia"/>
        </w:rPr>
        <w:t>实施</w:t>
      </w:r>
    </w:p>
    <w:p w14:paraId="29679703">
      <w:pPr>
        <w:pStyle w:val="151"/>
        <w:framePr w:h="584" w:hRule="exact" w:hSpace="181" w:vSpace="181" w:wrap="around" w:y="15027"/>
        <w:rPr>
          <w:rFonts w:hAnsi="黑体"/>
        </w:rPr>
      </w:pPr>
      <w:r>
        <w:rPr>
          <w:rFonts w:hAnsi="黑体"/>
          <w:spacing w:val="20"/>
          <w:sz w:val="28"/>
        </w:rPr>
        <w:fldChar w:fldCharType="begin">
          <w:ffData>
            <w:name w:val="fm"/>
            <w:enabled/>
            <w:calcOnExit w:val="0"/>
            <w:textInput/>
          </w:ffData>
        </w:fldChar>
      </w:r>
      <w:bookmarkStart w:id="20" w:name="fm"/>
      <w:r>
        <w:rPr>
          <w:rFonts w:hAnsi="黑体"/>
          <w:spacing w:val="20"/>
          <w:sz w:val="28"/>
        </w:rPr>
        <w:instrText xml:space="preserve"> FORMTEXT </w:instrText>
      </w:r>
      <w:r>
        <w:rPr>
          <w:rFonts w:hAnsi="黑体"/>
          <w:spacing w:val="20"/>
          <w:sz w:val="28"/>
        </w:rPr>
        <w:fldChar w:fldCharType="separate"/>
      </w:r>
      <w:r>
        <w:rPr>
          <w:rFonts w:hint="eastAsia" w:hAnsi="黑体"/>
          <w:spacing w:val="20"/>
          <w:sz w:val="28"/>
          <w:lang w:eastAsia="zh-CN"/>
        </w:rPr>
        <w:t>西藏自治区</w:t>
      </w:r>
      <w:r>
        <w:rPr>
          <w:rFonts w:hint="eastAsia" w:hAnsi="黑体"/>
          <w:spacing w:val="20"/>
          <w:sz w:val="28"/>
        </w:rPr>
        <w:t>市场监督管理局</w:t>
      </w:r>
      <w:r>
        <w:rPr>
          <w:rFonts w:hAnsi="黑体"/>
          <w:spacing w:val="2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C8107C6">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14:paraId="0B54DE36">
      <w:pPr>
        <w:pStyle w:val="91"/>
        <w:spacing w:after="468"/>
      </w:pPr>
      <w:bookmarkStart w:id="21" w:name="BookMark1"/>
      <w:bookmarkStart w:id="22" w:name="_Toc62479843"/>
      <w:bookmarkStart w:id="23" w:name="_Toc62479868"/>
      <w:bookmarkStart w:id="24" w:name="_Toc62479762"/>
      <w:bookmarkStart w:id="25" w:name="_Toc62479893"/>
      <w:r>
        <w:rPr>
          <w:rFonts w:hint="eastAsia"/>
          <w:spacing w:val="320"/>
        </w:rPr>
        <w:t>目</w:t>
      </w:r>
      <w:r>
        <w:rPr>
          <w:rFonts w:hint="eastAsia"/>
        </w:rPr>
        <w:t>次</w:t>
      </w:r>
    </w:p>
    <w:p w14:paraId="262F59A9">
      <w:pPr>
        <w:pStyle w:val="19"/>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_Toc798 </w:instrText>
      </w:r>
      <w:r>
        <w:fldChar w:fldCharType="separate"/>
      </w:r>
      <w:r>
        <w:rPr>
          <w:spacing w:val="320"/>
        </w:rPr>
        <w:t>前</w:t>
      </w:r>
      <w:r>
        <w:t>言</w:t>
      </w:r>
      <w:r>
        <w:tab/>
      </w:r>
      <w:r>
        <w:fldChar w:fldCharType="begin"/>
      </w:r>
      <w:r>
        <w:instrText xml:space="preserve"> PAGEREF _Toc798 \h </w:instrText>
      </w:r>
      <w:r>
        <w:fldChar w:fldCharType="separate"/>
      </w:r>
      <w:r>
        <w:t>II</w:t>
      </w:r>
      <w:r>
        <w:fldChar w:fldCharType="end"/>
      </w:r>
      <w:r>
        <w:fldChar w:fldCharType="end"/>
      </w:r>
    </w:p>
    <w:p w14:paraId="46D47724">
      <w:pPr>
        <w:pStyle w:val="19"/>
        <w:tabs>
          <w:tab w:val="right" w:leader="dot" w:pos="9354"/>
        </w:tabs>
      </w:pPr>
      <w:r>
        <w:fldChar w:fldCharType="begin"/>
      </w:r>
      <w:r>
        <w:instrText xml:space="preserve"> HYPERLINK \l _Toc26354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_Toc26354 \h </w:instrText>
      </w:r>
      <w:r>
        <w:fldChar w:fldCharType="separate"/>
      </w:r>
      <w:r>
        <w:t>1</w:t>
      </w:r>
      <w:r>
        <w:fldChar w:fldCharType="end"/>
      </w:r>
      <w:r>
        <w:fldChar w:fldCharType="end"/>
      </w:r>
    </w:p>
    <w:p w14:paraId="2B597FD4">
      <w:pPr>
        <w:pStyle w:val="19"/>
        <w:tabs>
          <w:tab w:val="right" w:leader="dot" w:pos="9354"/>
        </w:tabs>
      </w:pPr>
      <w:r>
        <w:fldChar w:fldCharType="begin"/>
      </w:r>
      <w:r>
        <w:instrText xml:space="preserve"> HYPERLINK \l _Toc21354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_Toc21354 \h </w:instrText>
      </w:r>
      <w:r>
        <w:fldChar w:fldCharType="separate"/>
      </w:r>
      <w:r>
        <w:t>1</w:t>
      </w:r>
      <w:r>
        <w:fldChar w:fldCharType="end"/>
      </w:r>
      <w:r>
        <w:fldChar w:fldCharType="end"/>
      </w:r>
    </w:p>
    <w:p w14:paraId="454C2657">
      <w:pPr>
        <w:pStyle w:val="19"/>
        <w:tabs>
          <w:tab w:val="right" w:leader="dot" w:pos="9354"/>
        </w:tabs>
      </w:pPr>
      <w:r>
        <w:fldChar w:fldCharType="begin"/>
      </w:r>
      <w:r>
        <w:instrText xml:space="preserve"> HYPERLINK \l _Toc18388 </w:instrText>
      </w:r>
      <w:r>
        <w:fldChar w:fldCharType="separate"/>
      </w:r>
      <w:r>
        <w:rPr>
          <w:rFonts w:hint="eastAsia" w:ascii="黑体" w:eastAsia="黑体"/>
          <w:i w:val="0"/>
          <w:szCs w:val="21"/>
        </w:rPr>
        <w:t xml:space="preserve">3 </w:t>
      </w:r>
      <w:r>
        <w:rPr>
          <w:rFonts w:hint="eastAsia"/>
          <w:szCs w:val="21"/>
        </w:rPr>
        <w:t>术语和定义</w:t>
      </w:r>
      <w:r>
        <w:tab/>
      </w:r>
      <w:r>
        <w:fldChar w:fldCharType="begin"/>
      </w:r>
      <w:r>
        <w:instrText xml:space="preserve"> PAGEREF _Toc18388 \h </w:instrText>
      </w:r>
      <w:r>
        <w:fldChar w:fldCharType="separate"/>
      </w:r>
      <w:r>
        <w:t>1</w:t>
      </w:r>
      <w:r>
        <w:fldChar w:fldCharType="end"/>
      </w:r>
      <w:r>
        <w:fldChar w:fldCharType="end"/>
      </w:r>
    </w:p>
    <w:p w14:paraId="3B08D032">
      <w:pPr>
        <w:pStyle w:val="19"/>
        <w:tabs>
          <w:tab w:val="right" w:leader="dot" w:pos="9354"/>
        </w:tabs>
      </w:pPr>
      <w:r>
        <w:fldChar w:fldCharType="begin"/>
      </w:r>
      <w:r>
        <w:instrText xml:space="preserve"> HYPERLINK \l _Toc30736 </w:instrText>
      </w:r>
      <w:r>
        <w:fldChar w:fldCharType="separate"/>
      </w:r>
      <w:r>
        <w:rPr>
          <w:rFonts w:hint="eastAsia" w:ascii="黑体" w:eastAsia="黑体"/>
          <w:i w:val="0"/>
        </w:rPr>
        <w:t xml:space="preserve">4 </w:t>
      </w:r>
      <w:r>
        <w:rPr>
          <w:rFonts w:hint="eastAsia"/>
        </w:rPr>
        <w:t>产地环境条件</w:t>
      </w:r>
      <w:r>
        <w:tab/>
      </w:r>
      <w:r>
        <w:fldChar w:fldCharType="begin"/>
      </w:r>
      <w:r>
        <w:instrText xml:space="preserve"> PAGEREF _Toc30736 \h </w:instrText>
      </w:r>
      <w:r>
        <w:fldChar w:fldCharType="separate"/>
      </w:r>
      <w:r>
        <w:t>1</w:t>
      </w:r>
      <w:r>
        <w:fldChar w:fldCharType="end"/>
      </w:r>
      <w:r>
        <w:fldChar w:fldCharType="end"/>
      </w:r>
      <w:bookmarkStart w:id="131" w:name="_GoBack"/>
      <w:bookmarkEnd w:id="131"/>
    </w:p>
    <w:p w14:paraId="1C103BA1">
      <w:pPr>
        <w:pStyle w:val="19"/>
        <w:tabs>
          <w:tab w:val="right" w:leader="dot" w:pos="9354"/>
        </w:tabs>
      </w:pPr>
      <w:r>
        <w:fldChar w:fldCharType="begin"/>
      </w:r>
      <w:r>
        <w:instrText xml:space="preserve"> HYPERLINK \l _Toc20749 </w:instrText>
      </w:r>
      <w:r>
        <w:fldChar w:fldCharType="separate"/>
      </w:r>
      <w:r>
        <w:rPr>
          <w:rFonts w:hint="eastAsia" w:ascii="黑体" w:eastAsia="黑体"/>
          <w:i w:val="0"/>
        </w:rPr>
        <w:t xml:space="preserve">5 </w:t>
      </w:r>
      <w:r>
        <w:rPr>
          <w:rFonts w:hint="eastAsia"/>
        </w:rPr>
        <w:t>品种选择</w:t>
      </w:r>
      <w:r>
        <w:tab/>
      </w:r>
      <w:r>
        <w:fldChar w:fldCharType="begin"/>
      </w:r>
      <w:r>
        <w:instrText xml:space="preserve"> PAGEREF _Toc20749 \h </w:instrText>
      </w:r>
      <w:r>
        <w:fldChar w:fldCharType="separate"/>
      </w:r>
      <w:r>
        <w:t>1</w:t>
      </w:r>
      <w:r>
        <w:fldChar w:fldCharType="end"/>
      </w:r>
      <w:r>
        <w:fldChar w:fldCharType="end"/>
      </w:r>
    </w:p>
    <w:p w14:paraId="303AE7D7">
      <w:pPr>
        <w:pStyle w:val="19"/>
        <w:tabs>
          <w:tab w:val="right" w:leader="dot" w:pos="9354"/>
        </w:tabs>
      </w:pPr>
      <w:r>
        <w:fldChar w:fldCharType="begin"/>
      </w:r>
      <w:r>
        <w:instrText xml:space="preserve"> HYPERLINK \l _Toc9975 </w:instrText>
      </w:r>
      <w:r>
        <w:fldChar w:fldCharType="separate"/>
      </w:r>
      <w:r>
        <w:rPr>
          <w:rFonts w:hint="eastAsia" w:ascii="黑体" w:eastAsia="黑体"/>
          <w:i w:val="0"/>
        </w:rPr>
        <w:t xml:space="preserve">6 </w:t>
      </w:r>
      <w:r>
        <w:rPr>
          <w:rFonts w:hint="eastAsia"/>
        </w:rPr>
        <w:t>播种</w:t>
      </w:r>
      <w:r>
        <w:tab/>
      </w:r>
      <w:r>
        <w:fldChar w:fldCharType="begin"/>
      </w:r>
      <w:r>
        <w:instrText xml:space="preserve"> PAGEREF _Toc9975 \h </w:instrText>
      </w:r>
      <w:r>
        <w:fldChar w:fldCharType="separate"/>
      </w:r>
      <w:r>
        <w:t>2</w:t>
      </w:r>
      <w:r>
        <w:fldChar w:fldCharType="end"/>
      </w:r>
      <w:r>
        <w:fldChar w:fldCharType="end"/>
      </w:r>
    </w:p>
    <w:p w14:paraId="63D04827">
      <w:pPr>
        <w:pStyle w:val="24"/>
        <w:tabs>
          <w:tab w:val="right" w:leader="dot" w:pos="9354"/>
          <w:tab w:val="clear" w:pos="9344"/>
        </w:tabs>
      </w:pPr>
      <w:r>
        <w:fldChar w:fldCharType="begin"/>
      </w:r>
      <w:r>
        <w:instrText xml:space="preserve"> HYPERLINK \l _Toc18021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6.1 </w:t>
      </w:r>
      <w:r>
        <w:rPr>
          <w:rFonts w:hint="eastAsia"/>
        </w:rPr>
        <w:t>地块选择</w:t>
      </w:r>
      <w:r>
        <w:tab/>
      </w:r>
      <w:r>
        <w:fldChar w:fldCharType="begin"/>
      </w:r>
      <w:r>
        <w:instrText xml:space="preserve"> PAGEREF _Toc18021 \h </w:instrText>
      </w:r>
      <w:r>
        <w:fldChar w:fldCharType="separate"/>
      </w:r>
      <w:r>
        <w:t>2</w:t>
      </w:r>
      <w:r>
        <w:fldChar w:fldCharType="end"/>
      </w:r>
      <w:r>
        <w:fldChar w:fldCharType="end"/>
      </w:r>
    </w:p>
    <w:p w14:paraId="1D7B656F">
      <w:pPr>
        <w:pStyle w:val="24"/>
        <w:tabs>
          <w:tab w:val="right" w:leader="dot" w:pos="9354"/>
          <w:tab w:val="clear" w:pos="9344"/>
        </w:tabs>
      </w:pPr>
      <w:r>
        <w:fldChar w:fldCharType="begin"/>
      </w:r>
      <w:r>
        <w:instrText xml:space="preserve"> HYPERLINK \l _Toc17479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6.2 </w:t>
      </w:r>
      <w:r>
        <w:rPr>
          <w:rFonts w:hint="eastAsia"/>
          <w:lang w:val="en-US" w:eastAsia="zh-CN"/>
        </w:rPr>
        <w:t>底</w:t>
      </w:r>
      <w:r>
        <w:rPr>
          <w:rFonts w:hint="eastAsia"/>
        </w:rPr>
        <w:t>肥</w:t>
      </w:r>
      <w:r>
        <w:tab/>
      </w:r>
      <w:r>
        <w:fldChar w:fldCharType="begin"/>
      </w:r>
      <w:r>
        <w:instrText xml:space="preserve"> PAGEREF _Toc17479 \h </w:instrText>
      </w:r>
      <w:r>
        <w:fldChar w:fldCharType="separate"/>
      </w:r>
      <w:r>
        <w:t>2</w:t>
      </w:r>
      <w:r>
        <w:fldChar w:fldCharType="end"/>
      </w:r>
      <w:r>
        <w:fldChar w:fldCharType="end"/>
      </w:r>
    </w:p>
    <w:p w14:paraId="7461ACAB">
      <w:pPr>
        <w:pStyle w:val="24"/>
        <w:tabs>
          <w:tab w:val="right" w:leader="dot" w:pos="9354"/>
          <w:tab w:val="clear" w:pos="9344"/>
        </w:tabs>
      </w:pPr>
      <w:r>
        <w:fldChar w:fldCharType="begin"/>
      </w:r>
      <w:r>
        <w:instrText xml:space="preserve"> HYPERLINK \l _Toc14094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6.3 </w:t>
      </w:r>
      <w:r>
        <w:rPr>
          <w:rFonts w:hint="eastAsia"/>
        </w:rPr>
        <w:t>整地</w:t>
      </w:r>
      <w:r>
        <w:tab/>
      </w:r>
      <w:r>
        <w:fldChar w:fldCharType="begin"/>
      </w:r>
      <w:r>
        <w:instrText xml:space="preserve"> PAGEREF _Toc14094 \h </w:instrText>
      </w:r>
      <w:r>
        <w:fldChar w:fldCharType="separate"/>
      </w:r>
      <w:r>
        <w:t>2</w:t>
      </w:r>
      <w:r>
        <w:fldChar w:fldCharType="end"/>
      </w:r>
      <w:r>
        <w:fldChar w:fldCharType="end"/>
      </w:r>
    </w:p>
    <w:p w14:paraId="2F77BDCF">
      <w:pPr>
        <w:pStyle w:val="24"/>
        <w:tabs>
          <w:tab w:val="right" w:leader="dot" w:pos="9354"/>
          <w:tab w:val="clear" w:pos="9344"/>
        </w:tabs>
      </w:pPr>
      <w:r>
        <w:fldChar w:fldCharType="begin"/>
      </w:r>
      <w:r>
        <w:instrText xml:space="preserve"> HYPERLINK \l _Toc22177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6.4 </w:t>
      </w:r>
      <w:r>
        <w:rPr>
          <w:rFonts w:hint="eastAsia"/>
        </w:rPr>
        <w:t>播种期</w:t>
      </w:r>
      <w:r>
        <w:tab/>
      </w:r>
      <w:r>
        <w:fldChar w:fldCharType="begin"/>
      </w:r>
      <w:r>
        <w:instrText xml:space="preserve"> PAGEREF _Toc22177 \h </w:instrText>
      </w:r>
      <w:r>
        <w:fldChar w:fldCharType="separate"/>
      </w:r>
      <w:r>
        <w:t>2</w:t>
      </w:r>
      <w:r>
        <w:fldChar w:fldCharType="end"/>
      </w:r>
      <w:r>
        <w:fldChar w:fldCharType="end"/>
      </w:r>
    </w:p>
    <w:p w14:paraId="22B8CE47">
      <w:pPr>
        <w:pStyle w:val="24"/>
        <w:tabs>
          <w:tab w:val="right" w:leader="dot" w:pos="9354"/>
          <w:tab w:val="clear" w:pos="9344"/>
        </w:tabs>
      </w:pPr>
      <w:r>
        <w:fldChar w:fldCharType="begin"/>
      </w:r>
      <w:r>
        <w:instrText xml:space="preserve"> HYPERLINK \l _Toc6306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6.5 </w:t>
      </w:r>
      <w:r>
        <w:rPr>
          <w:rFonts w:hint="eastAsia"/>
        </w:rPr>
        <w:t>播种方式</w:t>
      </w:r>
      <w:r>
        <w:tab/>
      </w:r>
      <w:r>
        <w:fldChar w:fldCharType="begin"/>
      </w:r>
      <w:r>
        <w:instrText xml:space="preserve"> PAGEREF _Toc6306 \h </w:instrText>
      </w:r>
      <w:r>
        <w:fldChar w:fldCharType="separate"/>
      </w:r>
      <w:r>
        <w:t>2</w:t>
      </w:r>
      <w:r>
        <w:fldChar w:fldCharType="end"/>
      </w:r>
      <w:r>
        <w:fldChar w:fldCharType="end"/>
      </w:r>
    </w:p>
    <w:p w14:paraId="2B734EE2">
      <w:pPr>
        <w:pStyle w:val="24"/>
        <w:tabs>
          <w:tab w:val="right" w:leader="dot" w:pos="9354"/>
          <w:tab w:val="clear" w:pos="9344"/>
        </w:tabs>
      </w:pPr>
      <w:r>
        <w:fldChar w:fldCharType="begin"/>
      </w:r>
      <w:r>
        <w:instrText xml:space="preserve"> HYPERLINK \l _Toc5923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6.6 </w:t>
      </w:r>
      <w:r>
        <w:rPr>
          <w:rFonts w:hint="eastAsia"/>
        </w:rPr>
        <w:t>播量</w:t>
      </w:r>
      <w:r>
        <w:tab/>
      </w:r>
      <w:r>
        <w:fldChar w:fldCharType="begin"/>
      </w:r>
      <w:r>
        <w:instrText xml:space="preserve"> PAGEREF _Toc5923 \h </w:instrText>
      </w:r>
      <w:r>
        <w:fldChar w:fldCharType="separate"/>
      </w:r>
      <w:r>
        <w:t>2</w:t>
      </w:r>
      <w:r>
        <w:fldChar w:fldCharType="end"/>
      </w:r>
      <w:r>
        <w:fldChar w:fldCharType="end"/>
      </w:r>
    </w:p>
    <w:p w14:paraId="2A178706">
      <w:pPr>
        <w:pStyle w:val="19"/>
        <w:tabs>
          <w:tab w:val="right" w:leader="dot" w:pos="9354"/>
        </w:tabs>
      </w:pPr>
      <w:r>
        <w:fldChar w:fldCharType="begin"/>
      </w:r>
      <w:r>
        <w:instrText xml:space="preserve"> HYPERLINK \l _Toc6665 </w:instrText>
      </w:r>
      <w:r>
        <w:fldChar w:fldCharType="separate"/>
      </w:r>
      <w:r>
        <w:rPr>
          <w:rFonts w:hint="eastAsia" w:ascii="黑体" w:eastAsia="黑体"/>
          <w:i w:val="0"/>
        </w:rPr>
        <w:t xml:space="preserve">7 </w:t>
      </w:r>
      <w:r>
        <w:rPr>
          <w:rFonts w:hint="eastAsia"/>
        </w:rPr>
        <w:t>田间管理</w:t>
      </w:r>
      <w:r>
        <w:tab/>
      </w:r>
      <w:r>
        <w:fldChar w:fldCharType="begin"/>
      </w:r>
      <w:r>
        <w:instrText xml:space="preserve"> PAGEREF _Toc6665 \h </w:instrText>
      </w:r>
      <w:r>
        <w:fldChar w:fldCharType="separate"/>
      </w:r>
      <w:r>
        <w:t>2</w:t>
      </w:r>
      <w:r>
        <w:fldChar w:fldCharType="end"/>
      </w:r>
      <w:r>
        <w:fldChar w:fldCharType="end"/>
      </w:r>
    </w:p>
    <w:p w14:paraId="11EE89DD">
      <w:pPr>
        <w:pStyle w:val="24"/>
        <w:tabs>
          <w:tab w:val="right" w:leader="dot" w:pos="9354"/>
          <w:tab w:val="clear" w:pos="9344"/>
        </w:tabs>
      </w:pPr>
      <w:r>
        <w:fldChar w:fldCharType="begin"/>
      </w:r>
      <w:r>
        <w:instrText xml:space="preserve"> HYPERLINK \l _Toc29259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7.1 </w:t>
      </w:r>
      <w:r>
        <w:rPr>
          <w:rFonts w:hint="eastAsia"/>
        </w:rPr>
        <w:t>除草</w:t>
      </w:r>
      <w:r>
        <w:tab/>
      </w:r>
      <w:r>
        <w:fldChar w:fldCharType="begin"/>
      </w:r>
      <w:r>
        <w:instrText xml:space="preserve"> PAGEREF _Toc29259 \h </w:instrText>
      </w:r>
      <w:r>
        <w:fldChar w:fldCharType="separate"/>
      </w:r>
      <w:r>
        <w:t>2</w:t>
      </w:r>
      <w:r>
        <w:fldChar w:fldCharType="end"/>
      </w:r>
      <w:r>
        <w:fldChar w:fldCharType="end"/>
      </w:r>
    </w:p>
    <w:p w14:paraId="3E10285A">
      <w:pPr>
        <w:pStyle w:val="24"/>
        <w:tabs>
          <w:tab w:val="right" w:leader="dot" w:pos="9354"/>
          <w:tab w:val="clear" w:pos="9344"/>
        </w:tabs>
      </w:pPr>
      <w:r>
        <w:fldChar w:fldCharType="begin"/>
      </w:r>
      <w:r>
        <w:instrText xml:space="preserve"> HYPERLINK \l _Toc29209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7.2 </w:t>
      </w:r>
      <w:r>
        <w:rPr>
          <w:rFonts w:hint="eastAsia"/>
        </w:rPr>
        <w:t>定苗</w:t>
      </w:r>
      <w:r>
        <w:tab/>
      </w:r>
      <w:r>
        <w:fldChar w:fldCharType="begin"/>
      </w:r>
      <w:r>
        <w:instrText xml:space="preserve"> PAGEREF _Toc29209 \h </w:instrText>
      </w:r>
      <w:r>
        <w:fldChar w:fldCharType="separate"/>
      </w:r>
      <w:r>
        <w:t>2</w:t>
      </w:r>
      <w:r>
        <w:fldChar w:fldCharType="end"/>
      </w:r>
      <w:r>
        <w:fldChar w:fldCharType="end"/>
      </w:r>
    </w:p>
    <w:p w14:paraId="0A2A512B">
      <w:pPr>
        <w:pStyle w:val="24"/>
        <w:tabs>
          <w:tab w:val="right" w:leader="dot" w:pos="9354"/>
          <w:tab w:val="clear" w:pos="9344"/>
        </w:tabs>
      </w:pPr>
      <w:r>
        <w:fldChar w:fldCharType="begin"/>
      </w:r>
      <w:r>
        <w:instrText xml:space="preserve"> HYPERLINK \l _Toc5795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7.3 </w:t>
      </w:r>
      <w:r>
        <w:rPr>
          <w:rFonts w:hint="eastAsia"/>
        </w:rPr>
        <w:t>追肥</w:t>
      </w:r>
      <w:r>
        <w:tab/>
      </w:r>
      <w:r>
        <w:fldChar w:fldCharType="begin"/>
      </w:r>
      <w:r>
        <w:instrText xml:space="preserve"> PAGEREF _Toc5795 \h </w:instrText>
      </w:r>
      <w:r>
        <w:fldChar w:fldCharType="separate"/>
      </w:r>
      <w:r>
        <w:t>2</w:t>
      </w:r>
      <w:r>
        <w:fldChar w:fldCharType="end"/>
      </w:r>
      <w:r>
        <w:fldChar w:fldCharType="end"/>
      </w:r>
    </w:p>
    <w:p w14:paraId="3CA82CD8">
      <w:pPr>
        <w:pStyle w:val="24"/>
        <w:tabs>
          <w:tab w:val="right" w:leader="dot" w:pos="9354"/>
          <w:tab w:val="clear" w:pos="9344"/>
        </w:tabs>
      </w:pPr>
      <w:r>
        <w:fldChar w:fldCharType="begin"/>
      </w:r>
      <w:r>
        <w:instrText xml:space="preserve"> HYPERLINK \l _Toc17429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7.4 </w:t>
      </w:r>
      <w:r>
        <w:rPr>
          <w:rFonts w:hint="eastAsia"/>
        </w:rPr>
        <w:t>虫害防治</w:t>
      </w:r>
      <w:r>
        <w:tab/>
      </w:r>
      <w:r>
        <w:fldChar w:fldCharType="begin"/>
      </w:r>
      <w:r>
        <w:instrText xml:space="preserve"> PAGEREF _Toc17429 \h </w:instrText>
      </w:r>
      <w:r>
        <w:fldChar w:fldCharType="separate"/>
      </w:r>
      <w:r>
        <w:t>2</w:t>
      </w:r>
      <w:r>
        <w:fldChar w:fldCharType="end"/>
      </w:r>
      <w:r>
        <w:fldChar w:fldCharType="end"/>
      </w:r>
    </w:p>
    <w:p w14:paraId="25B20D48">
      <w:pPr>
        <w:pStyle w:val="19"/>
        <w:tabs>
          <w:tab w:val="right" w:leader="dot" w:pos="9354"/>
        </w:tabs>
      </w:pPr>
      <w:r>
        <w:fldChar w:fldCharType="begin"/>
      </w:r>
      <w:r>
        <w:instrText xml:space="preserve"> HYPERLINK \l _Toc5566 </w:instrText>
      </w:r>
      <w:r>
        <w:fldChar w:fldCharType="separate"/>
      </w:r>
      <w:r>
        <w:rPr>
          <w:rFonts w:hint="eastAsia" w:ascii="黑体" w:eastAsia="黑体"/>
          <w:i w:val="0"/>
        </w:rPr>
        <w:t xml:space="preserve">8 </w:t>
      </w:r>
      <w:r>
        <w:rPr>
          <w:rFonts w:hint="eastAsia"/>
        </w:rPr>
        <w:t>菜薹采收与管理</w:t>
      </w:r>
      <w:r>
        <w:tab/>
      </w:r>
      <w:r>
        <w:fldChar w:fldCharType="begin"/>
      </w:r>
      <w:r>
        <w:instrText xml:space="preserve"> PAGEREF _Toc5566 \h </w:instrText>
      </w:r>
      <w:r>
        <w:fldChar w:fldCharType="separate"/>
      </w:r>
      <w:r>
        <w:t>2</w:t>
      </w:r>
      <w:r>
        <w:fldChar w:fldCharType="end"/>
      </w:r>
      <w:r>
        <w:fldChar w:fldCharType="end"/>
      </w:r>
    </w:p>
    <w:p w14:paraId="58C05C7F">
      <w:pPr>
        <w:pStyle w:val="24"/>
        <w:tabs>
          <w:tab w:val="right" w:leader="dot" w:pos="9354"/>
          <w:tab w:val="clear" w:pos="9344"/>
        </w:tabs>
      </w:pPr>
      <w:r>
        <w:fldChar w:fldCharType="begin"/>
      </w:r>
      <w:r>
        <w:instrText xml:space="preserve"> HYPERLINK \l _Toc20796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8.1 </w:t>
      </w:r>
      <w:r>
        <w:rPr>
          <w:rFonts w:hint="eastAsia"/>
        </w:rPr>
        <w:t>采收</w:t>
      </w:r>
      <w:r>
        <w:rPr>
          <w:rFonts w:hint="eastAsia"/>
          <w:lang w:val="en-US" w:eastAsia="zh-CN"/>
        </w:rPr>
        <w:t>时期</w:t>
      </w:r>
      <w:r>
        <w:tab/>
      </w:r>
      <w:r>
        <w:fldChar w:fldCharType="begin"/>
      </w:r>
      <w:r>
        <w:instrText xml:space="preserve"> PAGEREF _Toc20796 \h </w:instrText>
      </w:r>
      <w:r>
        <w:fldChar w:fldCharType="separate"/>
      </w:r>
      <w:r>
        <w:t>2</w:t>
      </w:r>
      <w:r>
        <w:fldChar w:fldCharType="end"/>
      </w:r>
      <w:r>
        <w:fldChar w:fldCharType="end"/>
      </w:r>
    </w:p>
    <w:p w14:paraId="2722EB3E">
      <w:pPr>
        <w:pStyle w:val="24"/>
        <w:tabs>
          <w:tab w:val="right" w:leader="dot" w:pos="9354"/>
          <w:tab w:val="clear" w:pos="9344"/>
        </w:tabs>
      </w:pPr>
      <w:r>
        <w:fldChar w:fldCharType="begin"/>
      </w:r>
      <w:r>
        <w:instrText xml:space="preserve"> HYPERLINK \l _Toc4613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8.2 </w:t>
      </w:r>
      <w:r>
        <w:rPr>
          <w:rFonts w:hint="eastAsia"/>
        </w:rPr>
        <w:t>采摘期管理</w:t>
      </w:r>
      <w:r>
        <w:tab/>
      </w:r>
      <w:r>
        <w:fldChar w:fldCharType="begin"/>
      </w:r>
      <w:r>
        <w:instrText xml:space="preserve"> PAGEREF _Toc4613 \h </w:instrText>
      </w:r>
      <w:r>
        <w:fldChar w:fldCharType="separate"/>
      </w:r>
      <w:r>
        <w:t>3</w:t>
      </w:r>
      <w:r>
        <w:fldChar w:fldCharType="end"/>
      </w:r>
      <w:r>
        <w:fldChar w:fldCharType="end"/>
      </w:r>
    </w:p>
    <w:p w14:paraId="4E356B10">
      <w:pPr>
        <w:pStyle w:val="24"/>
        <w:tabs>
          <w:tab w:val="right" w:leader="dot" w:pos="9354"/>
          <w:tab w:val="clear" w:pos="9344"/>
        </w:tabs>
      </w:pPr>
      <w:r>
        <w:fldChar w:fldCharType="begin"/>
      </w:r>
      <w:r>
        <w:instrText xml:space="preserve"> HYPERLINK \l _Toc10190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8.3 </w:t>
      </w:r>
      <w:r>
        <w:rPr>
          <w:rFonts w:hint="eastAsia"/>
          <w:lang w:val="en-US" w:eastAsia="zh-CN"/>
        </w:rPr>
        <w:t>安全间隔期</w:t>
      </w:r>
      <w:r>
        <w:tab/>
      </w:r>
      <w:r>
        <w:fldChar w:fldCharType="begin"/>
      </w:r>
      <w:r>
        <w:instrText xml:space="preserve"> PAGEREF _Toc10190 \h </w:instrText>
      </w:r>
      <w:r>
        <w:fldChar w:fldCharType="separate"/>
      </w:r>
      <w:r>
        <w:t>3</w:t>
      </w:r>
      <w:r>
        <w:fldChar w:fldCharType="end"/>
      </w:r>
      <w:r>
        <w:fldChar w:fldCharType="end"/>
      </w:r>
    </w:p>
    <w:p w14:paraId="63122625">
      <w:pPr>
        <w:pStyle w:val="24"/>
        <w:tabs>
          <w:tab w:val="right" w:leader="dot" w:pos="9354"/>
          <w:tab w:val="clear" w:pos="9344"/>
        </w:tabs>
      </w:pPr>
      <w:r>
        <w:fldChar w:fldCharType="begin"/>
      </w:r>
      <w:r>
        <w:instrText xml:space="preserve"> HYPERLINK \l _Toc2101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8.4 </w:t>
      </w:r>
      <w:r>
        <w:rPr>
          <w:rFonts w:hint="eastAsia"/>
        </w:rPr>
        <w:t>菜薹包装与贮藏</w:t>
      </w:r>
      <w:r>
        <w:tab/>
      </w:r>
      <w:r>
        <w:fldChar w:fldCharType="begin"/>
      </w:r>
      <w:r>
        <w:instrText xml:space="preserve"> PAGEREF _Toc2101 \h </w:instrText>
      </w:r>
      <w:r>
        <w:fldChar w:fldCharType="separate"/>
      </w:r>
      <w:r>
        <w:t>3</w:t>
      </w:r>
      <w:r>
        <w:fldChar w:fldCharType="end"/>
      </w:r>
      <w:r>
        <w:fldChar w:fldCharType="end"/>
      </w:r>
    </w:p>
    <w:p w14:paraId="2115342B">
      <w:pPr>
        <w:pStyle w:val="19"/>
        <w:tabs>
          <w:tab w:val="right" w:leader="dot" w:pos="9354"/>
        </w:tabs>
      </w:pPr>
      <w:r>
        <w:fldChar w:fldCharType="begin"/>
      </w:r>
      <w:r>
        <w:instrText xml:space="preserve"> HYPERLINK \l _Toc17196 </w:instrText>
      </w:r>
      <w:r>
        <w:fldChar w:fldCharType="separate"/>
      </w:r>
      <w:r>
        <w:rPr>
          <w:rFonts w:hint="eastAsia" w:ascii="黑体" w:eastAsia="黑体"/>
          <w:i w:val="0"/>
        </w:rPr>
        <w:t xml:space="preserve">9 </w:t>
      </w:r>
      <w:r>
        <w:rPr>
          <w:rFonts w:hint="eastAsia"/>
        </w:rPr>
        <w:t>生产档案</w:t>
      </w:r>
      <w:r>
        <w:tab/>
      </w:r>
      <w:r>
        <w:fldChar w:fldCharType="begin"/>
      </w:r>
      <w:r>
        <w:instrText xml:space="preserve"> PAGEREF _Toc17196 \h </w:instrText>
      </w:r>
      <w:r>
        <w:fldChar w:fldCharType="separate"/>
      </w:r>
      <w:r>
        <w:t>3</w:t>
      </w:r>
      <w:r>
        <w:fldChar w:fldCharType="end"/>
      </w:r>
      <w:r>
        <w:fldChar w:fldCharType="end"/>
      </w:r>
    </w:p>
    <w:p w14:paraId="5D567B4E">
      <w:pPr>
        <w:pStyle w:val="19"/>
        <w:tabs>
          <w:tab w:val="right" w:leader="dot" w:pos="9354"/>
        </w:tabs>
      </w:pPr>
      <w:r>
        <w:fldChar w:fldCharType="begin"/>
      </w:r>
      <w:r>
        <w:instrText xml:space="preserve"> HYPERLINK \l _Toc31094 </w:instrText>
      </w:r>
      <w:r>
        <w:fldChar w:fldCharType="separate"/>
      </w:r>
      <w:r>
        <w:rPr>
          <w:rFonts w:hint="eastAsia"/>
          <w:spacing w:val="100"/>
        </w:rPr>
        <w:t xml:space="preserve">附录A </w:t>
      </w:r>
      <w:r>
        <w:t xml:space="preserve"> </w:t>
      </w:r>
      <w:r>
        <w:rPr>
          <w:rFonts w:hint="eastAsia"/>
        </w:rPr>
        <w:t>（资料性）</w:t>
      </w:r>
      <w:r>
        <w:t xml:space="preserve"> </w:t>
      </w:r>
      <w:r>
        <w:rPr>
          <w:rFonts w:hint="eastAsia" w:hAnsi="Times New Roman" w:cs="Times New Roman"/>
          <w:lang w:val="en-US" w:eastAsia="zh-CN"/>
        </w:rPr>
        <w:t>西藏地区菜用甘蓝型油菜品种</w:t>
      </w:r>
      <w:r>
        <w:rPr>
          <w:rFonts w:hint="eastAsia"/>
        </w:rPr>
        <w:t>表</w:t>
      </w:r>
      <w:r>
        <w:tab/>
      </w:r>
      <w:r>
        <w:fldChar w:fldCharType="begin"/>
      </w:r>
      <w:r>
        <w:instrText xml:space="preserve"> PAGEREF _Toc31094 \h </w:instrText>
      </w:r>
      <w:r>
        <w:fldChar w:fldCharType="separate"/>
      </w:r>
      <w:r>
        <w:t>4</w:t>
      </w:r>
      <w:r>
        <w:fldChar w:fldCharType="end"/>
      </w:r>
      <w:r>
        <w:fldChar w:fldCharType="end"/>
      </w:r>
    </w:p>
    <w:p w14:paraId="67169BF2">
      <w:pPr>
        <w:pStyle w:val="19"/>
        <w:tabs>
          <w:tab w:val="right" w:leader="dot" w:pos="9354"/>
        </w:tabs>
      </w:pPr>
      <w:r>
        <w:fldChar w:fldCharType="begin"/>
      </w:r>
      <w:r>
        <w:instrText xml:space="preserve"> HYPERLINK \l _Toc28155 </w:instrText>
      </w:r>
      <w:r>
        <w:fldChar w:fldCharType="separate"/>
      </w:r>
      <w:r>
        <w:rPr>
          <w:rFonts w:hint="eastAsia"/>
          <w:spacing w:val="100"/>
        </w:rPr>
        <w:t xml:space="preserve">附录B </w:t>
      </w:r>
      <w:r>
        <w:t xml:space="preserve"> </w:t>
      </w:r>
      <w:r>
        <w:rPr>
          <w:rFonts w:hint="eastAsia"/>
        </w:rPr>
        <w:t>（资料性）</w:t>
      </w:r>
      <w:r>
        <w:t xml:space="preserve"> </w:t>
      </w:r>
      <w:r>
        <w:rPr>
          <w:rFonts w:hint="eastAsia"/>
        </w:rPr>
        <w:t>油菜</w:t>
      </w:r>
      <w:r>
        <w:rPr>
          <w:rFonts w:hint="eastAsia"/>
          <w:lang w:val="en-US" w:eastAsia="zh-CN"/>
        </w:rPr>
        <w:t>薹期</w:t>
      </w:r>
      <w:r>
        <w:rPr>
          <w:rFonts w:hint="eastAsia"/>
        </w:rPr>
        <w:t>常见虫害防治方法和生产田间农事活动记录表</w:t>
      </w:r>
      <w:r>
        <w:tab/>
      </w:r>
      <w:r>
        <w:fldChar w:fldCharType="begin"/>
      </w:r>
      <w:r>
        <w:instrText xml:space="preserve"> PAGEREF _Toc28155 \h </w:instrText>
      </w:r>
      <w:r>
        <w:fldChar w:fldCharType="separate"/>
      </w:r>
      <w:r>
        <w:t>5</w:t>
      </w:r>
      <w:r>
        <w:fldChar w:fldCharType="end"/>
      </w:r>
      <w:r>
        <w:fldChar w:fldCharType="end"/>
      </w:r>
    </w:p>
    <w:p w14:paraId="2545B4A8">
      <w:pPr>
        <w:pStyle w:val="91"/>
        <w:spacing w:after="468"/>
        <w:sectPr>
          <w:headerReference r:id="rId9" w:type="default"/>
          <w:footerReference r:id="rId11" w:type="default"/>
          <w:headerReference r:id="rId10" w:type="even"/>
          <w:footerReference r:id="rId12"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21"/>
    <w:p w14:paraId="1D2C4127">
      <w:pPr>
        <w:pStyle w:val="89"/>
        <w:spacing w:after="468"/>
      </w:pPr>
      <w:bookmarkStart w:id="26" w:name="_Toc144929134"/>
      <w:bookmarkStart w:id="27" w:name="_Toc798"/>
      <w:bookmarkStart w:id="28" w:name="BookMark2"/>
      <w:r>
        <w:rPr>
          <w:spacing w:val="320"/>
        </w:rPr>
        <w:t>前</w:t>
      </w:r>
      <w:r>
        <w:t>言</w:t>
      </w:r>
      <w:bookmarkEnd w:id="22"/>
      <w:bookmarkEnd w:id="23"/>
      <w:bookmarkEnd w:id="24"/>
      <w:bookmarkEnd w:id="25"/>
      <w:bookmarkEnd w:id="26"/>
      <w:bookmarkEnd w:id="27"/>
    </w:p>
    <w:p w14:paraId="1C204324">
      <w:pPr>
        <w:pStyle w:val="56"/>
        <w:ind w:firstLine="420"/>
      </w:pPr>
      <w:r>
        <w:rPr>
          <w:rFonts w:hint="eastAsia"/>
        </w:rPr>
        <w:t>本文件按照GB/T 1.1—2020《标准化工作导则  第1部分：标准化文件的结构和起草规则》的规定起草。</w:t>
      </w:r>
    </w:p>
    <w:p w14:paraId="2676A216">
      <w:pPr>
        <w:pStyle w:val="56"/>
        <w:ind w:firstLine="420"/>
        <w:rPr>
          <w:rFonts w:hint="eastAsia"/>
        </w:rPr>
      </w:pPr>
      <w:r>
        <w:rPr>
          <w:rFonts w:hint="eastAsia"/>
        </w:rPr>
        <w:t>请注意本文件的某些内容可能涉及专利。本文件的发布机构不承担识别这些专利的责任。</w:t>
      </w:r>
    </w:p>
    <w:p w14:paraId="4241793F">
      <w:pPr>
        <w:pStyle w:val="56"/>
        <w:ind w:firstLine="420"/>
        <w:rPr>
          <w:rFonts w:hint="eastAsia"/>
        </w:rPr>
      </w:pPr>
      <w:r>
        <w:rPr>
          <w:rFonts w:hint="eastAsia"/>
        </w:rPr>
        <w:t>本文件由西藏自治区农业农村标准化技术委员会提出并归口。</w:t>
      </w:r>
    </w:p>
    <w:p w14:paraId="34429D11">
      <w:pPr>
        <w:pStyle w:val="56"/>
        <w:ind w:firstLine="420"/>
        <w:rPr>
          <w:rFonts w:hint="eastAsia"/>
        </w:rPr>
      </w:pPr>
      <w:r>
        <w:rPr>
          <w:rFonts w:hint="eastAsia"/>
        </w:rPr>
        <w:t>本文件起草单位：西藏自治区农牧科学院农业研究所</w:t>
      </w:r>
      <w:r>
        <w:rPr>
          <w:rFonts w:hint="eastAsia"/>
          <w:lang w:eastAsia="zh-CN"/>
        </w:rPr>
        <w:t>、</w:t>
      </w:r>
      <w:r>
        <w:rPr>
          <w:rFonts w:hint="eastAsia"/>
          <w:lang w:val="en-US" w:eastAsia="zh-CN"/>
        </w:rPr>
        <w:t>西藏自治区农业技术推广中心</w:t>
      </w:r>
      <w:r>
        <w:rPr>
          <w:rFonts w:hint="eastAsia"/>
        </w:rPr>
        <w:t>。</w:t>
      </w:r>
    </w:p>
    <w:p w14:paraId="4F261395">
      <w:pPr>
        <w:pStyle w:val="56"/>
        <w:ind w:firstLine="420"/>
      </w:pPr>
      <w:r>
        <w:rPr>
          <w:rFonts w:hint="eastAsia"/>
        </w:rPr>
        <w:t>本文件主要起草人：王晋雄、米超、李施蒙、南志强、</w:t>
      </w:r>
      <w:r>
        <w:rPr>
          <w:rFonts w:hint="eastAsia"/>
          <w:lang w:val="en-US" w:eastAsia="zh-CN"/>
        </w:rPr>
        <w:t>杨广环</w:t>
      </w:r>
      <w:r>
        <w:rPr>
          <w:rFonts w:hint="eastAsia"/>
          <w:lang w:eastAsia="zh-CN"/>
        </w:rPr>
        <w:t>、</w:t>
      </w:r>
      <w:r>
        <w:rPr>
          <w:rFonts w:hint="eastAsia"/>
          <w:lang w:val="en-US" w:eastAsia="zh-CN"/>
        </w:rPr>
        <w:t>强巴曲珍</w:t>
      </w:r>
      <w:r>
        <w:rPr>
          <w:rFonts w:hint="eastAsia"/>
        </w:rPr>
        <w:t>。</w:t>
      </w:r>
    </w:p>
    <w:p w14:paraId="1DD6780C">
      <w:pPr>
        <w:pStyle w:val="56"/>
        <w:ind w:firstLine="420"/>
        <w:sectPr>
          <w:headerReference r:id="rId13" w:type="default"/>
          <w:footerReference r:id="rId15" w:type="default"/>
          <w:headerReference r:id="rId14" w:type="even"/>
          <w:footerReference r:id="rId16" w:type="even"/>
          <w:pgSz w:w="11906" w:h="16838"/>
          <w:pgMar w:top="567" w:right="1134" w:bottom="1134" w:left="1134" w:header="1418" w:footer="1134" w:gutter="284"/>
          <w:pgNumType w:fmt="upperRoman"/>
          <w:cols w:space="425" w:num="1"/>
          <w:formProt w:val="0"/>
          <w:docGrid w:type="lines" w:linePitch="312" w:charSpace="0"/>
        </w:sectPr>
      </w:pPr>
    </w:p>
    <w:bookmarkEnd w:id="28"/>
    <w:p w14:paraId="0BDFFE8B">
      <w:pPr>
        <w:spacing w:line="20" w:lineRule="exact"/>
        <w:jc w:val="center"/>
        <w:rPr>
          <w:rFonts w:ascii="黑体" w:hAnsi="黑体" w:eastAsia="黑体"/>
          <w:sz w:val="32"/>
          <w:szCs w:val="32"/>
        </w:rPr>
      </w:pPr>
      <w:bookmarkStart w:id="29" w:name="BookMark4"/>
    </w:p>
    <w:p w14:paraId="2B34E08E">
      <w:pPr>
        <w:spacing w:line="20" w:lineRule="exact"/>
        <w:jc w:val="center"/>
        <w:rPr>
          <w:rFonts w:ascii="黑体" w:hAnsi="黑体" w:eastAsia="黑体"/>
          <w:sz w:val="32"/>
          <w:szCs w:val="32"/>
        </w:rPr>
      </w:pPr>
    </w:p>
    <w:sdt>
      <w:sdtPr>
        <w:tag w:val="NEW_STAND_NAME"/>
        <w:id w:val="595910757"/>
        <w:lock w:val="sdtLocked"/>
        <w:placeholder>
          <w:docPart w:val="B9AF70F5CA694CCEB08362DA0B5254F7"/>
        </w:placeholder>
      </w:sdtPr>
      <w:sdtContent>
        <w:p w14:paraId="0C2C5AEA">
          <w:pPr>
            <w:pStyle w:val="177"/>
          </w:pPr>
          <w:bookmarkEnd w:id="29"/>
          <w:bookmarkStart w:id="30" w:name="NEW_STAND_NAME"/>
          <w:r>
            <w:rPr>
              <w:rFonts w:hint="eastAsia"/>
            </w:rPr>
            <w:t>菜用油菜生产技术规程</w:t>
          </w:r>
          <w:bookmarkEnd w:id="30"/>
        </w:p>
        <w:p w14:paraId="6B883AE0">
          <w:pPr>
            <w:pStyle w:val="104"/>
            <w:spacing w:before="312" w:after="312"/>
          </w:pPr>
          <w:bookmarkStart w:id="31" w:name="_Toc26986771"/>
          <w:bookmarkStart w:id="32" w:name="_Toc26648465"/>
          <w:bookmarkStart w:id="33" w:name="_Toc24884218"/>
          <w:bookmarkStart w:id="34" w:name="_Toc17233333"/>
          <w:bookmarkStart w:id="35" w:name="_Toc26718930"/>
          <w:bookmarkStart w:id="36" w:name="_Toc24884211"/>
          <w:bookmarkStart w:id="37" w:name="_Toc166351848"/>
          <w:bookmarkStart w:id="38" w:name="_Toc97191423"/>
          <w:bookmarkStart w:id="39" w:name="_Toc17233325"/>
          <w:bookmarkStart w:id="40" w:name="_Toc26986530"/>
          <w:bookmarkStart w:id="41" w:name="_Toc26354"/>
          <w:r>
            <w:rPr>
              <w:rFonts w:hint="eastAsia"/>
            </w:rPr>
            <w:t>范围</w:t>
          </w:r>
          <w:bookmarkEnd w:id="31"/>
          <w:bookmarkEnd w:id="32"/>
          <w:bookmarkEnd w:id="33"/>
          <w:bookmarkEnd w:id="34"/>
          <w:bookmarkEnd w:id="35"/>
          <w:bookmarkEnd w:id="36"/>
          <w:bookmarkEnd w:id="37"/>
          <w:bookmarkEnd w:id="38"/>
          <w:bookmarkEnd w:id="39"/>
          <w:bookmarkEnd w:id="40"/>
          <w:bookmarkEnd w:id="41"/>
        </w:p>
        <w:p w14:paraId="61D968EF">
          <w:pPr>
            <w:pStyle w:val="56"/>
            <w:ind w:firstLine="420"/>
            <w:rPr>
              <w:rFonts w:hint="eastAsia"/>
            </w:rPr>
          </w:pPr>
          <w:bookmarkStart w:id="42" w:name="_Toc24884219"/>
          <w:bookmarkStart w:id="43" w:name="_Toc17233334"/>
          <w:bookmarkStart w:id="44" w:name="_Toc26648466"/>
          <w:bookmarkStart w:id="45" w:name="_Toc24884212"/>
          <w:bookmarkStart w:id="46" w:name="_Toc17233326"/>
          <w:r>
            <w:rPr>
              <w:rFonts w:hint="eastAsia"/>
            </w:rPr>
            <w:t>本文件规定了菜用甘蓝型油菜直播生产产地环境条件、品种选择、播种、田间管理、菜薹采收与管理和生产档案的要求。</w:t>
          </w:r>
        </w:p>
        <w:p w14:paraId="1B6D72FB">
          <w:pPr>
            <w:pStyle w:val="56"/>
            <w:ind w:firstLine="420"/>
          </w:pPr>
          <w:r>
            <w:rPr>
              <w:rFonts w:hint="eastAsia"/>
            </w:rPr>
            <w:t>本文件适用于</w:t>
          </w:r>
          <w:r>
            <w:rPr>
              <w:rFonts w:hint="eastAsia"/>
              <w:lang w:val="en-US" w:eastAsia="zh-CN"/>
            </w:rPr>
            <w:t>西藏地区海拔4100米高度以下区域</w:t>
          </w:r>
          <w:r>
            <w:rPr>
              <w:rFonts w:hint="eastAsia"/>
            </w:rPr>
            <w:t>菜用油菜种植生产。</w:t>
          </w:r>
        </w:p>
        <w:p w14:paraId="7476D8F9">
          <w:pPr>
            <w:pStyle w:val="104"/>
            <w:spacing w:before="312" w:after="312"/>
          </w:pPr>
          <w:bookmarkStart w:id="47" w:name="_Toc97191424"/>
          <w:bookmarkStart w:id="48" w:name="_Toc26718931"/>
          <w:bookmarkStart w:id="49" w:name="_Toc26986772"/>
          <w:bookmarkStart w:id="50" w:name="_Toc166351849"/>
          <w:bookmarkStart w:id="51" w:name="_Toc26986531"/>
          <w:bookmarkStart w:id="52" w:name="_Toc21354"/>
          <w:r>
            <w:rPr>
              <w:rFonts w:hint="eastAsia"/>
            </w:rPr>
            <w:t>规范性引用文件</w:t>
          </w:r>
          <w:bookmarkEnd w:id="42"/>
          <w:bookmarkEnd w:id="43"/>
          <w:bookmarkEnd w:id="44"/>
          <w:bookmarkEnd w:id="45"/>
          <w:bookmarkEnd w:id="46"/>
          <w:bookmarkEnd w:id="47"/>
          <w:bookmarkEnd w:id="48"/>
          <w:bookmarkEnd w:id="49"/>
          <w:bookmarkEnd w:id="50"/>
          <w:bookmarkEnd w:id="51"/>
          <w:bookmarkEnd w:id="52"/>
        </w:p>
        <w:p w14:paraId="5A84F5BC">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431C4A0">
          <w:pPr>
            <w:pStyle w:val="56"/>
            <w:ind w:firstLine="420"/>
            <w:rPr>
              <w:rFonts w:hint="eastAsia"/>
            </w:rPr>
          </w:pPr>
          <w:r>
            <w:rPr>
              <w:rFonts w:hint="eastAsia"/>
            </w:rPr>
            <w:t xml:space="preserve">GB 4407.2   </w:t>
          </w:r>
          <w:r>
            <w:rPr>
              <w:rFonts w:hint="eastAsia"/>
              <w:lang w:val="en-US" w:eastAsia="zh-CN"/>
            </w:rPr>
            <w:t xml:space="preserve"> </w:t>
          </w:r>
          <w:r>
            <w:rPr>
              <w:rFonts w:hint="eastAsia"/>
            </w:rPr>
            <w:t>经济作物种子 第2部分：油料类</w:t>
          </w:r>
        </w:p>
        <w:p w14:paraId="72B897A4">
          <w:pPr>
            <w:pStyle w:val="56"/>
            <w:ind w:firstLine="420"/>
            <w:rPr>
              <w:rFonts w:hint="eastAsia"/>
            </w:rPr>
          </w:pPr>
          <w:r>
            <w:rPr>
              <w:rFonts w:hint="eastAsia"/>
            </w:rPr>
            <w:t xml:space="preserve">GB 5084     </w:t>
          </w:r>
          <w:r>
            <w:rPr>
              <w:rFonts w:hint="eastAsia"/>
              <w:lang w:val="en-US" w:eastAsia="zh-CN"/>
            </w:rPr>
            <w:t xml:space="preserve"> </w:t>
          </w:r>
          <w:r>
            <w:rPr>
              <w:rFonts w:hint="eastAsia"/>
            </w:rPr>
            <w:t>农田灌溉水质标准</w:t>
          </w:r>
        </w:p>
        <w:p w14:paraId="049BE330">
          <w:pPr>
            <w:pStyle w:val="56"/>
            <w:ind w:firstLine="420"/>
            <w:rPr>
              <w:rFonts w:hint="eastAsia"/>
            </w:rPr>
          </w:pPr>
          <w:r>
            <w:rPr>
              <w:rFonts w:hint="eastAsia"/>
            </w:rPr>
            <w:t xml:space="preserve">GB 15618   </w:t>
          </w:r>
          <w:r>
            <w:rPr>
              <w:rFonts w:hint="eastAsia"/>
              <w:lang w:val="en-US" w:eastAsia="zh-CN"/>
            </w:rPr>
            <w:t xml:space="preserve"> </w:t>
          </w:r>
          <w:r>
            <w:rPr>
              <w:rFonts w:hint="eastAsia"/>
            </w:rPr>
            <w:t xml:space="preserve"> </w:t>
          </w:r>
          <w:r>
            <w:rPr>
              <w:rFonts w:hint="eastAsia"/>
              <w:lang w:val="en-US" w:eastAsia="zh-CN"/>
            </w:rPr>
            <w:t>农用地土壤污染风险管控标准</w:t>
          </w:r>
        </w:p>
        <w:p w14:paraId="127F4E72">
          <w:pPr>
            <w:pStyle w:val="56"/>
            <w:ind w:firstLine="420"/>
            <w:rPr>
              <w:rFonts w:hint="eastAsia"/>
            </w:rPr>
          </w:pPr>
          <w:r>
            <w:rPr>
              <w:rFonts w:hint="eastAsia"/>
            </w:rPr>
            <w:t xml:space="preserve">GB/T 26432  </w:t>
          </w:r>
          <w:r>
            <w:rPr>
              <w:rFonts w:hint="eastAsia"/>
              <w:lang w:val="en-US" w:eastAsia="zh-CN"/>
            </w:rPr>
            <w:t xml:space="preserve"> </w:t>
          </w:r>
          <w:r>
            <w:rPr>
              <w:rFonts w:hint="eastAsia"/>
            </w:rPr>
            <w:t>新鲜蔬菜贮藏与运输准则</w:t>
          </w:r>
        </w:p>
        <w:p w14:paraId="468C1AF7">
          <w:pPr>
            <w:pStyle w:val="56"/>
            <w:rPr>
              <w:rFonts w:hint="eastAsia"/>
              <w:lang w:val="en-US" w:eastAsia="zh-CN"/>
            </w:rPr>
          </w:pPr>
          <w:r>
            <w:rPr>
              <w:rFonts w:hint="eastAsia"/>
              <w:lang w:val="en-US" w:eastAsia="zh-CN"/>
            </w:rPr>
            <w:t>GB/T 8321.10 农药合理使用准则</w:t>
          </w:r>
        </w:p>
        <w:p w14:paraId="2C929955">
          <w:pPr>
            <w:pStyle w:val="56"/>
            <w:rPr>
              <w:rFonts w:hint="default"/>
              <w:lang w:val="en-US" w:eastAsia="zh-CN"/>
            </w:rPr>
          </w:pPr>
          <w:r>
            <w:rPr>
              <w:rFonts w:hint="eastAsia"/>
              <w:lang w:val="en-US" w:eastAsia="zh-CN"/>
            </w:rPr>
            <w:t>GB/T 23416.6 蔬菜病虫害安全防治技术规范 第6部分：绿叶菜类</w:t>
          </w:r>
          <w:r>
            <w:rPr>
              <w:rFonts w:hint="eastAsia"/>
              <w:lang w:val="en-US" w:eastAsia="zh-CN"/>
            </w:rPr>
            <w:tab/>
          </w:r>
        </w:p>
        <w:p w14:paraId="06C9176D">
          <w:pPr>
            <w:pStyle w:val="56"/>
            <w:ind w:firstLine="420"/>
            <w:rPr>
              <w:rFonts w:hint="eastAsia"/>
            </w:rPr>
          </w:pPr>
          <w:r>
            <w:rPr>
              <w:rFonts w:hint="eastAsia"/>
              <w:lang w:val="en-US" w:eastAsia="zh-CN"/>
            </w:rPr>
            <w:t>NY/T 496     肥料合理使用准则 通则</w:t>
          </w:r>
        </w:p>
        <w:p w14:paraId="20794D7D">
          <w:pPr>
            <w:pStyle w:val="56"/>
            <w:ind w:firstLine="420"/>
            <w:rPr>
              <w:rFonts w:hint="eastAsia"/>
            </w:rPr>
          </w:pPr>
          <w:r>
            <w:rPr>
              <w:rFonts w:hint="eastAsia"/>
            </w:rPr>
            <w:t>NY/T 84</w:t>
          </w:r>
          <w:r>
            <w:rPr>
              <w:rFonts w:hint="eastAsia"/>
              <w:lang w:val="en-US" w:eastAsia="zh-CN"/>
            </w:rPr>
            <w:t>8</w:t>
          </w:r>
          <w:r>
            <w:rPr>
              <w:rFonts w:hint="eastAsia"/>
            </w:rPr>
            <w:t xml:space="preserve">    </w:t>
          </w:r>
          <w:r>
            <w:rPr>
              <w:rFonts w:hint="eastAsia"/>
              <w:lang w:val="en-US" w:eastAsia="zh-CN"/>
            </w:rPr>
            <w:t xml:space="preserve"> 蔬菜</w:t>
          </w:r>
          <w:r>
            <w:rPr>
              <w:rFonts w:hint="eastAsia"/>
            </w:rPr>
            <w:t>产地环境技术条件</w:t>
          </w:r>
        </w:p>
        <w:p w14:paraId="6A55F622">
          <w:pPr>
            <w:pStyle w:val="56"/>
            <w:ind w:firstLine="420"/>
            <w:rPr>
              <w:rFonts w:hint="default" w:eastAsia="宋体"/>
              <w:lang w:val="en-US" w:eastAsia="zh-CN"/>
            </w:rPr>
          </w:pPr>
        </w:p>
        <w:p w14:paraId="73539F0D">
          <w:pPr>
            <w:pStyle w:val="104"/>
            <w:spacing w:before="312" w:after="312"/>
            <w:rPr>
              <w:szCs w:val="21"/>
            </w:rPr>
          </w:pPr>
          <w:bookmarkStart w:id="53" w:name="_Toc166351850"/>
          <w:bookmarkStart w:id="54" w:name="_Toc97191425"/>
          <w:bookmarkStart w:id="55" w:name="_Toc18388"/>
          <w:r>
            <w:rPr>
              <w:rFonts w:hint="eastAsia"/>
              <w:szCs w:val="21"/>
            </w:rPr>
            <w:t>术语和定义</w:t>
          </w:r>
          <w:bookmarkEnd w:id="53"/>
          <w:bookmarkEnd w:id="54"/>
          <w:bookmarkEnd w:id="55"/>
        </w:p>
        <w:p w14:paraId="0F36EC8F">
          <w:pPr>
            <w:pStyle w:val="56"/>
            <w:ind w:firstLine="420"/>
            <w:rPr>
              <w:rFonts w:hint="eastAsia"/>
            </w:rPr>
          </w:pPr>
          <w:r>
            <w:rPr>
              <w:rFonts w:hint="eastAsia"/>
            </w:rPr>
            <w:t>下列术语和定义适用于本文件。</w:t>
          </w:r>
        </w:p>
        <w:p w14:paraId="74F1C8D0">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菜用甘蓝型油菜vegetable rapeseed</w:t>
          </w:r>
        </w:p>
        <w:p w14:paraId="63E0CE8D">
          <w:pPr>
            <w:pStyle w:val="56"/>
            <w:ind w:firstLine="420"/>
          </w:pPr>
          <w:r>
            <w:rPr>
              <w:rFonts w:hint="eastAsia"/>
            </w:rPr>
            <w:t>适宜在薹期采摘菜薹作为蔬菜用的甘蓝型油菜。</w:t>
          </w:r>
        </w:p>
        <w:p w14:paraId="10C842F7">
          <w:pPr>
            <w:pStyle w:val="104"/>
            <w:spacing w:before="312" w:after="312"/>
          </w:pPr>
          <w:bookmarkStart w:id="56" w:name="_Toc166351851"/>
          <w:bookmarkStart w:id="57" w:name="_Toc30736"/>
          <w:r>
            <w:rPr>
              <w:rFonts w:hint="eastAsia"/>
            </w:rPr>
            <w:t>产地环境条件</w:t>
          </w:r>
          <w:bookmarkEnd w:id="56"/>
          <w:bookmarkEnd w:id="57"/>
        </w:p>
        <w:p w14:paraId="0384645F">
          <w:pPr>
            <w:pStyle w:val="105"/>
            <w:spacing w:before="156" w:after="156"/>
          </w:pPr>
          <w:bookmarkStart w:id="58" w:name="_Toc166351897"/>
          <w:bookmarkStart w:id="59" w:name="_Toc166351852"/>
          <w:bookmarkStart w:id="60" w:name="_Toc5374"/>
          <w:bookmarkStart w:id="61" w:name="_Toc19999"/>
          <w:r>
            <w:rPr>
              <w:rFonts w:hint="eastAsia" w:ascii="宋体" w:hAnsi="宋体" w:eastAsia="宋体"/>
            </w:rPr>
            <w:t xml:space="preserve">产地环境应符合NY/T </w:t>
          </w:r>
          <w:r>
            <w:rPr>
              <w:rFonts w:hint="eastAsia" w:ascii="宋体" w:hAnsi="宋体" w:eastAsia="宋体"/>
              <w:lang w:val="en-US" w:eastAsia="zh-CN"/>
            </w:rPr>
            <w:t>848</w:t>
          </w:r>
          <w:r>
            <w:rPr>
              <w:rFonts w:hint="eastAsia" w:ascii="宋体" w:hAnsi="宋体" w:eastAsia="宋体"/>
            </w:rPr>
            <w:t>的规定</w:t>
          </w:r>
          <w:r>
            <w:rPr>
              <w:rFonts w:hint="eastAsia"/>
            </w:rPr>
            <w:t>。</w:t>
          </w:r>
          <w:bookmarkEnd w:id="58"/>
          <w:bookmarkEnd w:id="59"/>
          <w:bookmarkEnd w:id="60"/>
          <w:bookmarkEnd w:id="61"/>
        </w:p>
        <w:p w14:paraId="2D76762D">
          <w:pPr>
            <w:pStyle w:val="105"/>
            <w:spacing w:before="156" w:after="156"/>
            <w:rPr>
              <w:rFonts w:ascii="宋体" w:hAnsi="宋体" w:eastAsia="宋体"/>
            </w:rPr>
          </w:pPr>
          <w:bookmarkStart w:id="62" w:name="_Toc166351898"/>
          <w:bookmarkStart w:id="63" w:name="_Toc166351853"/>
          <w:bookmarkStart w:id="64" w:name="_Toc17033"/>
          <w:bookmarkStart w:id="65" w:name="_Toc10781"/>
          <w:r>
            <w:rPr>
              <w:rFonts w:hint="eastAsia" w:ascii="宋体" w:hAnsi="宋体" w:eastAsia="宋体"/>
              <w:lang w:val="en-US" w:eastAsia="zh-CN"/>
            </w:rPr>
            <w:t>优先选择耕作层深厚、质地肥沃、排灌方便的地块，产地土壤重金属条件符合GB 15618要求</w:t>
          </w:r>
          <w:r>
            <w:rPr>
              <w:rFonts w:hint="eastAsia" w:ascii="宋体" w:hAnsi="宋体" w:eastAsia="宋体"/>
            </w:rPr>
            <w:t>。</w:t>
          </w:r>
          <w:bookmarkEnd w:id="62"/>
          <w:bookmarkEnd w:id="63"/>
          <w:bookmarkEnd w:id="64"/>
          <w:bookmarkEnd w:id="65"/>
        </w:p>
        <w:p w14:paraId="0D64C79F">
          <w:pPr>
            <w:pStyle w:val="105"/>
            <w:spacing w:before="156" w:after="156"/>
            <w:rPr>
              <w:rFonts w:ascii="宋体" w:hAnsi="宋体" w:eastAsia="宋体"/>
            </w:rPr>
          </w:pPr>
          <w:bookmarkStart w:id="66" w:name="_Toc166351899"/>
          <w:bookmarkStart w:id="67" w:name="_Toc166351854"/>
          <w:bookmarkStart w:id="68" w:name="_Toc27847"/>
          <w:bookmarkStart w:id="69" w:name="_Toc1108"/>
          <w:r>
            <w:rPr>
              <w:rFonts w:hint="eastAsia" w:ascii="宋体" w:hAnsi="宋体" w:eastAsia="宋体"/>
            </w:rPr>
            <w:t>水质条件农田灌溉水应符合GB 5084的规定。</w:t>
          </w:r>
          <w:bookmarkEnd w:id="66"/>
          <w:bookmarkEnd w:id="67"/>
          <w:bookmarkEnd w:id="68"/>
          <w:bookmarkEnd w:id="69"/>
        </w:p>
        <w:p w14:paraId="32BBBBEA">
          <w:pPr>
            <w:pStyle w:val="104"/>
            <w:spacing w:before="312" w:after="312"/>
          </w:pPr>
          <w:bookmarkStart w:id="70" w:name="_Toc166351855"/>
          <w:bookmarkStart w:id="71" w:name="_Toc20749"/>
          <w:r>
            <w:rPr>
              <w:rFonts w:hint="eastAsia"/>
            </w:rPr>
            <w:t>品种选择</w:t>
          </w:r>
          <w:bookmarkEnd w:id="70"/>
          <w:bookmarkEnd w:id="71"/>
        </w:p>
        <w:p w14:paraId="4FDBBEE9">
          <w:pPr>
            <w:pStyle w:val="56"/>
            <w:ind w:firstLine="420"/>
          </w:pPr>
          <w:r>
            <w:rPr>
              <w:rFonts w:hint="eastAsia"/>
            </w:rPr>
            <w:t>选用已登记适宜当地种植的菜用甘蓝型油菜品种</w:t>
          </w:r>
          <w:r>
            <w:rPr>
              <w:rFonts w:hint="eastAsia"/>
              <w:lang w:eastAsia="zh-CN"/>
            </w:rPr>
            <w:t>，</w:t>
          </w:r>
          <w:r>
            <w:rPr>
              <w:rFonts w:hint="eastAsia"/>
              <w:lang w:val="en-US" w:eastAsia="zh-CN"/>
            </w:rPr>
            <w:t>见附录A</w:t>
          </w:r>
          <w:r>
            <w:rPr>
              <w:rFonts w:hint="eastAsia"/>
            </w:rPr>
            <w:t>，种子质量符合GB 4407.2的规定。</w:t>
          </w:r>
        </w:p>
        <w:p w14:paraId="51A6E886">
          <w:pPr>
            <w:pStyle w:val="104"/>
            <w:spacing w:before="312" w:after="312"/>
          </w:pPr>
          <w:bookmarkStart w:id="72" w:name="_Toc166351856"/>
          <w:bookmarkStart w:id="73" w:name="_Toc9975"/>
          <w:r>
            <w:rPr>
              <w:rFonts w:hint="eastAsia"/>
            </w:rPr>
            <w:t>播种</w:t>
          </w:r>
          <w:bookmarkEnd w:id="72"/>
          <w:bookmarkEnd w:id="73"/>
        </w:p>
        <w:p w14:paraId="033F1679">
          <w:pPr>
            <w:pStyle w:val="105"/>
            <w:spacing w:before="156" w:after="156"/>
          </w:pPr>
          <w:bookmarkStart w:id="74" w:name="_Toc166351902"/>
          <w:bookmarkStart w:id="75" w:name="_Toc166351857"/>
          <w:bookmarkStart w:id="76" w:name="_Toc18021"/>
          <w:r>
            <w:rPr>
              <w:rFonts w:hint="eastAsia"/>
            </w:rPr>
            <w:t>地块选择</w:t>
          </w:r>
          <w:bookmarkEnd w:id="74"/>
          <w:bookmarkEnd w:id="75"/>
          <w:bookmarkEnd w:id="76"/>
        </w:p>
        <w:p w14:paraId="0C2BC21B">
          <w:pPr>
            <w:pStyle w:val="56"/>
            <w:ind w:firstLine="420"/>
            <w:rPr>
              <w:rFonts w:hint="eastAsia" w:ascii="宋体" w:hAnsi="宋体" w:eastAsia="宋体" w:cs="Times New Roman"/>
              <w:sz w:val="21"/>
              <w:lang w:val="en-US" w:eastAsia="zh-CN" w:bidi="ar-SA"/>
            </w:rPr>
          </w:pPr>
          <w:r>
            <w:rPr>
              <w:rFonts w:hint="eastAsia" w:ascii="宋体" w:hAnsi="宋体" w:eastAsia="宋体" w:cs="Times New Roman"/>
              <w:sz w:val="21"/>
              <w:lang w:val="en-US" w:eastAsia="zh-CN" w:bidi="ar-SA"/>
            </w:rPr>
            <w:t>选择西藏地区海拔4100米高度以下区域前茬为青稞、小麦、玉米、马铃薯等非十字花科作物的地块。</w:t>
          </w:r>
        </w:p>
        <w:p w14:paraId="70E7D882">
          <w:pPr>
            <w:pStyle w:val="105"/>
            <w:spacing w:before="156" w:after="156"/>
          </w:pPr>
          <w:bookmarkStart w:id="77" w:name="_Toc166351858"/>
          <w:bookmarkStart w:id="78" w:name="_Toc166351903"/>
          <w:bookmarkStart w:id="79" w:name="_Toc17479"/>
          <w:r>
            <w:rPr>
              <w:rFonts w:hint="eastAsia"/>
              <w:lang w:val="en-US" w:eastAsia="zh-CN"/>
            </w:rPr>
            <w:t>底</w:t>
          </w:r>
          <w:r>
            <w:rPr>
              <w:rFonts w:hint="eastAsia"/>
            </w:rPr>
            <w:t>肥</w:t>
          </w:r>
          <w:bookmarkEnd w:id="77"/>
          <w:bookmarkEnd w:id="78"/>
          <w:bookmarkEnd w:id="79"/>
        </w:p>
        <w:p w14:paraId="6CC2A5CB">
          <w:pPr>
            <w:pStyle w:val="56"/>
            <w:ind w:firstLine="420"/>
            <w:rPr>
              <w:rFonts w:hint="eastAsia" w:eastAsia="宋体"/>
              <w:vertAlign w:val="baseline"/>
              <w:lang w:val="en-US" w:eastAsia="zh-CN"/>
            </w:rPr>
          </w:pPr>
          <w:r>
            <w:rPr>
              <w:rFonts w:hint="eastAsia" w:hAnsi="宋体" w:cs="Times New Roman"/>
              <w:sz w:val="21"/>
              <w:lang w:val="en-US" w:eastAsia="zh-CN" w:bidi="ar-SA"/>
            </w:rPr>
            <w:t>施足底肥，</w:t>
          </w:r>
          <w:r>
            <w:rPr>
              <w:rFonts w:hint="eastAsia" w:ascii="宋体" w:hAnsi="宋体" w:eastAsia="宋体" w:cs="Times New Roman"/>
              <w:sz w:val="21"/>
              <w:lang w:val="en-US" w:eastAsia="zh-CN" w:bidi="ar-SA"/>
            </w:rPr>
            <w:t>施用尿素16 kg/667 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～20kg/667 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、磷酸二铵</w:t>
          </w:r>
          <w:r>
            <w:rPr>
              <w:rFonts w:hint="eastAsia" w:hAnsi="宋体" w:cs="Times New Roman"/>
              <w:sz w:val="21"/>
              <w:lang w:val="en-US" w:eastAsia="zh-CN" w:bidi="ar-SA"/>
            </w:rPr>
            <w:t>10</w:t>
          </w:r>
          <w:r>
            <w:rPr>
              <w:rFonts w:hint="eastAsia" w:ascii="宋体" w:hAnsi="宋体" w:eastAsia="宋体" w:cs="Times New Roman"/>
              <w:sz w:val="21"/>
              <w:lang w:val="en-US" w:eastAsia="zh-CN" w:bidi="ar-SA"/>
            </w:rPr>
            <w:t xml:space="preserve"> kg/667m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～1</w:t>
          </w:r>
          <w:r>
            <w:rPr>
              <w:rFonts w:hint="eastAsia" w:hAnsi="宋体" w:cs="Times New Roman"/>
              <w:sz w:val="21"/>
              <w:lang w:val="en-US" w:eastAsia="zh-CN" w:bidi="ar-SA"/>
            </w:rPr>
            <w:t>5</w:t>
          </w:r>
          <w:r>
            <w:rPr>
              <w:rFonts w:hint="eastAsia" w:ascii="宋体" w:hAnsi="宋体" w:eastAsia="宋体" w:cs="Times New Roman"/>
              <w:sz w:val="21"/>
              <w:lang w:val="en-US" w:eastAsia="zh-CN" w:bidi="ar-SA"/>
            </w:rPr>
            <w:t xml:space="preserve"> kg/667m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、氯化钾5 kg/667m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～7 kg/667m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、硼砂0.5 kg/667m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～0.75 kg/667m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、有机肥1</w:t>
          </w:r>
          <w:r>
            <w:rPr>
              <w:rFonts w:hint="eastAsia" w:hAnsi="宋体" w:cs="Times New Roman"/>
              <w:sz w:val="21"/>
              <w:lang w:val="en-US" w:eastAsia="zh-CN" w:bidi="ar-SA"/>
            </w:rPr>
            <w:t>5</w:t>
          </w:r>
          <w:r>
            <w:rPr>
              <w:rFonts w:hint="eastAsia" w:ascii="宋体" w:hAnsi="宋体" w:eastAsia="宋体" w:cs="Times New Roman"/>
              <w:sz w:val="21"/>
              <w:lang w:val="en-US" w:eastAsia="zh-CN" w:bidi="ar-SA"/>
            </w:rPr>
            <w:t>00 kg/667m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w:t>
          </w:r>
          <w:r>
            <w:rPr>
              <w:rFonts w:hint="eastAsia" w:hAnsi="宋体" w:cs="Times New Roman"/>
              <w:sz w:val="21"/>
              <w:lang w:val="en-US" w:eastAsia="zh-CN" w:bidi="ar-SA"/>
            </w:rPr>
            <w:t>20</w:t>
          </w:r>
          <w:r>
            <w:rPr>
              <w:rFonts w:hint="eastAsia" w:ascii="宋体" w:hAnsi="宋体" w:eastAsia="宋体" w:cs="Times New Roman"/>
              <w:sz w:val="21"/>
              <w:lang w:val="en-US" w:eastAsia="zh-CN" w:bidi="ar-SA"/>
            </w:rPr>
            <w:t>00 kg/667m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。肥料使用应符合NY/T 496的规定</w:t>
          </w:r>
          <w:r>
            <w:rPr>
              <w:rFonts w:hint="eastAsia"/>
              <w:lang w:val="en-US" w:eastAsia="zh-CN"/>
            </w:rPr>
            <w:t>。</w:t>
          </w:r>
        </w:p>
        <w:p w14:paraId="2413A685">
          <w:pPr>
            <w:pStyle w:val="105"/>
            <w:spacing w:before="156" w:after="156"/>
            <w:rPr>
              <w:rFonts w:hint="eastAsia"/>
            </w:rPr>
          </w:pPr>
          <w:bookmarkStart w:id="80" w:name="_Toc14094"/>
          <w:r>
            <w:rPr>
              <w:rFonts w:hint="eastAsia"/>
            </w:rPr>
            <w:t>整地</w:t>
          </w:r>
          <w:bookmarkEnd w:id="80"/>
        </w:p>
        <w:p w14:paraId="3E5A7514">
          <w:pPr>
            <w:pStyle w:val="56"/>
            <w:ind w:firstLine="420"/>
          </w:pPr>
          <w:r>
            <w:rPr>
              <w:rFonts w:hint="eastAsia"/>
            </w:rPr>
            <w:t>播种前1周，深耕旋平，达到土壤上虚下实，翻耕深度25 cm～30 cm。</w:t>
          </w:r>
        </w:p>
        <w:p w14:paraId="085DEF1E">
          <w:pPr>
            <w:pStyle w:val="105"/>
            <w:spacing w:before="156" w:after="156"/>
          </w:pPr>
          <w:bookmarkStart w:id="81" w:name="_Toc165760342"/>
          <w:bookmarkStart w:id="82" w:name="_Toc166351860"/>
          <w:bookmarkStart w:id="83" w:name="_Toc166351905"/>
          <w:bookmarkStart w:id="84" w:name="_Toc22177"/>
          <w:r>
            <w:rPr>
              <w:rFonts w:hint="eastAsia"/>
            </w:rPr>
            <w:t>播种期</w:t>
          </w:r>
          <w:bookmarkEnd w:id="81"/>
          <w:bookmarkEnd w:id="82"/>
          <w:bookmarkEnd w:id="83"/>
          <w:bookmarkEnd w:id="84"/>
        </w:p>
        <w:p w14:paraId="55BC056D">
          <w:pPr>
            <w:pStyle w:val="56"/>
            <w:ind w:firstLine="420"/>
            <w:rPr>
              <w:rFonts w:hint="eastAsia" w:ascii="宋体" w:hAnsi="宋体" w:eastAsia="宋体" w:cs="Times New Roman"/>
              <w:sz w:val="21"/>
              <w:lang w:val="en-US" w:eastAsia="zh-CN" w:bidi="ar-SA"/>
            </w:rPr>
          </w:pPr>
          <w:r>
            <w:rPr>
              <w:rFonts w:hint="eastAsia" w:ascii="宋体" w:hAnsi="宋体" w:eastAsia="宋体" w:cs="Times New Roman"/>
              <w:sz w:val="21"/>
              <w:lang w:val="en-US" w:eastAsia="zh-CN" w:bidi="ar-SA"/>
            </w:rPr>
            <w:t>海拔3200米以下区域，在3月中下旬～4月上旬为宜；海拔3200～3900米区域，在4月上旬～5月上旬为宜；海拔3900～4100米区域，在5月上中旬～6月上旬为宜。</w:t>
          </w:r>
        </w:p>
        <w:p w14:paraId="4EC5A97C">
          <w:pPr>
            <w:pStyle w:val="105"/>
            <w:spacing w:before="156" w:after="156"/>
          </w:pPr>
          <w:bookmarkStart w:id="85" w:name="_Toc166351906"/>
          <w:bookmarkStart w:id="86" w:name="_Toc166351861"/>
          <w:bookmarkStart w:id="87" w:name="_Toc165760343"/>
          <w:bookmarkStart w:id="88" w:name="_Toc6306"/>
          <w:r>
            <w:rPr>
              <w:rFonts w:hint="eastAsia"/>
            </w:rPr>
            <w:t>播种方式</w:t>
          </w:r>
          <w:bookmarkEnd w:id="85"/>
          <w:bookmarkEnd w:id="86"/>
          <w:bookmarkEnd w:id="87"/>
          <w:bookmarkEnd w:id="88"/>
        </w:p>
        <w:p w14:paraId="627D28F6">
          <w:pPr>
            <w:pStyle w:val="56"/>
            <w:ind w:firstLine="420"/>
            <w:rPr>
              <w:rFonts w:hint="eastAsia"/>
            </w:rPr>
          </w:pPr>
          <w:r>
            <w:rPr>
              <w:rFonts w:hint="eastAsia"/>
            </w:rPr>
            <w:t>人工</w:t>
          </w:r>
          <w:r>
            <w:rPr>
              <w:rFonts w:hint="eastAsia"/>
              <w:lang w:val="en-US" w:eastAsia="zh-CN"/>
            </w:rPr>
            <w:t>开沟条播或穴播</w:t>
          </w:r>
          <w:r>
            <w:rPr>
              <w:rFonts w:hint="eastAsia"/>
            </w:rPr>
            <w:t>，播种深度2 cm～3 cm，</w:t>
          </w:r>
          <w:r>
            <w:rPr>
              <w:rFonts w:hint="eastAsia"/>
              <w:lang w:val="en-US" w:eastAsia="zh-CN"/>
            </w:rPr>
            <w:t>株距20</w:t>
          </w:r>
          <w:r>
            <w:rPr>
              <w:rFonts w:hint="eastAsia"/>
            </w:rPr>
            <w:t>～</w:t>
          </w:r>
          <w:r>
            <w:rPr>
              <w:rFonts w:hint="eastAsia"/>
              <w:lang w:val="en-US" w:eastAsia="zh-CN"/>
            </w:rPr>
            <w:t>30cm，</w:t>
          </w:r>
          <w:r>
            <w:rPr>
              <w:rFonts w:hint="eastAsia"/>
            </w:rPr>
            <w:t>行距</w:t>
          </w:r>
          <w:r>
            <w:rPr>
              <w:rFonts w:hint="eastAsia"/>
              <w:lang w:val="en-US" w:eastAsia="zh-CN"/>
            </w:rPr>
            <w:t>4</w:t>
          </w:r>
          <w:r>
            <w:rPr>
              <w:rFonts w:hint="eastAsia"/>
            </w:rPr>
            <w:t>0 cm。</w:t>
          </w:r>
        </w:p>
        <w:p w14:paraId="730C22FF">
          <w:pPr>
            <w:pStyle w:val="105"/>
            <w:spacing w:before="156" w:after="156"/>
          </w:pPr>
          <w:bookmarkStart w:id="89" w:name="_Toc166351862"/>
          <w:bookmarkStart w:id="90" w:name="_Toc166351907"/>
          <w:bookmarkStart w:id="91" w:name="_Toc5923"/>
          <w:r>
            <w:rPr>
              <w:rFonts w:hint="eastAsia"/>
            </w:rPr>
            <w:t>播量</w:t>
          </w:r>
          <w:bookmarkEnd w:id="89"/>
          <w:bookmarkEnd w:id="90"/>
          <w:bookmarkEnd w:id="91"/>
        </w:p>
        <w:p w14:paraId="441D2CCA">
          <w:pPr>
            <w:pStyle w:val="56"/>
            <w:ind w:firstLine="420"/>
            <w:rPr>
              <w:rFonts w:hint="eastAsia" w:eastAsia="宋体"/>
              <w:vertAlign w:val="baseline"/>
              <w:lang w:val="en-US" w:eastAsia="zh-CN"/>
            </w:rPr>
          </w:pPr>
          <w:r>
            <w:rPr>
              <w:rFonts w:hint="eastAsia"/>
              <w:lang w:val="en-US" w:eastAsia="zh-CN"/>
            </w:rPr>
            <w:t>人工穴播：</w:t>
          </w:r>
          <w:r>
            <w:rPr>
              <w:rFonts w:hint="eastAsia"/>
            </w:rPr>
            <w:t>0.</w:t>
          </w:r>
          <w:r>
            <w:rPr>
              <w:rFonts w:hint="eastAsia"/>
              <w:lang w:val="en-US" w:eastAsia="zh-CN"/>
            </w:rPr>
            <w:t>3</w:t>
          </w:r>
          <w:r>
            <w:rPr>
              <w:rFonts w:hint="eastAsia"/>
            </w:rPr>
            <w:t>kg/667 m</w:t>
          </w:r>
          <w:r>
            <w:rPr>
              <w:rFonts w:hint="eastAsia"/>
              <w:vertAlign w:val="superscript"/>
            </w:rPr>
            <w:t>2</w:t>
          </w:r>
          <w:r>
            <w:rPr>
              <w:rFonts w:hint="eastAsia"/>
            </w:rPr>
            <w:t>～0.</w:t>
          </w:r>
          <w:r>
            <w:rPr>
              <w:rFonts w:hint="eastAsia"/>
              <w:lang w:val="en-US" w:eastAsia="zh-CN"/>
            </w:rPr>
            <w:t>4</w:t>
          </w:r>
          <w:r>
            <w:rPr>
              <w:rFonts w:hint="eastAsia"/>
            </w:rPr>
            <w:t>kg/667 m</w:t>
          </w:r>
          <w:r>
            <w:rPr>
              <w:rFonts w:hint="eastAsia"/>
              <w:vertAlign w:val="superscript"/>
            </w:rPr>
            <w:t>2</w:t>
          </w:r>
          <w:r>
            <w:rPr>
              <w:rFonts w:hint="eastAsia"/>
              <w:lang w:eastAsia="zh-CN"/>
            </w:rPr>
            <w:t>；</w:t>
          </w:r>
          <w:r>
            <w:rPr>
              <w:rFonts w:hint="eastAsia"/>
              <w:lang w:val="en-US" w:eastAsia="zh-CN"/>
            </w:rPr>
            <w:t>人工开沟条播：</w:t>
          </w:r>
          <w:r>
            <w:rPr>
              <w:rFonts w:hint="eastAsia"/>
            </w:rPr>
            <w:t>0.</w:t>
          </w:r>
          <w:r>
            <w:rPr>
              <w:rFonts w:hint="eastAsia"/>
              <w:lang w:val="en-US" w:eastAsia="zh-CN"/>
            </w:rPr>
            <w:t>4</w:t>
          </w:r>
          <w:r>
            <w:rPr>
              <w:rFonts w:hint="eastAsia"/>
            </w:rPr>
            <w:t>kg/667 m</w:t>
          </w:r>
          <w:r>
            <w:rPr>
              <w:rFonts w:hint="eastAsia"/>
              <w:vertAlign w:val="superscript"/>
            </w:rPr>
            <w:t>2</w:t>
          </w:r>
          <w:r>
            <w:rPr>
              <w:rFonts w:hint="eastAsia"/>
            </w:rPr>
            <w:t>～0.</w:t>
          </w:r>
          <w:r>
            <w:rPr>
              <w:rFonts w:hint="eastAsia"/>
              <w:lang w:val="en-US" w:eastAsia="zh-CN"/>
            </w:rPr>
            <w:t>5</w:t>
          </w:r>
          <w:r>
            <w:rPr>
              <w:rFonts w:hint="eastAsia"/>
            </w:rPr>
            <w:t>kg/667 m</w:t>
          </w:r>
          <w:r>
            <w:rPr>
              <w:rFonts w:hint="eastAsia"/>
              <w:vertAlign w:val="superscript"/>
            </w:rPr>
            <w:t>2</w:t>
          </w:r>
          <w:r>
            <w:rPr>
              <w:rFonts w:hint="eastAsia"/>
              <w:vertAlign w:val="baseline"/>
              <w:lang w:eastAsia="zh-CN"/>
            </w:rPr>
            <w:t>。</w:t>
          </w:r>
        </w:p>
        <w:p w14:paraId="28E110BC">
          <w:pPr>
            <w:pStyle w:val="104"/>
            <w:spacing w:before="312" w:after="312"/>
          </w:pPr>
          <w:bookmarkStart w:id="92" w:name="_Toc165760345"/>
          <w:bookmarkStart w:id="93" w:name="_Toc166351863"/>
          <w:bookmarkStart w:id="94" w:name="_Toc6665"/>
          <w:r>
            <w:rPr>
              <w:rFonts w:hint="eastAsia"/>
            </w:rPr>
            <w:t>田间管理</w:t>
          </w:r>
          <w:bookmarkEnd w:id="92"/>
          <w:bookmarkEnd w:id="93"/>
          <w:bookmarkEnd w:id="94"/>
        </w:p>
        <w:p w14:paraId="4C3E5011">
          <w:pPr>
            <w:pStyle w:val="105"/>
            <w:spacing w:before="156" w:after="156"/>
          </w:pPr>
          <w:bookmarkStart w:id="95" w:name="_Toc166351864"/>
          <w:bookmarkStart w:id="96" w:name="_Toc166351909"/>
          <w:bookmarkStart w:id="97" w:name="_Toc29259"/>
          <w:r>
            <w:rPr>
              <w:rFonts w:hint="eastAsia"/>
            </w:rPr>
            <w:t>除草</w:t>
          </w:r>
          <w:bookmarkEnd w:id="95"/>
          <w:bookmarkEnd w:id="96"/>
          <w:bookmarkEnd w:id="97"/>
        </w:p>
        <w:p w14:paraId="70A85126">
          <w:pPr>
            <w:pStyle w:val="56"/>
            <w:ind w:firstLine="420"/>
          </w:pPr>
          <w:r>
            <w:rPr>
              <w:rFonts w:hint="eastAsia"/>
            </w:rPr>
            <w:t>草害严重的地块，苗期可进行</w:t>
          </w:r>
          <w:r>
            <w:rPr>
              <w:rFonts w:hint="eastAsia"/>
              <w:lang w:val="en-US" w:eastAsia="zh-CN"/>
            </w:rPr>
            <w:t>人工</w:t>
          </w:r>
          <w:r>
            <w:rPr>
              <w:rFonts w:hint="eastAsia"/>
            </w:rPr>
            <w:t>除草。</w:t>
          </w:r>
        </w:p>
        <w:p w14:paraId="1C01FCC3">
          <w:pPr>
            <w:pStyle w:val="105"/>
            <w:spacing w:before="156" w:after="156"/>
          </w:pPr>
          <w:bookmarkStart w:id="98" w:name="_Toc166351910"/>
          <w:bookmarkStart w:id="99" w:name="_Toc166351865"/>
          <w:bookmarkStart w:id="100" w:name="_Toc165760347"/>
          <w:bookmarkStart w:id="101" w:name="_Toc29209"/>
          <w:r>
            <w:rPr>
              <w:rFonts w:hint="eastAsia"/>
            </w:rPr>
            <w:t>定苗</w:t>
          </w:r>
          <w:bookmarkEnd w:id="98"/>
          <w:bookmarkEnd w:id="99"/>
          <w:bookmarkEnd w:id="100"/>
          <w:bookmarkEnd w:id="101"/>
        </w:p>
        <w:p w14:paraId="3147167E">
          <w:pPr>
            <w:pStyle w:val="56"/>
            <w:ind w:firstLine="420"/>
          </w:pPr>
          <w:r>
            <w:rPr>
              <w:rFonts w:hint="eastAsia"/>
            </w:rPr>
            <w:t>在油菜三叶期到四叶期开始定苗，留苗密度</w:t>
          </w:r>
          <w:r>
            <w:rPr>
              <w:rFonts w:hint="eastAsia"/>
              <w:lang w:val="en-US" w:eastAsia="zh-CN"/>
            </w:rPr>
            <w:t>1</w:t>
          </w:r>
          <w:r>
            <w:rPr>
              <w:rFonts w:hint="eastAsia"/>
            </w:rPr>
            <w:t>.</w:t>
          </w:r>
          <w:r>
            <w:rPr>
              <w:rFonts w:hint="eastAsia"/>
              <w:lang w:val="en-US" w:eastAsia="zh-CN"/>
            </w:rPr>
            <w:t>0</w:t>
          </w:r>
          <w:r>
            <w:rPr>
              <w:rFonts w:hint="eastAsia"/>
            </w:rPr>
            <w:t xml:space="preserve"> 万株/667 m</w:t>
          </w:r>
          <w:r>
            <w:rPr>
              <w:rFonts w:hint="eastAsia"/>
              <w:vertAlign w:val="superscript"/>
            </w:rPr>
            <w:t>2</w:t>
          </w:r>
          <w:r>
            <w:rPr>
              <w:rFonts w:hint="eastAsia"/>
            </w:rPr>
            <w:t>～</w:t>
          </w:r>
          <w:r>
            <w:rPr>
              <w:rFonts w:hint="eastAsia"/>
              <w:lang w:val="en-US" w:eastAsia="zh-CN"/>
            </w:rPr>
            <w:t>1.5</w:t>
          </w:r>
          <w:r>
            <w:rPr>
              <w:rFonts w:hint="eastAsia"/>
            </w:rPr>
            <w:t xml:space="preserve"> 万株/667 m</w:t>
          </w:r>
          <w:r>
            <w:rPr>
              <w:rFonts w:hint="eastAsia"/>
              <w:vertAlign w:val="superscript"/>
            </w:rPr>
            <w:t>2</w:t>
          </w:r>
          <w:r>
            <w:rPr>
              <w:rFonts w:hint="eastAsia"/>
            </w:rPr>
            <w:t>。</w:t>
          </w:r>
        </w:p>
        <w:p w14:paraId="1E391C4E">
          <w:pPr>
            <w:pStyle w:val="105"/>
            <w:spacing w:before="156" w:after="156"/>
          </w:pPr>
          <w:bookmarkStart w:id="102" w:name="_Toc166351911"/>
          <w:bookmarkStart w:id="103" w:name="_Toc166351866"/>
          <w:bookmarkStart w:id="104" w:name="_Toc165760348"/>
          <w:bookmarkStart w:id="105" w:name="_Toc5795"/>
          <w:r>
            <w:rPr>
              <w:rFonts w:hint="eastAsia"/>
            </w:rPr>
            <w:t>追肥</w:t>
          </w:r>
          <w:bookmarkEnd w:id="102"/>
          <w:bookmarkEnd w:id="103"/>
          <w:bookmarkEnd w:id="104"/>
          <w:bookmarkEnd w:id="105"/>
        </w:p>
        <w:p w14:paraId="37AD61BC">
          <w:pPr>
            <w:pStyle w:val="56"/>
            <w:ind w:firstLine="420"/>
            <w:rPr>
              <w:rFonts w:hint="eastAsia"/>
            </w:rPr>
          </w:pPr>
          <w:r>
            <w:rPr>
              <w:rFonts w:hint="eastAsia"/>
            </w:rPr>
            <w:t>在现蕾期追施尿素5Kg/667 m</w:t>
          </w:r>
          <w:r>
            <w:rPr>
              <w:rFonts w:hint="eastAsia"/>
              <w:vertAlign w:val="superscript"/>
            </w:rPr>
            <w:t>2</w:t>
          </w:r>
          <w:r>
            <w:rPr>
              <w:rFonts w:hint="eastAsia"/>
            </w:rPr>
            <w:t>～6Kg/667 m</w:t>
          </w:r>
          <w:r>
            <w:rPr>
              <w:rFonts w:hint="eastAsia"/>
              <w:vertAlign w:val="superscript"/>
            </w:rPr>
            <w:t>2</w:t>
          </w:r>
          <w:r>
            <w:rPr>
              <w:rFonts w:hint="eastAsia"/>
            </w:rPr>
            <w:t xml:space="preserve">，肥料使用应符合NY/T </w:t>
          </w:r>
          <w:r>
            <w:rPr>
              <w:rFonts w:hint="eastAsia"/>
              <w:lang w:val="en-US" w:eastAsia="zh-CN"/>
            </w:rPr>
            <w:t xml:space="preserve">496 </w:t>
          </w:r>
          <w:r>
            <w:rPr>
              <w:rFonts w:hint="eastAsia"/>
            </w:rPr>
            <w:t>的规定。</w:t>
          </w:r>
        </w:p>
        <w:p w14:paraId="5916D136">
          <w:pPr>
            <w:pStyle w:val="105"/>
            <w:spacing w:before="156" w:after="156"/>
          </w:pPr>
          <w:bookmarkStart w:id="106" w:name="_Toc166351914"/>
          <w:bookmarkStart w:id="107" w:name="_Toc165760351"/>
          <w:bookmarkStart w:id="108" w:name="_Toc166351869"/>
          <w:bookmarkStart w:id="109" w:name="_Toc17429"/>
          <w:r>
            <w:rPr>
              <w:rFonts w:hint="eastAsia"/>
            </w:rPr>
            <w:t>虫害防治</w:t>
          </w:r>
          <w:bookmarkEnd w:id="106"/>
          <w:bookmarkEnd w:id="107"/>
          <w:bookmarkEnd w:id="108"/>
          <w:bookmarkEnd w:id="109"/>
        </w:p>
        <w:p w14:paraId="02810690">
          <w:pPr>
            <w:pStyle w:val="56"/>
            <w:ind w:firstLine="420"/>
            <w:rPr>
              <w:rFonts w:hint="eastAsia"/>
            </w:rPr>
          </w:pPr>
          <w:r>
            <w:rPr>
              <w:rFonts w:hint="eastAsia"/>
              <w:lang w:val="en-US" w:eastAsia="zh-CN"/>
            </w:rPr>
            <w:t>提前防治，</w:t>
          </w:r>
          <w:r>
            <w:rPr>
              <w:rFonts w:hint="eastAsia"/>
            </w:rPr>
            <w:t>防治时期及方法见附录</w:t>
          </w:r>
          <w:r>
            <w:rPr>
              <w:rFonts w:hint="eastAsia"/>
              <w:lang w:val="en-US" w:eastAsia="zh-CN"/>
            </w:rPr>
            <w:t>B</w:t>
          </w:r>
          <w:r>
            <w:rPr>
              <w:rFonts w:hint="eastAsia"/>
            </w:rPr>
            <w:t>，农药使用应符合</w:t>
          </w:r>
          <w:r>
            <w:rPr>
              <w:rFonts w:hint="eastAsia"/>
              <w:lang w:val="en-US" w:eastAsia="zh-CN"/>
            </w:rPr>
            <w:t>GB/T 8321.10、GB/T 23416.6</w:t>
          </w:r>
          <w:r>
            <w:rPr>
              <w:rFonts w:hint="eastAsia"/>
            </w:rPr>
            <w:t>的规定。</w:t>
          </w:r>
        </w:p>
        <w:p w14:paraId="469C1E81">
          <w:pPr>
            <w:pStyle w:val="104"/>
            <w:spacing w:before="312" w:after="312"/>
          </w:pPr>
          <w:bookmarkStart w:id="110" w:name="_Toc166351870"/>
          <w:bookmarkStart w:id="111" w:name="_Toc5566"/>
          <w:r>
            <w:rPr>
              <w:rFonts w:hint="eastAsia"/>
            </w:rPr>
            <w:t>菜薹采收与管理</w:t>
          </w:r>
          <w:bookmarkEnd w:id="110"/>
          <w:bookmarkEnd w:id="111"/>
        </w:p>
        <w:p w14:paraId="6A9D8E9C">
          <w:pPr>
            <w:pStyle w:val="105"/>
            <w:spacing w:before="156" w:after="156"/>
          </w:pPr>
          <w:bookmarkStart w:id="112" w:name="_Toc166351916"/>
          <w:bookmarkStart w:id="113" w:name="_Toc166351871"/>
          <w:bookmarkStart w:id="114" w:name="_Toc20796"/>
          <w:r>
            <w:rPr>
              <w:rFonts w:hint="eastAsia"/>
            </w:rPr>
            <w:t>采收</w:t>
          </w:r>
          <w:bookmarkEnd w:id="112"/>
          <w:bookmarkEnd w:id="113"/>
          <w:r>
            <w:rPr>
              <w:rFonts w:hint="eastAsia"/>
              <w:lang w:val="en-US" w:eastAsia="zh-CN"/>
            </w:rPr>
            <w:t>时期</w:t>
          </w:r>
          <w:bookmarkEnd w:id="114"/>
        </w:p>
        <w:p w14:paraId="286CC237">
          <w:pPr>
            <w:pStyle w:val="56"/>
            <w:ind w:firstLine="420"/>
            <w:rPr>
              <w:rFonts w:hint="default" w:eastAsia="宋体"/>
              <w:lang w:val="en-US" w:eastAsia="zh-CN"/>
            </w:rPr>
          </w:pPr>
          <w:r>
            <w:rPr>
              <w:rFonts w:hint="eastAsia"/>
            </w:rPr>
            <w:t>在油菜蕾薹期主薹高30 cm～40 cm时，采摘主薹。采收菜薹长度15 cm～20 cm，基部宜留茬15 cm～20cm。</w:t>
          </w:r>
          <w:r>
            <w:rPr>
              <w:rFonts w:hint="eastAsia"/>
              <w:lang w:val="en-US" w:eastAsia="zh-CN"/>
            </w:rPr>
            <w:t>第一次采收菜薹为主薹，后期采收菜薹为侧苔，</w:t>
          </w:r>
          <w:r>
            <w:rPr>
              <w:rFonts w:hint="eastAsia"/>
            </w:rPr>
            <w:t>待</w:t>
          </w:r>
          <w:r>
            <w:rPr>
              <w:rFonts w:hint="eastAsia"/>
              <w:lang w:val="en-US" w:eastAsia="zh-CN"/>
            </w:rPr>
            <w:t>侧苔15</w:t>
          </w:r>
          <w:r>
            <w:rPr>
              <w:rFonts w:hint="eastAsia"/>
            </w:rPr>
            <w:t>～2</w:t>
          </w:r>
          <w:r>
            <w:rPr>
              <w:rFonts w:hint="eastAsia"/>
              <w:lang w:val="en-US" w:eastAsia="zh-CN"/>
            </w:rPr>
            <w:t>0</w:t>
          </w:r>
          <w:r>
            <w:rPr>
              <w:rFonts w:hint="eastAsia"/>
            </w:rPr>
            <w:t>厘米再</w:t>
          </w:r>
          <w:r>
            <w:rPr>
              <w:rFonts w:hint="eastAsia"/>
              <w:lang w:val="en-US" w:eastAsia="zh-CN"/>
            </w:rPr>
            <w:t>次采摘。可采摘3～4茬。两次相邻采摘时期大约间隔8</w:t>
          </w:r>
          <w:r>
            <w:rPr>
              <w:rFonts w:hint="eastAsia"/>
            </w:rPr>
            <w:t>～</w:t>
          </w:r>
          <w:r>
            <w:rPr>
              <w:rFonts w:hint="eastAsia"/>
              <w:lang w:val="en-US" w:eastAsia="zh-CN"/>
            </w:rPr>
            <w:t>15天。</w:t>
          </w:r>
        </w:p>
        <w:p w14:paraId="5FB20B61">
          <w:pPr>
            <w:pStyle w:val="105"/>
            <w:spacing w:before="156" w:after="156"/>
          </w:pPr>
          <w:bookmarkStart w:id="115" w:name="_Toc166351917"/>
          <w:bookmarkStart w:id="116" w:name="_Toc166351872"/>
          <w:bookmarkStart w:id="117" w:name="_Toc4613"/>
          <w:r>
            <w:rPr>
              <w:rFonts w:hint="eastAsia"/>
            </w:rPr>
            <w:t>采摘期管理</w:t>
          </w:r>
          <w:bookmarkEnd w:id="115"/>
          <w:bookmarkEnd w:id="116"/>
          <w:bookmarkEnd w:id="117"/>
        </w:p>
        <w:p w14:paraId="0A5A551D">
          <w:pPr>
            <w:pStyle w:val="56"/>
            <w:ind w:firstLine="420"/>
            <w:rPr>
              <w:rFonts w:hint="eastAsia"/>
            </w:rPr>
          </w:pPr>
          <w:r>
            <w:rPr>
              <w:rFonts w:hint="eastAsia"/>
            </w:rPr>
            <w:t>主薹采摘后追施尿素3 kg/667 m</w:t>
          </w:r>
          <w:r>
            <w:rPr>
              <w:rFonts w:hint="eastAsia"/>
              <w:vertAlign w:val="superscript"/>
            </w:rPr>
            <w:t>2</w:t>
          </w:r>
          <w:r>
            <w:rPr>
              <w:rFonts w:hint="eastAsia"/>
            </w:rPr>
            <w:t>～5 kg/667 m</w:t>
          </w:r>
          <w:r>
            <w:rPr>
              <w:rFonts w:hint="eastAsia"/>
              <w:vertAlign w:val="superscript"/>
            </w:rPr>
            <w:t>2</w:t>
          </w:r>
          <w:r>
            <w:rPr>
              <w:rFonts w:hint="eastAsia"/>
            </w:rPr>
            <w:t>，灌水40 m</w:t>
          </w:r>
          <w:r>
            <w:rPr>
              <w:rFonts w:hint="eastAsia"/>
              <w:vertAlign w:val="superscript"/>
            </w:rPr>
            <w:t>3</w:t>
          </w:r>
          <w:r>
            <w:rPr>
              <w:rFonts w:hint="eastAsia"/>
            </w:rPr>
            <w:t>/667m</w:t>
          </w:r>
          <w:r>
            <w:rPr>
              <w:rFonts w:hint="eastAsia"/>
              <w:vertAlign w:val="superscript"/>
            </w:rPr>
            <w:t>2</w:t>
          </w:r>
          <w:r>
            <w:rPr>
              <w:rFonts w:hint="eastAsia"/>
            </w:rPr>
            <w:t>～60 m</w:t>
          </w:r>
          <w:r>
            <w:rPr>
              <w:rFonts w:hint="eastAsia"/>
              <w:vertAlign w:val="superscript"/>
            </w:rPr>
            <w:t>3</w:t>
          </w:r>
          <w:r>
            <w:rPr>
              <w:rFonts w:hint="eastAsia"/>
            </w:rPr>
            <w:t>/667m</w:t>
          </w:r>
          <w:r>
            <w:rPr>
              <w:rFonts w:hint="eastAsia"/>
              <w:vertAlign w:val="superscript"/>
            </w:rPr>
            <w:t>2</w:t>
          </w:r>
          <w:r>
            <w:rPr>
              <w:rFonts w:hint="eastAsia"/>
            </w:rPr>
            <w:t>。</w:t>
          </w:r>
        </w:p>
        <w:p w14:paraId="1D275BDB">
          <w:pPr>
            <w:pStyle w:val="105"/>
            <w:spacing w:before="156" w:after="156"/>
          </w:pPr>
          <w:bookmarkStart w:id="118" w:name="_Toc10190"/>
          <w:bookmarkStart w:id="119" w:name="_Toc165760355"/>
          <w:bookmarkStart w:id="120" w:name="_Toc166351873"/>
          <w:bookmarkStart w:id="121" w:name="_Toc166351918"/>
          <w:r>
            <w:rPr>
              <w:rFonts w:hint="eastAsia"/>
              <w:lang w:val="en-US" w:eastAsia="zh-CN"/>
            </w:rPr>
            <w:t>安全间隔期</w:t>
          </w:r>
          <w:bookmarkEnd w:id="118"/>
        </w:p>
        <w:p w14:paraId="79E4CD24">
          <w:pPr>
            <w:pStyle w:val="56"/>
            <w:rPr>
              <w:rFonts w:hint="default" w:eastAsia="宋体"/>
              <w:lang w:val="en-US" w:eastAsia="zh-CN"/>
            </w:rPr>
          </w:pPr>
          <w:r>
            <w:rPr>
              <w:rFonts w:hint="eastAsia"/>
              <w:lang w:val="en-US" w:eastAsia="zh-CN"/>
            </w:rPr>
            <w:t>施用农药后15天内禁止采摘菜薹。</w:t>
          </w:r>
        </w:p>
        <w:p w14:paraId="2423A1C6">
          <w:pPr>
            <w:pStyle w:val="105"/>
            <w:spacing w:before="156" w:after="156"/>
          </w:pPr>
          <w:bookmarkStart w:id="122" w:name="_Toc2101"/>
          <w:r>
            <w:rPr>
              <w:rFonts w:hint="eastAsia"/>
            </w:rPr>
            <w:t>菜薹包装与贮藏</w:t>
          </w:r>
          <w:bookmarkEnd w:id="119"/>
          <w:bookmarkEnd w:id="120"/>
          <w:bookmarkEnd w:id="121"/>
          <w:bookmarkEnd w:id="122"/>
        </w:p>
        <w:p w14:paraId="2A52938F">
          <w:pPr>
            <w:pStyle w:val="56"/>
            <w:ind w:firstLine="420"/>
          </w:pPr>
          <w:r>
            <w:rPr>
              <w:rFonts w:hint="eastAsia"/>
            </w:rPr>
            <w:t>油菜薹收获后，及时整理包装，包装与贮藏应符合GB/T 26432的要求。</w:t>
          </w:r>
        </w:p>
        <w:p w14:paraId="68D821BE">
          <w:pPr>
            <w:pStyle w:val="104"/>
            <w:spacing w:before="312" w:after="312"/>
          </w:pPr>
          <w:bookmarkStart w:id="123" w:name="_Toc165760356"/>
          <w:bookmarkStart w:id="124" w:name="_Toc166351874"/>
          <w:bookmarkStart w:id="125" w:name="_Toc17196"/>
          <w:r>
            <w:rPr>
              <w:rFonts w:hint="eastAsia"/>
            </w:rPr>
            <w:t>生产档案</w:t>
          </w:r>
          <w:bookmarkEnd w:id="123"/>
          <w:bookmarkEnd w:id="124"/>
          <w:bookmarkEnd w:id="125"/>
        </w:p>
        <w:p w14:paraId="3A6E46D1">
          <w:pPr>
            <w:pStyle w:val="56"/>
            <w:ind w:firstLine="420"/>
          </w:pPr>
          <w:r>
            <w:rPr>
              <w:rFonts w:hint="eastAsia"/>
            </w:rPr>
            <w:t>详细记录生产过程的农事活动，填写《生产田间农事活动记录表》，见附录</w:t>
          </w:r>
          <w:r>
            <w:rPr>
              <w:rFonts w:hint="eastAsia"/>
              <w:lang w:val="en-US" w:eastAsia="zh-CN"/>
            </w:rPr>
            <w:t>B</w:t>
          </w:r>
          <w:r>
            <w:rPr>
              <w:rFonts w:hint="eastAsia"/>
            </w:rPr>
            <w:t>（表</w:t>
          </w:r>
          <w:r>
            <w:rPr>
              <w:rFonts w:hint="eastAsia"/>
              <w:lang w:val="en-US" w:eastAsia="zh-CN"/>
            </w:rPr>
            <w:t>B</w:t>
          </w:r>
          <w:r>
            <w:rPr>
              <w:rFonts w:hint="eastAsia"/>
            </w:rPr>
            <w:t>.2）,资料需保存2年。</w:t>
          </w:r>
        </w:p>
        <w:p w14:paraId="77FDF751">
          <w:pPr>
            <w:pStyle w:val="56"/>
            <w:ind w:firstLine="420"/>
            <w:rPr>
              <w:rFonts w:hint="eastAsia"/>
            </w:rPr>
          </w:pPr>
        </w:p>
        <w:p w14:paraId="4A75C033">
          <w:pPr>
            <w:pStyle w:val="223"/>
            <w:numPr>
              <w:ilvl w:val="0"/>
              <w:numId w:val="0"/>
            </w:numPr>
            <w:rPr>
              <w:rFonts w:hint="eastAsia" w:ascii="黑体" w:hAnsi="黑体" w:eastAsia="黑体"/>
            </w:rPr>
          </w:pPr>
        </w:p>
        <w:p w14:paraId="16E41A35">
          <w:pPr>
            <w:pStyle w:val="56"/>
            <w:ind w:firstLine="420"/>
          </w:pPr>
        </w:p>
        <w:p w14:paraId="1A8C4894">
          <w:pPr>
            <w:pStyle w:val="56"/>
            <w:ind w:firstLine="420"/>
          </w:pPr>
        </w:p>
        <w:p w14:paraId="1312FE02">
          <w:pPr>
            <w:pStyle w:val="56"/>
            <w:ind w:firstLine="420"/>
          </w:pPr>
        </w:p>
        <w:p w14:paraId="5F4D9C19">
          <w:pPr>
            <w:pStyle w:val="56"/>
            <w:ind w:firstLine="420"/>
          </w:pPr>
        </w:p>
        <w:p w14:paraId="5F9FF83C">
          <w:pPr>
            <w:pStyle w:val="56"/>
            <w:ind w:firstLine="420"/>
            <w:sectPr>
              <w:pgSz w:w="11906" w:h="16838"/>
              <w:pgMar w:top="1928" w:right="1134" w:bottom="1134" w:left="1134" w:header="1418" w:footer="1134" w:gutter="284"/>
              <w:pgNumType w:start="1"/>
              <w:cols w:space="720" w:num="1"/>
              <w:formProt w:val="0"/>
              <w:docGrid w:type="lines" w:linePitch="312" w:charSpace="0"/>
            </w:sectPr>
          </w:pPr>
        </w:p>
        <w:p w14:paraId="36317A83">
          <w:pPr>
            <w:pStyle w:val="198"/>
            <w:rPr>
              <w:vanish w:val="0"/>
            </w:rPr>
          </w:pPr>
          <w:bookmarkStart w:id="126" w:name="BookMark5"/>
        </w:p>
        <w:p w14:paraId="31120324">
          <w:pPr>
            <w:pStyle w:val="56"/>
            <w:rPr>
              <w:vanish w:val="0"/>
            </w:rPr>
          </w:pPr>
        </w:p>
        <w:p w14:paraId="6823608E">
          <w:pPr>
            <w:pStyle w:val="76"/>
            <w:spacing w:after="156"/>
            <w:rPr>
              <w:rFonts w:hint="eastAsia"/>
            </w:rPr>
          </w:pPr>
          <w:bookmarkStart w:id="127" w:name="_Toc31094"/>
          <w:r>
            <w:br w:type="textWrapping"/>
          </w:r>
          <w:r>
            <w:rPr>
              <w:rFonts w:hint="eastAsia"/>
            </w:rPr>
            <w:t>（资料性）</w:t>
          </w:r>
          <w:r>
            <w:br w:type="textWrapping"/>
          </w:r>
          <w:r>
            <w:rPr>
              <w:rFonts w:hint="eastAsia" w:hAnsi="Times New Roman" w:cs="Times New Roman"/>
              <w:lang w:val="en-US" w:eastAsia="zh-CN"/>
            </w:rPr>
            <w:t>西藏地区菜用甘蓝型油菜品种</w:t>
          </w:r>
          <w:r>
            <w:rPr>
              <w:rFonts w:hint="eastAsia"/>
            </w:rPr>
            <w:t>表</w:t>
          </w:r>
          <w:bookmarkEnd w:id="127"/>
        </w:p>
        <w:tbl>
          <w:tblPr>
            <w:tblStyle w:val="26"/>
            <w:tblW w:w="93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39"/>
            <w:gridCol w:w="3262"/>
            <w:gridCol w:w="4539"/>
          </w:tblGrid>
          <w:tr w14:paraId="488808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62" w:hRule="atLeast"/>
              <w:tblHeader/>
              <w:jc w:val="center"/>
            </w:trPr>
            <w:tc>
              <w:tcPr>
                <w:tcW w:w="1539" w:type="dxa"/>
                <w:noWrap w:val="0"/>
                <w:vAlign w:val="center"/>
              </w:tcPr>
              <w:p w14:paraId="517D4CCB">
                <w:pPr>
                  <w:pStyle w:val="178"/>
                  <w:rPr>
                    <w:rFonts w:hint="default" w:eastAsia="宋体"/>
                    <w:lang w:val="en-US" w:eastAsia="zh-CN"/>
                  </w:rPr>
                </w:pPr>
                <w:r>
                  <w:rPr>
                    <w:rFonts w:hint="eastAsia" w:hAnsi="宋体" w:cs="Times New Roman"/>
                    <w:b/>
                    <w:szCs w:val="21"/>
                    <w:lang w:val="en-US" w:eastAsia="zh-CN"/>
                  </w:rPr>
                  <w:t>品种名称</w:t>
                </w:r>
              </w:p>
            </w:tc>
            <w:tc>
              <w:tcPr>
                <w:tcW w:w="3262" w:type="dxa"/>
                <w:noWrap w:val="0"/>
                <w:vAlign w:val="center"/>
              </w:tcPr>
              <w:p w14:paraId="049F0355">
                <w:pPr>
                  <w:pStyle w:val="178"/>
                  <w:rPr>
                    <w:rFonts w:hint="default" w:eastAsia="宋体"/>
                    <w:lang w:val="en-US" w:eastAsia="zh-CN"/>
                  </w:rPr>
                </w:pPr>
                <w:r>
                  <w:rPr>
                    <w:rFonts w:hint="eastAsia" w:hAnsi="宋体" w:cs="Times New Roman"/>
                    <w:b/>
                    <w:szCs w:val="21"/>
                    <w:lang w:val="en-US" w:eastAsia="zh-CN"/>
                  </w:rPr>
                  <w:t>品种来源</w:t>
                </w:r>
              </w:p>
            </w:tc>
            <w:tc>
              <w:tcPr>
                <w:tcW w:w="4539" w:type="dxa"/>
                <w:noWrap w:val="0"/>
                <w:vAlign w:val="center"/>
              </w:tcPr>
              <w:p w14:paraId="5DD2AE77">
                <w:pPr>
                  <w:pStyle w:val="178"/>
                  <w:rPr>
                    <w:rFonts w:hint="default" w:eastAsia="宋体"/>
                    <w:lang w:val="en-US" w:eastAsia="zh-CN"/>
                  </w:rPr>
                </w:pPr>
                <w:r>
                  <w:rPr>
                    <w:rFonts w:hint="eastAsia" w:hAnsi="宋体"/>
                    <w:b/>
                    <w:szCs w:val="21"/>
                    <w:lang w:val="en-US" w:eastAsia="zh-CN"/>
                  </w:rPr>
                  <w:t>特征特征</w:t>
                </w:r>
              </w:p>
            </w:tc>
          </w:tr>
          <w:tr w14:paraId="2EF14F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96" w:hRule="atLeast"/>
              <w:jc w:val="center"/>
            </w:trPr>
            <w:tc>
              <w:tcPr>
                <w:tcW w:w="1539" w:type="dxa"/>
                <w:noWrap w:val="0"/>
                <w:vAlign w:val="center"/>
              </w:tcPr>
              <w:p w14:paraId="31F7B6CC">
                <w:pPr>
                  <w:pStyle w:val="178"/>
                  <w:rPr>
                    <w:rFonts w:hint="default" w:eastAsia="宋体"/>
                    <w:lang w:val="en-US" w:eastAsia="zh-CN"/>
                  </w:rPr>
                </w:pPr>
                <w:r>
                  <w:rPr>
                    <w:rFonts w:hint="eastAsia" w:hAnsi="宋体"/>
                    <w:szCs w:val="21"/>
                    <w:lang w:val="en-US" w:eastAsia="zh-CN"/>
                  </w:rPr>
                  <w:t>大地95</w:t>
                </w:r>
              </w:p>
            </w:tc>
            <w:tc>
              <w:tcPr>
                <w:tcW w:w="3262" w:type="dxa"/>
                <w:noWrap w:val="0"/>
                <w:vAlign w:val="center"/>
              </w:tcPr>
              <w:p w14:paraId="49D3892B">
                <w:pPr>
                  <w:pStyle w:val="178"/>
                  <w:rPr>
                    <w:rFonts w:hint="default" w:eastAsia="宋体"/>
                    <w:lang w:val="en-US" w:eastAsia="zh-CN"/>
                  </w:rPr>
                </w:pPr>
                <w:r>
                  <w:rPr>
                    <w:rFonts w:hint="eastAsia"/>
                    <w:lang w:val="en-US" w:eastAsia="zh-CN"/>
                  </w:rPr>
                  <w:t>西藏自治区农牧科学院农业研究所</w:t>
                </w:r>
              </w:p>
            </w:tc>
            <w:tc>
              <w:tcPr>
                <w:tcW w:w="4539" w:type="dxa"/>
                <w:noWrap w:val="0"/>
                <w:vAlign w:val="center"/>
              </w:tcPr>
              <w:p w14:paraId="1221A3E9">
                <w:pPr>
                  <w:pStyle w:val="178"/>
                  <w:jc w:val="left"/>
                  <w:rPr>
                    <w:rFonts w:hint="eastAsia" w:hAnsi="Times New Roman" w:cs="Times New Roman"/>
                    <w:lang w:val="en-US" w:eastAsia="zh-CN"/>
                  </w:rPr>
                </w:pPr>
                <w:r>
                  <w:rPr>
                    <w:rFonts w:hint="eastAsia" w:hAnsi="Times New Roman" w:cs="Times New Roman"/>
                    <w:lang w:val="en-US" w:eastAsia="zh-CN"/>
                  </w:rPr>
                  <w:t>中早熟甘蓝型春油菜，常规种。苗期半直立，叶片中绿，叶片长度较长，宽度中等，叶缘波状，苗期生长快，分枝部位50cm左右，第一次有效分枝4-8个，单株有效角果数200个左右，每角粒数28粒左右，种子黑色，千粒重4.2-4.8克左右。含油量为46.52%，硫苷含量为22.47µmlo/g(饼)，芥酸含量0.0%。</w:t>
                </w:r>
              </w:p>
            </w:tc>
          </w:tr>
          <w:tr w14:paraId="60126F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04" w:hRule="atLeast"/>
              <w:jc w:val="center"/>
            </w:trPr>
            <w:tc>
              <w:tcPr>
                <w:tcW w:w="1539" w:type="dxa"/>
                <w:noWrap w:val="0"/>
                <w:vAlign w:val="center"/>
              </w:tcPr>
              <w:p w14:paraId="56F463A2">
                <w:pPr>
                  <w:pStyle w:val="178"/>
                  <w:rPr>
                    <w:rFonts w:hint="default" w:hAnsi="宋体" w:eastAsia="宋体"/>
                    <w:szCs w:val="21"/>
                    <w:lang w:val="en-US" w:eastAsia="zh-CN"/>
                  </w:rPr>
                </w:pPr>
                <w:r>
                  <w:rPr>
                    <w:rFonts w:hint="eastAsia" w:hAnsi="宋体"/>
                    <w:lang w:val="en-US" w:eastAsia="zh-CN"/>
                  </w:rPr>
                  <w:t>藏油15号</w:t>
                </w:r>
              </w:p>
            </w:tc>
            <w:tc>
              <w:tcPr>
                <w:tcW w:w="3262" w:type="dxa"/>
                <w:noWrap w:val="0"/>
                <w:vAlign w:val="center"/>
              </w:tcPr>
              <w:p w14:paraId="209A4204">
                <w:pPr>
                  <w:pStyle w:val="178"/>
                  <w:rPr>
                    <w:rFonts w:hAnsi="宋体"/>
                    <w:szCs w:val="21"/>
                  </w:rPr>
                </w:pPr>
                <w:r>
                  <w:rPr>
                    <w:rFonts w:hint="eastAsia"/>
                    <w:lang w:val="en-US" w:eastAsia="zh-CN"/>
                  </w:rPr>
                  <w:t>西藏自治区农牧科学院农业研究所</w:t>
                </w:r>
              </w:p>
            </w:tc>
            <w:tc>
              <w:tcPr>
                <w:tcW w:w="4539" w:type="dxa"/>
                <w:noWrap w:val="0"/>
                <w:vAlign w:val="center"/>
              </w:tcPr>
              <w:p w14:paraId="5C86AA7A">
                <w:pPr>
                  <w:pStyle w:val="178"/>
                  <w:rPr>
                    <w:rFonts w:hint="eastAsia" w:hAnsi="Times New Roman" w:cs="Times New Roman"/>
                    <w:lang w:val="en-US" w:eastAsia="zh-CN"/>
                  </w:rPr>
                </w:pPr>
                <w:r>
                  <w:rPr>
                    <w:rFonts w:hint="eastAsia" w:hAnsi="Times New Roman" w:cs="Times New Roman"/>
                    <w:lang w:val="en-US" w:eastAsia="zh-CN"/>
                  </w:rPr>
                  <w:t>甘蓝型，春性，生育期135.20天。常规种。苗期半直立，叶片中等绿色，叶片长度中，叶片宽度宽；有裂片；叶柄长度短；主茎蜡粉多，主茎花青甙显色弱；开花期中，果身长度短，角果姿态上举；籽粒黑褐色；株高149.93厘米，分枝部位高度65.10厘米，有效分枝数5.80个，单株有效角果数191.17个，每角粒数24.02粒，千粒重3.82克。含油量48.04%，硫苷含量25.45µmlo/g(饼），芥酸含量0.97%。</w:t>
                </w:r>
              </w:p>
            </w:tc>
          </w:tr>
          <w:tr w14:paraId="652F31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940" w:hRule="atLeast"/>
              <w:jc w:val="center"/>
            </w:trPr>
            <w:tc>
              <w:tcPr>
                <w:tcW w:w="1539" w:type="dxa"/>
                <w:noWrap w:val="0"/>
                <w:vAlign w:val="center"/>
              </w:tcPr>
              <w:p w14:paraId="40CFDE1A">
                <w:pPr>
                  <w:pStyle w:val="178"/>
                  <w:rPr>
                    <w:rFonts w:hint="default" w:hAnsi="宋体" w:eastAsia="宋体"/>
                    <w:szCs w:val="21"/>
                    <w:lang w:val="en-US" w:eastAsia="zh-CN"/>
                  </w:rPr>
                </w:pPr>
                <w:r>
                  <w:rPr>
                    <w:rFonts w:hint="eastAsia" w:hAnsi="宋体"/>
                    <w:szCs w:val="21"/>
                    <w:lang w:val="en-US" w:eastAsia="zh-CN"/>
                  </w:rPr>
                  <w:t>硒滋圆2号</w:t>
                </w:r>
              </w:p>
            </w:tc>
            <w:tc>
              <w:tcPr>
                <w:tcW w:w="3262" w:type="dxa"/>
                <w:noWrap w:val="0"/>
                <w:vAlign w:val="center"/>
              </w:tcPr>
              <w:p w14:paraId="2047CCC2">
                <w:pPr>
                  <w:pStyle w:val="178"/>
                  <w:rPr>
                    <w:rFonts w:hint="default" w:hAnsi="宋体" w:eastAsia="宋体"/>
                    <w:szCs w:val="21"/>
                    <w:lang w:val="en-US" w:eastAsia="zh-CN"/>
                  </w:rPr>
                </w:pPr>
                <w:r>
                  <w:rPr>
                    <w:rFonts w:hint="eastAsia" w:hAnsi="宋体"/>
                    <w:szCs w:val="21"/>
                    <w:lang w:val="en-US" w:eastAsia="zh-CN"/>
                  </w:rPr>
                  <w:t>中国农科院油料作物研究所</w:t>
                </w:r>
              </w:p>
            </w:tc>
            <w:tc>
              <w:tcPr>
                <w:tcW w:w="4539" w:type="dxa"/>
                <w:noWrap w:val="0"/>
                <w:vAlign w:val="center"/>
              </w:tcPr>
              <w:p w14:paraId="6D28B414">
                <w:pPr>
                  <w:pStyle w:val="178"/>
                  <w:jc w:val="both"/>
                  <w:rPr>
                    <w:rFonts w:hint="eastAsia" w:hAnsi="Times New Roman" w:cs="Times New Roman"/>
                    <w:lang w:val="en-US" w:eastAsia="zh-CN"/>
                  </w:rPr>
                </w:pPr>
                <w:r>
                  <w:rPr>
                    <w:rFonts w:hint="eastAsia" w:hAnsi="Times New Roman" w:cs="Times New Roman"/>
                    <w:lang w:val="en-US" w:eastAsia="zh-CN"/>
                  </w:rPr>
                  <w:t>甘蓝型半冬性菜用专用油菜杂交品种。苗期生长势较强，幼苗半直立，叶中等绿色，有裂叶，花瓣黄色，种皮颜色黑褐色</w:t>
                </w:r>
                <w:bookmarkStart w:id="128" w:name="_Hlk515185186"/>
                <w:r>
                  <w:rPr>
                    <w:rFonts w:hint="eastAsia" w:hAnsi="Times New Roman" w:cs="Times New Roman"/>
                    <w:lang w:val="en-US" w:eastAsia="zh-CN"/>
                  </w:rPr>
                  <w:t>。株高175.5厘米，分枝数部位69.5厘米，一次有效分枝数5.8个，单株有效角果数198.2个，每角粒数20.7粒，千粒重4.05克</w:t>
                </w:r>
                <w:bookmarkEnd w:id="128"/>
                <w:r>
                  <w:rPr>
                    <w:rFonts w:hint="eastAsia" w:cs="Times New Roman"/>
                    <w:lang w:val="en-US" w:eastAsia="zh-CN"/>
                  </w:rPr>
                  <w:t>。</w:t>
                </w:r>
                <w:r>
                  <w:rPr>
                    <w:rFonts w:hint="eastAsia" w:hAnsi="Times New Roman" w:cs="Times New Roman"/>
                    <w:lang w:val="en-US" w:eastAsia="zh-CN"/>
                  </w:rPr>
                  <w:t>籽粒含油量46.66%，芥酸0.1%，硫苷32.45μmol/g</w:t>
                </w:r>
                <w:r>
                  <w:rPr>
                    <w:rFonts w:hint="eastAsia" w:cs="Times New Roman"/>
                    <w:lang w:val="en-US" w:eastAsia="zh-CN"/>
                  </w:rPr>
                  <w:t>（</w:t>
                </w:r>
                <w:r>
                  <w:rPr>
                    <w:rFonts w:hint="eastAsia" w:hAnsi="Times New Roman" w:cs="Times New Roman"/>
                    <w:lang w:val="en-US" w:eastAsia="zh-CN"/>
                  </w:rPr>
                  <w:t>饼</w:t>
                </w:r>
                <w:r>
                  <w:rPr>
                    <w:rFonts w:hint="eastAsia" w:cs="Times New Roman"/>
                    <w:lang w:val="en-US" w:eastAsia="zh-CN"/>
                  </w:rPr>
                  <w:t>）</w:t>
                </w:r>
                <w:r>
                  <w:rPr>
                    <w:rFonts w:hint="eastAsia" w:hAnsi="Times New Roman" w:cs="Times New Roman"/>
                    <w:lang w:val="en-US" w:eastAsia="zh-CN"/>
                  </w:rPr>
                  <w:t>。</w:t>
                </w:r>
              </w:p>
            </w:tc>
          </w:tr>
          <w:tr w14:paraId="6F8E13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2" w:hRule="atLeast"/>
              <w:jc w:val="center"/>
            </w:trPr>
            <w:tc>
              <w:tcPr>
                <w:tcW w:w="1539" w:type="dxa"/>
                <w:noWrap w:val="0"/>
                <w:vAlign w:val="center"/>
              </w:tcPr>
              <w:p w14:paraId="7962CBFE">
                <w:pPr>
                  <w:pStyle w:val="178"/>
                  <w:rPr>
                    <w:rFonts w:hint="default" w:hAnsi="宋体" w:eastAsia="宋体"/>
                    <w:szCs w:val="21"/>
                    <w:lang w:val="en-US" w:eastAsia="zh-CN"/>
                  </w:rPr>
                </w:pPr>
                <w:r>
                  <w:rPr>
                    <w:rFonts w:hint="eastAsia" w:hAnsi="宋体"/>
                    <w:szCs w:val="21"/>
                    <w:lang w:val="en-US" w:eastAsia="zh-CN"/>
                  </w:rPr>
                  <w:t>青杂5号</w:t>
                </w:r>
              </w:p>
            </w:tc>
            <w:tc>
              <w:tcPr>
                <w:tcW w:w="3262" w:type="dxa"/>
                <w:noWrap w:val="0"/>
                <w:vAlign w:val="center"/>
              </w:tcPr>
              <w:p w14:paraId="6A59523A">
                <w:pPr>
                  <w:pStyle w:val="178"/>
                  <w:rPr>
                    <w:rFonts w:hint="eastAsia" w:hAnsi="宋体" w:cs="Times New Roman"/>
                    <w:szCs w:val="21"/>
                    <w:lang w:val="en-US" w:eastAsia="zh-CN"/>
                  </w:rPr>
                </w:pPr>
                <w:r>
                  <w:rPr>
                    <w:rFonts w:hint="eastAsia" w:hAnsi="宋体" w:cs="Times New Roman"/>
                    <w:szCs w:val="21"/>
                    <w:lang w:val="en-US" w:eastAsia="zh-CN"/>
                  </w:rPr>
                  <w:t>青海省农林科学院春油菜研究所</w:t>
                </w:r>
              </w:p>
            </w:tc>
            <w:tc>
              <w:tcPr>
                <w:tcW w:w="4539" w:type="dxa"/>
                <w:noWrap w:val="0"/>
                <w:vAlign w:val="center"/>
              </w:tcPr>
              <w:p w14:paraId="4B4C723B">
                <w:pPr>
                  <w:pStyle w:val="178"/>
                  <w:jc w:val="left"/>
                  <w:rPr>
                    <w:rFonts w:hint="eastAsia" w:hAnsi="Times New Roman" w:cs="Times New Roman"/>
                    <w:lang w:val="en-US" w:eastAsia="zh-CN"/>
                  </w:rPr>
                </w:pPr>
                <w:r>
                  <w:rPr>
                    <w:rFonts w:hint="eastAsia" w:hAnsi="Times New Roman" w:cs="Times New Roman"/>
                    <w:lang w:val="en-US" w:eastAsia="zh-CN"/>
                  </w:rPr>
                  <w:t>甘蓝型春性质波里马细胞质雄性不育三系杂交种。全生育期142天左右。幼苗半直立，叶色深绿，有裂叶2～3对，叶缘波状，腊粉少，无刺毛。花瓣黄色，花冠椭圆形，花瓣侧叠。株高171厘米左右，分枝部位62厘米左右，匀生分枝。平均单株有效角果数221.2个，每角粒数25.7粒，千粒重3.9克。含油量45.23%，硫甙含量18.56µmlo/g(饼），芥酸含量0.25%。</w:t>
                </w:r>
              </w:p>
            </w:tc>
          </w:tr>
          <w:tr w14:paraId="39933E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2" w:hRule="atLeast"/>
              <w:jc w:val="center"/>
            </w:trPr>
            <w:tc>
              <w:tcPr>
                <w:tcW w:w="1539" w:type="dxa"/>
                <w:noWrap w:val="0"/>
                <w:vAlign w:val="center"/>
              </w:tcPr>
              <w:p w14:paraId="079D7791">
                <w:pPr>
                  <w:pStyle w:val="178"/>
                  <w:rPr>
                    <w:rFonts w:hint="default" w:hAnsi="宋体" w:eastAsia="宋体"/>
                    <w:szCs w:val="21"/>
                    <w:lang w:val="en-US" w:eastAsia="zh-CN"/>
                  </w:rPr>
                </w:pPr>
                <w:r>
                  <w:rPr>
                    <w:rFonts w:hint="eastAsia" w:hAnsi="宋体"/>
                    <w:szCs w:val="21"/>
                    <w:lang w:val="en-US" w:eastAsia="zh-CN"/>
                  </w:rPr>
                  <w:t>青杂15号</w:t>
                </w:r>
              </w:p>
            </w:tc>
            <w:tc>
              <w:tcPr>
                <w:tcW w:w="3262" w:type="dxa"/>
                <w:noWrap w:val="0"/>
                <w:vAlign w:val="center"/>
              </w:tcPr>
              <w:p w14:paraId="6A5F68E6">
                <w:pPr>
                  <w:pStyle w:val="178"/>
                  <w:rPr>
                    <w:rFonts w:hint="eastAsia" w:hAnsi="宋体" w:cs="Times New Roman"/>
                    <w:szCs w:val="21"/>
                    <w:lang w:val="en-US" w:eastAsia="zh-CN"/>
                  </w:rPr>
                </w:pPr>
                <w:r>
                  <w:rPr>
                    <w:rFonts w:hint="eastAsia" w:hAnsi="宋体" w:cs="Times New Roman"/>
                    <w:szCs w:val="21"/>
                    <w:lang w:val="en-US" w:eastAsia="zh-CN"/>
                  </w:rPr>
                  <w:t>青海省农林科学院春油菜研究所</w:t>
                </w:r>
              </w:p>
            </w:tc>
            <w:tc>
              <w:tcPr>
                <w:tcW w:w="4539" w:type="dxa"/>
                <w:noWrap w:val="0"/>
                <w:vAlign w:val="center"/>
              </w:tcPr>
              <w:p w14:paraId="7FBC0AC3">
                <w:pPr>
                  <w:pStyle w:val="178"/>
                  <w:jc w:val="left"/>
                  <w:rPr>
                    <w:rFonts w:hint="eastAsia" w:hAnsi="Times New Roman" w:cs="Times New Roman"/>
                    <w:lang w:val="en-US" w:eastAsia="zh-CN"/>
                  </w:rPr>
                </w:pPr>
                <w:r>
                  <w:rPr>
                    <w:rFonts w:hint="eastAsia" w:hAnsi="Times New Roman" w:cs="Times New Roman"/>
                    <w:lang w:val="en-US" w:eastAsia="zh-CN"/>
                  </w:rPr>
                  <w:t>甘蓝型春性波里马细胞质雄性不育三系杂交种。全生育期130天左右。幼苗半直立，叶色深绿，有裂叶2～3对，叶缘锯齿状，蜡粉少，无刺毛。花瓣黄色，花冠椭圆形，花瓣侧叠。株高158.7厘米，有效分枝高度68.8厘米，匀生分枝。每角粒数26.2粒，千粒重为4.1克，单株有效角果数194.0个。含油量44.16%，硫苷含量29.96µmlo/g(饼）。</w:t>
                </w:r>
              </w:p>
            </w:tc>
          </w:tr>
        </w:tbl>
        <w:p w14:paraId="2548B403">
          <w:pPr>
            <w:pStyle w:val="56"/>
            <w:ind w:left="0" w:leftChars="0" w:firstLine="0" w:firstLineChars="0"/>
            <w:rPr>
              <w:vanish w:val="0"/>
            </w:rPr>
          </w:pPr>
        </w:p>
        <w:p w14:paraId="4C04C268">
          <w:pPr>
            <w:pStyle w:val="56"/>
            <w:ind w:left="0" w:leftChars="0" w:firstLine="0" w:firstLineChars="0"/>
            <w:rPr>
              <w:vanish w:val="0"/>
            </w:rPr>
          </w:pPr>
        </w:p>
        <w:p w14:paraId="3AF32A51">
          <w:pPr>
            <w:pStyle w:val="199"/>
            <w:rPr>
              <w:vanish w:val="0"/>
            </w:rPr>
          </w:pPr>
        </w:p>
        <w:p w14:paraId="3114D377">
          <w:pPr>
            <w:pStyle w:val="76"/>
            <w:spacing w:after="156"/>
            <w:rPr>
              <w:rFonts w:hint="eastAsia"/>
            </w:rPr>
          </w:pPr>
          <w:bookmarkStart w:id="129" w:name="_Toc28155"/>
          <w:r>
            <w:br w:type="textWrapping"/>
          </w:r>
          <w:bookmarkStart w:id="130" w:name="_Toc166351875"/>
          <w:r>
            <w:rPr>
              <w:rFonts w:hint="eastAsia"/>
            </w:rPr>
            <w:t>（资料性）</w:t>
          </w:r>
          <w:r>
            <w:br w:type="textWrapping"/>
          </w:r>
          <w:r>
            <w:rPr>
              <w:rFonts w:hint="eastAsia"/>
            </w:rPr>
            <w:t>油菜</w:t>
          </w:r>
          <w:r>
            <w:rPr>
              <w:rFonts w:hint="eastAsia"/>
              <w:lang w:val="en-US" w:eastAsia="zh-CN"/>
            </w:rPr>
            <w:t>薹期</w:t>
          </w:r>
          <w:r>
            <w:rPr>
              <w:rFonts w:hint="eastAsia"/>
            </w:rPr>
            <w:t>常见虫害防治方法和生产田间农事活动记录表</w:t>
          </w:r>
          <w:bookmarkEnd w:id="129"/>
          <w:bookmarkEnd w:id="130"/>
        </w:p>
        <w:p w14:paraId="284E4A65">
          <w:pPr>
            <w:pStyle w:val="77"/>
            <w:spacing w:before="156" w:after="156"/>
          </w:pPr>
          <w:r>
            <w:rPr>
              <w:rFonts w:hint="eastAsia"/>
            </w:rPr>
            <w:t>油菜</w:t>
          </w:r>
          <w:r>
            <w:rPr>
              <w:rFonts w:hint="eastAsia"/>
              <w:lang w:val="en-US" w:eastAsia="zh-CN"/>
            </w:rPr>
            <w:t>薹期</w:t>
          </w:r>
          <w:r>
            <w:rPr>
              <w:rFonts w:hint="eastAsia"/>
            </w:rPr>
            <w:t>常见虫害防治方法</w:t>
          </w:r>
        </w:p>
        <w:tbl>
          <w:tblPr>
            <w:tblStyle w:val="26"/>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49"/>
            <w:gridCol w:w="1705"/>
            <w:gridCol w:w="2064"/>
            <w:gridCol w:w="1934"/>
            <w:gridCol w:w="1822"/>
          </w:tblGrid>
          <w:tr w14:paraId="3B6817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62" w:hRule="atLeast"/>
              <w:tblHeader/>
              <w:jc w:val="center"/>
            </w:trPr>
            <w:tc>
              <w:tcPr>
                <w:tcW w:w="1849" w:type="dxa"/>
                <w:noWrap w:val="0"/>
                <w:vAlign w:val="center"/>
              </w:tcPr>
              <w:p w14:paraId="122AD5DD">
                <w:pPr>
                  <w:pStyle w:val="178"/>
                </w:pPr>
                <w:r>
                  <w:rPr>
                    <w:rFonts w:hAnsi="宋体"/>
                    <w:b/>
                    <w:szCs w:val="21"/>
                  </w:rPr>
                  <w:t>防治对象</w:t>
                </w:r>
              </w:p>
            </w:tc>
            <w:tc>
              <w:tcPr>
                <w:tcW w:w="1705" w:type="dxa"/>
                <w:noWrap w:val="0"/>
                <w:vAlign w:val="center"/>
              </w:tcPr>
              <w:p w14:paraId="68C83A88">
                <w:pPr>
                  <w:pStyle w:val="178"/>
                </w:pPr>
                <w:r>
                  <w:rPr>
                    <w:rFonts w:hAnsi="宋体"/>
                    <w:b/>
                    <w:szCs w:val="21"/>
                  </w:rPr>
                  <w:t>防治时期</w:t>
                </w:r>
              </w:p>
            </w:tc>
            <w:tc>
              <w:tcPr>
                <w:tcW w:w="2064" w:type="dxa"/>
                <w:noWrap w:val="0"/>
                <w:vAlign w:val="center"/>
              </w:tcPr>
              <w:p w14:paraId="2F905F9C">
                <w:pPr>
                  <w:pStyle w:val="178"/>
                </w:pPr>
                <w:r>
                  <w:rPr>
                    <w:rFonts w:hAnsi="宋体"/>
                    <w:b/>
                    <w:szCs w:val="21"/>
                  </w:rPr>
                  <w:t>农药名称</w:t>
                </w:r>
              </w:p>
            </w:tc>
            <w:tc>
              <w:tcPr>
                <w:tcW w:w="1934" w:type="dxa"/>
                <w:noWrap w:val="0"/>
                <w:vAlign w:val="center"/>
              </w:tcPr>
              <w:p w14:paraId="0B875136">
                <w:pPr>
                  <w:widowControl/>
                  <w:jc w:val="center"/>
                  <w:rPr>
                    <w:rFonts w:ascii="宋体" w:hAnsi="宋体"/>
                    <w:b/>
                    <w:kern w:val="0"/>
                  </w:rPr>
                </w:pPr>
                <w:r>
                  <w:rPr>
                    <w:rFonts w:ascii="宋体" w:hAnsi="宋体"/>
                    <w:b/>
                    <w:kern w:val="0"/>
                  </w:rPr>
                  <w:t>用量</w:t>
                </w:r>
              </w:p>
              <w:p w14:paraId="2C330F2A">
                <w:pPr>
                  <w:pStyle w:val="178"/>
                </w:pPr>
                <w:r>
                  <w:rPr>
                    <w:rFonts w:hAnsi="宋体"/>
                    <w:b/>
                    <w:szCs w:val="21"/>
                  </w:rPr>
                  <w:t>ml（g）/667m</w:t>
                </w:r>
                <w:r>
                  <w:rPr>
                    <w:rFonts w:hAnsi="宋体"/>
                    <w:b/>
                    <w:szCs w:val="21"/>
                    <w:vertAlign w:val="superscript"/>
                  </w:rPr>
                  <w:t>2</w:t>
                </w:r>
              </w:p>
            </w:tc>
            <w:tc>
              <w:tcPr>
                <w:tcW w:w="1822" w:type="dxa"/>
                <w:noWrap w:val="0"/>
                <w:vAlign w:val="center"/>
              </w:tcPr>
              <w:p w14:paraId="32534BAB">
                <w:pPr>
                  <w:widowControl/>
                  <w:jc w:val="center"/>
                  <w:rPr>
                    <w:rFonts w:ascii="宋体" w:hAnsi="宋体"/>
                    <w:b/>
                    <w:kern w:val="0"/>
                  </w:rPr>
                </w:pPr>
                <w:r>
                  <w:rPr>
                    <w:rFonts w:hint="eastAsia" w:ascii="宋体" w:hAnsi="宋体"/>
                    <w:b/>
                    <w:kern w:val="0"/>
                  </w:rPr>
                  <w:t>使用方法</w:t>
                </w:r>
              </w:p>
            </w:tc>
          </w:tr>
          <w:tr w14:paraId="6A9E87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1849" w:type="dxa"/>
                <w:vMerge w:val="restart"/>
                <w:noWrap w:val="0"/>
                <w:vAlign w:val="center"/>
              </w:tcPr>
              <w:p w14:paraId="1E28E414">
                <w:pPr>
                  <w:pStyle w:val="178"/>
                  <w:rPr>
                    <w:rFonts w:hint="eastAsia" w:hAnsi="宋体" w:eastAsia="宋体"/>
                    <w:szCs w:val="21"/>
                    <w:lang w:val="en-US" w:eastAsia="zh-CN"/>
                  </w:rPr>
                </w:pPr>
                <w:r>
                  <w:rPr>
                    <w:rFonts w:hint="eastAsia" w:hAnsi="宋体"/>
                    <w:szCs w:val="21"/>
                    <w:lang w:val="en-US" w:eastAsia="zh-CN"/>
                  </w:rPr>
                  <w:t>蚜 虫</w:t>
                </w:r>
              </w:p>
            </w:tc>
            <w:tc>
              <w:tcPr>
                <w:tcW w:w="1705" w:type="dxa"/>
                <w:vMerge w:val="restart"/>
                <w:noWrap w:val="0"/>
                <w:vAlign w:val="center"/>
              </w:tcPr>
              <w:p w14:paraId="317DCFAC">
                <w:pPr>
                  <w:pStyle w:val="178"/>
                  <w:rPr>
                    <w:rFonts w:hint="default" w:hAnsi="宋体" w:eastAsia="宋体"/>
                    <w:szCs w:val="21"/>
                    <w:lang w:val="en-US" w:eastAsia="zh-CN"/>
                  </w:rPr>
                </w:pPr>
                <w:r>
                  <w:rPr>
                    <w:rFonts w:hint="eastAsia" w:hAnsi="宋体"/>
                    <w:szCs w:val="21"/>
                    <w:lang w:val="en-US" w:eastAsia="zh-CN"/>
                  </w:rPr>
                  <w:t>苗期、蕾薹期蚜株率达8%</w:t>
                </w:r>
                <w:r>
                  <w:rPr>
                    <w:rFonts w:hint="eastAsia" w:hAnsi="宋体"/>
                    <w:szCs w:val="21"/>
                    <w:lang w:val="en-US" w:eastAsia="zh-CN"/>
                  </w:rPr>
                  <w:tab/>
                </w:r>
              </w:p>
            </w:tc>
            <w:tc>
              <w:tcPr>
                <w:tcW w:w="2064" w:type="dxa"/>
                <w:noWrap w:val="0"/>
                <w:vAlign w:val="center"/>
              </w:tcPr>
              <w:p w14:paraId="611B3362">
                <w:pPr>
                  <w:pStyle w:val="178"/>
                  <w:rPr>
                    <w:rFonts w:hint="default" w:hAnsi="宋体" w:eastAsia="宋体"/>
                    <w:szCs w:val="21"/>
                    <w:lang w:val="en-US" w:eastAsia="zh-CN"/>
                  </w:rPr>
                </w:pPr>
                <w:r>
                  <w:rPr>
                    <w:rFonts w:hint="eastAsia" w:hAnsi="宋体"/>
                    <w:szCs w:val="21"/>
                    <w:lang w:val="en-US" w:eastAsia="zh-CN"/>
                  </w:rPr>
                  <w:t>10%吡虫啉可湿性粉剂</w:t>
                </w:r>
              </w:p>
            </w:tc>
            <w:tc>
              <w:tcPr>
                <w:tcW w:w="1934" w:type="dxa"/>
                <w:noWrap w:val="0"/>
                <w:vAlign w:val="center"/>
              </w:tcPr>
              <w:p w14:paraId="7531F4BE">
                <w:pPr>
                  <w:pStyle w:val="178"/>
                  <w:rPr>
                    <w:rFonts w:hint="default" w:hAnsi="宋体" w:eastAsia="宋体"/>
                    <w:szCs w:val="21"/>
                    <w:lang w:val="en-US" w:eastAsia="zh-CN"/>
                  </w:rPr>
                </w:pPr>
                <w:r>
                  <w:rPr>
                    <w:rFonts w:hint="eastAsia" w:hAnsi="宋体"/>
                    <w:szCs w:val="21"/>
                    <w:lang w:val="en-US" w:eastAsia="zh-CN"/>
                  </w:rPr>
                  <w:t>20 g</w:t>
                </w:r>
                <w:r>
                  <w:rPr>
                    <w:rFonts w:hAnsi="宋体"/>
                    <w:szCs w:val="21"/>
                  </w:rPr>
                  <w:t>～</w:t>
                </w:r>
                <w:r>
                  <w:rPr>
                    <w:rFonts w:hint="eastAsia" w:hAnsi="宋体"/>
                    <w:szCs w:val="21"/>
                    <w:lang w:val="en-US" w:eastAsia="zh-CN"/>
                  </w:rPr>
                  <w:t>30 g</w:t>
                </w:r>
              </w:p>
            </w:tc>
            <w:tc>
              <w:tcPr>
                <w:tcW w:w="1822" w:type="dxa"/>
                <w:noWrap w:val="0"/>
                <w:vAlign w:val="center"/>
              </w:tcPr>
              <w:p w14:paraId="7F52C3FC">
                <w:pPr>
                  <w:pStyle w:val="178"/>
                  <w:rPr>
                    <w:rFonts w:hint="eastAsia" w:hAnsi="宋体"/>
                    <w:color w:val="000000"/>
                    <w:szCs w:val="21"/>
                  </w:rPr>
                </w:pPr>
                <w:r>
                  <w:rPr>
                    <w:rFonts w:hint="eastAsia" w:hAnsi="宋体"/>
                    <w:color w:val="000000"/>
                    <w:szCs w:val="21"/>
                  </w:rPr>
                  <w:t>喷雾</w:t>
                </w:r>
              </w:p>
            </w:tc>
          </w:tr>
          <w:tr w14:paraId="1CBC7B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1849" w:type="dxa"/>
                <w:vMerge w:val="continue"/>
                <w:noWrap w:val="0"/>
                <w:vAlign w:val="center"/>
              </w:tcPr>
              <w:p w14:paraId="1F945E79">
                <w:pPr>
                  <w:pStyle w:val="178"/>
                  <w:rPr>
                    <w:rFonts w:hAnsi="宋体"/>
                    <w:szCs w:val="21"/>
                  </w:rPr>
                </w:pPr>
              </w:p>
            </w:tc>
            <w:tc>
              <w:tcPr>
                <w:tcW w:w="1705" w:type="dxa"/>
                <w:vMerge w:val="continue"/>
                <w:noWrap w:val="0"/>
                <w:vAlign w:val="center"/>
              </w:tcPr>
              <w:p w14:paraId="0C63C3CE">
                <w:pPr>
                  <w:pStyle w:val="178"/>
                  <w:rPr>
                    <w:rFonts w:hAnsi="宋体"/>
                    <w:szCs w:val="21"/>
                  </w:rPr>
                </w:pPr>
              </w:p>
            </w:tc>
            <w:tc>
              <w:tcPr>
                <w:tcW w:w="2064" w:type="dxa"/>
                <w:noWrap w:val="0"/>
                <w:vAlign w:val="center"/>
              </w:tcPr>
              <w:p w14:paraId="5ACED5B0">
                <w:pPr>
                  <w:pStyle w:val="178"/>
                  <w:rPr>
                    <w:rFonts w:hint="default" w:hAnsi="宋体" w:eastAsia="宋体"/>
                    <w:szCs w:val="21"/>
                    <w:lang w:val="en-US" w:eastAsia="zh-CN"/>
                  </w:rPr>
                </w:pPr>
                <w:r>
                  <w:rPr>
                    <w:rFonts w:hint="eastAsia" w:hAnsi="宋体"/>
                    <w:szCs w:val="21"/>
                    <w:lang w:val="en-US" w:eastAsia="zh-CN"/>
                  </w:rPr>
                  <w:t>20%哒螨啶虫脒乳油</w:t>
                </w:r>
              </w:p>
            </w:tc>
            <w:tc>
              <w:tcPr>
                <w:tcW w:w="1934" w:type="dxa"/>
                <w:noWrap w:val="0"/>
                <w:vAlign w:val="center"/>
              </w:tcPr>
              <w:p w14:paraId="36820207">
                <w:pPr>
                  <w:pStyle w:val="178"/>
                  <w:rPr>
                    <w:rFonts w:hint="default" w:hAnsi="宋体" w:eastAsia="宋体"/>
                    <w:szCs w:val="21"/>
                    <w:lang w:val="en-US" w:eastAsia="zh-CN"/>
                  </w:rPr>
                </w:pPr>
                <w:r>
                  <w:rPr>
                    <w:rFonts w:hint="eastAsia" w:hAnsi="宋体"/>
                    <w:szCs w:val="21"/>
                    <w:lang w:val="en-US" w:eastAsia="zh-CN"/>
                  </w:rPr>
                  <w:t>7.5 ml</w:t>
                </w:r>
                <w:r>
                  <w:rPr>
                    <w:rFonts w:hAnsi="宋体"/>
                    <w:szCs w:val="21"/>
                  </w:rPr>
                  <w:t>～</w:t>
                </w:r>
                <w:r>
                  <w:rPr>
                    <w:rFonts w:hint="eastAsia" w:hAnsi="宋体"/>
                    <w:szCs w:val="21"/>
                    <w:lang w:val="en-US" w:eastAsia="zh-CN"/>
                  </w:rPr>
                  <w:t>10 ml</w:t>
                </w:r>
              </w:p>
            </w:tc>
            <w:tc>
              <w:tcPr>
                <w:tcW w:w="1822" w:type="dxa"/>
                <w:noWrap w:val="0"/>
                <w:vAlign w:val="center"/>
              </w:tcPr>
              <w:p w14:paraId="79957CB3">
                <w:pPr>
                  <w:pStyle w:val="178"/>
                  <w:rPr>
                    <w:rFonts w:hint="eastAsia" w:hAnsi="宋体"/>
                    <w:color w:val="000000"/>
                    <w:szCs w:val="21"/>
                  </w:rPr>
                </w:pPr>
                <w:r>
                  <w:rPr>
                    <w:rFonts w:hint="eastAsia" w:hAnsi="宋体"/>
                    <w:color w:val="000000"/>
                    <w:szCs w:val="21"/>
                  </w:rPr>
                  <w:t>喷雾</w:t>
                </w:r>
              </w:p>
            </w:tc>
          </w:tr>
          <w:tr w14:paraId="69307B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1849" w:type="dxa"/>
                <w:vMerge w:val="restart"/>
                <w:noWrap w:val="0"/>
                <w:vAlign w:val="center"/>
              </w:tcPr>
              <w:p w14:paraId="3CCBF7D2">
                <w:pPr>
                  <w:pStyle w:val="178"/>
                </w:pPr>
                <w:r>
                  <w:rPr>
                    <w:rFonts w:hAnsi="宋体"/>
                    <w:szCs w:val="21"/>
                  </w:rPr>
                  <w:t>菜青虫</w:t>
                </w:r>
              </w:p>
            </w:tc>
            <w:tc>
              <w:tcPr>
                <w:tcW w:w="1705" w:type="dxa"/>
                <w:vMerge w:val="restart"/>
                <w:noWrap w:val="0"/>
                <w:vAlign w:val="center"/>
              </w:tcPr>
              <w:p w14:paraId="23F0545A">
                <w:pPr>
                  <w:pStyle w:val="178"/>
                </w:pPr>
                <w:r>
                  <w:rPr>
                    <w:rFonts w:hAnsi="宋体"/>
                    <w:szCs w:val="21"/>
                  </w:rPr>
                  <w:t>幼虫3龄以前</w:t>
                </w:r>
              </w:p>
            </w:tc>
            <w:tc>
              <w:tcPr>
                <w:tcW w:w="2064" w:type="dxa"/>
                <w:noWrap w:val="0"/>
                <w:vAlign w:val="center"/>
              </w:tcPr>
              <w:p w14:paraId="63D24164">
                <w:pPr>
                  <w:pStyle w:val="178"/>
                  <w:rPr>
                    <w:rFonts w:hint="eastAsia"/>
                  </w:rPr>
                </w:pPr>
                <w:r>
                  <w:rPr>
                    <w:rFonts w:hint="eastAsia" w:hAnsi="宋体"/>
                    <w:szCs w:val="21"/>
                  </w:rPr>
                  <w:t>20%除虫脲悬浮剂</w:t>
                </w:r>
              </w:p>
            </w:tc>
            <w:tc>
              <w:tcPr>
                <w:tcW w:w="1934" w:type="dxa"/>
                <w:noWrap w:val="0"/>
                <w:vAlign w:val="center"/>
              </w:tcPr>
              <w:p w14:paraId="76CC5271">
                <w:pPr>
                  <w:pStyle w:val="178"/>
                </w:pPr>
                <w:r>
                  <w:rPr>
                    <w:rFonts w:hint="eastAsia" w:hAnsi="宋体"/>
                    <w:szCs w:val="21"/>
                  </w:rPr>
                  <w:t>3</w:t>
                </w:r>
                <w:r>
                  <w:rPr>
                    <w:rFonts w:hAnsi="宋体"/>
                    <w:szCs w:val="21"/>
                  </w:rPr>
                  <w:t>0</w:t>
                </w:r>
                <w:r>
                  <w:rPr>
                    <w:rFonts w:hint="eastAsia" w:hAnsi="宋体"/>
                    <w:szCs w:val="21"/>
                  </w:rPr>
                  <w:t xml:space="preserve"> </w:t>
                </w:r>
                <w:r>
                  <w:rPr>
                    <w:rFonts w:hAnsi="宋体"/>
                    <w:szCs w:val="21"/>
                  </w:rPr>
                  <w:t>ml～</w:t>
                </w:r>
                <w:r>
                  <w:rPr>
                    <w:rFonts w:hint="eastAsia" w:hAnsi="宋体"/>
                    <w:szCs w:val="21"/>
                  </w:rPr>
                  <w:t xml:space="preserve">50 </w:t>
                </w:r>
                <w:r>
                  <w:rPr>
                    <w:rFonts w:hAnsi="宋体"/>
                    <w:szCs w:val="21"/>
                  </w:rPr>
                  <w:t>ml</w:t>
                </w:r>
              </w:p>
            </w:tc>
            <w:tc>
              <w:tcPr>
                <w:tcW w:w="1822" w:type="dxa"/>
                <w:noWrap w:val="0"/>
                <w:vAlign w:val="center"/>
              </w:tcPr>
              <w:p w14:paraId="38D5D191">
                <w:pPr>
                  <w:pStyle w:val="178"/>
                  <w:rPr>
                    <w:rFonts w:hAnsi="宋体"/>
                    <w:szCs w:val="21"/>
                  </w:rPr>
                </w:pPr>
                <w:r>
                  <w:rPr>
                    <w:rFonts w:hint="eastAsia" w:hAnsi="宋体"/>
                    <w:color w:val="000000"/>
                    <w:szCs w:val="21"/>
                  </w:rPr>
                  <w:t>喷雾</w:t>
                </w:r>
              </w:p>
            </w:tc>
          </w:tr>
          <w:tr w14:paraId="5F7914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2" w:hRule="atLeast"/>
              <w:jc w:val="center"/>
            </w:trPr>
            <w:tc>
              <w:tcPr>
                <w:tcW w:w="1849" w:type="dxa"/>
                <w:vMerge w:val="continue"/>
                <w:noWrap w:val="0"/>
                <w:vAlign w:val="center"/>
              </w:tcPr>
              <w:p w14:paraId="4FFD945E">
                <w:pPr>
                  <w:pStyle w:val="178"/>
                  <w:rPr>
                    <w:rFonts w:hAnsi="宋体"/>
                    <w:szCs w:val="21"/>
                  </w:rPr>
                </w:pPr>
              </w:p>
            </w:tc>
            <w:tc>
              <w:tcPr>
                <w:tcW w:w="1705" w:type="dxa"/>
                <w:vMerge w:val="continue"/>
                <w:noWrap w:val="0"/>
                <w:vAlign w:val="center"/>
              </w:tcPr>
              <w:p w14:paraId="340044CD">
                <w:pPr>
                  <w:pStyle w:val="178"/>
                  <w:rPr>
                    <w:rFonts w:hAnsi="宋体"/>
                    <w:szCs w:val="21"/>
                  </w:rPr>
                </w:pPr>
              </w:p>
            </w:tc>
            <w:tc>
              <w:tcPr>
                <w:tcW w:w="2064" w:type="dxa"/>
                <w:noWrap w:val="0"/>
                <w:vAlign w:val="center"/>
              </w:tcPr>
              <w:p w14:paraId="66A0288B">
                <w:pPr>
                  <w:pStyle w:val="178"/>
                  <w:rPr>
                    <w:rFonts w:hAnsi="宋体"/>
                    <w:szCs w:val="21"/>
                  </w:rPr>
                </w:pPr>
                <w:r>
                  <w:rPr>
                    <w:rFonts w:hint="eastAsia" w:hAnsi="宋体"/>
                    <w:szCs w:val="21"/>
                  </w:rPr>
                  <w:t>4.5%高效氯氰菊酯水乳剂</w:t>
                </w:r>
              </w:p>
            </w:tc>
            <w:tc>
              <w:tcPr>
                <w:tcW w:w="1934" w:type="dxa"/>
                <w:noWrap w:val="0"/>
                <w:vAlign w:val="center"/>
              </w:tcPr>
              <w:p w14:paraId="7AE12686">
                <w:pPr>
                  <w:pStyle w:val="178"/>
                  <w:rPr>
                    <w:rFonts w:hAnsi="宋体"/>
                    <w:szCs w:val="21"/>
                  </w:rPr>
                </w:pPr>
                <w:r>
                  <w:rPr>
                    <w:rFonts w:hAnsi="宋体"/>
                    <w:szCs w:val="21"/>
                  </w:rPr>
                  <w:t>20</w:t>
                </w:r>
                <w:r>
                  <w:rPr>
                    <w:rFonts w:hint="eastAsia" w:hAnsi="宋体"/>
                    <w:szCs w:val="21"/>
                  </w:rPr>
                  <w:t xml:space="preserve"> </w:t>
                </w:r>
                <w:r>
                  <w:rPr>
                    <w:rFonts w:hAnsi="宋体"/>
                    <w:szCs w:val="21"/>
                  </w:rPr>
                  <w:t>ml～</w:t>
                </w:r>
                <w:r>
                  <w:rPr>
                    <w:rFonts w:hint="eastAsia" w:hAnsi="宋体"/>
                    <w:szCs w:val="21"/>
                  </w:rPr>
                  <w:t xml:space="preserve">40 </w:t>
                </w:r>
                <w:r>
                  <w:rPr>
                    <w:rFonts w:hAnsi="宋体"/>
                    <w:szCs w:val="21"/>
                  </w:rPr>
                  <w:t>ml</w:t>
                </w:r>
              </w:p>
            </w:tc>
            <w:tc>
              <w:tcPr>
                <w:tcW w:w="1822" w:type="dxa"/>
                <w:noWrap w:val="0"/>
                <w:vAlign w:val="center"/>
              </w:tcPr>
              <w:p w14:paraId="15288346">
                <w:pPr>
                  <w:pStyle w:val="178"/>
                  <w:rPr>
                    <w:rFonts w:hint="eastAsia" w:hAnsi="宋体"/>
                    <w:color w:val="000000"/>
                    <w:szCs w:val="21"/>
                  </w:rPr>
                </w:pPr>
                <w:r>
                  <w:rPr>
                    <w:rFonts w:hint="eastAsia" w:hAnsi="宋体"/>
                    <w:color w:val="000000"/>
                    <w:szCs w:val="21"/>
                  </w:rPr>
                  <w:t>喷雾</w:t>
                </w:r>
              </w:p>
            </w:tc>
          </w:tr>
          <w:tr w14:paraId="6D40EB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2" w:hRule="atLeast"/>
              <w:jc w:val="center"/>
            </w:trPr>
            <w:tc>
              <w:tcPr>
                <w:tcW w:w="1849" w:type="dxa"/>
                <w:vMerge w:val="restart"/>
                <w:noWrap w:val="0"/>
                <w:vAlign w:val="center"/>
              </w:tcPr>
              <w:p w14:paraId="36D63FF1">
                <w:pPr>
                  <w:pStyle w:val="178"/>
                  <w:rPr>
                    <w:rFonts w:hAnsi="宋体"/>
                    <w:szCs w:val="21"/>
                  </w:rPr>
                </w:pPr>
                <w:r>
                  <w:rPr>
                    <w:rFonts w:hint="eastAsia" w:hAnsi="宋体"/>
                  </w:rPr>
                  <w:t>小菜蛾</w:t>
                </w:r>
              </w:p>
            </w:tc>
            <w:tc>
              <w:tcPr>
                <w:tcW w:w="1705" w:type="dxa"/>
                <w:vMerge w:val="restart"/>
                <w:noWrap w:val="0"/>
                <w:vAlign w:val="center"/>
              </w:tcPr>
              <w:p w14:paraId="4328B25D">
                <w:pPr>
                  <w:pStyle w:val="178"/>
                  <w:rPr>
                    <w:rFonts w:hint="eastAsia" w:hAnsi="宋体" w:eastAsia="宋体"/>
                    <w:szCs w:val="21"/>
                    <w:lang w:val="en-US" w:eastAsia="zh-CN"/>
                  </w:rPr>
                </w:pPr>
                <w:r>
                  <w:rPr>
                    <w:rFonts w:hint="eastAsia" w:hAnsi="宋体"/>
                    <w:szCs w:val="21"/>
                  </w:rPr>
                  <w:t>苗期</w:t>
                </w:r>
                <w:r>
                  <w:rPr>
                    <w:rFonts w:hint="eastAsia" w:hAnsi="宋体"/>
                    <w:szCs w:val="21"/>
                    <w:lang w:eastAsia="zh-CN"/>
                  </w:rPr>
                  <w:t>、</w:t>
                </w:r>
                <w:r>
                  <w:rPr>
                    <w:rFonts w:hint="eastAsia" w:hAnsi="宋体"/>
                    <w:szCs w:val="21"/>
                    <w:lang w:val="en-US" w:eastAsia="zh-CN"/>
                  </w:rPr>
                  <w:t>蕾薹期</w:t>
                </w:r>
              </w:p>
            </w:tc>
            <w:tc>
              <w:tcPr>
                <w:tcW w:w="2064" w:type="dxa"/>
                <w:noWrap w:val="0"/>
                <w:vAlign w:val="center"/>
              </w:tcPr>
              <w:p w14:paraId="2559C9E7">
                <w:pPr>
                  <w:pStyle w:val="178"/>
                  <w:rPr>
                    <w:rFonts w:hint="eastAsia" w:hAnsi="宋体"/>
                    <w:szCs w:val="21"/>
                  </w:rPr>
                </w:pPr>
                <w:r>
                  <w:rPr>
                    <w:rFonts w:hint="eastAsia" w:hAnsi="宋体"/>
                    <w:szCs w:val="21"/>
                  </w:rPr>
                  <w:t>10%虫螨腈悬浮剂</w:t>
                </w:r>
              </w:p>
            </w:tc>
            <w:tc>
              <w:tcPr>
                <w:tcW w:w="1934" w:type="dxa"/>
                <w:noWrap w:val="0"/>
                <w:vAlign w:val="center"/>
              </w:tcPr>
              <w:p w14:paraId="548BB431">
                <w:pPr>
                  <w:pStyle w:val="178"/>
                  <w:rPr>
                    <w:rFonts w:hAnsi="宋体"/>
                    <w:szCs w:val="21"/>
                  </w:rPr>
                </w:pPr>
                <w:r>
                  <w:rPr>
                    <w:rFonts w:hint="eastAsia" w:hAnsi="宋体"/>
                    <w:szCs w:val="21"/>
                  </w:rPr>
                  <w:t>1</w:t>
                </w:r>
                <w:r>
                  <w:rPr>
                    <w:rFonts w:hAnsi="宋体"/>
                    <w:szCs w:val="21"/>
                  </w:rPr>
                  <w:t>0</w:t>
                </w:r>
                <w:r>
                  <w:rPr>
                    <w:rFonts w:hint="eastAsia" w:hAnsi="宋体"/>
                    <w:szCs w:val="21"/>
                  </w:rPr>
                  <w:t xml:space="preserve"> </w:t>
                </w:r>
                <w:r>
                  <w:rPr>
                    <w:rFonts w:hAnsi="宋体"/>
                    <w:szCs w:val="21"/>
                  </w:rPr>
                  <w:t>ml～</w:t>
                </w:r>
                <w:r>
                  <w:rPr>
                    <w:rFonts w:hint="eastAsia" w:hAnsi="宋体"/>
                    <w:szCs w:val="21"/>
                  </w:rPr>
                  <w:t xml:space="preserve">20 </w:t>
                </w:r>
                <w:r>
                  <w:rPr>
                    <w:rFonts w:hAnsi="宋体"/>
                    <w:szCs w:val="21"/>
                  </w:rPr>
                  <w:t>ml</w:t>
                </w:r>
              </w:p>
            </w:tc>
            <w:tc>
              <w:tcPr>
                <w:tcW w:w="1822" w:type="dxa"/>
                <w:noWrap w:val="0"/>
                <w:vAlign w:val="top"/>
              </w:tcPr>
              <w:p w14:paraId="748BC7EC">
                <w:pPr>
                  <w:jc w:val="center"/>
                  <w:rPr>
                    <w:sz w:val="18"/>
                    <w:szCs w:val="18"/>
                  </w:rPr>
                </w:pPr>
                <w:r>
                  <w:rPr>
                    <w:rFonts w:hint="eastAsia"/>
                    <w:sz w:val="18"/>
                    <w:szCs w:val="18"/>
                  </w:rPr>
                  <w:t>喷雾</w:t>
                </w:r>
              </w:p>
            </w:tc>
          </w:tr>
          <w:tr w14:paraId="7944A9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2" w:hRule="atLeast"/>
              <w:jc w:val="center"/>
            </w:trPr>
            <w:tc>
              <w:tcPr>
                <w:tcW w:w="1849" w:type="dxa"/>
                <w:vMerge w:val="continue"/>
                <w:noWrap w:val="0"/>
                <w:vAlign w:val="center"/>
              </w:tcPr>
              <w:p w14:paraId="75EAD9BB">
                <w:pPr>
                  <w:pStyle w:val="178"/>
                  <w:rPr>
                    <w:rFonts w:hAnsi="宋体"/>
                    <w:szCs w:val="21"/>
                  </w:rPr>
                </w:pPr>
              </w:p>
            </w:tc>
            <w:tc>
              <w:tcPr>
                <w:tcW w:w="1705" w:type="dxa"/>
                <w:vMerge w:val="continue"/>
                <w:noWrap w:val="0"/>
                <w:vAlign w:val="center"/>
              </w:tcPr>
              <w:p w14:paraId="5DFD436F">
                <w:pPr>
                  <w:pStyle w:val="178"/>
                  <w:rPr>
                    <w:rFonts w:hAnsi="宋体"/>
                    <w:szCs w:val="21"/>
                  </w:rPr>
                </w:pPr>
              </w:p>
            </w:tc>
            <w:tc>
              <w:tcPr>
                <w:tcW w:w="2064" w:type="dxa"/>
                <w:noWrap w:val="0"/>
                <w:vAlign w:val="center"/>
              </w:tcPr>
              <w:p w14:paraId="601DDCB2">
                <w:pPr>
                  <w:pStyle w:val="178"/>
                  <w:rPr>
                    <w:rFonts w:hint="eastAsia" w:hAnsi="宋体"/>
                    <w:szCs w:val="21"/>
                  </w:rPr>
                </w:pPr>
                <w:r>
                  <w:rPr>
                    <w:rFonts w:hint="eastAsia" w:hAnsi="宋体"/>
                    <w:szCs w:val="21"/>
                  </w:rPr>
                  <w:t>25%灭幼脲悬浮剂</w:t>
                </w:r>
              </w:p>
            </w:tc>
            <w:tc>
              <w:tcPr>
                <w:tcW w:w="1934" w:type="dxa"/>
                <w:noWrap w:val="0"/>
                <w:vAlign w:val="center"/>
              </w:tcPr>
              <w:p w14:paraId="1C9DFF9E">
                <w:pPr>
                  <w:pStyle w:val="178"/>
                  <w:rPr>
                    <w:rFonts w:hAnsi="宋体"/>
                    <w:szCs w:val="21"/>
                  </w:rPr>
                </w:pPr>
                <w:r>
                  <w:rPr>
                    <w:rFonts w:hint="eastAsia" w:hAnsi="宋体"/>
                    <w:szCs w:val="21"/>
                  </w:rPr>
                  <w:t xml:space="preserve">5 </w:t>
                </w:r>
                <w:r>
                  <w:rPr>
                    <w:rFonts w:hAnsi="宋体"/>
                    <w:szCs w:val="21"/>
                  </w:rPr>
                  <w:t>ml～</w:t>
                </w:r>
                <w:r>
                  <w:rPr>
                    <w:rFonts w:hint="eastAsia" w:hAnsi="宋体"/>
                    <w:szCs w:val="21"/>
                  </w:rPr>
                  <w:t xml:space="preserve">10 </w:t>
                </w:r>
                <w:r>
                  <w:rPr>
                    <w:rFonts w:hAnsi="宋体"/>
                    <w:szCs w:val="21"/>
                  </w:rPr>
                  <w:t>ml</w:t>
                </w:r>
              </w:p>
            </w:tc>
            <w:tc>
              <w:tcPr>
                <w:tcW w:w="1822" w:type="dxa"/>
                <w:noWrap w:val="0"/>
                <w:vAlign w:val="top"/>
              </w:tcPr>
              <w:p w14:paraId="4054096F">
                <w:pPr>
                  <w:jc w:val="center"/>
                  <w:rPr>
                    <w:sz w:val="18"/>
                    <w:szCs w:val="18"/>
                  </w:rPr>
                </w:pPr>
                <w:r>
                  <w:rPr>
                    <w:rFonts w:hint="eastAsia"/>
                    <w:sz w:val="18"/>
                    <w:szCs w:val="18"/>
                  </w:rPr>
                  <w:t>喷雾</w:t>
                </w:r>
              </w:p>
            </w:tc>
          </w:tr>
          <w:tr w14:paraId="14F201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374" w:type="dxa"/>
                <w:gridSpan w:val="5"/>
                <w:tcBorders>
                  <w:bottom w:val="single" w:color="auto" w:sz="8" w:space="0"/>
                </w:tcBorders>
                <w:noWrap w:val="0"/>
                <w:vAlign w:val="center"/>
              </w:tcPr>
              <w:p w14:paraId="1BE58DCB">
                <w:pPr>
                  <w:pStyle w:val="178"/>
                  <w:rPr>
                    <w:rFonts w:hAnsi="宋体"/>
                    <w:szCs w:val="21"/>
                  </w:rPr>
                </w:pPr>
                <w:r>
                  <w:rPr>
                    <w:rFonts w:hAnsi="宋体"/>
                    <w:szCs w:val="21"/>
                  </w:rPr>
                  <w:t>注：农药使用以</w:t>
                </w:r>
                <w:r>
                  <w:rPr>
                    <w:rFonts w:hint="eastAsia"/>
                    <w:lang w:val="en-US" w:eastAsia="zh-CN"/>
                  </w:rPr>
                  <w:t>GB/T 8321.10、GB/T 23416.6</w:t>
                </w:r>
                <w:r>
                  <w:rPr>
                    <w:rFonts w:hAnsi="宋体"/>
                    <w:szCs w:val="21"/>
                  </w:rPr>
                  <w:t>的规定为准</w:t>
                </w:r>
              </w:p>
            </w:tc>
          </w:tr>
        </w:tbl>
        <w:p w14:paraId="3DF4DED4">
          <w:pPr>
            <w:pStyle w:val="56"/>
            <w:ind w:firstLine="420"/>
            <w:rPr>
              <w:rFonts w:hint="eastAsia"/>
            </w:rPr>
          </w:pPr>
        </w:p>
        <w:p w14:paraId="128FC0DD">
          <w:pPr>
            <w:pStyle w:val="56"/>
            <w:ind w:firstLine="420"/>
            <w:rPr>
              <w:rFonts w:hint="eastAsia"/>
            </w:rPr>
          </w:pPr>
        </w:p>
        <w:p w14:paraId="79C7FA1F">
          <w:pPr>
            <w:pStyle w:val="56"/>
            <w:ind w:firstLine="420"/>
            <w:rPr>
              <w:rFonts w:hint="eastAsia"/>
            </w:rPr>
          </w:pPr>
        </w:p>
        <w:p w14:paraId="02D324AB">
          <w:pPr>
            <w:pStyle w:val="56"/>
            <w:ind w:firstLine="420"/>
            <w:rPr>
              <w:rFonts w:hint="eastAsia"/>
            </w:rPr>
          </w:pPr>
        </w:p>
        <w:p w14:paraId="31182C84">
          <w:pPr>
            <w:pStyle w:val="56"/>
            <w:ind w:firstLine="420"/>
            <w:rPr>
              <w:rFonts w:hint="eastAsia"/>
            </w:rPr>
          </w:pPr>
        </w:p>
        <w:p w14:paraId="093FA9DE">
          <w:pPr>
            <w:pStyle w:val="77"/>
            <w:spacing w:before="156" w:after="156"/>
            <w:ind w:firstLine="420"/>
          </w:pPr>
          <w:r>
            <w:rPr>
              <w:rFonts w:hint="eastAsia"/>
            </w:rPr>
            <w:t>生产田间农事活动记录表</w:t>
          </w:r>
        </w:p>
        <w:tbl>
          <w:tblPr>
            <w:tblStyle w:val="26"/>
            <w:tblW w:w="520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756"/>
            <w:gridCol w:w="668"/>
            <w:gridCol w:w="991"/>
            <w:gridCol w:w="859"/>
            <w:gridCol w:w="1631"/>
            <w:gridCol w:w="2357"/>
            <w:gridCol w:w="935"/>
            <w:gridCol w:w="1103"/>
          </w:tblGrid>
          <w:tr w14:paraId="79252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 w:type="pct"/>
                <w:noWrap w:val="0"/>
                <w:vAlign w:val="center"/>
              </w:tcPr>
              <w:p w14:paraId="14549B08">
                <w:pPr>
                  <w:jc w:val="center"/>
                  <w:rPr>
                    <w:rFonts w:ascii="宋体" w:hAnsi="宋体"/>
                    <w:sz w:val="18"/>
                    <w:szCs w:val="18"/>
                  </w:rPr>
                </w:pPr>
                <w:r>
                  <w:rPr>
                    <w:rFonts w:hint="eastAsia" w:ascii="宋体" w:hAnsi="宋体"/>
                    <w:sz w:val="18"/>
                    <w:szCs w:val="18"/>
                  </w:rPr>
                  <w:t>地块编号</w:t>
                </w:r>
              </w:p>
            </w:tc>
            <w:tc>
              <w:tcPr>
                <w:tcW w:w="379" w:type="pct"/>
                <w:noWrap w:val="0"/>
                <w:vAlign w:val="center"/>
              </w:tcPr>
              <w:p w14:paraId="2F311C85">
                <w:pPr>
                  <w:jc w:val="center"/>
                  <w:rPr>
                    <w:rFonts w:ascii="宋体" w:hAnsi="宋体"/>
                    <w:sz w:val="18"/>
                    <w:szCs w:val="18"/>
                  </w:rPr>
                </w:pPr>
                <w:r>
                  <w:rPr>
                    <w:rFonts w:hint="eastAsia" w:ascii="宋体" w:hAnsi="宋体"/>
                    <w:sz w:val="18"/>
                    <w:szCs w:val="18"/>
                  </w:rPr>
                  <w:t>面积（亩）</w:t>
                </w:r>
              </w:p>
            </w:tc>
            <w:tc>
              <w:tcPr>
                <w:tcW w:w="335" w:type="pct"/>
                <w:noWrap w:val="0"/>
                <w:vAlign w:val="center"/>
              </w:tcPr>
              <w:p w14:paraId="5883AC42">
                <w:pPr>
                  <w:jc w:val="center"/>
                  <w:rPr>
                    <w:rFonts w:ascii="宋体" w:hAnsi="宋体"/>
                    <w:sz w:val="18"/>
                    <w:szCs w:val="18"/>
                  </w:rPr>
                </w:pPr>
                <w:r>
                  <w:rPr>
                    <w:rFonts w:hint="eastAsia" w:ascii="宋体" w:hAnsi="宋体"/>
                    <w:sz w:val="18"/>
                    <w:szCs w:val="18"/>
                  </w:rPr>
                  <w:t>种植品种</w:t>
                </w:r>
              </w:p>
            </w:tc>
            <w:tc>
              <w:tcPr>
                <w:tcW w:w="497" w:type="pct"/>
                <w:noWrap w:val="0"/>
                <w:vAlign w:val="center"/>
              </w:tcPr>
              <w:p w14:paraId="19D2BD59">
                <w:pPr>
                  <w:jc w:val="center"/>
                  <w:rPr>
                    <w:rFonts w:ascii="宋体" w:hAnsi="宋体"/>
                    <w:sz w:val="18"/>
                    <w:szCs w:val="18"/>
                  </w:rPr>
                </w:pPr>
                <w:r>
                  <w:rPr>
                    <w:rFonts w:hint="eastAsia" w:ascii="宋体" w:hAnsi="宋体"/>
                    <w:sz w:val="18"/>
                    <w:szCs w:val="18"/>
                  </w:rPr>
                  <w:t>时间</w:t>
                </w:r>
              </w:p>
            </w:tc>
            <w:tc>
              <w:tcPr>
                <w:tcW w:w="431" w:type="pct"/>
                <w:noWrap w:val="0"/>
                <w:vAlign w:val="center"/>
              </w:tcPr>
              <w:p w14:paraId="6DF5D338">
                <w:pPr>
                  <w:jc w:val="center"/>
                  <w:rPr>
                    <w:rFonts w:ascii="宋体" w:hAnsi="宋体"/>
                    <w:sz w:val="18"/>
                    <w:szCs w:val="18"/>
                  </w:rPr>
                </w:pPr>
                <w:r>
                  <w:rPr>
                    <w:rFonts w:hint="eastAsia" w:ascii="宋体" w:hAnsi="宋体"/>
                    <w:sz w:val="18"/>
                    <w:szCs w:val="18"/>
                  </w:rPr>
                  <w:t>天气</w:t>
                </w:r>
              </w:p>
            </w:tc>
            <w:tc>
              <w:tcPr>
                <w:tcW w:w="818" w:type="pct"/>
                <w:noWrap w:val="0"/>
                <w:vAlign w:val="center"/>
              </w:tcPr>
              <w:p w14:paraId="0719A247">
                <w:pPr>
                  <w:jc w:val="center"/>
                  <w:rPr>
                    <w:rFonts w:ascii="宋体" w:hAnsi="宋体"/>
                    <w:sz w:val="18"/>
                    <w:szCs w:val="18"/>
                  </w:rPr>
                </w:pPr>
                <w:r>
                  <w:rPr>
                    <w:rFonts w:hint="eastAsia" w:ascii="宋体" w:hAnsi="宋体"/>
                    <w:sz w:val="18"/>
                    <w:szCs w:val="18"/>
                  </w:rPr>
                  <w:t>农事活动项目</w:t>
                </w:r>
              </w:p>
            </w:tc>
            <w:tc>
              <w:tcPr>
                <w:tcW w:w="1182" w:type="pct"/>
                <w:noWrap w:val="0"/>
                <w:vAlign w:val="center"/>
              </w:tcPr>
              <w:p w14:paraId="25B669AB">
                <w:pPr>
                  <w:jc w:val="center"/>
                  <w:rPr>
                    <w:rFonts w:hint="eastAsia" w:ascii="宋体" w:hAnsi="宋体"/>
                    <w:sz w:val="18"/>
                    <w:szCs w:val="18"/>
                  </w:rPr>
                </w:pPr>
                <w:r>
                  <w:rPr>
                    <w:rFonts w:hint="eastAsia" w:ascii="宋体" w:hAnsi="宋体"/>
                    <w:sz w:val="18"/>
                    <w:szCs w:val="18"/>
                  </w:rPr>
                  <w:t>具体内容及措施</w:t>
                </w:r>
              </w:p>
            </w:tc>
            <w:tc>
              <w:tcPr>
                <w:tcW w:w="469" w:type="pct"/>
                <w:noWrap w:val="0"/>
                <w:vAlign w:val="center"/>
              </w:tcPr>
              <w:p w14:paraId="4A8F2D38">
                <w:pPr>
                  <w:jc w:val="center"/>
                  <w:rPr>
                    <w:rFonts w:ascii="宋体" w:hAnsi="宋体"/>
                    <w:sz w:val="18"/>
                    <w:szCs w:val="18"/>
                  </w:rPr>
                </w:pPr>
                <w:r>
                  <w:rPr>
                    <w:rFonts w:hint="eastAsia" w:ascii="宋体" w:hAnsi="宋体"/>
                    <w:sz w:val="18"/>
                    <w:szCs w:val="18"/>
                  </w:rPr>
                  <w:t>记录人</w:t>
                </w:r>
              </w:p>
            </w:tc>
            <w:tc>
              <w:tcPr>
                <w:tcW w:w="553" w:type="pct"/>
                <w:noWrap w:val="0"/>
                <w:vAlign w:val="center"/>
              </w:tcPr>
              <w:p w14:paraId="2381A9A4">
                <w:pPr>
                  <w:jc w:val="center"/>
                  <w:rPr>
                    <w:rFonts w:ascii="宋体" w:hAnsi="宋体"/>
                    <w:sz w:val="18"/>
                    <w:szCs w:val="18"/>
                  </w:rPr>
                </w:pPr>
                <w:r>
                  <w:rPr>
                    <w:rFonts w:hint="eastAsia" w:ascii="宋体" w:hAnsi="宋体"/>
                    <w:sz w:val="18"/>
                    <w:szCs w:val="18"/>
                  </w:rPr>
                  <w:t>备注</w:t>
                </w:r>
              </w:p>
            </w:tc>
          </w:tr>
          <w:tr w14:paraId="27DBD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 w:type="pct"/>
                <w:noWrap w:val="0"/>
                <w:vAlign w:val="top"/>
              </w:tcPr>
              <w:p w14:paraId="70A37D15">
                <w:pPr>
                  <w:rPr>
                    <w:rFonts w:ascii="宋体" w:hAnsi="宋体"/>
                    <w:sz w:val="18"/>
                    <w:szCs w:val="18"/>
                  </w:rPr>
                </w:pPr>
              </w:p>
            </w:tc>
            <w:tc>
              <w:tcPr>
                <w:tcW w:w="379" w:type="pct"/>
                <w:noWrap w:val="0"/>
                <w:vAlign w:val="top"/>
              </w:tcPr>
              <w:p w14:paraId="59B3DA66">
                <w:pPr>
                  <w:rPr>
                    <w:rFonts w:ascii="宋体" w:hAnsi="宋体"/>
                    <w:sz w:val="18"/>
                    <w:szCs w:val="18"/>
                  </w:rPr>
                </w:pPr>
              </w:p>
            </w:tc>
            <w:tc>
              <w:tcPr>
                <w:tcW w:w="335" w:type="pct"/>
                <w:noWrap w:val="0"/>
                <w:vAlign w:val="top"/>
              </w:tcPr>
              <w:p w14:paraId="6B98C001">
                <w:pPr>
                  <w:rPr>
                    <w:rFonts w:ascii="宋体" w:hAnsi="宋体"/>
                    <w:sz w:val="18"/>
                    <w:szCs w:val="18"/>
                  </w:rPr>
                </w:pPr>
              </w:p>
            </w:tc>
            <w:tc>
              <w:tcPr>
                <w:tcW w:w="497" w:type="pct"/>
                <w:noWrap w:val="0"/>
                <w:vAlign w:val="top"/>
              </w:tcPr>
              <w:p w14:paraId="1F32FE87">
                <w:pPr>
                  <w:rPr>
                    <w:rFonts w:ascii="宋体" w:hAnsi="宋体"/>
                    <w:sz w:val="18"/>
                    <w:szCs w:val="18"/>
                  </w:rPr>
                </w:pPr>
              </w:p>
            </w:tc>
            <w:tc>
              <w:tcPr>
                <w:tcW w:w="431" w:type="pct"/>
                <w:noWrap w:val="0"/>
                <w:vAlign w:val="top"/>
              </w:tcPr>
              <w:p w14:paraId="71165202">
                <w:pPr>
                  <w:rPr>
                    <w:rFonts w:ascii="宋体" w:hAnsi="宋体"/>
                    <w:sz w:val="18"/>
                    <w:szCs w:val="18"/>
                  </w:rPr>
                </w:pPr>
              </w:p>
            </w:tc>
            <w:tc>
              <w:tcPr>
                <w:tcW w:w="818" w:type="pct"/>
                <w:noWrap w:val="0"/>
                <w:vAlign w:val="top"/>
              </w:tcPr>
              <w:p w14:paraId="1B01F684">
                <w:pPr>
                  <w:rPr>
                    <w:rFonts w:ascii="宋体" w:hAnsi="宋体"/>
                    <w:sz w:val="18"/>
                    <w:szCs w:val="18"/>
                  </w:rPr>
                </w:pPr>
              </w:p>
            </w:tc>
            <w:tc>
              <w:tcPr>
                <w:tcW w:w="1182" w:type="pct"/>
                <w:noWrap w:val="0"/>
                <w:vAlign w:val="top"/>
              </w:tcPr>
              <w:p w14:paraId="7E981FC3">
                <w:pPr>
                  <w:rPr>
                    <w:rFonts w:ascii="宋体" w:hAnsi="宋体"/>
                    <w:sz w:val="18"/>
                    <w:szCs w:val="18"/>
                  </w:rPr>
                </w:pPr>
              </w:p>
            </w:tc>
            <w:tc>
              <w:tcPr>
                <w:tcW w:w="469" w:type="pct"/>
                <w:noWrap w:val="0"/>
                <w:vAlign w:val="top"/>
              </w:tcPr>
              <w:p w14:paraId="671A7A0D">
                <w:pPr>
                  <w:rPr>
                    <w:rFonts w:ascii="宋体" w:hAnsi="宋体"/>
                    <w:sz w:val="18"/>
                    <w:szCs w:val="18"/>
                  </w:rPr>
                </w:pPr>
              </w:p>
            </w:tc>
            <w:tc>
              <w:tcPr>
                <w:tcW w:w="553" w:type="pct"/>
                <w:noWrap w:val="0"/>
                <w:vAlign w:val="top"/>
              </w:tcPr>
              <w:p w14:paraId="377BEF20">
                <w:pPr>
                  <w:rPr>
                    <w:rFonts w:ascii="宋体" w:hAnsi="宋体"/>
                    <w:sz w:val="18"/>
                    <w:szCs w:val="18"/>
                  </w:rPr>
                </w:pPr>
              </w:p>
            </w:tc>
          </w:tr>
          <w:tr w14:paraId="4C025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 w:type="pct"/>
                <w:noWrap w:val="0"/>
                <w:vAlign w:val="top"/>
              </w:tcPr>
              <w:p w14:paraId="48E9F14A">
                <w:pPr>
                  <w:rPr>
                    <w:rFonts w:hint="eastAsia" w:ascii="宋体" w:hAnsi="宋体"/>
                    <w:sz w:val="18"/>
                    <w:szCs w:val="18"/>
                  </w:rPr>
                </w:pPr>
              </w:p>
            </w:tc>
            <w:tc>
              <w:tcPr>
                <w:tcW w:w="379" w:type="pct"/>
                <w:noWrap w:val="0"/>
                <w:vAlign w:val="top"/>
              </w:tcPr>
              <w:p w14:paraId="62D5C9CC">
                <w:pPr>
                  <w:rPr>
                    <w:rFonts w:ascii="宋体" w:hAnsi="宋体"/>
                    <w:sz w:val="18"/>
                    <w:szCs w:val="18"/>
                  </w:rPr>
                </w:pPr>
              </w:p>
            </w:tc>
            <w:tc>
              <w:tcPr>
                <w:tcW w:w="335" w:type="pct"/>
                <w:noWrap w:val="0"/>
                <w:vAlign w:val="top"/>
              </w:tcPr>
              <w:p w14:paraId="219CA647">
                <w:pPr>
                  <w:rPr>
                    <w:rFonts w:ascii="宋体" w:hAnsi="宋体"/>
                    <w:sz w:val="18"/>
                    <w:szCs w:val="18"/>
                  </w:rPr>
                </w:pPr>
              </w:p>
            </w:tc>
            <w:tc>
              <w:tcPr>
                <w:tcW w:w="497" w:type="pct"/>
                <w:noWrap w:val="0"/>
                <w:vAlign w:val="top"/>
              </w:tcPr>
              <w:p w14:paraId="6896CB45">
                <w:pPr>
                  <w:rPr>
                    <w:rFonts w:ascii="宋体" w:hAnsi="宋体"/>
                    <w:sz w:val="18"/>
                    <w:szCs w:val="18"/>
                  </w:rPr>
                </w:pPr>
              </w:p>
            </w:tc>
            <w:tc>
              <w:tcPr>
                <w:tcW w:w="431" w:type="pct"/>
                <w:noWrap w:val="0"/>
                <w:vAlign w:val="top"/>
              </w:tcPr>
              <w:p w14:paraId="14320461">
                <w:pPr>
                  <w:rPr>
                    <w:rFonts w:ascii="宋体" w:hAnsi="宋体"/>
                    <w:sz w:val="18"/>
                    <w:szCs w:val="18"/>
                  </w:rPr>
                </w:pPr>
              </w:p>
            </w:tc>
            <w:tc>
              <w:tcPr>
                <w:tcW w:w="818" w:type="pct"/>
                <w:noWrap w:val="0"/>
                <w:vAlign w:val="top"/>
              </w:tcPr>
              <w:p w14:paraId="3297AC2A">
                <w:pPr>
                  <w:rPr>
                    <w:rFonts w:ascii="宋体" w:hAnsi="宋体"/>
                    <w:sz w:val="18"/>
                    <w:szCs w:val="18"/>
                  </w:rPr>
                </w:pPr>
              </w:p>
            </w:tc>
            <w:tc>
              <w:tcPr>
                <w:tcW w:w="1182" w:type="pct"/>
                <w:noWrap w:val="0"/>
                <w:vAlign w:val="top"/>
              </w:tcPr>
              <w:p w14:paraId="2E081D29">
                <w:pPr>
                  <w:rPr>
                    <w:rFonts w:ascii="宋体" w:hAnsi="宋体"/>
                    <w:sz w:val="18"/>
                    <w:szCs w:val="18"/>
                  </w:rPr>
                </w:pPr>
              </w:p>
            </w:tc>
            <w:tc>
              <w:tcPr>
                <w:tcW w:w="469" w:type="pct"/>
                <w:noWrap w:val="0"/>
                <w:vAlign w:val="top"/>
              </w:tcPr>
              <w:p w14:paraId="271EABAA">
                <w:pPr>
                  <w:rPr>
                    <w:rFonts w:ascii="宋体" w:hAnsi="宋体"/>
                    <w:sz w:val="18"/>
                    <w:szCs w:val="18"/>
                  </w:rPr>
                </w:pPr>
              </w:p>
            </w:tc>
            <w:tc>
              <w:tcPr>
                <w:tcW w:w="553" w:type="pct"/>
                <w:noWrap w:val="0"/>
                <w:vAlign w:val="top"/>
              </w:tcPr>
              <w:p w14:paraId="4F0C6AA8">
                <w:pPr>
                  <w:rPr>
                    <w:rFonts w:ascii="宋体" w:hAnsi="宋体"/>
                    <w:sz w:val="18"/>
                    <w:szCs w:val="18"/>
                  </w:rPr>
                </w:pPr>
              </w:p>
            </w:tc>
          </w:tr>
          <w:tr w14:paraId="323BC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 w:type="pct"/>
                <w:noWrap w:val="0"/>
                <w:vAlign w:val="top"/>
              </w:tcPr>
              <w:p w14:paraId="2B2E746F">
                <w:pPr>
                  <w:rPr>
                    <w:rFonts w:ascii="宋体" w:hAnsi="宋体"/>
                    <w:sz w:val="18"/>
                    <w:szCs w:val="18"/>
                  </w:rPr>
                </w:pPr>
              </w:p>
            </w:tc>
            <w:tc>
              <w:tcPr>
                <w:tcW w:w="379" w:type="pct"/>
                <w:noWrap w:val="0"/>
                <w:vAlign w:val="top"/>
              </w:tcPr>
              <w:p w14:paraId="281B84EF">
                <w:pPr>
                  <w:rPr>
                    <w:rFonts w:ascii="宋体" w:hAnsi="宋体"/>
                    <w:sz w:val="18"/>
                    <w:szCs w:val="18"/>
                  </w:rPr>
                </w:pPr>
              </w:p>
            </w:tc>
            <w:tc>
              <w:tcPr>
                <w:tcW w:w="335" w:type="pct"/>
                <w:noWrap w:val="0"/>
                <w:vAlign w:val="top"/>
              </w:tcPr>
              <w:p w14:paraId="0E7D8559">
                <w:pPr>
                  <w:rPr>
                    <w:rFonts w:ascii="宋体" w:hAnsi="宋体"/>
                    <w:sz w:val="18"/>
                    <w:szCs w:val="18"/>
                  </w:rPr>
                </w:pPr>
              </w:p>
            </w:tc>
            <w:tc>
              <w:tcPr>
                <w:tcW w:w="497" w:type="pct"/>
                <w:noWrap w:val="0"/>
                <w:vAlign w:val="top"/>
              </w:tcPr>
              <w:p w14:paraId="0A7F711E">
                <w:pPr>
                  <w:rPr>
                    <w:rFonts w:ascii="宋体" w:hAnsi="宋体"/>
                    <w:sz w:val="18"/>
                    <w:szCs w:val="18"/>
                  </w:rPr>
                </w:pPr>
              </w:p>
            </w:tc>
            <w:tc>
              <w:tcPr>
                <w:tcW w:w="431" w:type="pct"/>
                <w:noWrap w:val="0"/>
                <w:vAlign w:val="top"/>
              </w:tcPr>
              <w:p w14:paraId="23E7AF62">
                <w:pPr>
                  <w:rPr>
                    <w:rFonts w:ascii="宋体" w:hAnsi="宋体"/>
                    <w:sz w:val="18"/>
                    <w:szCs w:val="18"/>
                  </w:rPr>
                </w:pPr>
              </w:p>
            </w:tc>
            <w:tc>
              <w:tcPr>
                <w:tcW w:w="818" w:type="pct"/>
                <w:noWrap w:val="0"/>
                <w:vAlign w:val="top"/>
              </w:tcPr>
              <w:p w14:paraId="06E20DD6">
                <w:pPr>
                  <w:rPr>
                    <w:rFonts w:ascii="宋体" w:hAnsi="宋体"/>
                    <w:sz w:val="18"/>
                    <w:szCs w:val="18"/>
                  </w:rPr>
                </w:pPr>
              </w:p>
            </w:tc>
            <w:tc>
              <w:tcPr>
                <w:tcW w:w="1182" w:type="pct"/>
                <w:noWrap w:val="0"/>
                <w:vAlign w:val="top"/>
              </w:tcPr>
              <w:p w14:paraId="09A6D27E">
                <w:pPr>
                  <w:rPr>
                    <w:rFonts w:ascii="宋体" w:hAnsi="宋体"/>
                    <w:sz w:val="18"/>
                    <w:szCs w:val="18"/>
                  </w:rPr>
                </w:pPr>
              </w:p>
            </w:tc>
            <w:tc>
              <w:tcPr>
                <w:tcW w:w="469" w:type="pct"/>
                <w:noWrap w:val="0"/>
                <w:vAlign w:val="top"/>
              </w:tcPr>
              <w:p w14:paraId="08CAB640">
                <w:pPr>
                  <w:rPr>
                    <w:rFonts w:ascii="宋体" w:hAnsi="宋体"/>
                    <w:sz w:val="18"/>
                    <w:szCs w:val="18"/>
                  </w:rPr>
                </w:pPr>
              </w:p>
            </w:tc>
            <w:tc>
              <w:tcPr>
                <w:tcW w:w="553" w:type="pct"/>
                <w:noWrap w:val="0"/>
                <w:vAlign w:val="top"/>
              </w:tcPr>
              <w:p w14:paraId="6180310B">
                <w:pPr>
                  <w:rPr>
                    <w:rFonts w:ascii="宋体" w:hAnsi="宋体"/>
                    <w:sz w:val="18"/>
                    <w:szCs w:val="18"/>
                  </w:rPr>
                </w:pPr>
              </w:p>
            </w:tc>
          </w:tr>
          <w:tr w14:paraId="3C2E6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 w:type="pct"/>
                <w:noWrap w:val="0"/>
                <w:vAlign w:val="top"/>
              </w:tcPr>
              <w:p w14:paraId="7C2EE29E">
                <w:pPr>
                  <w:rPr>
                    <w:rFonts w:ascii="宋体" w:hAnsi="宋体"/>
                    <w:sz w:val="18"/>
                    <w:szCs w:val="18"/>
                  </w:rPr>
                </w:pPr>
              </w:p>
            </w:tc>
            <w:tc>
              <w:tcPr>
                <w:tcW w:w="379" w:type="pct"/>
                <w:noWrap w:val="0"/>
                <w:vAlign w:val="top"/>
              </w:tcPr>
              <w:p w14:paraId="6B72FABD">
                <w:pPr>
                  <w:rPr>
                    <w:rFonts w:ascii="宋体" w:hAnsi="宋体"/>
                    <w:sz w:val="18"/>
                    <w:szCs w:val="18"/>
                  </w:rPr>
                </w:pPr>
              </w:p>
            </w:tc>
            <w:tc>
              <w:tcPr>
                <w:tcW w:w="335" w:type="pct"/>
                <w:noWrap w:val="0"/>
                <w:vAlign w:val="top"/>
              </w:tcPr>
              <w:p w14:paraId="125EB822">
                <w:pPr>
                  <w:rPr>
                    <w:rFonts w:ascii="宋体" w:hAnsi="宋体"/>
                    <w:sz w:val="18"/>
                    <w:szCs w:val="18"/>
                  </w:rPr>
                </w:pPr>
              </w:p>
            </w:tc>
            <w:tc>
              <w:tcPr>
                <w:tcW w:w="497" w:type="pct"/>
                <w:noWrap w:val="0"/>
                <w:vAlign w:val="top"/>
              </w:tcPr>
              <w:p w14:paraId="70AEDD6E">
                <w:pPr>
                  <w:rPr>
                    <w:rFonts w:ascii="宋体" w:hAnsi="宋体"/>
                    <w:sz w:val="18"/>
                    <w:szCs w:val="18"/>
                  </w:rPr>
                </w:pPr>
              </w:p>
            </w:tc>
            <w:tc>
              <w:tcPr>
                <w:tcW w:w="431" w:type="pct"/>
                <w:noWrap w:val="0"/>
                <w:vAlign w:val="top"/>
              </w:tcPr>
              <w:p w14:paraId="3F964802">
                <w:pPr>
                  <w:rPr>
                    <w:rFonts w:ascii="宋体" w:hAnsi="宋体"/>
                    <w:sz w:val="18"/>
                    <w:szCs w:val="18"/>
                  </w:rPr>
                </w:pPr>
              </w:p>
            </w:tc>
            <w:tc>
              <w:tcPr>
                <w:tcW w:w="818" w:type="pct"/>
                <w:noWrap w:val="0"/>
                <w:vAlign w:val="top"/>
              </w:tcPr>
              <w:p w14:paraId="64BE529E">
                <w:pPr>
                  <w:rPr>
                    <w:rFonts w:ascii="宋体" w:hAnsi="宋体"/>
                    <w:sz w:val="18"/>
                    <w:szCs w:val="18"/>
                  </w:rPr>
                </w:pPr>
              </w:p>
            </w:tc>
            <w:tc>
              <w:tcPr>
                <w:tcW w:w="1182" w:type="pct"/>
                <w:noWrap w:val="0"/>
                <w:vAlign w:val="top"/>
              </w:tcPr>
              <w:p w14:paraId="6AD0F0F7">
                <w:pPr>
                  <w:rPr>
                    <w:rFonts w:ascii="宋体" w:hAnsi="宋体"/>
                    <w:sz w:val="18"/>
                    <w:szCs w:val="18"/>
                  </w:rPr>
                </w:pPr>
              </w:p>
            </w:tc>
            <w:tc>
              <w:tcPr>
                <w:tcW w:w="469" w:type="pct"/>
                <w:noWrap w:val="0"/>
                <w:vAlign w:val="top"/>
              </w:tcPr>
              <w:p w14:paraId="03C06931">
                <w:pPr>
                  <w:rPr>
                    <w:rFonts w:ascii="宋体" w:hAnsi="宋体"/>
                    <w:sz w:val="18"/>
                    <w:szCs w:val="18"/>
                  </w:rPr>
                </w:pPr>
              </w:p>
            </w:tc>
            <w:tc>
              <w:tcPr>
                <w:tcW w:w="553" w:type="pct"/>
                <w:noWrap w:val="0"/>
                <w:vAlign w:val="top"/>
              </w:tcPr>
              <w:p w14:paraId="56077922">
                <w:pPr>
                  <w:rPr>
                    <w:rFonts w:ascii="宋体" w:hAnsi="宋体"/>
                    <w:sz w:val="18"/>
                    <w:szCs w:val="18"/>
                  </w:rPr>
                </w:pPr>
              </w:p>
            </w:tc>
          </w:tr>
          <w:bookmarkEnd w:id="126"/>
        </w:tbl>
        <w:p w14:paraId="26F0F046">
          <w:pPr>
            <w:pStyle w:val="56"/>
            <w:ind w:firstLine="0" w:firstLineChars="0"/>
            <w:jc w:val="center"/>
          </w:pPr>
        </w:p>
        <w:p w14:paraId="54953ED5">
          <w:pPr>
            <w:pStyle w:val="56"/>
            <w:ind w:firstLine="0" w:firstLineChars="0"/>
            <w:jc w:val="center"/>
          </w:pPr>
        </w:p>
        <w:p w14:paraId="2E87C915">
          <w:pPr>
            <w:pStyle w:val="232"/>
            <w:framePr w:wrap="auto" w:vAnchor="text" w:hAnchor="page" w:x="4332" w:y="44"/>
            <w:rPr>
              <w:rFonts w:hint="eastAsia"/>
            </w:rPr>
          </w:pPr>
          <w:r>
            <w:t>_________________________________</w:t>
          </w:r>
        </w:p>
        <w:p w14:paraId="560EE0DD">
          <w:pPr>
            <w:pStyle w:val="56"/>
            <w:ind w:firstLine="0" w:firstLineChars="0"/>
            <w:jc w:val="center"/>
          </w:pPr>
        </w:p>
        <w:p w14:paraId="18EDEAFF">
          <w:pPr>
            <w:pStyle w:val="56"/>
            <w:ind w:firstLine="0" w:firstLineChars="0"/>
            <w:jc w:val="center"/>
          </w:pPr>
        </w:p>
        <w:p w14:paraId="3F4071C9">
          <w:pPr>
            <w:pStyle w:val="56"/>
            <w:ind w:firstLine="0" w:firstLineChars="0"/>
            <w:jc w:val="center"/>
          </w:pPr>
        </w:p>
        <w:p w14:paraId="05804CAA">
          <w:pPr>
            <w:pStyle w:val="56"/>
            <w:ind w:firstLine="0" w:firstLineChars="0"/>
            <w:jc w:val="center"/>
          </w:pPr>
        </w:p>
        <w:p w14:paraId="7C91EF8C">
          <w:pPr>
            <w:pStyle w:val="56"/>
            <w:ind w:firstLine="0" w:firstLineChars="0"/>
            <w:jc w:val="center"/>
          </w:pPr>
        </w:p>
      </w:sdtContent>
    </w:sdt>
    <w:sectPr>
      <w:headerReference r:id="rId17" w:type="default"/>
      <w:footerReference r:id="rId19" w:type="default"/>
      <w:headerReference r:id="rId18" w:type="even"/>
      <w:footerReference r:id="rId20" w:type="even"/>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0DB7C">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10B36">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9AB3A">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A5E3A">
    <w:pPr>
      <w:pStyle w:val="5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A08B2">
    <w:pPr>
      <w:pStyle w:val="52"/>
    </w:pPr>
    <w:r>
      <w:fldChar w:fldCharType="begin"/>
    </w:r>
    <w:r>
      <w:instrText xml:space="preserve">PAGE   \* MERGEFORMAT</w:instrText>
    </w:r>
    <w:r>
      <w:fldChar w:fldCharType="separate"/>
    </w:r>
    <w:r>
      <w:rPr>
        <w:lang w:val="zh-CN"/>
      </w:rPr>
      <w:t>III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526E5">
    <w:pPr>
      <w:pStyle w:val="51"/>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C6B59">
    <w:pPr>
      <w:pStyle w:val="52"/>
    </w:pPr>
    <w:r>
      <w:fldChar w:fldCharType="begin"/>
    </w:r>
    <w:r>
      <w:instrText xml:space="preserve">PAGE   \* MERGEFORMAT</w:instrText>
    </w:r>
    <w:r>
      <w:fldChar w:fldCharType="separate"/>
    </w:r>
    <w:r>
      <w:rPr>
        <w:lang w:val="zh-CN"/>
      </w:rPr>
      <w:t>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FD81B">
    <w:pPr>
      <w:pStyle w:val="51"/>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76E6C">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C45CE">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880BD">
    <w:pPr>
      <w:pStyle w:val="61"/>
    </w:pPr>
    <w:r>
      <w:fldChar w:fldCharType="begin"/>
    </w:r>
    <w:r>
      <w:instrText xml:space="preserve"> STYLEREF  标准文件_文件编号  \* MERGEFORMAT </w:instrText>
    </w:r>
    <w:r>
      <w:fldChar w:fldCharType="separate"/>
    </w:r>
    <w:r>
      <w:t>DB54/T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C5648">
    <w:pPr>
      <w:pStyle w:val="62"/>
    </w:pPr>
    <w:r>
      <w:fldChar w:fldCharType="begin"/>
    </w:r>
    <w:r>
      <w:instrText xml:space="preserve"> STYLEREF  标准文件_文件编号 \* MERGEFORMAT </w:instrText>
    </w:r>
    <w:r>
      <w:fldChar w:fldCharType="separate"/>
    </w:r>
    <w:r>
      <w:t>DB54/T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96214">
    <w:pPr>
      <w:pStyle w:val="61"/>
    </w:pPr>
    <w:r>
      <w:fldChar w:fldCharType="begin"/>
    </w:r>
    <w:r>
      <w:instrText xml:space="preserve"> STYLEREF  标准文件_文件编号  \* MERGEFORMAT </w:instrText>
    </w:r>
    <w:r>
      <w:fldChar w:fldCharType="separate"/>
    </w:r>
    <w:r>
      <w:t>DB54/T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3D7B1">
    <w:pPr>
      <w:pStyle w:val="62"/>
    </w:pPr>
    <w:r>
      <w:fldChar w:fldCharType="begin"/>
    </w:r>
    <w:r>
      <w:instrText xml:space="preserve"> STYLEREF  标准文件_文件编号 \* MERGEFORMAT </w:instrText>
    </w:r>
    <w:r>
      <w:fldChar w:fldCharType="separate"/>
    </w:r>
    <w:r>
      <w:t>DB54/T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4EEBD">
    <w:pPr>
      <w:pStyle w:val="61"/>
    </w:pPr>
    <w:r>
      <w:fldChar w:fldCharType="begin"/>
    </w:r>
    <w:r>
      <w:instrText xml:space="preserve"> STYLEREF  标准文件_文件编号  \* MERGEFORMAT </w:instrText>
    </w:r>
    <w:r>
      <w:fldChar w:fldCharType="separate"/>
    </w:r>
    <w:r>
      <w:t>DB54/T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77B70">
    <w:pPr>
      <w:pStyle w:val="62"/>
    </w:pPr>
    <w:r>
      <w:fldChar w:fldCharType="begin"/>
    </w:r>
    <w:r>
      <w:instrText xml:space="preserve"> STYLEREF  标准文件_文件编号 \* MERGEFORMAT </w:instrText>
    </w:r>
    <w:r>
      <w:fldChar w:fldCharType="separate"/>
    </w:r>
    <w:r>
      <w:t>DB54/T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2126"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attachedTemplate r:id="rId1"/>
  <w:documentProtection w:edit="forms" w:enforcement="1" w:cryptProviderType="rsaAES" w:cryptAlgorithmClass="hash" w:cryptAlgorithmType="typeAny" w:cryptAlgorithmSid="14" w:cryptSpinCount="100000" w:hash="KvysVY0GPhZXOQshKCaO05i7gcfX31bKR16FxaGBQBxZqJx8iwN+Cd5lNk4onJ8xzIkm+Iu/IcIExEKpeRPxnQ==" w:salt="nOAnqJAuHAUNxPCmAIr+AQ=="/>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E4MzEyMDc2OTJkNjllNGNlZmQ0MzZlZmQ2YTQ5YmUifQ=="/>
  </w:docVars>
  <w:rsids>
    <w:rsidRoot w:val="0053662E"/>
    <w:rsid w:val="0000040A"/>
    <w:rsid w:val="00000A94"/>
    <w:rsid w:val="00000DC6"/>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FEF"/>
    <w:rsid w:val="000D329A"/>
    <w:rsid w:val="000D4B9C"/>
    <w:rsid w:val="000D4EB6"/>
    <w:rsid w:val="000D753B"/>
    <w:rsid w:val="000E4C9E"/>
    <w:rsid w:val="000E6FD7"/>
    <w:rsid w:val="000F06E1"/>
    <w:rsid w:val="000F0E3C"/>
    <w:rsid w:val="000F19D5"/>
    <w:rsid w:val="000F4AEA"/>
    <w:rsid w:val="000F67E9"/>
    <w:rsid w:val="00104926"/>
    <w:rsid w:val="00113B1E"/>
    <w:rsid w:val="00115D38"/>
    <w:rsid w:val="0011711C"/>
    <w:rsid w:val="00124E4F"/>
    <w:rsid w:val="001260B7"/>
    <w:rsid w:val="001265CB"/>
    <w:rsid w:val="00131B46"/>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5969"/>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B0C"/>
    <w:rsid w:val="00194C95"/>
    <w:rsid w:val="00195134"/>
    <w:rsid w:val="00195C34"/>
    <w:rsid w:val="00196EF5"/>
    <w:rsid w:val="001A1567"/>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00E"/>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4DCC"/>
    <w:rsid w:val="002253A1"/>
    <w:rsid w:val="00225CF8"/>
    <w:rsid w:val="0022794E"/>
    <w:rsid w:val="00233D64"/>
    <w:rsid w:val="0023482A"/>
    <w:rsid w:val="002359CB"/>
    <w:rsid w:val="002424D7"/>
    <w:rsid w:val="00243540"/>
    <w:rsid w:val="0024497B"/>
    <w:rsid w:val="0024515B"/>
    <w:rsid w:val="00246021"/>
    <w:rsid w:val="0024666E"/>
    <w:rsid w:val="00247F52"/>
    <w:rsid w:val="00250B25"/>
    <w:rsid w:val="00250BBE"/>
    <w:rsid w:val="002515C2"/>
    <w:rsid w:val="0025194F"/>
    <w:rsid w:val="0026148A"/>
    <w:rsid w:val="00262696"/>
    <w:rsid w:val="00262F49"/>
    <w:rsid w:val="00263D25"/>
    <w:rsid w:val="002643C3"/>
    <w:rsid w:val="00264A0C"/>
    <w:rsid w:val="00266EEB"/>
    <w:rsid w:val="00267EF4"/>
    <w:rsid w:val="00270CB8"/>
    <w:rsid w:val="00272B08"/>
    <w:rsid w:val="00281BB8"/>
    <w:rsid w:val="00281E9E"/>
    <w:rsid w:val="00282405"/>
    <w:rsid w:val="00284946"/>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D0B"/>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12E"/>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1550"/>
    <w:rsid w:val="00352C83"/>
    <w:rsid w:val="00357E09"/>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4B"/>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479E5"/>
    <w:rsid w:val="00452D6B"/>
    <w:rsid w:val="00454484"/>
    <w:rsid w:val="0045517B"/>
    <w:rsid w:val="00457210"/>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CC8"/>
    <w:rsid w:val="00492F02"/>
    <w:rsid w:val="004939AE"/>
    <w:rsid w:val="004A060E"/>
    <w:rsid w:val="004A12DF"/>
    <w:rsid w:val="004A1BA8"/>
    <w:rsid w:val="004A4B57"/>
    <w:rsid w:val="004A63FA"/>
    <w:rsid w:val="004A6836"/>
    <w:rsid w:val="004B0272"/>
    <w:rsid w:val="004B2701"/>
    <w:rsid w:val="004B2E1B"/>
    <w:rsid w:val="004B3AA8"/>
    <w:rsid w:val="004B3E93"/>
    <w:rsid w:val="004B4C7F"/>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40E5"/>
    <w:rsid w:val="004F6456"/>
    <w:rsid w:val="004F696E"/>
    <w:rsid w:val="004F6C71"/>
    <w:rsid w:val="00500C88"/>
    <w:rsid w:val="00501139"/>
    <w:rsid w:val="0050363E"/>
    <w:rsid w:val="005039BC"/>
    <w:rsid w:val="005043BB"/>
    <w:rsid w:val="00504A3D"/>
    <w:rsid w:val="00505494"/>
    <w:rsid w:val="00505767"/>
    <w:rsid w:val="005073F0"/>
    <w:rsid w:val="00510A7B"/>
    <w:rsid w:val="00512F6E"/>
    <w:rsid w:val="00513038"/>
    <w:rsid w:val="00514174"/>
    <w:rsid w:val="00516088"/>
    <w:rsid w:val="00516B0B"/>
    <w:rsid w:val="005220EC"/>
    <w:rsid w:val="00523F95"/>
    <w:rsid w:val="00524D65"/>
    <w:rsid w:val="00525B16"/>
    <w:rsid w:val="005303A0"/>
    <w:rsid w:val="00533D04"/>
    <w:rsid w:val="00534804"/>
    <w:rsid w:val="00534BDF"/>
    <w:rsid w:val="005354EA"/>
    <w:rsid w:val="0053585F"/>
    <w:rsid w:val="00535EC4"/>
    <w:rsid w:val="00535ED9"/>
    <w:rsid w:val="0053662E"/>
    <w:rsid w:val="0053692B"/>
    <w:rsid w:val="00541853"/>
    <w:rsid w:val="00543BDA"/>
    <w:rsid w:val="005441CC"/>
    <w:rsid w:val="005479DA"/>
    <w:rsid w:val="00547BCC"/>
    <w:rsid w:val="0055013B"/>
    <w:rsid w:val="00551F6F"/>
    <w:rsid w:val="00555044"/>
    <w:rsid w:val="00561475"/>
    <w:rsid w:val="0056487B"/>
    <w:rsid w:val="00564FB9"/>
    <w:rsid w:val="0057197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299"/>
    <w:rsid w:val="005B6CF6"/>
    <w:rsid w:val="005B7422"/>
    <w:rsid w:val="005C29B8"/>
    <w:rsid w:val="005C3981"/>
    <w:rsid w:val="005C5F21"/>
    <w:rsid w:val="005C7156"/>
    <w:rsid w:val="005D0C75"/>
    <w:rsid w:val="005D4171"/>
    <w:rsid w:val="005D6A95"/>
    <w:rsid w:val="005D6B2C"/>
    <w:rsid w:val="005D6D9C"/>
    <w:rsid w:val="005E2335"/>
    <w:rsid w:val="005E34CA"/>
    <w:rsid w:val="005E3C18"/>
    <w:rsid w:val="005E6812"/>
    <w:rsid w:val="005E7881"/>
    <w:rsid w:val="005E78E0"/>
    <w:rsid w:val="005F0ADE"/>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59F"/>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865"/>
    <w:rsid w:val="00691628"/>
    <w:rsid w:val="006A07AA"/>
    <w:rsid w:val="006A25E5"/>
    <w:rsid w:val="006A2B46"/>
    <w:rsid w:val="006A336D"/>
    <w:rsid w:val="006A37B9"/>
    <w:rsid w:val="006B2672"/>
    <w:rsid w:val="006B50AE"/>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65F"/>
    <w:rsid w:val="00722FBF"/>
    <w:rsid w:val="00722FC2"/>
    <w:rsid w:val="00724879"/>
    <w:rsid w:val="00724E1B"/>
    <w:rsid w:val="00725949"/>
    <w:rsid w:val="00727FA2"/>
    <w:rsid w:val="007322D9"/>
    <w:rsid w:val="00732BC0"/>
    <w:rsid w:val="00734AA5"/>
    <w:rsid w:val="0073720F"/>
    <w:rsid w:val="00737796"/>
    <w:rsid w:val="0074165C"/>
    <w:rsid w:val="00742C35"/>
    <w:rsid w:val="007432CA"/>
    <w:rsid w:val="007439EB"/>
    <w:rsid w:val="00743CB4"/>
    <w:rsid w:val="00743F0A"/>
    <w:rsid w:val="007444E8"/>
    <w:rsid w:val="0074548E"/>
    <w:rsid w:val="00745773"/>
    <w:rsid w:val="00746800"/>
    <w:rsid w:val="007501A8"/>
    <w:rsid w:val="0075095B"/>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4E9C"/>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2A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0C5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6FB"/>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97C40"/>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074"/>
    <w:rsid w:val="009C3152"/>
    <w:rsid w:val="009C4CFA"/>
    <w:rsid w:val="009C5070"/>
    <w:rsid w:val="009D112C"/>
    <w:rsid w:val="009D47FA"/>
    <w:rsid w:val="009D4C5B"/>
    <w:rsid w:val="009D50D2"/>
    <w:rsid w:val="009D652E"/>
    <w:rsid w:val="009D6BCA"/>
    <w:rsid w:val="009E0F62"/>
    <w:rsid w:val="009E4A58"/>
    <w:rsid w:val="009E5A2D"/>
    <w:rsid w:val="009E5AB2"/>
    <w:rsid w:val="009E6219"/>
    <w:rsid w:val="009F03B3"/>
    <w:rsid w:val="009F779F"/>
    <w:rsid w:val="00A0096C"/>
    <w:rsid w:val="00A01757"/>
    <w:rsid w:val="00A028C0"/>
    <w:rsid w:val="00A02BAE"/>
    <w:rsid w:val="00A06A6B"/>
    <w:rsid w:val="00A07E47"/>
    <w:rsid w:val="00A101B6"/>
    <w:rsid w:val="00A129D0"/>
    <w:rsid w:val="00A12C33"/>
    <w:rsid w:val="00A138BA"/>
    <w:rsid w:val="00A14C8E"/>
    <w:rsid w:val="00A153D9"/>
    <w:rsid w:val="00A15F09"/>
    <w:rsid w:val="00A169B6"/>
    <w:rsid w:val="00A2271D"/>
    <w:rsid w:val="00A237D5"/>
    <w:rsid w:val="00A30EFC"/>
    <w:rsid w:val="00A31984"/>
    <w:rsid w:val="00A31A5A"/>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6C91"/>
    <w:rsid w:val="00A47C03"/>
    <w:rsid w:val="00A55BD6"/>
    <w:rsid w:val="00A55D50"/>
    <w:rsid w:val="00A57142"/>
    <w:rsid w:val="00A648CD"/>
    <w:rsid w:val="00A6537A"/>
    <w:rsid w:val="00A67866"/>
    <w:rsid w:val="00A70B07"/>
    <w:rsid w:val="00A723F8"/>
    <w:rsid w:val="00A76BAC"/>
    <w:rsid w:val="00A77CCB"/>
    <w:rsid w:val="00A83D8D"/>
    <w:rsid w:val="00A8446B"/>
    <w:rsid w:val="00A8473F"/>
    <w:rsid w:val="00A862D6"/>
    <w:rsid w:val="00A8715E"/>
    <w:rsid w:val="00A9295B"/>
    <w:rsid w:val="00A93B09"/>
    <w:rsid w:val="00A952D7"/>
    <w:rsid w:val="00A963F7"/>
    <w:rsid w:val="00A96AD8"/>
    <w:rsid w:val="00A96D27"/>
    <w:rsid w:val="00AA052C"/>
    <w:rsid w:val="00AA1E45"/>
    <w:rsid w:val="00AA3593"/>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81E"/>
    <w:rsid w:val="00AD4126"/>
    <w:rsid w:val="00AD421C"/>
    <w:rsid w:val="00AD44FA"/>
    <w:rsid w:val="00AE070A"/>
    <w:rsid w:val="00AE101C"/>
    <w:rsid w:val="00AE37E5"/>
    <w:rsid w:val="00AE5EB4"/>
    <w:rsid w:val="00AF0C18"/>
    <w:rsid w:val="00AF3372"/>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01BD"/>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D89"/>
    <w:rsid w:val="00C103E5"/>
    <w:rsid w:val="00C13319"/>
    <w:rsid w:val="00C13EE9"/>
    <w:rsid w:val="00C16307"/>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565F"/>
    <w:rsid w:val="00C71372"/>
    <w:rsid w:val="00C72410"/>
    <w:rsid w:val="00C7287F"/>
    <w:rsid w:val="00C80396"/>
    <w:rsid w:val="00C80CB8"/>
    <w:rsid w:val="00C81739"/>
    <w:rsid w:val="00C819F8"/>
    <w:rsid w:val="00C8248C"/>
    <w:rsid w:val="00C84E33"/>
    <w:rsid w:val="00C86D6F"/>
    <w:rsid w:val="00C905FC"/>
    <w:rsid w:val="00C92D03"/>
    <w:rsid w:val="00C9319C"/>
    <w:rsid w:val="00C9435D"/>
    <w:rsid w:val="00C94DF2"/>
    <w:rsid w:val="00C96741"/>
    <w:rsid w:val="00CA2D1B"/>
    <w:rsid w:val="00CA375D"/>
    <w:rsid w:val="00CA5E01"/>
    <w:rsid w:val="00CA662A"/>
    <w:rsid w:val="00CA7AFD"/>
    <w:rsid w:val="00CA7C3C"/>
    <w:rsid w:val="00CB0189"/>
    <w:rsid w:val="00CB0BA2"/>
    <w:rsid w:val="00CB1A42"/>
    <w:rsid w:val="00CB1B0C"/>
    <w:rsid w:val="00CB2C0B"/>
    <w:rsid w:val="00CB517D"/>
    <w:rsid w:val="00CC0097"/>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2BAD"/>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76A6"/>
    <w:rsid w:val="00D4162B"/>
    <w:rsid w:val="00D4514F"/>
    <w:rsid w:val="00D451E2"/>
    <w:rsid w:val="00D45E89"/>
    <w:rsid w:val="00D45E8D"/>
    <w:rsid w:val="00D466AE"/>
    <w:rsid w:val="00D4734F"/>
    <w:rsid w:val="00D51BF3"/>
    <w:rsid w:val="00D66846"/>
    <w:rsid w:val="00D675FB"/>
    <w:rsid w:val="00D71F25"/>
    <w:rsid w:val="00D72A9C"/>
    <w:rsid w:val="00D73C99"/>
    <w:rsid w:val="00D77031"/>
    <w:rsid w:val="00D84941"/>
    <w:rsid w:val="00D84FA1"/>
    <w:rsid w:val="00D851F0"/>
    <w:rsid w:val="00D86DB7"/>
    <w:rsid w:val="00D926D0"/>
    <w:rsid w:val="00D93030"/>
    <w:rsid w:val="00D950E1"/>
    <w:rsid w:val="00D952A6"/>
    <w:rsid w:val="00D97F99"/>
    <w:rsid w:val="00DA195A"/>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29C6"/>
    <w:rsid w:val="00DC3067"/>
    <w:rsid w:val="00DC370B"/>
    <w:rsid w:val="00DC5B90"/>
    <w:rsid w:val="00DD00FF"/>
    <w:rsid w:val="00DD0205"/>
    <w:rsid w:val="00DD0619"/>
    <w:rsid w:val="00DD07FB"/>
    <w:rsid w:val="00DD25C6"/>
    <w:rsid w:val="00DD4FE5"/>
    <w:rsid w:val="00DD54B0"/>
    <w:rsid w:val="00DD57EE"/>
    <w:rsid w:val="00DD6BCC"/>
    <w:rsid w:val="00DE0A4B"/>
    <w:rsid w:val="00DE2410"/>
    <w:rsid w:val="00DE2939"/>
    <w:rsid w:val="00DE6E81"/>
    <w:rsid w:val="00DE703F"/>
    <w:rsid w:val="00DE7595"/>
    <w:rsid w:val="00DF06FE"/>
    <w:rsid w:val="00DF1961"/>
    <w:rsid w:val="00DF44DE"/>
    <w:rsid w:val="00E01138"/>
    <w:rsid w:val="00E02DFB"/>
    <w:rsid w:val="00E030F9"/>
    <w:rsid w:val="00E0311A"/>
    <w:rsid w:val="00E03138"/>
    <w:rsid w:val="00E06404"/>
    <w:rsid w:val="00E11A85"/>
    <w:rsid w:val="00E12495"/>
    <w:rsid w:val="00E15CCD"/>
    <w:rsid w:val="00E17F4F"/>
    <w:rsid w:val="00E202EF"/>
    <w:rsid w:val="00E210B5"/>
    <w:rsid w:val="00E23043"/>
    <w:rsid w:val="00E23D99"/>
    <w:rsid w:val="00E2552F"/>
    <w:rsid w:val="00E31229"/>
    <w:rsid w:val="00E3137A"/>
    <w:rsid w:val="00E32CCF"/>
    <w:rsid w:val="00E34A98"/>
    <w:rsid w:val="00E35D1E"/>
    <w:rsid w:val="00E364F9"/>
    <w:rsid w:val="00E365FA"/>
    <w:rsid w:val="00E36789"/>
    <w:rsid w:val="00E4041A"/>
    <w:rsid w:val="00E44A83"/>
    <w:rsid w:val="00E502C1"/>
    <w:rsid w:val="00E502DD"/>
    <w:rsid w:val="00E50D3A"/>
    <w:rsid w:val="00E51387"/>
    <w:rsid w:val="00E51880"/>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382E"/>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1C63"/>
    <w:rsid w:val="00F22C2D"/>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7340"/>
    <w:rsid w:val="00F6194E"/>
    <w:rsid w:val="00F623AC"/>
    <w:rsid w:val="00F6412A"/>
    <w:rsid w:val="00F65893"/>
    <w:rsid w:val="00F66A4A"/>
    <w:rsid w:val="00F71E22"/>
    <w:rsid w:val="00F72142"/>
    <w:rsid w:val="00F72AE7"/>
    <w:rsid w:val="00F833BA"/>
    <w:rsid w:val="00F84FD0"/>
    <w:rsid w:val="00F85323"/>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458"/>
    <w:rsid w:val="00FE3901"/>
    <w:rsid w:val="00FE39D3"/>
    <w:rsid w:val="00FE4BCE"/>
    <w:rsid w:val="00FE54AE"/>
    <w:rsid w:val="00FE576A"/>
    <w:rsid w:val="00FE7E79"/>
    <w:rsid w:val="00FF3E7D"/>
    <w:rsid w:val="00FF5B99"/>
    <w:rsid w:val="00FF730C"/>
    <w:rsid w:val="00FF73F4"/>
    <w:rsid w:val="00FF7CE4"/>
    <w:rsid w:val="00FF7E39"/>
    <w:rsid w:val="01EC0334"/>
    <w:rsid w:val="02447828"/>
    <w:rsid w:val="029A2472"/>
    <w:rsid w:val="03C1604B"/>
    <w:rsid w:val="045301F6"/>
    <w:rsid w:val="04757AF8"/>
    <w:rsid w:val="06D870D9"/>
    <w:rsid w:val="086F6040"/>
    <w:rsid w:val="093F6F9B"/>
    <w:rsid w:val="09AA6B0A"/>
    <w:rsid w:val="0A3F2D93"/>
    <w:rsid w:val="0A8F6F5D"/>
    <w:rsid w:val="0A9A6B7F"/>
    <w:rsid w:val="0AB1211B"/>
    <w:rsid w:val="0ACA0AE6"/>
    <w:rsid w:val="0B7A42BB"/>
    <w:rsid w:val="0DD26914"/>
    <w:rsid w:val="0E4A4418"/>
    <w:rsid w:val="0F156190"/>
    <w:rsid w:val="120174E4"/>
    <w:rsid w:val="13CE7899"/>
    <w:rsid w:val="15E74C42"/>
    <w:rsid w:val="15F5735F"/>
    <w:rsid w:val="17343EB7"/>
    <w:rsid w:val="173572C2"/>
    <w:rsid w:val="19C0292F"/>
    <w:rsid w:val="1BA23AE5"/>
    <w:rsid w:val="1C80194D"/>
    <w:rsid w:val="1D2D6827"/>
    <w:rsid w:val="1D70376F"/>
    <w:rsid w:val="1DB47B00"/>
    <w:rsid w:val="1DE101C9"/>
    <w:rsid w:val="1E933BB9"/>
    <w:rsid w:val="1F5844BB"/>
    <w:rsid w:val="20971013"/>
    <w:rsid w:val="20B63B8F"/>
    <w:rsid w:val="20E74328"/>
    <w:rsid w:val="21747CD2"/>
    <w:rsid w:val="22721D38"/>
    <w:rsid w:val="23362D65"/>
    <w:rsid w:val="23D507D0"/>
    <w:rsid w:val="24EC5DD1"/>
    <w:rsid w:val="25EF3DCB"/>
    <w:rsid w:val="264D0AF2"/>
    <w:rsid w:val="29A7676B"/>
    <w:rsid w:val="29F10118"/>
    <w:rsid w:val="29F1540D"/>
    <w:rsid w:val="2A1C2CB5"/>
    <w:rsid w:val="2A1E1B25"/>
    <w:rsid w:val="2A9A1E2C"/>
    <w:rsid w:val="2AB9225B"/>
    <w:rsid w:val="2CBC42DB"/>
    <w:rsid w:val="2CDF7FCA"/>
    <w:rsid w:val="2DCC55D5"/>
    <w:rsid w:val="311F12DD"/>
    <w:rsid w:val="31271ED2"/>
    <w:rsid w:val="31532D34"/>
    <w:rsid w:val="347F27BE"/>
    <w:rsid w:val="34FB796B"/>
    <w:rsid w:val="388303A3"/>
    <w:rsid w:val="395E23B5"/>
    <w:rsid w:val="3A3A0F35"/>
    <w:rsid w:val="3BE21884"/>
    <w:rsid w:val="3C5B65B1"/>
    <w:rsid w:val="3C8A7F52"/>
    <w:rsid w:val="3D145A6E"/>
    <w:rsid w:val="3D4C3459"/>
    <w:rsid w:val="3D7F55DD"/>
    <w:rsid w:val="3F141D55"/>
    <w:rsid w:val="4070745F"/>
    <w:rsid w:val="40F24318"/>
    <w:rsid w:val="422378A4"/>
    <w:rsid w:val="425A3F23"/>
    <w:rsid w:val="437E00E5"/>
    <w:rsid w:val="443A563E"/>
    <w:rsid w:val="44D426B2"/>
    <w:rsid w:val="452803B1"/>
    <w:rsid w:val="4545107A"/>
    <w:rsid w:val="46A35ADB"/>
    <w:rsid w:val="48C93F7A"/>
    <w:rsid w:val="48E72288"/>
    <w:rsid w:val="49926698"/>
    <w:rsid w:val="4A282B58"/>
    <w:rsid w:val="4B3F45FD"/>
    <w:rsid w:val="4BBE19C6"/>
    <w:rsid w:val="4C07336D"/>
    <w:rsid w:val="4C39729F"/>
    <w:rsid w:val="4D8C3B74"/>
    <w:rsid w:val="4DA92202"/>
    <w:rsid w:val="4E5C1022"/>
    <w:rsid w:val="5019541D"/>
    <w:rsid w:val="51EF5DE3"/>
    <w:rsid w:val="522D51B0"/>
    <w:rsid w:val="526A01B2"/>
    <w:rsid w:val="528B637A"/>
    <w:rsid w:val="53185E60"/>
    <w:rsid w:val="53E126F6"/>
    <w:rsid w:val="54FB1595"/>
    <w:rsid w:val="57A35F14"/>
    <w:rsid w:val="59FB5B93"/>
    <w:rsid w:val="5A442C8F"/>
    <w:rsid w:val="5A4B6B1B"/>
    <w:rsid w:val="5D8A795A"/>
    <w:rsid w:val="5EC56770"/>
    <w:rsid w:val="5F2D2C93"/>
    <w:rsid w:val="60587BC9"/>
    <w:rsid w:val="608F1D38"/>
    <w:rsid w:val="61500EBB"/>
    <w:rsid w:val="61860438"/>
    <w:rsid w:val="61C62F2B"/>
    <w:rsid w:val="61ED04B8"/>
    <w:rsid w:val="63E91153"/>
    <w:rsid w:val="6408782B"/>
    <w:rsid w:val="65B71508"/>
    <w:rsid w:val="662446C4"/>
    <w:rsid w:val="66897701"/>
    <w:rsid w:val="67000C8D"/>
    <w:rsid w:val="67064B36"/>
    <w:rsid w:val="67F75096"/>
    <w:rsid w:val="68A51AEC"/>
    <w:rsid w:val="696D1EDE"/>
    <w:rsid w:val="6A343E67"/>
    <w:rsid w:val="6B0A032C"/>
    <w:rsid w:val="6B59096C"/>
    <w:rsid w:val="6DA5433C"/>
    <w:rsid w:val="6E006115"/>
    <w:rsid w:val="6E056B89"/>
    <w:rsid w:val="6FD56659"/>
    <w:rsid w:val="6FE50A20"/>
    <w:rsid w:val="6FE84856"/>
    <w:rsid w:val="708B7819"/>
    <w:rsid w:val="723F6B0D"/>
    <w:rsid w:val="72C40DC1"/>
    <w:rsid w:val="7318735E"/>
    <w:rsid w:val="73BE1CB4"/>
    <w:rsid w:val="76740D50"/>
    <w:rsid w:val="76D956B1"/>
    <w:rsid w:val="779C055E"/>
    <w:rsid w:val="7D470F6C"/>
    <w:rsid w:val="7E232EAB"/>
    <w:rsid w:val="7ECB797B"/>
    <w:rsid w:val="7F7E679B"/>
    <w:rsid w:val="7FB146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link w:val="233"/>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next w:val="56"/>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未处理的提及1"/>
    <w:basedOn w:val="28"/>
    <w:semiHidden/>
    <w:unhideWhenUsed/>
    <w:qFormat/>
    <w:uiPriority w:val="99"/>
    <w:rPr>
      <w:color w:val="605E5C"/>
      <w:shd w:val="clear" w:color="auto" w:fill="E1DFDD"/>
    </w:rPr>
  </w:style>
  <w:style w:type="character" w:customStyle="1" w:styleId="231">
    <w:name w:val="highlight"/>
    <w:basedOn w:val="28"/>
    <w:qFormat/>
    <w:uiPriority w:val="0"/>
  </w:style>
  <w:style w:type="paragraph" w:customStyle="1" w:styleId="232">
    <w:name w:val="终结线"/>
    <w:basedOn w:val="1"/>
    <w:qFormat/>
    <w:uiPriority w:val="0"/>
  </w:style>
  <w:style w:type="character" w:customStyle="1" w:styleId="233">
    <w:name w:val="目录 1 Char"/>
    <w:link w:val="19"/>
    <w:uiPriority w:val="39"/>
    <w:rPr>
      <w:rFonts w:ascii="宋体"/>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9AF70F5CA694CCEB08362DA0B5254F7"/>
        <w:style w:val=""/>
        <w:category>
          <w:name w:val="常规"/>
          <w:gallery w:val="placeholder"/>
        </w:category>
        <w:types>
          <w:type w:val="bbPlcHdr"/>
        </w:types>
        <w:behaviors>
          <w:behavior w:val="content"/>
        </w:behaviors>
        <w:description w:val=""/>
        <w:guid w:val="{6B8AC755-89FA-4806-BAF7-35C86E9BD480}"/>
      </w:docPartPr>
      <w:docPartBody>
        <w:p w14:paraId="0944DF67">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
  <w:rsids>
    <w:rsidRoot w:val="00674C93"/>
    <w:rsid w:val="00027633"/>
    <w:rsid w:val="00045D40"/>
    <w:rsid w:val="000C46A7"/>
    <w:rsid w:val="00104B21"/>
    <w:rsid w:val="00164EA0"/>
    <w:rsid w:val="00354348"/>
    <w:rsid w:val="00613F8C"/>
    <w:rsid w:val="00622CE2"/>
    <w:rsid w:val="00674C93"/>
    <w:rsid w:val="00720197"/>
    <w:rsid w:val="007919D4"/>
    <w:rsid w:val="008835FD"/>
    <w:rsid w:val="009E2787"/>
    <w:rsid w:val="00A663F1"/>
    <w:rsid w:val="00A85299"/>
    <w:rsid w:val="00E0195E"/>
    <w:rsid w:val="00E4275A"/>
    <w:rsid w:val="00EB0570"/>
    <w:rsid w:val="00EE1073"/>
    <w:rsid w:val="00F31D1B"/>
    <w:rsid w:val="00F530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9AF70F5CA694CCEB08362DA0B5254F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7B2E644E2D04F10B79986B79DBE3A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840C6F839D648C288496C5B6EF060C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9</Pages>
  <Words>1650</Words>
  <Characters>2172</Characters>
  <Lines>27</Lines>
  <Paragraphs>7</Paragraphs>
  <TotalTime>0</TotalTime>
  <ScaleCrop>false</ScaleCrop>
  <LinksUpToDate>false</LinksUpToDate>
  <CharactersWithSpaces>2302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2023-09-06T13:38:00Z</dcterms:created>
  <dc:creator>cathy</dc:creator>
  <dc:description>&lt;config cover="true" show_menu="true" version="1.0.0" doctype="SDKXY"&gt;_x000d_
&lt;/config&gt;</dc:description>
  <cp:lastModifiedBy>雄雄</cp:lastModifiedBy>
  <cp:lastPrinted>2023-09-08T07:24:00Z</cp:lastPrinted>
  <dcterms:modified xsi:type="dcterms:W3CDTF">2025-01-03T04:52:23Z</dcterms:modified>
  <dc:title>地方标准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2052-12.1.0.19770</vt:lpwstr>
  </property>
  <property fmtid="{D5CDD505-2E9C-101B-9397-08002B2CF9AE}" pid="16" name="ICV">
    <vt:lpwstr>0503FBB5B8294B6A9F4369B19410DEAC_12</vt:lpwstr>
  </property>
  <property fmtid="{D5CDD505-2E9C-101B-9397-08002B2CF9AE}" pid="17" name="KSOTemplateDocerSaveRecord">
    <vt:lpwstr>eyJoZGlkIjoiNzE4MzEyMDc2OTJkNjllNGNlZmQ0MzZlZmQ2YTQ5YmUiLCJ1c2VySWQiOiI0NzU3NjM2OTMifQ==</vt:lpwstr>
  </property>
</Properties>
</file>