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6D36B">
      <w:pPr>
        <w:pStyle w:val="60"/>
        <w:rPr>
          <w:rFonts w:hint="default" w:ascii="Times New Roman" w:hAnsi="Times New Roman" w:eastAsia="等线" w:cs="Times New Roman"/>
          <w:color w:val="auto"/>
        </w:rPr>
      </w:pPr>
      <w:bookmarkStart w:id="218" w:name="_GoBack"/>
      <w:bookmarkEnd w:id="218"/>
      <w:r>
        <w:rPr>
          <w:rFonts w:hint="default" w:ascii="Times New Roman" w:hAnsi="Times New Roman" w:cs="Times New Roman"/>
          <w:color w:val="auto"/>
        </w:rPr>
        <w:t>ICS</w:t>
      </w:r>
      <w:r>
        <w:rPr>
          <w:rFonts w:hint="default" w:ascii="Times New Roman" w:hAnsi="Times New Roman" w:eastAsia="MS Mincho" w:cs="Times New Roman"/>
          <w:color w:val="auto"/>
        </w:rPr>
        <w:t> </w:t>
      </w:r>
      <w:r>
        <w:rPr>
          <w:rFonts w:hint="default" w:ascii="Times New Roman" w:hAnsi="Times New Roman" w:eastAsia="等线" w:cs="Times New Roman"/>
          <w:color w:val="auto"/>
        </w:rPr>
        <w:t xml:space="preserve"> </w:t>
      </w:r>
      <w:r>
        <w:rPr>
          <w:rFonts w:hint="default" w:ascii="Times New Roman" w:hAnsi="Times New Roman" w:cs="Times New Roman"/>
          <w:color w:val="auto"/>
        </w:rPr>
        <w:t>67.040</w:t>
      </w:r>
    </w:p>
    <w:p w14:paraId="7554605D">
      <w:pPr>
        <w:pStyle w:val="60"/>
        <w:rPr>
          <w:rFonts w:hint="default" w:ascii="Times New Roman" w:hAnsi="Times New Roman" w:cs="Times New Roman"/>
          <w:color w:val="auto"/>
        </w:rPr>
      </w:pPr>
      <w:r>
        <w:rPr>
          <w:rFonts w:hint="default" w:ascii="Times New Roman" w:hAnsi="Times New Roman" w:cs="Times New Roman"/>
          <w:color w:val="auto"/>
        </w:rPr>
        <w:t>CCS X 01</w:t>
      </w:r>
    </w:p>
    <w:tbl>
      <w:tblPr>
        <w:tblStyle w:val="32"/>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14:paraId="18BDAA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noWrap w:val="0"/>
            <w:vAlign w:val="top"/>
          </w:tcPr>
          <w:p w14:paraId="7B6259E5">
            <w:pPr>
              <w:rPr>
                <w:rFonts w:hint="default" w:ascii="Times New Roman" w:hAnsi="Times New Roman" w:cs="Times New Roman"/>
                <w:color w:val="auto"/>
              </w:rPr>
            </w:pPr>
          </w:p>
        </w:tc>
      </w:tr>
    </w:tbl>
    <w:p w14:paraId="0E45BE9C">
      <w:pPr>
        <w:pStyle w:val="139"/>
        <w:framePr w:x="4649" w:y="909"/>
        <w:spacing w:line="240" w:lineRule="auto"/>
        <w:rPr>
          <w:rFonts w:hint="default" w:ascii="Times New Roman" w:hAnsi="Times New Roman" w:cs="Times New Roman"/>
          <w:color w:val="auto"/>
        </w:rPr>
      </w:pPr>
      <w:r>
        <w:rPr>
          <w:rFonts w:hint="default" w:ascii="Times New Roman" w:hAnsi="Times New Roman" w:cs="Times New Roman"/>
          <w:color w:val="auto"/>
        </w:rPr>
        <w:t>DB34</w:t>
      </w:r>
    </w:p>
    <w:p w14:paraId="43AC3A8F">
      <w:pPr>
        <w:pStyle w:val="84"/>
        <w:spacing w:line="240" w:lineRule="auto"/>
        <w:rPr>
          <w:rFonts w:hint="default" w:ascii="Times New Roman" w:hAnsi="Times New Roman" w:cs="Times New Roman"/>
          <w:color w:val="auto"/>
        </w:rPr>
      </w:pPr>
      <w:r>
        <w:rPr>
          <w:rFonts w:hint="default" w:ascii="Times New Roman" w:hAnsi="Times New Roman" w:cs="Times New Roman"/>
          <w:color w:val="auto"/>
        </w:rPr>
        <w:t>安徽省地方标准</w:t>
      </w:r>
    </w:p>
    <w:p w14:paraId="0C705552">
      <w:pPr>
        <w:pStyle w:val="95"/>
        <w:spacing w:line="240" w:lineRule="auto"/>
        <w:rPr>
          <w:rFonts w:hint="default" w:ascii="Times New Roman" w:hAnsi="Times New Roman" w:cs="Times New Roman"/>
          <w:color w:val="auto"/>
        </w:rPr>
      </w:pPr>
      <w:r>
        <w:rPr>
          <w:rFonts w:hint="default" w:ascii="Times New Roman" w:hAnsi="Times New Roman" w:cs="Times New Roman"/>
          <w:color w:val="auto"/>
        </w:rPr>
        <w:t>DB 34/T XXXX—XXXX</w:t>
      </w:r>
    </w:p>
    <w:tbl>
      <w:tblPr>
        <w:tblStyle w:val="32"/>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5726C8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14:paraId="60F9B36B">
            <w:pPr>
              <w:rPr>
                <w:rFonts w:hint="default" w:ascii="Times New Roman" w:hAnsi="Times New Roman" w:cs="Times New Roman"/>
                <w:color w:val="auto"/>
              </w:rPr>
            </w:pPr>
          </w:p>
        </w:tc>
      </w:tr>
    </w:tbl>
    <w:p w14:paraId="1BE168C7">
      <w:pPr>
        <w:pStyle w:val="95"/>
        <w:spacing w:line="240" w:lineRule="auto"/>
        <w:rPr>
          <w:rFonts w:hint="default" w:ascii="Times New Roman" w:hAnsi="Times New Roman" w:cs="Times New Roman"/>
          <w:color w:val="auto"/>
        </w:rPr>
      </w:pPr>
    </w:p>
    <w:p w14:paraId="31C99A84">
      <w:pPr>
        <w:pStyle w:val="95"/>
        <w:spacing w:line="240" w:lineRule="auto"/>
        <w:rPr>
          <w:rFonts w:hint="default" w:ascii="Times New Roman" w:hAnsi="Times New Roman" w:cs="Times New Roman"/>
          <w:color w:val="auto"/>
        </w:rPr>
      </w:pPr>
    </w:p>
    <w:p w14:paraId="3FF44962">
      <w:pPr>
        <w:pStyle w:val="59"/>
        <w:framePr w:wrap="around"/>
        <w:spacing w:line="240" w:lineRule="auto"/>
        <w:outlineLvl w:val="9"/>
        <w:rPr>
          <w:rFonts w:hint="default" w:ascii="Times New Roman" w:hAnsi="Times New Roman" w:cs="Times New Roman"/>
          <w:color w:val="auto"/>
        </w:rPr>
      </w:pPr>
      <w:bookmarkStart w:id="0" w:name="_Toc28070"/>
      <w:bookmarkStart w:id="1" w:name="_Toc28825"/>
      <w:bookmarkStart w:id="2" w:name="_Toc162708745"/>
      <w:r>
        <w:rPr>
          <w:rFonts w:hint="default" w:ascii="Times New Roman" w:hAnsi="Times New Roman" w:cs="Times New Roman"/>
          <w:color w:val="auto"/>
        </w:rPr>
        <w:t>中小学校团体供餐单位食品</w:t>
      </w:r>
      <w:bookmarkEnd w:id="0"/>
      <w:bookmarkEnd w:id="1"/>
      <w:bookmarkEnd w:id="2"/>
    </w:p>
    <w:p w14:paraId="0E3506A2">
      <w:pPr>
        <w:pStyle w:val="59"/>
        <w:framePr w:wrap="around"/>
        <w:spacing w:line="240" w:lineRule="auto"/>
        <w:outlineLvl w:val="9"/>
        <w:rPr>
          <w:rFonts w:hint="default" w:ascii="Times New Roman" w:hAnsi="Times New Roman" w:cs="Times New Roman"/>
          <w:color w:val="auto"/>
        </w:rPr>
      </w:pPr>
      <w:bookmarkStart w:id="3" w:name="_Toc16398"/>
      <w:bookmarkStart w:id="4" w:name="_Toc162708746"/>
      <w:bookmarkStart w:id="5" w:name="_Toc6489"/>
      <w:r>
        <w:rPr>
          <w:rFonts w:hint="default" w:ascii="Times New Roman" w:hAnsi="Times New Roman" w:cs="Times New Roman"/>
          <w:color w:val="auto"/>
        </w:rPr>
        <w:t>安全管理规范</w:t>
      </w:r>
      <w:bookmarkEnd w:id="3"/>
      <w:bookmarkEnd w:id="4"/>
      <w:bookmarkEnd w:id="5"/>
    </w:p>
    <w:p w14:paraId="4ED0BF6D">
      <w:pPr>
        <w:pStyle w:val="58"/>
        <w:spacing w:line="240" w:lineRule="auto"/>
        <w:rPr>
          <w:rFonts w:hint="default" w:ascii="Times New Roman" w:hAnsi="Times New Roman" w:cs="Times New Roman"/>
          <w:color w:val="auto"/>
        </w:rPr>
      </w:pPr>
    </w:p>
    <w:tbl>
      <w:tblPr>
        <w:tblStyle w:val="32"/>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6D8884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280FBB0A">
            <w:pPr>
              <w:rPr>
                <w:rFonts w:hint="default" w:ascii="Times New Roman" w:hAnsi="Times New Roman" w:cs="Times New Roman"/>
                <w:color w:val="auto"/>
              </w:rPr>
            </w:pPr>
          </w:p>
        </w:tc>
      </w:tr>
      <w:tr w14:paraId="4DAE89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0296208E">
            <w:pPr>
              <w:pStyle w:val="66"/>
              <w:spacing w:line="240" w:lineRule="auto"/>
              <w:rPr>
                <w:rFonts w:hint="default" w:ascii="Times New Roman" w:hAnsi="Times New Roman" w:cs="Times New Roman"/>
                <w:color w:val="auto"/>
              </w:rPr>
            </w:pPr>
          </w:p>
          <w:p w14:paraId="7E7F25A3">
            <w:pPr>
              <w:pStyle w:val="66"/>
              <w:spacing w:line="240" w:lineRule="auto"/>
              <w:rPr>
                <w:rFonts w:hint="default" w:ascii="Times New Roman" w:hAnsi="Times New Roman" w:cs="Times New Roman"/>
                <w:color w:val="auto"/>
              </w:rPr>
            </w:pPr>
          </w:p>
          <w:p w14:paraId="6E6EC0A5">
            <w:pPr>
              <w:pStyle w:val="66"/>
              <w:spacing w:line="240" w:lineRule="auto"/>
              <w:rPr>
                <w:rFonts w:hint="default" w:ascii="Times New Roman" w:hAnsi="Times New Roman" w:cs="Times New Roman"/>
                <w:color w:val="auto"/>
              </w:rPr>
            </w:pPr>
          </w:p>
          <w:p w14:paraId="44D61910">
            <w:pPr>
              <w:pStyle w:val="66"/>
              <w:spacing w:line="240" w:lineRule="auto"/>
              <w:rPr>
                <w:rFonts w:hint="default" w:ascii="Times New Roman" w:hAnsi="Times New Roman" w:cs="Times New Roman"/>
                <w:color w:val="auto"/>
              </w:rPr>
            </w:pPr>
          </w:p>
          <w:p w14:paraId="60E083CF">
            <w:pPr>
              <w:pStyle w:val="66"/>
              <w:spacing w:line="240" w:lineRule="auto"/>
              <w:rPr>
                <w:rFonts w:hint="default" w:ascii="Times New Roman" w:hAnsi="Times New Roman" w:cs="Times New Roman"/>
                <w:color w:val="auto"/>
              </w:rPr>
            </w:pPr>
          </w:p>
          <w:p w14:paraId="266EDA06">
            <w:pPr>
              <w:pStyle w:val="66"/>
              <w:spacing w:line="240" w:lineRule="auto"/>
              <w:rPr>
                <w:rFonts w:hint="default" w:ascii="Times New Roman" w:hAnsi="Times New Roman" w:cs="Times New Roman"/>
                <w:color w:val="auto"/>
                <w:sz w:val="28"/>
              </w:rPr>
            </w:pPr>
            <w:r>
              <w:rPr>
                <w:rFonts w:hint="default" w:ascii="Times New Roman" w:hAnsi="Times New Roman" w:cs="Times New Roman"/>
                <w:color w:val="auto"/>
                <w:sz w:val="28"/>
              </w:rPr>
              <w:t>(征求意见稿)</w:t>
            </w:r>
          </w:p>
        </w:tc>
      </w:tr>
    </w:tbl>
    <w:p w14:paraId="3C6E9EB8">
      <w:pPr>
        <w:pStyle w:val="50"/>
        <w:framePr w:vAnchor="page" w:hAnchor="page" w:x="1336" w:y="14072"/>
        <w:rPr>
          <w:rFonts w:hint="default" w:ascii="Times New Roman" w:hAnsi="Times New Roman" w:cs="Times New Roman"/>
          <w:color w:val="auto"/>
        </w:rPr>
      </w:pPr>
      <w:r>
        <w:rPr>
          <w:rFonts w:hint="default" w:ascii="Times New Roman" w:hAnsi="Times New Roman" w:cs="Times New Roman"/>
          <w:color w:val="auto"/>
        </w:rPr>
        <w:t>XXXX - XX - XX发布</w:t>
      </w:r>
      <w:r>
        <w:rPr>
          <w:rFonts w:hint="default" w:ascii="Times New Roman" w:hAnsi="Times New Roman" w:cs="Times New Roman"/>
          <w:color w:val="auto"/>
        </w:rP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1" name="直线 10"/>
                <wp:cNvGraphicFramePr/>
                <a:graphic xmlns:a="http://schemas.openxmlformats.org/drawingml/2006/main">
                  <a:graphicData uri="http://schemas.microsoft.com/office/word/2010/wordprocessingShape">
                    <wps:wsp>
                      <wps:cNvSp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JYdrPNYAAAAL&#10;AQAADwAAAAAAAAABACAAAAAiAAAAZHJzL2Rvd25yZXYueG1sUEsBAhQAFAAAAAgAh07iQAf/n23l&#10;AQAA3AMAAA4AAAAAAAAAAQAgAAAAJQEAAGRycy9lMm9Eb2MueG1sUEsFBgAAAAAGAAYAWQEAAHwF&#10;AAAAAA==&#10;">
                <v:fill on="f" focussize="0,0"/>
                <v:stroke color="#000000" joinstyle="round"/>
                <v:imagedata o:title=""/>
                <o:lock v:ext="edit" aspectratio="f"/>
                <w10:anchorlock/>
              </v:line>
            </w:pict>
          </mc:Fallback>
        </mc:AlternateContent>
      </w:r>
    </w:p>
    <w:p w14:paraId="5F166732">
      <w:pPr>
        <w:pStyle w:val="89"/>
        <w:framePr w:vAnchor="page" w:hAnchor="page" w:x="6977" w:y="14072"/>
        <w:rPr>
          <w:rFonts w:hint="default" w:ascii="Times New Roman" w:hAnsi="Times New Roman" w:cs="Times New Roman"/>
          <w:color w:val="auto"/>
        </w:rPr>
      </w:pPr>
      <w:r>
        <w:rPr>
          <w:rFonts w:hint="default" w:ascii="Times New Roman" w:hAnsi="Times New Roman" w:cs="Times New Roman"/>
          <w:color w:val="auto"/>
        </w:rPr>
        <w:t>XXXX - XX - XX实施</w:t>
      </w:r>
    </w:p>
    <w:p w14:paraId="130852E6">
      <w:pPr>
        <w:pStyle w:val="78"/>
        <w:spacing w:line="240" w:lineRule="auto"/>
        <w:rPr>
          <w:rFonts w:hint="default" w:ascii="Times New Roman" w:hAnsi="Times New Roman" w:cs="Times New Roman"/>
          <w:color w:val="auto"/>
        </w:rPr>
      </w:pPr>
      <w:r>
        <w:rPr>
          <w:rFonts w:hint="default" w:ascii="Times New Roman" w:hAnsi="Times New Roman" w:cs="Times New Roman"/>
          <w:color w:val="auto"/>
          <w:w w:val="100"/>
        </w:rPr>
        <w:t>安徽省市场监督管理局</w:t>
      </w:r>
      <w:r>
        <w:rPr>
          <w:rFonts w:hint="default" w:ascii="Times New Roman" w:hAnsi="Times New Roman" w:eastAsia="MS Mincho" w:cs="Times New Roman"/>
          <w:color w:val="auto"/>
        </w:rPr>
        <w:t>   </w:t>
      </w:r>
      <w:r>
        <w:rPr>
          <w:rStyle w:val="49"/>
          <w:rFonts w:hint="default" w:ascii="Times New Roman" w:hAnsi="Times New Roman" w:cs="Times New Roman"/>
          <w:color w:val="auto"/>
        </w:rPr>
        <w:t>发布</w:t>
      </w:r>
    </w:p>
    <w:p w14:paraId="383CFE43">
      <w:pPr>
        <w:pStyle w:val="24"/>
        <w:rPr>
          <w:rFonts w:hint="default" w:ascii="Times New Roman" w:hAnsi="Times New Roman" w:cs="Times New Roman"/>
          <w:color w:val="auto"/>
        </w:rPr>
        <w:sectPr>
          <w:pgSz w:w="11906" w:h="16838"/>
          <w:pgMar w:top="567" w:right="850" w:bottom="1134" w:left="1418" w:header="0" w:footer="0" w:gutter="0"/>
          <w:pgNumType w:start="1"/>
          <w:cols w:space="720" w:num="1"/>
          <w:docGrid w:type="lines" w:linePitch="312" w:charSpace="0"/>
        </w:sectPr>
      </w:pPr>
      <w:r>
        <w:rPr>
          <w:rFonts w:hint="default" w:ascii="Times New Roman" w:hAnsi="Times New Roman" w:cs="Times New Roman"/>
          <w:color w:val="auto"/>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0" t="4445" r="0" b="5080"/>
                <wp:wrapNone/>
                <wp:docPr id="2" name="直线 11"/>
                <wp:cNvGraphicFramePr/>
                <a:graphic xmlns:a="http://schemas.openxmlformats.org/drawingml/2006/main">
                  <a:graphicData uri="http://schemas.microsoft.com/office/word/2010/wordprocessingShape">
                    <wps:wsp>
                      <wps:cNvSp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CQeJf1wAA&#10;AAkBAAAPAAAAAAAAAAEAIAAAACIAAABkcnMvZG93bnJldi54bWxQSwECFAAUAAAACACHTuJAMUX7&#10;+eYBAADcAwAADgAAAAAAAAABACAAAAAmAQAAZHJzL2Uyb0RvYy54bWxQSwUGAAAAAAYABgBZAQAA&#10;fgUAAAAA&#10;">
                <v:fill on="f" focussize="0,0"/>
                <v:stroke color="#000000" joinstyle="round"/>
                <v:imagedata o:title=""/>
                <o:lock v:ext="edit" aspectratio="f"/>
              </v:line>
            </w:pict>
          </mc:Fallback>
        </mc:AlternateContent>
      </w:r>
    </w:p>
    <w:p w14:paraId="500F3815">
      <w:pPr>
        <w:pStyle w:val="151"/>
        <w:spacing w:before="640" w:after="560" w:line="240" w:lineRule="auto"/>
        <w:jc w:val="center"/>
        <w:outlineLvl w:val="0"/>
        <w:rPr>
          <w:rFonts w:hint="default"/>
          <w:color w:val="auto"/>
        </w:rPr>
      </w:pPr>
      <w:bookmarkStart w:id="6" w:name="_Toc7328"/>
      <w:bookmarkStart w:id="7" w:name="StandardName"/>
      <w:r>
        <w:rPr>
          <w:rFonts w:hint="default" w:ascii="Times New Roman" w:hAnsi="Times New Roman" w:eastAsia="黑体" w:cs="Times New Roman"/>
          <w:b/>
          <w:bCs/>
          <w:color w:val="auto"/>
          <w:lang w:val="zh-CN"/>
        </w:rPr>
        <w:t>目录</w:t>
      </w:r>
      <w:bookmarkEnd w:id="6"/>
    </w:p>
    <w:p w14:paraId="3216A52D">
      <w:pPr>
        <w:pStyle w:val="20"/>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TOC \o "1-3" \h \z \u </w:instrText>
      </w:r>
      <w:r>
        <w:rPr>
          <w:rFonts w:hint="default" w:ascii="Times New Roman" w:hAnsi="Times New Roman" w:cs="Times New Roman"/>
          <w:color w:val="auto"/>
        </w:rPr>
        <w:fldChar w:fldCharType="separate"/>
      </w: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_Toc17064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szCs w:val="22"/>
        </w:rPr>
        <w:t>前   言</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_Toc17064 \h </w:instrText>
      </w:r>
      <w:r>
        <w:rPr>
          <w:rFonts w:hint="default" w:ascii="Times New Roman" w:hAnsi="Times New Roman" w:cs="Times New Roman"/>
          <w:color w:val="auto"/>
        </w:rPr>
        <w:fldChar w:fldCharType="separate"/>
      </w:r>
      <w:r>
        <w:rPr>
          <w:rFonts w:hint="default" w:ascii="Times New Roman" w:hAnsi="Times New Roman" w:cs="Times New Roman"/>
          <w:color w:val="auto"/>
        </w:rPr>
        <w:t>I</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2811D805">
      <w:pPr>
        <w:pStyle w:val="20"/>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_Toc31619 </w:instrText>
      </w:r>
      <w:r>
        <w:rPr>
          <w:rFonts w:hint="default" w:ascii="Times New Roman" w:hAnsi="Times New Roman" w:cs="Times New Roman"/>
          <w:bCs/>
          <w:color w:val="auto"/>
          <w:lang w:val="zh-CN"/>
        </w:rPr>
        <w:fldChar w:fldCharType="separate"/>
      </w:r>
      <w:r>
        <w:rPr>
          <w:rFonts w:hint="default" w:ascii="Times New Roman" w:hAnsi="Times New Roman" w:eastAsia="黑体" w:cs="Times New Roman"/>
          <w:bCs/>
          <w:i w:val="0"/>
          <w:color w:val="auto"/>
          <w:szCs w:val="21"/>
        </w:rPr>
        <w:t xml:space="preserve">1 </w:t>
      </w:r>
      <w:r>
        <w:rPr>
          <w:rFonts w:hint="default" w:ascii="Times New Roman" w:hAnsi="Times New Roman" w:cs="Times New Roman"/>
          <w:color w:val="auto"/>
        </w:rPr>
        <w:t>范围</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_Toc31619 \h </w:instrText>
      </w:r>
      <w:r>
        <w:rPr>
          <w:rFonts w:hint="default" w:ascii="Times New Roman" w:hAnsi="Times New Roman" w:cs="Times New Roman"/>
          <w:color w:val="auto"/>
        </w:rPr>
        <w:fldChar w:fldCharType="separate"/>
      </w:r>
      <w:r>
        <w:rPr>
          <w:rFonts w:hint="default" w:ascii="Times New Roman" w:hAnsi="Times New Roman" w:cs="Times New Roman"/>
          <w:color w:val="auto"/>
        </w:rPr>
        <w:t>1</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70E2CBE9">
      <w:pPr>
        <w:pStyle w:val="20"/>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_Toc16904 </w:instrText>
      </w:r>
      <w:r>
        <w:rPr>
          <w:rFonts w:hint="default" w:ascii="Times New Roman" w:hAnsi="Times New Roman" w:cs="Times New Roman"/>
          <w:bCs/>
          <w:color w:val="auto"/>
          <w:lang w:val="zh-CN"/>
        </w:rPr>
        <w:fldChar w:fldCharType="separate"/>
      </w:r>
      <w:r>
        <w:rPr>
          <w:rFonts w:hint="default" w:ascii="Times New Roman" w:hAnsi="Times New Roman" w:eastAsia="黑体" w:cs="Times New Roman"/>
          <w:bCs/>
          <w:i w:val="0"/>
          <w:color w:val="auto"/>
          <w:szCs w:val="21"/>
        </w:rPr>
        <w:t xml:space="preserve">2 </w:t>
      </w:r>
      <w:r>
        <w:rPr>
          <w:rFonts w:hint="default" w:ascii="Times New Roman" w:hAnsi="Times New Roman" w:cs="Times New Roman"/>
          <w:color w:val="auto"/>
        </w:rPr>
        <w:t>规范性引用文件</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_Toc16904 \h </w:instrText>
      </w:r>
      <w:r>
        <w:rPr>
          <w:rFonts w:hint="default" w:ascii="Times New Roman" w:hAnsi="Times New Roman" w:cs="Times New Roman"/>
          <w:color w:val="auto"/>
        </w:rPr>
        <w:fldChar w:fldCharType="separate"/>
      </w:r>
      <w:r>
        <w:rPr>
          <w:rFonts w:hint="default" w:ascii="Times New Roman" w:hAnsi="Times New Roman" w:cs="Times New Roman"/>
          <w:color w:val="auto"/>
        </w:rPr>
        <w:t>1</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6325E5BA">
      <w:pPr>
        <w:pStyle w:val="20"/>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_Toc1388 </w:instrText>
      </w:r>
      <w:r>
        <w:rPr>
          <w:rFonts w:hint="default" w:ascii="Times New Roman" w:hAnsi="Times New Roman" w:cs="Times New Roman"/>
          <w:bCs/>
          <w:color w:val="auto"/>
          <w:lang w:val="zh-CN"/>
        </w:rPr>
        <w:fldChar w:fldCharType="separate"/>
      </w:r>
      <w:r>
        <w:rPr>
          <w:rFonts w:hint="default" w:ascii="Times New Roman" w:hAnsi="Times New Roman" w:eastAsia="黑体" w:cs="Times New Roman"/>
          <w:bCs/>
          <w:i w:val="0"/>
          <w:color w:val="auto"/>
          <w:szCs w:val="21"/>
        </w:rPr>
        <w:t xml:space="preserve">3 </w:t>
      </w:r>
      <w:r>
        <w:rPr>
          <w:rFonts w:hint="default" w:ascii="Times New Roman" w:hAnsi="Times New Roman" w:cs="Times New Roman"/>
          <w:color w:val="auto"/>
        </w:rPr>
        <w:t>术语和定义</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_Toc1388 \h </w:instrText>
      </w:r>
      <w:r>
        <w:rPr>
          <w:rFonts w:hint="default" w:ascii="Times New Roman" w:hAnsi="Times New Roman" w:cs="Times New Roman"/>
          <w:color w:val="auto"/>
        </w:rPr>
        <w:fldChar w:fldCharType="separate"/>
      </w:r>
      <w:r>
        <w:rPr>
          <w:rFonts w:hint="default" w:ascii="Times New Roman" w:hAnsi="Times New Roman" w:cs="Times New Roman"/>
          <w:color w:val="auto"/>
        </w:rPr>
        <w:t>1</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0DB2CB28">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_Toc30682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3.1</w:t>
      </w:r>
      <w:r>
        <w:rPr>
          <w:rFonts w:hint="default" w:ascii="Times New Roman" w:hAnsi="Times New Roman" w:cs="Times New Roman"/>
          <w:bCs/>
          <w:color w:val="auto"/>
        </w:rPr>
        <w:t>学校团体供餐</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_Toc30682 \h </w:instrText>
      </w:r>
      <w:r>
        <w:rPr>
          <w:rFonts w:hint="default" w:ascii="Times New Roman" w:hAnsi="Times New Roman" w:cs="Times New Roman"/>
          <w:color w:val="auto"/>
        </w:rPr>
        <w:fldChar w:fldCharType="separate"/>
      </w:r>
      <w:r>
        <w:rPr>
          <w:rFonts w:hint="default" w:ascii="Times New Roman" w:hAnsi="Times New Roman" w:cs="Times New Roman"/>
          <w:color w:val="auto"/>
        </w:rPr>
        <w:t>1</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1E447372">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_Toc9837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3.2</w:t>
      </w:r>
      <w:r>
        <w:rPr>
          <w:rFonts w:hint="default" w:ascii="Times New Roman" w:hAnsi="Times New Roman" w:cs="Times New Roman"/>
          <w:bCs/>
          <w:color w:val="auto"/>
        </w:rPr>
        <w:t>供餐单位</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_Toc9837 \h </w:instrText>
      </w:r>
      <w:r>
        <w:rPr>
          <w:rFonts w:hint="default" w:ascii="Times New Roman" w:hAnsi="Times New Roman" w:cs="Times New Roman"/>
          <w:color w:val="auto"/>
        </w:rPr>
        <w:fldChar w:fldCharType="separate"/>
      </w:r>
      <w:r>
        <w:rPr>
          <w:rFonts w:hint="default" w:ascii="Times New Roman" w:hAnsi="Times New Roman" w:cs="Times New Roman"/>
          <w:color w:val="auto"/>
        </w:rPr>
        <w:t>1</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2CA45D69">
      <w:pPr>
        <w:pStyle w:val="20"/>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_Toc5641 </w:instrText>
      </w:r>
      <w:r>
        <w:rPr>
          <w:rFonts w:hint="default" w:ascii="Times New Roman" w:hAnsi="Times New Roman" w:cs="Times New Roman"/>
          <w:bCs/>
          <w:color w:val="auto"/>
          <w:lang w:val="zh-CN"/>
        </w:rPr>
        <w:fldChar w:fldCharType="separate"/>
      </w:r>
      <w:r>
        <w:rPr>
          <w:rFonts w:hint="default" w:ascii="Times New Roman" w:hAnsi="Times New Roman" w:eastAsia="黑体" w:cs="Times New Roman"/>
          <w:bCs/>
          <w:i w:val="0"/>
          <w:color w:val="auto"/>
          <w:szCs w:val="21"/>
        </w:rPr>
        <w:t xml:space="preserve">4 </w:t>
      </w:r>
      <w:r>
        <w:rPr>
          <w:rFonts w:hint="default" w:ascii="Times New Roman" w:hAnsi="Times New Roman" w:cs="Times New Roman"/>
          <w:color w:val="auto"/>
        </w:rPr>
        <w:t>总则</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_Toc5641 \h </w:instrText>
      </w:r>
      <w:r>
        <w:rPr>
          <w:rFonts w:hint="default" w:ascii="Times New Roman" w:hAnsi="Times New Roman" w:cs="Times New Roman"/>
          <w:color w:val="auto"/>
        </w:rPr>
        <w:fldChar w:fldCharType="separate"/>
      </w:r>
      <w:r>
        <w:rPr>
          <w:rFonts w:hint="default" w:ascii="Times New Roman" w:hAnsi="Times New Roman" w:cs="Times New Roman"/>
          <w:color w:val="auto"/>
        </w:rPr>
        <w:t>1</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60547F49">
      <w:pPr>
        <w:pStyle w:val="20"/>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_Toc28264 </w:instrText>
      </w:r>
      <w:r>
        <w:rPr>
          <w:rFonts w:hint="default" w:ascii="Times New Roman" w:hAnsi="Times New Roman" w:cs="Times New Roman"/>
          <w:bCs/>
          <w:color w:val="auto"/>
          <w:lang w:val="zh-CN"/>
        </w:rPr>
        <w:fldChar w:fldCharType="separate"/>
      </w:r>
      <w:r>
        <w:rPr>
          <w:rFonts w:hint="default" w:ascii="Times New Roman" w:hAnsi="Times New Roman" w:eastAsia="黑体" w:cs="Times New Roman"/>
          <w:bCs/>
          <w:i w:val="0"/>
          <w:color w:val="auto"/>
          <w:szCs w:val="21"/>
        </w:rPr>
        <w:t xml:space="preserve">5 </w:t>
      </w:r>
      <w:r>
        <w:rPr>
          <w:rFonts w:hint="default" w:ascii="Times New Roman" w:hAnsi="Times New Roman" w:cs="Times New Roman"/>
          <w:color w:val="auto"/>
        </w:rPr>
        <w:t>通用要求</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_Toc28264 \h </w:instrText>
      </w:r>
      <w:r>
        <w:rPr>
          <w:rFonts w:hint="default" w:ascii="Times New Roman" w:hAnsi="Times New Roman" w:cs="Times New Roman"/>
          <w:color w:val="auto"/>
        </w:rPr>
        <w:fldChar w:fldCharType="separate"/>
      </w:r>
      <w:r>
        <w:rPr>
          <w:rFonts w:hint="default" w:ascii="Times New Roman" w:hAnsi="Times New Roman" w:cs="Times New Roman"/>
          <w:color w:val="auto"/>
        </w:rPr>
        <w:t>1</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11978245">
      <w:pPr>
        <w:pStyle w:val="20"/>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_Toc25638 </w:instrText>
      </w:r>
      <w:r>
        <w:rPr>
          <w:rFonts w:hint="default" w:ascii="Times New Roman" w:hAnsi="Times New Roman" w:cs="Times New Roman"/>
          <w:bCs/>
          <w:color w:val="auto"/>
          <w:lang w:val="zh-CN"/>
        </w:rPr>
        <w:fldChar w:fldCharType="separate"/>
      </w:r>
      <w:r>
        <w:rPr>
          <w:rFonts w:hint="default" w:ascii="Times New Roman" w:hAnsi="Times New Roman" w:eastAsia="黑体" w:cs="Times New Roman"/>
          <w:bCs/>
          <w:i w:val="0"/>
          <w:color w:val="auto"/>
          <w:szCs w:val="21"/>
        </w:rPr>
        <w:t xml:space="preserve">6 </w:t>
      </w:r>
      <w:r>
        <w:rPr>
          <w:rFonts w:hint="default" w:ascii="Times New Roman" w:hAnsi="Times New Roman" w:cs="Times New Roman"/>
          <w:bCs/>
          <w:color w:val="auto"/>
        </w:rPr>
        <w:t>建设管理</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_Toc25638 \h </w:instrText>
      </w:r>
      <w:r>
        <w:rPr>
          <w:rFonts w:hint="default" w:ascii="Times New Roman" w:hAnsi="Times New Roman" w:cs="Times New Roman"/>
          <w:color w:val="auto"/>
        </w:rPr>
        <w:fldChar w:fldCharType="separate"/>
      </w:r>
      <w:r>
        <w:rPr>
          <w:rFonts w:hint="default" w:ascii="Times New Roman" w:hAnsi="Times New Roman" w:cs="Times New Roman"/>
          <w:color w:val="auto"/>
        </w:rPr>
        <w:t>2</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6761804D">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_Toc26896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szCs w:val="21"/>
        </w:rPr>
        <w:t>6.1从业人员管理</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_Toc26896 \h </w:instrText>
      </w:r>
      <w:r>
        <w:rPr>
          <w:rFonts w:hint="default" w:ascii="Times New Roman" w:hAnsi="Times New Roman" w:cs="Times New Roman"/>
          <w:color w:val="auto"/>
        </w:rPr>
        <w:fldChar w:fldCharType="separate"/>
      </w:r>
      <w:r>
        <w:rPr>
          <w:rFonts w:hint="default" w:ascii="Times New Roman" w:hAnsi="Times New Roman" w:cs="Times New Roman"/>
          <w:color w:val="auto"/>
        </w:rPr>
        <w:t>2</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58D078D3">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_Toc16338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6.1.1配备要求</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_Toc16338 \h </w:instrText>
      </w:r>
      <w:r>
        <w:rPr>
          <w:rFonts w:hint="default" w:ascii="Times New Roman" w:hAnsi="Times New Roman" w:cs="Times New Roman"/>
          <w:color w:val="auto"/>
        </w:rPr>
        <w:fldChar w:fldCharType="separate"/>
      </w:r>
      <w:r>
        <w:rPr>
          <w:rFonts w:hint="default" w:ascii="Times New Roman" w:hAnsi="Times New Roman" w:cs="Times New Roman"/>
          <w:color w:val="auto"/>
        </w:rPr>
        <w:t>2</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79996636">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_Toc826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6.1.2 培训管理</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_Toc826 \h </w:instrText>
      </w:r>
      <w:r>
        <w:rPr>
          <w:rFonts w:hint="default" w:ascii="Times New Roman" w:hAnsi="Times New Roman" w:cs="Times New Roman"/>
          <w:color w:val="auto"/>
        </w:rPr>
        <w:fldChar w:fldCharType="separate"/>
      </w:r>
      <w:r>
        <w:rPr>
          <w:rFonts w:hint="default" w:ascii="Times New Roman" w:hAnsi="Times New Roman" w:cs="Times New Roman"/>
          <w:color w:val="auto"/>
        </w:rPr>
        <w:t>2</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4EFB8A67">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_Toc14694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6.1.3 上岗要求</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_Toc14694 \h </w:instrText>
      </w:r>
      <w:r>
        <w:rPr>
          <w:rFonts w:hint="default" w:ascii="Times New Roman" w:hAnsi="Times New Roman" w:cs="Times New Roman"/>
          <w:color w:val="auto"/>
        </w:rPr>
        <w:fldChar w:fldCharType="separate"/>
      </w:r>
      <w:r>
        <w:rPr>
          <w:rFonts w:hint="default" w:ascii="Times New Roman" w:hAnsi="Times New Roman" w:cs="Times New Roman"/>
          <w:color w:val="auto"/>
        </w:rPr>
        <w:t>2</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3D24232B">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_Toc20330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6.2组织管理</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_Toc20330 \h </w:instrText>
      </w:r>
      <w:r>
        <w:rPr>
          <w:rFonts w:hint="default" w:ascii="Times New Roman" w:hAnsi="Times New Roman" w:cs="Times New Roman"/>
          <w:color w:val="auto"/>
        </w:rPr>
        <w:fldChar w:fldCharType="separate"/>
      </w:r>
      <w:r>
        <w:rPr>
          <w:rFonts w:hint="default" w:ascii="Times New Roman" w:hAnsi="Times New Roman" w:cs="Times New Roman"/>
          <w:color w:val="auto"/>
        </w:rPr>
        <w:t>2</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0967482F">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_Toc30391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lang w:val="en-US" w:eastAsia="zh-CN"/>
        </w:rPr>
        <w:t>6.</w:t>
      </w:r>
      <w:r>
        <w:rPr>
          <w:rFonts w:hint="default" w:ascii="Times New Roman" w:hAnsi="Times New Roman" w:cs="Times New Roman"/>
          <w:color w:val="auto"/>
        </w:rPr>
        <w:t>2.1食品安全监督管理队伍的建立</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_Toc30391 \h </w:instrText>
      </w:r>
      <w:r>
        <w:rPr>
          <w:rFonts w:hint="default" w:ascii="Times New Roman" w:hAnsi="Times New Roman" w:cs="Times New Roman"/>
          <w:color w:val="auto"/>
        </w:rPr>
        <w:fldChar w:fldCharType="separate"/>
      </w:r>
      <w:r>
        <w:rPr>
          <w:rFonts w:hint="default" w:ascii="Times New Roman" w:hAnsi="Times New Roman" w:cs="Times New Roman"/>
          <w:color w:val="auto"/>
        </w:rPr>
        <w:t>2</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7E9146A8">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_Toc19446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lang w:val="en-US" w:eastAsia="zh-CN"/>
        </w:rPr>
        <w:t>6.</w:t>
      </w:r>
      <w:r>
        <w:rPr>
          <w:rFonts w:hint="default" w:ascii="Times New Roman" w:hAnsi="Times New Roman" w:cs="Times New Roman"/>
          <w:color w:val="auto"/>
        </w:rPr>
        <w:t>2.2食品安全监督管理队伍的职责</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_Toc19446 \h </w:instrText>
      </w:r>
      <w:r>
        <w:rPr>
          <w:rFonts w:hint="default" w:ascii="Times New Roman" w:hAnsi="Times New Roman" w:cs="Times New Roman"/>
          <w:color w:val="auto"/>
        </w:rPr>
        <w:fldChar w:fldCharType="separate"/>
      </w:r>
      <w:r>
        <w:rPr>
          <w:rFonts w:hint="default" w:ascii="Times New Roman" w:hAnsi="Times New Roman" w:cs="Times New Roman"/>
          <w:color w:val="auto"/>
        </w:rPr>
        <w:t>2</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6CDC22AB">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_Toc5425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lang w:val="en-US" w:eastAsia="zh-CN"/>
        </w:rPr>
        <w:t>6.</w:t>
      </w:r>
      <w:r>
        <w:rPr>
          <w:rFonts w:hint="default" w:ascii="Times New Roman" w:hAnsi="Times New Roman" w:cs="Times New Roman"/>
          <w:color w:val="auto"/>
        </w:rPr>
        <w:t>2.</w:t>
      </w:r>
      <w:r>
        <w:rPr>
          <w:rFonts w:hint="default" w:ascii="Times New Roman" w:hAnsi="Times New Roman" w:cs="Times New Roman"/>
          <w:color w:val="auto"/>
          <w:lang w:eastAsia="zh-CN"/>
        </w:rPr>
        <w:t>3</w:t>
      </w:r>
      <w:r>
        <w:rPr>
          <w:rFonts w:hint="default" w:ascii="Times New Roman" w:hAnsi="Times New Roman" w:cs="Times New Roman"/>
          <w:color w:val="auto"/>
        </w:rPr>
        <w:t>食品安全员的任命</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_Toc5425 \h </w:instrText>
      </w:r>
      <w:r>
        <w:rPr>
          <w:rFonts w:hint="default" w:ascii="Times New Roman" w:hAnsi="Times New Roman" w:cs="Times New Roman"/>
          <w:color w:val="auto"/>
        </w:rPr>
        <w:fldChar w:fldCharType="separate"/>
      </w:r>
      <w:r>
        <w:rPr>
          <w:rFonts w:hint="default" w:ascii="Times New Roman" w:hAnsi="Times New Roman" w:cs="Times New Roman"/>
          <w:color w:val="auto"/>
        </w:rPr>
        <w:t>3</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31D46AF7">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_Toc8007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lang w:val="en-US" w:eastAsia="zh-CN"/>
        </w:rPr>
        <w:t>6.</w:t>
      </w:r>
      <w:r>
        <w:rPr>
          <w:rFonts w:hint="default" w:ascii="Times New Roman" w:hAnsi="Times New Roman" w:cs="Times New Roman"/>
          <w:color w:val="auto"/>
        </w:rPr>
        <w:t>2.</w:t>
      </w:r>
      <w:r>
        <w:rPr>
          <w:rFonts w:hint="default" w:ascii="Times New Roman" w:hAnsi="Times New Roman" w:cs="Times New Roman"/>
          <w:color w:val="auto"/>
          <w:lang w:val="en-US" w:eastAsia="zh-CN"/>
        </w:rPr>
        <w:t xml:space="preserve">4 </w:t>
      </w:r>
      <w:r>
        <w:rPr>
          <w:rFonts w:hint="default" w:ascii="Times New Roman" w:hAnsi="Times New Roman" w:cs="Times New Roman"/>
          <w:color w:val="auto"/>
        </w:rPr>
        <w:t>食品安全员的要求</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_Toc8007 \h </w:instrText>
      </w:r>
      <w:r>
        <w:rPr>
          <w:rFonts w:hint="default" w:ascii="Times New Roman" w:hAnsi="Times New Roman" w:cs="Times New Roman"/>
          <w:color w:val="auto"/>
        </w:rPr>
        <w:fldChar w:fldCharType="separate"/>
      </w:r>
      <w:r>
        <w:rPr>
          <w:rFonts w:hint="default" w:ascii="Times New Roman" w:hAnsi="Times New Roman" w:cs="Times New Roman"/>
          <w:color w:val="auto"/>
        </w:rPr>
        <w:t>3</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76010FD1">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_Toc19873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lang w:val="en-US" w:eastAsia="zh-CN"/>
        </w:rPr>
        <w:t>6.</w:t>
      </w:r>
      <w:r>
        <w:rPr>
          <w:rFonts w:hint="default" w:ascii="Times New Roman" w:hAnsi="Times New Roman" w:cs="Times New Roman"/>
          <w:color w:val="auto"/>
        </w:rPr>
        <w:t>2.</w:t>
      </w:r>
      <w:r>
        <w:rPr>
          <w:rFonts w:hint="default" w:ascii="Times New Roman" w:hAnsi="Times New Roman" w:cs="Times New Roman"/>
          <w:color w:val="auto"/>
          <w:lang w:val="en-US" w:eastAsia="zh-CN"/>
        </w:rPr>
        <w:t>5 营养专业支持</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_Toc19873 \h </w:instrText>
      </w:r>
      <w:r>
        <w:rPr>
          <w:rFonts w:hint="default" w:ascii="Times New Roman" w:hAnsi="Times New Roman" w:cs="Times New Roman"/>
          <w:color w:val="auto"/>
        </w:rPr>
        <w:fldChar w:fldCharType="separate"/>
      </w:r>
      <w:r>
        <w:rPr>
          <w:rFonts w:hint="default" w:ascii="Times New Roman" w:hAnsi="Times New Roman" w:cs="Times New Roman"/>
          <w:color w:val="auto"/>
        </w:rPr>
        <w:t>3</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5BFF727B">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_Toc8944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6.3 制度建设</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_Toc8944 \h </w:instrText>
      </w:r>
      <w:r>
        <w:rPr>
          <w:rFonts w:hint="default" w:ascii="Times New Roman" w:hAnsi="Times New Roman" w:cs="Times New Roman"/>
          <w:color w:val="auto"/>
        </w:rPr>
        <w:fldChar w:fldCharType="separate"/>
      </w:r>
      <w:r>
        <w:rPr>
          <w:rFonts w:hint="default" w:ascii="Times New Roman" w:hAnsi="Times New Roman" w:cs="Times New Roman"/>
          <w:color w:val="auto"/>
        </w:rPr>
        <w:t>3</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5E603815">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_Toc28509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6.3.1 信息公示制度</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_Toc28509 \h </w:instrText>
      </w:r>
      <w:r>
        <w:rPr>
          <w:rFonts w:hint="default" w:ascii="Times New Roman" w:hAnsi="Times New Roman" w:cs="Times New Roman"/>
          <w:color w:val="auto"/>
        </w:rPr>
        <w:fldChar w:fldCharType="separate"/>
      </w:r>
      <w:r>
        <w:rPr>
          <w:rFonts w:hint="default" w:ascii="Times New Roman" w:hAnsi="Times New Roman" w:cs="Times New Roman"/>
          <w:color w:val="auto"/>
        </w:rPr>
        <w:t>3</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3D059197">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_Toc7352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w:t>
      </w:r>
      <w:r>
        <w:rPr>
          <w:rFonts w:hint="default" w:ascii="Times New Roman" w:hAnsi="Times New Roman" w:cs="Times New Roman"/>
          <w:color w:val="auto"/>
          <w:lang w:val="en-US" w:eastAsia="zh-CN"/>
        </w:rPr>
        <w:t>.</w:t>
      </w:r>
      <w:r>
        <w:rPr>
          <w:rFonts w:hint="default" w:ascii="Times New Roman" w:hAnsi="Times New Roman" w:cs="Times New Roman"/>
          <w:color w:val="auto"/>
        </w:rPr>
        <w:t>3.2日常管理制度</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_Toc7352 \h </w:instrText>
      </w:r>
      <w:r>
        <w:rPr>
          <w:rFonts w:hint="default" w:ascii="Times New Roman" w:hAnsi="Times New Roman" w:cs="Times New Roman"/>
          <w:color w:val="auto"/>
        </w:rPr>
        <w:fldChar w:fldCharType="separate"/>
      </w:r>
      <w:r>
        <w:rPr>
          <w:rFonts w:hint="default" w:ascii="Times New Roman" w:hAnsi="Times New Roman" w:cs="Times New Roman"/>
          <w:color w:val="auto"/>
        </w:rPr>
        <w:t>3</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1EF9FF1C">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_Toc13747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w:t>
      </w:r>
      <w:r>
        <w:rPr>
          <w:rFonts w:hint="default" w:ascii="Times New Roman" w:hAnsi="Times New Roman" w:cs="Times New Roman"/>
          <w:color w:val="auto"/>
          <w:lang w:val="en-US" w:eastAsia="zh-CN"/>
        </w:rPr>
        <w:t>.</w:t>
      </w:r>
      <w:r>
        <w:rPr>
          <w:rFonts w:hint="default" w:ascii="Times New Roman" w:hAnsi="Times New Roman" w:cs="Times New Roman"/>
          <w:color w:val="auto"/>
        </w:rPr>
        <w:t>3.3台账管理制度</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_Toc13747 \h </w:instrText>
      </w:r>
      <w:r>
        <w:rPr>
          <w:rFonts w:hint="default" w:ascii="Times New Roman" w:hAnsi="Times New Roman" w:cs="Times New Roman"/>
          <w:color w:val="auto"/>
        </w:rPr>
        <w:fldChar w:fldCharType="separate"/>
      </w:r>
      <w:r>
        <w:rPr>
          <w:rFonts w:hint="default" w:ascii="Times New Roman" w:hAnsi="Times New Roman" w:cs="Times New Roman"/>
          <w:color w:val="auto"/>
        </w:rPr>
        <w:t>3</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43DE78F0">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_Toc15567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6.3.4 责任追究制度</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_Toc15567 \h </w:instrText>
      </w:r>
      <w:r>
        <w:rPr>
          <w:rFonts w:hint="default" w:ascii="Times New Roman" w:hAnsi="Times New Roman" w:cs="Times New Roman"/>
          <w:color w:val="auto"/>
        </w:rPr>
        <w:fldChar w:fldCharType="separate"/>
      </w:r>
      <w:r>
        <w:rPr>
          <w:rFonts w:hint="default" w:ascii="Times New Roman" w:hAnsi="Times New Roman" w:cs="Times New Roman"/>
          <w:color w:val="auto"/>
        </w:rPr>
        <w:t>4</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30211CBF">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_Toc20930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6.4 布局流程</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_Toc20930 \h </w:instrText>
      </w:r>
      <w:r>
        <w:rPr>
          <w:rFonts w:hint="default" w:ascii="Times New Roman" w:hAnsi="Times New Roman" w:cs="Times New Roman"/>
          <w:color w:val="auto"/>
        </w:rPr>
        <w:fldChar w:fldCharType="separate"/>
      </w:r>
      <w:r>
        <w:rPr>
          <w:rFonts w:hint="default" w:ascii="Times New Roman" w:hAnsi="Times New Roman" w:cs="Times New Roman"/>
          <w:color w:val="auto"/>
        </w:rPr>
        <w:t>5</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27BBF1A0">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_Toc29377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6.5 场所建设</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_Toc29377 \h </w:instrText>
      </w:r>
      <w:r>
        <w:rPr>
          <w:rFonts w:hint="default" w:ascii="Times New Roman" w:hAnsi="Times New Roman" w:cs="Times New Roman"/>
          <w:color w:val="auto"/>
        </w:rPr>
        <w:fldChar w:fldCharType="separate"/>
      </w:r>
      <w:r>
        <w:rPr>
          <w:rFonts w:hint="default" w:ascii="Times New Roman" w:hAnsi="Times New Roman" w:cs="Times New Roman"/>
          <w:color w:val="auto"/>
        </w:rPr>
        <w:t>5</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127D6B40">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_Toc5165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6.5.1 基本要求</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_Toc5165 \h </w:instrText>
      </w:r>
      <w:r>
        <w:rPr>
          <w:rFonts w:hint="default" w:ascii="Times New Roman" w:hAnsi="Times New Roman" w:cs="Times New Roman"/>
          <w:color w:val="auto"/>
        </w:rPr>
        <w:fldChar w:fldCharType="separate"/>
      </w:r>
      <w:r>
        <w:rPr>
          <w:rFonts w:hint="default" w:ascii="Times New Roman" w:hAnsi="Times New Roman" w:cs="Times New Roman"/>
          <w:color w:val="auto"/>
        </w:rPr>
        <w:t>5</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3EFB0A30">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_Toc30435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6.5.2 地面和墙壁</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_Toc30435 \h </w:instrText>
      </w:r>
      <w:r>
        <w:rPr>
          <w:rFonts w:hint="default" w:ascii="Times New Roman" w:hAnsi="Times New Roman" w:cs="Times New Roman"/>
          <w:color w:val="auto"/>
        </w:rPr>
        <w:fldChar w:fldCharType="separate"/>
      </w:r>
      <w:r>
        <w:rPr>
          <w:rFonts w:hint="default" w:ascii="Times New Roman" w:hAnsi="Times New Roman" w:cs="Times New Roman"/>
          <w:color w:val="auto"/>
        </w:rPr>
        <w:t>5</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5FACE168">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_Toc15681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6.5.3天花板</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_Toc15681 \h </w:instrText>
      </w:r>
      <w:r>
        <w:rPr>
          <w:rFonts w:hint="default" w:ascii="Times New Roman" w:hAnsi="Times New Roman" w:cs="Times New Roman"/>
          <w:color w:val="auto"/>
        </w:rPr>
        <w:fldChar w:fldCharType="separate"/>
      </w:r>
      <w:r>
        <w:rPr>
          <w:rFonts w:hint="default" w:ascii="Times New Roman" w:hAnsi="Times New Roman" w:cs="Times New Roman"/>
          <w:color w:val="auto"/>
        </w:rPr>
        <w:t>5</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69BEEDEA">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_Toc5202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6.5.4 门窗</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_Toc5202 \h </w:instrText>
      </w:r>
      <w:r>
        <w:rPr>
          <w:rFonts w:hint="default" w:ascii="Times New Roman" w:hAnsi="Times New Roman" w:cs="Times New Roman"/>
          <w:color w:val="auto"/>
        </w:rPr>
        <w:fldChar w:fldCharType="separate"/>
      </w:r>
      <w:r>
        <w:rPr>
          <w:rFonts w:hint="default" w:ascii="Times New Roman" w:hAnsi="Times New Roman" w:cs="Times New Roman"/>
          <w:color w:val="auto"/>
        </w:rPr>
        <w:t>5</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1A492480">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_Toc28560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6.5.5 给、排水</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_Toc28560 \h </w:instrText>
      </w:r>
      <w:r>
        <w:rPr>
          <w:rFonts w:hint="default" w:ascii="Times New Roman" w:hAnsi="Times New Roman" w:cs="Times New Roman"/>
          <w:color w:val="auto"/>
        </w:rPr>
        <w:fldChar w:fldCharType="separate"/>
      </w:r>
      <w:r>
        <w:rPr>
          <w:rFonts w:hint="default" w:ascii="Times New Roman" w:hAnsi="Times New Roman" w:cs="Times New Roman"/>
          <w:color w:val="auto"/>
        </w:rPr>
        <w:t>5</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40E2C8EE">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_Toc24505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6.6 设施设备</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_Toc24505 \h </w:instrText>
      </w:r>
      <w:r>
        <w:rPr>
          <w:rFonts w:hint="default" w:ascii="Times New Roman" w:hAnsi="Times New Roman" w:cs="Times New Roman"/>
          <w:color w:val="auto"/>
        </w:rPr>
        <w:fldChar w:fldCharType="separate"/>
      </w:r>
      <w:r>
        <w:rPr>
          <w:rFonts w:hint="default" w:ascii="Times New Roman" w:hAnsi="Times New Roman" w:cs="Times New Roman"/>
          <w:color w:val="auto"/>
        </w:rPr>
        <w:t>6</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09BF740D">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_Toc24582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6.6.1 加工制作设施设备</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_Toc24582 \h </w:instrText>
      </w:r>
      <w:r>
        <w:rPr>
          <w:rFonts w:hint="default" w:ascii="Times New Roman" w:hAnsi="Times New Roman" w:cs="Times New Roman"/>
          <w:color w:val="auto"/>
        </w:rPr>
        <w:fldChar w:fldCharType="separate"/>
      </w:r>
      <w:r>
        <w:rPr>
          <w:rFonts w:hint="default" w:ascii="Times New Roman" w:hAnsi="Times New Roman" w:cs="Times New Roman"/>
          <w:color w:val="auto"/>
        </w:rPr>
        <w:t>6</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2A84C0C7">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_Toc10616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6.6.2 照明设施</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_Toc10616 \h </w:instrText>
      </w:r>
      <w:r>
        <w:rPr>
          <w:rFonts w:hint="default" w:ascii="Times New Roman" w:hAnsi="Times New Roman" w:cs="Times New Roman"/>
          <w:color w:val="auto"/>
        </w:rPr>
        <w:fldChar w:fldCharType="separate"/>
      </w:r>
      <w:r>
        <w:rPr>
          <w:rFonts w:hint="default" w:ascii="Times New Roman" w:hAnsi="Times New Roman" w:cs="Times New Roman"/>
          <w:color w:val="auto"/>
        </w:rPr>
        <w:t>6</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6E79BEA1">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_Toc30723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6.6.3 油烟处理设施</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_Toc30723 \h </w:instrText>
      </w:r>
      <w:r>
        <w:rPr>
          <w:rFonts w:hint="default" w:ascii="Times New Roman" w:hAnsi="Times New Roman" w:cs="Times New Roman"/>
          <w:color w:val="auto"/>
        </w:rPr>
        <w:fldChar w:fldCharType="separate"/>
      </w:r>
      <w:r>
        <w:rPr>
          <w:rFonts w:hint="default" w:ascii="Times New Roman" w:hAnsi="Times New Roman" w:cs="Times New Roman"/>
          <w:color w:val="auto"/>
        </w:rPr>
        <w:t>6</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4375316D">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_Toc11756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6.6.4 冷藏设施设备</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_Toc11756 \h </w:instrText>
      </w:r>
      <w:r>
        <w:rPr>
          <w:rFonts w:hint="default" w:ascii="Times New Roman" w:hAnsi="Times New Roman" w:cs="Times New Roman"/>
          <w:color w:val="auto"/>
        </w:rPr>
        <w:fldChar w:fldCharType="separate"/>
      </w:r>
      <w:r>
        <w:rPr>
          <w:rFonts w:hint="default" w:ascii="Times New Roman" w:hAnsi="Times New Roman" w:cs="Times New Roman"/>
          <w:color w:val="auto"/>
        </w:rPr>
        <w:t>6</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321FBEFF">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_Toc265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6.6.5 有害生物防制设施</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_Toc265 \h </w:instrText>
      </w:r>
      <w:r>
        <w:rPr>
          <w:rFonts w:hint="default" w:ascii="Times New Roman" w:hAnsi="Times New Roman" w:cs="Times New Roman"/>
          <w:color w:val="auto"/>
        </w:rPr>
        <w:fldChar w:fldCharType="separate"/>
      </w:r>
      <w:r>
        <w:rPr>
          <w:rFonts w:hint="default" w:ascii="Times New Roman" w:hAnsi="Times New Roman" w:cs="Times New Roman"/>
          <w:color w:val="auto"/>
        </w:rPr>
        <w:t>6</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008965E1">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_Toc23765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6.6.6 检验检测设施</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_Toc23765 \h </w:instrText>
      </w:r>
      <w:r>
        <w:rPr>
          <w:rFonts w:hint="default" w:ascii="Times New Roman" w:hAnsi="Times New Roman" w:cs="Times New Roman"/>
          <w:color w:val="auto"/>
        </w:rPr>
        <w:fldChar w:fldCharType="separate"/>
      </w:r>
      <w:r>
        <w:rPr>
          <w:rFonts w:hint="default" w:ascii="Times New Roman" w:hAnsi="Times New Roman" w:cs="Times New Roman"/>
          <w:color w:val="auto"/>
        </w:rPr>
        <w:t>7</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22470BE7">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_Toc28405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6.7 功能区建设</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_Toc28405 \h </w:instrText>
      </w:r>
      <w:r>
        <w:rPr>
          <w:rFonts w:hint="default" w:ascii="Times New Roman" w:hAnsi="Times New Roman" w:cs="Times New Roman"/>
          <w:color w:val="auto"/>
        </w:rPr>
        <w:fldChar w:fldCharType="separate"/>
      </w:r>
      <w:r>
        <w:rPr>
          <w:rFonts w:hint="default" w:ascii="Times New Roman" w:hAnsi="Times New Roman" w:cs="Times New Roman"/>
          <w:color w:val="auto"/>
        </w:rPr>
        <w:t>7</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264D5D54">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_Toc6461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6.7.1 更衣室</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_Toc6461 \h </w:instrText>
      </w:r>
      <w:r>
        <w:rPr>
          <w:rFonts w:hint="default" w:ascii="Times New Roman" w:hAnsi="Times New Roman" w:cs="Times New Roman"/>
          <w:color w:val="auto"/>
        </w:rPr>
        <w:fldChar w:fldCharType="separate"/>
      </w:r>
      <w:r>
        <w:rPr>
          <w:rFonts w:hint="default" w:ascii="Times New Roman" w:hAnsi="Times New Roman" w:cs="Times New Roman"/>
          <w:color w:val="auto"/>
        </w:rPr>
        <w:t>7</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6BB6D03F">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_Toc17627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6.7.2 库房</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_Toc17627 \h </w:instrText>
      </w:r>
      <w:r>
        <w:rPr>
          <w:rFonts w:hint="default" w:ascii="Times New Roman" w:hAnsi="Times New Roman" w:cs="Times New Roman"/>
          <w:color w:val="auto"/>
        </w:rPr>
        <w:fldChar w:fldCharType="separate"/>
      </w:r>
      <w:r>
        <w:rPr>
          <w:rFonts w:hint="default" w:ascii="Times New Roman" w:hAnsi="Times New Roman" w:cs="Times New Roman"/>
          <w:color w:val="auto"/>
        </w:rPr>
        <w:t>7</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611F3B3F">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_Toc7502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6.7.3 粗加工制作区</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_Toc7502 \h </w:instrText>
      </w:r>
      <w:r>
        <w:rPr>
          <w:rFonts w:hint="default" w:ascii="Times New Roman" w:hAnsi="Times New Roman" w:cs="Times New Roman"/>
          <w:color w:val="auto"/>
        </w:rPr>
        <w:fldChar w:fldCharType="separate"/>
      </w:r>
      <w:r>
        <w:rPr>
          <w:rFonts w:hint="default" w:ascii="Times New Roman" w:hAnsi="Times New Roman" w:cs="Times New Roman"/>
          <w:color w:val="auto"/>
        </w:rPr>
        <w:t>7</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5B0A7700">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_Toc12804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6.7.4 烹饪间</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_Toc12804 \h </w:instrText>
      </w:r>
      <w:r>
        <w:rPr>
          <w:rFonts w:hint="default" w:ascii="Times New Roman" w:hAnsi="Times New Roman" w:cs="Times New Roman"/>
          <w:color w:val="auto"/>
        </w:rPr>
        <w:fldChar w:fldCharType="separate"/>
      </w:r>
      <w:r>
        <w:rPr>
          <w:rFonts w:hint="default" w:ascii="Times New Roman" w:hAnsi="Times New Roman" w:cs="Times New Roman"/>
          <w:color w:val="auto"/>
        </w:rPr>
        <w:t>7</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43FEA2C9">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_Toc18918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6.7.5 清洗消毒间</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_Toc18918 \h </w:instrText>
      </w:r>
      <w:r>
        <w:rPr>
          <w:rFonts w:hint="default" w:ascii="Times New Roman" w:hAnsi="Times New Roman" w:cs="Times New Roman"/>
          <w:color w:val="auto"/>
        </w:rPr>
        <w:fldChar w:fldCharType="separate"/>
      </w:r>
      <w:r>
        <w:rPr>
          <w:rFonts w:hint="default" w:ascii="Times New Roman" w:hAnsi="Times New Roman" w:cs="Times New Roman"/>
          <w:color w:val="auto"/>
        </w:rPr>
        <w:t>8</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292EDC08">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_Toc12191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6.7.6 备餐间</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_Toc12191 \h </w:instrText>
      </w:r>
      <w:r>
        <w:rPr>
          <w:rFonts w:hint="default" w:ascii="Times New Roman" w:hAnsi="Times New Roman" w:cs="Times New Roman"/>
          <w:color w:val="auto"/>
        </w:rPr>
        <w:fldChar w:fldCharType="separate"/>
      </w:r>
      <w:r>
        <w:rPr>
          <w:rFonts w:hint="default" w:ascii="Times New Roman" w:hAnsi="Times New Roman" w:cs="Times New Roman"/>
          <w:color w:val="auto"/>
        </w:rPr>
        <w:t>8</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00F69406">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_Toc10243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6.7.7 面点间</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_Toc10243 \h </w:instrText>
      </w:r>
      <w:r>
        <w:rPr>
          <w:rFonts w:hint="default" w:ascii="Times New Roman" w:hAnsi="Times New Roman" w:cs="Times New Roman"/>
          <w:color w:val="auto"/>
        </w:rPr>
        <w:fldChar w:fldCharType="separate"/>
      </w:r>
      <w:r>
        <w:rPr>
          <w:rFonts w:hint="default" w:ascii="Times New Roman" w:hAnsi="Times New Roman" w:cs="Times New Roman"/>
          <w:color w:val="auto"/>
        </w:rPr>
        <w:t>8</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38B7B587">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_Toc27933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6.7.8 专间（区）</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_Toc27933 \h </w:instrText>
      </w:r>
      <w:r>
        <w:rPr>
          <w:rFonts w:hint="default" w:ascii="Times New Roman" w:hAnsi="Times New Roman" w:cs="Times New Roman"/>
          <w:color w:val="auto"/>
        </w:rPr>
        <w:fldChar w:fldCharType="separate"/>
      </w:r>
      <w:r>
        <w:rPr>
          <w:rFonts w:hint="default" w:ascii="Times New Roman" w:hAnsi="Times New Roman" w:cs="Times New Roman"/>
          <w:color w:val="auto"/>
        </w:rPr>
        <w:t>8</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3D9FD24C">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_Toc21036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6.7.9 卫生间</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_Toc21036 \h </w:instrText>
      </w:r>
      <w:r>
        <w:rPr>
          <w:rFonts w:hint="default" w:ascii="Times New Roman" w:hAnsi="Times New Roman" w:cs="Times New Roman"/>
          <w:color w:val="auto"/>
        </w:rPr>
        <w:fldChar w:fldCharType="separate"/>
      </w:r>
      <w:r>
        <w:rPr>
          <w:rFonts w:hint="default" w:ascii="Times New Roman" w:hAnsi="Times New Roman" w:cs="Times New Roman"/>
          <w:color w:val="auto"/>
        </w:rPr>
        <w:t>9</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40CD9F70">
      <w:pPr>
        <w:pStyle w:val="20"/>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_Toc2134 </w:instrText>
      </w:r>
      <w:r>
        <w:rPr>
          <w:rFonts w:hint="default" w:ascii="Times New Roman" w:hAnsi="Times New Roman" w:cs="Times New Roman"/>
          <w:bCs/>
          <w:color w:val="auto"/>
          <w:lang w:val="zh-CN"/>
        </w:rPr>
        <w:fldChar w:fldCharType="separate"/>
      </w:r>
      <w:r>
        <w:rPr>
          <w:rFonts w:hint="default" w:ascii="Times New Roman" w:hAnsi="Times New Roman" w:eastAsia="黑体" w:cs="Times New Roman"/>
          <w:bCs/>
          <w:i w:val="0"/>
          <w:color w:val="auto"/>
          <w:szCs w:val="21"/>
        </w:rPr>
        <w:t xml:space="preserve">7 </w:t>
      </w:r>
      <w:r>
        <w:rPr>
          <w:rFonts w:hint="default" w:ascii="Times New Roman" w:hAnsi="Times New Roman" w:cs="Times New Roman"/>
          <w:color w:val="auto"/>
        </w:rPr>
        <w:t>管理要求</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_Toc2134 \h </w:instrText>
      </w:r>
      <w:r>
        <w:rPr>
          <w:rFonts w:hint="default" w:ascii="Times New Roman" w:hAnsi="Times New Roman" w:cs="Times New Roman"/>
          <w:color w:val="auto"/>
        </w:rPr>
        <w:fldChar w:fldCharType="separate"/>
      </w:r>
      <w:r>
        <w:rPr>
          <w:rFonts w:hint="default" w:ascii="Times New Roman" w:hAnsi="Times New Roman" w:cs="Times New Roman"/>
          <w:color w:val="auto"/>
        </w:rPr>
        <w:t>9</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6E29380F">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_Toc28292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7.1</w:t>
      </w:r>
      <w:r>
        <w:rPr>
          <w:rFonts w:hint="default" w:ascii="Times New Roman" w:hAnsi="Times New Roman" w:cs="Times New Roman"/>
          <w:color w:val="auto"/>
        </w:rPr>
        <w:t>原料采购、运输、验收与贮存</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_Toc28292 \h </w:instrText>
      </w:r>
      <w:r>
        <w:rPr>
          <w:rFonts w:hint="default" w:ascii="Times New Roman" w:hAnsi="Times New Roman" w:cs="Times New Roman"/>
          <w:color w:val="auto"/>
        </w:rPr>
        <w:fldChar w:fldCharType="separate"/>
      </w:r>
      <w:r>
        <w:rPr>
          <w:rFonts w:hint="default" w:ascii="Times New Roman" w:hAnsi="Times New Roman" w:cs="Times New Roman"/>
          <w:color w:val="auto"/>
        </w:rPr>
        <w:t>9</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2A15148C">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_Toc14309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7.1.1</w:t>
      </w:r>
      <w:r>
        <w:rPr>
          <w:rFonts w:hint="default" w:ascii="Times New Roman" w:hAnsi="Times New Roman" w:cs="Times New Roman"/>
          <w:bCs/>
          <w:color w:val="auto"/>
        </w:rPr>
        <w:t>采购</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_Toc14309 \h </w:instrText>
      </w:r>
      <w:r>
        <w:rPr>
          <w:rFonts w:hint="default" w:ascii="Times New Roman" w:hAnsi="Times New Roman" w:cs="Times New Roman"/>
          <w:color w:val="auto"/>
        </w:rPr>
        <w:fldChar w:fldCharType="separate"/>
      </w:r>
      <w:r>
        <w:rPr>
          <w:rFonts w:hint="default" w:ascii="Times New Roman" w:hAnsi="Times New Roman" w:cs="Times New Roman"/>
          <w:color w:val="auto"/>
        </w:rPr>
        <w:t>9</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65232B68">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_Toc26164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 xml:space="preserve">7.1.2 </w:t>
      </w:r>
      <w:r>
        <w:rPr>
          <w:rFonts w:hint="default" w:ascii="Times New Roman" w:hAnsi="Times New Roman" w:cs="Times New Roman"/>
          <w:bCs/>
          <w:color w:val="auto"/>
        </w:rPr>
        <w:t>运输</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_Toc26164 \h </w:instrText>
      </w:r>
      <w:r>
        <w:rPr>
          <w:rFonts w:hint="default" w:ascii="Times New Roman" w:hAnsi="Times New Roman" w:cs="Times New Roman"/>
          <w:color w:val="auto"/>
        </w:rPr>
        <w:fldChar w:fldCharType="separate"/>
      </w:r>
      <w:r>
        <w:rPr>
          <w:rFonts w:hint="default" w:ascii="Times New Roman" w:hAnsi="Times New Roman" w:cs="Times New Roman"/>
          <w:color w:val="auto"/>
        </w:rPr>
        <w:t>9</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2104CCE1">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_Toc353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 xml:space="preserve">7.1.3 </w:t>
      </w:r>
      <w:r>
        <w:rPr>
          <w:rFonts w:hint="default" w:ascii="Times New Roman" w:hAnsi="Times New Roman" w:cs="Times New Roman"/>
          <w:bCs/>
          <w:color w:val="auto"/>
        </w:rPr>
        <w:t>验收</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_Toc353 \h </w:instrText>
      </w:r>
      <w:r>
        <w:rPr>
          <w:rFonts w:hint="default" w:ascii="Times New Roman" w:hAnsi="Times New Roman" w:cs="Times New Roman"/>
          <w:color w:val="auto"/>
        </w:rPr>
        <w:fldChar w:fldCharType="separate"/>
      </w:r>
      <w:r>
        <w:rPr>
          <w:rFonts w:hint="default" w:ascii="Times New Roman" w:hAnsi="Times New Roman" w:cs="Times New Roman"/>
          <w:color w:val="auto"/>
        </w:rPr>
        <w:t>9</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00632644">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_Toc11586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 xml:space="preserve">7.1.4 </w:t>
      </w:r>
      <w:r>
        <w:rPr>
          <w:rFonts w:hint="default" w:ascii="Times New Roman" w:hAnsi="Times New Roman" w:cs="Times New Roman"/>
          <w:bCs/>
          <w:color w:val="auto"/>
        </w:rPr>
        <w:t>贮存</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_Toc11586 \h </w:instrText>
      </w:r>
      <w:r>
        <w:rPr>
          <w:rFonts w:hint="default" w:ascii="Times New Roman" w:hAnsi="Times New Roman" w:cs="Times New Roman"/>
          <w:color w:val="auto"/>
        </w:rPr>
        <w:fldChar w:fldCharType="separate"/>
      </w:r>
      <w:r>
        <w:rPr>
          <w:rFonts w:hint="default" w:ascii="Times New Roman" w:hAnsi="Times New Roman" w:cs="Times New Roman"/>
          <w:color w:val="auto"/>
        </w:rPr>
        <w:t>9</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3A65D6F3">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_Toc8792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 xml:space="preserve">7.2 </w:t>
      </w:r>
      <w:r>
        <w:rPr>
          <w:rFonts w:hint="default" w:ascii="Times New Roman" w:hAnsi="Times New Roman" w:cs="Times New Roman"/>
          <w:bCs/>
          <w:color w:val="auto"/>
        </w:rPr>
        <w:t>加工过程的食品安全控制</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_Toc8792 \h </w:instrText>
      </w:r>
      <w:r>
        <w:rPr>
          <w:rFonts w:hint="default" w:ascii="Times New Roman" w:hAnsi="Times New Roman" w:cs="Times New Roman"/>
          <w:color w:val="auto"/>
        </w:rPr>
        <w:fldChar w:fldCharType="separate"/>
      </w:r>
      <w:r>
        <w:rPr>
          <w:rFonts w:hint="default" w:ascii="Times New Roman" w:hAnsi="Times New Roman" w:cs="Times New Roman"/>
          <w:color w:val="auto"/>
        </w:rPr>
        <w:t>10</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2EECB3D8">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_Toc17943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 xml:space="preserve">7.2.1 </w:t>
      </w:r>
      <w:r>
        <w:rPr>
          <w:rFonts w:hint="default" w:ascii="Times New Roman" w:hAnsi="Times New Roman" w:cs="Times New Roman"/>
          <w:color w:val="auto"/>
        </w:rPr>
        <w:t>基本要求</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_Toc17943 \h </w:instrText>
      </w:r>
      <w:r>
        <w:rPr>
          <w:rFonts w:hint="default" w:ascii="Times New Roman" w:hAnsi="Times New Roman" w:cs="Times New Roman"/>
          <w:color w:val="auto"/>
        </w:rPr>
        <w:fldChar w:fldCharType="separate"/>
      </w:r>
      <w:r>
        <w:rPr>
          <w:rFonts w:hint="default" w:ascii="Times New Roman" w:hAnsi="Times New Roman" w:cs="Times New Roman"/>
          <w:color w:val="auto"/>
        </w:rPr>
        <w:t>10</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2351D1B1">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_Toc19008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 xml:space="preserve">7.2.2 </w:t>
      </w:r>
      <w:r>
        <w:rPr>
          <w:rFonts w:hint="default" w:ascii="Times New Roman" w:hAnsi="Times New Roman" w:cs="Times New Roman"/>
          <w:bCs/>
          <w:color w:val="auto"/>
        </w:rPr>
        <w:t>初加工</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_Toc19008 \h </w:instrText>
      </w:r>
      <w:r>
        <w:rPr>
          <w:rFonts w:hint="default" w:ascii="Times New Roman" w:hAnsi="Times New Roman" w:cs="Times New Roman"/>
          <w:color w:val="auto"/>
        </w:rPr>
        <w:fldChar w:fldCharType="separate"/>
      </w:r>
      <w:r>
        <w:rPr>
          <w:rFonts w:hint="default" w:ascii="Times New Roman" w:hAnsi="Times New Roman" w:cs="Times New Roman"/>
          <w:color w:val="auto"/>
        </w:rPr>
        <w:t>10</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360194EE">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_Toc17987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 xml:space="preserve">7.2.3 </w:t>
      </w:r>
      <w:r>
        <w:rPr>
          <w:rFonts w:hint="default" w:ascii="Times New Roman" w:hAnsi="Times New Roman" w:cs="Times New Roman"/>
          <w:bCs/>
          <w:color w:val="auto"/>
        </w:rPr>
        <w:t>烹任</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_Toc17987 \h </w:instrText>
      </w:r>
      <w:r>
        <w:rPr>
          <w:rFonts w:hint="default" w:ascii="Times New Roman" w:hAnsi="Times New Roman" w:cs="Times New Roman"/>
          <w:color w:val="auto"/>
        </w:rPr>
        <w:fldChar w:fldCharType="separate"/>
      </w:r>
      <w:r>
        <w:rPr>
          <w:rFonts w:hint="default" w:ascii="Times New Roman" w:hAnsi="Times New Roman" w:cs="Times New Roman"/>
          <w:color w:val="auto"/>
        </w:rPr>
        <w:t>10</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26F05108">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_Toc29872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7.2.4</w:t>
      </w:r>
      <w:r>
        <w:rPr>
          <w:rFonts w:hint="default" w:ascii="Times New Roman" w:hAnsi="Times New Roman" w:cs="Times New Roman"/>
          <w:bCs/>
          <w:color w:val="auto"/>
        </w:rPr>
        <w:t>食品添加剂使用</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_Toc29872 \h </w:instrText>
      </w:r>
      <w:r>
        <w:rPr>
          <w:rFonts w:hint="default" w:ascii="Times New Roman" w:hAnsi="Times New Roman" w:cs="Times New Roman"/>
          <w:color w:val="auto"/>
        </w:rPr>
        <w:fldChar w:fldCharType="separate"/>
      </w:r>
      <w:r>
        <w:rPr>
          <w:rFonts w:hint="default" w:ascii="Times New Roman" w:hAnsi="Times New Roman" w:cs="Times New Roman"/>
          <w:color w:val="auto"/>
        </w:rPr>
        <w:t>10</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7D8B2506">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_Toc3640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 xml:space="preserve">7.3 </w:t>
      </w:r>
      <w:r>
        <w:rPr>
          <w:rFonts w:hint="default" w:ascii="Times New Roman" w:hAnsi="Times New Roman" w:cs="Times New Roman"/>
          <w:color w:val="auto"/>
        </w:rPr>
        <w:t>清洁维护与废弃物管理</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_Toc3640 \h </w:instrText>
      </w:r>
      <w:r>
        <w:rPr>
          <w:rFonts w:hint="default" w:ascii="Times New Roman" w:hAnsi="Times New Roman" w:cs="Times New Roman"/>
          <w:color w:val="auto"/>
        </w:rPr>
        <w:fldChar w:fldCharType="separate"/>
      </w:r>
      <w:r>
        <w:rPr>
          <w:rFonts w:hint="default" w:ascii="Times New Roman" w:hAnsi="Times New Roman" w:cs="Times New Roman"/>
          <w:color w:val="auto"/>
        </w:rPr>
        <w:t>10</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18FE6BAB">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_Toc28320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7.3.1</w:t>
      </w:r>
      <w:r>
        <w:rPr>
          <w:rFonts w:hint="default" w:ascii="Times New Roman" w:hAnsi="Times New Roman" w:cs="Times New Roman"/>
          <w:color w:val="auto"/>
        </w:rPr>
        <w:t>餐用具卫生</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_Toc28320 \h </w:instrText>
      </w:r>
      <w:r>
        <w:rPr>
          <w:rFonts w:hint="default" w:ascii="Times New Roman" w:hAnsi="Times New Roman" w:cs="Times New Roman"/>
          <w:color w:val="auto"/>
        </w:rPr>
        <w:fldChar w:fldCharType="separate"/>
      </w:r>
      <w:r>
        <w:rPr>
          <w:rFonts w:hint="default" w:ascii="Times New Roman" w:hAnsi="Times New Roman" w:cs="Times New Roman"/>
          <w:color w:val="auto"/>
        </w:rPr>
        <w:t>10</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24E75747">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_Toc13338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7.3.2</w:t>
      </w:r>
      <w:r>
        <w:rPr>
          <w:rFonts w:hint="default" w:ascii="Times New Roman" w:hAnsi="Times New Roman" w:cs="Times New Roman"/>
          <w:color w:val="auto"/>
        </w:rPr>
        <w:t>场所、设施、设备清洁消毒和维护</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_Toc13338 \h </w:instrText>
      </w:r>
      <w:r>
        <w:rPr>
          <w:rFonts w:hint="default" w:ascii="Times New Roman" w:hAnsi="Times New Roman" w:cs="Times New Roman"/>
          <w:color w:val="auto"/>
        </w:rPr>
        <w:fldChar w:fldCharType="separate"/>
      </w:r>
      <w:r>
        <w:rPr>
          <w:rFonts w:hint="default" w:ascii="Times New Roman" w:hAnsi="Times New Roman" w:cs="Times New Roman"/>
          <w:color w:val="auto"/>
        </w:rPr>
        <w:t>11</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59D5164C">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_Toc9865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7.3.3</w:t>
      </w:r>
      <w:r>
        <w:rPr>
          <w:rFonts w:hint="default" w:ascii="Times New Roman" w:hAnsi="Times New Roman" w:cs="Times New Roman"/>
          <w:color w:val="auto"/>
        </w:rPr>
        <w:t>废弃物管理</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_Toc9865 \h </w:instrText>
      </w:r>
      <w:r>
        <w:rPr>
          <w:rFonts w:hint="default" w:ascii="Times New Roman" w:hAnsi="Times New Roman" w:cs="Times New Roman"/>
          <w:color w:val="auto"/>
        </w:rPr>
        <w:fldChar w:fldCharType="separate"/>
      </w:r>
      <w:r>
        <w:rPr>
          <w:rFonts w:hint="default" w:ascii="Times New Roman" w:hAnsi="Times New Roman" w:cs="Times New Roman"/>
          <w:color w:val="auto"/>
        </w:rPr>
        <w:t>11</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74C7BA08">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_Toc25046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7.4</w:t>
      </w:r>
      <w:r>
        <w:rPr>
          <w:rFonts w:hint="default" w:ascii="Times New Roman" w:hAnsi="Times New Roman" w:cs="Times New Roman"/>
          <w:color w:val="auto"/>
        </w:rPr>
        <w:t>人员健康与卫生</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_Toc25046 \h </w:instrText>
      </w:r>
      <w:r>
        <w:rPr>
          <w:rFonts w:hint="default" w:ascii="Times New Roman" w:hAnsi="Times New Roman" w:cs="Times New Roman"/>
          <w:color w:val="auto"/>
        </w:rPr>
        <w:fldChar w:fldCharType="separate"/>
      </w:r>
      <w:r>
        <w:rPr>
          <w:rFonts w:hint="default" w:ascii="Times New Roman" w:hAnsi="Times New Roman" w:cs="Times New Roman"/>
          <w:color w:val="auto"/>
        </w:rPr>
        <w:t>11</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1481BF44">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_Toc9877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7.4.1</w:t>
      </w:r>
      <w:r>
        <w:rPr>
          <w:rFonts w:hint="default" w:ascii="Times New Roman" w:hAnsi="Times New Roman" w:cs="Times New Roman"/>
          <w:color w:val="auto"/>
        </w:rPr>
        <w:t>健康管理</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_Toc9877 \h </w:instrText>
      </w:r>
      <w:r>
        <w:rPr>
          <w:rFonts w:hint="default" w:ascii="Times New Roman" w:hAnsi="Times New Roman" w:cs="Times New Roman"/>
          <w:color w:val="auto"/>
        </w:rPr>
        <w:fldChar w:fldCharType="separate"/>
      </w:r>
      <w:r>
        <w:rPr>
          <w:rFonts w:hint="default" w:ascii="Times New Roman" w:hAnsi="Times New Roman" w:cs="Times New Roman"/>
          <w:color w:val="auto"/>
        </w:rPr>
        <w:t>11</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594ED0C5">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_Toc10519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7.4.2</w:t>
      </w:r>
      <w:r>
        <w:rPr>
          <w:rFonts w:hint="default" w:ascii="Times New Roman" w:hAnsi="Times New Roman" w:cs="Times New Roman"/>
          <w:color w:val="auto"/>
        </w:rPr>
        <w:t>人员卫生</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_Toc10519 \h </w:instrText>
      </w:r>
      <w:r>
        <w:rPr>
          <w:rFonts w:hint="default" w:ascii="Times New Roman" w:hAnsi="Times New Roman" w:cs="Times New Roman"/>
          <w:color w:val="auto"/>
        </w:rPr>
        <w:fldChar w:fldCharType="separate"/>
      </w:r>
      <w:r>
        <w:rPr>
          <w:rFonts w:hint="default" w:ascii="Times New Roman" w:hAnsi="Times New Roman" w:cs="Times New Roman"/>
          <w:color w:val="auto"/>
        </w:rPr>
        <w:t>11</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74BADAF2">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_Toc20802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7.5</w:t>
      </w:r>
      <w:r>
        <w:rPr>
          <w:rFonts w:hint="default" w:ascii="Times New Roman" w:hAnsi="Times New Roman" w:cs="Times New Roman"/>
          <w:color w:val="auto"/>
        </w:rPr>
        <w:t>人员培训</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_Toc20802 \h </w:instrText>
      </w:r>
      <w:r>
        <w:rPr>
          <w:rFonts w:hint="default" w:ascii="Times New Roman" w:hAnsi="Times New Roman" w:cs="Times New Roman"/>
          <w:color w:val="auto"/>
        </w:rPr>
        <w:fldChar w:fldCharType="separate"/>
      </w:r>
      <w:r>
        <w:rPr>
          <w:rFonts w:hint="default" w:ascii="Times New Roman" w:hAnsi="Times New Roman" w:cs="Times New Roman"/>
          <w:color w:val="auto"/>
        </w:rPr>
        <w:t>11</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57E21C3D">
      <w:pPr>
        <w:pStyle w:val="20"/>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_Toc9181 </w:instrText>
      </w:r>
      <w:r>
        <w:rPr>
          <w:rFonts w:hint="default" w:ascii="Times New Roman" w:hAnsi="Times New Roman" w:cs="Times New Roman"/>
          <w:bCs/>
          <w:color w:val="auto"/>
          <w:lang w:val="zh-CN"/>
        </w:rPr>
        <w:fldChar w:fldCharType="separate"/>
      </w:r>
      <w:r>
        <w:rPr>
          <w:rFonts w:hint="default" w:ascii="Times New Roman" w:hAnsi="Times New Roman" w:eastAsia="黑体" w:cs="Times New Roman"/>
          <w:bCs/>
          <w:i w:val="0"/>
          <w:color w:val="auto"/>
          <w:szCs w:val="21"/>
        </w:rPr>
        <w:t xml:space="preserve">8 </w:t>
      </w:r>
      <w:r>
        <w:rPr>
          <w:rFonts w:hint="default" w:ascii="Times New Roman" w:hAnsi="Times New Roman" w:cs="Times New Roman"/>
          <w:color w:val="auto"/>
        </w:rPr>
        <w:t>供餐配送要求</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_Toc9181 \h </w:instrText>
      </w:r>
      <w:r>
        <w:rPr>
          <w:rFonts w:hint="default" w:ascii="Times New Roman" w:hAnsi="Times New Roman" w:cs="Times New Roman"/>
          <w:color w:val="auto"/>
        </w:rPr>
        <w:fldChar w:fldCharType="separate"/>
      </w:r>
      <w:r>
        <w:rPr>
          <w:rFonts w:hint="default" w:ascii="Times New Roman" w:hAnsi="Times New Roman" w:cs="Times New Roman"/>
          <w:color w:val="auto"/>
        </w:rPr>
        <w:t>12</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3400E497">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_Toc31780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8.1</w:t>
      </w:r>
      <w:r>
        <w:rPr>
          <w:rFonts w:hint="default" w:ascii="Times New Roman" w:hAnsi="Times New Roman" w:cs="Times New Roman"/>
          <w:bCs/>
          <w:color w:val="auto"/>
        </w:rPr>
        <w:t>热链配送</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_Toc31780 \h </w:instrText>
      </w:r>
      <w:r>
        <w:rPr>
          <w:rFonts w:hint="default" w:ascii="Times New Roman" w:hAnsi="Times New Roman" w:cs="Times New Roman"/>
          <w:color w:val="auto"/>
        </w:rPr>
        <w:fldChar w:fldCharType="separate"/>
      </w:r>
      <w:r>
        <w:rPr>
          <w:rFonts w:hint="default" w:ascii="Times New Roman" w:hAnsi="Times New Roman" w:cs="Times New Roman"/>
          <w:color w:val="auto"/>
        </w:rPr>
        <w:t>12</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4CB2C48D">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_Toc11963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rPr>
        <w:t>8.2 冷链配送</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_Toc11963 \h </w:instrText>
      </w:r>
      <w:r>
        <w:rPr>
          <w:rFonts w:hint="default" w:ascii="Times New Roman" w:hAnsi="Times New Roman" w:cs="Times New Roman"/>
          <w:color w:val="auto"/>
        </w:rPr>
        <w:fldChar w:fldCharType="separate"/>
      </w:r>
      <w:r>
        <w:rPr>
          <w:rFonts w:hint="default" w:ascii="Times New Roman" w:hAnsi="Times New Roman" w:cs="Times New Roman"/>
          <w:color w:val="auto"/>
        </w:rPr>
        <w:t>12</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7231E072">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_Toc8614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rPr>
        <w:t>8.3 生产配送桶饭管理</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_Toc8614 \h </w:instrText>
      </w:r>
      <w:r>
        <w:rPr>
          <w:rFonts w:hint="default" w:ascii="Times New Roman" w:hAnsi="Times New Roman" w:cs="Times New Roman"/>
          <w:color w:val="auto"/>
        </w:rPr>
        <w:fldChar w:fldCharType="separate"/>
      </w:r>
      <w:r>
        <w:rPr>
          <w:rFonts w:hint="default" w:ascii="Times New Roman" w:hAnsi="Times New Roman" w:cs="Times New Roman"/>
          <w:color w:val="auto"/>
        </w:rPr>
        <w:t>12</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342597A7">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_Toc12802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rPr>
        <w:t>8.4 餐盒和餐饮具管理</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_Toc12802 \h </w:instrText>
      </w:r>
      <w:r>
        <w:rPr>
          <w:rFonts w:hint="default" w:ascii="Times New Roman" w:hAnsi="Times New Roman" w:cs="Times New Roman"/>
          <w:color w:val="auto"/>
        </w:rPr>
        <w:fldChar w:fldCharType="separate"/>
      </w:r>
      <w:r>
        <w:rPr>
          <w:rFonts w:hint="default" w:ascii="Times New Roman" w:hAnsi="Times New Roman" w:cs="Times New Roman"/>
          <w:color w:val="auto"/>
        </w:rPr>
        <w:t>12</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5A2A5C9F">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_Toc27140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rPr>
        <w:t>8.5 配送安排</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_Toc27140 \h </w:instrText>
      </w:r>
      <w:r>
        <w:rPr>
          <w:rFonts w:hint="default" w:ascii="Times New Roman" w:hAnsi="Times New Roman" w:cs="Times New Roman"/>
          <w:color w:val="auto"/>
        </w:rPr>
        <w:fldChar w:fldCharType="separate"/>
      </w:r>
      <w:r>
        <w:rPr>
          <w:rFonts w:hint="default" w:ascii="Times New Roman" w:hAnsi="Times New Roman" w:cs="Times New Roman"/>
          <w:color w:val="auto"/>
        </w:rPr>
        <w:t>12</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086663F3">
      <w:pPr>
        <w:pStyle w:val="20"/>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_Toc22894 </w:instrText>
      </w:r>
      <w:r>
        <w:rPr>
          <w:rFonts w:hint="default" w:ascii="Times New Roman" w:hAnsi="Times New Roman" w:cs="Times New Roman"/>
          <w:bCs/>
          <w:color w:val="auto"/>
          <w:lang w:val="zh-CN"/>
        </w:rPr>
        <w:fldChar w:fldCharType="separate"/>
      </w:r>
      <w:r>
        <w:rPr>
          <w:rFonts w:hint="default" w:ascii="Times New Roman" w:hAnsi="Times New Roman" w:eastAsia="黑体" w:cs="Times New Roman"/>
          <w:bCs/>
          <w:i w:val="0"/>
          <w:color w:val="auto"/>
          <w:szCs w:val="21"/>
        </w:rPr>
        <w:t xml:space="preserve">9 </w:t>
      </w:r>
      <w:r>
        <w:rPr>
          <w:rFonts w:hint="default" w:ascii="Times New Roman" w:hAnsi="Times New Roman" w:cs="Times New Roman"/>
          <w:color w:val="auto"/>
        </w:rPr>
        <w:t>食品安全管理</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_Toc22894 \h </w:instrText>
      </w:r>
      <w:r>
        <w:rPr>
          <w:rFonts w:hint="default" w:ascii="Times New Roman" w:hAnsi="Times New Roman" w:cs="Times New Roman"/>
          <w:color w:val="auto"/>
        </w:rPr>
        <w:fldChar w:fldCharType="separate"/>
      </w:r>
      <w:r>
        <w:rPr>
          <w:rFonts w:hint="default" w:ascii="Times New Roman" w:hAnsi="Times New Roman" w:cs="Times New Roman"/>
          <w:color w:val="auto"/>
        </w:rPr>
        <w:t>12</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6F10F205">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_Toc3276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9.1</w:t>
      </w:r>
      <w:r>
        <w:rPr>
          <w:rFonts w:hint="default" w:ascii="Times New Roman" w:hAnsi="Times New Roman" w:cs="Times New Roman"/>
          <w:color w:val="auto"/>
        </w:rPr>
        <w:t>管理制度和事故处置</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_Toc3276 \h </w:instrText>
      </w:r>
      <w:r>
        <w:rPr>
          <w:rFonts w:hint="default" w:ascii="Times New Roman" w:hAnsi="Times New Roman" w:cs="Times New Roman"/>
          <w:color w:val="auto"/>
        </w:rPr>
        <w:fldChar w:fldCharType="separate"/>
      </w:r>
      <w:r>
        <w:rPr>
          <w:rFonts w:hint="default" w:ascii="Times New Roman" w:hAnsi="Times New Roman" w:cs="Times New Roman"/>
          <w:color w:val="auto"/>
        </w:rPr>
        <w:t>12</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0A5069B3">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_Toc22030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9.2</w:t>
      </w:r>
      <w:r>
        <w:rPr>
          <w:rFonts w:hint="default" w:ascii="Times New Roman" w:hAnsi="Times New Roman" w:cs="Times New Roman"/>
          <w:color w:val="auto"/>
        </w:rPr>
        <w:t>食品安全自查</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_Toc22030 \h </w:instrText>
      </w:r>
      <w:r>
        <w:rPr>
          <w:rFonts w:hint="default" w:ascii="Times New Roman" w:hAnsi="Times New Roman" w:cs="Times New Roman"/>
          <w:color w:val="auto"/>
        </w:rPr>
        <w:fldChar w:fldCharType="separate"/>
      </w:r>
      <w:r>
        <w:rPr>
          <w:rFonts w:hint="default" w:ascii="Times New Roman" w:hAnsi="Times New Roman" w:cs="Times New Roman"/>
          <w:color w:val="auto"/>
        </w:rPr>
        <w:t>12</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23484275">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_Toc22437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9.3</w:t>
      </w:r>
      <w:r>
        <w:rPr>
          <w:rFonts w:hint="default" w:ascii="Times New Roman" w:hAnsi="Times New Roman" w:cs="Times New Roman"/>
          <w:color w:val="auto"/>
        </w:rPr>
        <w:t>食品留样</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_Toc22437 \h </w:instrText>
      </w:r>
      <w:r>
        <w:rPr>
          <w:rFonts w:hint="default" w:ascii="Times New Roman" w:hAnsi="Times New Roman" w:cs="Times New Roman"/>
          <w:color w:val="auto"/>
        </w:rPr>
        <w:fldChar w:fldCharType="separate"/>
      </w:r>
      <w:r>
        <w:rPr>
          <w:rFonts w:hint="default" w:ascii="Times New Roman" w:hAnsi="Times New Roman" w:cs="Times New Roman"/>
          <w:color w:val="auto"/>
        </w:rPr>
        <w:t>13</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70436E39">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_Toc25716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9.4</w:t>
      </w:r>
      <w:r>
        <w:rPr>
          <w:rFonts w:hint="default" w:ascii="Times New Roman" w:hAnsi="Times New Roman" w:cs="Times New Roman"/>
          <w:color w:val="auto"/>
        </w:rPr>
        <w:t>检验</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_Toc25716 \h </w:instrText>
      </w:r>
      <w:r>
        <w:rPr>
          <w:rFonts w:hint="default" w:ascii="Times New Roman" w:hAnsi="Times New Roman" w:cs="Times New Roman"/>
          <w:color w:val="auto"/>
        </w:rPr>
        <w:fldChar w:fldCharType="separate"/>
      </w:r>
      <w:r>
        <w:rPr>
          <w:rFonts w:hint="default" w:ascii="Times New Roman" w:hAnsi="Times New Roman" w:cs="Times New Roman"/>
          <w:color w:val="auto"/>
        </w:rPr>
        <w:t>13</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15600988">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_Toc19515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9.5</w:t>
      </w:r>
      <w:r>
        <w:rPr>
          <w:rFonts w:hint="default" w:ascii="Times New Roman" w:hAnsi="Times New Roman" w:cs="Times New Roman"/>
          <w:color w:val="auto"/>
        </w:rPr>
        <w:t>记录和文件管理</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_Toc19515 \h </w:instrText>
      </w:r>
      <w:r>
        <w:rPr>
          <w:rFonts w:hint="default" w:ascii="Times New Roman" w:hAnsi="Times New Roman" w:cs="Times New Roman"/>
          <w:color w:val="auto"/>
        </w:rPr>
        <w:fldChar w:fldCharType="separate"/>
      </w:r>
      <w:r>
        <w:rPr>
          <w:rFonts w:hint="default" w:ascii="Times New Roman" w:hAnsi="Times New Roman" w:cs="Times New Roman"/>
          <w:color w:val="auto"/>
        </w:rPr>
        <w:t>13</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1BFD6995">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_Toc24954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9.6</w:t>
      </w:r>
      <w:r>
        <w:rPr>
          <w:rFonts w:hint="default" w:ascii="Times New Roman" w:hAnsi="Times New Roman" w:cs="Times New Roman"/>
          <w:color w:val="auto"/>
        </w:rPr>
        <w:t>食品质量安全责任</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_Toc24954 \h </w:instrText>
      </w:r>
      <w:r>
        <w:rPr>
          <w:rFonts w:hint="default" w:ascii="Times New Roman" w:hAnsi="Times New Roman" w:cs="Times New Roman"/>
          <w:color w:val="auto"/>
        </w:rPr>
        <w:fldChar w:fldCharType="separate"/>
      </w:r>
      <w:r>
        <w:rPr>
          <w:rFonts w:hint="default" w:ascii="Times New Roman" w:hAnsi="Times New Roman" w:cs="Times New Roman"/>
          <w:color w:val="auto"/>
        </w:rPr>
        <w:t>13</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40539198">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_Toc5746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lang w:val="en-US" w:eastAsia="zh-CN"/>
        </w:rPr>
        <w:t>9.7</w:t>
      </w:r>
      <w:r>
        <w:rPr>
          <w:rFonts w:hint="default" w:ascii="Times New Roman" w:hAnsi="Times New Roman" w:cs="Times New Roman"/>
          <w:color w:val="auto"/>
        </w:rPr>
        <w:t>应急管理</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_Toc5746 \h </w:instrText>
      </w:r>
      <w:r>
        <w:rPr>
          <w:rFonts w:hint="default" w:ascii="Times New Roman" w:hAnsi="Times New Roman" w:cs="Times New Roman"/>
          <w:color w:val="auto"/>
        </w:rPr>
        <w:fldChar w:fldCharType="separate"/>
      </w:r>
      <w:r>
        <w:rPr>
          <w:rFonts w:hint="default" w:ascii="Times New Roman" w:hAnsi="Times New Roman" w:cs="Times New Roman"/>
          <w:color w:val="auto"/>
        </w:rPr>
        <w:t>13</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0B09607F">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_Toc18974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9.7.1 食品安全事故处理</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_Toc18974 \h </w:instrText>
      </w:r>
      <w:r>
        <w:rPr>
          <w:rFonts w:hint="default" w:ascii="Times New Roman" w:hAnsi="Times New Roman" w:cs="Times New Roman"/>
          <w:color w:val="auto"/>
        </w:rPr>
        <w:fldChar w:fldCharType="separate"/>
      </w:r>
      <w:r>
        <w:rPr>
          <w:rFonts w:hint="default" w:ascii="Times New Roman" w:hAnsi="Times New Roman" w:cs="Times New Roman"/>
          <w:color w:val="auto"/>
        </w:rPr>
        <w:t>13</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02D37053">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_Toc25938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9.7.2 事故后的信息通报与沟通</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_Toc25938 \h </w:instrText>
      </w:r>
      <w:r>
        <w:rPr>
          <w:rFonts w:hint="default" w:ascii="Times New Roman" w:hAnsi="Times New Roman" w:cs="Times New Roman"/>
          <w:color w:val="auto"/>
        </w:rPr>
        <w:fldChar w:fldCharType="separate"/>
      </w:r>
      <w:r>
        <w:rPr>
          <w:rFonts w:hint="default" w:ascii="Times New Roman" w:hAnsi="Times New Roman" w:cs="Times New Roman"/>
          <w:color w:val="auto"/>
        </w:rPr>
        <w:t>14</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7DA81D63">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_Toc10045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9.7.3 公共卫生事件应对</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_Toc10045 \h </w:instrText>
      </w:r>
      <w:r>
        <w:rPr>
          <w:rFonts w:hint="default" w:ascii="Times New Roman" w:hAnsi="Times New Roman" w:cs="Times New Roman"/>
          <w:color w:val="auto"/>
        </w:rPr>
        <w:fldChar w:fldCharType="separate"/>
      </w:r>
      <w:r>
        <w:rPr>
          <w:rFonts w:hint="default" w:ascii="Times New Roman" w:hAnsi="Times New Roman" w:cs="Times New Roman"/>
          <w:color w:val="auto"/>
        </w:rPr>
        <w:t>14</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04DEF003">
      <w:pPr>
        <w:pStyle w:val="20"/>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_Toc17492 </w:instrText>
      </w:r>
      <w:r>
        <w:rPr>
          <w:rFonts w:hint="default" w:ascii="Times New Roman" w:hAnsi="Times New Roman" w:cs="Times New Roman"/>
          <w:bCs/>
          <w:color w:val="auto"/>
          <w:lang w:val="zh-CN"/>
        </w:rPr>
        <w:fldChar w:fldCharType="separate"/>
      </w:r>
      <w:r>
        <w:rPr>
          <w:rFonts w:hint="default" w:ascii="Times New Roman" w:hAnsi="Times New Roman" w:eastAsia="黑体" w:cs="Times New Roman"/>
          <w:bCs/>
          <w:i w:val="0"/>
          <w:color w:val="auto"/>
          <w:szCs w:val="21"/>
        </w:rPr>
        <w:t xml:space="preserve">10 </w:t>
      </w:r>
      <w:r>
        <w:rPr>
          <w:rFonts w:hint="default" w:ascii="Times New Roman" w:hAnsi="Times New Roman" w:cs="Times New Roman"/>
          <w:color w:val="auto"/>
        </w:rPr>
        <w:t>监督、评价与改进</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_Toc17492 \h </w:instrText>
      </w:r>
      <w:r>
        <w:rPr>
          <w:rFonts w:hint="default" w:ascii="Times New Roman" w:hAnsi="Times New Roman" w:cs="Times New Roman"/>
          <w:color w:val="auto"/>
        </w:rPr>
        <w:fldChar w:fldCharType="separate"/>
      </w:r>
      <w:r>
        <w:rPr>
          <w:rFonts w:hint="default" w:ascii="Times New Roman" w:hAnsi="Times New Roman" w:cs="Times New Roman"/>
          <w:color w:val="auto"/>
        </w:rPr>
        <w:t>14</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572E9B6D">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_Toc11325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rPr>
        <w:t>10.1 监督</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_Toc11325 \h </w:instrText>
      </w:r>
      <w:r>
        <w:rPr>
          <w:rFonts w:hint="default" w:ascii="Times New Roman" w:hAnsi="Times New Roman" w:cs="Times New Roman"/>
          <w:color w:val="auto"/>
        </w:rPr>
        <w:fldChar w:fldCharType="separate"/>
      </w:r>
      <w:r>
        <w:rPr>
          <w:rFonts w:hint="default" w:ascii="Times New Roman" w:hAnsi="Times New Roman" w:cs="Times New Roman"/>
          <w:color w:val="auto"/>
        </w:rPr>
        <w:t>14</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0DE567BD">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_Toc16360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rPr>
        <w:t>10.2 评价</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_Toc16360 \h </w:instrText>
      </w:r>
      <w:r>
        <w:rPr>
          <w:rFonts w:hint="default" w:ascii="Times New Roman" w:hAnsi="Times New Roman" w:cs="Times New Roman"/>
          <w:color w:val="auto"/>
        </w:rPr>
        <w:fldChar w:fldCharType="separate"/>
      </w:r>
      <w:r>
        <w:rPr>
          <w:rFonts w:hint="default" w:ascii="Times New Roman" w:hAnsi="Times New Roman" w:cs="Times New Roman"/>
          <w:color w:val="auto"/>
        </w:rPr>
        <w:t>14</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0CDA46E1">
      <w:pPr>
        <w:pStyle w:val="29"/>
        <w:tabs>
          <w:tab w:val="right" w:leader="dot" w:pos="9354"/>
          <w:tab w:val="clear" w:pos="9242"/>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_Toc18402 </w:instrText>
      </w:r>
      <w:r>
        <w:rPr>
          <w:rFonts w:hint="default" w:ascii="Times New Roman" w:hAnsi="Times New Roman" w:cs="Times New Roman"/>
          <w:bCs/>
          <w:color w:val="auto"/>
          <w:lang w:val="zh-CN"/>
        </w:rPr>
        <w:fldChar w:fldCharType="separate"/>
      </w:r>
      <w:r>
        <w:rPr>
          <w:rFonts w:hint="default" w:ascii="Times New Roman" w:hAnsi="Times New Roman" w:cs="Times New Roman"/>
          <w:bCs/>
          <w:color w:val="auto"/>
        </w:rPr>
        <w:t>10.3 改进</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_Toc18402 \h </w:instrText>
      </w:r>
      <w:r>
        <w:rPr>
          <w:rFonts w:hint="default" w:ascii="Times New Roman" w:hAnsi="Times New Roman" w:cs="Times New Roman"/>
          <w:color w:val="auto"/>
        </w:rPr>
        <w:fldChar w:fldCharType="separate"/>
      </w:r>
      <w:r>
        <w:rPr>
          <w:rFonts w:hint="default" w:ascii="Times New Roman" w:hAnsi="Times New Roman" w:cs="Times New Roman"/>
          <w:color w:val="auto"/>
        </w:rPr>
        <w:t>14</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19F90A08">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_Toc14199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10.3.1 问题改进与整改</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_Toc14199 \h </w:instrText>
      </w:r>
      <w:r>
        <w:rPr>
          <w:rFonts w:hint="default" w:ascii="Times New Roman" w:hAnsi="Times New Roman" w:cs="Times New Roman"/>
          <w:color w:val="auto"/>
        </w:rPr>
        <w:fldChar w:fldCharType="separate"/>
      </w:r>
      <w:r>
        <w:rPr>
          <w:rFonts w:hint="default" w:ascii="Times New Roman" w:hAnsi="Times New Roman" w:cs="Times New Roman"/>
          <w:color w:val="auto"/>
        </w:rPr>
        <w:t>14</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27DB5A63">
      <w:pPr>
        <w:pStyle w:val="13"/>
        <w:tabs>
          <w:tab w:val="right" w:leader="dot" w:pos="9354"/>
          <w:tab w:val="clear" w:pos="9241"/>
        </w:tabs>
        <w:rPr>
          <w:rFonts w:hint="default" w:ascii="Times New Roman" w:hAnsi="Times New Roman" w:cs="Times New Roman"/>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_Toc8412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10.3.2 整改记录</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_Toc8412 \h </w:instrText>
      </w:r>
      <w:r>
        <w:rPr>
          <w:rFonts w:hint="default" w:ascii="Times New Roman" w:hAnsi="Times New Roman" w:cs="Times New Roman"/>
          <w:color w:val="auto"/>
        </w:rPr>
        <w:fldChar w:fldCharType="separate"/>
      </w:r>
      <w:r>
        <w:rPr>
          <w:rFonts w:hint="default" w:ascii="Times New Roman" w:hAnsi="Times New Roman" w:cs="Times New Roman"/>
          <w:color w:val="auto"/>
        </w:rPr>
        <w:t>14</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6282270C">
      <w:pPr>
        <w:pStyle w:val="13"/>
        <w:tabs>
          <w:tab w:val="right" w:leader="dot" w:pos="9354"/>
          <w:tab w:val="clear" w:pos="9241"/>
        </w:tabs>
        <w:rPr>
          <w:color w:val="auto"/>
        </w:rPr>
      </w:pPr>
      <w:r>
        <w:rPr>
          <w:rFonts w:hint="default" w:ascii="Times New Roman" w:hAnsi="Times New Roman" w:cs="Times New Roman"/>
          <w:bCs/>
          <w:color w:val="auto"/>
          <w:lang w:val="zh-CN"/>
        </w:rPr>
        <w:fldChar w:fldCharType="begin"/>
      </w:r>
      <w:r>
        <w:rPr>
          <w:rFonts w:hint="default" w:ascii="Times New Roman" w:hAnsi="Times New Roman" w:cs="Times New Roman"/>
          <w:bCs/>
          <w:color w:val="auto"/>
          <w:lang w:val="zh-CN"/>
        </w:rPr>
        <w:instrText xml:space="preserve"> HYPERLINK \l _Toc4143 </w:instrText>
      </w:r>
      <w:r>
        <w:rPr>
          <w:rFonts w:hint="default" w:ascii="Times New Roman" w:hAnsi="Times New Roman" w:cs="Times New Roman"/>
          <w:bCs/>
          <w:color w:val="auto"/>
          <w:lang w:val="zh-CN"/>
        </w:rPr>
        <w:fldChar w:fldCharType="separate"/>
      </w:r>
      <w:r>
        <w:rPr>
          <w:rFonts w:hint="default" w:ascii="Times New Roman" w:hAnsi="Times New Roman" w:cs="Times New Roman"/>
          <w:color w:val="auto"/>
        </w:rPr>
        <w:t>10.3.3 整改不到位的责任追究</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_Toc4143 \h </w:instrText>
      </w:r>
      <w:r>
        <w:rPr>
          <w:rFonts w:hint="default" w:ascii="Times New Roman" w:hAnsi="Times New Roman" w:cs="Times New Roman"/>
          <w:color w:val="auto"/>
        </w:rPr>
        <w:fldChar w:fldCharType="separate"/>
      </w:r>
      <w:r>
        <w:rPr>
          <w:rFonts w:hint="default" w:ascii="Times New Roman" w:hAnsi="Times New Roman" w:cs="Times New Roman"/>
          <w:color w:val="auto"/>
        </w:rPr>
        <w:t>14</w:t>
      </w:r>
      <w:r>
        <w:rPr>
          <w:rFonts w:hint="default" w:ascii="Times New Roman" w:hAnsi="Times New Roman" w:cs="Times New Roman"/>
          <w:color w:val="auto"/>
        </w:rPr>
        <w:fldChar w:fldCharType="end"/>
      </w:r>
      <w:r>
        <w:rPr>
          <w:rFonts w:hint="default" w:ascii="Times New Roman" w:hAnsi="Times New Roman" w:cs="Times New Roman"/>
          <w:bCs/>
          <w:color w:val="auto"/>
          <w:lang w:val="zh-CN"/>
        </w:rPr>
        <w:fldChar w:fldCharType="end"/>
      </w:r>
    </w:p>
    <w:p w14:paraId="5F68A45F">
      <w:pPr>
        <w:rPr>
          <w:rFonts w:hint="default" w:ascii="Times New Roman" w:hAnsi="Times New Roman" w:cs="Times New Roman"/>
          <w:color w:val="auto"/>
        </w:rPr>
      </w:pPr>
      <w:r>
        <w:rPr>
          <w:rFonts w:hint="default" w:ascii="Times New Roman" w:hAnsi="Times New Roman" w:cs="Times New Roman"/>
          <w:bCs/>
          <w:color w:val="auto"/>
          <w:lang w:val="zh-CN"/>
        </w:rPr>
        <w:fldChar w:fldCharType="end"/>
      </w:r>
    </w:p>
    <w:p w14:paraId="23A10A3B">
      <w:pPr>
        <w:jc w:val="center"/>
        <w:rPr>
          <w:rFonts w:hint="default" w:ascii="Times New Roman" w:hAnsi="Times New Roman" w:cs="Times New Roman"/>
          <w:color w:val="auto"/>
          <w:szCs w:val="21"/>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TOC \o "1-1" \h \u </w:instrText>
      </w:r>
      <w:r>
        <w:rPr>
          <w:rFonts w:hint="default" w:ascii="Times New Roman" w:hAnsi="Times New Roman" w:cs="Times New Roman"/>
          <w:color w:val="auto"/>
        </w:rPr>
        <w:fldChar w:fldCharType="separate"/>
      </w:r>
    </w:p>
    <w:p w14:paraId="14924AEF">
      <w:pPr>
        <w:pStyle w:val="20"/>
        <w:tabs>
          <w:tab w:val="right" w:leader="dot" w:pos="9354"/>
          <w:tab w:val="clear" w:pos="9242"/>
        </w:tabs>
        <w:spacing w:before="78" w:after="78" w:line="240" w:lineRule="auto"/>
        <w:rPr>
          <w:rFonts w:hint="default" w:ascii="Times New Roman" w:hAnsi="Times New Roman" w:cs="Times New Roman"/>
          <w:color w:val="auto"/>
        </w:rPr>
      </w:pPr>
    </w:p>
    <w:p w14:paraId="04C95F0F">
      <w:pPr>
        <w:pStyle w:val="124"/>
        <w:outlineLvl w:val="9"/>
        <w:rPr>
          <w:rFonts w:hint="default" w:ascii="Times New Roman" w:hAnsi="Times New Roman" w:cs="Times New Roman"/>
          <w:color w:val="auto"/>
        </w:rPr>
        <w:sectPr>
          <w:headerReference r:id="rId3" w:type="default"/>
          <w:footerReference r:id="rId4" w:type="default"/>
          <w:pgSz w:w="11906" w:h="16838"/>
          <w:pgMar w:top="567" w:right="1134" w:bottom="1134" w:left="1418" w:header="1418" w:footer="1134" w:gutter="0"/>
          <w:pgNumType w:fmt="upperRoman" w:start="1"/>
          <w:cols w:space="720" w:num="1"/>
          <w:formProt w:val="0"/>
          <w:docGrid w:type="lines" w:linePitch="312" w:charSpace="0"/>
        </w:sectPr>
      </w:pPr>
    </w:p>
    <w:p w14:paraId="6F773CBE">
      <w:pPr>
        <w:pStyle w:val="124"/>
        <w:rPr>
          <w:rFonts w:hint="default" w:ascii="Times New Roman" w:hAnsi="Times New Roman" w:cs="Times New Roman"/>
          <w:color w:val="auto"/>
          <w:szCs w:val="22"/>
        </w:rPr>
      </w:pPr>
      <w:bookmarkStart w:id="8" w:name="_Toc17064"/>
      <w:r>
        <w:rPr>
          <w:rFonts w:hint="default" w:ascii="Times New Roman" w:hAnsi="Times New Roman" w:cs="Times New Roman"/>
          <w:color w:val="auto"/>
        </w:rPr>
        <w:fldChar w:fldCharType="end"/>
      </w:r>
      <w:bookmarkStart w:id="9" w:name="_Toc162708748"/>
      <w:bookmarkStart w:id="10" w:name="_Toc13454"/>
      <w:r>
        <w:rPr>
          <w:rFonts w:hint="default" w:ascii="Times New Roman" w:hAnsi="Times New Roman" w:cs="Times New Roman"/>
          <w:color w:val="auto"/>
          <w:szCs w:val="22"/>
        </w:rPr>
        <w:t>前   言</w:t>
      </w:r>
      <w:bookmarkEnd w:id="8"/>
      <w:bookmarkEnd w:id="9"/>
      <w:bookmarkEnd w:id="10"/>
    </w:p>
    <w:p w14:paraId="53CB8321">
      <w:pPr>
        <w:pStyle w:val="24"/>
        <w:adjustRightInd w:val="0"/>
        <w:snapToGrid w:val="0"/>
        <w:spacing w:line="240" w:lineRule="auto"/>
        <w:ind w:firstLine="0" w:firstLineChars="0"/>
        <w:rPr>
          <w:rFonts w:hint="default" w:ascii="Times New Roman" w:hAnsi="Times New Roman" w:cs="Times New Roman"/>
          <w:color w:val="auto"/>
        </w:rPr>
      </w:pPr>
      <w:r>
        <w:rPr>
          <w:rFonts w:hint="default" w:ascii="Times New Roman" w:hAnsi="Times New Roman" w:cs="Times New Roman"/>
          <w:color w:val="auto"/>
        </w:rPr>
        <w:t>本文件按照GB/T1.1-2020《标准化工作导则 第1部分：标准化文件的结构和起草规则》的规定起草。</w:t>
      </w:r>
    </w:p>
    <w:p w14:paraId="486691B9">
      <w:pPr>
        <w:pStyle w:val="24"/>
        <w:spacing w:line="240" w:lineRule="auto"/>
        <w:ind w:firstLine="0" w:firstLineChars="0"/>
        <w:rPr>
          <w:rFonts w:hint="default" w:ascii="Times New Roman" w:hAnsi="Times New Roman" w:cs="Times New Roman"/>
          <w:color w:val="auto"/>
        </w:rPr>
      </w:pPr>
      <w:r>
        <w:rPr>
          <w:rFonts w:hint="default" w:ascii="Times New Roman" w:hAnsi="Times New Roman" w:cs="Times New Roman"/>
          <w:color w:val="auto"/>
        </w:rPr>
        <w:t>请注意本文件的某些内容可能涉及专利。本文件的发布机构不承担识别专利的责任。</w:t>
      </w:r>
    </w:p>
    <w:p w14:paraId="0B590F09">
      <w:pPr>
        <w:pStyle w:val="24"/>
        <w:spacing w:line="240" w:lineRule="auto"/>
        <w:ind w:firstLine="0" w:firstLineChars="0"/>
        <w:rPr>
          <w:rFonts w:hint="default" w:ascii="Times New Roman" w:hAnsi="Times New Roman" w:cs="Times New Roman"/>
          <w:color w:val="auto"/>
        </w:rPr>
      </w:pPr>
      <w:r>
        <w:rPr>
          <w:rFonts w:hint="default" w:ascii="Times New Roman" w:hAnsi="Times New Roman" w:cs="Times New Roman"/>
          <w:color w:val="auto"/>
        </w:rPr>
        <w:t>本文件由六安市市场监督管理局提出。</w:t>
      </w:r>
    </w:p>
    <w:p w14:paraId="17419A7F">
      <w:pPr>
        <w:widowControl/>
        <w:spacing w:line="240" w:lineRule="auto"/>
        <w:rPr>
          <w:rFonts w:hint="default" w:ascii="Times New Roman" w:hAnsi="Times New Roman" w:cs="Times New Roman"/>
          <w:color w:val="auto"/>
          <w:kern w:val="0"/>
          <w:szCs w:val="20"/>
        </w:rPr>
      </w:pPr>
      <w:r>
        <w:rPr>
          <w:rFonts w:hint="default" w:ascii="Times New Roman" w:hAnsi="Times New Roman" w:cs="Times New Roman"/>
          <w:color w:val="auto"/>
          <w:kern w:val="0"/>
          <w:szCs w:val="20"/>
        </w:rPr>
        <w:t>本文件由安徽省市场监督管理局归口。</w:t>
      </w:r>
    </w:p>
    <w:p w14:paraId="5D669A54">
      <w:pPr>
        <w:widowControl/>
        <w:spacing w:line="240" w:lineRule="auto"/>
        <w:rPr>
          <w:rFonts w:hint="default" w:ascii="Times New Roman" w:hAnsi="Times New Roman" w:cs="Times New Roman"/>
          <w:color w:val="auto"/>
          <w:kern w:val="0"/>
          <w:szCs w:val="20"/>
        </w:rPr>
      </w:pPr>
      <w:r>
        <w:rPr>
          <w:rFonts w:hint="default" w:ascii="Times New Roman" w:hAnsi="Times New Roman" w:cs="Times New Roman"/>
          <w:color w:val="auto"/>
          <w:kern w:val="0"/>
          <w:szCs w:val="20"/>
        </w:rPr>
        <w:t>本文件起草单位：六安市市场监督管理局、合肥工业大学、六安市食品药品检验中心</w:t>
      </w:r>
      <w:r>
        <w:rPr>
          <w:rFonts w:hint="default" w:ascii="Times New Roman" w:hAnsi="Times New Roman" w:cs="Times New Roman"/>
          <w:color w:val="auto"/>
          <w:kern w:val="0"/>
          <w:szCs w:val="20"/>
          <w:lang w:eastAsia="zh-CN"/>
        </w:rPr>
        <w:t>、六安市裕安区教育局、六安市裕安区紫荆小学、合肥工业大学附属中学</w:t>
      </w:r>
      <w:r>
        <w:rPr>
          <w:rFonts w:hint="default" w:ascii="Times New Roman" w:hAnsi="Times New Roman" w:cs="Times New Roman"/>
          <w:color w:val="auto"/>
          <w:kern w:val="0"/>
          <w:szCs w:val="20"/>
        </w:rPr>
        <w:t>。</w:t>
      </w:r>
    </w:p>
    <w:p w14:paraId="2D8F8F8A">
      <w:pPr>
        <w:widowControl/>
        <w:spacing w:line="240" w:lineRule="auto"/>
        <w:rPr>
          <w:rFonts w:hint="default" w:ascii="Times New Roman" w:hAnsi="Times New Roman" w:cs="Times New Roman"/>
          <w:color w:val="auto"/>
          <w:kern w:val="0"/>
          <w:szCs w:val="20"/>
        </w:rPr>
        <w:sectPr>
          <w:footerReference r:id="rId5" w:type="default"/>
          <w:pgSz w:w="11906" w:h="16838"/>
          <w:pgMar w:top="567" w:right="1134" w:bottom="1134" w:left="1418" w:header="1418" w:footer="1134" w:gutter="0"/>
          <w:pgNumType w:fmt="upperRoman" w:start="1"/>
          <w:cols w:space="720" w:num="1"/>
          <w:formProt w:val="0"/>
          <w:docGrid w:type="lines" w:linePitch="312" w:charSpace="0"/>
        </w:sectPr>
      </w:pPr>
      <w:r>
        <w:rPr>
          <w:rFonts w:hint="default" w:ascii="Times New Roman" w:hAnsi="Times New Roman" w:cs="Times New Roman"/>
          <w:color w:val="auto"/>
          <w:kern w:val="0"/>
          <w:szCs w:val="20"/>
        </w:rPr>
        <w:t>本文件主要起草人：</w:t>
      </w:r>
    </w:p>
    <w:bookmarkEnd w:id="7"/>
    <w:p w14:paraId="5CB69491">
      <w:pPr>
        <w:pStyle w:val="133"/>
        <w:adjustRightInd w:val="0"/>
        <w:snapToGrid w:val="0"/>
        <w:spacing w:before="157" w:beforeLines="50" w:after="0" w:line="240" w:lineRule="auto"/>
        <w:outlineLvl w:val="9"/>
        <w:rPr>
          <w:rFonts w:hint="default" w:ascii="Times New Roman" w:hAnsi="Times New Roman" w:cs="Times New Roman"/>
          <w:color w:val="auto"/>
        </w:rPr>
      </w:pPr>
      <w:bookmarkStart w:id="11" w:name="_Toc31457"/>
      <w:bookmarkStart w:id="12" w:name="_Toc162708749"/>
      <w:bookmarkStart w:id="13" w:name="_Toc12598"/>
      <w:r>
        <w:rPr>
          <w:rFonts w:hint="default" w:ascii="Times New Roman" w:hAnsi="Times New Roman" w:cs="Times New Roman"/>
          <w:color w:val="auto"/>
        </w:rPr>
        <w:t>中小学校团体供餐单位食品安全</w:t>
      </w:r>
      <w:r>
        <w:rPr>
          <w:rFonts w:hint="default" w:ascii="Times New Roman" w:hAnsi="Times New Roman" w:cs="Times New Roman"/>
          <w:color w:val="auto"/>
          <w:lang w:eastAsia="zh-CN"/>
        </w:rPr>
        <w:t>管理</w:t>
      </w:r>
      <w:r>
        <w:rPr>
          <w:rFonts w:hint="default" w:ascii="Times New Roman" w:hAnsi="Times New Roman" w:cs="Times New Roman"/>
          <w:color w:val="auto"/>
        </w:rPr>
        <w:t>规范</w:t>
      </w:r>
      <w:bookmarkEnd w:id="11"/>
      <w:bookmarkEnd w:id="12"/>
      <w:bookmarkEnd w:id="13"/>
    </w:p>
    <w:p w14:paraId="07E2480B">
      <w:pPr>
        <w:pStyle w:val="83"/>
        <w:kinsoku/>
        <w:wordWrap/>
        <w:overflowPunct/>
        <w:topLinePunct w:val="0"/>
        <w:bidi w:val="0"/>
        <w:adjustRightInd w:val="0"/>
        <w:snapToGrid w:val="0"/>
        <w:spacing w:before="157" w:beforeLines="50" w:afterLines="0" w:line="240" w:lineRule="auto"/>
        <w:textAlignment w:val="auto"/>
        <w:outlineLvl w:val="0"/>
        <w:rPr>
          <w:rFonts w:hint="default" w:ascii="Times New Roman" w:hAnsi="Times New Roman" w:cs="Times New Roman"/>
          <w:color w:val="auto"/>
        </w:rPr>
      </w:pPr>
      <w:bookmarkStart w:id="14" w:name="_Toc162708750"/>
      <w:bookmarkStart w:id="15" w:name="_Toc12468"/>
      <w:bookmarkStart w:id="16" w:name="_Toc31619"/>
      <w:r>
        <w:rPr>
          <w:rFonts w:hint="default" w:ascii="Times New Roman" w:hAnsi="Times New Roman" w:cs="Times New Roman"/>
          <w:color w:val="auto"/>
        </w:rPr>
        <w:t>范围</w:t>
      </w:r>
      <w:bookmarkEnd w:id="14"/>
      <w:bookmarkEnd w:id="15"/>
      <w:bookmarkEnd w:id="16"/>
    </w:p>
    <w:p w14:paraId="76DB76BF">
      <w:p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szCs w:val="21"/>
        </w:rPr>
      </w:pPr>
      <w:r>
        <w:rPr>
          <w:rFonts w:hint="default" w:ascii="Times New Roman" w:hAnsi="Times New Roman" w:cs="Times New Roman"/>
          <w:color w:val="auto"/>
          <w:szCs w:val="21"/>
        </w:rPr>
        <w:t>本标准规定了安徽省中小学校（包括普通中学、中等职业学校、小学、幼儿园）团体供餐（以下简称“团餐”）管理的术语和定义、总则、通用要求、管理要求、供餐配送要求及食品安全管理要求。</w:t>
      </w:r>
    </w:p>
    <w:p w14:paraId="35501AEB">
      <w:p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szCs w:val="21"/>
        </w:rPr>
      </w:pPr>
      <w:r>
        <w:rPr>
          <w:rFonts w:hint="default" w:ascii="Times New Roman" w:hAnsi="Times New Roman" w:cs="Times New Roman"/>
          <w:color w:val="auto"/>
          <w:szCs w:val="21"/>
        </w:rPr>
        <w:t>本标准适用于安徽省内中小学校供餐单位所配送的中小学生在校团餐的</w:t>
      </w:r>
      <w:r>
        <w:rPr>
          <w:rFonts w:hint="default" w:ascii="Times New Roman" w:hAnsi="Times New Roman" w:cs="Times New Roman"/>
          <w:color w:val="auto"/>
        </w:rPr>
        <w:t>食品质量</w:t>
      </w:r>
      <w:r>
        <w:rPr>
          <w:rFonts w:hint="default" w:ascii="Times New Roman" w:hAnsi="Times New Roman" w:cs="Times New Roman"/>
          <w:color w:val="auto"/>
          <w:szCs w:val="21"/>
        </w:rPr>
        <w:t>与</w:t>
      </w:r>
      <w:r>
        <w:rPr>
          <w:rFonts w:hint="default" w:ascii="Times New Roman" w:hAnsi="Times New Roman" w:cs="Times New Roman"/>
          <w:color w:val="auto"/>
        </w:rPr>
        <w:t>安全</w:t>
      </w:r>
      <w:r>
        <w:rPr>
          <w:rFonts w:hint="default" w:ascii="Times New Roman" w:hAnsi="Times New Roman" w:cs="Times New Roman"/>
          <w:color w:val="auto"/>
          <w:szCs w:val="21"/>
        </w:rPr>
        <w:t>管理。</w:t>
      </w:r>
    </w:p>
    <w:p w14:paraId="7788C10E">
      <w:pPr>
        <w:pStyle w:val="83"/>
        <w:adjustRightInd w:val="0"/>
        <w:snapToGrid w:val="0"/>
        <w:spacing w:before="157" w:beforeLines="50" w:afterLines="0" w:line="240" w:lineRule="auto"/>
        <w:outlineLvl w:val="0"/>
        <w:rPr>
          <w:rFonts w:hint="default" w:ascii="Times New Roman" w:hAnsi="Times New Roman" w:cs="Times New Roman"/>
          <w:color w:val="auto"/>
        </w:rPr>
      </w:pPr>
      <w:bookmarkStart w:id="17" w:name="_Toc162708751"/>
      <w:bookmarkStart w:id="18" w:name="_Toc13383"/>
      <w:bookmarkStart w:id="19" w:name="_Toc16904"/>
      <w:r>
        <w:rPr>
          <w:rFonts w:hint="default" w:ascii="Times New Roman" w:hAnsi="Times New Roman" w:cs="Times New Roman"/>
          <w:color w:val="auto"/>
        </w:rPr>
        <w:t>规范性引用文件</w:t>
      </w:r>
      <w:bookmarkEnd w:id="17"/>
      <w:bookmarkEnd w:id="18"/>
      <w:bookmarkEnd w:id="19"/>
    </w:p>
    <w:p w14:paraId="4F02C0A6">
      <w:pPr>
        <w:pStyle w:val="83"/>
        <w:numPr>
          <w:ilvl w:val="0"/>
          <w:numId w:val="0"/>
        </w:numPr>
        <w:adjustRightInd w:val="0"/>
        <w:snapToGrid w:val="0"/>
        <w:spacing w:before="157" w:beforeLines="50" w:afterLines="0" w:line="240" w:lineRule="auto"/>
        <w:ind w:firstLine="420" w:firstLineChars="200"/>
        <w:outlineLvl w:val="9"/>
        <w:rPr>
          <w:rFonts w:hint="default" w:ascii="Times New Roman" w:hAnsi="Times New Roman" w:cs="Times New Roman"/>
          <w:color w:val="auto"/>
          <w:szCs w:val="22"/>
        </w:rPr>
      </w:pPr>
      <w:bookmarkStart w:id="20" w:name="_Toc1910"/>
      <w:r>
        <w:rPr>
          <w:rFonts w:hint="default" w:ascii="Times New Roman" w:hAnsi="Times New Roman" w:eastAsia="宋体" w:cs="Times New Roman"/>
          <w:color w:val="auto"/>
          <w:kern w:val="2"/>
          <w:szCs w:val="21"/>
        </w:rPr>
        <w:t>本标准中的相关条款通过文中的规范性引用构成不可或缺的内容。对于注明日期的引用文件，仅适用于该日期对应的版本；而对于未注明日期的引用文件，则适用其最新版本（包括所有修订）。</w:t>
      </w:r>
      <w:bookmarkEnd w:id="20"/>
    </w:p>
    <w:p w14:paraId="38020640">
      <w:p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szCs w:val="22"/>
        </w:rPr>
      </w:pPr>
      <w:r>
        <w:rPr>
          <w:rFonts w:hint="default" w:ascii="Times New Roman" w:hAnsi="Times New Roman" w:cs="Times New Roman"/>
          <w:color w:val="auto"/>
          <w:szCs w:val="22"/>
        </w:rPr>
        <w:t>GB 7718</w:t>
      </w:r>
      <w:r>
        <w:rPr>
          <w:rFonts w:hint="default" w:ascii="Times New Roman" w:hAnsi="Times New Roman" w:cs="Times New Roman"/>
          <w:color w:val="auto"/>
          <w:szCs w:val="22"/>
          <w:lang w:val="en-US" w:eastAsia="zh-CN"/>
        </w:rPr>
        <w:t>-2011</w:t>
      </w:r>
      <w:r>
        <w:rPr>
          <w:rFonts w:hint="default" w:ascii="Times New Roman" w:hAnsi="Times New Roman" w:eastAsia="宋体" w:cs="Times New Roman"/>
          <w:color w:val="auto"/>
          <w:szCs w:val="22"/>
          <w:lang w:val="en-US" w:eastAsia="zh-CN"/>
        </w:rPr>
        <w:t xml:space="preserve"> </w:t>
      </w:r>
      <w:r>
        <w:rPr>
          <w:rFonts w:hint="default" w:ascii="Times New Roman" w:hAnsi="Times New Roman" w:cs="Times New Roman"/>
          <w:color w:val="auto"/>
          <w:szCs w:val="21"/>
        </w:rPr>
        <w:t>《</w:t>
      </w:r>
      <w:r>
        <w:rPr>
          <w:rFonts w:hint="default" w:ascii="Times New Roman" w:hAnsi="Times New Roman" w:cs="Times New Roman"/>
          <w:color w:val="auto"/>
          <w:szCs w:val="22"/>
        </w:rPr>
        <w:t>食品安全国家标准</w:t>
      </w:r>
      <w:r>
        <w:rPr>
          <w:rFonts w:hint="default" w:ascii="Times New Roman" w:hAnsi="Times New Roman" w:eastAsia="宋体" w:cs="Times New Roman"/>
          <w:color w:val="auto"/>
          <w:szCs w:val="22"/>
          <w:lang w:val="en-US" w:eastAsia="zh-CN"/>
        </w:rPr>
        <w:t xml:space="preserve">  </w:t>
      </w:r>
      <w:r>
        <w:rPr>
          <w:rFonts w:hint="default" w:ascii="Times New Roman" w:hAnsi="Times New Roman" w:cs="Times New Roman"/>
          <w:color w:val="auto"/>
          <w:szCs w:val="22"/>
        </w:rPr>
        <w:t>预包装食品标签通则</w:t>
      </w:r>
      <w:r>
        <w:rPr>
          <w:rFonts w:hint="default" w:ascii="Times New Roman" w:hAnsi="Times New Roman" w:cs="Times New Roman"/>
          <w:color w:val="auto"/>
          <w:szCs w:val="21"/>
        </w:rPr>
        <w:t>》</w:t>
      </w:r>
    </w:p>
    <w:p w14:paraId="2428E352">
      <w:p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szCs w:val="21"/>
        </w:rPr>
      </w:pPr>
      <w:r>
        <w:rPr>
          <w:rFonts w:hint="default" w:ascii="Times New Roman" w:hAnsi="Times New Roman" w:cs="Times New Roman"/>
          <w:color w:val="auto"/>
          <w:szCs w:val="21"/>
        </w:rPr>
        <w:t>GB 2760</w:t>
      </w:r>
      <w:r>
        <w:rPr>
          <w:rFonts w:hint="default" w:ascii="Times New Roman" w:hAnsi="Times New Roman" w:cs="Times New Roman"/>
          <w:color w:val="auto"/>
          <w:szCs w:val="21"/>
          <w:lang w:val="en-US" w:eastAsia="zh-CN"/>
        </w:rPr>
        <w:t xml:space="preserve">-2024 </w:t>
      </w:r>
      <w:r>
        <w:rPr>
          <w:rFonts w:hint="default" w:ascii="Times New Roman" w:hAnsi="Times New Roman" w:cs="Times New Roman"/>
          <w:color w:val="auto"/>
          <w:szCs w:val="21"/>
        </w:rPr>
        <w:t>《食品安全国家标准 食品添加剂使用标准》</w:t>
      </w:r>
    </w:p>
    <w:p w14:paraId="080FB21D">
      <w:p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szCs w:val="21"/>
        </w:rPr>
      </w:pPr>
      <w:r>
        <w:rPr>
          <w:rFonts w:hint="default" w:ascii="Times New Roman" w:hAnsi="Times New Roman" w:cs="Times New Roman"/>
          <w:color w:val="auto"/>
          <w:szCs w:val="21"/>
        </w:rPr>
        <w:t>GB 31654</w:t>
      </w:r>
      <w:r>
        <w:rPr>
          <w:rFonts w:hint="default" w:ascii="Times New Roman" w:hAnsi="Times New Roman" w:cs="Times New Roman"/>
          <w:color w:val="auto"/>
          <w:szCs w:val="21"/>
          <w:lang w:val="en-US" w:eastAsia="zh-CN"/>
        </w:rPr>
        <w:t>-2021</w:t>
      </w:r>
      <w:r>
        <w:rPr>
          <w:rFonts w:hint="default" w:ascii="Times New Roman" w:hAnsi="Times New Roman" w:cs="Times New Roman"/>
          <w:color w:val="auto"/>
          <w:szCs w:val="21"/>
        </w:rPr>
        <w:t xml:space="preserve"> 《食品安全国家标准 餐饮服务通用卫生规范》</w:t>
      </w:r>
    </w:p>
    <w:p w14:paraId="0EFFAD3C">
      <w:p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szCs w:val="21"/>
        </w:rPr>
      </w:pPr>
      <w:r>
        <w:rPr>
          <w:rFonts w:hint="default" w:ascii="Times New Roman" w:hAnsi="Times New Roman" w:cs="Times New Roman"/>
          <w:color w:val="auto"/>
          <w:szCs w:val="21"/>
        </w:rPr>
        <w:t>GB 14934 《食品安全国家标准 消毒餐（饮）具》</w:t>
      </w:r>
    </w:p>
    <w:p w14:paraId="2BCEDF9A">
      <w:p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szCs w:val="21"/>
        </w:rPr>
      </w:pPr>
      <w:r>
        <w:rPr>
          <w:rFonts w:hint="default" w:ascii="Times New Roman" w:hAnsi="Times New Roman" w:cs="Times New Roman"/>
          <w:color w:val="auto"/>
          <w:szCs w:val="21"/>
        </w:rPr>
        <w:t>GB 14930.1 《食品安全国家标准 洗涤剂》</w:t>
      </w:r>
    </w:p>
    <w:p w14:paraId="5AF16F25">
      <w:p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szCs w:val="21"/>
        </w:rPr>
      </w:pPr>
      <w:r>
        <w:rPr>
          <w:rFonts w:hint="default" w:ascii="Times New Roman" w:hAnsi="Times New Roman" w:cs="Times New Roman"/>
          <w:color w:val="auto"/>
          <w:szCs w:val="21"/>
        </w:rPr>
        <w:t>GB 14930.2 《食品安全国家标准 消毒剂》</w:t>
      </w:r>
    </w:p>
    <w:p w14:paraId="0F0DA92F">
      <w:p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szCs w:val="21"/>
        </w:rPr>
      </w:pPr>
      <w:r>
        <w:rPr>
          <w:rFonts w:hint="default" w:ascii="Times New Roman" w:hAnsi="Times New Roman" w:cs="Times New Roman"/>
          <w:color w:val="auto"/>
          <w:szCs w:val="21"/>
        </w:rPr>
        <w:t>GB 5749</w:t>
      </w:r>
      <w:r>
        <w:rPr>
          <w:rFonts w:hint="default" w:ascii="Times New Roman" w:hAnsi="Times New Roman" w:cs="Times New Roman"/>
          <w:color w:val="auto"/>
          <w:szCs w:val="21"/>
          <w:lang w:val="en-US" w:eastAsia="zh-CN"/>
        </w:rPr>
        <w:t>-2022</w:t>
      </w:r>
      <w:r>
        <w:rPr>
          <w:rFonts w:hint="default" w:ascii="Times New Roman" w:hAnsi="Times New Roman" w:cs="Times New Roman"/>
          <w:color w:val="auto"/>
          <w:szCs w:val="21"/>
        </w:rPr>
        <w:t xml:space="preserve"> 《生活饮用水要求》</w:t>
      </w:r>
    </w:p>
    <w:p w14:paraId="0A0A7E5A">
      <w:pPr>
        <w:pStyle w:val="83"/>
        <w:kinsoku/>
        <w:wordWrap/>
        <w:overflowPunct/>
        <w:topLinePunct w:val="0"/>
        <w:bidi w:val="0"/>
        <w:adjustRightInd w:val="0"/>
        <w:snapToGrid w:val="0"/>
        <w:spacing w:before="157" w:beforeLines="50" w:afterLines="0" w:line="240" w:lineRule="auto"/>
        <w:textAlignment w:val="auto"/>
        <w:outlineLvl w:val="0"/>
        <w:rPr>
          <w:rFonts w:hint="default" w:ascii="Times New Roman" w:hAnsi="Times New Roman" w:cs="Times New Roman"/>
          <w:color w:val="auto"/>
        </w:rPr>
      </w:pPr>
      <w:bookmarkStart w:id="21" w:name="_Toc162708752"/>
      <w:bookmarkStart w:id="22" w:name="_Toc15379"/>
      <w:bookmarkStart w:id="23" w:name="_Toc1388"/>
      <w:r>
        <w:rPr>
          <w:rFonts w:hint="default" w:ascii="Times New Roman" w:hAnsi="Times New Roman" w:cs="Times New Roman"/>
          <w:color w:val="auto"/>
        </w:rPr>
        <w:t>术语和定义</w:t>
      </w:r>
      <w:bookmarkEnd w:id="21"/>
      <w:bookmarkEnd w:id="22"/>
      <w:bookmarkEnd w:id="23"/>
    </w:p>
    <w:p w14:paraId="737F9B00">
      <w:pPr>
        <w:pStyle w:val="69"/>
        <w:numPr>
          <w:ilvl w:val="0"/>
          <w:numId w:val="0"/>
        </w:numPr>
        <w:kinsoku/>
        <w:wordWrap/>
        <w:overflowPunct/>
        <w:topLinePunct w:val="0"/>
        <w:bidi w:val="0"/>
        <w:adjustRightInd w:val="0"/>
        <w:snapToGrid w:val="0"/>
        <w:spacing w:before="157" w:beforeLines="50" w:afterLines="0" w:line="240" w:lineRule="auto"/>
        <w:textAlignment w:val="auto"/>
        <w:outlineLvl w:val="1"/>
        <w:rPr>
          <w:rFonts w:hint="default" w:ascii="Times New Roman" w:hAnsi="Times New Roman" w:cs="Times New Roman"/>
          <w:b/>
          <w:bCs/>
          <w:color w:val="auto"/>
        </w:rPr>
      </w:pPr>
      <w:bookmarkStart w:id="24" w:name="_Toc162708753"/>
      <w:bookmarkStart w:id="25" w:name="_Toc25362"/>
      <w:bookmarkStart w:id="26" w:name="_Toc30682"/>
      <w:r>
        <w:rPr>
          <w:rFonts w:hint="default" w:ascii="Times New Roman" w:hAnsi="Times New Roman" w:cs="Times New Roman"/>
          <w:b/>
          <w:bCs/>
          <w:color w:val="auto"/>
          <w:lang w:val="en-US" w:eastAsia="zh-CN"/>
        </w:rPr>
        <w:t>3.1</w:t>
      </w:r>
      <w:r>
        <w:rPr>
          <w:rFonts w:hint="default" w:ascii="Times New Roman" w:hAnsi="Times New Roman" w:cs="Times New Roman"/>
          <w:b/>
          <w:bCs/>
          <w:color w:val="auto"/>
        </w:rPr>
        <w:t>学校团体供餐</w:t>
      </w:r>
      <w:bookmarkEnd w:id="24"/>
      <w:bookmarkEnd w:id="25"/>
      <w:bookmarkEnd w:id="26"/>
    </w:p>
    <w:p w14:paraId="6CCA3B69">
      <w:pPr>
        <w:pStyle w:val="24"/>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rPr>
      </w:pPr>
      <w:r>
        <w:rPr>
          <w:rFonts w:hint="default" w:ascii="Times New Roman" w:hAnsi="Times New Roman" w:cs="Times New Roman"/>
          <w:color w:val="auto"/>
        </w:rPr>
        <w:t>由供餐单位为在校学生和教职工提供的餐饮服务，通常以相对固定的模式批量提供早餐、午餐或晚餐（可包括课间餐及夜宵）。</w:t>
      </w:r>
    </w:p>
    <w:p w14:paraId="2BADBF95">
      <w:pPr>
        <w:pStyle w:val="69"/>
        <w:numPr>
          <w:ilvl w:val="0"/>
          <w:numId w:val="0"/>
        </w:numPr>
        <w:kinsoku/>
        <w:wordWrap/>
        <w:overflowPunct/>
        <w:topLinePunct w:val="0"/>
        <w:bidi w:val="0"/>
        <w:adjustRightInd w:val="0"/>
        <w:snapToGrid w:val="0"/>
        <w:spacing w:before="157" w:beforeLines="50" w:afterLines="0" w:line="240" w:lineRule="auto"/>
        <w:textAlignment w:val="auto"/>
        <w:outlineLvl w:val="1"/>
        <w:rPr>
          <w:rFonts w:hint="default" w:ascii="Times New Roman" w:hAnsi="Times New Roman" w:cs="Times New Roman"/>
          <w:b/>
          <w:bCs/>
          <w:color w:val="auto"/>
        </w:rPr>
      </w:pPr>
      <w:bookmarkStart w:id="27" w:name="_Toc9837"/>
      <w:bookmarkStart w:id="28" w:name="_Toc4384"/>
      <w:bookmarkStart w:id="29" w:name="_Toc162708754"/>
      <w:r>
        <w:rPr>
          <w:rFonts w:hint="default" w:ascii="Times New Roman" w:hAnsi="Times New Roman" w:cs="Times New Roman"/>
          <w:b/>
          <w:bCs/>
          <w:color w:val="auto"/>
          <w:lang w:val="en-US" w:eastAsia="zh-CN"/>
        </w:rPr>
        <w:t>3.2</w:t>
      </w:r>
      <w:r>
        <w:rPr>
          <w:rFonts w:hint="default" w:ascii="Times New Roman" w:hAnsi="Times New Roman" w:cs="Times New Roman"/>
          <w:b/>
          <w:bCs/>
          <w:color w:val="auto"/>
        </w:rPr>
        <w:t>供餐单位</w:t>
      </w:r>
      <w:bookmarkEnd w:id="27"/>
      <w:bookmarkEnd w:id="28"/>
      <w:bookmarkEnd w:id="29"/>
    </w:p>
    <w:p w14:paraId="546ACDE3">
      <w:pPr>
        <w:pStyle w:val="24"/>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rPr>
      </w:pPr>
      <w:r>
        <w:rPr>
          <w:rFonts w:hint="default" w:ascii="Times New Roman" w:hAnsi="Times New Roman" w:cs="Times New Roman"/>
          <w:color w:val="auto"/>
        </w:rPr>
        <w:t>根据服务对象的订购要求，集中加工、分送食物但不提供就餐场所的食品生产经营者。</w:t>
      </w:r>
    </w:p>
    <w:p w14:paraId="2C790607">
      <w:pPr>
        <w:pStyle w:val="83"/>
        <w:kinsoku/>
        <w:wordWrap/>
        <w:overflowPunct/>
        <w:topLinePunct w:val="0"/>
        <w:bidi w:val="0"/>
        <w:adjustRightInd w:val="0"/>
        <w:snapToGrid w:val="0"/>
        <w:spacing w:before="157" w:beforeLines="50" w:afterLines="0" w:line="240" w:lineRule="auto"/>
        <w:textAlignment w:val="auto"/>
        <w:outlineLvl w:val="0"/>
        <w:rPr>
          <w:rFonts w:hint="default" w:ascii="Times New Roman" w:hAnsi="Times New Roman" w:cs="Times New Roman"/>
          <w:color w:val="auto"/>
        </w:rPr>
      </w:pPr>
      <w:bookmarkStart w:id="30" w:name="_Toc5641"/>
      <w:bookmarkStart w:id="31" w:name="_Toc14605"/>
      <w:bookmarkStart w:id="32" w:name="_Toc17221"/>
      <w:bookmarkStart w:id="33" w:name="_Toc162708755"/>
      <w:r>
        <w:rPr>
          <w:rFonts w:hint="default" w:ascii="Times New Roman" w:hAnsi="Times New Roman" w:cs="Times New Roman"/>
          <w:color w:val="auto"/>
        </w:rPr>
        <w:t>总则</w:t>
      </w:r>
      <w:bookmarkEnd w:id="30"/>
      <w:bookmarkEnd w:id="31"/>
      <w:bookmarkEnd w:id="32"/>
      <w:bookmarkEnd w:id="33"/>
    </w:p>
    <w:p w14:paraId="2E77B952">
      <w:pPr>
        <w:kinsoku/>
        <w:wordWrap/>
        <w:overflowPunct/>
        <w:topLinePunct w:val="0"/>
        <w:bidi w:val="0"/>
        <w:adjustRightInd w:val="0"/>
        <w:snapToGrid w:val="0"/>
        <w:spacing w:before="157" w:beforeLines="50" w:line="240" w:lineRule="auto"/>
        <w:ind w:firstLine="420" w:firstLineChars="200"/>
        <w:textAlignment w:val="auto"/>
        <w:outlineLvl w:val="9"/>
        <w:rPr>
          <w:rFonts w:hint="default" w:ascii="Times New Roman" w:hAnsi="Times New Roman" w:cs="Times New Roman"/>
          <w:color w:val="auto"/>
        </w:rPr>
      </w:pPr>
      <w:bookmarkStart w:id="34" w:name="_Toc162708756"/>
      <w:bookmarkStart w:id="35" w:name="_Toc18327"/>
      <w:bookmarkStart w:id="36" w:name="_Toc11891"/>
      <w:r>
        <w:rPr>
          <w:rFonts w:hint="default" w:ascii="Times New Roman" w:hAnsi="Times New Roman" w:cs="Times New Roman"/>
          <w:color w:val="auto"/>
        </w:rPr>
        <w:t>作为中小学校团体供餐的供餐单位，其场所布局、建筑结构、</w:t>
      </w:r>
      <w:r>
        <w:rPr>
          <w:rFonts w:hint="default" w:ascii="Times New Roman" w:hAnsi="Times New Roman" w:eastAsia="宋体" w:cs="Times New Roman"/>
          <w:color w:val="auto"/>
          <w:kern w:val="0"/>
          <w:sz w:val="21"/>
          <w:szCs w:val="20"/>
        </w:rPr>
        <w:t>设施</w:t>
      </w:r>
      <w:r>
        <w:rPr>
          <w:rFonts w:hint="default" w:ascii="Times New Roman" w:hAnsi="Times New Roman" w:eastAsia="宋体" w:cs="Times New Roman"/>
          <w:color w:val="auto"/>
          <w:kern w:val="0"/>
          <w:szCs w:val="20"/>
        </w:rPr>
        <w:t>设计、设备</w:t>
      </w:r>
      <w:r>
        <w:rPr>
          <w:rFonts w:hint="default" w:ascii="Times New Roman" w:hAnsi="Times New Roman" w:eastAsia="宋体" w:cs="Times New Roman"/>
          <w:color w:val="auto"/>
          <w:kern w:val="0"/>
          <w:sz w:val="21"/>
          <w:szCs w:val="20"/>
        </w:rPr>
        <w:t>配置</w:t>
      </w:r>
      <w:r>
        <w:rPr>
          <w:rFonts w:hint="default" w:ascii="Times New Roman" w:hAnsi="Times New Roman" w:eastAsia="宋体" w:cs="Times New Roman"/>
          <w:color w:val="auto"/>
          <w:kern w:val="0"/>
          <w:szCs w:val="20"/>
          <w:lang w:eastAsia="zh-CN"/>
        </w:rPr>
        <w:t>、</w:t>
      </w:r>
      <w:r>
        <w:rPr>
          <w:rFonts w:hint="default" w:ascii="Times New Roman" w:hAnsi="Times New Roman" w:eastAsia="宋体" w:cs="Times New Roman"/>
          <w:color w:val="auto"/>
          <w:kern w:val="0"/>
          <w:szCs w:val="20"/>
        </w:rPr>
        <w:t>原料采购</w:t>
      </w:r>
      <w:r>
        <w:rPr>
          <w:rFonts w:hint="default" w:ascii="Times New Roman" w:hAnsi="Times New Roman" w:cs="Times New Roman"/>
          <w:color w:val="auto"/>
        </w:rPr>
        <w:t>、运输、验收及贮存、食品安全控制、供餐管理等方面应符合《中华人民共和国食品安全法》、《中华人民共和国食品安全法实施条例》、《</w:t>
      </w:r>
      <w:r>
        <w:rPr>
          <w:rFonts w:hint="default" w:ascii="Times New Roman" w:hAnsi="Times New Roman" w:cs="Times New Roman"/>
          <w:color w:val="auto"/>
          <w:szCs w:val="21"/>
        </w:rPr>
        <w:t>餐饮服务通用卫生规范》</w:t>
      </w:r>
      <w:r>
        <w:rPr>
          <w:rFonts w:hint="default" w:ascii="Times New Roman" w:hAnsi="Times New Roman" w:cs="Times New Roman"/>
          <w:color w:val="auto"/>
          <w:szCs w:val="21"/>
          <w:lang w:eastAsia="zh-CN"/>
        </w:rPr>
        <w:t>、</w:t>
      </w:r>
      <w:r>
        <w:rPr>
          <w:rFonts w:hint="default" w:ascii="Times New Roman" w:hAnsi="Times New Roman" w:cs="Times New Roman"/>
          <w:color w:val="auto"/>
        </w:rPr>
        <w:t>《学校食品安全与营养健康管理规定》、《餐饮服务食品安全操作规范》、《学校食品安全与营养健康管理规定》、《安徽省食品安全条例》</w:t>
      </w:r>
      <w:r>
        <w:rPr>
          <w:rFonts w:hint="default" w:ascii="Times New Roman" w:hAnsi="Times New Roman" w:cs="Times New Roman"/>
          <w:color w:val="auto"/>
          <w:lang w:val="en-US" w:eastAsia="zh-CN"/>
        </w:rPr>
        <w:t>等</w:t>
      </w:r>
      <w:r>
        <w:rPr>
          <w:rFonts w:hint="default" w:ascii="Times New Roman" w:hAnsi="Times New Roman" w:cs="Times New Roman"/>
          <w:color w:val="auto"/>
        </w:rPr>
        <w:t>相关法规与标准的要求。</w:t>
      </w:r>
      <w:bookmarkEnd w:id="34"/>
      <w:bookmarkEnd w:id="35"/>
      <w:bookmarkEnd w:id="36"/>
    </w:p>
    <w:p w14:paraId="2E87EF02">
      <w:pPr>
        <w:pStyle w:val="83"/>
        <w:kinsoku/>
        <w:wordWrap/>
        <w:overflowPunct/>
        <w:topLinePunct w:val="0"/>
        <w:bidi w:val="0"/>
        <w:adjustRightInd w:val="0"/>
        <w:snapToGrid w:val="0"/>
        <w:spacing w:before="157" w:beforeLines="50" w:afterLines="0" w:line="240" w:lineRule="auto"/>
        <w:textAlignment w:val="auto"/>
        <w:outlineLvl w:val="0"/>
        <w:rPr>
          <w:rFonts w:hint="default" w:ascii="Times New Roman" w:hAnsi="Times New Roman" w:cs="Times New Roman"/>
          <w:color w:val="auto"/>
        </w:rPr>
      </w:pPr>
      <w:bookmarkStart w:id="37" w:name="_Toc15185"/>
      <w:bookmarkStart w:id="38" w:name="_Toc162708757"/>
      <w:bookmarkStart w:id="39" w:name="_Toc28264"/>
      <w:bookmarkStart w:id="40" w:name="_Hlk162698300"/>
      <w:r>
        <w:rPr>
          <w:rFonts w:hint="default" w:ascii="Times New Roman" w:hAnsi="Times New Roman" w:cs="Times New Roman"/>
          <w:color w:val="auto"/>
        </w:rPr>
        <w:t>通用要求</w:t>
      </w:r>
      <w:bookmarkEnd w:id="37"/>
      <w:bookmarkEnd w:id="38"/>
      <w:bookmarkEnd w:id="39"/>
    </w:p>
    <w:bookmarkEnd w:id="40"/>
    <w:p w14:paraId="0BEAA0ED">
      <w:pPr>
        <w:pStyle w:val="69"/>
        <w:kinsoku/>
        <w:wordWrap/>
        <w:overflowPunct/>
        <w:topLinePunct w:val="0"/>
        <w:bidi w:val="0"/>
        <w:adjustRightInd w:val="0"/>
        <w:snapToGrid w:val="0"/>
        <w:spacing w:before="157" w:beforeLines="50" w:afterLines="0" w:line="240" w:lineRule="auto"/>
        <w:ind w:left="0" w:leftChars="0" w:firstLine="0" w:firstLineChars="0"/>
        <w:textAlignment w:val="auto"/>
        <w:outlineLvl w:val="9"/>
        <w:rPr>
          <w:rFonts w:hint="default" w:ascii="Times New Roman" w:hAnsi="Times New Roman" w:cs="Times New Roman"/>
          <w:color w:val="auto"/>
        </w:rPr>
      </w:pPr>
      <w:bookmarkStart w:id="41" w:name="_Toc18228"/>
      <w:r>
        <w:rPr>
          <w:rFonts w:hint="default" w:ascii="Times New Roman" w:hAnsi="Times New Roman" w:eastAsia="宋体" w:cs="Times New Roman"/>
          <w:color w:val="auto"/>
        </w:rPr>
        <w:t>供餐单位应建立健全并组织实施食品安全管理制度和食品安全追溯体系，确保食品的可追溯性。单位需如实、准确、完整地记录并保存食品进货查验等相关信息。应优先选择信誉良好、产品质量有保障的供应商，并对其资质及产品质量进行定期评估，以保证供应链中的食品安全。</w:t>
      </w:r>
      <w:bookmarkEnd w:id="41"/>
    </w:p>
    <w:p w14:paraId="05542994">
      <w:pPr>
        <w:pStyle w:val="69"/>
        <w:kinsoku/>
        <w:wordWrap/>
        <w:overflowPunct/>
        <w:topLinePunct w:val="0"/>
        <w:bidi w:val="0"/>
        <w:adjustRightInd w:val="0"/>
        <w:snapToGrid w:val="0"/>
        <w:spacing w:before="157" w:beforeLines="50" w:afterLines="0" w:line="240" w:lineRule="auto"/>
        <w:ind w:left="0" w:leftChars="0" w:firstLine="0" w:firstLineChars="0"/>
        <w:textAlignment w:val="auto"/>
        <w:outlineLvl w:val="9"/>
        <w:rPr>
          <w:rFonts w:hint="default" w:ascii="Times New Roman" w:hAnsi="Times New Roman" w:eastAsia="宋体" w:cs="Times New Roman"/>
          <w:color w:val="auto"/>
        </w:rPr>
      </w:pPr>
      <w:bookmarkStart w:id="42" w:name="_Toc10941"/>
      <w:r>
        <w:rPr>
          <w:rFonts w:hint="default" w:ascii="Times New Roman" w:hAnsi="Times New Roman" w:eastAsia="宋体" w:cs="Times New Roman"/>
          <w:color w:val="auto"/>
        </w:rPr>
        <w:t>供餐单位应开展“互联网+明厨亮灶”工程，将信号接入省级平台，对烹饪间、分装间、食品库房、留样间、餐饮具清洗消毒间等重点场所通过视频监控公开食品加工过程。不得制售冷荤凉菜、生食类食品、裱花蛋糕。不得加工制作四季豆、鲜黄花菜、野生蘑菇、发芽土豆等高风险食品，规范制售湿米粉、湿淀粉类食品。</w:t>
      </w:r>
      <w:bookmarkEnd w:id="42"/>
    </w:p>
    <w:p w14:paraId="7E818888">
      <w:pPr>
        <w:pStyle w:val="69"/>
        <w:kinsoku/>
        <w:wordWrap/>
        <w:overflowPunct/>
        <w:topLinePunct w:val="0"/>
        <w:bidi w:val="0"/>
        <w:adjustRightInd w:val="0"/>
        <w:snapToGrid w:val="0"/>
        <w:spacing w:before="157" w:beforeLines="50" w:afterLines="0" w:line="240" w:lineRule="auto"/>
        <w:ind w:left="0" w:leftChars="0" w:firstLine="0" w:firstLineChars="0"/>
        <w:textAlignment w:val="auto"/>
        <w:outlineLvl w:val="9"/>
        <w:rPr>
          <w:rFonts w:hint="default" w:ascii="Times New Roman" w:hAnsi="Times New Roman" w:eastAsia="宋体" w:cs="Times New Roman"/>
          <w:color w:val="auto"/>
        </w:rPr>
      </w:pPr>
      <w:bookmarkStart w:id="43" w:name="_Toc20098"/>
      <w:bookmarkStart w:id="44" w:name="_Toc162708761"/>
      <w:r>
        <w:rPr>
          <w:rFonts w:hint="default" w:ascii="Times New Roman" w:hAnsi="Times New Roman" w:eastAsia="宋体" w:cs="Times New Roman"/>
          <w:color w:val="auto"/>
        </w:rPr>
        <w:t>供餐单位宜委托具有相应资质的第三方检测机构定期对原料、半成品及成品的食品安全指标进行检验；采用“4D、6T、5常”先进管理方式，建立 HACCP或ISO22000管理体系；每年对生产加工过程进行食品安全风险隐患排查。</w:t>
      </w:r>
      <w:bookmarkEnd w:id="43"/>
    </w:p>
    <w:bookmarkEnd w:id="44"/>
    <w:p w14:paraId="56C4AFD6">
      <w:pPr>
        <w:pStyle w:val="69"/>
        <w:kinsoku/>
        <w:wordWrap/>
        <w:overflowPunct/>
        <w:topLinePunct w:val="0"/>
        <w:bidi w:val="0"/>
        <w:adjustRightInd w:val="0"/>
        <w:snapToGrid w:val="0"/>
        <w:spacing w:before="157" w:beforeLines="50" w:afterLines="0" w:line="240" w:lineRule="auto"/>
        <w:ind w:left="0" w:leftChars="0" w:firstLine="0" w:firstLineChars="0"/>
        <w:textAlignment w:val="auto"/>
        <w:outlineLvl w:val="9"/>
        <w:rPr>
          <w:rFonts w:hint="default" w:ascii="Times New Roman" w:hAnsi="Times New Roman" w:eastAsia="宋体" w:cs="Times New Roman"/>
          <w:color w:val="auto"/>
        </w:rPr>
      </w:pPr>
      <w:bookmarkStart w:id="45" w:name="_Toc8004"/>
      <w:bookmarkStart w:id="46" w:name="_Toc162708762"/>
      <w:r>
        <w:rPr>
          <w:rFonts w:hint="default" w:ascii="Times New Roman" w:hAnsi="Times New Roman" w:eastAsia="宋体" w:cs="Times New Roman"/>
          <w:color w:val="auto"/>
        </w:rPr>
        <w:t>供餐单位应建立食品安全培训制度，根据不同岗位的需要，制定培训计划并予以实施。应对培训效果予以评价，定期审核并及时更新。</w:t>
      </w:r>
      <w:bookmarkEnd w:id="45"/>
    </w:p>
    <w:p w14:paraId="16455D10">
      <w:pPr>
        <w:pStyle w:val="69"/>
        <w:kinsoku/>
        <w:wordWrap/>
        <w:overflowPunct/>
        <w:topLinePunct w:val="0"/>
        <w:bidi w:val="0"/>
        <w:adjustRightInd w:val="0"/>
        <w:snapToGrid w:val="0"/>
        <w:spacing w:before="157" w:beforeLines="50" w:afterLines="0" w:line="240" w:lineRule="auto"/>
        <w:ind w:left="0" w:leftChars="0" w:firstLine="0" w:firstLineChars="0"/>
        <w:textAlignment w:val="auto"/>
        <w:outlineLvl w:val="9"/>
        <w:rPr>
          <w:rFonts w:hint="default" w:ascii="Times New Roman" w:hAnsi="Times New Roman" w:eastAsia="宋体" w:cs="Times New Roman"/>
          <w:color w:val="auto"/>
        </w:rPr>
      </w:pPr>
      <w:bookmarkStart w:id="47" w:name="_Toc17215"/>
      <w:r>
        <w:rPr>
          <w:rFonts w:hint="default" w:ascii="Times New Roman" w:hAnsi="Times New Roman" w:eastAsia="宋体" w:cs="Times New Roman"/>
          <w:color w:val="auto"/>
        </w:rPr>
        <w:t>供餐单位</w:t>
      </w:r>
      <w:bookmarkEnd w:id="46"/>
      <w:r>
        <w:rPr>
          <w:rFonts w:hint="default" w:ascii="Times New Roman" w:hAnsi="Times New Roman" w:eastAsia="宋体" w:cs="Times New Roman"/>
          <w:color w:val="auto"/>
        </w:rPr>
        <w:t>应配合市场监督管理部门、教育行政主管部门</w:t>
      </w:r>
      <w:r>
        <w:rPr>
          <w:rFonts w:hint="eastAsia" w:ascii="Times New Roman" w:hAnsi="Times New Roman" w:eastAsia="宋体" w:cs="Times New Roman"/>
          <w:color w:val="auto"/>
          <w:lang w:eastAsia="zh-CN"/>
        </w:rPr>
        <w:t>、卫生健康等部门</w:t>
      </w:r>
      <w:r>
        <w:rPr>
          <w:rFonts w:hint="default" w:ascii="Times New Roman" w:hAnsi="Times New Roman" w:eastAsia="宋体" w:cs="Times New Roman"/>
          <w:color w:val="auto"/>
        </w:rPr>
        <w:t>做好食品安全监管检查、营养素指标抽检、学生营养健康状况监测评估、市场价格监测（预警）和监督等工作。</w:t>
      </w:r>
      <w:bookmarkEnd w:id="47"/>
    </w:p>
    <w:p w14:paraId="52068595">
      <w:pPr>
        <w:pStyle w:val="83"/>
        <w:kinsoku/>
        <w:wordWrap/>
        <w:overflowPunct/>
        <w:topLinePunct w:val="0"/>
        <w:bidi w:val="0"/>
        <w:adjustRightInd w:val="0"/>
        <w:snapToGrid w:val="0"/>
        <w:spacing w:before="157" w:beforeLines="50" w:afterLines="0" w:line="240" w:lineRule="auto"/>
        <w:textAlignment w:val="auto"/>
        <w:outlineLvl w:val="0"/>
        <w:rPr>
          <w:rFonts w:hint="default" w:ascii="Times New Roman" w:hAnsi="Times New Roman" w:cs="Times New Roman"/>
          <w:b/>
          <w:bCs/>
          <w:color w:val="auto"/>
        </w:rPr>
      </w:pPr>
      <w:bookmarkStart w:id="48" w:name="_Toc162708763"/>
      <w:bookmarkStart w:id="49" w:name="_Toc25638"/>
      <w:r>
        <w:rPr>
          <w:rFonts w:hint="default" w:ascii="Times New Roman" w:hAnsi="Times New Roman" w:cs="Times New Roman"/>
          <w:b/>
          <w:bCs/>
          <w:color w:val="auto"/>
        </w:rPr>
        <w:t>建设管理</w:t>
      </w:r>
      <w:bookmarkEnd w:id="48"/>
      <w:bookmarkEnd w:id="49"/>
    </w:p>
    <w:p w14:paraId="50FFCEC2">
      <w:pPr>
        <w:pStyle w:val="3"/>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szCs w:val="21"/>
        </w:rPr>
      </w:pPr>
      <w:bookmarkStart w:id="50" w:name="_Toc162708764"/>
      <w:bookmarkStart w:id="51" w:name="_Toc26896"/>
      <w:r>
        <w:rPr>
          <w:rFonts w:hint="default" w:ascii="Times New Roman" w:hAnsi="Times New Roman" w:cs="Times New Roman"/>
          <w:color w:val="auto"/>
          <w:szCs w:val="21"/>
        </w:rPr>
        <w:t>6.1从业人员管理</w:t>
      </w:r>
      <w:bookmarkEnd w:id="50"/>
      <w:bookmarkEnd w:id="51"/>
    </w:p>
    <w:p w14:paraId="78E104D6">
      <w:pPr>
        <w:pStyle w:val="4"/>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52" w:name="_Toc162708765"/>
      <w:bookmarkStart w:id="53" w:name="_Toc16338"/>
      <w:r>
        <w:rPr>
          <w:rFonts w:hint="default" w:ascii="Times New Roman" w:hAnsi="Times New Roman" w:cs="Times New Roman"/>
          <w:color w:val="auto"/>
        </w:rPr>
        <w:t>6.1.1配备要求</w:t>
      </w:r>
      <w:bookmarkEnd w:id="52"/>
      <w:bookmarkEnd w:id="53"/>
    </w:p>
    <w:p w14:paraId="3B5495D0">
      <w:pPr>
        <w:pStyle w:val="4"/>
        <w:kinsoku/>
        <w:wordWrap/>
        <w:overflowPunct/>
        <w:topLinePunct w:val="0"/>
        <w:bidi w:val="0"/>
        <w:adjustRightInd w:val="0"/>
        <w:snapToGrid w:val="0"/>
        <w:spacing w:before="157" w:beforeLines="50" w:after="0" w:afterLines="0" w:line="240" w:lineRule="auto"/>
        <w:ind w:firstLine="420" w:firstLineChars="200"/>
        <w:textAlignment w:val="auto"/>
        <w:outlineLvl w:val="9"/>
        <w:rPr>
          <w:rFonts w:hint="default" w:ascii="Times New Roman" w:hAnsi="Times New Roman" w:cs="Times New Roman"/>
          <w:color w:val="auto"/>
        </w:rPr>
      </w:pPr>
      <w:r>
        <w:rPr>
          <w:rFonts w:hint="default" w:ascii="Times New Roman" w:hAnsi="Times New Roman" w:cs="Times New Roman"/>
          <w:color w:val="auto"/>
        </w:rPr>
        <w:t>供餐单位应根据供餐需求，合理配置充足的从业人员，确保各岗位职责明确，人员配备到位，以保证食品安全管理工作的有效开展。</w:t>
      </w:r>
      <w:bookmarkStart w:id="54" w:name="_Toc162708766"/>
    </w:p>
    <w:p w14:paraId="6D48447F">
      <w:pPr>
        <w:pStyle w:val="4"/>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55" w:name="_Toc826"/>
      <w:r>
        <w:rPr>
          <w:rFonts w:hint="default" w:ascii="Times New Roman" w:hAnsi="Times New Roman" w:cs="Times New Roman"/>
          <w:color w:val="auto"/>
        </w:rPr>
        <w:t>6.1.2 培训管理</w:t>
      </w:r>
      <w:bookmarkEnd w:id="54"/>
      <w:bookmarkEnd w:id="55"/>
    </w:p>
    <w:p w14:paraId="67368FCB">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6.1.2.1供餐单位应在教育、市场监管、卫生健康等部门和营养专业人员的指导下，对从业人员定期组织培训，每人每年累计不少于40学时。每半年对从业人员进行一次食品安全、营养配餐、消防安全、职业道德和法治教育等方面的培训考核。</w:t>
      </w:r>
    </w:p>
    <w:p w14:paraId="1B7C9B13">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6.1.2. 2应建立从业人员基础档案，定期开展食品安全知识培训，做好培训记录。</w:t>
      </w:r>
    </w:p>
    <w:p w14:paraId="5D875A68">
      <w:pPr>
        <w:pStyle w:val="4"/>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56" w:name="_Toc162708767"/>
      <w:bookmarkStart w:id="57" w:name="_Toc14694"/>
      <w:r>
        <w:rPr>
          <w:rFonts w:hint="default" w:ascii="Times New Roman" w:hAnsi="Times New Roman" w:cs="Times New Roman"/>
          <w:color w:val="auto"/>
        </w:rPr>
        <w:t>6.1.3 上岗要求</w:t>
      </w:r>
      <w:bookmarkEnd w:id="56"/>
      <w:bookmarkEnd w:id="57"/>
    </w:p>
    <w:p w14:paraId="55949B00">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6.1.3.1从业人员应持有效健康证明和食品安全知识培训考核合格证明上岗。</w:t>
      </w:r>
    </w:p>
    <w:p w14:paraId="529EC984">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6.1.3.2从业人员应保持良好的个人卫生，坚持做到"四勤”，即勤洗手和剪指甲、勤洗澡、勤理发、勤洗工作衣帽。操作时穿浅色清洁的工作衣帽，不吸烟、不吃零食、不佩戴饰物。进入专间前应洗手消毒、二次更衣。不穿戴工作衣帽上厕所。</w:t>
      </w:r>
    </w:p>
    <w:p w14:paraId="48C64702">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6.1.3.3从业人员应每日进行健康监测并做好记录。发现患有有碍食品安全疾病的从业人员，应暂停其从事接触直接入口食品的工作。</w:t>
      </w:r>
    </w:p>
    <w:p w14:paraId="5CB62850">
      <w:pPr>
        <w:pStyle w:val="3"/>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58" w:name="_Toc20330"/>
      <w:bookmarkStart w:id="59" w:name="_Toc162708768"/>
      <w:r>
        <w:rPr>
          <w:rFonts w:hint="default" w:ascii="Times New Roman" w:hAnsi="Times New Roman" w:cs="Times New Roman"/>
          <w:color w:val="auto"/>
        </w:rPr>
        <w:t>6.2组织管理</w:t>
      </w:r>
      <w:bookmarkEnd w:id="58"/>
      <w:bookmarkEnd w:id="59"/>
    </w:p>
    <w:p w14:paraId="7E79C3A2">
      <w:pPr>
        <w:pStyle w:val="4"/>
        <w:adjustRightInd w:val="0"/>
        <w:snapToGrid w:val="0"/>
        <w:spacing w:before="157" w:after="0" w:afterLines="0" w:line="240" w:lineRule="auto"/>
        <w:rPr>
          <w:rFonts w:hint="default" w:ascii="Times New Roman" w:hAnsi="Times New Roman" w:cs="Times New Roman"/>
          <w:color w:val="auto"/>
        </w:rPr>
      </w:pPr>
      <w:bookmarkStart w:id="60" w:name="_Toc30391"/>
      <w:r>
        <w:rPr>
          <w:rFonts w:hint="default" w:ascii="Times New Roman" w:hAnsi="Times New Roman" w:cs="Times New Roman"/>
          <w:color w:val="auto"/>
          <w:lang w:val="en-US" w:eastAsia="zh-CN"/>
        </w:rPr>
        <w:t>6.</w:t>
      </w:r>
      <w:r>
        <w:rPr>
          <w:rFonts w:hint="default" w:ascii="Times New Roman" w:hAnsi="Times New Roman" w:cs="Times New Roman"/>
          <w:color w:val="auto"/>
        </w:rPr>
        <w:t>2.1食品安全监督管理队伍的建立</w:t>
      </w:r>
      <w:bookmarkEnd w:id="60"/>
    </w:p>
    <w:p w14:paraId="4F0046D4">
      <w:pPr>
        <w:numPr>
          <w:ilvl w:val="0"/>
          <w:numId w:val="0"/>
        </w:num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rPr>
      </w:pPr>
      <w:r>
        <w:rPr>
          <w:rFonts w:hint="default" w:ascii="Times New Roman" w:hAnsi="Times New Roman" w:cs="Times New Roman"/>
          <w:color w:val="auto"/>
        </w:rPr>
        <w:t>应建立由学校和供餐单位共同牵头，学校教师代表、学生代表、学生家长和有资质的第三方协管单位为主要成员的食品安全监督管理队伍，明确管理队伍工作职责，对供餐单位食品安全工作进行监督指导，研究解决供餐单位食品安全管理中的重大问题。</w:t>
      </w:r>
    </w:p>
    <w:p w14:paraId="2E234C5E">
      <w:pPr>
        <w:pStyle w:val="4"/>
        <w:adjustRightInd w:val="0"/>
        <w:snapToGrid w:val="0"/>
        <w:spacing w:before="157" w:after="0" w:afterLines="0" w:line="240" w:lineRule="auto"/>
        <w:rPr>
          <w:rFonts w:hint="default" w:ascii="Times New Roman" w:hAnsi="Times New Roman" w:cs="Times New Roman"/>
          <w:color w:val="auto"/>
        </w:rPr>
      </w:pPr>
      <w:bookmarkStart w:id="61" w:name="_Toc19446"/>
      <w:r>
        <w:rPr>
          <w:rFonts w:hint="default" w:ascii="Times New Roman" w:hAnsi="Times New Roman" w:cs="Times New Roman"/>
          <w:color w:val="auto"/>
          <w:lang w:val="en-US" w:eastAsia="zh-CN"/>
        </w:rPr>
        <w:t>6.</w:t>
      </w:r>
      <w:r>
        <w:rPr>
          <w:rFonts w:hint="default" w:ascii="Times New Roman" w:hAnsi="Times New Roman" w:cs="Times New Roman"/>
          <w:color w:val="auto"/>
        </w:rPr>
        <w:t>2.2食品安全监督管理队伍的职责</w:t>
      </w:r>
      <w:bookmarkEnd w:id="61"/>
    </w:p>
    <w:p w14:paraId="140E9A13">
      <w:pPr>
        <w:numPr>
          <w:ilvl w:val="0"/>
          <w:numId w:val="0"/>
        </w:num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rPr>
      </w:pPr>
      <w:r>
        <w:rPr>
          <w:rFonts w:hint="default" w:ascii="Times New Roman" w:hAnsi="Times New Roman" w:cs="Times New Roman"/>
          <w:color w:val="auto"/>
        </w:rPr>
        <w:t>食品安全监督管理队伍协助学校和供餐单位开展包括但不限于以下工作：</w:t>
      </w:r>
    </w:p>
    <w:p w14:paraId="5CF986DF">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a) 开展食品安全宣传教育：</w:t>
      </w:r>
    </w:p>
    <w:p w14:paraId="6FA244A9">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b) 建立健全食品安全管理制度；</w:t>
      </w:r>
    </w:p>
    <w:p w14:paraId="71EF677E">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c) 持续提升食品安全智慧化管理水平：</w:t>
      </w:r>
    </w:p>
    <w:p w14:paraId="6FE9224A">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d) 组织开展食品安全自查自纠；</w:t>
      </w:r>
    </w:p>
    <w:p w14:paraId="583CC2AE">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e) 加强从业人员健康管理；</w:t>
      </w:r>
    </w:p>
    <w:p w14:paraId="4901CBC7">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f) 定期组织开展食品安全应急演练:</w:t>
      </w:r>
    </w:p>
    <w:p w14:paraId="08972215">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g) 加强从业人员食品安全培训考核：</w:t>
      </w:r>
    </w:p>
    <w:p w14:paraId="313B3FA5">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h) 其他与食品安全相关的职责。</w:t>
      </w:r>
    </w:p>
    <w:p w14:paraId="093EA930">
      <w:pPr>
        <w:pStyle w:val="4"/>
        <w:adjustRightInd w:val="0"/>
        <w:snapToGrid w:val="0"/>
        <w:spacing w:before="157" w:after="0" w:afterLines="0" w:line="240" w:lineRule="auto"/>
        <w:rPr>
          <w:rFonts w:hint="default" w:ascii="Times New Roman" w:hAnsi="Times New Roman" w:cs="Times New Roman"/>
          <w:color w:val="auto"/>
        </w:rPr>
      </w:pPr>
      <w:bookmarkStart w:id="62" w:name="_Toc5425"/>
      <w:r>
        <w:rPr>
          <w:rFonts w:hint="default" w:ascii="Times New Roman" w:hAnsi="Times New Roman" w:cs="Times New Roman"/>
          <w:color w:val="auto"/>
          <w:lang w:val="en-US" w:eastAsia="zh-CN"/>
        </w:rPr>
        <w:t>6.</w:t>
      </w:r>
      <w:r>
        <w:rPr>
          <w:rFonts w:hint="default" w:ascii="Times New Roman" w:hAnsi="Times New Roman" w:cs="Times New Roman"/>
          <w:color w:val="auto"/>
        </w:rPr>
        <w:t>2.</w:t>
      </w:r>
      <w:r>
        <w:rPr>
          <w:rFonts w:hint="default" w:ascii="Times New Roman" w:hAnsi="Times New Roman" w:cs="Times New Roman"/>
          <w:color w:val="auto"/>
          <w:lang w:eastAsia="zh-CN"/>
        </w:rPr>
        <w:t>3</w:t>
      </w:r>
      <w:r>
        <w:rPr>
          <w:rFonts w:hint="default" w:ascii="Times New Roman" w:hAnsi="Times New Roman" w:cs="Times New Roman"/>
          <w:color w:val="auto"/>
        </w:rPr>
        <w:t>食品安全员</w:t>
      </w:r>
      <w:r>
        <w:rPr>
          <w:rFonts w:hint="eastAsia" w:ascii="Times New Roman" w:hAnsi="Times New Roman" w:cs="Times New Roman"/>
          <w:color w:val="auto"/>
          <w:lang w:eastAsia="zh-CN"/>
        </w:rPr>
        <w:t>和食品安全总监</w:t>
      </w:r>
      <w:r>
        <w:rPr>
          <w:rFonts w:hint="default" w:ascii="Times New Roman" w:hAnsi="Times New Roman" w:cs="Times New Roman"/>
          <w:color w:val="auto"/>
        </w:rPr>
        <w:t>的任命</w:t>
      </w:r>
      <w:bookmarkEnd w:id="62"/>
    </w:p>
    <w:p w14:paraId="0C7873CB">
      <w:pPr>
        <w:numPr>
          <w:ilvl w:val="0"/>
          <w:numId w:val="0"/>
        </w:num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rPr>
      </w:pPr>
      <w:r>
        <w:rPr>
          <w:rFonts w:hint="eastAsia" w:ascii="Times New Roman" w:hAnsi="Times New Roman" w:cs="Times New Roman"/>
          <w:color w:val="auto"/>
          <w:lang w:eastAsia="zh-CN"/>
        </w:rPr>
        <w:t>所有有学生就餐的学校均应设立食品安全员，</w:t>
      </w:r>
      <w:r>
        <w:rPr>
          <w:rFonts w:hint="default" w:ascii="Times New Roman" w:hAnsi="Times New Roman" w:cs="Times New Roman"/>
          <w:color w:val="auto"/>
        </w:rPr>
        <w:t>对于用餐人数300人以上的幼儿园、用餐人数500人以上的学校，供餐单位应任命食品安全</w:t>
      </w:r>
      <w:r>
        <w:rPr>
          <w:rFonts w:hint="eastAsia" w:ascii="Times New Roman" w:hAnsi="Times New Roman" w:cs="Times New Roman"/>
          <w:color w:val="auto"/>
          <w:lang w:eastAsia="zh-CN"/>
        </w:rPr>
        <w:t>总监</w:t>
      </w:r>
      <w:r>
        <w:rPr>
          <w:rFonts w:hint="default" w:ascii="Times New Roman" w:hAnsi="Times New Roman" w:cs="Times New Roman"/>
          <w:color w:val="auto"/>
        </w:rPr>
        <w:t>，</w:t>
      </w:r>
      <w:r>
        <w:rPr>
          <w:rFonts w:hint="eastAsia" w:ascii="Times New Roman" w:hAnsi="Times New Roman" w:cs="Times New Roman"/>
          <w:color w:val="auto"/>
          <w:lang w:eastAsia="zh-CN"/>
        </w:rPr>
        <w:t>加强对学校食品安全</w:t>
      </w:r>
      <w:r>
        <w:rPr>
          <w:rFonts w:hint="default" w:ascii="Times New Roman" w:hAnsi="Times New Roman" w:cs="Times New Roman"/>
          <w:color w:val="auto"/>
        </w:rPr>
        <w:t>进行监督管理。</w:t>
      </w:r>
    </w:p>
    <w:p w14:paraId="6B6E7319">
      <w:pPr>
        <w:pStyle w:val="4"/>
        <w:adjustRightInd w:val="0"/>
        <w:snapToGrid w:val="0"/>
        <w:spacing w:before="157" w:after="0" w:afterLines="0" w:line="240" w:lineRule="auto"/>
        <w:rPr>
          <w:rFonts w:hint="default" w:ascii="Times New Roman" w:hAnsi="Times New Roman" w:cs="Times New Roman"/>
          <w:color w:val="auto"/>
          <w:lang w:val="en-US" w:eastAsia="zh-CN"/>
        </w:rPr>
      </w:pPr>
      <w:bookmarkStart w:id="63" w:name="_Toc8007"/>
      <w:r>
        <w:rPr>
          <w:rFonts w:hint="default" w:ascii="Times New Roman" w:hAnsi="Times New Roman" w:cs="Times New Roman"/>
          <w:color w:val="auto"/>
          <w:lang w:val="en-US" w:eastAsia="zh-CN"/>
        </w:rPr>
        <w:t>6.</w:t>
      </w:r>
      <w:r>
        <w:rPr>
          <w:rFonts w:hint="default" w:ascii="Times New Roman" w:hAnsi="Times New Roman" w:cs="Times New Roman"/>
          <w:color w:val="auto"/>
        </w:rPr>
        <w:t>2.</w:t>
      </w:r>
      <w:r>
        <w:rPr>
          <w:rFonts w:hint="default" w:ascii="Times New Roman" w:hAnsi="Times New Roman" w:cs="Times New Roman"/>
          <w:color w:val="auto"/>
          <w:lang w:val="en-US" w:eastAsia="zh-CN"/>
        </w:rPr>
        <w:t xml:space="preserve">4 </w:t>
      </w:r>
      <w:r>
        <w:rPr>
          <w:rFonts w:hint="default" w:ascii="Times New Roman" w:hAnsi="Times New Roman" w:cs="Times New Roman"/>
          <w:color w:val="auto"/>
          <w:lang w:eastAsia="zh-CN"/>
        </w:rPr>
        <w:t>食品安全员</w:t>
      </w:r>
      <w:r>
        <w:rPr>
          <w:rFonts w:hint="eastAsia" w:ascii="Times New Roman" w:hAnsi="Times New Roman" w:cs="Times New Roman"/>
          <w:color w:val="auto"/>
          <w:lang w:eastAsia="zh-CN"/>
        </w:rPr>
        <w:t>和食品安全总监的</w:t>
      </w:r>
      <w:r>
        <w:rPr>
          <w:rFonts w:hint="default" w:ascii="Times New Roman" w:hAnsi="Times New Roman" w:cs="Times New Roman"/>
          <w:color w:val="auto"/>
          <w:lang w:eastAsia="zh-CN"/>
        </w:rPr>
        <w:t>的要求</w:t>
      </w:r>
      <w:bookmarkEnd w:id="63"/>
    </w:p>
    <w:p w14:paraId="042C5EDC">
      <w:pPr>
        <w:numPr>
          <w:ilvl w:val="0"/>
          <w:numId w:val="0"/>
        </w:num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rPr>
      </w:pPr>
      <w:r>
        <w:rPr>
          <w:rFonts w:hint="eastAsia" w:ascii="Times New Roman" w:hAnsi="Times New Roman" w:cs="Times New Roman"/>
          <w:color w:val="auto"/>
          <w:lang w:eastAsia="zh-CN"/>
        </w:rPr>
        <w:t>食品安全总监、</w:t>
      </w:r>
      <w:r>
        <w:rPr>
          <w:rFonts w:hint="default" w:ascii="Times New Roman" w:hAnsi="Times New Roman" w:cs="Times New Roman"/>
          <w:color w:val="auto"/>
        </w:rPr>
        <w:t>食品安全员应熟练掌握食品安全有关的法律法规和食品质量安全知识，参加食品安全管理人员培训并通过考核，具备食品安全管理能力，</w:t>
      </w:r>
      <w:r>
        <w:rPr>
          <w:rFonts w:hint="eastAsia" w:ascii="Times New Roman" w:hAnsi="Times New Roman" w:cs="Times New Roman"/>
          <w:color w:val="auto"/>
          <w:lang w:eastAsia="zh-CN"/>
        </w:rPr>
        <w:t>主抓</w:t>
      </w:r>
      <w:r>
        <w:rPr>
          <w:rFonts w:hint="default" w:ascii="Times New Roman" w:hAnsi="Times New Roman" w:cs="Times New Roman"/>
          <w:color w:val="auto"/>
        </w:rPr>
        <w:t>学校和供餐单位</w:t>
      </w:r>
      <w:r>
        <w:rPr>
          <w:rFonts w:hint="eastAsia" w:ascii="Times New Roman" w:hAnsi="Times New Roman" w:cs="Times New Roman"/>
          <w:color w:val="auto"/>
          <w:lang w:eastAsia="zh-CN"/>
        </w:rPr>
        <w:t>食品安全工作并安要求做好</w:t>
      </w:r>
      <w:r>
        <w:rPr>
          <w:rFonts w:hint="default" w:ascii="Times New Roman" w:hAnsi="Times New Roman" w:cs="Times New Roman"/>
          <w:color w:val="auto"/>
        </w:rPr>
        <w:t>做好食品安全</w:t>
      </w:r>
      <w:r>
        <w:rPr>
          <w:rFonts w:hint="eastAsia" w:ascii="Times New Roman" w:hAnsi="Times New Roman" w:cs="Times New Roman"/>
          <w:color w:val="auto"/>
          <w:lang w:eastAsia="zh-CN"/>
        </w:rPr>
        <w:t>相关管理</w:t>
      </w:r>
      <w:r>
        <w:rPr>
          <w:rFonts w:hint="default" w:ascii="Times New Roman" w:hAnsi="Times New Roman" w:cs="Times New Roman"/>
          <w:color w:val="auto"/>
        </w:rPr>
        <w:t>工作。</w:t>
      </w:r>
    </w:p>
    <w:p w14:paraId="21DD9A67">
      <w:pPr>
        <w:pStyle w:val="4"/>
        <w:adjustRightInd w:val="0"/>
        <w:snapToGrid w:val="0"/>
        <w:spacing w:before="157" w:after="0" w:afterLines="0" w:line="240" w:lineRule="auto"/>
        <w:rPr>
          <w:rFonts w:hint="default" w:ascii="Times New Roman" w:hAnsi="Times New Roman" w:eastAsia="黑体" w:cs="Times New Roman"/>
          <w:color w:val="auto"/>
          <w:lang w:val="en-US" w:eastAsia="zh-CN"/>
        </w:rPr>
      </w:pPr>
      <w:bookmarkStart w:id="64" w:name="_Toc19873"/>
      <w:r>
        <w:rPr>
          <w:rFonts w:hint="default" w:ascii="Times New Roman" w:hAnsi="Times New Roman" w:cs="Times New Roman"/>
          <w:color w:val="auto"/>
          <w:lang w:val="en-US" w:eastAsia="zh-CN"/>
        </w:rPr>
        <w:t>6.</w:t>
      </w:r>
      <w:r>
        <w:rPr>
          <w:rFonts w:hint="default" w:ascii="Times New Roman" w:hAnsi="Times New Roman" w:cs="Times New Roman"/>
          <w:color w:val="auto"/>
        </w:rPr>
        <w:t>2.</w:t>
      </w:r>
      <w:r>
        <w:rPr>
          <w:rFonts w:hint="default" w:ascii="Times New Roman" w:hAnsi="Times New Roman" w:cs="Times New Roman"/>
          <w:color w:val="auto"/>
          <w:lang w:val="en-US" w:eastAsia="zh-CN"/>
        </w:rPr>
        <w:t>5 营养专业支持</w:t>
      </w:r>
      <w:bookmarkEnd w:id="64"/>
    </w:p>
    <w:p w14:paraId="13E35369">
      <w:pPr>
        <w:numPr>
          <w:ilvl w:val="0"/>
          <w:numId w:val="0"/>
        </w:num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rPr>
      </w:pPr>
      <w:r>
        <w:rPr>
          <w:rFonts w:hint="default" w:ascii="Times New Roman" w:hAnsi="Times New Roman" w:cs="Times New Roman"/>
          <w:color w:val="auto"/>
        </w:rPr>
        <w:t>有条件的供餐单位可配备营养专业人员或应用专业营养软件</w:t>
      </w:r>
      <w:r>
        <w:rPr>
          <w:rFonts w:hint="eastAsia" w:ascii="Times New Roman" w:hAnsi="Times New Roman" w:cs="Times New Roman"/>
          <w:color w:val="auto"/>
          <w:lang w:eastAsia="zh-CN"/>
        </w:rPr>
        <w:t>（电子营养师）</w:t>
      </w:r>
      <w:r>
        <w:rPr>
          <w:rFonts w:hint="default" w:ascii="Times New Roman" w:hAnsi="Times New Roman" w:cs="Times New Roman"/>
          <w:color w:val="auto"/>
        </w:rPr>
        <w:t>，为中小学校提供科学配餐、膳食营养均衡等服务。</w:t>
      </w:r>
    </w:p>
    <w:p w14:paraId="17DB5619">
      <w:pPr>
        <w:pStyle w:val="3"/>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65" w:name="_Toc162708769"/>
      <w:bookmarkStart w:id="66" w:name="_Toc8944"/>
      <w:r>
        <w:rPr>
          <w:rFonts w:hint="default" w:ascii="Times New Roman" w:hAnsi="Times New Roman" w:cs="Times New Roman"/>
          <w:color w:val="auto"/>
        </w:rPr>
        <w:t>6.3 制度建设</w:t>
      </w:r>
      <w:bookmarkEnd w:id="65"/>
      <w:bookmarkEnd w:id="66"/>
    </w:p>
    <w:p w14:paraId="01178956">
      <w:pPr>
        <w:pStyle w:val="4"/>
        <w:adjustRightInd w:val="0"/>
        <w:snapToGrid w:val="0"/>
        <w:spacing w:before="157" w:after="0" w:afterLines="0" w:line="240" w:lineRule="auto"/>
        <w:rPr>
          <w:rFonts w:hint="default" w:ascii="Times New Roman" w:hAnsi="Times New Roman" w:cs="Times New Roman"/>
          <w:color w:val="auto"/>
        </w:rPr>
      </w:pPr>
      <w:bookmarkStart w:id="67" w:name="_Toc28509"/>
      <w:r>
        <w:rPr>
          <w:rFonts w:hint="default" w:ascii="Times New Roman" w:hAnsi="Times New Roman" w:cs="Times New Roman"/>
          <w:color w:val="auto"/>
        </w:rPr>
        <w:t>6.3.1 信息公示制度</w:t>
      </w:r>
      <w:bookmarkEnd w:id="67"/>
    </w:p>
    <w:p w14:paraId="4F7C2A41">
      <w:p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rPr>
      </w:pPr>
      <w:r>
        <w:rPr>
          <w:rFonts w:hint="default" w:ascii="Times New Roman" w:hAnsi="Times New Roman" w:cs="Times New Roman"/>
          <w:color w:val="auto"/>
        </w:rPr>
        <w:t>应建立信息公示制度，在经营场所醒目位置进行信息公示，包括但不限于：</w:t>
      </w:r>
    </w:p>
    <w:p w14:paraId="5630759D">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a) 食品安全承诺书:</w:t>
      </w:r>
    </w:p>
    <w:p w14:paraId="47E4AC7C">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b) 食品安全管理制度：</w:t>
      </w:r>
    </w:p>
    <w:p w14:paraId="49228582">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c) 从业人员健康证明；</w:t>
      </w:r>
    </w:p>
    <w:p w14:paraId="612F0A7F">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d) 监管部门监督检查信息；</w:t>
      </w:r>
    </w:p>
    <w:p w14:paraId="15AF55D1">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e) 每周带量食谱及饭菜价格；</w:t>
      </w:r>
    </w:p>
    <w:p w14:paraId="05932ED2">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f) 大</w:t>
      </w:r>
      <w:r>
        <w:rPr>
          <w:rFonts w:hint="eastAsia" w:ascii="Times New Roman" w:hAnsi="Times New Roman" w:cs="Times New Roman"/>
          <w:color w:val="auto"/>
          <w:lang w:eastAsia="zh-CN"/>
        </w:rPr>
        <w:t>宗</w:t>
      </w:r>
      <w:r>
        <w:rPr>
          <w:rFonts w:hint="default" w:ascii="Times New Roman" w:hAnsi="Times New Roman" w:cs="Times New Roman"/>
          <w:color w:val="auto"/>
        </w:rPr>
        <w:t>食品原料供应商及采购价格。</w:t>
      </w:r>
    </w:p>
    <w:p w14:paraId="2229F6D9">
      <w:pPr>
        <w:pStyle w:val="4"/>
        <w:adjustRightInd w:val="0"/>
        <w:snapToGrid w:val="0"/>
        <w:spacing w:before="157" w:after="0" w:afterLines="0" w:line="240" w:lineRule="auto"/>
        <w:rPr>
          <w:rFonts w:hint="default" w:ascii="Times New Roman" w:hAnsi="Times New Roman" w:cs="Times New Roman"/>
          <w:color w:val="auto"/>
        </w:rPr>
      </w:pPr>
      <w:bookmarkStart w:id="68" w:name="_Toc7352"/>
      <w:r>
        <w:rPr>
          <w:rFonts w:hint="default" w:ascii="Times New Roman" w:hAnsi="Times New Roman" w:cs="Times New Roman"/>
          <w:color w:val="auto"/>
        </w:rPr>
        <w:t>6</w:t>
      </w:r>
      <w:r>
        <w:rPr>
          <w:rFonts w:hint="default" w:ascii="Times New Roman" w:hAnsi="Times New Roman" w:cs="Times New Roman"/>
          <w:color w:val="auto"/>
          <w:lang w:val="en-US" w:eastAsia="zh-CN"/>
        </w:rPr>
        <w:t>.</w:t>
      </w:r>
      <w:r>
        <w:rPr>
          <w:rFonts w:hint="default" w:ascii="Times New Roman" w:hAnsi="Times New Roman" w:cs="Times New Roman"/>
          <w:color w:val="auto"/>
        </w:rPr>
        <w:t>3.2日常管理制度</w:t>
      </w:r>
      <w:bookmarkEnd w:id="68"/>
    </w:p>
    <w:p w14:paraId="23805DC8">
      <w:p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rPr>
      </w:pPr>
      <w:r>
        <w:rPr>
          <w:rFonts w:hint="default" w:ascii="Times New Roman" w:hAnsi="Times New Roman" w:cs="Times New Roman"/>
          <w:color w:val="auto"/>
        </w:rPr>
        <w:t>供餐单位应建立日常管理制度，包括但不限于：</w:t>
      </w:r>
    </w:p>
    <w:p w14:paraId="1C5CEDB3">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a) 从业人员健康管理和培训管理制度；</w:t>
      </w:r>
    </w:p>
    <w:p w14:paraId="0369BD33">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b) 加工经营场所及设施设备清洁、消毒和维修保养制度；</w:t>
      </w:r>
    </w:p>
    <w:p w14:paraId="4B61252B">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c) 食品、食品添加剂、食品相关产品采购索证索票、进货查验和分账记录制度；</w:t>
      </w:r>
    </w:p>
    <w:p w14:paraId="246317E7">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d) 关键环节食品加工操作规程</w:t>
      </w:r>
      <w:r>
        <w:rPr>
          <w:rFonts w:hint="default" w:ascii="Times New Roman" w:hAnsi="Times New Roman" w:cs="Times New Roman"/>
          <w:color w:val="auto"/>
          <w:lang w:eastAsia="zh-CN"/>
        </w:rPr>
        <w:t>；</w:t>
      </w:r>
    </w:p>
    <w:p w14:paraId="39CE5B8B">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e) 食品留样制度；</w:t>
      </w:r>
    </w:p>
    <w:p w14:paraId="3F9ABB52">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f) 餐厨废弃物处置管理制度</w:t>
      </w:r>
      <w:r>
        <w:rPr>
          <w:rFonts w:hint="default" w:ascii="Times New Roman" w:hAnsi="Times New Roman" w:cs="Times New Roman"/>
          <w:color w:val="auto"/>
          <w:lang w:eastAsia="zh-CN"/>
        </w:rPr>
        <w:t>；</w:t>
      </w:r>
    </w:p>
    <w:p w14:paraId="64DCEB52">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g) 餐饮服务食品安全突发事件应急处置方案；</w:t>
      </w:r>
    </w:p>
    <w:p w14:paraId="2ACFD1F9">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h) 投诉受理制度。</w:t>
      </w:r>
    </w:p>
    <w:p w14:paraId="1CA71768">
      <w:pPr>
        <w:pStyle w:val="4"/>
        <w:adjustRightInd w:val="0"/>
        <w:snapToGrid w:val="0"/>
        <w:spacing w:before="157" w:after="0" w:afterLines="0" w:line="240" w:lineRule="auto"/>
        <w:rPr>
          <w:rFonts w:hint="default" w:ascii="Times New Roman" w:hAnsi="Times New Roman" w:cs="Times New Roman"/>
          <w:color w:val="auto"/>
        </w:rPr>
      </w:pPr>
      <w:bookmarkStart w:id="69" w:name="_Toc13747"/>
      <w:r>
        <w:rPr>
          <w:rFonts w:hint="default" w:ascii="Times New Roman" w:hAnsi="Times New Roman" w:cs="Times New Roman"/>
          <w:color w:val="auto"/>
        </w:rPr>
        <w:t>6</w:t>
      </w:r>
      <w:r>
        <w:rPr>
          <w:rFonts w:hint="default" w:ascii="Times New Roman" w:hAnsi="Times New Roman" w:cs="Times New Roman"/>
          <w:color w:val="auto"/>
          <w:lang w:val="en-US" w:eastAsia="zh-CN"/>
        </w:rPr>
        <w:t>.</w:t>
      </w:r>
      <w:r>
        <w:rPr>
          <w:rFonts w:hint="default" w:ascii="Times New Roman" w:hAnsi="Times New Roman" w:cs="Times New Roman"/>
          <w:color w:val="auto"/>
        </w:rPr>
        <w:t>3.3台账管理制度</w:t>
      </w:r>
      <w:bookmarkEnd w:id="69"/>
    </w:p>
    <w:p w14:paraId="405810B4">
      <w:pPr>
        <w:numPr>
          <w:ilvl w:val="0"/>
          <w:numId w:val="0"/>
        </w:numPr>
        <w:kinsoku/>
        <w:wordWrap/>
        <w:overflowPunct/>
        <w:topLinePunct w:val="0"/>
        <w:bidi w:val="0"/>
        <w:adjustRightInd w:val="0"/>
        <w:snapToGrid w:val="0"/>
        <w:spacing w:before="157" w:beforeLines="50" w:line="240" w:lineRule="auto"/>
        <w:ind w:left="0" w:leftChars="0" w:firstLine="0" w:firstLineChars="0"/>
        <w:textAlignment w:val="auto"/>
        <w:outlineLvl w:val="3"/>
        <w:rPr>
          <w:rFonts w:hint="default" w:ascii="Times New Roman" w:hAnsi="Times New Roman" w:cs="Times New Roman"/>
          <w:color w:val="auto"/>
        </w:rPr>
      </w:pPr>
      <w:r>
        <w:rPr>
          <w:rFonts w:hint="default" w:ascii="Times New Roman" w:hAnsi="Times New Roman" w:cs="Times New Roman"/>
          <w:color w:val="auto"/>
          <w:lang w:val="en-US" w:eastAsia="zh-CN"/>
        </w:rPr>
        <w:t>6.</w:t>
      </w:r>
      <w:r>
        <w:rPr>
          <w:rFonts w:hint="default" w:ascii="Times New Roman" w:hAnsi="Times New Roman" w:cs="Times New Roman"/>
          <w:color w:val="auto"/>
        </w:rPr>
        <w:t>3.3.1食品安全管理档案</w:t>
      </w:r>
    </w:p>
    <w:p w14:paraId="4FDD9B8F">
      <w:pPr>
        <w:numPr>
          <w:ilvl w:val="0"/>
          <w:numId w:val="0"/>
        </w:num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rPr>
      </w:pPr>
      <w:r>
        <w:rPr>
          <w:rFonts w:hint="default" w:ascii="Times New Roman" w:hAnsi="Times New Roman" w:cs="Times New Roman"/>
          <w:color w:val="auto"/>
        </w:rPr>
        <w:t>供餐单位应建立食品安全管理档案，及时收集相关资料，每年汇总整理并装订成册，有关记录至少应保存2年。包括但不限于以下内容：</w:t>
      </w:r>
    </w:p>
    <w:p w14:paraId="09986E6F">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a) 食品安全管理机构名单及上级有关文件</w:t>
      </w:r>
      <w:r>
        <w:rPr>
          <w:rFonts w:hint="default" w:ascii="Times New Roman" w:hAnsi="Times New Roman" w:cs="Times New Roman"/>
          <w:color w:val="auto"/>
          <w:lang w:eastAsia="zh-CN"/>
        </w:rPr>
        <w:t>；</w:t>
      </w:r>
    </w:p>
    <w:p w14:paraId="2D6BFCC7">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b) 食品安全管理工作制度</w:t>
      </w:r>
      <w:r>
        <w:rPr>
          <w:rFonts w:hint="default" w:ascii="Times New Roman" w:hAnsi="Times New Roman" w:cs="Times New Roman"/>
          <w:color w:val="auto"/>
          <w:lang w:eastAsia="zh-CN"/>
        </w:rPr>
        <w:t>；</w:t>
      </w:r>
    </w:p>
    <w:p w14:paraId="7F32F88B">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c) 供餐单位人员组成及分工情况</w:t>
      </w:r>
      <w:r>
        <w:rPr>
          <w:rFonts w:hint="default" w:ascii="Times New Roman" w:hAnsi="Times New Roman" w:cs="Times New Roman"/>
          <w:color w:val="auto"/>
          <w:lang w:eastAsia="zh-CN"/>
        </w:rPr>
        <w:t>；</w:t>
      </w:r>
    </w:p>
    <w:p w14:paraId="195DB4A1">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d) 供餐单位食品经营许可证、从业人员健康证明、食品安全知识培训合格证复印件；</w:t>
      </w:r>
    </w:p>
    <w:p w14:paraId="2623BADC">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e) 食品安全知识培训教材、资料，人员学习记录；</w:t>
      </w:r>
    </w:p>
    <w:p w14:paraId="08BABB59">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f) 供餐单位食品安全年度工作计划、总结；</w:t>
      </w:r>
    </w:p>
    <w:p w14:paraId="4A220C0F">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g) 监督检查意见书</w:t>
      </w:r>
      <w:r>
        <w:rPr>
          <w:rFonts w:hint="default" w:ascii="Times New Roman" w:hAnsi="Times New Roman" w:cs="Times New Roman"/>
          <w:color w:val="auto"/>
          <w:lang w:eastAsia="zh-CN"/>
        </w:rPr>
        <w:t>；</w:t>
      </w:r>
    </w:p>
    <w:p w14:paraId="778C4459">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h) 各类台账资料。</w:t>
      </w:r>
    </w:p>
    <w:p w14:paraId="6EECE19A">
      <w:pPr>
        <w:kinsoku/>
        <w:wordWrap/>
        <w:overflowPunct/>
        <w:topLinePunct w:val="0"/>
        <w:bidi w:val="0"/>
        <w:adjustRightInd w:val="0"/>
        <w:snapToGrid w:val="0"/>
        <w:spacing w:before="157" w:beforeLines="50" w:line="240" w:lineRule="auto"/>
        <w:textAlignment w:val="auto"/>
        <w:outlineLvl w:val="3"/>
        <w:rPr>
          <w:rFonts w:hint="default" w:ascii="Times New Roman" w:hAnsi="Times New Roman" w:cs="Times New Roman"/>
          <w:color w:val="auto"/>
        </w:rPr>
      </w:pPr>
      <w:r>
        <w:rPr>
          <w:rFonts w:hint="default" w:ascii="Times New Roman" w:hAnsi="Times New Roman" w:cs="Times New Roman"/>
          <w:color w:val="auto"/>
        </w:rPr>
        <w:t>6.3.3.2台账资料管理</w:t>
      </w:r>
    </w:p>
    <w:p w14:paraId="0B14AA8F">
      <w:p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rPr>
      </w:pPr>
      <w:r>
        <w:rPr>
          <w:rFonts w:hint="default" w:ascii="Times New Roman" w:hAnsi="Times New Roman" w:eastAsia="宋体" w:cs="Times New Roman"/>
          <w:color w:val="auto"/>
          <w:sz w:val="21"/>
          <w:szCs w:val="24"/>
        </w:rPr>
        <w:t>台账资料管理包括但不限于：</w:t>
      </w:r>
    </w:p>
    <w:p w14:paraId="0A2B6FB6">
      <w:pPr>
        <w:kinsoku/>
        <w:wordWrap/>
        <w:overflowPunct/>
        <w:topLinePunct w:val="0"/>
        <w:bidi w:val="0"/>
        <w:adjustRightInd w:val="0"/>
        <w:snapToGrid w:val="0"/>
        <w:spacing w:before="157" w:beforeLines="50" w:line="240" w:lineRule="auto"/>
        <w:textAlignment w:val="auto"/>
        <w:rPr>
          <w:rFonts w:hint="default" w:ascii="Times New Roman" w:hAnsi="Times New Roman" w:eastAsia="宋体" w:cs="Times New Roman"/>
          <w:color w:val="auto"/>
          <w:lang w:eastAsia="zh-CN"/>
        </w:rPr>
      </w:pPr>
      <w:r>
        <w:rPr>
          <w:rFonts w:hint="default" w:ascii="Times New Roman" w:hAnsi="Times New Roman" w:cs="Times New Roman"/>
          <w:color w:val="auto"/>
        </w:rPr>
        <w:t>a) 供应商资格审核记录</w:t>
      </w:r>
      <w:r>
        <w:rPr>
          <w:rFonts w:hint="default" w:ascii="Times New Roman" w:hAnsi="Times New Roman" w:cs="Times New Roman"/>
          <w:color w:val="auto"/>
          <w:lang w:eastAsia="zh-CN"/>
        </w:rPr>
        <w:t>；</w:t>
      </w:r>
    </w:p>
    <w:p w14:paraId="39E0D884">
      <w:pPr>
        <w:kinsoku/>
        <w:wordWrap/>
        <w:overflowPunct/>
        <w:topLinePunct w:val="0"/>
        <w:bidi w:val="0"/>
        <w:adjustRightInd w:val="0"/>
        <w:snapToGrid w:val="0"/>
        <w:spacing w:before="157" w:beforeLines="50" w:line="240" w:lineRule="auto"/>
        <w:textAlignment w:val="auto"/>
        <w:rPr>
          <w:rFonts w:hint="default" w:ascii="Times New Roman" w:hAnsi="Times New Roman" w:eastAsia="宋体" w:cs="Times New Roman"/>
          <w:color w:val="auto"/>
          <w:lang w:eastAsia="zh-CN"/>
        </w:rPr>
      </w:pPr>
      <w:r>
        <w:rPr>
          <w:rFonts w:hint="default" w:ascii="Times New Roman" w:hAnsi="Times New Roman" w:cs="Times New Roman"/>
          <w:color w:val="auto"/>
        </w:rPr>
        <w:t>b) 食品原料采购索证索票进货</w:t>
      </w:r>
      <w:r>
        <w:rPr>
          <w:rFonts w:hint="eastAsia" w:ascii="Times New Roman" w:hAnsi="Times New Roman" w:cs="Times New Roman"/>
          <w:color w:val="auto"/>
          <w:lang w:eastAsia="zh-CN"/>
        </w:rPr>
        <w:t>查验和采购</w:t>
      </w:r>
      <w:r>
        <w:rPr>
          <w:rFonts w:hint="default" w:ascii="Times New Roman" w:hAnsi="Times New Roman" w:cs="Times New Roman"/>
          <w:color w:val="auto"/>
        </w:rPr>
        <w:t>记录</w:t>
      </w:r>
      <w:r>
        <w:rPr>
          <w:rFonts w:hint="default" w:ascii="Times New Roman" w:hAnsi="Times New Roman" w:cs="Times New Roman"/>
          <w:color w:val="auto"/>
          <w:lang w:eastAsia="zh-CN"/>
        </w:rPr>
        <w:t>；</w:t>
      </w:r>
    </w:p>
    <w:p w14:paraId="08E41ED0">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c) 清洁卫生及场所消毒情况记录；</w:t>
      </w:r>
    </w:p>
    <w:p w14:paraId="4D45056F">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d) 餐用具清洗消毒情况记录；</w:t>
      </w:r>
    </w:p>
    <w:p w14:paraId="62DDFE96">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e) 从业人员健康监测记录；</w:t>
      </w:r>
    </w:p>
    <w:p w14:paraId="4FFED0B1">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f) 食品安全“日管控、周排查、月调度”工作记录；</w:t>
      </w:r>
    </w:p>
    <w:p w14:paraId="7A725D9C">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g) 安全自查记录；</w:t>
      </w:r>
    </w:p>
    <w:p w14:paraId="66F25CDB">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h) 食品留样记录；</w:t>
      </w:r>
    </w:p>
    <w:p w14:paraId="45B20087">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i) 投诉处理记录；</w:t>
      </w:r>
    </w:p>
    <w:p w14:paraId="7B6F33E6">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j) 不合格食品处理记录；</w:t>
      </w:r>
    </w:p>
    <w:p w14:paraId="0707B500">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k) 废弃物处理记录；</w:t>
      </w:r>
    </w:p>
    <w:p w14:paraId="132CB31E">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l) 食品添加剂采购及使用记录；</w:t>
      </w:r>
    </w:p>
    <w:p w14:paraId="7AD37B46">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m) 陪餐记录；</w:t>
      </w:r>
    </w:p>
    <w:p w14:paraId="1A740D35">
      <w:pPr>
        <w:kinsoku/>
        <w:wordWrap/>
        <w:overflowPunct/>
        <w:topLinePunct w:val="0"/>
        <w:bidi w:val="0"/>
        <w:adjustRightInd w:val="0"/>
        <w:snapToGrid w:val="0"/>
        <w:spacing w:before="157" w:beforeLines="50" w:line="240" w:lineRule="auto"/>
        <w:textAlignment w:val="auto"/>
        <w:rPr>
          <w:rFonts w:hint="default" w:ascii="Times New Roman" w:hAnsi="Times New Roman" w:eastAsia="宋体" w:cs="Times New Roman"/>
          <w:color w:val="auto"/>
          <w:lang w:eastAsia="zh-CN"/>
        </w:rPr>
      </w:pPr>
      <w:r>
        <w:rPr>
          <w:rFonts w:hint="default" w:ascii="Times New Roman" w:hAnsi="Times New Roman" w:cs="Times New Roman"/>
          <w:color w:val="auto"/>
        </w:rPr>
        <w:t>n) 每周带量食谱</w:t>
      </w:r>
      <w:r>
        <w:rPr>
          <w:rFonts w:hint="default" w:ascii="Times New Roman" w:hAnsi="Times New Roman" w:cs="Times New Roman"/>
          <w:color w:val="auto"/>
          <w:lang w:eastAsia="zh-CN"/>
        </w:rPr>
        <w:t>。</w:t>
      </w:r>
    </w:p>
    <w:p w14:paraId="7EB08163">
      <w:pPr>
        <w:kinsoku/>
        <w:wordWrap/>
        <w:overflowPunct/>
        <w:topLinePunct w:val="0"/>
        <w:bidi w:val="0"/>
        <w:adjustRightInd w:val="0"/>
        <w:snapToGrid w:val="0"/>
        <w:spacing w:before="157" w:beforeLines="50" w:line="240" w:lineRule="auto"/>
        <w:textAlignment w:val="auto"/>
        <w:outlineLvl w:val="3"/>
        <w:rPr>
          <w:rFonts w:hint="default" w:ascii="Times New Roman" w:hAnsi="Times New Roman" w:cs="Times New Roman"/>
          <w:color w:val="auto"/>
        </w:rPr>
      </w:pPr>
      <w:r>
        <w:rPr>
          <w:rFonts w:hint="default" w:ascii="Times New Roman" w:hAnsi="Times New Roman" w:cs="Times New Roman"/>
          <w:color w:val="auto"/>
        </w:rPr>
        <w:t>6.3.3.3 电子记录管理</w:t>
      </w:r>
    </w:p>
    <w:p w14:paraId="47D54603">
      <w:p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rPr>
      </w:pPr>
      <w:r>
        <w:rPr>
          <w:rFonts w:hint="default" w:ascii="Times New Roman" w:hAnsi="Times New Roman" w:cs="Times New Roman"/>
          <w:color w:val="auto"/>
        </w:rPr>
        <w:t>供餐单位宜应用“互联网+明厨亮灶+AI识别”智慧化管理平台，建立电子记录保存资料台账，实现食品安全管理的数字化、智能化。</w:t>
      </w:r>
    </w:p>
    <w:p w14:paraId="2CB944A8">
      <w:pPr>
        <w:pStyle w:val="4"/>
        <w:adjustRightInd w:val="0"/>
        <w:snapToGrid w:val="0"/>
        <w:spacing w:before="157" w:after="0" w:afterLines="0" w:line="240" w:lineRule="auto"/>
        <w:rPr>
          <w:rFonts w:hint="default" w:ascii="Times New Roman" w:hAnsi="Times New Roman" w:cs="Times New Roman"/>
          <w:color w:val="auto"/>
        </w:rPr>
      </w:pPr>
      <w:bookmarkStart w:id="70" w:name="_Toc15567"/>
      <w:r>
        <w:rPr>
          <w:rFonts w:hint="default" w:ascii="Times New Roman" w:hAnsi="Times New Roman" w:cs="Times New Roman"/>
          <w:color w:val="auto"/>
        </w:rPr>
        <w:t>6.3.4 责任追究制度</w:t>
      </w:r>
      <w:bookmarkEnd w:id="70"/>
    </w:p>
    <w:p w14:paraId="4FEFA87A">
      <w:p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依据《中华人民共和国食品安全法实施条例》的规定，明确“法定代表人、主要负责人、直接负责</w:t>
      </w:r>
    </w:p>
    <w:p w14:paraId="4E62B881">
      <w:pPr>
        <w:kinsoku/>
        <w:wordWrap/>
        <w:overflowPunct/>
        <w:topLinePunct w:val="0"/>
        <w:bidi w:val="0"/>
        <w:adjustRightInd w:val="0"/>
        <w:snapToGrid w:val="0"/>
        <w:spacing w:before="157" w:beforeLines="50" w:line="24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的主管人员和其他直接责任人员”等四类责任人员，健全完善“处罚到人”食品安全责任追究制度，对</w:t>
      </w:r>
    </w:p>
    <w:p w14:paraId="2B1A0DB2">
      <w:pPr>
        <w:adjustRightInd w:val="0"/>
        <w:snapToGrid w:val="0"/>
        <w:spacing w:before="157" w:beforeLines="50" w:line="240" w:lineRule="auto"/>
        <w:rPr>
          <w:rFonts w:hint="default" w:ascii="Times New Roman" w:hAnsi="Times New Roman" w:eastAsia="宋体" w:cs="Times New Roman"/>
          <w:color w:val="auto"/>
        </w:rPr>
      </w:pPr>
      <w:r>
        <w:rPr>
          <w:rFonts w:hint="default" w:ascii="Times New Roman" w:hAnsi="Times New Roman" w:eastAsia="宋体" w:cs="Times New Roman"/>
          <w:color w:val="auto"/>
        </w:rPr>
        <w:t>未履行职责或履职不到位，导致学校食堂发生食品安全事故，依法追究相关责任人员责任。</w:t>
      </w:r>
      <w:bookmarkStart w:id="71" w:name="_Toc162708770"/>
    </w:p>
    <w:p w14:paraId="629F4839">
      <w:pPr>
        <w:pStyle w:val="3"/>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72" w:name="_Toc20930"/>
      <w:r>
        <w:rPr>
          <w:rFonts w:hint="default" w:ascii="Times New Roman" w:hAnsi="Times New Roman" w:cs="Times New Roman"/>
          <w:color w:val="auto"/>
        </w:rPr>
        <w:t>6.4 布局流程</w:t>
      </w:r>
      <w:bookmarkEnd w:id="71"/>
      <w:bookmarkEnd w:id="72"/>
    </w:p>
    <w:p w14:paraId="1F525DCB">
      <w:p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rPr>
      </w:pPr>
      <w:r>
        <w:rPr>
          <w:rFonts w:hint="default" w:ascii="Times New Roman" w:hAnsi="Times New Roman" w:cs="Times New Roman"/>
          <w:color w:val="auto"/>
        </w:rPr>
        <w:t>食品处理区应按一般操作区、准清洁操作区和清洁操作区相对分开的原则，结合供餐量和规模大小实际情况进行规划布局，按照“从生到熟、从脏到净”单一流向运行，有效控制交叉污染。在此基础上设置功能间（区），包括但不限于以下功能间（区）：</w:t>
      </w:r>
    </w:p>
    <w:p w14:paraId="538C35F6">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a) 健康监测间（区）</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设置身份识别、体温检测等设施或岗位，为落实从业人员上岗前健康监测要求提供条件，有条件的可选择自动识别测温仪等；</w:t>
      </w:r>
    </w:p>
    <w:p w14:paraId="29C15274">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b) 预进间（区）</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设置更衣、洗手消毒等设施；</w:t>
      </w:r>
    </w:p>
    <w:p w14:paraId="7AAF618E">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c) 一般操作间（区）</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分为食品库房、粗加工制作、切配、餐具用具清洗消毒等，设置相应的设施设备；</w:t>
      </w:r>
    </w:p>
    <w:p w14:paraId="226C38D8">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d) 准清洁操作间（区）</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分为烹饪、餐具用具保洁、面食加工等，设置相应的设施设备；</w:t>
      </w:r>
    </w:p>
    <w:p w14:paraId="6DF599B3">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e) 清洁操作间（区）</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分为备餐、凉菜配制等，设置相应的设施设备。</w:t>
      </w:r>
    </w:p>
    <w:p w14:paraId="69F822A8">
      <w:pPr>
        <w:pStyle w:val="3"/>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73" w:name="_Toc29377"/>
      <w:bookmarkStart w:id="74" w:name="_Toc162708771"/>
      <w:r>
        <w:rPr>
          <w:rFonts w:hint="default" w:ascii="Times New Roman" w:hAnsi="Times New Roman" w:cs="Times New Roman"/>
          <w:color w:val="auto"/>
        </w:rPr>
        <w:t>6.5 场所建设</w:t>
      </w:r>
      <w:bookmarkEnd w:id="73"/>
      <w:bookmarkEnd w:id="74"/>
    </w:p>
    <w:p w14:paraId="39F34527">
      <w:pPr>
        <w:pStyle w:val="4"/>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75" w:name="_Toc162708772"/>
      <w:bookmarkStart w:id="76" w:name="_Toc5165"/>
      <w:r>
        <w:rPr>
          <w:rFonts w:hint="default" w:ascii="Times New Roman" w:hAnsi="Times New Roman" w:cs="Times New Roman"/>
          <w:color w:val="auto"/>
        </w:rPr>
        <w:t>6.5.1 基本要求</w:t>
      </w:r>
      <w:bookmarkEnd w:id="75"/>
      <w:bookmarkEnd w:id="76"/>
    </w:p>
    <w:p w14:paraId="1BEC338B">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6.5.1.1 应选择与经营餐食相适应的场所，保持场所环境清洁，不应选择易受到污染的区域。</w:t>
      </w:r>
    </w:p>
    <w:p w14:paraId="67B3B949">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6.5.1.2 应采用坚固耐用，易于维修、清洁或消毒的材料建造，材质和结构应能避免有害生物侵入和栖息。</w:t>
      </w:r>
    </w:p>
    <w:p w14:paraId="0EE7A8E0">
      <w:pPr>
        <w:pStyle w:val="4"/>
        <w:adjustRightInd w:val="0"/>
        <w:snapToGrid w:val="0"/>
        <w:spacing w:before="157" w:after="0" w:afterLines="0" w:line="240" w:lineRule="auto"/>
        <w:rPr>
          <w:rFonts w:hint="default" w:ascii="Times New Roman" w:hAnsi="Times New Roman" w:cs="Times New Roman"/>
          <w:color w:val="auto"/>
        </w:rPr>
      </w:pPr>
      <w:bookmarkStart w:id="77" w:name="_Toc30435"/>
      <w:r>
        <w:rPr>
          <w:rFonts w:hint="default" w:ascii="Times New Roman" w:hAnsi="Times New Roman" w:cs="Times New Roman"/>
          <w:color w:val="auto"/>
        </w:rPr>
        <w:t>6.5.2 地面和墙壁</w:t>
      </w:r>
      <w:bookmarkEnd w:id="77"/>
    </w:p>
    <w:p w14:paraId="369665A6">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6.5.2.1 应选择防水、防滑、无毒、无异味、易清洗的浅色材料涂覆或铺设，应表面平滑、无裂缝、无破损，无霉斑、无积垢，宜选用浅色瓷砖、防火防爆玻璃。</w:t>
      </w:r>
    </w:p>
    <w:p w14:paraId="37493F8C">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6.5.2.2 有水区域地面应以排水沟（口）为低点，保持1.5°的坡度。</w:t>
      </w:r>
    </w:p>
    <w:p w14:paraId="748A33FA">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6.5.2.3 需经常冲洗的场所（包括粗加工制作、切配、烹饪和餐用具清洗消毒等场所），应铺设1.5m以上、浅色、不吸水、易清洗的瓷砖墙裙。</w:t>
      </w:r>
    </w:p>
    <w:p w14:paraId="1EA562D7">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6.5.2.4 备餐间、白案间、凉菜间的瓷砖墙裙应铺设到墙顶。</w:t>
      </w:r>
    </w:p>
    <w:p w14:paraId="3E2FB7D3">
      <w:pPr>
        <w:pStyle w:val="4"/>
        <w:adjustRightInd w:val="0"/>
        <w:snapToGrid w:val="0"/>
        <w:spacing w:before="157" w:after="0" w:afterLines="0" w:line="240" w:lineRule="auto"/>
        <w:rPr>
          <w:rFonts w:hint="default" w:ascii="Times New Roman" w:hAnsi="Times New Roman" w:cs="Times New Roman"/>
          <w:color w:val="auto"/>
        </w:rPr>
      </w:pPr>
      <w:bookmarkStart w:id="78" w:name="_Toc15681"/>
      <w:r>
        <w:rPr>
          <w:rFonts w:hint="default" w:ascii="Times New Roman" w:hAnsi="Times New Roman" w:cs="Times New Roman"/>
          <w:color w:val="auto"/>
        </w:rPr>
        <w:t>6.5.3天花板</w:t>
      </w:r>
      <w:bookmarkEnd w:id="78"/>
    </w:p>
    <w:p w14:paraId="7125427A">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a) 应该选择无毒、无异味、不吸水、易清洁、耐高温、耐腐蚀、浅色的涂覆或装修材料。</w:t>
      </w:r>
    </w:p>
    <w:p w14:paraId="385E99F7">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b) 无裂缝、无破损，无霉斑、无灰尘积聚。</w:t>
      </w:r>
    </w:p>
    <w:p w14:paraId="0F3196FA">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c) 天花板与横梁或墙壁结合处宜有一定弧度，避免积灰。</w:t>
      </w:r>
    </w:p>
    <w:p w14:paraId="52D00441">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d) 水蒸汽较多区域的天花板应有不少于1.5°的坡度。半成品、成品暴露区的天花板应平整。</w:t>
      </w:r>
    </w:p>
    <w:p w14:paraId="56F66152">
      <w:pPr>
        <w:pStyle w:val="4"/>
        <w:adjustRightInd w:val="0"/>
        <w:snapToGrid w:val="0"/>
        <w:spacing w:before="157" w:after="0" w:afterLines="0" w:line="240" w:lineRule="auto"/>
        <w:rPr>
          <w:rFonts w:hint="default" w:ascii="Times New Roman" w:hAnsi="Times New Roman" w:cs="Times New Roman"/>
          <w:color w:val="auto"/>
        </w:rPr>
      </w:pPr>
      <w:bookmarkStart w:id="79" w:name="_Toc5202"/>
      <w:r>
        <w:rPr>
          <w:rFonts w:hint="default" w:ascii="Times New Roman" w:hAnsi="Times New Roman" w:cs="Times New Roman"/>
          <w:color w:val="auto"/>
        </w:rPr>
        <w:t>6.5.4 门窗</w:t>
      </w:r>
      <w:bookmarkEnd w:id="79"/>
    </w:p>
    <w:p w14:paraId="467F2287">
      <w:pPr>
        <w:pStyle w:val="4"/>
        <w:adjustRightInd w:val="0"/>
        <w:snapToGrid w:val="0"/>
        <w:spacing w:before="157" w:after="0" w:afterLines="0" w:line="240" w:lineRule="auto"/>
        <w:ind w:firstLine="420" w:firstLineChars="200"/>
        <w:outlineLvl w:val="9"/>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eastAsia="宋体" w:cs="Times New Roman"/>
          <w:color w:val="auto"/>
          <w:kern w:val="2"/>
          <w:sz w:val="21"/>
          <w:szCs w:val="24"/>
          <w:lang w:val="en-US" w:eastAsia="zh-CN" w:bidi="ar-SA"/>
        </w:rPr>
        <w:t>应坚固、不透水、易清洗、闭合严密、无变形、无破损，便于维护和清洁。确保门窗在使用过程中不会因损坏影响食品安全。</w:t>
      </w:r>
    </w:p>
    <w:p w14:paraId="0523C1CE">
      <w:pPr>
        <w:pStyle w:val="4"/>
        <w:adjustRightInd w:val="0"/>
        <w:snapToGrid w:val="0"/>
        <w:spacing w:before="157" w:after="0" w:afterLines="0" w:line="240" w:lineRule="auto"/>
        <w:rPr>
          <w:rFonts w:hint="default" w:ascii="Times New Roman" w:hAnsi="Times New Roman" w:cs="Times New Roman"/>
          <w:color w:val="auto"/>
        </w:rPr>
      </w:pPr>
      <w:bookmarkStart w:id="80" w:name="_Toc28560"/>
      <w:r>
        <w:rPr>
          <w:rFonts w:hint="default" w:ascii="Times New Roman" w:hAnsi="Times New Roman" w:cs="Times New Roman"/>
          <w:color w:val="auto"/>
        </w:rPr>
        <w:t>6.5.5 给、排水</w:t>
      </w:r>
      <w:bookmarkEnd w:id="80"/>
    </w:p>
    <w:p w14:paraId="40192F4C">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a) 应有足够的供水设施，确保供水量满足生产需求，水质应符合GB 5749《生活饮用水卫生标准》的规定。</w:t>
      </w:r>
    </w:p>
    <w:p w14:paraId="43AEB781">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b) 排水沟应有一定坡度，确保下水道通畅，避免积水。</w:t>
      </w:r>
    </w:p>
    <w:p w14:paraId="5E6D6961">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c) 排水的流向应由高清洁操作区流向低清洁操作区，并应防止污水逆流，避免交叉污染。</w:t>
      </w:r>
    </w:p>
    <w:p w14:paraId="664FE2AC">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d) 排水沟上方应设置横箅子（盖板）或排水沟出水口处应设置竖箅子，缝隙间距或网眼应小于10毫米，防止有害生物侵入。</w:t>
      </w:r>
    </w:p>
    <w:p w14:paraId="5AEA8357">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f) 清洁操作区不应设置明沟，地漏应能有效防止废弃物流入及浊气逸出，确保排水系统的卫生和安全。</w:t>
      </w:r>
    </w:p>
    <w:p w14:paraId="022DF251">
      <w:pPr>
        <w:pStyle w:val="3"/>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81" w:name="_Toc162708773"/>
      <w:bookmarkStart w:id="82" w:name="_Toc24505"/>
      <w:r>
        <w:rPr>
          <w:rFonts w:hint="default" w:ascii="Times New Roman" w:hAnsi="Times New Roman" w:cs="Times New Roman"/>
          <w:color w:val="auto"/>
        </w:rPr>
        <w:t>6.6 设施设备</w:t>
      </w:r>
      <w:bookmarkEnd w:id="81"/>
      <w:bookmarkEnd w:id="82"/>
    </w:p>
    <w:p w14:paraId="62C1D9DA">
      <w:pPr>
        <w:pStyle w:val="4"/>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83" w:name="_Toc162708774"/>
      <w:bookmarkStart w:id="84" w:name="_Toc24582"/>
      <w:r>
        <w:rPr>
          <w:rFonts w:hint="default" w:ascii="Times New Roman" w:hAnsi="Times New Roman" w:cs="Times New Roman"/>
          <w:color w:val="auto"/>
        </w:rPr>
        <w:t>6.6.1 加工制作设施设备</w:t>
      </w:r>
      <w:bookmarkEnd w:id="83"/>
      <w:bookmarkEnd w:id="84"/>
    </w:p>
    <w:p w14:paraId="4DB0A68D">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6.6.1.1 应根据加工制作食品的需要，合理配置各类加工制作设施设备，确保操作高效、卫生。</w:t>
      </w:r>
    </w:p>
    <w:p w14:paraId="12DF2191">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6.6.1.2 各类水池、层架、水浴保温台、配餐台等设备应采用不锈钢材质制造，不易积垢，便于清洁，并用明显标识标明用途。不得将加工制作食品的设施设备、容器、工具用于与加工制作食品无关的用途。</w:t>
      </w:r>
    </w:p>
    <w:p w14:paraId="603EE34F">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6.6.1.3 设施设备的摆放位置应便于操作、清洁、维护和减少交叉污染；固定安装的设施设备应安装牢固，与地面、墙壁无缝隙，或保留足够的清洁、维护空间。</w:t>
      </w:r>
    </w:p>
    <w:p w14:paraId="72B6BFD3">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6.6.1.4 设施设备、容器和工具与食品接触的表面应平滑、无凹陷或裂缝，内部角落部位不宜有尖角，确保易于清洁和消毒。</w:t>
      </w:r>
    </w:p>
    <w:p w14:paraId="154312C3">
      <w:pPr>
        <w:pStyle w:val="4"/>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85" w:name="_Toc162708775"/>
      <w:bookmarkStart w:id="86" w:name="_Toc10616"/>
      <w:r>
        <w:rPr>
          <w:rFonts w:hint="default" w:ascii="Times New Roman" w:hAnsi="Times New Roman" w:cs="Times New Roman"/>
          <w:color w:val="auto"/>
        </w:rPr>
        <w:t>6.6.2 照明设施</w:t>
      </w:r>
      <w:bookmarkEnd w:id="85"/>
      <w:bookmarkEnd w:id="86"/>
    </w:p>
    <w:p w14:paraId="6A0BAACC">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6.6.2.1 食品处理区应有充足的自然采光或人工照明设施，工作面的光照强度不应低于220 lux，且光源应不改变食品的感官颜色。其他场所的光照强度不应低于110 lux，确保操作环境的明亮和安全。</w:t>
      </w:r>
    </w:p>
    <w:p w14:paraId="4E03B835">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6.6.2.2 安装在暴露食品正上方的照明灯应配备防护装置，防止灯具直接污染食品。</w:t>
      </w:r>
    </w:p>
    <w:p w14:paraId="57ED82D1">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6.6.2.3 冷冻（藏）库应使用防爆灯，确保在低温环境下照明设备的安全性和稳定性。</w:t>
      </w:r>
    </w:p>
    <w:p w14:paraId="1F273057">
      <w:pPr>
        <w:pStyle w:val="4"/>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87" w:name="_Toc162708776"/>
      <w:bookmarkStart w:id="88" w:name="_Toc30723"/>
      <w:r>
        <w:rPr>
          <w:rFonts w:hint="default" w:ascii="Times New Roman" w:hAnsi="Times New Roman" w:cs="Times New Roman"/>
          <w:color w:val="auto"/>
        </w:rPr>
        <w:t>6.6.3 油烟处理设施</w:t>
      </w:r>
      <w:bookmarkEnd w:id="87"/>
      <w:bookmarkEnd w:id="88"/>
    </w:p>
    <w:p w14:paraId="0853A2D0">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6.6.3.1 产生油烟的设备上方，应设置机械排风及油烟净化处理设备，确保厨房空气质量。</w:t>
      </w:r>
    </w:p>
    <w:p w14:paraId="08C6E6C8">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6.6.3.2 产生大量蒸汽的设备上方，应设置机械排风排气装置，并做好凝结水的引泄，防止蒸汽积聚影响食品安全。</w:t>
      </w:r>
    </w:p>
    <w:p w14:paraId="2856144E">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6.6.3.3 排气口应设有防止有害生物侵入的网罩，确保排风系统的卫生和安全。</w:t>
      </w:r>
    </w:p>
    <w:p w14:paraId="6033F03F">
      <w:pPr>
        <w:pStyle w:val="4"/>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89" w:name="_Toc11756"/>
      <w:bookmarkStart w:id="90" w:name="_Toc162708777"/>
      <w:r>
        <w:rPr>
          <w:rFonts w:hint="default" w:ascii="Times New Roman" w:hAnsi="Times New Roman" w:cs="Times New Roman"/>
          <w:color w:val="auto"/>
        </w:rPr>
        <w:t>6.6.4 冷藏设施设备</w:t>
      </w:r>
      <w:bookmarkEnd w:id="89"/>
      <w:bookmarkEnd w:id="90"/>
    </w:p>
    <w:p w14:paraId="468660ED">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6.6.4.1 应根据加工需要配置冷冻柜、冷藏柜，必要时设置冷冻库、冷藏库，确保食品在贮存过程中的温度控制。</w:t>
      </w:r>
    </w:p>
    <w:p w14:paraId="5859C52C">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6.6.4.2应根据贮存食物的不同类别进行区分标识，确保食品分类存储，避免交叉污染。</w:t>
      </w:r>
    </w:p>
    <w:p w14:paraId="038D48EA">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6.6.4.3 冷冻、冷藏柜（库）应设有可正确显示内部温度的外显式温度计，宜安装温度监测传感器，对贮存温度进行实时监控和预警，确保温度控制的准确性和及时性。</w:t>
      </w:r>
    </w:p>
    <w:p w14:paraId="51941C41">
      <w:pPr>
        <w:pStyle w:val="4"/>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91" w:name="_Toc162708778"/>
      <w:bookmarkStart w:id="92" w:name="_Toc265"/>
      <w:r>
        <w:rPr>
          <w:rFonts w:hint="default" w:ascii="Times New Roman" w:hAnsi="Times New Roman" w:cs="Times New Roman"/>
          <w:color w:val="auto"/>
        </w:rPr>
        <w:t>6.6.5 有害生物防制设施</w:t>
      </w:r>
      <w:bookmarkEnd w:id="91"/>
      <w:bookmarkEnd w:id="92"/>
    </w:p>
    <w:p w14:paraId="41E97DDD">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6.6.5.1 食品处理区和就餐区宜安装粘捕式灭蝇灯。使用电击式灭蝇灯的，灭蝇灯不得悬挂在食品加工制作或贮存区域的上方。应根据场所的布局、面积及灭蝇灯使用技术要求合理设置灭蝇灯。</w:t>
      </w:r>
    </w:p>
    <w:p w14:paraId="00D18370">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6.6.5.2 食品处理区内应设有灭鼠设施，包括但不限于粘鼠板、捕鼠笼、电子驱鼠设备、机械式捕鼠器，严禁使用化学灭鼠剂。食品处理区外可使用抗干预型鼠饵站，鼠饵站和鼠饵等设施应固定安装，避免鼠饵外泄。</w:t>
      </w:r>
    </w:p>
    <w:p w14:paraId="07E4CAA3">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6.6.5.3 食品处理区与外界直接相通的门、可开启的窗和销售传递窗口，应设置易拆洗、不易生锈的有害生物防制设施，包括但不限于蝇纱网、空气幕、防蝇胶帘、防虫纱窗、防鼠板。挡鼠板高度应不低于600毫米，门的缝隙应小于6毫米。防蝇胶帘应覆盖整个门框，底部离地距离小于20毫米，相邻胶帘条的重叠部分不少于20毫米。</w:t>
      </w:r>
    </w:p>
    <w:p w14:paraId="32A780AF">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6.6.5.4 食品处理区与外界直接相通的门应能自动关闭。通风口、换气窗应加装不小于16目的防虫筛网，防止有害生物通过通风口进入。</w:t>
      </w:r>
    </w:p>
    <w:p w14:paraId="28CE70ED">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6.6.5.5 供餐单位的“互联网+明厨亮灶+AI识别”智慧化管理系统应具备鼠类活动自动抓拍和自动推送预警功能，并全天候开展鼠类活动监测，确保有害生物防控的及时性和有效性。</w:t>
      </w:r>
    </w:p>
    <w:p w14:paraId="302C28BC">
      <w:pPr>
        <w:pStyle w:val="4"/>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93" w:name="_Toc162708779"/>
      <w:bookmarkStart w:id="94" w:name="_Toc23765"/>
      <w:r>
        <w:rPr>
          <w:rFonts w:hint="default" w:ascii="Times New Roman" w:hAnsi="Times New Roman" w:cs="Times New Roman"/>
          <w:color w:val="auto"/>
        </w:rPr>
        <w:t>6.6.6 检验检测设施</w:t>
      </w:r>
      <w:bookmarkEnd w:id="93"/>
      <w:bookmarkEnd w:id="94"/>
    </w:p>
    <w:p w14:paraId="624D84B3">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6.6.6.1 有条件的供餐单位宜建立食品安全快速检测室，配置农药残留、兽药残留、洁净度快速检测仪器，日常开展食品检验检测，确保食品安全指标达标。</w:t>
      </w:r>
    </w:p>
    <w:p w14:paraId="79DA736D">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6.6.6.2 根据自身的食品安全风险分析结果，确定检验检测项目，包括但不限于农药残留、兽药残留、致病性微生物、餐用具清洗消毒效果监测等，确保全面覆盖食品安全风险。</w:t>
      </w:r>
    </w:p>
    <w:p w14:paraId="687D2644">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6.6.6.3 检验检测人员应经过专业培训与考核，具备相应的食品安全检验检测资质，确保检测结果的准确性和可靠性。</w:t>
      </w:r>
    </w:p>
    <w:p w14:paraId="129187E7">
      <w:pPr>
        <w:pStyle w:val="3"/>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95" w:name="_Toc28405"/>
      <w:bookmarkStart w:id="96" w:name="_Toc162708780"/>
      <w:r>
        <w:rPr>
          <w:rFonts w:hint="default" w:ascii="Times New Roman" w:hAnsi="Times New Roman" w:cs="Times New Roman"/>
          <w:color w:val="auto"/>
        </w:rPr>
        <w:t>6.7 功能区建设</w:t>
      </w:r>
      <w:bookmarkEnd w:id="95"/>
      <w:bookmarkEnd w:id="96"/>
    </w:p>
    <w:p w14:paraId="1B5EF498">
      <w:pPr>
        <w:pStyle w:val="4"/>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97" w:name="_Toc162708781"/>
      <w:bookmarkStart w:id="98" w:name="_Toc6461"/>
      <w:r>
        <w:rPr>
          <w:rFonts w:hint="default" w:ascii="Times New Roman" w:hAnsi="Times New Roman" w:cs="Times New Roman"/>
          <w:color w:val="auto"/>
        </w:rPr>
        <w:t>6.7.1 更衣室</w:t>
      </w:r>
      <w:bookmarkEnd w:id="97"/>
      <w:bookmarkEnd w:id="98"/>
    </w:p>
    <w:p w14:paraId="58189F1D">
      <w:p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rPr>
      </w:pPr>
      <w:r>
        <w:rPr>
          <w:rFonts w:hint="default" w:ascii="Times New Roman" w:hAnsi="Times New Roman" w:cs="Times New Roman"/>
          <w:color w:val="auto"/>
        </w:rPr>
        <w:t>更衣室应为独立隔间，位于食品处理区入口处，空间和更衣设施（如更衣柜、挂钩、衣架）应满足实际需求，确保从业人员能够方便、卫生地更换工作服。</w:t>
      </w:r>
    </w:p>
    <w:p w14:paraId="5B173FDD">
      <w:pPr>
        <w:pStyle w:val="4"/>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99" w:name="_Toc162708782"/>
      <w:bookmarkStart w:id="100" w:name="_Toc17627"/>
      <w:r>
        <w:rPr>
          <w:rFonts w:hint="default" w:ascii="Times New Roman" w:hAnsi="Times New Roman" w:cs="Times New Roman"/>
          <w:color w:val="auto"/>
        </w:rPr>
        <w:t>6.7.2 库房</w:t>
      </w:r>
      <w:bookmarkEnd w:id="99"/>
      <w:bookmarkEnd w:id="100"/>
    </w:p>
    <w:p w14:paraId="167A22D4">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lang w:val="en-US" w:eastAsia="zh-CN"/>
        </w:rPr>
        <w:t>6.7.2.1</w:t>
      </w:r>
      <w:r>
        <w:rPr>
          <w:rFonts w:hint="default" w:ascii="Times New Roman" w:hAnsi="Times New Roman" w:cs="Times New Roman"/>
          <w:color w:val="auto"/>
        </w:rPr>
        <w:t>库房应设有通风、防潮及防止有害生物侵入的装置。</w:t>
      </w:r>
    </w:p>
    <w:p w14:paraId="1837F054">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lang w:val="en-US" w:eastAsia="zh-CN"/>
        </w:rPr>
        <w:t>6.7.2.2</w:t>
      </w:r>
      <w:r>
        <w:rPr>
          <w:rFonts w:hint="default" w:ascii="Times New Roman" w:hAnsi="Times New Roman" w:cs="Times New Roman"/>
          <w:color w:val="auto"/>
        </w:rPr>
        <w:t>主食原料、副食原料、调味品、食品包装材料等应分类存放，并有明显的区分标识。</w:t>
      </w:r>
    </w:p>
    <w:p w14:paraId="339747C4">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lang w:val="en-US" w:eastAsia="zh-CN"/>
        </w:rPr>
        <w:t>6.7.2.3</w:t>
      </w:r>
      <w:r>
        <w:rPr>
          <w:rFonts w:hint="default" w:ascii="Times New Roman" w:hAnsi="Times New Roman" w:cs="Times New Roman"/>
          <w:color w:val="auto"/>
        </w:rPr>
        <w:t>应设置足够数量的存放架，结构及位置应使贮存的食品和物品离墙离地至少100毫米，避免直接接触地面。</w:t>
      </w:r>
    </w:p>
    <w:p w14:paraId="2EEC4EE1">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lang w:val="en-US" w:eastAsia="zh-CN"/>
        </w:rPr>
        <w:t>6.7.2.4</w:t>
      </w:r>
      <w:r>
        <w:rPr>
          <w:rFonts w:hint="default" w:ascii="Times New Roman" w:hAnsi="Times New Roman" w:cs="Times New Roman"/>
          <w:color w:val="auto"/>
        </w:rPr>
        <w:t>洗涤剂、消毒剂、杀虫剂、灭鼠药等有毒有害物品应设立专门贮存区，严禁进入食品仓库。</w:t>
      </w:r>
    </w:p>
    <w:p w14:paraId="5314066F">
      <w:pPr>
        <w:pStyle w:val="4"/>
        <w:kinsoku/>
        <w:wordWrap/>
        <w:overflowPunct/>
        <w:topLinePunct w:val="0"/>
        <w:bidi w:val="0"/>
        <w:adjustRightInd w:val="0"/>
        <w:snapToGrid w:val="0"/>
        <w:spacing w:before="157" w:beforeLines="50" w:after="0" w:afterLines="0" w:line="240" w:lineRule="auto"/>
        <w:textAlignment w:val="auto"/>
        <w:outlineLvl w:val="9"/>
        <w:rPr>
          <w:rFonts w:hint="default" w:ascii="Times New Roman" w:hAnsi="Times New Roman" w:cs="Times New Roman"/>
          <w:color w:val="auto"/>
        </w:rPr>
      </w:pPr>
      <w:r>
        <w:rPr>
          <w:rFonts w:hint="default" w:ascii="Times New Roman" w:hAnsi="Times New Roman" w:cs="Times New Roman"/>
          <w:color w:val="auto"/>
          <w:lang w:val="en-US" w:eastAsia="zh-CN"/>
        </w:rPr>
        <w:t>6.7.2.5</w:t>
      </w:r>
      <w:r>
        <w:rPr>
          <w:rFonts w:hint="default" w:ascii="Times New Roman" w:hAnsi="Times New Roman" w:eastAsia="宋体" w:cs="Times New Roman"/>
          <w:color w:val="auto"/>
          <w:kern w:val="2"/>
          <w:sz w:val="21"/>
          <w:szCs w:val="24"/>
          <w:lang w:val="en-US" w:eastAsia="zh-CN" w:bidi="ar-SA"/>
        </w:rPr>
        <w:t>库房应做好防潮防霉工作，宜配置温湿度计或温湿度监测传感设备，对库房温湿度进行实时监控。</w:t>
      </w:r>
      <w:bookmarkStart w:id="101" w:name="_Toc162708783"/>
    </w:p>
    <w:p w14:paraId="08F222AB">
      <w:pPr>
        <w:pStyle w:val="4"/>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102" w:name="_Toc7502"/>
      <w:r>
        <w:rPr>
          <w:rFonts w:hint="default" w:ascii="Times New Roman" w:hAnsi="Times New Roman" w:cs="Times New Roman"/>
          <w:color w:val="auto"/>
        </w:rPr>
        <w:t>6.7.3 粗加工制作区</w:t>
      </w:r>
      <w:bookmarkEnd w:id="101"/>
      <w:bookmarkEnd w:id="102"/>
    </w:p>
    <w:p w14:paraId="26708EB7">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lang w:val="en-US" w:eastAsia="zh-CN"/>
        </w:rPr>
        <w:t>6.7.3.1</w:t>
      </w:r>
      <w:r>
        <w:rPr>
          <w:rFonts w:hint="default" w:ascii="Times New Roman" w:hAnsi="Times New Roman" w:cs="Times New Roman"/>
          <w:color w:val="auto"/>
        </w:rPr>
        <w:t>粗加工制作区应设有择菜区、清洗区和切配区，加工顺序为择菜→清洗→切配。</w:t>
      </w:r>
    </w:p>
    <w:p w14:paraId="64B64B39">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lang w:val="en-US" w:eastAsia="zh-CN"/>
        </w:rPr>
        <w:t>6.7.3.2</w:t>
      </w:r>
      <w:r>
        <w:rPr>
          <w:rFonts w:hint="default" w:ascii="Times New Roman" w:hAnsi="Times New Roman" w:cs="Times New Roman"/>
          <w:color w:val="auto"/>
        </w:rPr>
        <w:t>应设有素菜浸泡池、清洗池、肉类清洗池和水产清洗池，分类分开使用，标识清楚。</w:t>
      </w:r>
    </w:p>
    <w:p w14:paraId="72FCEA39">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lang w:val="en-US" w:eastAsia="zh-CN"/>
        </w:rPr>
        <w:t>6.7.3.3</w:t>
      </w:r>
      <w:r>
        <w:rPr>
          <w:rFonts w:hint="default" w:ascii="Times New Roman" w:hAnsi="Times New Roman" w:cs="Times New Roman"/>
          <w:color w:val="auto"/>
        </w:rPr>
        <w:t>粗加工用的工具应按荤、素、水产分类配置、分开使用、定位存放，并标识清楚。</w:t>
      </w:r>
    </w:p>
    <w:p w14:paraId="30A0D9C3">
      <w:pPr>
        <w:pStyle w:val="4"/>
        <w:kinsoku/>
        <w:wordWrap/>
        <w:overflowPunct/>
        <w:topLinePunct w:val="0"/>
        <w:bidi w:val="0"/>
        <w:adjustRightInd w:val="0"/>
        <w:snapToGrid w:val="0"/>
        <w:spacing w:before="157" w:beforeLines="50" w:after="0" w:afterLines="0" w:line="240" w:lineRule="auto"/>
        <w:textAlignment w:val="auto"/>
        <w:outlineLvl w:val="9"/>
        <w:rPr>
          <w:rFonts w:hint="default" w:ascii="Times New Roman" w:hAnsi="Times New Roman" w:cs="Times New Roman"/>
          <w:color w:val="auto"/>
        </w:rPr>
      </w:pPr>
      <w:r>
        <w:rPr>
          <w:rFonts w:hint="default" w:ascii="Times New Roman" w:hAnsi="Times New Roman" w:cs="Times New Roman"/>
          <w:color w:val="auto"/>
          <w:lang w:val="en-US" w:eastAsia="zh-CN"/>
        </w:rPr>
        <w:t>6.7.3.4</w:t>
      </w:r>
      <w:r>
        <w:rPr>
          <w:rFonts w:hint="default" w:ascii="Times New Roman" w:hAnsi="Times New Roman" w:eastAsia="宋体" w:cs="Times New Roman"/>
          <w:color w:val="auto"/>
          <w:kern w:val="2"/>
          <w:sz w:val="21"/>
          <w:szCs w:val="24"/>
          <w:lang w:val="en-US" w:eastAsia="zh-CN" w:bidi="ar-SA"/>
        </w:rPr>
        <w:t>应按原料和净菜分别配置容器，分开使用，定位存放，确保食品加工过程的卫生和安全</w:t>
      </w:r>
      <w:r>
        <w:rPr>
          <w:rFonts w:hint="default" w:ascii="Times New Roman" w:hAnsi="Times New Roman" w:cs="Times New Roman"/>
          <w:color w:val="auto"/>
        </w:rPr>
        <w:t>。</w:t>
      </w:r>
      <w:bookmarkStart w:id="103" w:name="_Toc162708784"/>
    </w:p>
    <w:p w14:paraId="12728FF3">
      <w:pPr>
        <w:pStyle w:val="4"/>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104" w:name="_Toc12804"/>
      <w:r>
        <w:rPr>
          <w:rFonts w:hint="default" w:ascii="Times New Roman" w:hAnsi="Times New Roman" w:cs="Times New Roman"/>
          <w:color w:val="auto"/>
        </w:rPr>
        <w:t>6.7.4 烹饪间</w:t>
      </w:r>
      <w:bookmarkEnd w:id="103"/>
      <w:bookmarkEnd w:id="104"/>
    </w:p>
    <w:p w14:paraId="5EF089B4">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lang w:val="en-US" w:eastAsia="zh-CN"/>
        </w:rPr>
        <w:t>6.7.4.1</w:t>
      </w:r>
      <w:r>
        <w:rPr>
          <w:rFonts w:hint="default" w:ascii="Times New Roman" w:hAnsi="Times New Roman" w:cs="Times New Roman"/>
          <w:color w:val="auto"/>
        </w:rPr>
        <w:t>烹调间操作台宜使用不锈钢台面，灶台应有一定坡度的排水沟，保持下水道通畅，灶台上方应安装排烟罩，确保油烟及时排出。</w:t>
      </w:r>
    </w:p>
    <w:p w14:paraId="11363867">
      <w:pPr>
        <w:pStyle w:val="4"/>
        <w:kinsoku/>
        <w:wordWrap/>
        <w:overflowPunct/>
        <w:topLinePunct w:val="0"/>
        <w:bidi w:val="0"/>
        <w:adjustRightInd w:val="0"/>
        <w:snapToGrid w:val="0"/>
        <w:spacing w:before="157" w:beforeLines="50" w:after="0" w:afterLines="0" w:line="240" w:lineRule="auto"/>
        <w:textAlignment w:val="auto"/>
        <w:outlineLvl w:val="9"/>
        <w:rPr>
          <w:rFonts w:hint="default" w:ascii="Times New Roman" w:hAnsi="Times New Roman" w:cs="Times New Roman"/>
          <w:color w:val="auto"/>
        </w:rPr>
      </w:pPr>
      <w:r>
        <w:rPr>
          <w:rFonts w:hint="default" w:ascii="Times New Roman" w:hAnsi="Times New Roman" w:cs="Times New Roman"/>
          <w:color w:val="auto"/>
          <w:lang w:val="en-US" w:eastAsia="zh-CN"/>
        </w:rPr>
        <w:t>6.7.4.2</w:t>
      </w:r>
      <w:r>
        <w:rPr>
          <w:rFonts w:hint="default" w:ascii="Times New Roman" w:hAnsi="Times New Roman" w:eastAsia="宋体" w:cs="Times New Roman"/>
          <w:color w:val="auto"/>
          <w:kern w:val="2"/>
          <w:sz w:val="21"/>
          <w:szCs w:val="24"/>
          <w:lang w:val="en-US" w:eastAsia="zh-CN" w:bidi="ar-SA"/>
        </w:rPr>
        <w:t>蒸饭车、煮制桶（锅）等产生大量蒸汽的设备上方应设置机械排风排气装置，做好凝结水的引泄，防止蒸汽积聚影响操作环境和食品安全。</w:t>
      </w:r>
      <w:bookmarkStart w:id="105" w:name="_Toc162708785"/>
    </w:p>
    <w:p w14:paraId="66D41ACD">
      <w:pPr>
        <w:pStyle w:val="4"/>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106" w:name="_Toc18918"/>
      <w:r>
        <w:rPr>
          <w:rFonts w:hint="default" w:ascii="Times New Roman" w:hAnsi="Times New Roman" w:cs="Times New Roman"/>
          <w:color w:val="auto"/>
        </w:rPr>
        <w:t>6.7.5 清洗消毒间</w:t>
      </w:r>
      <w:bookmarkEnd w:id="105"/>
      <w:bookmarkEnd w:id="106"/>
    </w:p>
    <w:p w14:paraId="2D4EC001">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6.7.5.1 清洗消毒间应分为清洗区和消毒区。</w:t>
      </w:r>
    </w:p>
    <w:p w14:paraId="5CC9129B">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6.7.5.2 餐具用具清洗、消毒、保洁设施设备容量和数量应能满足加工制作和供餐需要。</w:t>
      </w:r>
    </w:p>
    <w:p w14:paraId="1CD49B83">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6.7.5.3 清洗间应按回收除渣设备、餐具粗洗池、清洗池、冲淋池、滤水台（架）等顺序设置。</w:t>
      </w:r>
    </w:p>
    <w:p w14:paraId="291C0C80">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6.7.5.4 餐饮具和工用具应分开清洗消毒，定位存放。需配备餐具保洁箱的，应加盖密闭。</w:t>
      </w:r>
    </w:p>
    <w:p w14:paraId="3A27F667">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6.7.5.5 宜采用物理消毒方式，并在蒸箱、热力消毒柜或消毒库附近墙壁加贴消毒温度、时间要求。</w:t>
      </w:r>
    </w:p>
    <w:p w14:paraId="20D22B91">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6.7.5.6 消毒保洁柜（库）的数量和容量应符合实际需要</w:t>
      </w:r>
      <w:r>
        <w:rPr>
          <w:rFonts w:hint="default" w:ascii="Times New Roman" w:hAnsi="Times New Roman" w:cs="Times New Roman"/>
          <w:color w:val="auto"/>
          <w:lang w:val="en-US" w:eastAsia="zh-CN"/>
        </w:rPr>
        <w:t>，</w:t>
      </w:r>
      <w:r>
        <w:rPr>
          <w:rFonts w:hint="default" w:ascii="Times New Roman" w:hAnsi="Times New Roman" w:cs="Times New Roman"/>
          <w:color w:val="auto"/>
        </w:rPr>
        <w:t>宜采用大容量消毒库，确保需要消毒的工用具、容器和餐饮具得到有效消毒和保洁。采用洗碗机消毒的，洗碗机的消毒温度和时间要达到消毒需要。</w:t>
      </w:r>
    </w:p>
    <w:p w14:paraId="4ABD52F6">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6.7.5.7 宜采用温度监测传感器，对消毒柜（库）、洗碗机等消毒设备的消毒温度和时间进行监测预警。</w:t>
      </w:r>
    </w:p>
    <w:p w14:paraId="6F699145">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6.7.5.8 化学消毒仅适用于无法进行物理消毒的工用具，至少设置4个专用水池，分别用于餐用具的初洗、清洗、浸泡消毒和消毒液残留冲洗，各类水池应标明其用途。消毒池上方应加贴消毒方法说明。消毒液应由专人配置，根据消毒池实际容积和使用消毒液的品牌要求，注明所配制消毒液的实际配比和配制方法，以便于操作。</w:t>
      </w:r>
    </w:p>
    <w:p w14:paraId="1A68C1A6">
      <w:pPr>
        <w:pStyle w:val="4"/>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107" w:name="_Toc12191"/>
      <w:bookmarkStart w:id="108" w:name="_Toc162708786"/>
      <w:r>
        <w:rPr>
          <w:rFonts w:hint="default" w:ascii="Times New Roman" w:hAnsi="Times New Roman" w:cs="Times New Roman"/>
          <w:color w:val="auto"/>
        </w:rPr>
        <w:t>6.7.6 备餐间</w:t>
      </w:r>
      <w:bookmarkEnd w:id="107"/>
      <w:bookmarkEnd w:id="108"/>
    </w:p>
    <w:p w14:paraId="27BFC92F">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6.7.6.1 备餐间应设置不锈钢配餐台，成品容器需带盖，并设置保温箱等保温设施。分餐工用具和容器应专用，并进行回收清洗消毒。</w:t>
      </w:r>
    </w:p>
    <w:p w14:paraId="29306D5F">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6.7.6.2 应配备专用留样冰箱（柜）及足够数量的、易清洗消毒的密闭留样盒。</w:t>
      </w:r>
    </w:p>
    <w:p w14:paraId="1BB9ACA2">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6.7.6.3 备餐间入口处应设置通过式预进间或预进区，配置更衣柜（架）、非接触式洗手池、手消毒和干手设备、脚消毒垫等设施，墙壁张贴“七步洗手法”指示图。备有洗手液、消毒液等用品。宜应用视频抓拍或设备传感监测对预进间更衣消毒环节进行管理。</w:t>
      </w:r>
    </w:p>
    <w:p w14:paraId="3D37551F">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6.7.6.4 备餐间门宜可自动关闭，不能双向开闭的，应开向备餐间内。</w:t>
      </w:r>
    </w:p>
    <w:p w14:paraId="4CAAF21F">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6.7.6.5 备餐间与烹调间之间应设专用供菜通道，通道大小应适应传递食品的容器，通道口设门，售饭口应为可开闭式传递窗。</w:t>
      </w:r>
    </w:p>
    <w:p w14:paraId="2CE8A092">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6.7.6.6 备餐间应配备独立空调，功率与室内面积相匹配。废弃物箱（桶）盖子应为脚踏式，并保持内外壁清洁。备餐间内不应设有明沟，确保废弃物处理的卫生和安全。</w:t>
      </w:r>
    </w:p>
    <w:p w14:paraId="28D95E60">
      <w:pPr>
        <w:pStyle w:val="4"/>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109" w:name="_Toc10243"/>
      <w:bookmarkStart w:id="110" w:name="_Toc162708787"/>
      <w:r>
        <w:rPr>
          <w:rFonts w:hint="default" w:ascii="Times New Roman" w:hAnsi="Times New Roman" w:cs="Times New Roman"/>
          <w:color w:val="auto"/>
        </w:rPr>
        <w:t>6.7.7 面点间</w:t>
      </w:r>
      <w:bookmarkEnd w:id="109"/>
      <w:bookmarkEnd w:id="110"/>
    </w:p>
    <w:p w14:paraId="1421E724">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6.7.7.1 面点间应独立设置，确保面点制作过程的卫生和安全。</w:t>
      </w:r>
    </w:p>
    <w:p w14:paraId="366AA14E">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6.7.7.2 面点间的水池、冰箱、工具、容器和发酵成型设备应专用，避免交叉污染，确保面点制作的卫生条件。</w:t>
      </w:r>
    </w:p>
    <w:p w14:paraId="0C41A5BC">
      <w:pPr>
        <w:pStyle w:val="4"/>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111" w:name="_Toc27933"/>
      <w:bookmarkStart w:id="112" w:name="_Toc162708788"/>
      <w:r>
        <w:rPr>
          <w:rFonts w:hint="default" w:ascii="Times New Roman" w:hAnsi="Times New Roman" w:cs="Times New Roman"/>
          <w:color w:val="auto"/>
        </w:rPr>
        <w:t>6.7.8 专间（区）</w:t>
      </w:r>
      <w:bookmarkEnd w:id="111"/>
      <w:bookmarkEnd w:id="112"/>
    </w:p>
    <w:p w14:paraId="0B54865C">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6.7.8.1 专间（区）应设置独立的空调设施，确保空气质量。应定期清洁消毒空调及通风设施，保持环境卫生。</w:t>
      </w:r>
    </w:p>
    <w:p w14:paraId="533C2C9E">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6.7.8.2 专间（区）应设置独立预进间，配置二次更衣、洗手、手消毒、脚消毒设施，墙壁张贴“七步洗手法”指示图。备有洗手液、消毒液等用品。宜应用视频抓拍或设备传感监测对预进间更衣消毒环节进行管理。</w:t>
      </w:r>
    </w:p>
    <w:p w14:paraId="36E14CFE">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6.7.8.3 专间（区）的设备、工具、容器应专用，避免与其他区域交叉使用，确保食品安全。</w:t>
      </w:r>
    </w:p>
    <w:p w14:paraId="4B04A4EB">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6.7.8.4 专间（区）应配置空气和物表消毒设施，包括但不限于紫外线消毒灯。紫外线消毒灯的功率应不小于2 W/m³，安装位置应距离物表面1200毫米至1500毫米处，并配备反光罩，确保消毒效果。紫外线灯应居中悬挂，离地不超过2米，并在室外设置紫外线消毒灯的开关，并加贴相关标识。</w:t>
      </w:r>
    </w:p>
    <w:p w14:paraId="30F4021E">
      <w:pPr>
        <w:pStyle w:val="4"/>
        <w:kinsoku/>
        <w:wordWrap/>
        <w:overflowPunct/>
        <w:topLinePunct w:val="0"/>
        <w:bidi w:val="0"/>
        <w:adjustRightInd w:val="0"/>
        <w:snapToGrid w:val="0"/>
        <w:spacing w:before="157" w:beforeLines="50" w:after="0" w:afterLines="0" w:line="240" w:lineRule="auto"/>
        <w:textAlignment w:val="auto"/>
        <w:rPr>
          <w:rFonts w:hint="default" w:ascii="Times New Roman" w:hAnsi="Times New Roman" w:cs="Times New Roman"/>
          <w:color w:val="auto"/>
        </w:rPr>
      </w:pPr>
      <w:bookmarkStart w:id="113" w:name="_Toc162708789"/>
      <w:bookmarkStart w:id="114" w:name="_Toc21036"/>
      <w:r>
        <w:rPr>
          <w:rFonts w:hint="default" w:ascii="Times New Roman" w:hAnsi="Times New Roman" w:cs="Times New Roman"/>
          <w:color w:val="auto"/>
        </w:rPr>
        <w:t>6.7.9 卫生间</w:t>
      </w:r>
      <w:bookmarkEnd w:id="113"/>
      <w:bookmarkEnd w:id="114"/>
    </w:p>
    <w:p w14:paraId="2B756B95">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6.7.9.1 卫生间不得设置在食品处理区内，避免交叉污染。</w:t>
      </w:r>
    </w:p>
    <w:p w14:paraId="671C893F">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6.7.9.2 卫生间出入口不得与食品处理区的出入口直对，防止污染物通过门窗传播。</w:t>
      </w:r>
    </w:p>
    <w:p w14:paraId="7884E955">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6.7.9.3 卫生间应设置独立的排风装置，确保空气流通和卫生。</w:t>
      </w:r>
    </w:p>
    <w:p w14:paraId="5A788E13">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6.7.9.4 应设置冲水式便池，排污口位于餐饮服务场所外，避免污水逆流进入食品处理区。</w:t>
      </w:r>
    </w:p>
    <w:p w14:paraId="2B5662E5">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6.7.9.5 卫生间应配备洗手设施，确保使用者能够及时、有效地洗手，防止食品污染。</w:t>
      </w:r>
    </w:p>
    <w:p w14:paraId="1AD303B0">
      <w:pPr>
        <w:pStyle w:val="83"/>
        <w:kinsoku/>
        <w:wordWrap/>
        <w:overflowPunct/>
        <w:topLinePunct w:val="0"/>
        <w:bidi w:val="0"/>
        <w:adjustRightInd w:val="0"/>
        <w:snapToGrid w:val="0"/>
        <w:spacing w:before="157" w:beforeLines="50" w:afterLines="0" w:line="240" w:lineRule="auto"/>
        <w:textAlignment w:val="auto"/>
        <w:outlineLvl w:val="0"/>
        <w:rPr>
          <w:rFonts w:hint="default" w:ascii="Times New Roman" w:hAnsi="Times New Roman" w:cs="Times New Roman"/>
          <w:color w:val="auto"/>
        </w:rPr>
      </w:pPr>
      <w:bookmarkStart w:id="115" w:name="_Toc2134"/>
      <w:bookmarkStart w:id="116" w:name="_Toc11071"/>
      <w:r>
        <w:rPr>
          <w:rFonts w:hint="default" w:ascii="Times New Roman" w:hAnsi="Times New Roman" w:cs="Times New Roman"/>
          <w:color w:val="auto"/>
        </w:rPr>
        <w:t>管理要求</w:t>
      </w:r>
      <w:bookmarkEnd w:id="115"/>
      <w:bookmarkEnd w:id="116"/>
    </w:p>
    <w:p w14:paraId="6399C7B1">
      <w:pPr>
        <w:pStyle w:val="69"/>
        <w:numPr>
          <w:ilvl w:val="0"/>
          <w:numId w:val="0"/>
        </w:numPr>
        <w:kinsoku/>
        <w:wordWrap/>
        <w:overflowPunct/>
        <w:topLinePunct w:val="0"/>
        <w:bidi w:val="0"/>
        <w:adjustRightInd w:val="0"/>
        <w:snapToGrid w:val="0"/>
        <w:spacing w:before="157" w:beforeLines="50" w:afterLines="0" w:line="240" w:lineRule="auto"/>
        <w:textAlignment w:val="auto"/>
        <w:outlineLvl w:val="1"/>
        <w:rPr>
          <w:rFonts w:hint="default" w:ascii="Times New Roman" w:hAnsi="Times New Roman" w:cs="Times New Roman"/>
          <w:color w:val="auto"/>
        </w:rPr>
      </w:pPr>
      <w:bookmarkStart w:id="117" w:name="_Toc162708792"/>
      <w:bookmarkStart w:id="118" w:name="_Toc21140"/>
      <w:bookmarkStart w:id="119" w:name="_Toc28292"/>
      <w:r>
        <w:rPr>
          <w:rFonts w:hint="default" w:ascii="Times New Roman" w:hAnsi="Times New Roman" w:cs="Times New Roman"/>
          <w:b/>
          <w:bCs/>
          <w:color w:val="auto"/>
          <w:lang w:val="en-US" w:eastAsia="zh-CN"/>
        </w:rPr>
        <w:t>7.1</w:t>
      </w:r>
      <w:r>
        <w:rPr>
          <w:rFonts w:hint="default" w:ascii="Times New Roman" w:hAnsi="Times New Roman" w:cs="Times New Roman"/>
          <w:color w:val="auto"/>
        </w:rPr>
        <w:t>原料采购、运输、验收与贮存</w:t>
      </w:r>
      <w:bookmarkEnd w:id="117"/>
      <w:bookmarkEnd w:id="118"/>
      <w:bookmarkEnd w:id="119"/>
    </w:p>
    <w:p w14:paraId="3D665B72">
      <w:pPr>
        <w:pStyle w:val="3"/>
        <w:adjustRightInd w:val="0"/>
        <w:snapToGrid w:val="0"/>
        <w:spacing w:before="157" w:after="0" w:afterLines="0" w:line="240" w:lineRule="auto"/>
        <w:outlineLvl w:val="2"/>
        <w:rPr>
          <w:rFonts w:hint="default" w:ascii="Times New Roman" w:hAnsi="Times New Roman" w:cs="Times New Roman"/>
          <w:b/>
          <w:bCs/>
          <w:color w:val="auto"/>
        </w:rPr>
      </w:pPr>
      <w:bookmarkStart w:id="120" w:name="_Toc14309"/>
      <w:bookmarkStart w:id="121" w:name="_Toc162708793"/>
      <w:r>
        <w:rPr>
          <w:rFonts w:hint="default" w:ascii="Times New Roman" w:hAnsi="Times New Roman" w:cs="Times New Roman"/>
          <w:b/>
          <w:bCs/>
          <w:color w:val="auto"/>
          <w:lang w:val="en-US" w:eastAsia="zh-CN"/>
        </w:rPr>
        <w:t>7.1.1</w:t>
      </w:r>
      <w:r>
        <w:rPr>
          <w:rFonts w:hint="default" w:ascii="Times New Roman" w:hAnsi="Times New Roman" w:cs="Times New Roman"/>
          <w:b/>
          <w:bCs/>
          <w:color w:val="auto"/>
        </w:rPr>
        <w:t>采购</w:t>
      </w:r>
      <w:bookmarkEnd w:id="120"/>
      <w:bookmarkEnd w:id="121"/>
    </w:p>
    <w:p w14:paraId="0E20C405">
      <w:pPr>
        <w:adjustRightInd w:val="0"/>
        <w:snapToGrid w:val="0"/>
        <w:spacing w:before="157" w:beforeLines="50" w:line="240" w:lineRule="auto"/>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7.1.1.1</w:t>
      </w:r>
      <w:r>
        <w:rPr>
          <w:rFonts w:hint="default" w:ascii="Times New Roman" w:hAnsi="Times New Roman" w:eastAsia="宋体" w:cs="Times New Roman"/>
          <w:color w:val="auto"/>
        </w:rPr>
        <w:t>应制定并实施食品、食品添加剂及食品相关产品采购控制要求，采购依法取得许可资质的供货者生产经营的食品、食品添加剂及食品相关产品，不应采购法律、法规禁止生产经营的食品、食品添加剂及食品相关产品。</w:t>
      </w:r>
    </w:p>
    <w:p w14:paraId="4698023B">
      <w:pPr>
        <w:adjustRightInd w:val="0"/>
        <w:snapToGrid w:val="0"/>
        <w:spacing w:before="157" w:beforeLines="50" w:line="240" w:lineRule="auto"/>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7.1.1.2</w:t>
      </w:r>
      <w:r>
        <w:rPr>
          <w:rFonts w:hint="default" w:ascii="Times New Roman" w:hAnsi="Times New Roman" w:eastAsia="宋体" w:cs="Times New Roman"/>
          <w:color w:val="auto"/>
        </w:rPr>
        <w:t>在采购食品、食品添加剂及相关产品时，供餐单位应严格按照规定查验并留存供货商的许可资质证明复印件，确保所有采购物资均可追溯。</w:t>
      </w:r>
    </w:p>
    <w:p w14:paraId="3C28FD9E">
      <w:pPr>
        <w:pStyle w:val="68"/>
        <w:numPr>
          <w:ilvl w:val="0"/>
          <w:numId w:val="0"/>
        </w:numPr>
        <w:kinsoku/>
        <w:wordWrap/>
        <w:overflowPunct/>
        <w:topLinePunct w:val="0"/>
        <w:bidi w:val="0"/>
        <w:adjustRightInd w:val="0"/>
        <w:snapToGrid w:val="0"/>
        <w:spacing w:before="157" w:beforeLines="50" w:after="0" w:afterLines="0" w:line="240" w:lineRule="auto"/>
        <w:textAlignment w:val="auto"/>
        <w:outlineLvl w:val="2"/>
        <w:rPr>
          <w:rFonts w:hint="default" w:ascii="Times New Roman" w:hAnsi="Times New Roman" w:cs="Times New Roman"/>
          <w:b/>
          <w:bCs/>
          <w:color w:val="auto"/>
        </w:rPr>
      </w:pPr>
      <w:bookmarkStart w:id="122" w:name="_Toc162708794"/>
      <w:bookmarkStart w:id="123" w:name="_Toc26164"/>
      <w:r>
        <w:rPr>
          <w:rFonts w:hint="default" w:ascii="Times New Roman" w:hAnsi="Times New Roman" w:cs="Times New Roman"/>
          <w:b/>
          <w:bCs/>
          <w:color w:val="auto"/>
          <w:lang w:val="en-US" w:eastAsia="zh-CN"/>
        </w:rPr>
        <w:t xml:space="preserve">7.1.2 </w:t>
      </w:r>
      <w:r>
        <w:rPr>
          <w:rFonts w:hint="default" w:ascii="Times New Roman" w:hAnsi="Times New Roman" w:cs="Times New Roman"/>
          <w:b/>
          <w:bCs/>
          <w:color w:val="auto"/>
        </w:rPr>
        <w:t>运输</w:t>
      </w:r>
      <w:bookmarkEnd w:id="122"/>
      <w:bookmarkEnd w:id="123"/>
    </w:p>
    <w:p w14:paraId="5DA68693">
      <w:pPr>
        <w:pStyle w:val="80"/>
        <w:numPr>
          <w:ilvl w:val="0"/>
          <w:numId w:val="0"/>
        </w:numPr>
        <w:kinsoku/>
        <w:wordWrap/>
        <w:overflowPunct/>
        <w:topLinePunct w:val="0"/>
        <w:bidi w:val="0"/>
        <w:adjustRightInd w:val="0"/>
        <w:snapToGrid w:val="0"/>
        <w:spacing w:before="157" w:beforeLines="50" w:after="0" w:afterLines="0" w:line="240" w:lineRule="auto"/>
        <w:ind w:left="0" w:leftChars="0" w:firstLine="0" w:firstLineChars="0"/>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7.1.2.1</w:t>
      </w:r>
      <w:r>
        <w:rPr>
          <w:rFonts w:hint="default" w:ascii="Times New Roman" w:hAnsi="Times New Roman" w:eastAsia="宋体" w:cs="Times New Roman"/>
          <w:color w:val="auto"/>
        </w:rPr>
        <w:t>根据食品的特性，选择适宜的运输工具，并在必要时配备保温、冷藏、冷冻、保鲜、保湿等设施，以确保食品在运输过程中的安全和质量。</w:t>
      </w:r>
    </w:p>
    <w:p w14:paraId="51BAD222">
      <w:pPr>
        <w:pStyle w:val="80"/>
        <w:numPr>
          <w:ilvl w:val="0"/>
          <w:numId w:val="0"/>
        </w:numPr>
        <w:kinsoku/>
        <w:wordWrap/>
        <w:overflowPunct/>
        <w:topLinePunct w:val="0"/>
        <w:bidi w:val="0"/>
        <w:adjustRightInd w:val="0"/>
        <w:snapToGrid w:val="0"/>
        <w:spacing w:before="157" w:beforeLines="50" w:after="0" w:afterLines="0" w:line="240" w:lineRule="auto"/>
        <w:ind w:left="0" w:leftChars="0" w:firstLine="0" w:firstLineChars="0"/>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7.1.2.2</w:t>
      </w:r>
      <w:r>
        <w:rPr>
          <w:rFonts w:hint="default" w:ascii="Times New Roman" w:hAnsi="Times New Roman" w:eastAsia="宋体" w:cs="Times New Roman"/>
          <w:color w:val="auto"/>
        </w:rPr>
        <w:t>运输前，供餐单位应对运输工具和盛装食品的容器进行彻底清洁消毒，防止食品在运输过程中受到污染。运输过程中，应采取有效措施防止食品与污染源接触，确保食品安全。</w:t>
      </w:r>
    </w:p>
    <w:p w14:paraId="6779934B">
      <w:pPr>
        <w:pStyle w:val="68"/>
        <w:numPr>
          <w:ilvl w:val="0"/>
          <w:numId w:val="0"/>
        </w:numPr>
        <w:kinsoku/>
        <w:wordWrap/>
        <w:overflowPunct/>
        <w:topLinePunct w:val="0"/>
        <w:bidi w:val="0"/>
        <w:adjustRightInd w:val="0"/>
        <w:snapToGrid w:val="0"/>
        <w:spacing w:before="157" w:beforeLines="50" w:after="0" w:afterLines="0" w:line="240" w:lineRule="auto"/>
        <w:textAlignment w:val="auto"/>
        <w:outlineLvl w:val="2"/>
        <w:rPr>
          <w:rFonts w:hint="default" w:ascii="Times New Roman" w:hAnsi="Times New Roman" w:cs="Times New Roman"/>
          <w:b/>
          <w:bCs/>
          <w:color w:val="auto"/>
        </w:rPr>
      </w:pPr>
      <w:bookmarkStart w:id="124" w:name="_Toc353"/>
      <w:bookmarkStart w:id="125" w:name="_Toc162708795"/>
      <w:r>
        <w:rPr>
          <w:rFonts w:hint="default" w:ascii="Times New Roman" w:hAnsi="Times New Roman" w:cs="Times New Roman"/>
          <w:b/>
          <w:bCs/>
          <w:color w:val="auto"/>
          <w:lang w:val="en-US" w:eastAsia="zh-CN"/>
        </w:rPr>
        <w:t xml:space="preserve">7.1.3 </w:t>
      </w:r>
      <w:r>
        <w:rPr>
          <w:rFonts w:hint="default" w:ascii="Times New Roman" w:hAnsi="Times New Roman" w:cs="Times New Roman"/>
          <w:b/>
          <w:bCs/>
          <w:color w:val="auto"/>
        </w:rPr>
        <w:t>验收</w:t>
      </w:r>
      <w:bookmarkEnd w:id="124"/>
      <w:bookmarkEnd w:id="125"/>
    </w:p>
    <w:p w14:paraId="4C9153A4">
      <w:pPr>
        <w:pStyle w:val="80"/>
        <w:numPr>
          <w:ilvl w:val="0"/>
          <w:numId w:val="0"/>
        </w:numPr>
        <w:kinsoku/>
        <w:wordWrap/>
        <w:overflowPunct/>
        <w:topLinePunct w:val="0"/>
        <w:bidi w:val="0"/>
        <w:adjustRightInd w:val="0"/>
        <w:snapToGrid w:val="0"/>
        <w:spacing w:before="157" w:beforeLines="50" w:after="0" w:afterLines="0" w:line="240" w:lineRule="auto"/>
        <w:ind w:left="0" w:leftChars="0" w:firstLine="0" w:firstLineChars="0"/>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7.1.3.1</w:t>
      </w:r>
      <w:r>
        <w:rPr>
          <w:rFonts w:hint="default" w:ascii="Times New Roman" w:hAnsi="Times New Roman" w:eastAsia="宋体" w:cs="Times New Roman"/>
          <w:color w:val="auto"/>
        </w:rPr>
        <w:t>供餐单位在接收食品、食品添加剂及相关产品时，应严格按照规定查验供货商提供的产品合格证明文件，并留存所有相关票据，保存期限不得少于2年。</w:t>
      </w:r>
    </w:p>
    <w:p w14:paraId="662155E8">
      <w:pPr>
        <w:pStyle w:val="80"/>
        <w:numPr>
          <w:ilvl w:val="0"/>
          <w:numId w:val="0"/>
        </w:numPr>
        <w:kinsoku/>
        <w:wordWrap/>
        <w:overflowPunct/>
        <w:topLinePunct w:val="0"/>
        <w:bidi w:val="0"/>
        <w:adjustRightInd w:val="0"/>
        <w:snapToGrid w:val="0"/>
        <w:spacing w:before="157" w:beforeLines="50" w:after="0" w:afterLines="0" w:line="240" w:lineRule="auto"/>
        <w:ind w:left="0" w:leftChars="0" w:firstLine="0" w:firstLineChars="0"/>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7.1.3.2</w:t>
      </w:r>
      <w:r>
        <w:rPr>
          <w:rFonts w:hint="default" w:ascii="Times New Roman" w:hAnsi="Times New Roman" w:eastAsia="宋体" w:cs="Times New Roman"/>
          <w:color w:val="auto"/>
        </w:rPr>
        <w:t>对于实行统一配送经营方式的餐饮服务企业，由企业总部统一查验供货商的产品合格证明文件。企业总部应将统一查验的许可资质证明、产品合格证明文件等信息电子化存档，门店应能随时查询相关信息，确保食品来源的透明和可追溯。</w:t>
      </w:r>
    </w:p>
    <w:p w14:paraId="4DC3853B">
      <w:pPr>
        <w:pStyle w:val="68"/>
        <w:numPr>
          <w:ilvl w:val="0"/>
          <w:numId w:val="0"/>
        </w:numPr>
        <w:kinsoku/>
        <w:wordWrap/>
        <w:overflowPunct/>
        <w:topLinePunct w:val="0"/>
        <w:bidi w:val="0"/>
        <w:adjustRightInd w:val="0"/>
        <w:snapToGrid w:val="0"/>
        <w:spacing w:before="157" w:beforeLines="50" w:after="0" w:afterLines="0" w:line="240" w:lineRule="auto"/>
        <w:textAlignment w:val="auto"/>
        <w:outlineLvl w:val="2"/>
        <w:rPr>
          <w:rFonts w:hint="default" w:ascii="Times New Roman" w:hAnsi="Times New Roman" w:cs="Times New Roman"/>
          <w:b/>
          <w:bCs/>
          <w:color w:val="auto"/>
        </w:rPr>
      </w:pPr>
      <w:bookmarkStart w:id="126" w:name="_Toc11586"/>
      <w:r>
        <w:rPr>
          <w:rFonts w:hint="default" w:ascii="Times New Roman" w:hAnsi="Times New Roman" w:cs="Times New Roman"/>
          <w:b/>
          <w:bCs/>
          <w:color w:val="auto"/>
          <w:lang w:val="en-US" w:eastAsia="zh-CN"/>
        </w:rPr>
        <w:t xml:space="preserve">7.1.4 </w:t>
      </w:r>
      <w:bookmarkStart w:id="127" w:name="_Toc162708796"/>
      <w:r>
        <w:rPr>
          <w:rFonts w:hint="default" w:ascii="Times New Roman" w:hAnsi="Times New Roman" w:cs="Times New Roman"/>
          <w:b/>
          <w:bCs/>
          <w:color w:val="auto"/>
        </w:rPr>
        <w:t>贮存</w:t>
      </w:r>
      <w:bookmarkEnd w:id="126"/>
      <w:bookmarkEnd w:id="127"/>
    </w:p>
    <w:p w14:paraId="3A22E3CA">
      <w:pPr>
        <w:pStyle w:val="68"/>
        <w:numPr>
          <w:ilvl w:val="0"/>
          <w:numId w:val="0"/>
        </w:numPr>
        <w:adjustRightInd w:val="0"/>
        <w:snapToGrid w:val="0"/>
        <w:spacing w:before="157" w:after="0" w:afterLines="0" w:line="240" w:lineRule="auto"/>
        <w:outlineLvl w:val="9"/>
        <w:rPr>
          <w:rFonts w:hint="default" w:ascii="Times New Roman" w:hAnsi="Times New Roman" w:eastAsia="宋体" w:cs="Times New Roman"/>
          <w:color w:val="auto"/>
          <w:kern w:val="2"/>
          <w:szCs w:val="24"/>
        </w:rPr>
      </w:pPr>
      <w:bookmarkStart w:id="128" w:name="_Toc7819"/>
      <w:r>
        <w:rPr>
          <w:rFonts w:hint="default" w:ascii="Times New Roman" w:hAnsi="Times New Roman" w:cs="Times New Roman"/>
          <w:b w:val="0"/>
          <w:bCs w:val="0"/>
          <w:color w:val="auto"/>
          <w:lang w:val="en-US" w:eastAsia="zh-CN"/>
        </w:rPr>
        <w:t xml:space="preserve">7.1.4.1 </w:t>
      </w:r>
      <w:r>
        <w:rPr>
          <w:rFonts w:hint="default" w:ascii="Times New Roman" w:hAnsi="Times New Roman" w:eastAsia="宋体" w:cs="Times New Roman"/>
          <w:color w:val="auto"/>
          <w:kern w:val="2"/>
          <w:szCs w:val="24"/>
        </w:rPr>
        <w:t>食品原料、半成品、成品应分隔或分开贮存，贮存过程中，应与墙壁、地面保持至少10厘米的距离，防止污染。</w:t>
      </w:r>
      <w:bookmarkEnd w:id="128"/>
    </w:p>
    <w:p w14:paraId="5596229A">
      <w:pPr>
        <w:adjustRightInd w:val="0"/>
        <w:snapToGrid w:val="0"/>
        <w:spacing w:before="157" w:beforeLines="50" w:line="240" w:lineRule="auto"/>
        <w:rPr>
          <w:rFonts w:hint="default" w:ascii="Times New Roman" w:hAnsi="Times New Roman" w:eastAsia="宋体" w:cs="Times New Roman"/>
          <w:color w:val="auto"/>
        </w:rPr>
      </w:pPr>
      <w:r>
        <w:rPr>
          <w:rFonts w:hint="default" w:ascii="Times New Roman" w:hAnsi="Times New Roman" w:cs="Times New Roman"/>
          <w:b w:val="0"/>
          <w:bCs w:val="0"/>
          <w:color w:val="auto"/>
          <w:lang w:val="en-US" w:eastAsia="zh-CN"/>
        </w:rPr>
        <w:t xml:space="preserve">7.1.4.2 </w:t>
      </w:r>
      <w:r>
        <w:rPr>
          <w:rFonts w:hint="default" w:ascii="Times New Roman" w:hAnsi="Times New Roman" w:eastAsia="宋体" w:cs="Times New Roman"/>
          <w:color w:val="auto"/>
        </w:rPr>
        <w:t>散装食品（食用农产品除外）应存放在标有食品名称、生产日期或生产批号、使用期限等信息的密闭容器中，确保贮存环境的卫生和食品的安全。</w:t>
      </w:r>
    </w:p>
    <w:p w14:paraId="58235442">
      <w:pPr>
        <w:adjustRightInd w:val="0"/>
        <w:snapToGrid w:val="0"/>
        <w:spacing w:before="157" w:beforeLines="50" w:line="240" w:lineRule="auto"/>
        <w:rPr>
          <w:rFonts w:hint="default" w:ascii="Times New Roman" w:hAnsi="Times New Roman" w:eastAsia="宋体" w:cs="Times New Roman"/>
          <w:color w:val="auto"/>
        </w:rPr>
      </w:pPr>
      <w:r>
        <w:rPr>
          <w:rFonts w:hint="default" w:ascii="Times New Roman" w:hAnsi="Times New Roman" w:cs="Times New Roman"/>
          <w:b w:val="0"/>
          <w:bCs w:val="0"/>
          <w:color w:val="auto"/>
          <w:lang w:val="en-US" w:eastAsia="zh-CN"/>
        </w:rPr>
        <w:t xml:space="preserve">7.1.4.3 </w:t>
      </w:r>
      <w:r>
        <w:rPr>
          <w:rFonts w:hint="default" w:ascii="Times New Roman" w:hAnsi="Times New Roman" w:eastAsia="宋体" w:cs="Times New Roman"/>
          <w:color w:val="auto"/>
        </w:rPr>
        <w:t>供餐单位应遵循先进先出的原则，合理安排食品原料、食品添加剂及相关产品的使用顺序，确保食品的新鲜和安全。</w:t>
      </w:r>
    </w:p>
    <w:p w14:paraId="63639A4E">
      <w:pPr>
        <w:kinsoku/>
        <w:wordWrap/>
        <w:overflowPunct/>
        <w:topLinePunct w:val="0"/>
        <w:bidi w:val="0"/>
        <w:adjustRightInd w:val="0"/>
        <w:snapToGrid w:val="0"/>
        <w:spacing w:before="157" w:beforeLines="50" w:line="240" w:lineRule="auto"/>
        <w:textAlignment w:val="auto"/>
        <w:rPr>
          <w:rFonts w:hint="default" w:ascii="Times New Roman" w:hAnsi="Times New Roman" w:eastAsia="宋体" w:cs="Times New Roman"/>
          <w:color w:val="auto"/>
        </w:rPr>
      </w:pPr>
      <w:r>
        <w:rPr>
          <w:rFonts w:hint="default" w:ascii="Times New Roman" w:hAnsi="Times New Roman" w:cs="Times New Roman"/>
          <w:b w:val="0"/>
          <w:bCs w:val="0"/>
          <w:color w:val="auto"/>
          <w:lang w:val="en-US" w:eastAsia="zh-CN"/>
        </w:rPr>
        <w:t xml:space="preserve">7.1.4.4 </w:t>
      </w:r>
      <w:r>
        <w:rPr>
          <w:rFonts w:hint="default" w:ascii="Times New Roman" w:hAnsi="Times New Roman" w:eastAsia="宋体" w:cs="Times New Roman"/>
          <w:color w:val="auto"/>
        </w:rPr>
        <w:t>对存在感官性状异常、超过保质期等情况的食品，应及时清理并采取无害化处理或销毁措施，严格记录处理过程，防止变质食品流入供餐环节。</w:t>
      </w:r>
    </w:p>
    <w:p w14:paraId="44AC51A6">
      <w:pPr>
        <w:pStyle w:val="69"/>
        <w:numPr>
          <w:ilvl w:val="0"/>
          <w:numId w:val="0"/>
        </w:numPr>
        <w:kinsoku/>
        <w:wordWrap/>
        <w:overflowPunct/>
        <w:topLinePunct w:val="0"/>
        <w:bidi w:val="0"/>
        <w:adjustRightInd w:val="0"/>
        <w:snapToGrid w:val="0"/>
        <w:spacing w:before="157" w:beforeLines="50" w:afterLines="0" w:line="240" w:lineRule="auto"/>
        <w:textAlignment w:val="auto"/>
        <w:outlineLvl w:val="1"/>
        <w:rPr>
          <w:rFonts w:hint="default" w:ascii="Times New Roman" w:hAnsi="Times New Roman" w:cs="Times New Roman"/>
          <w:b/>
          <w:bCs/>
          <w:color w:val="auto"/>
        </w:rPr>
      </w:pPr>
      <w:bookmarkStart w:id="129" w:name="_Toc8792"/>
      <w:r>
        <w:rPr>
          <w:rFonts w:hint="default" w:ascii="Times New Roman" w:hAnsi="Times New Roman" w:cs="Times New Roman"/>
          <w:b/>
          <w:bCs/>
          <w:color w:val="auto"/>
          <w:lang w:val="en-US" w:eastAsia="zh-CN"/>
        </w:rPr>
        <w:t xml:space="preserve">7.2 </w:t>
      </w:r>
      <w:bookmarkStart w:id="130" w:name="_Toc11754"/>
      <w:bookmarkStart w:id="131" w:name="_Toc162708797"/>
      <w:r>
        <w:rPr>
          <w:rFonts w:hint="default" w:ascii="Times New Roman" w:hAnsi="Times New Roman" w:cs="Times New Roman"/>
          <w:b/>
          <w:bCs/>
          <w:color w:val="auto"/>
        </w:rPr>
        <w:t>加工过程的食品安全控制</w:t>
      </w:r>
      <w:bookmarkEnd w:id="129"/>
      <w:bookmarkEnd w:id="130"/>
      <w:bookmarkEnd w:id="131"/>
    </w:p>
    <w:p w14:paraId="00C3B957">
      <w:pPr>
        <w:pStyle w:val="69"/>
        <w:numPr>
          <w:ilvl w:val="0"/>
          <w:numId w:val="0"/>
        </w:numPr>
        <w:adjustRightInd w:val="0"/>
        <w:snapToGrid w:val="0"/>
        <w:spacing w:before="157" w:afterLines="0" w:line="240" w:lineRule="auto"/>
        <w:outlineLvl w:val="2"/>
        <w:rPr>
          <w:rFonts w:hint="default" w:ascii="Times New Roman" w:hAnsi="Times New Roman" w:cs="Times New Roman"/>
          <w:color w:val="auto"/>
        </w:rPr>
      </w:pPr>
      <w:bookmarkStart w:id="132" w:name="_Toc17943"/>
      <w:r>
        <w:rPr>
          <w:rFonts w:hint="default" w:ascii="Times New Roman" w:hAnsi="Times New Roman" w:cs="Times New Roman"/>
          <w:b/>
          <w:bCs/>
          <w:color w:val="auto"/>
          <w:lang w:val="en-US" w:eastAsia="zh-CN"/>
        </w:rPr>
        <w:t xml:space="preserve">7.2.1 </w:t>
      </w:r>
      <w:bookmarkStart w:id="133" w:name="_Toc162708798"/>
      <w:bookmarkStart w:id="134" w:name="_Toc22681"/>
      <w:r>
        <w:rPr>
          <w:rFonts w:hint="default" w:ascii="Times New Roman" w:hAnsi="Times New Roman" w:cs="Times New Roman"/>
          <w:color w:val="auto"/>
        </w:rPr>
        <w:t>基本要求</w:t>
      </w:r>
      <w:bookmarkEnd w:id="132"/>
      <w:bookmarkEnd w:id="133"/>
      <w:bookmarkEnd w:id="134"/>
    </w:p>
    <w:p w14:paraId="207B4D3A">
      <w:pPr>
        <w:pStyle w:val="80"/>
        <w:numPr>
          <w:ilvl w:val="0"/>
          <w:numId w:val="0"/>
        </w:numPr>
        <w:kinsoku/>
        <w:wordWrap/>
        <w:overflowPunct/>
        <w:topLinePunct w:val="0"/>
        <w:bidi w:val="0"/>
        <w:adjustRightInd w:val="0"/>
        <w:snapToGrid w:val="0"/>
        <w:spacing w:before="157" w:beforeLines="50" w:after="0" w:afterLines="0" w:line="240" w:lineRule="auto"/>
        <w:ind w:left="0" w:leftChars="0" w:firstLine="0" w:firstLineChars="0"/>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7.2.1.1</w:t>
      </w:r>
      <w:r>
        <w:rPr>
          <w:rFonts w:hint="default" w:ascii="Times New Roman" w:hAnsi="Times New Roman" w:eastAsia="宋体" w:cs="Times New Roman"/>
          <w:color w:val="auto"/>
        </w:rPr>
        <w:t>供餐单位不得加工法律、法规禁止生产经营的食品。加工过程中，严禁任何违反食品安全法律法规的行为。</w:t>
      </w:r>
    </w:p>
    <w:p w14:paraId="5936BB94">
      <w:pPr>
        <w:pStyle w:val="80"/>
        <w:numPr>
          <w:ilvl w:val="0"/>
          <w:numId w:val="0"/>
        </w:numPr>
        <w:kinsoku/>
        <w:wordWrap/>
        <w:overflowPunct/>
        <w:topLinePunct w:val="0"/>
        <w:bidi w:val="0"/>
        <w:adjustRightInd w:val="0"/>
        <w:snapToGrid w:val="0"/>
        <w:spacing w:before="157" w:beforeLines="50" w:after="0" w:afterLines="0" w:line="240" w:lineRule="auto"/>
        <w:ind w:left="0" w:leftChars="0" w:firstLine="0" w:firstLineChars="0"/>
        <w:textAlignment w:val="auto"/>
        <w:outlineLvl w:val="9"/>
        <w:rPr>
          <w:rFonts w:hint="default" w:ascii="Times New Roman" w:hAnsi="Times New Roman" w:cs="Times New Roman"/>
          <w:color w:val="auto"/>
        </w:rPr>
      </w:pPr>
      <w:r>
        <w:rPr>
          <w:rFonts w:hint="default" w:ascii="Times New Roman" w:hAnsi="Times New Roman" w:eastAsia="宋体" w:cs="Times New Roman"/>
          <w:color w:val="auto"/>
          <w:lang w:val="en-US" w:eastAsia="zh-CN"/>
        </w:rPr>
        <w:t>7.2.1.2</w:t>
      </w:r>
      <w:r>
        <w:rPr>
          <w:rFonts w:hint="default" w:ascii="Times New Roman" w:hAnsi="Times New Roman" w:eastAsia="宋体" w:cs="Times New Roman"/>
          <w:color w:val="auto"/>
        </w:rPr>
        <w:t>在食品加工前，供餐单位应对待加工食品进行感官检查，发现有腐败变质、混有异物或其他感官性状异常的食品，应立即停止使用，确保不将不合格食品投入加工和供餐环节。</w:t>
      </w:r>
    </w:p>
    <w:p w14:paraId="1C3F0020">
      <w:pPr>
        <w:pStyle w:val="69"/>
        <w:numPr>
          <w:ilvl w:val="0"/>
          <w:numId w:val="0"/>
        </w:numPr>
        <w:adjustRightInd w:val="0"/>
        <w:snapToGrid w:val="0"/>
        <w:spacing w:before="157" w:afterLines="0" w:line="240" w:lineRule="auto"/>
        <w:outlineLvl w:val="2"/>
        <w:rPr>
          <w:rFonts w:hint="default" w:ascii="Times New Roman" w:hAnsi="Times New Roman" w:cs="Times New Roman"/>
          <w:b/>
          <w:bCs/>
          <w:color w:val="auto"/>
        </w:rPr>
      </w:pPr>
      <w:bookmarkStart w:id="135" w:name="_Toc162708799"/>
      <w:bookmarkStart w:id="136" w:name="_Toc19008"/>
      <w:r>
        <w:rPr>
          <w:rFonts w:hint="default" w:ascii="Times New Roman" w:hAnsi="Times New Roman" w:cs="Times New Roman"/>
          <w:b/>
          <w:bCs/>
          <w:color w:val="auto"/>
          <w:lang w:val="en-US" w:eastAsia="zh-CN"/>
        </w:rPr>
        <w:t xml:space="preserve">7.2.2 </w:t>
      </w:r>
      <w:r>
        <w:rPr>
          <w:rFonts w:hint="default" w:ascii="Times New Roman" w:hAnsi="Times New Roman" w:cs="Times New Roman"/>
          <w:b/>
          <w:bCs/>
          <w:color w:val="auto"/>
        </w:rPr>
        <w:t>初加工</w:t>
      </w:r>
      <w:bookmarkEnd w:id="135"/>
      <w:bookmarkEnd w:id="136"/>
    </w:p>
    <w:p w14:paraId="24DC1BFA">
      <w:pPr>
        <w:pStyle w:val="80"/>
        <w:numPr>
          <w:ilvl w:val="0"/>
          <w:numId w:val="0"/>
        </w:numPr>
        <w:kinsoku/>
        <w:wordWrap/>
        <w:overflowPunct/>
        <w:topLinePunct w:val="0"/>
        <w:bidi w:val="0"/>
        <w:adjustRightInd w:val="0"/>
        <w:snapToGrid w:val="0"/>
        <w:spacing w:before="157" w:beforeLines="50" w:after="0" w:afterLines="0" w:line="240" w:lineRule="auto"/>
        <w:ind w:left="0" w:leftChars="0" w:firstLine="0" w:firstLineChars="0"/>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7.2.2.1</w:t>
      </w:r>
      <w:r>
        <w:rPr>
          <w:rFonts w:hint="default" w:ascii="Times New Roman" w:hAnsi="Times New Roman" w:eastAsia="宋体" w:cs="Times New Roman"/>
          <w:color w:val="auto"/>
        </w:rPr>
        <w:t>冷冻（藏）食品从冷柜（库）中取出或解冻后，应尽快进行加工使用，避免温度变化导致食品质量下降。</w:t>
      </w:r>
    </w:p>
    <w:p w14:paraId="36A042B7">
      <w:pPr>
        <w:pStyle w:val="80"/>
        <w:numPr>
          <w:ilvl w:val="0"/>
          <w:numId w:val="0"/>
        </w:numPr>
        <w:kinsoku/>
        <w:wordWrap/>
        <w:overflowPunct/>
        <w:topLinePunct w:val="0"/>
        <w:bidi w:val="0"/>
        <w:adjustRightInd w:val="0"/>
        <w:snapToGrid w:val="0"/>
        <w:spacing w:before="157" w:beforeLines="50" w:after="0" w:afterLines="0" w:line="240" w:lineRule="auto"/>
        <w:ind w:left="0" w:leftChars="0" w:firstLine="0" w:firstLineChars="0"/>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7.2.2.2</w:t>
      </w:r>
      <w:r>
        <w:rPr>
          <w:rFonts w:hint="default" w:ascii="Times New Roman" w:hAnsi="Times New Roman" w:eastAsia="宋体" w:cs="Times New Roman"/>
          <w:color w:val="auto"/>
        </w:rPr>
        <w:t>经过初加工的食品应做好防护措施，防止二次污染，确保食品在加工过程中保持卫生。初加工后的食品应及时使用或冷藏、冷冻，防止食品变质。</w:t>
      </w:r>
    </w:p>
    <w:p w14:paraId="45AAE5F4">
      <w:pPr>
        <w:pStyle w:val="80"/>
        <w:numPr>
          <w:ilvl w:val="0"/>
          <w:numId w:val="0"/>
        </w:numPr>
        <w:kinsoku/>
        <w:wordWrap/>
        <w:overflowPunct/>
        <w:topLinePunct w:val="0"/>
        <w:bidi w:val="0"/>
        <w:adjustRightInd w:val="0"/>
        <w:snapToGrid w:val="0"/>
        <w:spacing w:before="157" w:beforeLines="50" w:after="0" w:afterLines="0" w:line="240" w:lineRule="auto"/>
        <w:ind w:left="0" w:leftChars="0" w:firstLine="0" w:firstLineChars="0"/>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7.2.2.3</w:t>
      </w:r>
      <w:r>
        <w:rPr>
          <w:rFonts w:hint="default" w:ascii="Times New Roman" w:hAnsi="Times New Roman" w:eastAsia="宋体" w:cs="Times New Roman"/>
          <w:color w:val="auto"/>
        </w:rPr>
        <w:t>生食蔬菜、水果和生食水产品原料应在专用区域或设施内进行清洗处理，必要时进行消毒，确保食品安全。</w:t>
      </w:r>
    </w:p>
    <w:p w14:paraId="6881C115">
      <w:pPr>
        <w:pStyle w:val="69"/>
        <w:numPr>
          <w:ilvl w:val="0"/>
          <w:numId w:val="0"/>
        </w:numPr>
        <w:adjustRightInd w:val="0"/>
        <w:snapToGrid w:val="0"/>
        <w:spacing w:before="157" w:afterLines="0" w:line="240" w:lineRule="auto"/>
        <w:outlineLvl w:val="2"/>
        <w:rPr>
          <w:rFonts w:hint="default" w:ascii="Times New Roman" w:hAnsi="Times New Roman" w:cs="Times New Roman"/>
          <w:b/>
          <w:bCs/>
          <w:color w:val="auto"/>
        </w:rPr>
      </w:pPr>
      <w:bookmarkStart w:id="137" w:name="_Toc162708800"/>
      <w:bookmarkStart w:id="138" w:name="_Toc17987"/>
      <w:r>
        <w:rPr>
          <w:rFonts w:hint="default" w:ascii="Times New Roman" w:hAnsi="Times New Roman" w:cs="Times New Roman"/>
          <w:b/>
          <w:bCs/>
          <w:color w:val="auto"/>
          <w:lang w:val="en-US" w:eastAsia="zh-CN"/>
        </w:rPr>
        <w:t xml:space="preserve">7.2.3 </w:t>
      </w:r>
      <w:r>
        <w:rPr>
          <w:rFonts w:hint="default" w:ascii="Times New Roman" w:hAnsi="Times New Roman" w:cs="Times New Roman"/>
          <w:b/>
          <w:bCs/>
          <w:color w:val="auto"/>
        </w:rPr>
        <w:t>烹任</w:t>
      </w:r>
      <w:bookmarkEnd w:id="137"/>
      <w:bookmarkEnd w:id="138"/>
    </w:p>
    <w:p w14:paraId="29CA0D36">
      <w:pPr>
        <w:pStyle w:val="80"/>
        <w:numPr>
          <w:ilvl w:val="0"/>
          <w:numId w:val="0"/>
        </w:numPr>
        <w:kinsoku/>
        <w:wordWrap/>
        <w:overflowPunct/>
        <w:topLinePunct w:val="0"/>
        <w:bidi w:val="0"/>
        <w:adjustRightInd w:val="0"/>
        <w:snapToGrid w:val="0"/>
        <w:spacing w:before="157" w:beforeLines="50" w:after="0" w:afterLines="0" w:line="240" w:lineRule="auto"/>
        <w:ind w:left="0" w:leftChars="0" w:firstLine="0" w:firstLineChars="0"/>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7.2.3.1</w:t>
      </w:r>
      <w:r>
        <w:rPr>
          <w:rFonts w:hint="default" w:ascii="Times New Roman" w:hAnsi="Times New Roman" w:eastAsia="宋体" w:cs="Times New Roman"/>
          <w:color w:val="auto"/>
        </w:rPr>
        <w:t>食品烹任的温度和时间应符合食品安全要求，确保食品在烹任过程中不会产生有害物质。</w:t>
      </w:r>
    </w:p>
    <w:p w14:paraId="43DE0458">
      <w:pPr>
        <w:pStyle w:val="80"/>
        <w:numPr>
          <w:ilvl w:val="0"/>
          <w:numId w:val="0"/>
        </w:numPr>
        <w:kinsoku/>
        <w:wordWrap/>
        <w:overflowPunct/>
        <w:topLinePunct w:val="0"/>
        <w:bidi w:val="0"/>
        <w:adjustRightInd w:val="0"/>
        <w:snapToGrid w:val="0"/>
        <w:spacing w:before="157" w:beforeLines="50" w:after="0" w:afterLines="0" w:line="240" w:lineRule="auto"/>
        <w:ind w:left="0" w:leftChars="0" w:firstLine="0" w:firstLineChars="0"/>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7.2.3.2</w:t>
      </w:r>
      <w:r>
        <w:rPr>
          <w:rFonts w:hint="default" w:ascii="Times New Roman" w:hAnsi="Times New Roman" w:eastAsia="宋体" w:cs="Times New Roman"/>
          <w:color w:val="auto"/>
        </w:rPr>
        <w:t>需要烧熟煮透的食品，加工时食品的中心温度应达到70℃以上；若中心温度低于70℃，应严格控制原料质量，确保食品安全。</w:t>
      </w:r>
    </w:p>
    <w:p w14:paraId="5791B768">
      <w:pPr>
        <w:pStyle w:val="80"/>
        <w:numPr>
          <w:ilvl w:val="0"/>
          <w:numId w:val="0"/>
        </w:numPr>
        <w:kinsoku/>
        <w:wordWrap/>
        <w:overflowPunct/>
        <w:topLinePunct w:val="0"/>
        <w:bidi w:val="0"/>
        <w:adjustRightInd w:val="0"/>
        <w:snapToGrid w:val="0"/>
        <w:spacing w:before="157" w:beforeLines="50" w:after="0" w:afterLines="0" w:line="240" w:lineRule="auto"/>
        <w:ind w:left="0" w:leftChars="0" w:firstLine="0" w:firstLineChars="0"/>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7.2.3.3</w:t>
      </w:r>
      <w:r>
        <w:rPr>
          <w:rFonts w:hint="default" w:ascii="Times New Roman" w:hAnsi="Times New Roman" w:eastAsia="宋体" w:cs="Times New Roman"/>
          <w:color w:val="auto"/>
        </w:rPr>
        <w:t>食品煎炸所使用的食用油和煎炸过程中的油温，应有利于减缓食用油在煎炸过程中发生劣变。煎炸用油若不符合食品安全要求，应及时更换，确保食品质量。</w:t>
      </w:r>
    </w:p>
    <w:p w14:paraId="46D9B9FB">
      <w:pPr>
        <w:pStyle w:val="69"/>
        <w:numPr>
          <w:ilvl w:val="1"/>
          <w:numId w:val="0"/>
        </w:numPr>
        <w:adjustRightInd w:val="0"/>
        <w:snapToGrid w:val="0"/>
        <w:spacing w:before="157" w:afterLines="0" w:line="240" w:lineRule="auto"/>
        <w:outlineLvl w:val="2"/>
        <w:rPr>
          <w:rFonts w:hint="default" w:ascii="Times New Roman" w:hAnsi="Times New Roman" w:cs="Times New Roman"/>
          <w:b/>
          <w:bCs/>
          <w:color w:val="auto"/>
        </w:rPr>
      </w:pPr>
      <w:bookmarkStart w:id="139" w:name="_Toc29872"/>
      <w:bookmarkStart w:id="140" w:name="_Toc162708801"/>
      <w:r>
        <w:rPr>
          <w:rFonts w:hint="default" w:ascii="Times New Roman" w:hAnsi="Times New Roman" w:cs="Times New Roman"/>
          <w:b/>
          <w:bCs/>
          <w:color w:val="auto"/>
          <w:lang w:val="en-US" w:eastAsia="zh-CN"/>
        </w:rPr>
        <w:t>7.2.4</w:t>
      </w:r>
      <w:r>
        <w:rPr>
          <w:rFonts w:hint="default" w:ascii="Times New Roman" w:hAnsi="Times New Roman" w:cs="Times New Roman"/>
          <w:b/>
          <w:bCs/>
          <w:color w:val="auto"/>
        </w:rPr>
        <w:t>食品添加剂使用</w:t>
      </w:r>
      <w:bookmarkEnd w:id="139"/>
      <w:bookmarkEnd w:id="140"/>
    </w:p>
    <w:p w14:paraId="33FB46AF">
      <w:pPr>
        <w:pStyle w:val="80"/>
        <w:numPr>
          <w:ilvl w:val="0"/>
          <w:numId w:val="0"/>
        </w:numPr>
        <w:kinsoku/>
        <w:wordWrap/>
        <w:overflowPunct/>
        <w:topLinePunct w:val="0"/>
        <w:bidi w:val="0"/>
        <w:adjustRightInd w:val="0"/>
        <w:snapToGrid w:val="0"/>
        <w:spacing w:before="157" w:beforeLines="50" w:after="0" w:afterLines="0" w:line="240" w:lineRule="auto"/>
        <w:ind w:left="0" w:leftChars="0" w:firstLine="0" w:firstLineChars="0"/>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7.2.4.1</w:t>
      </w:r>
      <w:r>
        <w:rPr>
          <w:rFonts w:hint="default" w:ascii="Times New Roman" w:hAnsi="Times New Roman" w:eastAsia="宋体" w:cs="Times New Roman"/>
          <w:color w:val="auto"/>
        </w:rPr>
        <w:t>供餐单位在使用食品添加剂时，应在技术上确有必要，并在达到预期效果的前提下，尽可能减少使用量。食品添加剂的使用量及要求应符合《食品安全国家标准 食品添加剂使用标准》（GB 2760）的规定。</w:t>
      </w:r>
    </w:p>
    <w:p w14:paraId="6997704B">
      <w:pPr>
        <w:pStyle w:val="80"/>
        <w:numPr>
          <w:ilvl w:val="0"/>
          <w:numId w:val="0"/>
        </w:numPr>
        <w:kinsoku/>
        <w:wordWrap/>
        <w:overflowPunct/>
        <w:topLinePunct w:val="0"/>
        <w:bidi w:val="0"/>
        <w:adjustRightInd w:val="0"/>
        <w:snapToGrid w:val="0"/>
        <w:spacing w:before="157" w:beforeLines="50" w:after="0" w:afterLines="0" w:line="240" w:lineRule="auto"/>
        <w:ind w:left="0" w:leftChars="0" w:firstLine="0" w:firstLineChars="0"/>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7.2.4.2</w:t>
      </w:r>
      <w:r>
        <w:rPr>
          <w:rFonts w:hint="default" w:ascii="Times New Roman" w:hAnsi="Times New Roman" w:eastAsia="宋体" w:cs="Times New Roman"/>
          <w:color w:val="auto"/>
        </w:rPr>
        <w:t>严禁采购、贮存、使用国家法律、法规禁止在餐饮业使用的食品添加剂，如亚硝酸盐等有害添加剂。</w:t>
      </w:r>
    </w:p>
    <w:p w14:paraId="3BC65D94">
      <w:pPr>
        <w:pStyle w:val="80"/>
        <w:numPr>
          <w:ilvl w:val="0"/>
          <w:numId w:val="0"/>
        </w:numPr>
        <w:kinsoku/>
        <w:wordWrap/>
        <w:overflowPunct/>
        <w:topLinePunct w:val="0"/>
        <w:bidi w:val="0"/>
        <w:adjustRightInd w:val="0"/>
        <w:snapToGrid w:val="0"/>
        <w:spacing w:before="157" w:beforeLines="50" w:after="0" w:afterLines="0" w:line="240" w:lineRule="auto"/>
        <w:ind w:left="0" w:leftChars="0" w:firstLine="0" w:firstLineChars="0"/>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7.2.4.3</w:t>
      </w:r>
      <w:r>
        <w:rPr>
          <w:rFonts w:hint="default" w:ascii="Times New Roman" w:hAnsi="Times New Roman" w:eastAsia="宋体" w:cs="Times New Roman"/>
          <w:color w:val="auto"/>
        </w:rPr>
        <w:t>食品添加剂应由专人负责保管，存放于专柜（位）内，并标注“食品添加剂”字样。供餐单位应建立专册，记录使用的食品添加剂名称、生产日期或批号、添加的食品品种、添加量、添加时间、操作人员等信息，确保食品添加剂的可追溯性和安全使用。</w:t>
      </w:r>
    </w:p>
    <w:p w14:paraId="43E6C2AD">
      <w:pPr>
        <w:pStyle w:val="69"/>
        <w:numPr>
          <w:ilvl w:val="0"/>
          <w:numId w:val="0"/>
        </w:numPr>
        <w:kinsoku/>
        <w:wordWrap/>
        <w:overflowPunct/>
        <w:topLinePunct w:val="0"/>
        <w:bidi w:val="0"/>
        <w:adjustRightInd w:val="0"/>
        <w:snapToGrid w:val="0"/>
        <w:spacing w:before="157" w:beforeLines="50" w:afterLines="0" w:line="240" w:lineRule="auto"/>
        <w:textAlignment w:val="auto"/>
        <w:outlineLvl w:val="1"/>
        <w:rPr>
          <w:rFonts w:hint="default" w:ascii="Times New Roman" w:hAnsi="Times New Roman" w:cs="Times New Roman"/>
          <w:color w:val="auto"/>
        </w:rPr>
      </w:pPr>
      <w:bookmarkStart w:id="141" w:name="_Toc3640"/>
      <w:bookmarkStart w:id="142" w:name="_Toc162708802"/>
      <w:bookmarkStart w:id="143" w:name="_Toc17366"/>
      <w:r>
        <w:rPr>
          <w:rFonts w:hint="default" w:ascii="Times New Roman" w:hAnsi="Times New Roman" w:cs="Times New Roman"/>
          <w:b/>
          <w:bCs/>
          <w:color w:val="auto"/>
          <w:lang w:val="en-US" w:eastAsia="zh-CN"/>
        </w:rPr>
        <w:t xml:space="preserve">7.3 </w:t>
      </w:r>
      <w:r>
        <w:rPr>
          <w:rFonts w:hint="default" w:ascii="Times New Roman" w:hAnsi="Times New Roman" w:cs="Times New Roman"/>
          <w:color w:val="auto"/>
        </w:rPr>
        <w:t>清洁维护与废弃物管理</w:t>
      </w:r>
      <w:bookmarkEnd w:id="141"/>
      <w:bookmarkEnd w:id="142"/>
      <w:bookmarkEnd w:id="143"/>
    </w:p>
    <w:p w14:paraId="78097F0A">
      <w:pPr>
        <w:pStyle w:val="68"/>
        <w:numPr>
          <w:ilvl w:val="0"/>
          <w:numId w:val="0"/>
        </w:numPr>
        <w:kinsoku/>
        <w:wordWrap/>
        <w:overflowPunct/>
        <w:topLinePunct w:val="0"/>
        <w:bidi w:val="0"/>
        <w:adjustRightInd w:val="0"/>
        <w:snapToGrid w:val="0"/>
        <w:spacing w:before="157" w:beforeLines="50" w:after="0" w:afterLines="0" w:line="240" w:lineRule="auto"/>
        <w:textAlignment w:val="auto"/>
        <w:outlineLvl w:val="2"/>
        <w:rPr>
          <w:rFonts w:hint="default" w:ascii="Times New Roman" w:hAnsi="Times New Roman" w:cs="Times New Roman"/>
          <w:color w:val="auto"/>
        </w:rPr>
      </w:pPr>
      <w:bookmarkStart w:id="144" w:name="_Toc28320"/>
      <w:bookmarkStart w:id="145" w:name="_Toc162708803"/>
      <w:r>
        <w:rPr>
          <w:rFonts w:hint="default" w:ascii="Times New Roman" w:hAnsi="Times New Roman" w:cs="Times New Roman"/>
          <w:b/>
          <w:bCs/>
          <w:color w:val="auto"/>
          <w:lang w:val="en-US" w:eastAsia="zh-CN"/>
        </w:rPr>
        <w:t>7.3.1</w:t>
      </w:r>
      <w:r>
        <w:rPr>
          <w:rFonts w:hint="default" w:ascii="Times New Roman" w:hAnsi="Times New Roman" w:cs="Times New Roman"/>
          <w:color w:val="auto"/>
        </w:rPr>
        <w:t>餐用具卫生</w:t>
      </w:r>
      <w:bookmarkEnd w:id="144"/>
      <w:bookmarkEnd w:id="145"/>
    </w:p>
    <w:p w14:paraId="451E2B34">
      <w:pPr>
        <w:pStyle w:val="80"/>
        <w:numPr>
          <w:ilvl w:val="3"/>
          <w:numId w:val="0"/>
        </w:numPr>
        <w:adjustRightInd w:val="0"/>
        <w:snapToGrid w:val="0"/>
        <w:spacing w:before="157" w:after="0" w:afterLines="0" w:line="240" w:lineRule="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 xml:space="preserve">7.3.1.1 </w:t>
      </w:r>
      <w:r>
        <w:rPr>
          <w:rFonts w:hint="default" w:ascii="Times New Roman" w:hAnsi="Times New Roman" w:eastAsia="宋体" w:cs="Times New Roman"/>
          <w:color w:val="auto"/>
        </w:rPr>
        <w:t>餐用具使用后，应及时进行清洗消毒，消毒后的餐用具应符合《食品安全国家标准 消毒餐（饮）具》（GB 14934）的规定。禁止重复使用一次性餐（饮）具，确保食品安全。</w:t>
      </w:r>
    </w:p>
    <w:p w14:paraId="31B93B66">
      <w:pPr>
        <w:pStyle w:val="80"/>
        <w:numPr>
          <w:ilvl w:val="3"/>
          <w:numId w:val="0"/>
        </w:numPr>
        <w:adjustRightInd w:val="0"/>
        <w:snapToGrid w:val="0"/>
        <w:spacing w:before="157" w:after="0" w:afterLines="0" w:line="240" w:lineRule="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 xml:space="preserve">7.3.1.2 </w:t>
      </w:r>
      <w:r>
        <w:rPr>
          <w:rFonts w:hint="default" w:ascii="Times New Roman" w:hAnsi="Times New Roman" w:eastAsia="宋体" w:cs="Times New Roman"/>
          <w:color w:val="auto"/>
        </w:rPr>
        <w:t>餐用具消毒设备和设施应保持正常运转，优先采用热力等物理方法进行消毒。消毒后的餐用具应存放在专用保洁设施或场所内，保持清洁，防止二次污染。</w:t>
      </w:r>
    </w:p>
    <w:p w14:paraId="7F325FA4">
      <w:pPr>
        <w:pStyle w:val="80"/>
        <w:numPr>
          <w:ilvl w:val="3"/>
          <w:numId w:val="0"/>
        </w:numPr>
        <w:adjustRightInd w:val="0"/>
        <w:snapToGrid w:val="0"/>
        <w:spacing w:before="157" w:after="0" w:afterLines="0" w:line="240" w:lineRule="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 xml:space="preserve">7.3.1.3 </w:t>
      </w:r>
      <w:r>
        <w:rPr>
          <w:rFonts w:hint="default" w:ascii="Times New Roman" w:hAnsi="Times New Roman" w:eastAsia="宋体" w:cs="Times New Roman"/>
          <w:color w:val="auto"/>
        </w:rPr>
        <w:t>委托餐（饮）具集中消毒服务单位提供清洗消毒服务的，供餐单位应查验并留存该服务单位的营业执照复印件和消毒合格证明，保存期限不得少于消毒餐（饮）具使用期限到期后6个月。</w:t>
      </w:r>
    </w:p>
    <w:p w14:paraId="69C6308A">
      <w:pPr>
        <w:pStyle w:val="68"/>
        <w:numPr>
          <w:ilvl w:val="0"/>
          <w:numId w:val="0"/>
        </w:numPr>
        <w:kinsoku/>
        <w:wordWrap/>
        <w:overflowPunct/>
        <w:topLinePunct w:val="0"/>
        <w:bidi w:val="0"/>
        <w:adjustRightInd w:val="0"/>
        <w:snapToGrid w:val="0"/>
        <w:spacing w:before="157" w:beforeLines="50" w:after="0" w:afterLines="0" w:line="240" w:lineRule="auto"/>
        <w:textAlignment w:val="auto"/>
        <w:outlineLvl w:val="2"/>
        <w:rPr>
          <w:rFonts w:hint="default" w:ascii="Times New Roman" w:hAnsi="Times New Roman" w:cs="Times New Roman"/>
          <w:color w:val="auto"/>
        </w:rPr>
      </w:pPr>
      <w:bookmarkStart w:id="146" w:name="_Toc162708804"/>
      <w:bookmarkStart w:id="147" w:name="_Toc13338"/>
      <w:r>
        <w:rPr>
          <w:rFonts w:hint="default" w:ascii="Times New Roman" w:hAnsi="Times New Roman" w:cs="Times New Roman"/>
          <w:b/>
          <w:bCs/>
          <w:color w:val="auto"/>
          <w:lang w:val="en-US" w:eastAsia="zh-CN"/>
        </w:rPr>
        <w:t>7.3.2</w:t>
      </w:r>
      <w:r>
        <w:rPr>
          <w:rFonts w:hint="default" w:ascii="Times New Roman" w:hAnsi="Times New Roman" w:cs="Times New Roman"/>
          <w:color w:val="auto"/>
        </w:rPr>
        <w:t>场所、设施、设备清洁消毒和维护</w:t>
      </w:r>
      <w:bookmarkEnd w:id="146"/>
      <w:bookmarkEnd w:id="147"/>
    </w:p>
    <w:p w14:paraId="426728F0">
      <w:pPr>
        <w:pStyle w:val="80"/>
        <w:numPr>
          <w:ilvl w:val="0"/>
          <w:numId w:val="0"/>
        </w:numPr>
        <w:adjustRightInd w:val="0"/>
        <w:snapToGrid w:val="0"/>
        <w:spacing w:before="157" w:after="0" w:afterLines="0" w:line="240" w:lineRule="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 xml:space="preserve">7.3.2.1 </w:t>
      </w:r>
      <w:r>
        <w:rPr>
          <w:rFonts w:hint="default" w:ascii="Times New Roman" w:hAnsi="Times New Roman" w:eastAsia="宋体" w:cs="Times New Roman"/>
          <w:color w:val="auto"/>
        </w:rPr>
        <w:t>餐饮服务场所、设施、设备应定期进行维护，发现问题应及时维修或更换，确保设备的正常运行和食品加工过程的卫生。</w:t>
      </w:r>
    </w:p>
    <w:p w14:paraId="6C4880C3">
      <w:pPr>
        <w:pStyle w:val="80"/>
        <w:numPr>
          <w:ilvl w:val="0"/>
          <w:numId w:val="0"/>
        </w:numPr>
        <w:adjustRightInd w:val="0"/>
        <w:snapToGrid w:val="0"/>
        <w:spacing w:before="157" w:after="0" w:afterLines="0" w:line="240" w:lineRule="auto"/>
        <w:outlineLvl w:val="9"/>
        <w:rPr>
          <w:rFonts w:hint="default" w:ascii="Times New Roman" w:hAnsi="Times New Roman" w:eastAsia="宋体" w:cs="Times New Roman"/>
          <w:color w:val="auto"/>
        </w:rPr>
      </w:pPr>
      <w:r>
        <w:rPr>
          <w:rFonts w:hint="default" w:ascii="Times New Roman" w:hAnsi="Times New Roman" w:eastAsia="宋体" w:cs="Times New Roman"/>
          <w:color w:val="auto"/>
          <w:szCs w:val="21"/>
          <w:lang w:val="en-US" w:eastAsia="zh-CN"/>
        </w:rPr>
        <w:t xml:space="preserve">7.3.2.2 </w:t>
      </w:r>
      <w:r>
        <w:rPr>
          <w:rFonts w:hint="default" w:ascii="Times New Roman" w:hAnsi="Times New Roman" w:eastAsia="宋体" w:cs="Times New Roman"/>
          <w:color w:val="auto"/>
        </w:rPr>
        <w:t>供餐单位应建立并执行清洁消毒程序和计划，配备必要的清洗消毒设施。采用物理方法或化学方法进行清洗消毒时，应满足相关规定，确保清洗消毒效果。</w:t>
      </w:r>
    </w:p>
    <w:p w14:paraId="0A2CA967">
      <w:pPr>
        <w:pStyle w:val="80"/>
        <w:numPr>
          <w:ilvl w:val="0"/>
          <w:numId w:val="0"/>
        </w:numPr>
        <w:adjustRightInd w:val="0"/>
        <w:snapToGrid w:val="0"/>
        <w:spacing w:before="157" w:after="0" w:afterLines="0" w:line="240" w:lineRule="auto"/>
        <w:outlineLvl w:val="9"/>
        <w:rPr>
          <w:rFonts w:hint="default" w:ascii="Times New Roman" w:hAnsi="Times New Roman" w:eastAsia="宋体" w:cs="Times New Roman"/>
          <w:color w:val="auto"/>
        </w:rPr>
      </w:pPr>
      <w:r>
        <w:rPr>
          <w:rFonts w:hint="default" w:ascii="Times New Roman" w:hAnsi="Times New Roman" w:eastAsia="宋体" w:cs="Times New Roman"/>
          <w:color w:val="auto"/>
          <w:szCs w:val="21"/>
          <w:lang w:val="en-US" w:eastAsia="zh-CN"/>
        </w:rPr>
        <w:t xml:space="preserve">7.3.2.3 </w:t>
      </w:r>
      <w:r>
        <w:rPr>
          <w:rFonts w:hint="default" w:ascii="Times New Roman" w:hAnsi="Times New Roman" w:eastAsia="宋体" w:cs="Times New Roman"/>
          <w:color w:val="auto"/>
        </w:rPr>
        <w:t>使用的化学品应符合国家标准，并从正规渠道采购，确保化学品的安全性和有效性。</w:t>
      </w:r>
    </w:p>
    <w:p w14:paraId="3550E3F9">
      <w:pPr>
        <w:pStyle w:val="80"/>
        <w:numPr>
          <w:ilvl w:val="0"/>
          <w:numId w:val="0"/>
        </w:numPr>
        <w:adjustRightInd w:val="0"/>
        <w:snapToGrid w:val="0"/>
        <w:spacing w:before="157" w:after="0" w:afterLines="0" w:line="240" w:lineRule="auto"/>
        <w:outlineLvl w:val="9"/>
        <w:rPr>
          <w:rFonts w:hint="default" w:ascii="Times New Roman" w:hAnsi="Times New Roman" w:eastAsia="宋体" w:cs="Times New Roman"/>
          <w:color w:val="auto"/>
        </w:rPr>
      </w:pPr>
      <w:r>
        <w:rPr>
          <w:rFonts w:hint="default" w:ascii="Times New Roman" w:hAnsi="Times New Roman" w:eastAsia="宋体" w:cs="Times New Roman"/>
          <w:color w:val="auto"/>
          <w:szCs w:val="21"/>
          <w:lang w:val="en-US" w:eastAsia="zh-CN"/>
        </w:rPr>
        <w:t xml:space="preserve">7.3.2.4 </w:t>
      </w:r>
      <w:r>
        <w:rPr>
          <w:rFonts w:hint="default" w:ascii="Times New Roman" w:hAnsi="Times New Roman" w:eastAsia="宋体" w:cs="Times New Roman"/>
          <w:color w:val="auto"/>
        </w:rPr>
        <w:t>清洗消毒人员应经过专业培训，掌握相关清洗消毒知识和操作流程，确保清洁消毒工作的规范性和有效性。</w:t>
      </w:r>
    </w:p>
    <w:p w14:paraId="185F2AB9">
      <w:pPr>
        <w:pStyle w:val="68"/>
        <w:numPr>
          <w:ilvl w:val="0"/>
          <w:numId w:val="0"/>
        </w:numPr>
        <w:kinsoku/>
        <w:wordWrap/>
        <w:overflowPunct/>
        <w:topLinePunct w:val="0"/>
        <w:bidi w:val="0"/>
        <w:adjustRightInd w:val="0"/>
        <w:snapToGrid w:val="0"/>
        <w:spacing w:before="157" w:beforeLines="50" w:after="0" w:afterLines="0" w:line="240" w:lineRule="auto"/>
        <w:textAlignment w:val="auto"/>
        <w:outlineLvl w:val="2"/>
        <w:rPr>
          <w:rFonts w:hint="default" w:ascii="Times New Roman" w:hAnsi="Times New Roman" w:cs="Times New Roman"/>
          <w:color w:val="auto"/>
        </w:rPr>
      </w:pPr>
      <w:bookmarkStart w:id="148" w:name="_Toc9865"/>
      <w:bookmarkStart w:id="149" w:name="_Toc162708805"/>
      <w:r>
        <w:rPr>
          <w:rFonts w:hint="default" w:ascii="Times New Roman" w:hAnsi="Times New Roman" w:cs="Times New Roman"/>
          <w:b/>
          <w:bCs/>
          <w:color w:val="auto"/>
          <w:lang w:val="en-US" w:eastAsia="zh-CN"/>
        </w:rPr>
        <w:t>7.3.3</w:t>
      </w:r>
      <w:r>
        <w:rPr>
          <w:rFonts w:hint="default" w:ascii="Times New Roman" w:hAnsi="Times New Roman" w:cs="Times New Roman"/>
          <w:color w:val="auto"/>
        </w:rPr>
        <w:t>废弃物管理</w:t>
      </w:r>
      <w:bookmarkEnd w:id="148"/>
      <w:bookmarkEnd w:id="149"/>
    </w:p>
    <w:p w14:paraId="05ED473C">
      <w:pPr>
        <w:pStyle w:val="80"/>
        <w:numPr>
          <w:ilvl w:val="0"/>
          <w:numId w:val="0"/>
        </w:numPr>
        <w:adjustRightInd w:val="0"/>
        <w:snapToGrid w:val="0"/>
        <w:spacing w:before="157" w:after="0" w:afterLines="0" w:line="240" w:lineRule="auto"/>
        <w:ind w:left="0"/>
        <w:outlineLvl w:val="9"/>
        <w:rPr>
          <w:rFonts w:hint="default" w:ascii="Times New Roman" w:hAnsi="Times New Roman" w:eastAsia="宋体" w:cs="Times New Roman"/>
          <w:color w:val="auto"/>
        </w:rPr>
      </w:pPr>
      <w:bookmarkStart w:id="150" w:name="_Toc30329"/>
      <w:bookmarkStart w:id="151" w:name="_Toc162708808"/>
      <w:r>
        <w:rPr>
          <w:rFonts w:hint="default" w:ascii="Times New Roman" w:hAnsi="Times New Roman" w:eastAsia="宋体" w:cs="Times New Roman"/>
          <w:b w:val="0"/>
          <w:bCs w:val="0"/>
          <w:color w:val="auto"/>
          <w:lang w:val="en-US" w:eastAsia="zh-CN"/>
        </w:rPr>
        <w:t>7.3.3.1</w:t>
      </w:r>
      <w:r>
        <w:rPr>
          <w:rFonts w:hint="default" w:ascii="Times New Roman" w:hAnsi="Times New Roman" w:eastAsia="宋体" w:cs="Times New Roman"/>
          <w:color w:val="auto"/>
        </w:rPr>
        <w:t>废弃物的处置应符合法律、法规、规章的要求，确保废弃物处理过程的环保和安全。</w:t>
      </w:r>
    </w:p>
    <w:p w14:paraId="03CAD7F8">
      <w:pPr>
        <w:pStyle w:val="80"/>
        <w:numPr>
          <w:ilvl w:val="0"/>
          <w:numId w:val="0"/>
        </w:numPr>
        <w:adjustRightInd w:val="0"/>
        <w:snapToGrid w:val="0"/>
        <w:spacing w:before="157" w:after="0" w:afterLines="0" w:line="240" w:lineRule="auto"/>
        <w:ind w:left="0"/>
        <w:outlineLvl w:val="9"/>
        <w:rPr>
          <w:rFonts w:hint="default" w:ascii="Times New Roman" w:hAnsi="Times New Roman" w:eastAsia="宋体" w:cs="Times New Roman"/>
          <w:color w:val="auto"/>
        </w:rPr>
      </w:pPr>
      <w:r>
        <w:rPr>
          <w:rFonts w:hint="default" w:ascii="Times New Roman" w:hAnsi="Times New Roman" w:eastAsia="宋体" w:cs="Times New Roman"/>
          <w:b w:val="0"/>
          <w:bCs w:val="0"/>
          <w:color w:val="auto"/>
          <w:lang w:val="en-US" w:eastAsia="zh-CN"/>
        </w:rPr>
        <w:t>7.3.3.2</w:t>
      </w:r>
      <w:r>
        <w:rPr>
          <w:rFonts w:hint="default" w:ascii="Times New Roman" w:hAnsi="Times New Roman" w:eastAsia="宋体" w:cs="Times New Roman"/>
          <w:color w:val="auto"/>
        </w:rPr>
        <w:t>供餐单位应建立废弃物管理制度，分类收集、储存和处理废弃物，避免废弃物对食品安全和环境造成污染。餐厨废弃物应及时清理，并采取无害化处理措施，确保废弃物处理过程符合环保要求。</w:t>
      </w:r>
    </w:p>
    <w:p w14:paraId="3DF7FC9F">
      <w:pPr>
        <w:pStyle w:val="80"/>
        <w:numPr>
          <w:ilvl w:val="0"/>
          <w:numId w:val="0"/>
        </w:numPr>
        <w:adjustRightInd w:val="0"/>
        <w:snapToGrid w:val="0"/>
        <w:spacing w:before="157" w:after="0" w:afterLines="0" w:line="240" w:lineRule="auto"/>
        <w:ind w:left="0"/>
        <w:outlineLvl w:val="1"/>
        <w:rPr>
          <w:rFonts w:hint="default" w:ascii="Times New Roman" w:hAnsi="Times New Roman" w:cs="Times New Roman"/>
          <w:color w:val="auto"/>
        </w:rPr>
      </w:pPr>
      <w:bookmarkStart w:id="152" w:name="_Toc25046"/>
      <w:r>
        <w:rPr>
          <w:rFonts w:hint="default" w:ascii="Times New Roman" w:hAnsi="Times New Roman" w:cs="Times New Roman"/>
          <w:b/>
          <w:bCs/>
          <w:color w:val="auto"/>
          <w:lang w:val="en-US" w:eastAsia="zh-CN"/>
        </w:rPr>
        <w:t>7.4</w:t>
      </w:r>
      <w:r>
        <w:rPr>
          <w:rFonts w:hint="default" w:ascii="Times New Roman" w:hAnsi="Times New Roman" w:cs="Times New Roman"/>
          <w:color w:val="auto"/>
        </w:rPr>
        <w:t>人员健康与卫生</w:t>
      </w:r>
      <w:bookmarkEnd w:id="150"/>
      <w:bookmarkEnd w:id="151"/>
      <w:bookmarkEnd w:id="152"/>
    </w:p>
    <w:p w14:paraId="327F83AE">
      <w:pPr>
        <w:pStyle w:val="68"/>
        <w:numPr>
          <w:ilvl w:val="0"/>
          <w:numId w:val="0"/>
        </w:numPr>
        <w:kinsoku/>
        <w:wordWrap/>
        <w:overflowPunct/>
        <w:topLinePunct w:val="0"/>
        <w:bidi w:val="0"/>
        <w:adjustRightInd w:val="0"/>
        <w:snapToGrid w:val="0"/>
        <w:spacing w:before="157" w:beforeLines="50" w:after="0" w:afterLines="0" w:line="240" w:lineRule="auto"/>
        <w:textAlignment w:val="auto"/>
        <w:outlineLvl w:val="2"/>
        <w:rPr>
          <w:rFonts w:hint="default" w:ascii="Times New Roman" w:hAnsi="Times New Roman" w:cs="Times New Roman"/>
          <w:color w:val="auto"/>
        </w:rPr>
      </w:pPr>
      <w:bookmarkStart w:id="153" w:name="_Toc9877"/>
      <w:bookmarkStart w:id="154" w:name="_Toc162708809"/>
      <w:r>
        <w:rPr>
          <w:rFonts w:hint="default" w:ascii="Times New Roman" w:hAnsi="Times New Roman" w:cs="Times New Roman"/>
          <w:b/>
          <w:bCs/>
          <w:color w:val="auto"/>
          <w:lang w:val="en-US" w:eastAsia="zh-CN"/>
        </w:rPr>
        <w:t>7.4.1</w:t>
      </w:r>
      <w:r>
        <w:rPr>
          <w:rFonts w:hint="default" w:ascii="Times New Roman" w:hAnsi="Times New Roman" w:cs="Times New Roman"/>
          <w:color w:val="auto"/>
        </w:rPr>
        <w:t>健康管理</w:t>
      </w:r>
      <w:bookmarkEnd w:id="153"/>
      <w:bookmarkEnd w:id="154"/>
    </w:p>
    <w:p w14:paraId="3DED89EA">
      <w:pPr>
        <w:pStyle w:val="80"/>
        <w:numPr>
          <w:ilvl w:val="0"/>
          <w:numId w:val="0"/>
        </w:numPr>
        <w:adjustRightInd w:val="0"/>
        <w:snapToGrid w:val="0"/>
        <w:spacing w:before="157" w:after="0" w:afterLines="0" w:line="240" w:lineRule="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 xml:space="preserve">7.4.1.1 </w:t>
      </w:r>
      <w:r>
        <w:rPr>
          <w:rFonts w:hint="default" w:ascii="Times New Roman" w:hAnsi="Times New Roman" w:eastAsia="宋体" w:cs="Times New Roman"/>
          <w:color w:val="auto"/>
        </w:rPr>
        <w:t>供餐单位应建立并执行食品从业人员健康管理制度，确保从业人员的健康状况符合食品安全要求。</w:t>
      </w:r>
    </w:p>
    <w:p w14:paraId="4F5CE326">
      <w:pPr>
        <w:pStyle w:val="80"/>
        <w:numPr>
          <w:ilvl w:val="0"/>
          <w:numId w:val="0"/>
        </w:numPr>
        <w:adjustRightInd w:val="0"/>
        <w:snapToGrid w:val="0"/>
        <w:spacing w:before="157" w:after="0" w:afterLines="0" w:line="240" w:lineRule="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 xml:space="preserve">7.4.1.2 </w:t>
      </w:r>
      <w:r>
        <w:rPr>
          <w:rFonts w:hint="default" w:ascii="Times New Roman" w:hAnsi="Times New Roman" w:eastAsia="宋体" w:cs="Times New Roman"/>
          <w:color w:val="auto"/>
        </w:rPr>
        <w:t>从事接触直接入口食品工作的人员，每年应进行一次健康检查，取得健康证明后方可上岗。患有霍乱、伤寒、副伤寒等国务院卫生行政部门规定的有碍食品安全疾病的人员，不得从事接触直接入口食品的工作。</w:t>
      </w:r>
    </w:p>
    <w:p w14:paraId="42C527EE">
      <w:pPr>
        <w:pStyle w:val="80"/>
        <w:numPr>
          <w:ilvl w:val="0"/>
          <w:numId w:val="0"/>
        </w:numPr>
        <w:adjustRightInd w:val="0"/>
        <w:snapToGrid w:val="0"/>
        <w:spacing w:before="157" w:after="0" w:afterLines="0" w:line="240" w:lineRule="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 xml:space="preserve">7.4.1.3 </w:t>
      </w:r>
      <w:r>
        <w:rPr>
          <w:rFonts w:hint="default" w:ascii="Times New Roman" w:hAnsi="Times New Roman" w:eastAsia="宋体" w:cs="Times New Roman"/>
          <w:color w:val="auto"/>
        </w:rPr>
        <w:t>从业人员每日上岗前，应进行健康状况检查。发现有发热等病症或皮肤有伤口、感染等情况的人员，应立即暂停从事接触食品的工作，待查明原因并排除有碍食品安全的疾病后方可重新上岗。</w:t>
      </w:r>
    </w:p>
    <w:p w14:paraId="2C3534BF">
      <w:pPr>
        <w:pStyle w:val="68"/>
        <w:numPr>
          <w:ilvl w:val="0"/>
          <w:numId w:val="0"/>
        </w:numPr>
        <w:kinsoku/>
        <w:wordWrap/>
        <w:overflowPunct/>
        <w:topLinePunct w:val="0"/>
        <w:bidi w:val="0"/>
        <w:adjustRightInd w:val="0"/>
        <w:snapToGrid w:val="0"/>
        <w:spacing w:before="157" w:beforeLines="50" w:after="0" w:afterLines="0" w:line="240" w:lineRule="auto"/>
        <w:textAlignment w:val="auto"/>
        <w:outlineLvl w:val="2"/>
        <w:rPr>
          <w:rFonts w:hint="default" w:ascii="Times New Roman" w:hAnsi="Times New Roman" w:cs="Times New Roman"/>
          <w:color w:val="auto"/>
        </w:rPr>
      </w:pPr>
      <w:bookmarkStart w:id="155" w:name="_Toc162708810"/>
      <w:bookmarkStart w:id="156" w:name="_Toc10519"/>
      <w:r>
        <w:rPr>
          <w:rFonts w:hint="default" w:ascii="Times New Roman" w:hAnsi="Times New Roman" w:cs="Times New Roman"/>
          <w:b/>
          <w:bCs/>
          <w:color w:val="auto"/>
          <w:lang w:val="en-US" w:eastAsia="zh-CN"/>
        </w:rPr>
        <w:t>7.4.2</w:t>
      </w:r>
      <w:r>
        <w:rPr>
          <w:rFonts w:hint="default" w:ascii="Times New Roman" w:hAnsi="Times New Roman" w:cs="Times New Roman"/>
          <w:color w:val="auto"/>
        </w:rPr>
        <w:t>人员卫生</w:t>
      </w:r>
      <w:bookmarkEnd w:id="155"/>
      <w:bookmarkEnd w:id="156"/>
    </w:p>
    <w:p w14:paraId="5467CDD9">
      <w:pPr>
        <w:pStyle w:val="80"/>
        <w:numPr>
          <w:ilvl w:val="3"/>
          <w:numId w:val="0"/>
        </w:numPr>
        <w:adjustRightInd w:val="0"/>
        <w:snapToGrid w:val="0"/>
        <w:spacing w:before="157" w:after="0" w:afterLines="0" w:line="240" w:lineRule="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 xml:space="preserve">7.4.2.1 </w:t>
      </w:r>
      <w:r>
        <w:rPr>
          <w:rFonts w:hint="default" w:ascii="Times New Roman" w:hAnsi="Times New Roman" w:eastAsia="宋体" w:cs="Times New Roman"/>
          <w:color w:val="auto"/>
        </w:rPr>
        <w:t>食品处理区内的从业人员不得留长指甲、涂指甲油，不得化妆。工作时，佩戴的饰物不得外露，应戴清洁的工作帽，避免头发掉落污染食品；专间和专用操作区内的从业人员操作时，应佩戴清洁的口罩，确保口鼻被遮盖。</w:t>
      </w:r>
    </w:p>
    <w:p w14:paraId="687966A8">
      <w:pPr>
        <w:pStyle w:val="80"/>
        <w:numPr>
          <w:ilvl w:val="3"/>
          <w:numId w:val="0"/>
        </w:numPr>
        <w:adjustRightInd w:val="0"/>
        <w:snapToGrid w:val="0"/>
        <w:spacing w:before="157" w:after="0" w:afterLines="0" w:line="240" w:lineRule="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 xml:space="preserve">7.4.2.2 </w:t>
      </w:r>
      <w:r>
        <w:rPr>
          <w:rFonts w:hint="default" w:ascii="Times New Roman" w:hAnsi="Times New Roman" w:eastAsia="宋体" w:cs="Times New Roman"/>
          <w:color w:val="auto"/>
        </w:rPr>
        <w:t>从业人员的个人用品应集中存放，存放位置不得影响食品安全。使用卫生间、接触可能污染食品的物品或从事与食品加工无关的其他活动后，再次从事接触食品、食品容器、工具、设备等餐饮服务相关活动前，应重新洗手，并进行手部消毒。特别是从事接触直接入口食品工作的人员，应严格遵守洗手和消毒程序，确保手部卫生。</w:t>
      </w:r>
    </w:p>
    <w:p w14:paraId="1D15857B">
      <w:pPr>
        <w:pStyle w:val="80"/>
        <w:numPr>
          <w:ilvl w:val="3"/>
          <w:numId w:val="0"/>
        </w:numPr>
        <w:adjustRightInd w:val="0"/>
        <w:snapToGrid w:val="0"/>
        <w:spacing w:before="157" w:after="0" w:afterLines="0" w:line="240" w:lineRule="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 xml:space="preserve">7.4.2.3 </w:t>
      </w:r>
      <w:r>
        <w:rPr>
          <w:rFonts w:hint="default" w:ascii="Times New Roman" w:hAnsi="Times New Roman" w:eastAsia="宋体" w:cs="Times New Roman"/>
          <w:color w:val="auto"/>
        </w:rPr>
        <w:t>供餐单位应根据加工品种和岗位要求，配备专用工作服，如工作衣、帽、发网等，必要时配备口罩、围裙、套袖、手套等。工作服应定期清洗更换，操作过程中应保持清洁，避免食品污染。</w:t>
      </w:r>
    </w:p>
    <w:p w14:paraId="1FEC4958">
      <w:pPr>
        <w:pStyle w:val="69"/>
        <w:numPr>
          <w:ilvl w:val="0"/>
          <w:numId w:val="0"/>
        </w:numPr>
        <w:kinsoku/>
        <w:wordWrap/>
        <w:overflowPunct/>
        <w:topLinePunct w:val="0"/>
        <w:bidi w:val="0"/>
        <w:adjustRightInd w:val="0"/>
        <w:snapToGrid w:val="0"/>
        <w:spacing w:before="157" w:beforeLines="50" w:afterLines="0" w:line="240" w:lineRule="auto"/>
        <w:textAlignment w:val="auto"/>
        <w:outlineLvl w:val="1"/>
        <w:rPr>
          <w:rFonts w:hint="default" w:ascii="Times New Roman" w:hAnsi="Times New Roman" w:cs="Times New Roman"/>
          <w:color w:val="auto"/>
        </w:rPr>
      </w:pPr>
      <w:bookmarkStart w:id="157" w:name="_Toc162708811"/>
      <w:bookmarkStart w:id="158" w:name="_Toc31944"/>
      <w:bookmarkStart w:id="159" w:name="_Toc20802"/>
      <w:r>
        <w:rPr>
          <w:rFonts w:hint="default" w:ascii="Times New Roman" w:hAnsi="Times New Roman" w:cs="Times New Roman"/>
          <w:b/>
          <w:bCs/>
          <w:color w:val="auto"/>
          <w:lang w:val="en-US" w:eastAsia="zh-CN"/>
        </w:rPr>
        <w:t>7.5</w:t>
      </w:r>
      <w:r>
        <w:rPr>
          <w:rFonts w:hint="default" w:ascii="Times New Roman" w:hAnsi="Times New Roman" w:cs="Times New Roman"/>
          <w:color w:val="auto"/>
        </w:rPr>
        <w:t>人员培训</w:t>
      </w:r>
      <w:bookmarkEnd w:id="157"/>
      <w:bookmarkEnd w:id="158"/>
      <w:bookmarkEnd w:id="159"/>
    </w:p>
    <w:p w14:paraId="7E1B0508">
      <w:pPr>
        <w:pStyle w:val="80"/>
        <w:numPr>
          <w:ilvl w:val="3"/>
          <w:numId w:val="0"/>
        </w:numPr>
        <w:adjustRightInd w:val="0"/>
        <w:snapToGrid w:val="0"/>
        <w:spacing w:before="157" w:after="0" w:afterLines="0" w:line="240" w:lineRule="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 xml:space="preserve">7.5.1 </w:t>
      </w:r>
      <w:r>
        <w:rPr>
          <w:rFonts w:hint="default" w:ascii="Times New Roman" w:hAnsi="Times New Roman" w:eastAsia="宋体" w:cs="Times New Roman"/>
          <w:color w:val="auto"/>
        </w:rPr>
        <w:t>供餐单位应建立并实施食品安全培训制度，对各岗位从业人员进行系统的食品安全知识培训，确保每位从业人员每年接受不少于40小时的培训，并通过考核后方可上岗。</w:t>
      </w:r>
    </w:p>
    <w:p w14:paraId="5E6A40E4">
      <w:pPr>
        <w:pStyle w:val="80"/>
        <w:numPr>
          <w:ilvl w:val="3"/>
          <w:numId w:val="0"/>
        </w:numPr>
        <w:adjustRightInd w:val="0"/>
        <w:snapToGrid w:val="0"/>
        <w:spacing w:before="157" w:after="0" w:afterLines="0" w:line="240" w:lineRule="auto"/>
        <w:outlineLvl w:val="9"/>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 xml:space="preserve">7.5.2 </w:t>
      </w:r>
      <w:r>
        <w:rPr>
          <w:rFonts w:hint="default" w:ascii="Times New Roman" w:hAnsi="Times New Roman" w:eastAsia="宋体" w:cs="Times New Roman"/>
          <w:color w:val="auto"/>
        </w:rPr>
        <w:t>根据不同岗位的实际需求，供餐单位应制定和实施年度食品安全培训计划，并做好培训记录。培训内容应涵盖食品安全法律法规、食品卫生知识、食品加工操作规范、应急处理措施等方面，提升从业人员的食品安全意识和操作技能，确保食品安全管理工作的有效开展。</w:t>
      </w:r>
    </w:p>
    <w:p w14:paraId="67935D6F">
      <w:pPr>
        <w:pStyle w:val="83"/>
        <w:kinsoku/>
        <w:wordWrap/>
        <w:overflowPunct/>
        <w:topLinePunct w:val="0"/>
        <w:bidi w:val="0"/>
        <w:adjustRightInd w:val="0"/>
        <w:snapToGrid w:val="0"/>
        <w:spacing w:before="157" w:beforeLines="50" w:afterLines="0" w:line="240" w:lineRule="auto"/>
        <w:textAlignment w:val="auto"/>
        <w:outlineLvl w:val="0"/>
        <w:rPr>
          <w:rFonts w:hint="default" w:ascii="Times New Roman" w:hAnsi="Times New Roman" w:cs="Times New Roman"/>
          <w:color w:val="auto"/>
        </w:rPr>
      </w:pPr>
      <w:bookmarkStart w:id="160" w:name="_Toc23780"/>
      <w:bookmarkStart w:id="161" w:name="_Toc162708812"/>
      <w:bookmarkStart w:id="162" w:name="_Toc9181"/>
      <w:r>
        <w:rPr>
          <w:rFonts w:hint="default" w:ascii="Times New Roman" w:hAnsi="Times New Roman" w:cs="Times New Roman"/>
          <w:color w:val="auto"/>
        </w:rPr>
        <w:t>供餐配送要求</w:t>
      </w:r>
      <w:bookmarkEnd w:id="160"/>
      <w:bookmarkEnd w:id="161"/>
      <w:bookmarkEnd w:id="162"/>
    </w:p>
    <w:p w14:paraId="33EC2081">
      <w:pPr>
        <w:pStyle w:val="69"/>
        <w:numPr>
          <w:ilvl w:val="0"/>
          <w:numId w:val="0"/>
        </w:numPr>
        <w:kinsoku/>
        <w:wordWrap/>
        <w:overflowPunct/>
        <w:topLinePunct w:val="0"/>
        <w:bidi w:val="0"/>
        <w:adjustRightInd w:val="0"/>
        <w:snapToGrid w:val="0"/>
        <w:spacing w:before="157" w:beforeLines="50" w:afterLines="0" w:line="240" w:lineRule="auto"/>
        <w:textAlignment w:val="auto"/>
        <w:outlineLvl w:val="1"/>
        <w:rPr>
          <w:rFonts w:hint="default" w:ascii="Times New Roman" w:hAnsi="Times New Roman" w:cs="Times New Roman"/>
          <w:b/>
          <w:bCs/>
          <w:color w:val="auto"/>
        </w:rPr>
      </w:pPr>
      <w:bookmarkStart w:id="163" w:name="_Toc27820"/>
      <w:bookmarkStart w:id="164" w:name="_Toc31780"/>
      <w:bookmarkStart w:id="165" w:name="_Toc162708813"/>
      <w:r>
        <w:rPr>
          <w:rFonts w:hint="default" w:ascii="Times New Roman" w:hAnsi="Times New Roman" w:cs="Times New Roman"/>
          <w:b/>
          <w:bCs/>
          <w:color w:val="auto"/>
          <w:lang w:val="en-US" w:eastAsia="zh-CN"/>
        </w:rPr>
        <w:t>8.1</w:t>
      </w:r>
      <w:r>
        <w:rPr>
          <w:rFonts w:hint="default" w:ascii="Times New Roman" w:hAnsi="Times New Roman" w:cs="Times New Roman"/>
          <w:b/>
          <w:bCs/>
          <w:color w:val="auto"/>
        </w:rPr>
        <w:t>热链配送</w:t>
      </w:r>
      <w:bookmarkEnd w:id="163"/>
      <w:bookmarkEnd w:id="164"/>
    </w:p>
    <w:p w14:paraId="45033919">
      <w:pPr>
        <w:pStyle w:val="69"/>
        <w:numPr>
          <w:ilvl w:val="0"/>
          <w:numId w:val="0"/>
        </w:numPr>
        <w:kinsoku/>
        <w:wordWrap/>
        <w:overflowPunct/>
        <w:topLinePunct w:val="0"/>
        <w:bidi w:val="0"/>
        <w:adjustRightInd w:val="0"/>
        <w:snapToGrid w:val="0"/>
        <w:spacing w:before="157" w:beforeLines="50" w:afterLines="0" w:line="240" w:lineRule="auto"/>
        <w:ind w:left="0" w:leftChars="0" w:firstLine="420" w:firstLineChars="200"/>
        <w:textAlignment w:val="auto"/>
        <w:outlineLvl w:val="9"/>
        <w:rPr>
          <w:rFonts w:hint="default" w:ascii="Times New Roman" w:hAnsi="Times New Roman" w:eastAsia="宋体" w:cs="Times New Roman"/>
          <w:color w:val="auto"/>
        </w:rPr>
      </w:pPr>
      <w:bookmarkStart w:id="166" w:name="_Toc20695"/>
      <w:r>
        <w:rPr>
          <w:rFonts w:hint="default" w:ascii="Times New Roman" w:hAnsi="Times New Roman" w:eastAsia="宋体" w:cs="Times New Roman"/>
          <w:color w:val="auto"/>
        </w:rPr>
        <w:t>供餐单位采用热链配送的食品，应在制作完成后2小时内通过加温保温设备，使食品的中心温度保持在60℃以上。加工制作后至食用的间隔时间应不超过4小时，确保食品在配送过程中的温度控制和安全性。</w:t>
      </w:r>
      <w:bookmarkEnd w:id="166"/>
    </w:p>
    <w:p w14:paraId="4C963C52">
      <w:pPr>
        <w:pStyle w:val="69"/>
        <w:numPr>
          <w:ilvl w:val="0"/>
          <w:numId w:val="0"/>
        </w:numPr>
        <w:kinsoku/>
        <w:wordWrap/>
        <w:overflowPunct/>
        <w:topLinePunct w:val="0"/>
        <w:bidi w:val="0"/>
        <w:adjustRightInd w:val="0"/>
        <w:snapToGrid w:val="0"/>
        <w:spacing w:before="157" w:beforeLines="50" w:afterLines="0" w:line="240" w:lineRule="auto"/>
        <w:ind w:left="0" w:leftChars="0" w:firstLine="0" w:firstLineChars="0"/>
        <w:textAlignment w:val="auto"/>
        <w:outlineLvl w:val="1"/>
        <w:rPr>
          <w:rFonts w:hint="default" w:ascii="Times New Roman" w:hAnsi="Times New Roman" w:cs="Times New Roman"/>
          <w:b/>
          <w:bCs/>
          <w:color w:val="auto"/>
        </w:rPr>
      </w:pPr>
      <w:bookmarkStart w:id="167" w:name="_Toc11963"/>
      <w:r>
        <w:rPr>
          <w:rFonts w:hint="default" w:ascii="Times New Roman" w:hAnsi="Times New Roman" w:cs="Times New Roman"/>
          <w:b/>
          <w:bCs/>
          <w:color w:val="auto"/>
        </w:rPr>
        <w:t>8.2 冷链配送</w:t>
      </w:r>
      <w:bookmarkEnd w:id="167"/>
    </w:p>
    <w:p w14:paraId="0A3CDEE9">
      <w:pPr>
        <w:pStyle w:val="69"/>
        <w:numPr>
          <w:ilvl w:val="0"/>
          <w:numId w:val="0"/>
        </w:numPr>
        <w:kinsoku/>
        <w:wordWrap/>
        <w:overflowPunct/>
        <w:topLinePunct w:val="0"/>
        <w:bidi w:val="0"/>
        <w:adjustRightInd w:val="0"/>
        <w:snapToGrid w:val="0"/>
        <w:spacing w:before="157" w:beforeLines="50" w:afterLines="0" w:line="240" w:lineRule="auto"/>
        <w:ind w:left="0" w:leftChars="0" w:firstLine="420" w:firstLineChars="200"/>
        <w:textAlignment w:val="auto"/>
        <w:outlineLvl w:val="9"/>
        <w:rPr>
          <w:rFonts w:hint="default" w:ascii="Times New Roman" w:hAnsi="Times New Roman" w:eastAsia="宋体" w:cs="Times New Roman"/>
          <w:color w:val="auto"/>
        </w:rPr>
      </w:pPr>
      <w:bookmarkStart w:id="168" w:name="_Toc26783"/>
      <w:r>
        <w:rPr>
          <w:rFonts w:hint="default" w:ascii="Times New Roman" w:hAnsi="Times New Roman" w:eastAsia="宋体" w:cs="Times New Roman"/>
          <w:color w:val="auto"/>
        </w:rPr>
        <w:t>采用冷链工艺供餐的膳食，应存放在清洁操作区内，并采取相应措施防止微生物生长。二次加热时，应在供餐现场或学校附近建立复热点，配备复热设施设备，将膳食中心温度加热至70℃以上后方可供餐。复热完毕至食用的间隔时间应不超过4小时，确保食品的温度控制和安全性。</w:t>
      </w:r>
      <w:bookmarkEnd w:id="168"/>
    </w:p>
    <w:p w14:paraId="4982D7DB">
      <w:pPr>
        <w:pStyle w:val="69"/>
        <w:numPr>
          <w:ilvl w:val="0"/>
          <w:numId w:val="0"/>
        </w:numPr>
        <w:kinsoku/>
        <w:wordWrap/>
        <w:overflowPunct/>
        <w:topLinePunct w:val="0"/>
        <w:bidi w:val="0"/>
        <w:adjustRightInd w:val="0"/>
        <w:snapToGrid w:val="0"/>
        <w:spacing w:before="157" w:beforeLines="50" w:afterLines="0" w:line="240" w:lineRule="auto"/>
        <w:ind w:left="0" w:leftChars="0" w:firstLine="0" w:firstLineChars="0"/>
        <w:textAlignment w:val="auto"/>
        <w:outlineLvl w:val="1"/>
        <w:rPr>
          <w:rFonts w:hint="default" w:ascii="Times New Roman" w:hAnsi="Times New Roman" w:cs="Times New Roman"/>
          <w:b/>
          <w:bCs/>
          <w:color w:val="auto"/>
        </w:rPr>
      </w:pPr>
      <w:bookmarkStart w:id="169" w:name="_Toc8614"/>
      <w:r>
        <w:rPr>
          <w:rFonts w:hint="default" w:ascii="Times New Roman" w:hAnsi="Times New Roman" w:cs="Times New Roman"/>
          <w:b/>
          <w:bCs/>
          <w:color w:val="auto"/>
        </w:rPr>
        <w:t>8.3 生产配送桶饭管理</w:t>
      </w:r>
      <w:bookmarkEnd w:id="169"/>
    </w:p>
    <w:p w14:paraId="3F6492A2">
      <w:pPr>
        <w:pStyle w:val="69"/>
        <w:numPr>
          <w:ilvl w:val="0"/>
          <w:numId w:val="0"/>
        </w:numPr>
        <w:kinsoku/>
        <w:wordWrap/>
        <w:overflowPunct/>
        <w:topLinePunct w:val="0"/>
        <w:bidi w:val="0"/>
        <w:adjustRightInd w:val="0"/>
        <w:snapToGrid w:val="0"/>
        <w:spacing w:before="157" w:beforeLines="50" w:afterLines="0" w:line="240" w:lineRule="auto"/>
        <w:ind w:left="0" w:leftChars="0" w:firstLine="420" w:firstLineChars="200"/>
        <w:textAlignment w:val="auto"/>
        <w:outlineLvl w:val="9"/>
        <w:rPr>
          <w:rFonts w:hint="default" w:ascii="Times New Roman" w:hAnsi="Times New Roman" w:eastAsia="宋体" w:cs="Times New Roman"/>
          <w:color w:val="auto"/>
        </w:rPr>
      </w:pPr>
      <w:bookmarkStart w:id="170" w:name="_Toc28644"/>
      <w:r>
        <w:rPr>
          <w:rFonts w:hint="default" w:ascii="Times New Roman" w:hAnsi="Times New Roman" w:eastAsia="宋体" w:cs="Times New Roman"/>
          <w:color w:val="auto"/>
        </w:rPr>
        <w:t>生产配送桶饭的，供餐点应设立面积满足分餐需要的分餐专用场所，配备膳食加热保温设施设备、手部和工作用具清洗消毒设备设施等，确保桶饭在分配过程中的卫生和安全。</w:t>
      </w:r>
      <w:bookmarkEnd w:id="170"/>
    </w:p>
    <w:p w14:paraId="26C88D3A">
      <w:pPr>
        <w:pStyle w:val="69"/>
        <w:numPr>
          <w:ilvl w:val="0"/>
          <w:numId w:val="0"/>
        </w:numPr>
        <w:kinsoku/>
        <w:wordWrap/>
        <w:overflowPunct/>
        <w:topLinePunct w:val="0"/>
        <w:bidi w:val="0"/>
        <w:adjustRightInd w:val="0"/>
        <w:snapToGrid w:val="0"/>
        <w:spacing w:before="157" w:beforeLines="50" w:afterLines="0" w:line="240" w:lineRule="auto"/>
        <w:ind w:left="0" w:leftChars="0" w:firstLine="0" w:firstLineChars="0"/>
        <w:textAlignment w:val="auto"/>
        <w:outlineLvl w:val="1"/>
        <w:rPr>
          <w:rFonts w:hint="default" w:ascii="Times New Roman" w:hAnsi="Times New Roman" w:cs="Times New Roman"/>
          <w:b/>
          <w:bCs/>
          <w:color w:val="auto"/>
        </w:rPr>
      </w:pPr>
      <w:bookmarkStart w:id="171" w:name="_Toc12802"/>
      <w:r>
        <w:rPr>
          <w:rFonts w:hint="default" w:ascii="Times New Roman" w:hAnsi="Times New Roman" w:cs="Times New Roman"/>
          <w:b/>
          <w:bCs/>
          <w:color w:val="auto"/>
        </w:rPr>
        <w:t>8.4 餐盒和餐饮具管理</w:t>
      </w:r>
      <w:bookmarkEnd w:id="171"/>
    </w:p>
    <w:p w14:paraId="6255612C">
      <w:pPr>
        <w:pStyle w:val="69"/>
        <w:numPr>
          <w:ilvl w:val="0"/>
          <w:numId w:val="0"/>
        </w:numPr>
        <w:kinsoku/>
        <w:wordWrap/>
        <w:overflowPunct/>
        <w:topLinePunct w:val="0"/>
        <w:bidi w:val="0"/>
        <w:adjustRightInd w:val="0"/>
        <w:snapToGrid w:val="0"/>
        <w:spacing w:before="157" w:beforeLines="50" w:afterLines="0" w:line="240" w:lineRule="auto"/>
        <w:ind w:left="0" w:leftChars="0" w:firstLine="0" w:firstLineChars="0"/>
        <w:textAlignment w:val="auto"/>
        <w:outlineLvl w:val="9"/>
        <w:rPr>
          <w:rFonts w:hint="default" w:ascii="Times New Roman" w:hAnsi="Times New Roman" w:eastAsia="宋体" w:cs="Times New Roman"/>
          <w:color w:val="auto"/>
        </w:rPr>
      </w:pPr>
      <w:bookmarkStart w:id="172" w:name="_Toc278"/>
      <w:r>
        <w:rPr>
          <w:rFonts w:hint="default" w:ascii="Times New Roman" w:hAnsi="Times New Roman" w:eastAsia="宋体" w:cs="Times New Roman"/>
          <w:color w:val="auto"/>
          <w:lang w:val="en-US" w:eastAsia="zh-CN"/>
        </w:rPr>
        <w:t>8.4.1</w:t>
      </w:r>
      <w:r>
        <w:rPr>
          <w:rFonts w:hint="default" w:ascii="Times New Roman" w:hAnsi="Times New Roman" w:eastAsia="宋体" w:cs="Times New Roman"/>
          <w:color w:val="auto"/>
        </w:rPr>
        <w:t>餐盒和饭桶等餐饮具及容器应清洁无毒，符合国家食品安全标准规定及供餐食品的特性要求。在高温、微波加热等特定使用条件下，餐饮具和容器应不影响食品的安全，并能在正常贮存、运输、销售中保护食品免受污染和损坏。</w:t>
      </w:r>
      <w:bookmarkEnd w:id="172"/>
    </w:p>
    <w:p w14:paraId="5ADE477A">
      <w:pPr>
        <w:pStyle w:val="69"/>
        <w:numPr>
          <w:ilvl w:val="0"/>
          <w:numId w:val="0"/>
        </w:numPr>
        <w:kinsoku/>
        <w:wordWrap/>
        <w:overflowPunct/>
        <w:topLinePunct w:val="0"/>
        <w:bidi w:val="0"/>
        <w:adjustRightInd w:val="0"/>
        <w:snapToGrid w:val="0"/>
        <w:spacing w:before="157" w:beforeLines="50" w:afterLines="0" w:line="240" w:lineRule="auto"/>
        <w:ind w:left="0" w:leftChars="0" w:firstLine="0" w:firstLineChars="0"/>
        <w:textAlignment w:val="auto"/>
        <w:outlineLvl w:val="9"/>
        <w:rPr>
          <w:rFonts w:hint="default" w:ascii="Times New Roman" w:hAnsi="Times New Roman" w:eastAsia="宋体" w:cs="Times New Roman"/>
          <w:color w:val="auto"/>
        </w:rPr>
      </w:pPr>
      <w:bookmarkStart w:id="173" w:name="_Toc19172"/>
      <w:r>
        <w:rPr>
          <w:rFonts w:hint="default" w:ascii="Times New Roman" w:hAnsi="Times New Roman" w:eastAsia="宋体" w:cs="Times New Roman"/>
          <w:color w:val="auto"/>
          <w:lang w:val="en-US" w:eastAsia="zh-CN"/>
        </w:rPr>
        <w:t>8.4.2</w:t>
      </w:r>
      <w:r>
        <w:rPr>
          <w:rFonts w:hint="default" w:ascii="Times New Roman" w:hAnsi="Times New Roman" w:eastAsia="宋体" w:cs="Times New Roman"/>
          <w:color w:val="auto"/>
        </w:rPr>
        <w:t>应选用食品级材料如PP材料或304不锈钢分餐盒，可循环使用的餐饮具和保温容器在使用前后应及时清洗、消毒。消毒后的餐饮具和保温容器应符合《食品安全国家标准 消毒餐（饮）具》（GB 14934）的规定，并贮存在专用保洁柜内备用。禁止重复使用一次性餐饮具，确保食品安全。</w:t>
      </w:r>
      <w:bookmarkEnd w:id="173"/>
    </w:p>
    <w:p w14:paraId="48357CEC">
      <w:pPr>
        <w:pStyle w:val="69"/>
        <w:numPr>
          <w:ilvl w:val="0"/>
          <w:numId w:val="0"/>
        </w:numPr>
        <w:kinsoku/>
        <w:wordWrap/>
        <w:overflowPunct/>
        <w:topLinePunct w:val="0"/>
        <w:bidi w:val="0"/>
        <w:adjustRightInd w:val="0"/>
        <w:snapToGrid w:val="0"/>
        <w:spacing w:before="157" w:beforeLines="50" w:afterLines="0" w:line="240" w:lineRule="auto"/>
        <w:ind w:left="0" w:leftChars="0" w:firstLine="0" w:firstLineChars="0"/>
        <w:textAlignment w:val="auto"/>
        <w:outlineLvl w:val="1"/>
        <w:rPr>
          <w:rFonts w:hint="default" w:ascii="Times New Roman" w:hAnsi="Times New Roman" w:cs="Times New Roman"/>
          <w:b/>
          <w:bCs/>
          <w:color w:val="auto"/>
        </w:rPr>
      </w:pPr>
      <w:bookmarkStart w:id="174" w:name="_Toc27140"/>
      <w:r>
        <w:rPr>
          <w:rFonts w:hint="default" w:ascii="Times New Roman" w:hAnsi="Times New Roman" w:cs="Times New Roman"/>
          <w:b/>
          <w:bCs/>
          <w:color w:val="auto"/>
        </w:rPr>
        <w:t>8.5 配送安排</w:t>
      </w:r>
      <w:bookmarkEnd w:id="174"/>
    </w:p>
    <w:p w14:paraId="2138E09B">
      <w:pPr>
        <w:pStyle w:val="69"/>
        <w:numPr>
          <w:ilvl w:val="0"/>
          <w:numId w:val="0"/>
        </w:numPr>
        <w:kinsoku/>
        <w:wordWrap/>
        <w:overflowPunct/>
        <w:topLinePunct w:val="0"/>
        <w:bidi w:val="0"/>
        <w:adjustRightInd w:val="0"/>
        <w:snapToGrid w:val="0"/>
        <w:spacing w:before="157" w:beforeLines="50" w:afterLines="0" w:line="240" w:lineRule="auto"/>
        <w:ind w:left="0" w:leftChars="0" w:firstLine="420" w:firstLineChars="200"/>
        <w:textAlignment w:val="auto"/>
        <w:outlineLvl w:val="9"/>
        <w:rPr>
          <w:rFonts w:hint="default" w:ascii="Times New Roman" w:hAnsi="Times New Roman" w:eastAsia="宋体" w:cs="Times New Roman"/>
          <w:color w:val="auto"/>
        </w:rPr>
      </w:pPr>
      <w:bookmarkStart w:id="175" w:name="_Toc28095"/>
      <w:r>
        <w:rPr>
          <w:rFonts w:hint="default" w:ascii="Times New Roman" w:hAnsi="Times New Roman" w:eastAsia="宋体" w:cs="Times New Roman"/>
          <w:color w:val="auto"/>
        </w:rPr>
        <w:t>供餐单位应根据膳食的种类和性质，对加工时间、定岗人员、配送路线、配送时间、配送车辆等进行合理安排。选择适宜的运输方式，确保运输过程中符合食品标签所标识的贮存条件，采取必要的措施，避免食品受到二次污染，确保食品在配送过程中的安全和质量。</w:t>
      </w:r>
      <w:bookmarkEnd w:id="165"/>
      <w:bookmarkEnd w:id="175"/>
    </w:p>
    <w:p w14:paraId="647B6919">
      <w:pPr>
        <w:pStyle w:val="83"/>
        <w:kinsoku/>
        <w:wordWrap/>
        <w:overflowPunct/>
        <w:topLinePunct w:val="0"/>
        <w:bidi w:val="0"/>
        <w:adjustRightInd w:val="0"/>
        <w:snapToGrid w:val="0"/>
        <w:spacing w:before="157" w:beforeLines="50" w:afterLines="0" w:line="240" w:lineRule="auto"/>
        <w:textAlignment w:val="auto"/>
        <w:outlineLvl w:val="0"/>
        <w:rPr>
          <w:rFonts w:hint="default" w:ascii="Times New Roman" w:hAnsi="Times New Roman" w:cs="Times New Roman"/>
          <w:color w:val="auto"/>
        </w:rPr>
      </w:pPr>
      <w:bookmarkStart w:id="176" w:name="_Toc162708818"/>
      <w:bookmarkStart w:id="177" w:name="_Toc14948"/>
      <w:bookmarkStart w:id="178" w:name="_Toc22894"/>
      <w:r>
        <w:rPr>
          <w:rFonts w:hint="default" w:ascii="Times New Roman" w:hAnsi="Times New Roman" w:cs="Times New Roman"/>
          <w:color w:val="auto"/>
        </w:rPr>
        <w:t>食品安全管理</w:t>
      </w:r>
      <w:bookmarkEnd w:id="176"/>
      <w:bookmarkEnd w:id="177"/>
      <w:bookmarkEnd w:id="178"/>
    </w:p>
    <w:p w14:paraId="57CFE911">
      <w:pPr>
        <w:pStyle w:val="69"/>
        <w:numPr>
          <w:ilvl w:val="0"/>
          <w:numId w:val="0"/>
        </w:numPr>
        <w:kinsoku/>
        <w:wordWrap/>
        <w:overflowPunct/>
        <w:topLinePunct w:val="0"/>
        <w:bidi w:val="0"/>
        <w:adjustRightInd w:val="0"/>
        <w:snapToGrid w:val="0"/>
        <w:spacing w:before="157" w:beforeLines="50" w:afterLines="0" w:line="240" w:lineRule="auto"/>
        <w:textAlignment w:val="auto"/>
        <w:outlineLvl w:val="1"/>
        <w:rPr>
          <w:rFonts w:hint="default" w:ascii="Times New Roman" w:hAnsi="Times New Roman" w:cs="Times New Roman"/>
          <w:color w:val="auto"/>
        </w:rPr>
      </w:pPr>
      <w:bookmarkStart w:id="179" w:name="_Toc25494"/>
      <w:bookmarkStart w:id="180" w:name="_Toc3276"/>
      <w:bookmarkStart w:id="181" w:name="_Toc162708819"/>
      <w:r>
        <w:rPr>
          <w:rFonts w:hint="default" w:ascii="Times New Roman" w:hAnsi="Times New Roman" w:cs="Times New Roman"/>
          <w:b/>
          <w:bCs/>
          <w:color w:val="auto"/>
          <w:lang w:val="en-US" w:eastAsia="zh-CN"/>
        </w:rPr>
        <w:t>9.1</w:t>
      </w:r>
      <w:r>
        <w:rPr>
          <w:rFonts w:hint="default" w:ascii="Times New Roman" w:hAnsi="Times New Roman" w:cs="Times New Roman"/>
          <w:color w:val="auto"/>
        </w:rPr>
        <w:t>管理制度和事故处置</w:t>
      </w:r>
      <w:bookmarkEnd w:id="179"/>
      <w:bookmarkEnd w:id="180"/>
      <w:bookmarkEnd w:id="181"/>
    </w:p>
    <w:p w14:paraId="513716D6">
      <w:pPr>
        <w:pStyle w:val="69"/>
        <w:numPr>
          <w:ilvl w:val="0"/>
          <w:numId w:val="0"/>
        </w:numPr>
        <w:adjustRightInd w:val="0"/>
        <w:snapToGrid w:val="0"/>
        <w:spacing w:before="157" w:afterLines="0" w:line="240" w:lineRule="auto"/>
        <w:outlineLvl w:val="9"/>
        <w:rPr>
          <w:rFonts w:hint="default" w:ascii="Times New Roman" w:hAnsi="Times New Roman" w:eastAsia="宋体" w:cs="Times New Roman"/>
          <w:color w:val="auto"/>
        </w:rPr>
      </w:pPr>
      <w:bookmarkStart w:id="182" w:name="_Toc19372"/>
      <w:r>
        <w:rPr>
          <w:rFonts w:hint="default" w:ascii="Times New Roman" w:hAnsi="Times New Roman" w:eastAsia="宋体" w:cs="Times New Roman"/>
          <w:color w:val="auto"/>
          <w:lang w:val="en-US" w:eastAsia="zh-CN"/>
        </w:rPr>
        <w:t xml:space="preserve">9.1.1 </w:t>
      </w:r>
      <w:r>
        <w:rPr>
          <w:rFonts w:hint="default" w:ascii="Times New Roman" w:hAnsi="Times New Roman" w:eastAsia="宋体" w:cs="Times New Roman"/>
          <w:color w:val="auto"/>
        </w:rPr>
        <w:t>供餐单位应建立并持续完善一套涵盖原料控制、餐用具清洗消毒、餐饮服务过程控制、从业人员健康管理、从业人员培训、食品安全自查、进货查验与记录、食品留样、场所与设施设备清洗消毒与维修保养、食品安全信息追溯以及消费者投诉处理等方面的食品安全管理制度，并制定应急处置方案，及时应对食品安全突发事件。</w:t>
      </w:r>
      <w:bookmarkEnd w:id="182"/>
    </w:p>
    <w:p w14:paraId="777F4114">
      <w:pPr>
        <w:pStyle w:val="69"/>
        <w:numPr>
          <w:ilvl w:val="0"/>
          <w:numId w:val="0"/>
        </w:numPr>
        <w:adjustRightInd w:val="0"/>
        <w:snapToGrid w:val="0"/>
        <w:spacing w:before="157" w:afterLines="0" w:line="240" w:lineRule="auto"/>
        <w:outlineLvl w:val="9"/>
        <w:rPr>
          <w:rFonts w:hint="default" w:ascii="Times New Roman" w:hAnsi="Times New Roman" w:eastAsia="宋体" w:cs="Times New Roman"/>
          <w:color w:val="auto"/>
        </w:rPr>
      </w:pPr>
      <w:bookmarkStart w:id="183" w:name="_Toc28282"/>
      <w:r>
        <w:rPr>
          <w:rFonts w:hint="default" w:ascii="Times New Roman" w:hAnsi="Times New Roman" w:eastAsia="宋体" w:cs="Times New Roman"/>
          <w:color w:val="auto"/>
          <w:lang w:val="en-US" w:eastAsia="zh-CN"/>
        </w:rPr>
        <w:t xml:space="preserve">9.1.2 </w:t>
      </w:r>
      <w:r>
        <w:rPr>
          <w:rFonts w:hint="default" w:ascii="Times New Roman" w:hAnsi="Times New Roman" w:eastAsia="宋体" w:cs="Times New Roman"/>
          <w:color w:val="auto"/>
        </w:rPr>
        <w:t>供餐单位应配备经过食品安全培训、具备专业能力的专职或兼职食品安全管理人员，确保食品安全管理工作有效落实。</w:t>
      </w:r>
      <w:bookmarkEnd w:id="183"/>
    </w:p>
    <w:p w14:paraId="27390AD4">
      <w:pPr>
        <w:pStyle w:val="69"/>
        <w:numPr>
          <w:ilvl w:val="0"/>
          <w:numId w:val="0"/>
        </w:numPr>
        <w:adjustRightInd w:val="0"/>
        <w:snapToGrid w:val="0"/>
        <w:spacing w:before="157" w:afterLines="0" w:line="240" w:lineRule="auto"/>
        <w:outlineLvl w:val="9"/>
        <w:rPr>
          <w:rFonts w:hint="default" w:ascii="Times New Roman" w:hAnsi="Times New Roman" w:eastAsia="宋体" w:cs="Times New Roman"/>
          <w:color w:val="auto"/>
        </w:rPr>
      </w:pPr>
      <w:bookmarkStart w:id="184" w:name="_Toc32239"/>
      <w:r>
        <w:rPr>
          <w:rFonts w:hint="default" w:ascii="Times New Roman" w:hAnsi="Times New Roman" w:eastAsia="宋体" w:cs="Times New Roman"/>
          <w:color w:val="auto"/>
          <w:lang w:val="en-US" w:eastAsia="zh-CN"/>
        </w:rPr>
        <w:t xml:space="preserve">9.1.3 </w:t>
      </w:r>
      <w:r>
        <w:rPr>
          <w:rFonts w:hint="default" w:ascii="Times New Roman" w:hAnsi="Times New Roman" w:eastAsia="宋体" w:cs="Times New Roman"/>
          <w:color w:val="auto"/>
        </w:rPr>
        <w:t>发生食品安全事故时，供餐单位应立即采取封存措施控制可能涉及的食品、原料、工具、设备及设施，并按规定报告所在地相关监管部门。供餐单位应积极配合相关部门调查处置，并采取有效措施防止事态扩展。</w:t>
      </w:r>
      <w:bookmarkEnd w:id="184"/>
    </w:p>
    <w:p w14:paraId="2E8DCB02">
      <w:pPr>
        <w:pStyle w:val="69"/>
        <w:numPr>
          <w:ilvl w:val="0"/>
          <w:numId w:val="0"/>
        </w:numPr>
        <w:kinsoku/>
        <w:wordWrap/>
        <w:overflowPunct/>
        <w:topLinePunct w:val="0"/>
        <w:bidi w:val="0"/>
        <w:adjustRightInd w:val="0"/>
        <w:snapToGrid w:val="0"/>
        <w:spacing w:before="157" w:beforeLines="50" w:afterLines="0" w:line="240" w:lineRule="auto"/>
        <w:textAlignment w:val="auto"/>
        <w:outlineLvl w:val="1"/>
        <w:rPr>
          <w:rFonts w:hint="default" w:ascii="Times New Roman" w:hAnsi="Times New Roman" w:cs="Times New Roman"/>
          <w:color w:val="auto"/>
        </w:rPr>
      </w:pPr>
      <w:bookmarkStart w:id="185" w:name="_Toc22030"/>
      <w:bookmarkStart w:id="186" w:name="_Toc162708820"/>
      <w:bookmarkStart w:id="187" w:name="_Toc12638"/>
      <w:r>
        <w:rPr>
          <w:rFonts w:hint="default" w:ascii="Times New Roman" w:hAnsi="Times New Roman" w:cs="Times New Roman"/>
          <w:b/>
          <w:bCs/>
          <w:color w:val="auto"/>
          <w:lang w:val="en-US" w:eastAsia="zh-CN"/>
        </w:rPr>
        <w:t>9.2</w:t>
      </w:r>
      <w:r>
        <w:rPr>
          <w:rFonts w:hint="default" w:ascii="Times New Roman" w:hAnsi="Times New Roman" w:cs="Times New Roman"/>
          <w:color w:val="auto"/>
        </w:rPr>
        <w:t>食品安全自查</w:t>
      </w:r>
      <w:bookmarkEnd w:id="185"/>
      <w:bookmarkEnd w:id="186"/>
      <w:bookmarkEnd w:id="187"/>
    </w:p>
    <w:p w14:paraId="718A3119">
      <w:pPr>
        <w:pStyle w:val="69"/>
        <w:numPr>
          <w:ilvl w:val="0"/>
          <w:numId w:val="0"/>
        </w:numPr>
        <w:adjustRightInd w:val="0"/>
        <w:snapToGrid w:val="0"/>
        <w:spacing w:before="157" w:afterLines="0" w:line="240" w:lineRule="auto"/>
        <w:outlineLvl w:val="9"/>
        <w:rPr>
          <w:rFonts w:hint="default" w:ascii="Times New Roman" w:hAnsi="Times New Roman" w:eastAsia="宋体" w:cs="Times New Roman"/>
          <w:color w:val="auto"/>
        </w:rPr>
      </w:pPr>
      <w:bookmarkStart w:id="188" w:name="_Toc10556"/>
      <w:r>
        <w:rPr>
          <w:rFonts w:hint="default" w:ascii="Times New Roman" w:hAnsi="Times New Roman" w:eastAsia="宋体" w:cs="Times New Roman"/>
          <w:color w:val="auto"/>
          <w:lang w:val="en-US" w:eastAsia="zh-CN"/>
        </w:rPr>
        <w:t xml:space="preserve">9.2.1 </w:t>
      </w:r>
      <w:r>
        <w:rPr>
          <w:rFonts w:hint="default" w:ascii="Times New Roman" w:hAnsi="Times New Roman" w:eastAsia="宋体" w:cs="Times New Roman"/>
          <w:color w:val="auto"/>
        </w:rPr>
        <w:t>供餐单位应定期进行食品安全自查，或委托具备资质的第三方机构开展相关工作，实施“日管控、周排查、月调度”制度，及时发现并消除食品安全隐患，预防食品安全事故的发生。</w:t>
      </w:r>
      <w:bookmarkEnd w:id="188"/>
    </w:p>
    <w:p w14:paraId="57BFA8FD">
      <w:pPr>
        <w:pStyle w:val="69"/>
        <w:numPr>
          <w:ilvl w:val="0"/>
          <w:numId w:val="0"/>
        </w:numPr>
        <w:adjustRightInd w:val="0"/>
        <w:snapToGrid w:val="0"/>
        <w:spacing w:before="157" w:afterLines="0" w:line="240" w:lineRule="auto"/>
        <w:outlineLvl w:val="9"/>
        <w:rPr>
          <w:rFonts w:hint="default" w:ascii="Times New Roman" w:hAnsi="Times New Roman" w:eastAsia="宋体" w:cs="Times New Roman"/>
          <w:color w:val="auto"/>
        </w:rPr>
      </w:pPr>
      <w:bookmarkStart w:id="189" w:name="_Toc254"/>
      <w:r>
        <w:rPr>
          <w:rFonts w:hint="default" w:ascii="Times New Roman" w:hAnsi="Times New Roman" w:eastAsia="宋体" w:cs="Times New Roman"/>
          <w:color w:val="auto"/>
          <w:lang w:val="en-US" w:eastAsia="zh-CN"/>
        </w:rPr>
        <w:t xml:space="preserve">9.2.2 </w:t>
      </w:r>
      <w:r>
        <w:rPr>
          <w:rFonts w:hint="default" w:ascii="Times New Roman" w:hAnsi="Times New Roman" w:eastAsia="宋体" w:cs="Times New Roman"/>
          <w:color w:val="auto"/>
        </w:rPr>
        <w:t>自查过程中发现条件不再符合食品安全要求的，应立即采取整改措施。若存在食品安全事故的潜在风险，应立刻停止相关食品经营活动，并向市场监管部门报告。</w:t>
      </w:r>
      <w:bookmarkEnd w:id="189"/>
    </w:p>
    <w:p w14:paraId="3FFF5648">
      <w:pPr>
        <w:pStyle w:val="69"/>
        <w:numPr>
          <w:ilvl w:val="0"/>
          <w:numId w:val="0"/>
        </w:numPr>
        <w:kinsoku/>
        <w:wordWrap/>
        <w:overflowPunct/>
        <w:topLinePunct w:val="0"/>
        <w:bidi w:val="0"/>
        <w:adjustRightInd w:val="0"/>
        <w:snapToGrid w:val="0"/>
        <w:spacing w:before="157" w:beforeLines="50" w:afterLines="0" w:line="240" w:lineRule="auto"/>
        <w:textAlignment w:val="auto"/>
        <w:outlineLvl w:val="1"/>
        <w:rPr>
          <w:rFonts w:hint="default" w:ascii="Times New Roman" w:hAnsi="Times New Roman" w:cs="Times New Roman"/>
          <w:color w:val="auto"/>
        </w:rPr>
      </w:pPr>
      <w:bookmarkStart w:id="190" w:name="_Toc22437"/>
      <w:bookmarkStart w:id="191" w:name="_Toc162708821"/>
      <w:bookmarkStart w:id="192" w:name="_Toc159"/>
      <w:r>
        <w:rPr>
          <w:rFonts w:hint="default" w:ascii="Times New Roman" w:hAnsi="Times New Roman" w:cs="Times New Roman"/>
          <w:b/>
          <w:bCs/>
          <w:color w:val="auto"/>
          <w:lang w:val="en-US" w:eastAsia="zh-CN"/>
        </w:rPr>
        <w:t>9.3</w:t>
      </w:r>
      <w:r>
        <w:rPr>
          <w:rFonts w:hint="default" w:ascii="Times New Roman" w:hAnsi="Times New Roman" w:cs="Times New Roman"/>
          <w:color w:val="auto"/>
        </w:rPr>
        <w:t>食品留样</w:t>
      </w:r>
      <w:bookmarkEnd w:id="190"/>
      <w:bookmarkEnd w:id="191"/>
      <w:bookmarkEnd w:id="192"/>
    </w:p>
    <w:p w14:paraId="43E933A8">
      <w:pPr>
        <w:pStyle w:val="68"/>
        <w:numPr>
          <w:ilvl w:val="0"/>
          <w:numId w:val="0"/>
        </w:numPr>
        <w:adjustRightInd w:val="0"/>
        <w:snapToGrid w:val="0"/>
        <w:spacing w:before="157" w:after="0" w:afterLines="0" w:line="240" w:lineRule="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 xml:space="preserve">9.3.1 </w:t>
      </w:r>
      <w:r>
        <w:rPr>
          <w:rFonts w:hint="default" w:ascii="Times New Roman" w:hAnsi="Times New Roman" w:eastAsia="宋体" w:cs="Times New Roman"/>
          <w:color w:val="auto"/>
        </w:rPr>
        <w:t>供餐单位应指定专人负责食品留样的采集与保管工作，包括自制饮品及小吃甜点。食品样品应通过消毒过的专用工具采集，并存放于专门的冷藏设施内，确保留样食品的安全性。留样冷藏箱（柜）应独立存放留样食品，避免存放无关物品，并确保监控覆盖。</w:t>
      </w:r>
    </w:p>
    <w:p w14:paraId="35353FC0">
      <w:pPr>
        <w:pStyle w:val="68"/>
        <w:numPr>
          <w:ilvl w:val="0"/>
          <w:numId w:val="0"/>
        </w:numPr>
        <w:kinsoku/>
        <w:wordWrap/>
        <w:overflowPunct/>
        <w:topLinePunct w:val="0"/>
        <w:bidi w:val="0"/>
        <w:adjustRightInd w:val="0"/>
        <w:snapToGrid w:val="0"/>
        <w:spacing w:before="157" w:beforeLines="50" w:after="0" w:afterLines="0" w:line="240" w:lineRule="auto"/>
        <w:ind w:left="0" w:leftChars="0" w:firstLine="0" w:firstLineChars="0"/>
        <w:textAlignment w:val="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 xml:space="preserve">9.3.2 </w:t>
      </w:r>
      <w:r>
        <w:rPr>
          <w:rFonts w:hint="default" w:ascii="Times New Roman" w:hAnsi="Times New Roman" w:eastAsia="宋体" w:cs="Times New Roman"/>
          <w:color w:val="auto"/>
        </w:rPr>
        <w:t>每餐次的食品成品应进行留样，留样量不低于125g，并在冷藏条件下保存48小时以上。所有留样食品应按日期和品种分别储存，并妥善记录，内容包括但不限于：a) 食品名称；b) 留样量；c) 留样时间；d) 销毁时间；e) 留样人。</w:t>
      </w:r>
    </w:p>
    <w:p w14:paraId="2F74473A">
      <w:pPr>
        <w:pStyle w:val="68"/>
        <w:numPr>
          <w:ilvl w:val="0"/>
          <w:numId w:val="0"/>
        </w:numPr>
        <w:adjustRightInd w:val="0"/>
        <w:snapToGrid w:val="0"/>
        <w:spacing w:before="157" w:after="0" w:afterLines="0" w:line="240" w:lineRule="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 xml:space="preserve">9.3.3 </w:t>
      </w:r>
      <w:r>
        <w:rPr>
          <w:rFonts w:hint="default" w:ascii="Times New Roman" w:hAnsi="Times New Roman" w:eastAsia="宋体" w:cs="Times New Roman"/>
          <w:color w:val="auto"/>
        </w:rPr>
        <w:t>留样工具、冷藏设施及保存工具应定期清洗消毒。</w:t>
      </w:r>
    </w:p>
    <w:p w14:paraId="1A8DC3DF">
      <w:pPr>
        <w:pStyle w:val="69"/>
        <w:numPr>
          <w:ilvl w:val="0"/>
          <w:numId w:val="0"/>
        </w:numPr>
        <w:kinsoku/>
        <w:wordWrap/>
        <w:overflowPunct/>
        <w:topLinePunct w:val="0"/>
        <w:bidi w:val="0"/>
        <w:adjustRightInd w:val="0"/>
        <w:snapToGrid w:val="0"/>
        <w:spacing w:before="157" w:beforeLines="50" w:afterLines="0" w:line="240" w:lineRule="auto"/>
        <w:textAlignment w:val="auto"/>
        <w:outlineLvl w:val="1"/>
        <w:rPr>
          <w:rFonts w:hint="default" w:ascii="Times New Roman" w:hAnsi="Times New Roman" w:cs="Times New Roman"/>
          <w:color w:val="auto"/>
        </w:rPr>
      </w:pPr>
      <w:bookmarkStart w:id="193" w:name="_Toc25716"/>
      <w:bookmarkStart w:id="194" w:name="_Toc27395"/>
      <w:bookmarkStart w:id="195" w:name="_Toc162708822"/>
      <w:r>
        <w:rPr>
          <w:rFonts w:hint="default" w:ascii="Times New Roman" w:hAnsi="Times New Roman" w:cs="Times New Roman"/>
          <w:b/>
          <w:bCs/>
          <w:color w:val="auto"/>
          <w:lang w:val="en-US" w:eastAsia="zh-CN"/>
        </w:rPr>
        <w:t>9.4</w:t>
      </w:r>
      <w:r>
        <w:rPr>
          <w:rFonts w:hint="default" w:ascii="Times New Roman" w:hAnsi="Times New Roman" w:cs="Times New Roman"/>
          <w:color w:val="auto"/>
        </w:rPr>
        <w:t>检验</w:t>
      </w:r>
      <w:bookmarkEnd w:id="193"/>
      <w:bookmarkEnd w:id="194"/>
      <w:bookmarkEnd w:id="195"/>
    </w:p>
    <w:p w14:paraId="206AB9D2">
      <w:pPr>
        <w:pStyle w:val="68"/>
        <w:numPr>
          <w:ilvl w:val="0"/>
          <w:numId w:val="0"/>
        </w:numPr>
        <w:adjustRightInd w:val="0"/>
        <w:snapToGrid w:val="0"/>
        <w:spacing w:before="157" w:after="0" w:afterLines="0" w:line="240" w:lineRule="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 xml:space="preserve">9.4.1 </w:t>
      </w:r>
      <w:r>
        <w:rPr>
          <w:rFonts w:hint="default" w:ascii="Times New Roman" w:hAnsi="Times New Roman" w:eastAsia="宋体" w:cs="Times New Roman"/>
          <w:color w:val="auto"/>
        </w:rPr>
        <w:t>供餐单位应定期或委托具资质的第三方机构对食品及其加工环境进行检验。自行进行检验的单位应具备必要的检验设备和专业能力，确保检验设备按期校准，并符合相关食品安全标准。</w:t>
      </w:r>
    </w:p>
    <w:p w14:paraId="2AD1324C">
      <w:pPr>
        <w:pStyle w:val="68"/>
        <w:numPr>
          <w:ilvl w:val="0"/>
          <w:numId w:val="0"/>
        </w:numPr>
        <w:adjustRightInd w:val="0"/>
        <w:snapToGrid w:val="0"/>
        <w:spacing w:before="157" w:after="0" w:afterLines="0" w:line="240" w:lineRule="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 xml:space="preserve">9.4.2 </w:t>
      </w:r>
      <w:r>
        <w:rPr>
          <w:rFonts w:hint="default" w:ascii="Times New Roman" w:hAnsi="Times New Roman" w:eastAsia="宋体" w:cs="Times New Roman"/>
          <w:color w:val="auto"/>
        </w:rPr>
        <w:t>食品检验应根据食品品种、加工工艺、原料控制等因素，合理确定检验项目、指标及频次，确保控制措施的有效性。</w:t>
      </w:r>
    </w:p>
    <w:p w14:paraId="2CB86678">
      <w:pPr>
        <w:pStyle w:val="69"/>
        <w:numPr>
          <w:ilvl w:val="0"/>
          <w:numId w:val="0"/>
        </w:numPr>
        <w:kinsoku/>
        <w:wordWrap/>
        <w:overflowPunct/>
        <w:topLinePunct w:val="0"/>
        <w:bidi w:val="0"/>
        <w:adjustRightInd w:val="0"/>
        <w:snapToGrid w:val="0"/>
        <w:spacing w:before="157" w:beforeLines="50" w:afterLines="0" w:line="240" w:lineRule="auto"/>
        <w:textAlignment w:val="auto"/>
        <w:outlineLvl w:val="1"/>
        <w:rPr>
          <w:rFonts w:hint="default" w:ascii="Times New Roman" w:hAnsi="Times New Roman" w:eastAsia="宋体" w:cs="Times New Roman"/>
          <w:color w:val="auto"/>
        </w:rPr>
      </w:pPr>
      <w:bookmarkStart w:id="196" w:name="_Toc23948"/>
      <w:bookmarkStart w:id="197" w:name="_Toc19515"/>
      <w:bookmarkStart w:id="198" w:name="_Toc162708823"/>
      <w:r>
        <w:rPr>
          <w:rFonts w:hint="default" w:ascii="Times New Roman" w:hAnsi="Times New Roman" w:cs="Times New Roman"/>
          <w:b/>
          <w:bCs/>
          <w:color w:val="auto"/>
          <w:lang w:val="en-US" w:eastAsia="zh-CN"/>
        </w:rPr>
        <w:t>9.5</w:t>
      </w:r>
      <w:r>
        <w:rPr>
          <w:rFonts w:hint="default" w:ascii="Times New Roman" w:hAnsi="Times New Roman" w:cs="Times New Roman"/>
          <w:color w:val="auto"/>
        </w:rPr>
        <w:t>记录和文件管理</w:t>
      </w:r>
      <w:bookmarkEnd w:id="196"/>
      <w:bookmarkEnd w:id="197"/>
      <w:bookmarkEnd w:id="198"/>
    </w:p>
    <w:p w14:paraId="7DF25E3E">
      <w:pPr>
        <w:pStyle w:val="68"/>
        <w:numPr>
          <w:ilvl w:val="2"/>
          <w:numId w:val="0"/>
        </w:numPr>
        <w:adjustRightInd w:val="0"/>
        <w:snapToGrid w:val="0"/>
        <w:spacing w:before="157" w:after="0" w:afterLines="0" w:line="240" w:lineRule="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 xml:space="preserve">9.5.1 </w:t>
      </w:r>
      <w:r>
        <w:rPr>
          <w:rFonts w:hint="default" w:ascii="Times New Roman" w:hAnsi="Times New Roman" w:eastAsia="宋体" w:cs="Times New Roman"/>
          <w:color w:val="auto"/>
        </w:rPr>
        <w:t>供餐单位应建立完善的记录管理制度，确保食品安全相关的各项记录完整、真实。记录应涵盖从业人员培训、进货查验、食品添加剂使用、食品安全自查、消费者投诉处理、变质或超过保质期食品处置、定期除虫等情况。</w:t>
      </w:r>
    </w:p>
    <w:p w14:paraId="0A25223E">
      <w:pPr>
        <w:pStyle w:val="68"/>
        <w:numPr>
          <w:ilvl w:val="2"/>
          <w:numId w:val="0"/>
        </w:numPr>
        <w:adjustRightInd w:val="0"/>
        <w:snapToGrid w:val="0"/>
        <w:spacing w:before="157" w:after="0" w:afterLines="0" w:line="240" w:lineRule="auto"/>
        <w:outlineLvl w:val="9"/>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 xml:space="preserve">9.5.2 </w:t>
      </w:r>
      <w:r>
        <w:rPr>
          <w:rFonts w:hint="default" w:ascii="Times New Roman" w:hAnsi="Times New Roman" w:eastAsia="宋体" w:cs="Times New Roman"/>
          <w:color w:val="auto"/>
        </w:rPr>
        <w:t>对于进行食品和加工环境检验的单位，应保存检验记录，且无特别要求的，所有记录保存时间应不少于6个月。进货查验记录、收货记录及相关凭证应保存不少于2年。</w:t>
      </w:r>
    </w:p>
    <w:p w14:paraId="1ABB51AA">
      <w:pPr>
        <w:pStyle w:val="69"/>
        <w:numPr>
          <w:ilvl w:val="0"/>
          <w:numId w:val="0"/>
        </w:numPr>
        <w:kinsoku/>
        <w:wordWrap/>
        <w:overflowPunct/>
        <w:topLinePunct w:val="0"/>
        <w:bidi w:val="0"/>
        <w:adjustRightInd w:val="0"/>
        <w:snapToGrid w:val="0"/>
        <w:spacing w:before="157" w:beforeLines="50" w:afterLines="0" w:line="240" w:lineRule="auto"/>
        <w:textAlignment w:val="auto"/>
        <w:outlineLvl w:val="1"/>
        <w:rPr>
          <w:rFonts w:hint="default" w:ascii="Times New Roman" w:hAnsi="Times New Roman" w:cs="Times New Roman"/>
          <w:color w:val="auto"/>
        </w:rPr>
      </w:pPr>
      <w:bookmarkStart w:id="199" w:name="_Toc162708824"/>
      <w:bookmarkStart w:id="200" w:name="_Toc24954"/>
      <w:bookmarkStart w:id="201" w:name="_Toc577"/>
      <w:r>
        <w:rPr>
          <w:rFonts w:hint="default" w:ascii="Times New Roman" w:hAnsi="Times New Roman" w:cs="Times New Roman"/>
          <w:b/>
          <w:bCs/>
          <w:color w:val="auto"/>
          <w:lang w:val="en-US" w:eastAsia="zh-CN"/>
        </w:rPr>
        <w:t>9.6</w:t>
      </w:r>
      <w:r>
        <w:rPr>
          <w:rFonts w:hint="default" w:ascii="Times New Roman" w:hAnsi="Times New Roman" w:cs="Times New Roman"/>
          <w:color w:val="auto"/>
        </w:rPr>
        <w:t>食品质量安全责任</w:t>
      </w:r>
      <w:bookmarkEnd w:id="199"/>
      <w:bookmarkEnd w:id="200"/>
      <w:bookmarkEnd w:id="201"/>
    </w:p>
    <w:p w14:paraId="742BFF1D">
      <w:p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rPr>
      </w:pPr>
      <w:r>
        <w:rPr>
          <w:rFonts w:hint="default" w:ascii="Times New Roman" w:hAnsi="Times New Roman" w:cs="Times New Roman"/>
          <w:color w:val="auto"/>
        </w:rPr>
        <w:t>若供餐单位或从业人员未按要求操作，导致重大食品安全事故并造成严重后果，责任界定如下：</w:t>
      </w:r>
    </w:p>
    <w:p w14:paraId="24B3CA7F">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a) 供餐单位未按监管部门的检查意见及时调整餐饮服务提供者，导致食品安全事故发生的，供餐单位应承担主要责任；</w:t>
      </w:r>
    </w:p>
    <w:p w14:paraId="1025F64D">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b) 供餐单位或从业人员未按监管要求执行食品安全措施，导致食品安全事故发生的，供餐单位与相关责任人应承担共同责任。</w:t>
      </w:r>
    </w:p>
    <w:p w14:paraId="38C1B931">
      <w:pPr>
        <w:pStyle w:val="69"/>
        <w:numPr>
          <w:ilvl w:val="0"/>
          <w:numId w:val="0"/>
        </w:numPr>
        <w:kinsoku/>
        <w:wordWrap/>
        <w:overflowPunct/>
        <w:topLinePunct w:val="0"/>
        <w:bidi w:val="0"/>
        <w:adjustRightInd w:val="0"/>
        <w:snapToGrid w:val="0"/>
        <w:spacing w:before="157" w:beforeLines="50" w:afterLines="0" w:line="240" w:lineRule="auto"/>
        <w:textAlignment w:val="auto"/>
        <w:outlineLvl w:val="1"/>
        <w:rPr>
          <w:rFonts w:hint="default" w:ascii="Times New Roman" w:hAnsi="Times New Roman" w:cs="Times New Roman"/>
          <w:color w:val="auto"/>
        </w:rPr>
      </w:pPr>
      <w:bookmarkStart w:id="202" w:name="_Toc162708825"/>
      <w:bookmarkStart w:id="203" w:name="_Toc5746"/>
      <w:r>
        <w:rPr>
          <w:rFonts w:hint="default" w:ascii="Times New Roman" w:hAnsi="Times New Roman" w:cs="Times New Roman"/>
          <w:b/>
          <w:bCs/>
          <w:color w:val="auto"/>
          <w:lang w:val="en-US" w:eastAsia="zh-CN"/>
        </w:rPr>
        <w:t>9.7</w:t>
      </w:r>
      <w:r>
        <w:rPr>
          <w:rFonts w:hint="default" w:ascii="Times New Roman" w:hAnsi="Times New Roman" w:cs="Times New Roman"/>
          <w:color w:val="auto"/>
        </w:rPr>
        <w:t>应急管理</w:t>
      </w:r>
      <w:bookmarkEnd w:id="202"/>
      <w:bookmarkEnd w:id="203"/>
    </w:p>
    <w:p w14:paraId="25BD5558">
      <w:pPr>
        <w:kinsoku/>
        <w:wordWrap/>
        <w:overflowPunct/>
        <w:topLinePunct w:val="0"/>
        <w:bidi w:val="0"/>
        <w:adjustRightInd w:val="0"/>
        <w:snapToGrid w:val="0"/>
        <w:spacing w:before="157" w:beforeLines="50" w:line="240" w:lineRule="auto"/>
        <w:textAlignment w:val="auto"/>
        <w:outlineLvl w:val="2"/>
        <w:rPr>
          <w:rFonts w:hint="default" w:ascii="Times New Roman" w:hAnsi="Times New Roman" w:cs="Times New Roman"/>
          <w:color w:val="auto"/>
        </w:rPr>
      </w:pPr>
      <w:bookmarkStart w:id="204" w:name="_Toc18974"/>
      <w:r>
        <w:rPr>
          <w:rFonts w:hint="default" w:ascii="Times New Roman" w:hAnsi="Times New Roman" w:cs="Times New Roman"/>
          <w:color w:val="auto"/>
        </w:rPr>
        <w:t>9.7.1 食品安全事故处理</w:t>
      </w:r>
      <w:bookmarkEnd w:id="204"/>
    </w:p>
    <w:p w14:paraId="4D8BC834">
      <w:p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rPr>
      </w:pPr>
      <w:r>
        <w:rPr>
          <w:rFonts w:hint="default" w:ascii="Times New Roman" w:hAnsi="Times New Roman" w:cs="Times New Roman"/>
          <w:color w:val="auto"/>
        </w:rPr>
        <w:t>发生食品安全事故时，应立即采取以下措施：</w:t>
      </w:r>
    </w:p>
    <w:p w14:paraId="650960A0">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a）积极协助医疗机构对受害者进行救治；</w:t>
      </w:r>
    </w:p>
    <w:p w14:paraId="3D445238">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b）停止供餐，并按照规定向教育、食品安全监督管理及卫生健康部门报告；</w:t>
      </w:r>
    </w:p>
    <w:p w14:paraId="2DF8E1DE">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c）封存可能涉及食品安全事故的食品、原料、工具、设备及现场，并按相关部门要求采取控制措施；</w:t>
      </w:r>
    </w:p>
    <w:p w14:paraId="11E0D8DD">
      <w:pPr>
        <w:kinsoku/>
        <w:wordWrap/>
        <w:overflowPunct/>
        <w:topLinePunct w:val="0"/>
        <w:bidi w:val="0"/>
        <w:adjustRightInd w:val="0"/>
        <w:snapToGrid w:val="0"/>
        <w:spacing w:before="157" w:beforeLines="50" w:line="240" w:lineRule="auto"/>
        <w:textAlignment w:val="auto"/>
        <w:rPr>
          <w:rFonts w:hint="default" w:ascii="Times New Roman" w:hAnsi="Times New Roman" w:cs="Times New Roman"/>
          <w:color w:val="auto"/>
        </w:rPr>
      </w:pPr>
      <w:r>
        <w:rPr>
          <w:rFonts w:hint="default" w:ascii="Times New Roman" w:hAnsi="Times New Roman" w:cs="Times New Roman"/>
          <w:color w:val="auto"/>
        </w:rPr>
        <w:t>d）配合食品安全监管部门进行现场调查。</w:t>
      </w:r>
    </w:p>
    <w:p w14:paraId="496FF7E9">
      <w:pPr>
        <w:kinsoku/>
        <w:wordWrap/>
        <w:overflowPunct/>
        <w:topLinePunct w:val="0"/>
        <w:bidi w:val="0"/>
        <w:adjustRightInd w:val="0"/>
        <w:snapToGrid w:val="0"/>
        <w:spacing w:before="157" w:beforeLines="50" w:line="240" w:lineRule="auto"/>
        <w:textAlignment w:val="auto"/>
        <w:outlineLvl w:val="2"/>
        <w:rPr>
          <w:rFonts w:hint="default" w:ascii="Times New Roman" w:hAnsi="Times New Roman" w:cs="Times New Roman"/>
          <w:color w:val="auto"/>
        </w:rPr>
      </w:pPr>
      <w:bookmarkStart w:id="205" w:name="_Toc25938"/>
      <w:r>
        <w:rPr>
          <w:rFonts w:hint="default" w:ascii="Times New Roman" w:hAnsi="Times New Roman" w:cs="Times New Roman"/>
          <w:color w:val="auto"/>
        </w:rPr>
        <w:t>9.7.2 事故后的信息通报与沟通</w:t>
      </w:r>
      <w:bookmarkEnd w:id="205"/>
    </w:p>
    <w:p w14:paraId="75A804EF">
      <w:p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rPr>
      </w:pPr>
      <w:r>
        <w:rPr>
          <w:rFonts w:hint="default" w:ascii="Times New Roman" w:hAnsi="Times New Roman" w:cs="Times New Roman"/>
          <w:color w:val="auto"/>
        </w:rPr>
        <w:t>应加强与相关部门合作，组织对用餐师生进行调查，并通过师生家长、媒体等渠道进行有效的沟通与情况通报。同时，妥善进行新闻发布和媒体应对工作。</w:t>
      </w:r>
    </w:p>
    <w:p w14:paraId="7EC90FBF">
      <w:pPr>
        <w:kinsoku/>
        <w:wordWrap/>
        <w:overflowPunct/>
        <w:topLinePunct w:val="0"/>
        <w:bidi w:val="0"/>
        <w:adjustRightInd w:val="0"/>
        <w:snapToGrid w:val="0"/>
        <w:spacing w:before="157" w:beforeLines="50" w:line="240" w:lineRule="auto"/>
        <w:textAlignment w:val="auto"/>
        <w:outlineLvl w:val="2"/>
        <w:rPr>
          <w:rFonts w:hint="default" w:ascii="Times New Roman" w:hAnsi="Times New Roman" w:cs="Times New Roman"/>
          <w:color w:val="auto"/>
        </w:rPr>
      </w:pPr>
      <w:bookmarkStart w:id="206" w:name="_Toc10045"/>
      <w:r>
        <w:rPr>
          <w:rFonts w:hint="default" w:ascii="Times New Roman" w:hAnsi="Times New Roman" w:cs="Times New Roman"/>
          <w:color w:val="auto"/>
        </w:rPr>
        <w:t>9.7.3 公共卫生事件应对</w:t>
      </w:r>
      <w:bookmarkEnd w:id="206"/>
    </w:p>
    <w:p w14:paraId="750F4412">
      <w:p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rPr>
      </w:pPr>
      <w:r>
        <w:rPr>
          <w:rFonts w:hint="default" w:ascii="Times New Roman" w:hAnsi="Times New Roman" w:cs="Times New Roman"/>
          <w:color w:val="auto"/>
        </w:rPr>
        <w:t>遇到突发公共卫生事件时，应按上级要求配合相关部门做好应对工作。</w:t>
      </w:r>
    </w:p>
    <w:p w14:paraId="7D3DDADF">
      <w:pPr>
        <w:pStyle w:val="83"/>
        <w:kinsoku/>
        <w:wordWrap/>
        <w:overflowPunct/>
        <w:topLinePunct w:val="0"/>
        <w:bidi w:val="0"/>
        <w:adjustRightInd w:val="0"/>
        <w:snapToGrid w:val="0"/>
        <w:spacing w:before="157" w:beforeLines="50" w:afterLines="0" w:line="240" w:lineRule="auto"/>
        <w:textAlignment w:val="auto"/>
        <w:outlineLvl w:val="0"/>
        <w:rPr>
          <w:rFonts w:hint="default" w:ascii="Times New Roman" w:hAnsi="Times New Roman" w:cs="Times New Roman"/>
          <w:color w:val="auto"/>
        </w:rPr>
      </w:pPr>
      <w:bookmarkStart w:id="207" w:name="_Toc17492"/>
      <w:bookmarkStart w:id="208" w:name="_Toc162708826"/>
      <w:r>
        <w:rPr>
          <w:rFonts w:hint="default" w:ascii="Times New Roman" w:hAnsi="Times New Roman" w:cs="Times New Roman"/>
          <w:color w:val="auto"/>
        </w:rPr>
        <w:t>监督、评价与改进</w:t>
      </w:r>
      <w:bookmarkEnd w:id="207"/>
      <w:bookmarkEnd w:id="208"/>
    </w:p>
    <w:p w14:paraId="68EDF93E">
      <w:pPr>
        <w:pStyle w:val="69"/>
        <w:numPr>
          <w:ilvl w:val="0"/>
          <w:numId w:val="0"/>
        </w:numPr>
        <w:adjustRightInd w:val="0"/>
        <w:snapToGrid w:val="0"/>
        <w:spacing w:before="157" w:afterLines="0" w:line="240" w:lineRule="auto"/>
        <w:outlineLvl w:val="1"/>
        <w:rPr>
          <w:rFonts w:hint="default" w:ascii="Times New Roman" w:hAnsi="Times New Roman" w:cs="Times New Roman"/>
          <w:b/>
          <w:bCs/>
          <w:color w:val="auto"/>
        </w:rPr>
      </w:pPr>
      <w:bookmarkStart w:id="209" w:name="_Toc162708827"/>
      <w:bookmarkStart w:id="210" w:name="_Toc11325"/>
      <w:r>
        <w:rPr>
          <w:rFonts w:hint="default" w:ascii="Times New Roman" w:hAnsi="Times New Roman" w:cs="Times New Roman"/>
          <w:b/>
          <w:bCs/>
          <w:color w:val="auto"/>
        </w:rPr>
        <w:t>10.1 监督</w:t>
      </w:r>
      <w:bookmarkEnd w:id="209"/>
      <w:bookmarkEnd w:id="210"/>
    </w:p>
    <w:p w14:paraId="240E18D5">
      <w:pPr>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应成立由学校教师代表、学生代表、学生家长及具有资质的第三方机构组成的食品安全监督管理队伍，定期开展对供餐单位的抽查与评议，及时反馈食品安全问题。委托具备资质的第三方机构协助学校进行食品安全隐患排查，帮助消除食品安全风险。</w:t>
      </w:r>
      <w:bookmarkStart w:id="211" w:name="_Toc162708828"/>
    </w:p>
    <w:p w14:paraId="561B09A6">
      <w:pPr>
        <w:pStyle w:val="69"/>
        <w:numPr>
          <w:ilvl w:val="1"/>
          <w:numId w:val="0"/>
        </w:numPr>
        <w:adjustRightInd w:val="0"/>
        <w:snapToGrid w:val="0"/>
        <w:spacing w:before="157" w:afterLines="0" w:line="240" w:lineRule="auto"/>
        <w:outlineLvl w:val="1"/>
        <w:rPr>
          <w:rFonts w:hint="default" w:ascii="Times New Roman" w:hAnsi="Times New Roman" w:cs="Times New Roman"/>
          <w:b/>
          <w:bCs/>
          <w:color w:val="auto"/>
        </w:rPr>
      </w:pPr>
      <w:bookmarkStart w:id="212" w:name="_Toc16360"/>
      <w:r>
        <w:rPr>
          <w:rFonts w:hint="default" w:ascii="Times New Roman" w:hAnsi="Times New Roman" w:cs="Times New Roman"/>
          <w:b/>
          <w:bCs/>
          <w:color w:val="auto"/>
        </w:rPr>
        <w:t>10.2 评价</w:t>
      </w:r>
      <w:bookmarkEnd w:id="211"/>
      <w:bookmarkEnd w:id="212"/>
    </w:p>
    <w:p w14:paraId="1B9693FE">
      <w:pPr>
        <w:pStyle w:val="69"/>
        <w:numPr>
          <w:ilvl w:val="1"/>
          <w:numId w:val="0"/>
        </w:numPr>
        <w:adjustRightInd w:val="0"/>
        <w:snapToGrid w:val="0"/>
        <w:spacing w:before="157" w:afterLines="0" w:line="240" w:lineRule="auto"/>
        <w:ind w:firstLine="420" w:firstLineChars="200"/>
        <w:outlineLvl w:val="9"/>
        <w:rPr>
          <w:rFonts w:hint="default" w:ascii="Times New Roman" w:hAnsi="Times New Roman" w:cs="Times New Roman"/>
          <w:b/>
          <w:bCs/>
          <w:color w:val="auto"/>
        </w:rPr>
      </w:pPr>
      <w:r>
        <w:rPr>
          <w:rFonts w:hint="default" w:ascii="Times New Roman" w:hAnsi="Times New Roman" w:eastAsia="宋体" w:cs="Times New Roman"/>
          <w:color w:val="auto"/>
          <w:kern w:val="2"/>
          <w:sz w:val="21"/>
          <w:szCs w:val="24"/>
          <w:lang w:val="en-US" w:eastAsia="zh-CN" w:bidi="ar-SA"/>
        </w:rPr>
        <w:t>供餐单位应建立食品安全自评机制，每学期进行一次食品安全工作自查与评价。自评工作应重点检查食品安全管理制度的落实情况，及时发现并改进潜在问题。</w:t>
      </w:r>
      <w:bookmarkStart w:id="213" w:name="_Toc162708829"/>
    </w:p>
    <w:p w14:paraId="483E9A14">
      <w:pPr>
        <w:pStyle w:val="69"/>
        <w:numPr>
          <w:ilvl w:val="1"/>
          <w:numId w:val="0"/>
        </w:numPr>
        <w:adjustRightInd w:val="0"/>
        <w:snapToGrid w:val="0"/>
        <w:spacing w:before="157" w:afterLines="0" w:line="240" w:lineRule="auto"/>
        <w:outlineLvl w:val="1"/>
        <w:rPr>
          <w:rFonts w:hint="default" w:ascii="Times New Roman" w:hAnsi="Times New Roman" w:cs="Times New Roman"/>
          <w:b/>
          <w:bCs/>
          <w:color w:val="auto"/>
        </w:rPr>
      </w:pPr>
      <w:bookmarkStart w:id="214" w:name="_Toc18402"/>
      <w:r>
        <w:rPr>
          <w:rFonts w:hint="default" w:ascii="Times New Roman" w:hAnsi="Times New Roman" w:cs="Times New Roman"/>
          <w:b/>
          <w:bCs/>
          <w:color w:val="auto"/>
        </w:rPr>
        <w:t>10.3 改进</w:t>
      </w:r>
      <w:bookmarkEnd w:id="213"/>
      <w:bookmarkEnd w:id="214"/>
    </w:p>
    <w:p w14:paraId="46483105">
      <w:pPr>
        <w:pStyle w:val="24"/>
        <w:kinsoku/>
        <w:wordWrap/>
        <w:overflowPunct/>
        <w:topLinePunct w:val="0"/>
        <w:bidi w:val="0"/>
        <w:adjustRightInd w:val="0"/>
        <w:snapToGrid w:val="0"/>
        <w:spacing w:before="157" w:beforeLines="50" w:line="240" w:lineRule="auto"/>
        <w:ind w:firstLine="0" w:firstLineChars="0"/>
        <w:textAlignment w:val="auto"/>
        <w:outlineLvl w:val="2"/>
        <w:rPr>
          <w:rFonts w:hint="default" w:ascii="Times New Roman" w:hAnsi="Times New Roman" w:cs="Times New Roman"/>
          <w:color w:val="auto"/>
        </w:rPr>
      </w:pPr>
      <w:bookmarkStart w:id="215" w:name="_Toc14199"/>
      <w:r>
        <w:rPr>
          <w:rFonts w:hint="default" w:ascii="Times New Roman" w:hAnsi="Times New Roman" w:cs="Times New Roman"/>
          <w:color w:val="auto"/>
        </w:rPr>
        <w:t>10.3.1 问题改进与整改</w:t>
      </w:r>
      <w:bookmarkEnd w:id="215"/>
    </w:p>
    <w:p w14:paraId="03A7C3BB">
      <w:pPr>
        <w:pStyle w:val="24"/>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rPr>
      </w:pPr>
      <w:r>
        <w:rPr>
          <w:rFonts w:hint="default" w:ascii="Times New Roman" w:hAnsi="Times New Roman" w:cs="Times New Roman"/>
          <w:color w:val="auto"/>
        </w:rPr>
        <w:t>对食品安全监督管理队伍发现的安全隐患，供餐单位应按照“发现隐患、评估风险、落实整改、反馈结果”的闭环流程进行整改，并确保所有问题得到彻底处理。</w:t>
      </w:r>
    </w:p>
    <w:p w14:paraId="4F664870">
      <w:pPr>
        <w:pStyle w:val="24"/>
        <w:kinsoku/>
        <w:wordWrap/>
        <w:overflowPunct/>
        <w:topLinePunct w:val="0"/>
        <w:bidi w:val="0"/>
        <w:adjustRightInd w:val="0"/>
        <w:snapToGrid w:val="0"/>
        <w:spacing w:before="157" w:beforeLines="50" w:line="240" w:lineRule="auto"/>
        <w:ind w:firstLine="0" w:firstLineChars="0"/>
        <w:textAlignment w:val="auto"/>
        <w:outlineLvl w:val="2"/>
        <w:rPr>
          <w:rFonts w:hint="default" w:ascii="Times New Roman" w:hAnsi="Times New Roman" w:cs="Times New Roman"/>
          <w:color w:val="auto"/>
        </w:rPr>
      </w:pPr>
      <w:bookmarkStart w:id="216" w:name="_Toc8412"/>
      <w:r>
        <w:rPr>
          <w:rFonts w:hint="default" w:ascii="Times New Roman" w:hAnsi="Times New Roman" w:cs="Times New Roman"/>
          <w:color w:val="auto"/>
        </w:rPr>
        <w:t>10.3.2 整改记录</w:t>
      </w:r>
      <w:bookmarkEnd w:id="216"/>
    </w:p>
    <w:p w14:paraId="6175C424">
      <w:pPr>
        <w:pStyle w:val="24"/>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rPr>
      </w:pPr>
      <w:r>
        <w:rPr>
          <w:rFonts w:hint="default" w:ascii="Times New Roman" w:hAnsi="Times New Roman" w:cs="Times New Roman"/>
          <w:color w:val="auto"/>
        </w:rPr>
        <w:t>应建立问题整改记录台账，对所有整改行为进行详细记录，并通过照片或视频等方式进行前后对比。同时，应对同类问题进行总结与分析，以防止重复发生。</w:t>
      </w:r>
    </w:p>
    <w:p w14:paraId="10060A60">
      <w:pPr>
        <w:pStyle w:val="24"/>
        <w:kinsoku/>
        <w:wordWrap/>
        <w:overflowPunct/>
        <w:topLinePunct w:val="0"/>
        <w:bidi w:val="0"/>
        <w:adjustRightInd w:val="0"/>
        <w:snapToGrid w:val="0"/>
        <w:spacing w:before="157" w:beforeLines="50" w:line="240" w:lineRule="auto"/>
        <w:ind w:firstLine="0" w:firstLineChars="0"/>
        <w:textAlignment w:val="auto"/>
        <w:outlineLvl w:val="2"/>
        <w:rPr>
          <w:rFonts w:hint="default" w:ascii="Times New Roman" w:hAnsi="Times New Roman" w:cs="Times New Roman"/>
          <w:color w:val="auto"/>
        </w:rPr>
      </w:pPr>
      <w:bookmarkStart w:id="217" w:name="_Toc4143"/>
      <w:r>
        <w:rPr>
          <w:rFonts w:hint="default" w:ascii="Times New Roman" w:hAnsi="Times New Roman" w:cs="Times New Roman"/>
          <w:color w:val="auto"/>
        </w:rPr>
        <w:t>10.3.3 整改不到位的责任追究</w:t>
      </w:r>
      <w:bookmarkEnd w:id="217"/>
    </w:p>
    <w:p w14:paraId="13A2508A">
      <w:pPr>
        <w:pStyle w:val="24"/>
        <w:kinsoku/>
        <w:wordWrap/>
        <w:overflowPunct/>
        <w:topLinePunct w:val="0"/>
        <w:bidi w:val="0"/>
        <w:adjustRightInd w:val="0"/>
        <w:snapToGrid w:val="0"/>
        <w:spacing w:before="157" w:beforeLines="50" w:line="240" w:lineRule="auto"/>
        <w:ind w:firstLine="420" w:firstLineChars="200"/>
        <w:textAlignment w:val="auto"/>
        <w:rPr>
          <w:rFonts w:hint="default" w:ascii="Times New Roman" w:hAnsi="Times New Roman" w:cs="Times New Roman"/>
          <w:color w:val="auto"/>
        </w:rPr>
      </w:pPr>
      <w:r>
        <w:rPr>
          <w:rFonts w:hint="default" w:ascii="Times New Roman" w:hAnsi="Times New Roman" w:cs="Times New Roman"/>
          <w:color w:val="auto"/>
        </w:rPr>
        <w:t>对于整改不到位或整改后问题反复出现的情况，学校应依托食品安全监督管理队伍落实责任追究措施，必要时进行诫勉和惩戒，确保责任落实到位，</w:t>
      </w:r>
      <w:r>
        <w:rPr>
          <w:rFonts w:hint="eastAsia" w:ascii="Times New Roman" w:hAnsi="Times New Roman" w:cs="Times New Roman"/>
          <w:color w:val="auto"/>
          <w:lang w:eastAsia="zh-CN"/>
        </w:rPr>
        <w:t>对问题严重，屡教不改的供餐单位立即终止合同，</w:t>
      </w:r>
      <w:r>
        <w:rPr>
          <w:rFonts w:hint="default" w:ascii="Times New Roman" w:hAnsi="Times New Roman" w:cs="Times New Roman"/>
          <w:color w:val="auto"/>
        </w:rPr>
        <w:t>维护食品安全管理的严肃性。</w:t>
      </w:r>
    </w:p>
    <w:sectPr>
      <w:headerReference r:id="rId6" w:type="default"/>
      <w:footerReference r:id="rId7" w:type="default"/>
      <w:pgSz w:w="11906" w:h="16838"/>
      <w:pgMar w:top="567" w:right="1134" w:bottom="1134" w:left="1418" w:header="1418" w:footer="1134" w:gutter="0"/>
      <w:pgNumType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MS Mincho">
    <w:altName w:val="MS UI Gothic"/>
    <w:panose1 w:val="02020609040205080304"/>
    <w:charset w:val="80"/>
    <w:family w:val="modern"/>
    <w:pitch w:val="default"/>
    <w:sig w:usb0="E00002FF" w:usb1="6AC7FDFB" w:usb2="00000012" w:usb3="00000000" w:csb0="4002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5CF34">
    <w:pPr>
      <w:pStyle w:val="123"/>
    </w:pPr>
    <w:r>
      <w:fldChar w:fldCharType="begin"/>
    </w:r>
    <w:r>
      <w:instrText xml:space="preserve"> PAGE  \* MERGEFORMAT </w:instrText>
    </w:r>
    <w:r>
      <w:fldChar w:fldCharType="separate"/>
    </w:r>
    <w:r>
      <w:t>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BB760">
    <w:pPr>
      <w:pStyle w:val="123"/>
    </w:pPr>
    <w:r>
      <w:fldChar w:fldCharType="begin"/>
    </w:r>
    <w:r>
      <w:instrText xml:space="preserve"> PAGE  \* MERGEFORMAT </w:instrText>
    </w:r>
    <w:r>
      <w:fldChar w:fldCharType="separate"/>
    </w:r>
    <w: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73E8D">
    <w:pPr>
      <w:pStyle w:val="123"/>
    </w:pPr>
    <w:r>
      <w:fldChar w:fldCharType="begin"/>
    </w:r>
    <w:r>
      <w:instrText xml:space="preserve"> PAGE  \* MERGEFORMAT </w:instrText>
    </w:r>
    <w:r>
      <w:fldChar w:fldCharType="separate"/>
    </w:r>
    <w: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68B32">
    <w:pPr>
      <w:pStyle w:val="105"/>
      <w:rPr>
        <w:rFonts w:hAnsi="黑体"/>
      </w:rPr>
    </w:pPr>
    <w:r>
      <w:rPr>
        <w:rFonts w:hAnsi="黑体"/>
      </w:rPr>
      <w:t>DB34/</w:t>
    </w:r>
    <w:r>
      <w:rPr>
        <w:rFonts w:hint="eastAsia" w:hAnsi="黑体"/>
      </w:rPr>
      <w:t>T</w:t>
    </w:r>
    <w:r>
      <w:rPr>
        <w:rFonts w:hAnsi="黑体"/>
      </w:rPr>
      <w:t xml:space="preserve"> XXXX—</w:t>
    </w:r>
    <w:r>
      <w:rPr>
        <w:rFonts w:hint="eastAsia" w:hAnsi="黑体"/>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EE964">
    <w:pPr>
      <w:pStyle w:val="105"/>
    </w:pPr>
    <w:r>
      <w:t>DB</w:t>
    </w:r>
    <w:r>
      <w:rPr>
        <w:rFonts w:hint="eastAsia"/>
      </w:rPr>
      <w:t>34</w:t>
    </w:r>
    <w:r>
      <w:t>/</w:t>
    </w:r>
    <w:r>
      <w:rPr>
        <w:rFonts w:hint="eastAsia"/>
      </w:rPr>
      <w:t>T</w:t>
    </w:r>
    <w:r>
      <w:t xml:space="preserve">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BF583A"/>
    <w:multiLevelType w:val="multilevel"/>
    <w:tmpl w:val="1DBF583A"/>
    <w:lvl w:ilvl="0" w:tentative="0">
      <w:start w:val="1"/>
      <w:numFmt w:val="decimal"/>
      <w:pStyle w:val="140"/>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
    <w:nsid w:val="1FC91163"/>
    <w:multiLevelType w:val="multilevel"/>
    <w:tmpl w:val="1FC91163"/>
    <w:lvl w:ilvl="0" w:tentative="0">
      <w:start w:val="1"/>
      <w:numFmt w:val="decimal"/>
      <w:pStyle w:val="83"/>
      <w:suff w:val="nothing"/>
      <w:lvlText w:val="%1　"/>
      <w:lvlJc w:val="left"/>
      <w:pPr>
        <w:ind w:left="0" w:firstLine="0"/>
      </w:pPr>
      <w:rPr>
        <w:rFonts w:hint="default" w:ascii="Times New Roman" w:hAnsi="Times New Roman" w:eastAsia="黑体" w:cs="Times New Roman"/>
        <w:b/>
        <w:bCs/>
        <w:i w:val="0"/>
        <w:sz w:val="21"/>
        <w:szCs w:val="21"/>
      </w:rPr>
    </w:lvl>
    <w:lvl w:ilvl="1" w:tentative="0">
      <w:start w:val="1"/>
      <w:numFmt w:val="decimal"/>
      <w:pStyle w:val="69"/>
      <w:suff w:val="nothing"/>
      <w:lvlText w:val="%1.%2　"/>
      <w:lvlJc w:val="left"/>
      <w:pPr>
        <w:ind w:left="0" w:firstLine="0"/>
      </w:pPr>
      <w:rPr>
        <w:rFonts w:hint="default" w:ascii="Times New Roman"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68"/>
      <w:suff w:val="nothing"/>
      <w:lvlText w:val="%1.%2.%3　"/>
      <w:lvlJc w:val="left"/>
      <w:pPr>
        <w:ind w:left="0" w:firstLine="0"/>
      </w:pPr>
      <w:rPr>
        <w:rFonts w:hint="eastAsia" w:ascii="黑体" w:hAnsi="Times New Roman" w:eastAsia="黑体"/>
        <w:b w:val="0"/>
        <w:i w:val="0"/>
        <w:sz w:val="21"/>
      </w:rPr>
    </w:lvl>
    <w:lvl w:ilvl="3" w:tentative="0">
      <w:start w:val="1"/>
      <w:numFmt w:val="decimal"/>
      <w:pStyle w:val="80"/>
      <w:suff w:val="nothing"/>
      <w:lvlText w:val="%1.%2.%3.%4　"/>
      <w:lvlJc w:val="left"/>
      <w:pPr>
        <w:ind w:left="141" w:firstLine="0"/>
      </w:pPr>
      <w:rPr>
        <w:rFonts w:hint="eastAsia" w:ascii="黑体" w:hAnsi="Times New Roman" w:eastAsia="黑体"/>
        <w:b w:val="0"/>
        <w:i w:val="0"/>
        <w:sz w:val="21"/>
      </w:rPr>
    </w:lvl>
    <w:lvl w:ilvl="4" w:tentative="0">
      <w:start w:val="1"/>
      <w:numFmt w:val="decimal"/>
      <w:pStyle w:val="87"/>
      <w:suff w:val="nothing"/>
      <w:lvlText w:val="%1.%2.%3.%4.%5　"/>
      <w:lvlJc w:val="left"/>
      <w:pPr>
        <w:ind w:left="0" w:firstLine="0"/>
      </w:pPr>
      <w:rPr>
        <w:rFonts w:hint="eastAsia" w:ascii="黑体" w:hAnsi="Times New Roman" w:eastAsia="黑体"/>
        <w:b w:val="0"/>
        <w:i w:val="0"/>
        <w:sz w:val="21"/>
      </w:rPr>
    </w:lvl>
    <w:lvl w:ilvl="5" w:tentative="0">
      <w:start w:val="1"/>
      <w:numFmt w:val="decimal"/>
      <w:pStyle w:val="11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A8F7113"/>
    <w:multiLevelType w:val="multilevel"/>
    <w:tmpl w:val="2A8F7113"/>
    <w:lvl w:ilvl="0" w:tentative="0">
      <w:start w:val="1"/>
      <w:numFmt w:val="upperLetter"/>
      <w:pStyle w:val="110"/>
      <w:suff w:val="space"/>
      <w:lvlText w:val="%1"/>
      <w:lvlJc w:val="left"/>
      <w:pPr>
        <w:ind w:left="623" w:hanging="425"/>
      </w:pPr>
      <w:rPr>
        <w:rFonts w:hint="eastAsia"/>
      </w:rPr>
    </w:lvl>
    <w:lvl w:ilvl="1" w:tentative="0">
      <w:start w:val="1"/>
      <w:numFmt w:val="decimal"/>
      <w:pStyle w:val="94"/>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3">
    <w:nsid w:val="2C5917C3"/>
    <w:multiLevelType w:val="multilevel"/>
    <w:tmpl w:val="2C5917C3"/>
    <w:lvl w:ilvl="0" w:tentative="0">
      <w:start w:val="1"/>
      <w:numFmt w:val="none"/>
      <w:pStyle w:val="62"/>
      <w:suff w:val="nothing"/>
      <w:lvlText w:val="%1——"/>
      <w:lvlJc w:val="left"/>
      <w:pPr>
        <w:ind w:left="833" w:hanging="408"/>
      </w:pPr>
      <w:rPr>
        <w:rFonts w:hint="eastAsia"/>
      </w:rPr>
    </w:lvl>
    <w:lvl w:ilvl="1" w:tentative="0">
      <w:start w:val="1"/>
      <w:numFmt w:val="bullet"/>
      <w:pStyle w:val="136"/>
      <w:lvlText w:val=""/>
      <w:lvlJc w:val="left"/>
      <w:pPr>
        <w:tabs>
          <w:tab w:val="left" w:pos="760"/>
        </w:tabs>
        <w:ind w:left="1264" w:hanging="413"/>
      </w:pPr>
      <w:rPr>
        <w:rFonts w:hint="default" w:ascii="Symbol" w:hAnsi="Symbol"/>
        <w:color w:val="auto"/>
      </w:rPr>
    </w:lvl>
    <w:lvl w:ilvl="2" w:tentative="0">
      <w:start w:val="1"/>
      <w:numFmt w:val="bullet"/>
      <w:pStyle w:val="98"/>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4">
    <w:nsid w:val="3D733618"/>
    <w:multiLevelType w:val="multilevel"/>
    <w:tmpl w:val="3D733618"/>
    <w:lvl w:ilvl="0" w:tentative="0">
      <w:start w:val="1"/>
      <w:numFmt w:val="decimal"/>
      <w:pStyle w:val="2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5">
    <w:nsid w:val="44C50F90"/>
    <w:multiLevelType w:val="multilevel"/>
    <w:tmpl w:val="44C50F90"/>
    <w:lvl w:ilvl="0" w:tentative="0">
      <w:start w:val="1"/>
      <w:numFmt w:val="lowerLetter"/>
      <w:pStyle w:val="101"/>
      <w:lvlText w:val="%1)"/>
      <w:lvlJc w:val="left"/>
      <w:pPr>
        <w:tabs>
          <w:tab w:val="left" w:pos="840"/>
        </w:tabs>
        <w:ind w:left="839" w:hanging="419"/>
      </w:pPr>
      <w:rPr>
        <w:rFonts w:hint="eastAsia" w:ascii="宋体" w:eastAsia="宋体"/>
        <w:b w:val="0"/>
        <w:i w:val="0"/>
        <w:sz w:val="21"/>
        <w:szCs w:val="21"/>
      </w:rPr>
    </w:lvl>
    <w:lvl w:ilvl="1" w:tentative="0">
      <w:start w:val="1"/>
      <w:numFmt w:val="decimal"/>
      <w:pStyle w:val="97"/>
      <w:lvlText w:val="%2)"/>
      <w:lvlJc w:val="left"/>
      <w:pPr>
        <w:tabs>
          <w:tab w:val="left" w:pos="1260"/>
        </w:tabs>
        <w:ind w:left="1259" w:hanging="419"/>
      </w:pPr>
      <w:rPr>
        <w:rFonts w:hint="eastAsia"/>
      </w:rPr>
    </w:lvl>
    <w:lvl w:ilvl="2" w:tentative="0">
      <w:start w:val="1"/>
      <w:numFmt w:val="decimal"/>
      <w:pStyle w:val="118"/>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60B55DC2"/>
    <w:multiLevelType w:val="multilevel"/>
    <w:tmpl w:val="60B55DC2"/>
    <w:lvl w:ilvl="0" w:tentative="0">
      <w:start w:val="1"/>
      <w:numFmt w:val="upperLetter"/>
      <w:pStyle w:val="81"/>
      <w:lvlText w:val="%1"/>
      <w:lvlJc w:val="left"/>
      <w:pPr>
        <w:tabs>
          <w:tab w:val="left" w:pos="0"/>
        </w:tabs>
        <w:ind w:left="0" w:hanging="425"/>
      </w:pPr>
      <w:rPr>
        <w:rFonts w:hint="eastAsia"/>
      </w:rPr>
    </w:lvl>
    <w:lvl w:ilvl="1" w:tentative="0">
      <w:start w:val="1"/>
      <w:numFmt w:val="decimal"/>
      <w:pStyle w:val="61"/>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7">
    <w:nsid w:val="657D3FBC"/>
    <w:multiLevelType w:val="multilevel"/>
    <w:tmpl w:val="657D3FBC"/>
    <w:lvl w:ilvl="0" w:tentative="0">
      <w:start w:val="1"/>
      <w:numFmt w:val="upperLetter"/>
      <w:pStyle w:val="88"/>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6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64"/>
      <w:suff w:val="nothing"/>
      <w:lvlText w:val="%1.%2.%3　"/>
      <w:lvlJc w:val="left"/>
      <w:pPr>
        <w:ind w:left="0" w:firstLine="0"/>
      </w:pPr>
      <w:rPr>
        <w:rFonts w:hint="eastAsia" w:ascii="黑体" w:hAnsi="Times New Roman" w:eastAsia="黑体"/>
        <w:b w:val="0"/>
        <w:i w:val="0"/>
        <w:sz w:val="21"/>
      </w:rPr>
    </w:lvl>
    <w:lvl w:ilvl="3" w:tentative="0">
      <w:start w:val="1"/>
      <w:numFmt w:val="decimal"/>
      <w:pStyle w:val="72"/>
      <w:suff w:val="nothing"/>
      <w:lvlText w:val="%1.%2.%3.%4　"/>
      <w:lvlJc w:val="left"/>
      <w:pPr>
        <w:ind w:left="0" w:firstLine="0"/>
      </w:pPr>
      <w:rPr>
        <w:rFonts w:hint="eastAsia" w:ascii="黑体" w:hAnsi="Times New Roman" w:eastAsia="黑体"/>
        <w:b w:val="0"/>
        <w:i w:val="0"/>
        <w:sz w:val="21"/>
      </w:rPr>
    </w:lvl>
    <w:lvl w:ilvl="4" w:tentative="0">
      <w:start w:val="1"/>
      <w:numFmt w:val="decimal"/>
      <w:pStyle w:val="75"/>
      <w:suff w:val="nothing"/>
      <w:lvlText w:val="%1.%2.%3.%4.%5　"/>
      <w:lvlJc w:val="left"/>
      <w:pPr>
        <w:ind w:left="0" w:firstLine="0"/>
      </w:pPr>
      <w:rPr>
        <w:rFonts w:hint="eastAsia" w:ascii="黑体" w:hAnsi="Times New Roman" w:eastAsia="黑体"/>
        <w:b w:val="0"/>
        <w:i w:val="0"/>
        <w:sz w:val="21"/>
      </w:rPr>
    </w:lvl>
    <w:lvl w:ilvl="5" w:tentative="0">
      <w:start w:val="1"/>
      <w:numFmt w:val="decimal"/>
      <w:pStyle w:val="96"/>
      <w:suff w:val="nothing"/>
      <w:lvlText w:val="%1.%2.%3.%4.%5.%6　"/>
      <w:lvlJc w:val="left"/>
      <w:pPr>
        <w:ind w:left="0" w:firstLine="0"/>
      </w:pPr>
      <w:rPr>
        <w:rFonts w:hint="eastAsia" w:ascii="黑体" w:hAnsi="Times New Roman" w:eastAsia="黑体"/>
        <w:b w:val="0"/>
        <w:i w:val="0"/>
        <w:sz w:val="21"/>
      </w:rPr>
    </w:lvl>
    <w:lvl w:ilvl="6" w:tentative="0">
      <w:start w:val="1"/>
      <w:numFmt w:val="decimal"/>
      <w:pStyle w:val="10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D6C07CD"/>
    <w:multiLevelType w:val="multilevel"/>
    <w:tmpl w:val="6D6C07CD"/>
    <w:lvl w:ilvl="0" w:tentative="0">
      <w:start w:val="1"/>
      <w:numFmt w:val="lowerLetter"/>
      <w:pStyle w:val="54"/>
      <w:lvlText w:val="%1)"/>
      <w:lvlJc w:val="left"/>
      <w:pPr>
        <w:tabs>
          <w:tab w:val="left" w:pos="839"/>
        </w:tabs>
        <w:ind w:left="839" w:hanging="419"/>
      </w:pPr>
      <w:rPr>
        <w:rFonts w:hint="eastAsia" w:ascii="宋体" w:eastAsia="宋体"/>
        <w:b w:val="0"/>
        <w:i w:val="0"/>
        <w:sz w:val="21"/>
      </w:rPr>
    </w:lvl>
    <w:lvl w:ilvl="1" w:tentative="0">
      <w:start w:val="1"/>
      <w:numFmt w:val="decimal"/>
      <w:pStyle w:val="92"/>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4"/>
  </w:num>
  <w:num w:numId="2">
    <w:abstractNumId w:val="8"/>
  </w:num>
  <w:num w:numId="3">
    <w:abstractNumId w:val="6"/>
  </w:num>
  <w:num w:numId="4">
    <w:abstractNumId w:val="3"/>
  </w:num>
  <w:num w:numId="5">
    <w:abstractNumId w:val="7"/>
  </w:num>
  <w:num w:numId="6">
    <w:abstractNumId w:val="1"/>
  </w:num>
  <w:num w:numId="7">
    <w:abstractNumId w:val="2"/>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0"/>
  <w:bordersDoNotSurroundFooter w:val="0"/>
  <w:attachedTemplate r:id="rId1"/>
  <w:documentProtection w:edit="forms"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0ODBhYWQ2Y2I5NGFhZDQwMTBkZDY3MmUwODA4ZWYifQ=="/>
  </w:docVars>
  <w:rsids>
    <w:rsidRoot w:val="006858CC"/>
    <w:rsid w:val="00000244"/>
    <w:rsid w:val="0000185F"/>
    <w:rsid w:val="0000586F"/>
    <w:rsid w:val="00013D86"/>
    <w:rsid w:val="00013E02"/>
    <w:rsid w:val="0002143C"/>
    <w:rsid w:val="00023DC0"/>
    <w:rsid w:val="00025A65"/>
    <w:rsid w:val="00026C31"/>
    <w:rsid w:val="00027280"/>
    <w:rsid w:val="000320A7"/>
    <w:rsid w:val="00035925"/>
    <w:rsid w:val="00041241"/>
    <w:rsid w:val="00067CDF"/>
    <w:rsid w:val="00074FBE"/>
    <w:rsid w:val="00083A09"/>
    <w:rsid w:val="0009005E"/>
    <w:rsid w:val="00092857"/>
    <w:rsid w:val="000A20A9"/>
    <w:rsid w:val="000A48B1"/>
    <w:rsid w:val="000B3143"/>
    <w:rsid w:val="000C6B05"/>
    <w:rsid w:val="000C6DD6"/>
    <w:rsid w:val="000C73D4"/>
    <w:rsid w:val="000D3D4C"/>
    <w:rsid w:val="000D4F51"/>
    <w:rsid w:val="000D718B"/>
    <w:rsid w:val="000D7912"/>
    <w:rsid w:val="000E0C46"/>
    <w:rsid w:val="000F030C"/>
    <w:rsid w:val="000F129C"/>
    <w:rsid w:val="001056DE"/>
    <w:rsid w:val="001124C0"/>
    <w:rsid w:val="00122FC6"/>
    <w:rsid w:val="00130E3F"/>
    <w:rsid w:val="0013175F"/>
    <w:rsid w:val="001512B4"/>
    <w:rsid w:val="001620A5"/>
    <w:rsid w:val="0016322B"/>
    <w:rsid w:val="00164E53"/>
    <w:rsid w:val="0016699D"/>
    <w:rsid w:val="00175159"/>
    <w:rsid w:val="00176208"/>
    <w:rsid w:val="0018211B"/>
    <w:rsid w:val="001840D3"/>
    <w:rsid w:val="00185394"/>
    <w:rsid w:val="001900F8"/>
    <w:rsid w:val="00191258"/>
    <w:rsid w:val="00192680"/>
    <w:rsid w:val="00193037"/>
    <w:rsid w:val="00193A2C"/>
    <w:rsid w:val="001A288E"/>
    <w:rsid w:val="001B6DC2"/>
    <w:rsid w:val="001C149C"/>
    <w:rsid w:val="001C21AC"/>
    <w:rsid w:val="001C47BA"/>
    <w:rsid w:val="001C59EA"/>
    <w:rsid w:val="001C6985"/>
    <w:rsid w:val="001D406C"/>
    <w:rsid w:val="001D41EE"/>
    <w:rsid w:val="001E0380"/>
    <w:rsid w:val="001E13B1"/>
    <w:rsid w:val="001F3A19"/>
    <w:rsid w:val="00234467"/>
    <w:rsid w:val="00237D8D"/>
    <w:rsid w:val="00241DA2"/>
    <w:rsid w:val="00247FEE"/>
    <w:rsid w:val="00250E7D"/>
    <w:rsid w:val="002565D5"/>
    <w:rsid w:val="002622C0"/>
    <w:rsid w:val="00274A7B"/>
    <w:rsid w:val="002778AE"/>
    <w:rsid w:val="0028269A"/>
    <w:rsid w:val="00283590"/>
    <w:rsid w:val="00286973"/>
    <w:rsid w:val="00294E70"/>
    <w:rsid w:val="002A0E5F"/>
    <w:rsid w:val="002A1924"/>
    <w:rsid w:val="002A7420"/>
    <w:rsid w:val="002B0F12"/>
    <w:rsid w:val="002B1308"/>
    <w:rsid w:val="002B4554"/>
    <w:rsid w:val="002C72D8"/>
    <w:rsid w:val="002D11FA"/>
    <w:rsid w:val="002E0DDF"/>
    <w:rsid w:val="002E2906"/>
    <w:rsid w:val="002E3497"/>
    <w:rsid w:val="002E5635"/>
    <w:rsid w:val="002E64C3"/>
    <w:rsid w:val="002E6A2C"/>
    <w:rsid w:val="002F1D8C"/>
    <w:rsid w:val="002F21DA"/>
    <w:rsid w:val="00301F39"/>
    <w:rsid w:val="00325926"/>
    <w:rsid w:val="003268C4"/>
    <w:rsid w:val="00327A8A"/>
    <w:rsid w:val="00336610"/>
    <w:rsid w:val="003369BE"/>
    <w:rsid w:val="00343F73"/>
    <w:rsid w:val="00345060"/>
    <w:rsid w:val="0035323B"/>
    <w:rsid w:val="003609D2"/>
    <w:rsid w:val="0036273E"/>
    <w:rsid w:val="00363F22"/>
    <w:rsid w:val="00375564"/>
    <w:rsid w:val="00383191"/>
    <w:rsid w:val="00385182"/>
    <w:rsid w:val="00386DED"/>
    <w:rsid w:val="003912E7"/>
    <w:rsid w:val="00393947"/>
    <w:rsid w:val="003A2275"/>
    <w:rsid w:val="003A6A4F"/>
    <w:rsid w:val="003A7088"/>
    <w:rsid w:val="003B00DF"/>
    <w:rsid w:val="003B1275"/>
    <w:rsid w:val="003B1778"/>
    <w:rsid w:val="003C11CB"/>
    <w:rsid w:val="003C75F3"/>
    <w:rsid w:val="003C78A3"/>
    <w:rsid w:val="003D6A26"/>
    <w:rsid w:val="003E1867"/>
    <w:rsid w:val="003E5729"/>
    <w:rsid w:val="003F4EE0"/>
    <w:rsid w:val="00402153"/>
    <w:rsid w:val="00402FC1"/>
    <w:rsid w:val="00425082"/>
    <w:rsid w:val="00431DEB"/>
    <w:rsid w:val="00446B29"/>
    <w:rsid w:val="00453F9A"/>
    <w:rsid w:val="00471E91"/>
    <w:rsid w:val="00474675"/>
    <w:rsid w:val="0047470C"/>
    <w:rsid w:val="004A35F9"/>
    <w:rsid w:val="004B24C1"/>
    <w:rsid w:val="004C292F"/>
    <w:rsid w:val="004C2C9F"/>
    <w:rsid w:val="00510280"/>
    <w:rsid w:val="00513D73"/>
    <w:rsid w:val="00514A43"/>
    <w:rsid w:val="005174E5"/>
    <w:rsid w:val="00522393"/>
    <w:rsid w:val="00522620"/>
    <w:rsid w:val="00525656"/>
    <w:rsid w:val="00534C02"/>
    <w:rsid w:val="0054264B"/>
    <w:rsid w:val="00543786"/>
    <w:rsid w:val="005533D7"/>
    <w:rsid w:val="005667CF"/>
    <w:rsid w:val="005703DE"/>
    <w:rsid w:val="0058464E"/>
    <w:rsid w:val="005A01CB"/>
    <w:rsid w:val="005A58FF"/>
    <w:rsid w:val="005A5EAF"/>
    <w:rsid w:val="005A64C0"/>
    <w:rsid w:val="005B3C11"/>
    <w:rsid w:val="005C1C28"/>
    <w:rsid w:val="005C6DB5"/>
    <w:rsid w:val="005E19E7"/>
    <w:rsid w:val="005E1BB2"/>
    <w:rsid w:val="00605DF7"/>
    <w:rsid w:val="00610681"/>
    <w:rsid w:val="0061716C"/>
    <w:rsid w:val="006243A1"/>
    <w:rsid w:val="00632E56"/>
    <w:rsid w:val="00635CBA"/>
    <w:rsid w:val="0064338B"/>
    <w:rsid w:val="00646542"/>
    <w:rsid w:val="006504F4"/>
    <w:rsid w:val="00654BC9"/>
    <w:rsid w:val="006552FD"/>
    <w:rsid w:val="00663AF3"/>
    <w:rsid w:val="00666B6C"/>
    <w:rsid w:val="00682682"/>
    <w:rsid w:val="00682702"/>
    <w:rsid w:val="006858CC"/>
    <w:rsid w:val="00690F87"/>
    <w:rsid w:val="00692368"/>
    <w:rsid w:val="006A2EBC"/>
    <w:rsid w:val="006A5EA0"/>
    <w:rsid w:val="006A783B"/>
    <w:rsid w:val="006A7B33"/>
    <w:rsid w:val="006B4E13"/>
    <w:rsid w:val="006B75DD"/>
    <w:rsid w:val="006C67E0"/>
    <w:rsid w:val="006C7ABA"/>
    <w:rsid w:val="006D0D60"/>
    <w:rsid w:val="006D1122"/>
    <w:rsid w:val="006D3C00"/>
    <w:rsid w:val="006E3675"/>
    <w:rsid w:val="006E4A7F"/>
    <w:rsid w:val="006F5C4D"/>
    <w:rsid w:val="00704DF6"/>
    <w:rsid w:val="0070651C"/>
    <w:rsid w:val="007132A3"/>
    <w:rsid w:val="00716421"/>
    <w:rsid w:val="00724EFB"/>
    <w:rsid w:val="007419C3"/>
    <w:rsid w:val="00741B7F"/>
    <w:rsid w:val="007467A7"/>
    <w:rsid w:val="007469DD"/>
    <w:rsid w:val="0074741B"/>
    <w:rsid w:val="0074759E"/>
    <w:rsid w:val="007478EA"/>
    <w:rsid w:val="0075415C"/>
    <w:rsid w:val="00763502"/>
    <w:rsid w:val="00777AE0"/>
    <w:rsid w:val="007913AB"/>
    <w:rsid w:val="007914F7"/>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073D9"/>
    <w:rsid w:val="00817A00"/>
    <w:rsid w:val="00835DB3"/>
    <w:rsid w:val="0083617B"/>
    <w:rsid w:val="008371BD"/>
    <w:rsid w:val="008504A8"/>
    <w:rsid w:val="0085282E"/>
    <w:rsid w:val="00870540"/>
    <w:rsid w:val="0087198C"/>
    <w:rsid w:val="00872C1F"/>
    <w:rsid w:val="00873B42"/>
    <w:rsid w:val="008856D8"/>
    <w:rsid w:val="00892E82"/>
    <w:rsid w:val="008B6926"/>
    <w:rsid w:val="008C1B58"/>
    <w:rsid w:val="008C39AE"/>
    <w:rsid w:val="008C590D"/>
    <w:rsid w:val="008D71F2"/>
    <w:rsid w:val="008E031B"/>
    <w:rsid w:val="008E7029"/>
    <w:rsid w:val="008E7EF6"/>
    <w:rsid w:val="008F1F98"/>
    <w:rsid w:val="008F6758"/>
    <w:rsid w:val="009040DD"/>
    <w:rsid w:val="00905B47"/>
    <w:rsid w:val="0091331C"/>
    <w:rsid w:val="009279DE"/>
    <w:rsid w:val="0093011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A6371"/>
    <w:rsid w:val="009B2ADB"/>
    <w:rsid w:val="009B603A"/>
    <w:rsid w:val="009C2D0E"/>
    <w:rsid w:val="009C3DAC"/>
    <w:rsid w:val="009C42E0"/>
    <w:rsid w:val="009D5362"/>
    <w:rsid w:val="009E1415"/>
    <w:rsid w:val="009E6116"/>
    <w:rsid w:val="009E7FD0"/>
    <w:rsid w:val="00A02E43"/>
    <w:rsid w:val="00A065F9"/>
    <w:rsid w:val="00A07F34"/>
    <w:rsid w:val="00A22154"/>
    <w:rsid w:val="00A25C38"/>
    <w:rsid w:val="00A36BBE"/>
    <w:rsid w:val="00A4307A"/>
    <w:rsid w:val="00A43EAA"/>
    <w:rsid w:val="00A47EBB"/>
    <w:rsid w:val="00A51CDD"/>
    <w:rsid w:val="00A6730D"/>
    <w:rsid w:val="00A71625"/>
    <w:rsid w:val="00A71B9B"/>
    <w:rsid w:val="00A751C7"/>
    <w:rsid w:val="00A83B57"/>
    <w:rsid w:val="00A87844"/>
    <w:rsid w:val="00AA038C"/>
    <w:rsid w:val="00AA7A09"/>
    <w:rsid w:val="00AB3B50"/>
    <w:rsid w:val="00AC05B1"/>
    <w:rsid w:val="00AD356C"/>
    <w:rsid w:val="00AE2914"/>
    <w:rsid w:val="00AE6D15"/>
    <w:rsid w:val="00B04182"/>
    <w:rsid w:val="00B07AE3"/>
    <w:rsid w:val="00B11430"/>
    <w:rsid w:val="00B353EB"/>
    <w:rsid w:val="00B439C4"/>
    <w:rsid w:val="00B4535E"/>
    <w:rsid w:val="00B52A8C"/>
    <w:rsid w:val="00B636A8"/>
    <w:rsid w:val="00B665C6"/>
    <w:rsid w:val="00B805AF"/>
    <w:rsid w:val="00B869EC"/>
    <w:rsid w:val="00B9397A"/>
    <w:rsid w:val="00B9633D"/>
    <w:rsid w:val="00BA2EBE"/>
    <w:rsid w:val="00BA574C"/>
    <w:rsid w:val="00BB0F28"/>
    <w:rsid w:val="00BB458A"/>
    <w:rsid w:val="00BD00D3"/>
    <w:rsid w:val="00BD165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177A"/>
    <w:rsid w:val="00C34397"/>
    <w:rsid w:val="00C4095D"/>
    <w:rsid w:val="00C601D2"/>
    <w:rsid w:val="00C65BCC"/>
    <w:rsid w:val="00C66970"/>
    <w:rsid w:val="00C8691C"/>
    <w:rsid w:val="00CA168A"/>
    <w:rsid w:val="00CA357E"/>
    <w:rsid w:val="00CA44F9"/>
    <w:rsid w:val="00CA4A69"/>
    <w:rsid w:val="00CC3E0C"/>
    <w:rsid w:val="00CC58D3"/>
    <w:rsid w:val="00CC784D"/>
    <w:rsid w:val="00D02220"/>
    <w:rsid w:val="00D0337B"/>
    <w:rsid w:val="00D079B2"/>
    <w:rsid w:val="00D114E9"/>
    <w:rsid w:val="00D429C6"/>
    <w:rsid w:val="00D4599E"/>
    <w:rsid w:val="00D47748"/>
    <w:rsid w:val="00D54CC3"/>
    <w:rsid w:val="00D6041A"/>
    <w:rsid w:val="00D633EB"/>
    <w:rsid w:val="00D7521C"/>
    <w:rsid w:val="00D82FF7"/>
    <w:rsid w:val="00D847FE"/>
    <w:rsid w:val="00D964EA"/>
    <w:rsid w:val="00D966D0"/>
    <w:rsid w:val="00DA0C59"/>
    <w:rsid w:val="00DA3991"/>
    <w:rsid w:val="00DB7E6C"/>
    <w:rsid w:val="00DC18FC"/>
    <w:rsid w:val="00DD5A29"/>
    <w:rsid w:val="00DD5D9D"/>
    <w:rsid w:val="00DE35CB"/>
    <w:rsid w:val="00DE7F8C"/>
    <w:rsid w:val="00DF21E9"/>
    <w:rsid w:val="00E00F14"/>
    <w:rsid w:val="00E06386"/>
    <w:rsid w:val="00E24EB4"/>
    <w:rsid w:val="00E320ED"/>
    <w:rsid w:val="00E33AFB"/>
    <w:rsid w:val="00E34218"/>
    <w:rsid w:val="00E46282"/>
    <w:rsid w:val="00E5216E"/>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D04AF"/>
    <w:rsid w:val="00ED0A50"/>
    <w:rsid w:val="00EE2BED"/>
    <w:rsid w:val="00EE374B"/>
    <w:rsid w:val="00F11BB5"/>
    <w:rsid w:val="00F1417B"/>
    <w:rsid w:val="00F34B99"/>
    <w:rsid w:val="00F4266C"/>
    <w:rsid w:val="00F52DAB"/>
    <w:rsid w:val="00F543F0"/>
    <w:rsid w:val="00F56107"/>
    <w:rsid w:val="00F81D29"/>
    <w:rsid w:val="00F91C4D"/>
    <w:rsid w:val="00F92FD9"/>
    <w:rsid w:val="00F94DD8"/>
    <w:rsid w:val="00FA6684"/>
    <w:rsid w:val="00FA731E"/>
    <w:rsid w:val="00FB2B38"/>
    <w:rsid w:val="00FC6358"/>
    <w:rsid w:val="00FD320D"/>
    <w:rsid w:val="00FD3C75"/>
    <w:rsid w:val="00FE23DE"/>
    <w:rsid w:val="00FF3793"/>
    <w:rsid w:val="0125384C"/>
    <w:rsid w:val="013F5223"/>
    <w:rsid w:val="01407EF2"/>
    <w:rsid w:val="01C2715E"/>
    <w:rsid w:val="020748E5"/>
    <w:rsid w:val="02095A4E"/>
    <w:rsid w:val="020C0C59"/>
    <w:rsid w:val="022F7D41"/>
    <w:rsid w:val="023100FE"/>
    <w:rsid w:val="024A5721"/>
    <w:rsid w:val="02660327"/>
    <w:rsid w:val="02716E7F"/>
    <w:rsid w:val="036871C0"/>
    <w:rsid w:val="03731482"/>
    <w:rsid w:val="03992223"/>
    <w:rsid w:val="03A966E4"/>
    <w:rsid w:val="03B82B2E"/>
    <w:rsid w:val="059A749D"/>
    <w:rsid w:val="05B82689"/>
    <w:rsid w:val="05ED44BD"/>
    <w:rsid w:val="06013680"/>
    <w:rsid w:val="06A03666"/>
    <w:rsid w:val="06AF0B88"/>
    <w:rsid w:val="074309F6"/>
    <w:rsid w:val="07903AFA"/>
    <w:rsid w:val="07921669"/>
    <w:rsid w:val="07B55A44"/>
    <w:rsid w:val="085851EB"/>
    <w:rsid w:val="09173CDA"/>
    <w:rsid w:val="091B3BEC"/>
    <w:rsid w:val="09365915"/>
    <w:rsid w:val="09815240"/>
    <w:rsid w:val="09D919F0"/>
    <w:rsid w:val="0A3D4581"/>
    <w:rsid w:val="0ABD0C14"/>
    <w:rsid w:val="0ACF434F"/>
    <w:rsid w:val="0B792C38"/>
    <w:rsid w:val="0B982DAE"/>
    <w:rsid w:val="0BBF1663"/>
    <w:rsid w:val="0BE109B9"/>
    <w:rsid w:val="0BED1024"/>
    <w:rsid w:val="0C661056"/>
    <w:rsid w:val="0CC223BD"/>
    <w:rsid w:val="0CE12A42"/>
    <w:rsid w:val="0CFA3EDE"/>
    <w:rsid w:val="0D1903A6"/>
    <w:rsid w:val="0D1D6DCB"/>
    <w:rsid w:val="0D9F0B3E"/>
    <w:rsid w:val="0DA658BA"/>
    <w:rsid w:val="0DFB0AD9"/>
    <w:rsid w:val="0E6B7906"/>
    <w:rsid w:val="0EB12912"/>
    <w:rsid w:val="0EF8571F"/>
    <w:rsid w:val="0F7373C5"/>
    <w:rsid w:val="100B105C"/>
    <w:rsid w:val="10C05094"/>
    <w:rsid w:val="10FA4A54"/>
    <w:rsid w:val="116577BB"/>
    <w:rsid w:val="11694893"/>
    <w:rsid w:val="11B065AE"/>
    <w:rsid w:val="120B78A7"/>
    <w:rsid w:val="12675F0A"/>
    <w:rsid w:val="12935BDD"/>
    <w:rsid w:val="12EC3034"/>
    <w:rsid w:val="13125CD5"/>
    <w:rsid w:val="13254709"/>
    <w:rsid w:val="13593E95"/>
    <w:rsid w:val="13965F3E"/>
    <w:rsid w:val="13FC2040"/>
    <w:rsid w:val="144A1053"/>
    <w:rsid w:val="149C3F05"/>
    <w:rsid w:val="14E60EC2"/>
    <w:rsid w:val="159D030A"/>
    <w:rsid w:val="15C251DC"/>
    <w:rsid w:val="15CA09DC"/>
    <w:rsid w:val="16315B25"/>
    <w:rsid w:val="167172BE"/>
    <w:rsid w:val="16916D33"/>
    <w:rsid w:val="16FE44FE"/>
    <w:rsid w:val="176B229D"/>
    <w:rsid w:val="177644D0"/>
    <w:rsid w:val="177D4674"/>
    <w:rsid w:val="18627531"/>
    <w:rsid w:val="189C40C1"/>
    <w:rsid w:val="18DA7A2E"/>
    <w:rsid w:val="18ED3588"/>
    <w:rsid w:val="19137594"/>
    <w:rsid w:val="19282B95"/>
    <w:rsid w:val="19803A45"/>
    <w:rsid w:val="19CE64EF"/>
    <w:rsid w:val="1A6B4CC4"/>
    <w:rsid w:val="1A9928DF"/>
    <w:rsid w:val="1AB0451F"/>
    <w:rsid w:val="1AB94A87"/>
    <w:rsid w:val="1AFC1FB1"/>
    <w:rsid w:val="1B320AC6"/>
    <w:rsid w:val="1B810768"/>
    <w:rsid w:val="1BCE61F3"/>
    <w:rsid w:val="1C40430A"/>
    <w:rsid w:val="1C491EB4"/>
    <w:rsid w:val="1C6A5624"/>
    <w:rsid w:val="1CCF0ADA"/>
    <w:rsid w:val="1D3801CF"/>
    <w:rsid w:val="1D3B25D5"/>
    <w:rsid w:val="1D7666A7"/>
    <w:rsid w:val="1E205195"/>
    <w:rsid w:val="1E6C3C29"/>
    <w:rsid w:val="1EAC2B79"/>
    <w:rsid w:val="1EB06A75"/>
    <w:rsid w:val="1F35473C"/>
    <w:rsid w:val="1F391FF2"/>
    <w:rsid w:val="1F6D440A"/>
    <w:rsid w:val="1FED0CAD"/>
    <w:rsid w:val="2042706A"/>
    <w:rsid w:val="20462102"/>
    <w:rsid w:val="206E6BDD"/>
    <w:rsid w:val="20E75FA4"/>
    <w:rsid w:val="21AD1366"/>
    <w:rsid w:val="21E16361"/>
    <w:rsid w:val="223847F5"/>
    <w:rsid w:val="22654504"/>
    <w:rsid w:val="22A37D13"/>
    <w:rsid w:val="22E9506E"/>
    <w:rsid w:val="231456AB"/>
    <w:rsid w:val="23273FBA"/>
    <w:rsid w:val="2361418C"/>
    <w:rsid w:val="238D0719"/>
    <w:rsid w:val="23B408B5"/>
    <w:rsid w:val="24213A15"/>
    <w:rsid w:val="243E13A4"/>
    <w:rsid w:val="251A43E4"/>
    <w:rsid w:val="25291ACD"/>
    <w:rsid w:val="254638B9"/>
    <w:rsid w:val="25844A25"/>
    <w:rsid w:val="25CA54B5"/>
    <w:rsid w:val="26BD124D"/>
    <w:rsid w:val="26D84CAE"/>
    <w:rsid w:val="274E6E90"/>
    <w:rsid w:val="27D22829"/>
    <w:rsid w:val="28005317"/>
    <w:rsid w:val="28180C8B"/>
    <w:rsid w:val="283B44F1"/>
    <w:rsid w:val="29082162"/>
    <w:rsid w:val="291379E8"/>
    <w:rsid w:val="292A32F3"/>
    <w:rsid w:val="294525FC"/>
    <w:rsid w:val="296E7A51"/>
    <w:rsid w:val="29A053DC"/>
    <w:rsid w:val="2A2D713F"/>
    <w:rsid w:val="2A3452EE"/>
    <w:rsid w:val="2A76407E"/>
    <w:rsid w:val="2AFF1BB4"/>
    <w:rsid w:val="2BE21333"/>
    <w:rsid w:val="2C265789"/>
    <w:rsid w:val="2C817717"/>
    <w:rsid w:val="2CB66557"/>
    <w:rsid w:val="2CDF1F2B"/>
    <w:rsid w:val="2CE54C81"/>
    <w:rsid w:val="2D6431EC"/>
    <w:rsid w:val="2D67665C"/>
    <w:rsid w:val="2D6E5667"/>
    <w:rsid w:val="2DF05679"/>
    <w:rsid w:val="2EA6400F"/>
    <w:rsid w:val="2F401CD7"/>
    <w:rsid w:val="2F4819B3"/>
    <w:rsid w:val="2FAE0259"/>
    <w:rsid w:val="2FB02D10"/>
    <w:rsid w:val="300A35B0"/>
    <w:rsid w:val="30515682"/>
    <w:rsid w:val="30652E92"/>
    <w:rsid w:val="30DC59CF"/>
    <w:rsid w:val="31780013"/>
    <w:rsid w:val="3188499C"/>
    <w:rsid w:val="3192480E"/>
    <w:rsid w:val="32384016"/>
    <w:rsid w:val="3251492A"/>
    <w:rsid w:val="33E83C08"/>
    <w:rsid w:val="34390244"/>
    <w:rsid w:val="34593AE9"/>
    <w:rsid w:val="349E770E"/>
    <w:rsid w:val="34BD584A"/>
    <w:rsid w:val="36631B15"/>
    <w:rsid w:val="36A32816"/>
    <w:rsid w:val="372B32D1"/>
    <w:rsid w:val="37411790"/>
    <w:rsid w:val="3745692F"/>
    <w:rsid w:val="376161AB"/>
    <w:rsid w:val="37620175"/>
    <w:rsid w:val="380F07A6"/>
    <w:rsid w:val="383D5049"/>
    <w:rsid w:val="384A7BF6"/>
    <w:rsid w:val="388F6D48"/>
    <w:rsid w:val="38D40BFF"/>
    <w:rsid w:val="39266C33"/>
    <w:rsid w:val="3A501CCF"/>
    <w:rsid w:val="3B0E1CF0"/>
    <w:rsid w:val="3B732AC5"/>
    <w:rsid w:val="3B9A5159"/>
    <w:rsid w:val="3BA24FE4"/>
    <w:rsid w:val="3BD23A0A"/>
    <w:rsid w:val="3C261DCA"/>
    <w:rsid w:val="3C583269"/>
    <w:rsid w:val="3C8975B8"/>
    <w:rsid w:val="3D815877"/>
    <w:rsid w:val="3DAE5EC2"/>
    <w:rsid w:val="3DB1158B"/>
    <w:rsid w:val="3E4405D4"/>
    <w:rsid w:val="3E8D1F7B"/>
    <w:rsid w:val="3EAF5EF1"/>
    <w:rsid w:val="3F0E55CC"/>
    <w:rsid w:val="3F0F2130"/>
    <w:rsid w:val="3F1B3D39"/>
    <w:rsid w:val="3F2C3542"/>
    <w:rsid w:val="3F6720E9"/>
    <w:rsid w:val="3F766FCF"/>
    <w:rsid w:val="3FA01C5E"/>
    <w:rsid w:val="40662A84"/>
    <w:rsid w:val="408E451A"/>
    <w:rsid w:val="40B94317"/>
    <w:rsid w:val="40EC2A50"/>
    <w:rsid w:val="41314E40"/>
    <w:rsid w:val="413D6B65"/>
    <w:rsid w:val="41AC4E5A"/>
    <w:rsid w:val="41DF01E8"/>
    <w:rsid w:val="41E44725"/>
    <w:rsid w:val="41F011EA"/>
    <w:rsid w:val="41F12B3D"/>
    <w:rsid w:val="41F46BFE"/>
    <w:rsid w:val="43766071"/>
    <w:rsid w:val="43B04463"/>
    <w:rsid w:val="43E003B4"/>
    <w:rsid w:val="442C2496"/>
    <w:rsid w:val="4469070A"/>
    <w:rsid w:val="448C77B3"/>
    <w:rsid w:val="449F6565"/>
    <w:rsid w:val="44F268F5"/>
    <w:rsid w:val="44FA5FA3"/>
    <w:rsid w:val="451B01D2"/>
    <w:rsid w:val="453E3FCF"/>
    <w:rsid w:val="457C0654"/>
    <w:rsid w:val="45CB78CF"/>
    <w:rsid w:val="45D41A50"/>
    <w:rsid w:val="45D73ADC"/>
    <w:rsid w:val="468B21BB"/>
    <w:rsid w:val="46EE37D3"/>
    <w:rsid w:val="46FF794C"/>
    <w:rsid w:val="484E5E5B"/>
    <w:rsid w:val="489E4A9C"/>
    <w:rsid w:val="48C26725"/>
    <w:rsid w:val="48E67209"/>
    <w:rsid w:val="49230439"/>
    <w:rsid w:val="49C8030C"/>
    <w:rsid w:val="4A48242F"/>
    <w:rsid w:val="4A58168F"/>
    <w:rsid w:val="4AD66A58"/>
    <w:rsid w:val="4ADD4E26"/>
    <w:rsid w:val="4C2C4B82"/>
    <w:rsid w:val="4C423D6A"/>
    <w:rsid w:val="4CE73006"/>
    <w:rsid w:val="4CF8550F"/>
    <w:rsid w:val="4D514CB6"/>
    <w:rsid w:val="4D5362FA"/>
    <w:rsid w:val="4DB33C53"/>
    <w:rsid w:val="4DF90E4E"/>
    <w:rsid w:val="4E772300"/>
    <w:rsid w:val="4EBF3AC4"/>
    <w:rsid w:val="4EC2470C"/>
    <w:rsid w:val="4EEA5B05"/>
    <w:rsid w:val="4F01404F"/>
    <w:rsid w:val="4F184B72"/>
    <w:rsid w:val="4F1D249E"/>
    <w:rsid w:val="4FA233AD"/>
    <w:rsid w:val="508B7511"/>
    <w:rsid w:val="51203FA0"/>
    <w:rsid w:val="5175062B"/>
    <w:rsid w:val="51BA5D7A"/>
    <w:rsid w:val="51D56377"/>
    <w:rsid w:val="51FB1AC6"/>
    <w:rsid w:val="5211008F"/>
    <w:rsid w:val="53E00B00"/>
    <w:rsid w:val="545E7862"/>
    <w:rsid w:val="54A1708D"/>
    <w:rsid w:val="54F04105"/>
    <w:rsid w:val="54FA4D8A"/>
    <w:rsid w:val="55142657"/>
    <w:rsid w:val="5548731F"/>
    <w:rsid w:val="55594D02"/>
    <w:rsid w:val="55721923"/>
    <w:rsid w:val="557A70B3"/>
    <w:rsid w:val="5604766F"/>
    <w:rsid w:val="560C6B29"/>
    <w:rsid w:val="562E2E68"/>
    <w:rsid w:val="56850E4C"/>
    <w:rsid w:val="56B2682A"/>
    <w:rsid w:val="56BB4741"/>
    <w:rsid w:val="57574A7D"/>
    <w:rsid w:val="57A02722"/>
    <w:rsid w:val="57F86E62"/>
    <w:rsid w:val="58172FAC"/>
    <w:rsid w:val="591C2F98"/>
    <w:rsid w:val="593F752E"/>
    <w:rsid w:val="598D002B"/>
    <w:rsid w:val="5999137D"/>
    <w:rsid w:val="59CE0433"/>
    <w:rsid w:val="5A7870EE"/>
    <w:rsid w:val="5B1519CB"/>
    <w:rsid w:val="5B984F43"/>
    <w:rsid w:val="5BAE5B11"/>
    <w:rsid w:val="5BED7DD9"/>
    <w:rsid w:val="5BF80875"/>
    <w:rsid w:val="5C4D3D64"/>
    <w:rsid w:val="5C9B20F6"/>
    <w:rsid w:val="5CB30DEE"/>
    <w:rsid w:val="5CFB4558"/>
    <w:rsid w:val="5D3970FE"/>
    <w:rsid w:val="5D6E1FDB"/>
    <w:rsid w:val="5E0C30E6"/>
    <w:rsid w:val="5E36233F"/>
    <w:rsid w:val="5E3D4475"/>
    <w:rsid w:val="5EA70AE7"/>
    <w:rsid w:val="5EF717EF"/>
    <w:rsid w:val="5F050963"/>
    <w:rsid w:val="5F611A9E"/>
    <w:rsid w:val="5FDC6D68"/>
    <w:rsid w:val="605D16DD"/>
    <w:rsid w:val="607B1C59"/>
    <w:rsid w:val="6093216E"/>
    <w:rsid w:val="60EF0098"/>
    <w:rsid w:val="60F456A2"/>
    <w:rsid w:val="61174DF5"/>
    <w:rsid w:val="613A50E1"/>
    <w:rsid w:val="628A0E6A"/>
    <w:rsid w:val="636504FC"/>
    <w:rsid w:val="640E65CB"/>
    <w:rsid w:val="64467508"/>
    <w:rsid w:val="644A1BF1"/>
    <w:rsid w:val="64F312A7"/>
    <w:rsid w:val="6560000E"/>
    <w:rsid w:val="6586381C"/>
    <w:rsid w:val="65957312"/>
    <w:rsid w:val="65CC20F8"/>
    <w:rsid w:val="65DE0EF5"/>
    <w:rsid w:val="66232887"/>
    <w:rsid w:val="66465704"/>
    <w:rsid w:val="665A36AF"/>
    <w:rsid w:val="672E57FA"/>
    <w:rsid w:val="67635AF2"/>
    <w:rsid w:val="68780F67"/>
    <w:rsid w:val="68A03A12"/>
    <w:rsid w:val="699E2132"/>
    <w:rsid w:val="69AA262F"/>
    <w:rsid w:val="69CC3773"/>
    <w:rsid w:val="69DF4C6C"/>
    <w:rsid w:val="6ADC69F7"/>
    <w:rsid w:val="6B855EFC"/>
    <w:rsid w:val="6BF27501"/>
    <w:rsid w:val="6C2D2104"/>
    <w:rsid w:val="6C544421"/>
    <w:rsid w:val="6CB67D4C"/>
    <w:rsid w:val="6CE5724F"/>
    <w:rsid w:val="6CF965A7"/>
    <w:rsid w:val="6D2877D0"/>
    <w:rsid w:val="6DF51B46"/>
    <w:rsid w:val="6E166FE8"/>
    <w:rsid w:val="6EA3353E"/>
    <w:rsid w:val="6F0F2A9D"/>
    <w:rsid w:val="6F23429B"/>
    <w:rsid w:val="6F4362E1"/>
    <w:rsid w:val="6FC655C7"/>
    <w:rsid w:val="6FCD7834"/>
    <w:rsid w:val="6FEE1FCA"/>
    <w:rsid w:val="6FF767C9"/>
    <w:rsid w:val="6FFD43BC"/>
    <w:rsid w:val="70C26FB3"/>
    <w:rsid w:val="70CB1E65"/>
    <w:rsid w:val="71367A9D"/>
    <w:rsid w:val="71B66951"/>
    <w:rsid w:val="71D00EF0"/>
    <w:rsid w:val="71E2790D"/>
    <w:rsid w:val="71F53B28"/>
    <w:rsid w:val="725B321B"/>
    <w:rsid w:val="725E754C"/>
    <w:rsid w:val="7298621E"/>
    <w:rsid w:val="72BD3ED6"/>
    <w:rsid w:val="72D749EE"/>
    <w:rsid w:val="73152ABC"/>
    <w:rsid w:val="732E0930"/>
    <w:rsid w:val="73B17831"/>
    <w:rsid w:val="743C638F"/>
    <w:rsid w:val="74450A13"/>
    <w:rsid w:val="745E0599"/>
    <w:rsid w:val="751A41F8"/>
    <w:rsid w:val="752E1F0B"/>
    <w:rsid w:val="7564401A"/>
    <w:rsid w:val="758F6C04"/>
    <w:rsid w:val="77387FCF"/>
    <w:rsid w:val="7748193A"/>
    <w:rsid w:val="77A70DAE"/>
    <w:rsid w:val="77D8343C"/>
    <w:rsid w:val="77F51A1C"/>
    <w:rsid w:val="780F265B"/>
    <w:rsid w:val="7859394D"/>
    <w:rsid w:val="78F527E6"/>
    <w:rsid w:val="791C62C7"/>
    <w:rsid w:val="792B2D34"/>
    <w:rsid w:val="79B66184"/>
    <w:rsid w:val="79E63D12"/>
    <w:rsid w:val="79EF1E68"/>
    <w:rsid w:val="7AEF4E49"/>
    <w:rsid w:val="7B742BAB"/>
    <w:rsid w:val="7B7905ED"/>
    <w:rsid w:val="7BB039B9"/>
    <w:rsid w:val="7BBA2DC6"/>
    <w:rsid w:val="7C676B9F"/>
    <w:rsid w:val="7C6E5467"/>
    <w:rsid w:val="7CF34804"/>
    <w:rsid w:val="7D39684F"/>
    <w:rsid w:val="7D3B093C"/>
    <w:rsid w:val="7D676AB2"/>
    <w:rsid w:val="7D692458"/>
    <w:rsid w:val="7DA30886"/>
    <w:rsid w:val="7DD65919"/>
    <w:rsid w:val="7E0558D1"/>
    <w:rsid w:val="7E3C2EA1"/>
    <w:rsid w:val="7E837B1D"/>
    <w:rsid w:val="7EB07AAC"/>
    <w:rsid w:val="7F667F9E"/>
    <w:rsid w:val="7F8D746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f" stroke="f">
      <v:fill on="f" focussize="0,0"/>
      <v:stroke on="f"/>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link w:val="4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1"/>
    <w:unhideWhenUsed/>
    <w:qFormat/>
    <w:uiPriority w:val="0"/>
    <w:pPr>
      <w:keepNext/>
      <w:keepLines/>
      <w:spacing w:before="50" w:beforeLines="50" w:after="50" w:afterLines="50"/>
      <w:outlineLvl w:val="1"/>
    </w:pPr>
    <w:rPr>
      <w:rFonts w:ascii="黑体" w:hAnsi="黑体" w:eastAsia="黑体" w:cs="Times New Roman"/>
      <w:b/>
      <w:bCs/>
      <w:szCs w:val="32"/>
    </w:rPr>
  </w:style>
  <w:style w:type="paragraph" w:styleId="4">
    <w:name w:val="heading 3"/>
    <w:basedOn w:val="1"/>
    <w:next w:val="1"/>
    <w:qFormat/>
    <w:uiPriority w:val="0"/>
    <w:pPr>
      <w:spacing w:before="50" w:beforeLines="50" w:after="50" w:afterLines="50"/>
      <w:jc w:val="left"/>
      <w:outlineLvl w:val="2"/>
    </w:pPr>
    <w:rPr>
      <w:rFonts w:hint="eastAsia" w:ascii="黑体" w:hAnsi="黑体" w:eastAsia="黑体"/>
      <w:kern w:val="0"/>
      <w:szCs w:val="27"/>
    </w:rPr>
  </w:style>
  <w:style w:type="character" w:default="1" w:styleId="34">
    <w:name w:val="Default Paragraph Font"/>
    <w:unhideWhenUsed/>
    <w:uiPriority w:val="1"/>
  </w:style>
  <w:style w:type="table" w:default="1" w:styleId="32">
    <w:name w:val="Normal Table"/>
    <w:unhideWhenUsed/>
    <w:qFormat/>
    <w:uiPriority w:val="99"/>
    <w:tblPr>
      <w:tblStyle w:val="32"/>
      <w:tblCellMar>
        <w:top w:w="0" w:type="dxa"/>
        <w:left w:w="108" w:type="dxa"/>
        <w:bottom w:w="0" w:type="dxa"/>
        <w:right w:w="108" w:type="dxa"/>
      </w:tblCellMar>
    </w:tblPr>
  </w:style>
  <w:style w:type="paragraph" w:styleId="5">
    <w:name w:val="toc 7"/>
    <w:basedOn w:val="1"/>
    <w:next w:val="1"/>
    <w:semiHidden/>
    <w:qFormat/>
    <w:uiPriority w:val="0"/>
    <w:pPr>
      <w:tabs>
        <w:tab w:val="right" w:leader="dot" w:pos="9241"/>
      </w:tabs>
      <w:ind w:firstLine="500" w:firstLineChars="500"/>
      <w:jc w:val="left"/>
    </w:pPr>
    <w:rPr>
      <w:rFonts w:ascii="宋体"/>
      <w:szCs w:val="21"/>
    </w:rPr>
  </w:style>
  <w:style w:type="paragraph" w:styleId="6">
    <w:name w:val="index 8"/>
    <w:basedOn w:val="1"/>
    <w:next w:val="1"/>
    <w:qFormat/>
    <w:uiPriority w:val="0"/>
    <w:pPr>
      <w:ind w:left="1680" w:hanging="210"/>
      <w:jc w:val="left"/>
    </w:pPr>
    <w:rPr>
      <w:rFonts w:ascii="Calibri" w:hAnsi="Calibri"/>
      <w:sz w:val="20"/>
      <w:szCs w:val="20"/>
    </w:rPr>
  </w:style>
  <w:style w:type="paragraph" w:styleId="7">
    <w:name w:val="caption"/>
    <w:basedOn w:val="1"/>
    <w:next w:val="1"/>
    <w:qFormat/>
    <w:uiPriority w:val="0"/>
    <w:pPr>
      <w:spacing w:before="152" w:after="160"/>
    </w:pPr>
    <w:rPr>
      <w:rFonts w:ascii="Arial" w:hAnsi="Arial" w:eastAsia="黑体" w:cs="Arial"/>
      <w:sz w:val="20"/>
      <w:szCs w:val="20"/>
    </w:rPr>
  </w:style>
  <w:style w:type="paragraph" w:styleId="8">
    <w:name w:val="index 5"/>
    <w:basedOn w:val="1"/>
    <w:next w:val="1"/>
    <w:qFormat/>
    <w:uiPriority w:val="0"/>
    <w:pPr>
      <w:ind w:left="1050" w:hanging="210"/>
      <w:jc w:val="left"/>
    </w:pPr>
    <w:rPr>
      <w:rFonts w:ascii="Calibri" w:hAnsi="Calibri"/>
      <w:sz w:val="20"/>
      <w:szCs w:val="20"/>
    </w:rPr>
  </w:style>
  <w:style w:type="paragraph" w:styleId="9">
    <w:name w:val="Document Map"/>
    <w:basedOn w:val="1"/>
    <w:semiHidden/>
    <w:qFormat/>
    <w:uiPriority w:val="0"/>
    <w:pPr>
      <w:shd w:val="clear" w:color="auto" w:fill="000080"/>
    </w:pPr>
  </w:style>
  <w:style w:type="paragraph" w:styleId="10">
    <w:name w:val="index 6"/>
    <w:basedOn w:val="1"/>
    <w:next w:val="1"/>
    <w:qFormat/>
    <w:uiPriority w:val="0"/>
    <w:pPr>
      <w:ind w:left="1260" w:hanging="210"/>
      <w:jc w:val="left"/>
    </w:pPr>
    <w:rPr>
      <w:rFonts w:ascii="Calibri" w:hAnsi="Calibri"/>
      <w:sz w:val="20"/>
      <w:szCs w:val="20"/>
    </w:rPr>
  </w:style>
  <w:style w:type="paragraph" w:styleId="11">
    <w:name w:val="index 4"/>
    <w:basedOn w:val="1"/>
    <w:next w:val="1"/>
    <w:qFormat/>
    <w:uiPriority w:val="0"/>
    <w:pPr>
      <w:ind w:left="840" w:hanging="210"/>
      <w:jc w:val="left"/>
    </w:pPr>
    <w:rPr>
      <w:rFonts w:ascii="Calibri" w:hAnsi="Calibri"/>
      <w:sz w:val="20"/>
      <w:szCs w:val="20"/>
    </w:rPr>
  </w:style>
  <w:style w:type="paragraph" w:styleId="12">
    <w:name w:val="toc 5"/>
    <w:basedOn w:val="1"/>
    <w:next w:val="1"/>
    <w:semiHidden/>
    <w:qFormat/>
    <w:uiPriority w:val="0"/>
    <w:pPr>
      <w:tabs>
        <w:tab w:val="right" w:leader="dot" w:pos="9241"/>
      </w:tabs>
      <w:ind w:firstLine="300" w:firstLineChars="300"/>
      <w:jc w:val="left"/>
    </w:pPr>
    <w:rPr>
      <w:rFonts w:ascii="宋体"/>
      <w:szCs w:val="21"/>
    </w:rPr>
  </w:style>
  <w:style w:type="paragraph" w:styleId="13">
    <w:name w:val="toc 3"/>
    <w:basedOn w:val="1"/>
    <w:next w:val="1"/>
    <w:qFormat/>
    <w:uiPriority w:val="39"/>
    <w:pPr>
      <w:tabs>
        <w:tab w:val="right" w:leader="dot" w:pos="9241"/>
      </w:tabs>
      <w:ind w:firstLine="100" w:firstLineChars="100"/>
      <w:jc w:val="left"/>
    </w:pPr>
    <w:rPr>
      <w:rFonts w:ascii="宋体"/>
      <w:szCs w:val="21"/>
    </w:rPr>
  </w:style>
  <w:style w:type="paragraph" w:styleId="14">
    <w:name w:val="toc 8"/>
    <w:basedOn w:val="1"/>
    <w:next w:val="1"/>
    <w:semiHidden/>
    <w:qFormat/>
    <w:uiPriority w:val="0"/>
    <w:pPr>
      <w:tabs>
        <w:tab w:val="right" w:leader="dot" w:pos="9241"/>
      </w:tabs>
      <w:ind w:firstLine="607" w:firstLineChars="600"/>
      <w:jc w:val="left"/>
    </w:pPr>
    <w:rPr>
      <w:rFonts w:ascii="宋体"/>
      <w:szCs w:val="21"/>
    </w:rPr>
  </w:style>
  <w:style w:type="paragraph" w:styleId="15">
    <w:name w:val="index 3"/>
    <w:basedOn w:val="1"/>
    <w:next w:val="1"/>
    <w:qFormat/>
    <w:uiPriority w:val="0"/>
    <w:pPr>
      <w:ind w:left="630" w:hanging="210"/>
      <w:jc w:val="left"/>
    </w:pPr>
    <w:rPr>
      <w:rFonts w:ascii="Calibri" w:hAnsi="Calibri"/>
      <w:sz w:val="20"/>
      <w:szCs w:val="20"/>
    </w:rPr>
  </w:style>
  <w:style w:type="paragraph" w:styleId="16">
    <w:name w:val="Date"/>
    <w:basedOn w:val="1"/>
    <w:next w:val="1"/>
    <w:link w:val="42"/>
    <w:uiPriority w:val="0"/>
    <w:pPr>
      <w:ind w:left="100" w:leftChars="2500"/>
    </w:pPr>
  </w:style>
  <w:style w:type="paragraph" w:styleId="17">
    <w:name w:val="endnote text"/>
    <w:basedOn w:val="1"/>
    <w:semiHidden/>
    <w:qFormat/>
    <w:uiPriority w:val="0"/>
    <w:pPr>
      <w:snapToGrid w:val="0"/>
      <w:jc w:val="left"/>
    </w:pPr>
  </w:style>
  <w:style w:type="paragraph" w:styleId="18">
    <w:name w:val="footer"/>
    <w:basedOn w:val="1"/>
    <w:qFormat/>
    <w:uiPriority w:val="0"/>
    <w:pPr>
      <w:snapToGrid w:val="0"/>
      <w:ind w:right="210" w:rightChars="100"/>
      <w:jc w:val="right"/>
    </w:pPr>
    <w:rPr>
      <w:sz w:val="18"/>
      <w:szCs w:val="18"/>
    </w:rPr>
  </w:style>
  <w:style w:type="paragraph" w:styleId="19">
    <w:name w:val="header"/>
    <w:basedOn w:val="1"/>
    <w:qFormat/>
    <w:uiPriority w:val="0"/>
    <w:pPr>
      <w:snapToGrid w:val="0"/>
      <w:jc w:val="left"/>
    </w:pPr>
    <w:rPr>
      <w:sz w:val="18"/>
      <w:szCs w:val="18"/>
    </w:rPr>
  </w:style>
  <w:style w:type="paragraph" w:styleId="20">
    <w:name w:val="toc 1"/>
    <w:basedOn w:val="1"/>
    <w:next w:val="1"/>
    <w:qFormat/>
    <w:uiPriority w:val="39"/>
    <w:pPr>
      <w:tabs>
        <w:tab w:val="right" w:leader="dot" w:pos="9242"/>
      </w:tabs>
      <w:spacing w:beforeLines="25" w:afterLines="25"/>
      <w:jc w:val="left"/>
    </w:pPr>
    <w:rPr>
      <w:rFonts w:ascii="宋体"/>
      <w:szCs w:val="21"/>
    </w:rPr>
  </w:style>
  <w:style w:type="paragraph" w:styleId="21">
    <w:name w:val="toc 4"/>
    <w:basedOn w:val="1"/>
    <w:next w:val="1"/>
    <w:semiHidden/>
    <w:qFormat/>
    <w:uiPriority w:val="0"/>
    <w:pPr>
      <w:tabs>
        <w:tab w:val="right" w:leader="dot" w:pos="9241"/>
      </w:tabs>
      <w:ind w:firstLine="200" w:firstLineChars="200"/>
      <w:jc w:val="left"/>
    </w:pPr>
    <w:rPr>
      <w:rFonts w:ascii="宋体"/>
      <w:szCs w:val="21"/>
    </w:rPr>
  </w:style>
  <w:style w:type="paragraph" w:styleId="22">
    <w:name w:val="index heading"/>
    <w:basedOn w:val="1"/>
    <w:next w:val="23"/>
    <w:qFormat/>
    <w:uiPriority w:val="0"/>
    <w:pPr>
      <w:spacing w:before="120" w:after="120"/>
      <w:jc w:val="center"/>
    </w:pPr>
    <w:rPr>
      <w:rFonts w:ascii="Calibri" w:hAnsi="Calibri"/>
      <w:b/>
      <w:bCs/>
      <w:iCs/>
      <w:szCs w:val="20"/>
    </w:rPr>
  </w:style>
  <w:style w:type="paragraph" w:styleId="23">
    <w:name w:val="index 1"/>
    <w:basedOn w:val="1"/>
    <w:next w:val="24"/>
    <w:qFormat/>
    <w:uiPriority w:val="0"/>
    <w:pPr>
      <w:tabs>
        <w:tab w:val="right" w:leader="dot" w:pos="9299"/>
      </w:tabs>
      <w:jc w:val="left"/>
    </w:pPr>
    <w:rPr>
      <w:rFonts w:ascii="宋体"/>
      <w:szCs w:val="21"/>
    </w:rPr>
  </w:style>
  <w:style w:type="paragraph" w:customStyle="1" w:styleId="24">
    <w:name w:val="段"/>
    <w:link w:val="43"/>
    <w:qFormat/>
    <w:uiPriority w:val="0"/>
    <w:pPr>
      <w:tabs>
        <w:tab w:val="center" w:pos="4201"/>
        <w:tab w:val="right" w:leader="dot" w:pos="9298"/>
      </w:tabs>
      <w:autoSpaceDE w:val="0"/>
      <w:autoSpaceDN w:val="0"/>
      <w:ind w:firstLine="420" w:firstLineChars="200"/>
      <w:jc w:val="both"/>
    </w:pPr>
    <w:rPr>
      <w:rFonts w:ascii="宋体"/>
      <w:sz w:val="21"/>
      <w:lang w:val="en-US" w:eastAsia="zh-CN" w:bidi="ar-SA"/>
    </w:rPr>
  </w:style>
  <w:style w:type="paragraph" w:styleId="25">
    <w:name w:val="footnote text"/>
    <w:basedOn w:val="1"/>
    <w:qFormat/>
    <w:uiPriority w:val="0"/>
    <w:pPr>
      <w:numPr>
        <w:ilvl w:val="0"/>
        <w:numId w:val="1"/>
      </w:numPr>
      <w:snapToGrid w:val="0"/>
      <w:jc w:val="left"/>
    </w:pPr>
    <w:rPr>
      <w:rFonts w:ascii="宋体"/>
      <w:sz w:val="18"/>
      <w:szCs w:val="18"/>
    </w:rPr>
  </w:style>
  <w:style w:type="paragraph" w:styleId="26">
    <w:name w:val="toc 6"/>
    <w:basedOn w:val="1"/>
    <w:next w:val="1"/>
    <w:semiHidden/>
    <w:qFormat/>
    <w:uiPriority w:val="0"/>
    <w:pPr>
      <w:tabs>
        <w:tab w:val="right" w:leader="dot" w:pos="9241"/>
      </w:tabs>
      <w:ind w:firstLine="400" w:firstLineChars="400"/>
      <w:jc w:val="left"/>
    </w:pPr>
    <w:rPr>
      <w:rFonts w:ascii="宋体"/>
      <w:szCs w:val="21"/>
    </w:rPr>
  </w:style>
  <w:style w:type="paragraph" w:styleId="27">
    <w:name w:val="index 7"/>
    <w:basedOn w:val="1"/>
    <w:next w:val="1"/>
    <w:qFormat/>
    <w:uiPriority w:val="0"/>
    <w:pPr>
      <w:ind w:left="1470" w:hanging="210"/>
      <w:jc w:val="left"/>
    </w:pPr>
    <w:rPr>
      <w:rFonts w:ascii="Calibri" w:hAnsi="Calibri"/>
      <w:sz w:val="20"/>
      <w:szCs w:val="20"/>
    </w:rPr>
  </w:style>
  <w:style w:type="paragraph" w:styleId="28">
    <w:name w:val="index 9"/>
    <w:basedOn w:val="1"/>
    <w:next w:val="1"/>
    <w:qFormat/>
    <w:uiPriority w:val="0"/>
    <w:pPr>
      <w:ind w:left="1890" w:hanging="210"/>
      <w:jc w:val="left"/>
    </w:pPr>
    <w:rPr>
      <w:rFonts w:ascii="Calibri" w:hAnsi="Calibri"/>
      <w:sz w:val="20"/>
      <w:szCs w:val="20"/>
    </w:rPr>
  </w:style>
  <w:style w:type="paragraph" w:styleId="29">
    <w:name w:val="toc 2"/>
    <w:basedOn w:val="1"/>
    <w:next w:val="1"/>
    <w:link w:val="44"/>
    <w:qFormat/>
    <w:uiPriority w:val="39"/>
    <w:pPr>
      <w:tabs>
        <w:tab w:val="right" w:leader="dot" w:pos="9242"/>
      </w:tabs>
    </w:pPr>
    <w:rPr>
      <w:rFonts w:ascii="宋体"/>
      <w:szCs w:val="21"/>
    </w:rPr>
  </w:style>
  <w:style w:type="paragraph" w:styleId="30">
    <w:name w:val="toc 9"/>
    <w:basedOn w:val="1"/>
    <w:next w:val="1"/>
    <w:qFormat/>
    <w:uiPriority w:val="0"/>
    <w:pPr>
      <w:ind w:left="1470"/>
      <w:jc w:val="left"/>
    </w:pPr>
    <w:rPr>
      <w:sz w:val="20"/>
      <w:szCs w:val="20"/>
    </w:rPr>
  </w:style>
  <w:style w:type="paragraph" w:styleId="31">
    <w:name w:val="index 2"/>
    <w:basedOn w:val="1"/>
    <w:next w:val="1"/>
    <w:qFormat/>
    <w:uiPriority w:val="0"/>
    <w:pPr>
      <w:ind w:left="420" w:hanging="210"/>
      <w:jc w:val="left"/>
    </w:pPr>
    <w:rPr>
      <w:rFonts w:ascii="Calibri" w:hAnsi="Calibri"/>
      <w:sz w:val="20"/>
      <w:szCs w:val="20"/>
    </w:rPr>
  </w:style>
  <w:style w:type="table" w:styleId="33">
    <w:name w:val="Table Grid"/>
    <w:basedOn w:val="32"/>
    <w:qFormat/>
    <w:uiPriority w:val="0"/>
    <w:rPr>
      <w:rFonts w:ascii="宋体"/>
      <w:sz w:val="18"/>
      <w:szCs w:val="18"/>
    </w:rPr>
    <w:tblPr>
      <w:tblStyle w:val="32"/>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endnote reference"/>
    <w:semiHidden/>
    <w:qFormat/>
    <w:uiPriority w:val="0"/>
    <w:rPr>
      <w:vertAlign w:val="superscript"/>
    </w:rPr>
  </w:style>
  <w:style w:type="character" w:styleId="36">
    <w:name w:val="page number"/>
    <w:qFormat/>
    <w:uiPriority w:val="0"/>
    <w:rPr>
      <w:rFonts w:ascii="Times New Roman" w:hAnsi="Times New Roman" w:eastAsia="宋体"/>
      <w:sz w:val="18"/>
    </w:rPr>
  </w:style>
  <w:style w:type="character" w:styleId="37">
    <w:name w:val="FollowedHyperlink"/>
    <w:qFormat/>
    <w:uiPriority w:val="0"/>
    <w:rPr>
      <w:color w:val="333333"/>
      <w:u w:val="none"/>
    </w:rPr>
  </w:style>
  <w:style w:type="character" w:styleId="38">
    <w:name w:val="Hyperlink"/>
    <w:qFormat/>
    <w:uiPriority w:val="99"/>
    <w:rPr>
      <w:color w:val="0000FF"/>
      <w:spacing w:val="0"/>
      <w:w w:val="100"/>
      <w:szCs w:val="21"/>
      <w:u w:val="single"/>
    </w:rPr>
  </w:style>
  <w:style w:type="character" w:styleId="39">
    <w:name w:val="footnote reference"/>
    <w:semiHidden/>
    <w:qFormat/>
    <w:uiPriority w:val="0"/>
    <w:rPr>
      <w:vertAlign w:val="superscript"/>
    </w:rPr>
  </w:style>
  <w:style w:type="character" w:customStyle="1" w:styleId="40">
    <w:name w:val="标题 1 字符"/>
    <w:link w:val="2"/>
    <w:uiPriority w:val="0"/>
    <w:rPr>
      <w:b/>
      <w:bCs/>
      <w:kern w:val="44"/>
      <w:sz w:val="44"/>
      <w:szCs w:val="44"/>
    </w:rPr>
  </w:style>
  <w:style w:type="character" w:customStyle="1" w:styleId="41">
    <w:name w:val="标题 2 字符"/>
    <w:link w:val="3"/>
    <w:uiPriority w:val="0"/>
    <w:rPr>
      <w:rFonts w:ascii="黑体" w:hAnsi="黑体" w:eastAsia="黑体"/>
      <w:b/>
      <w:bCs/>
      <w:kern w:val="2"/>
      <w:sz w:val="21"/>
      <w:szCs w:val="32"/>
    </w:rPr>
  </w:style>
  <w:style w:type="character" w:customStyle="1" w:styleId="42">
    <w:name w:val="日期 字符"/>
    <w:link w:val="16"/>
    <w:uiPriority w:val="0"/>
    <w:rPr>
      <w:kern w:val="2"/>
      <w:sz w:val="21"/>
      <w:szCs w:val="24"/>
    </w:rPr>
  </w:style>
  <w:style w:type="character" w:customStyle="1" w:styleId="43">
    <w:name w:val="段 Char"/>
    <w:link w:val="24"/>
    <w:qFormat/>
    <w:uiPriority w:val="0"/>
    <w:rPr>
      <w:rFonts w:ascii="宋体"/>
      <w:sz w:val="21"/>
      <w:lang w:val="en-US" w:eastAsia="zh-CN" w:bidi="ar-SA"/>
    </w:rPr>
  </w:style>
  <w:style w:type="character" w:customStyle="1" w:styleId="44">
    <w:name w:val="TOC 2 字符"/>
    <w:link w:val="29"/>
    <w:uiPriority w:val="0"/>
    <w:rPr>
      <w:rFonts w:ascii="宋体"/>
      <w:szCs w:val="21"/>
    </w:rPr>
  </w:style>
  <w:style w:type="character" w:customStyle="1" w:styleId="45">
    <w:name w:val="附录公式 Char"/>
    <w:link w:val="46"/>
    <w:qFormat/>
    <w:uiPriority w:val="0"/>
    <w:rPr>
      <w:lang w:val="en-US" w:eastAsia="zh-CN" w:bidi="ar-SA"/>
    </w:rPr>
  </w:style>
  <w:style w:type="paragraph" w:customStyle="1" w:styleId="46">
    <w:name w:val="附录公式"/>
    <w:basedOn w:val="24"/>
    <w:next w:val="24"/>
    <w:link w:val="45"/>
    <w:qFormat/>
    <w:uiPriority w:val="0"/>
  </w:style>
  <w:style w:type="character" w:customStyle="1" w:styleId="47">
    <w:name w:val="首示例 Char"/>
    <w:link w:val="48"/>
    <w:qFormat/>
    <w:uiPriority w:val="0"/>
    <w:rPr>
      <w:rFonts w:ascii="宋体" w:hAnsi="宋体"/>
      <w:kern w:val="2"/>
      <w:sz w:val="18"/>
      <w:szCs w:val="18"/>
    </w:rPr>
  </w:style>
  <w:style w:type="paragraph" w:customStyle="1" w:styleId="48">
    <w:name w:val="首示例"/>
    <w:next w:val="24"/>
    <w:link w:val="47"/>
    <w:qFormat/>
    <w:uiPriority w:val="0"/>
    <w:pPr>
      <w:tabs>
        <w:tab w:val="left" w:pos="360"/>
      </w:tabs>
    </w:pPr>
    <w:rPr>
      <w:rFonts w:ascii="宋体" w:hAnsi="宋体"/>
      <w:kern w:val="2"/>
      <w:sz w:val="18"/>
      <w:szCs w:val="18"/>
      <w:lang w:val="en-US" w:eastAsia="zh-CN" w:bidi="ar-SA"/>
    </w:rPr>
  </w:style>
  <w:style w:type="character" w:customStyle="1" w:styleId="49">
    <w:name w:val="发布"/>
    <w:qFormat/>
    <w:uiPriority w:val="0"/>
    <w:rPr>
      <w:rFonts w:ascii="黑体" w:eastAsia="黑体"/>
      <w:spacing w:val="85"/>
      <w:w w:val="100"/>
      <w:position w:val="3"/>
      <w:sz w:val="28"/>
      <w:szCs w:val="28"/>
    </w:rPr>
  </w:style>
  <w:style w:type="paragraph" w:customStyle="1" w:styleId="50">
    <w:name w:val="其他发布日期"/>
    <w:basedOn w:val="51"/>
    <w:qFormat/>
    <w:uiPriority w:val="0"/>
    <w:pPr>
      <w:framePr w:vAnchor="page" w:hAnchor="text" w:x="1419"/>
    </w:pPr>
  </w:style>
  <w:style w:type="paragraph" w:customStyle="1" w:styleId="51">
    <w:name w:val="发布日期"/>
    <w:qFormat/>
    <w:uiPriority w:val="0"/>
    <w:pPr>
      <w:framePr w:w="3997" w:h="471" w:hRule="exact" w:vSpace="181" w:wrap="around" w:vAnchor="margin" w:hAnchor="page" w:x="7089" w:y="14097" w:anchorLock="1"/>
    </w:pPr>
    <w:rPr>
      <w:rFonts w:eastAsia="黑体"/>
      <w:sz w:val="28"/>
      <w:lang w:val="en-US" w:eastAsia="zh-CN" w:bidi="ar-SA"/>
    </w:rPr>
  </w:style>
  <w:style w:type="paragraph" w:customStyle="1" w:styleId="52">
    <w:name w:val="标准书脚_偶数页"/>
    <w:qFormat/>
    <w:uiPriority w:val="0"/>
    <w:pPr>
      <w:spacing w:before="120"/>
      <w:ind w:left="221"/>
    </w:pPr>
    <w:rPr>
      <w:rFonts w:ascii="宋体"/>
      <w:sz w:val="18"/>
      <w:szCs w:val="18"/>
      <w:lang w:val="en-US" w:eastAsia="zh-CN" w:bidi="ar-SA"/>
    </w:rPr>
  </w:style>
  <w:style w:type="paragraph" w:customStyle="1" w:styleId="53">
    <w:name w:val="标准书眉一"/>
    <w:qFormat/>
    <w:uiPriority w:val="0"/>
    <w:pPr>
      <w:jc w:val="both"/>
    </w:pPr>
    <w:rPr>
      <w:lang w:val="en-US" w:eastAsia="zh-CN" w:bidi="ar-SA"/>
    </w:rPr>
  </w:style>
  <w:style w:type="paragraph" w:customStyle="1" w:styleId="54">
    <w:name w:val="附录字母编号列项（一级）"/>
    <w:qFormat/>
    <w:uiPriority w:val="0"/>
    <w:pPr>
      <w:numPr>
        <w:ilvl w:val="0"/>
        <w:numId w:val="2"/>
      </w:numPr>
    </w:pPr>
    <w:rPr>
      <w:rFonts w:ascii="宋体"/>
      <w:sz w:val="21"/>
      <w:lang w:val="en-US" w:eastAsia="zh-CN" w:bidi="ar-SA"/>
    </w:rPr>
  </w:style>
  <w:style w:type="paragraph" w:customStyle="1" w:styleId="55">
    <w:name w:val="封面标准文稿类别2"/>
    <w:basedOn w:val="56"/>
    <w:qFormat/>
    <w:uiPriority w:val="0"/>
    <w:pPr>
      <w:framePr w:y="4469"/>
    </w:pPr>
  </w:style>
  <w:style w:type="paragraph" w:customStyle="1" w:styleId="56">
    <w:name w:val="封面标准文稿类别"/>
    <w:basedOn w:val="57"/>
    <w:qFormat/>
    <w:uiPriority w:val="0"/>
    <w:pPr>
      <w:spacing w:after="160" w:line="240" w:lineRule="auto"/>
    </w:pPr>
    <w:rPr>
      <w:sz w:val="24"/>
    </w:rPr>
  </w:style>
  <w:style w:type="paragraph" w:customStyle="1" w:styleId="57">
    <w:name w:val="封面一致性程度标识"/>
    <w:basedOn w:val="58"/>
    <w:qFormat/>
    <w:uiPriority w:val="0"/>
    <w:pPr>
      <w:spacing w:before="440"/>
    </w:pPr>
    <w:rPr>
      <w:rFonts w:ascii="宋体" w:eastAsia="宋体"/>
    </w:rPr>
  </w:style>
  <w:style w:type="paragraph" w:customStyle="1" w:styleId="58">
    <w:name w:val="封面标准英文名称"/>
    <w:basedOn w:val="59"/>
    <w:qFormat/>
    <w:uiPriority w:val="0"/>
    <w:pPr>
      <w:spacing w:before="370" w:line="400" w:lineRule="exact"/>
    </w:pPr>
    <w:rPr>
      <w:rFonts w:ascii="Times New Roman"/>
      <w:sz w:val="28"/>
      <w:szCs w:val="28"/>
    </w:rPr>
  </w:style>
  <w:style w:type="paragraph" w:customStyle="1" w:styleId="59">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eastAsia="黑体"/>
      <w:sz w:val="52"/>
      <w:lang w:val="en-US" w:eastAsia="zh-CN" w:bidi="ar-SA"/>
    </w:rPr>
  </w:style>
  <w:style w:type="paragraph" w:customStyle="1" w:styleId="60">
    <w:name w:val="文献分类号"/>
    <w:qFormat/>
    <w:uiPriority w:val="0"/>
    <w:pPr>
      <w:framePr w:hSpace="180" w:vSpace="180" w:wrap="around" w:vAnchor="margin" w:hAnchor="margin" w:y="1" w:anchorLock="1"/>
      <w:widowControl w:val="0"/>
      <w:textAlignment w:val="center"/>
    </w:pPr>
    <w:rPr>
      <w:rFonts w:ascii="黑体" w:eastAsia="黑体"/>
      <w:sz w:val="21"/>
      <w:szCs w:val="21"/>
      <w:lang w:val="en-US" w:eastAsia="zh-CN" w:bidi="ar-SA"/>
    </w:rPr>
  </w:style>
  <w:style w:type="paragraph" w:customStyle="1" w:styleId="61">
    <w:name w:val="附录表标题"/>
    <w:basedOn w:val="1"/>
    <w:next w:val="24"/>
    <w:qFormat/>
    <w:uiPriority w:val="0"/>
    <w:pPr>
      <w:numPr>
        <w:ilvl w:val="1"/>
        <w:numId w:val="3"/>
      </w:numPr>
      <w:tabs>
        <w:tab w:val="left" w:pos="180"/>
      </w:tabs>
      <w:spacing w:beforeLines="50" w:afterLines="50"/>
      <w:ind w:left="0" w:firstLine="0"/>
      <w:jc w:val="center"/>
    </w:pPr>
    <w:rPr>
      <w:rFonts w:ascii="黑体" w:eastAsia="黑体"/>
      <w:szCs w:val="21"/>
    </w:rPr>
  </w:style>
  <w:style w:type="paragraph" w:customStyle="1" w:styleId="62">
    <w:name w:val="列项——（一级）"/>
    <w:qFormat/>
    <w:uiPriority w:val="0"/>
    <w:pPr>
      <w:widowControl w:val="0"/>
      <w:numPr>
        <w:ilvl w:val="0"/>
        <w:numId w:val="4"/>
      </w:numPr>
      <w:jc w:val="both"/>
    </w:pPr>
    <w:rPr>
      <w:rFonts w:ascii="宋体"/>
      <w:sz w:val="21"/>
      <w:lang w:val="en-US" w:eastAsia="zh-CN" w:bidi="ar-SA"/>
    </w:rPr>
  </w:style>
  <w:style w:type="paragraph" w:customStyle="1" w:styleId="63">
    <w:name w:val="附录一级无"/>
    <w:basedOn w:val="64"/>
    <w:qFormat/>
    <w:uiPriority w:val="0"/>
    <w:pPr>
      <w:spacing w:beforeLines="0" w:afterLines="0"/>
    </w:pPr>
    <w:rPr>
      <w:rFonts w:ascii="宋体" w:eastAsia="宋体"/>
      <w:szCs w:val="21"/>
    </w:rPr>
  </w:style>
  <w:style w:type="paragraph" w:customStyle="1" w:styleId="64">
    <w:name w:val="附录一级条标题"/>
    <w:basedOn w:val="65"/>
    <w:next w:val="24"/>
    <w:qFormat/>
    <w:uiPriority w:val="0"/>
    <w:pPr>
      <w:numPr>
        <w:ilvl w:val="2"/>
      </w:numPr>
      <w:tabs>
        <w:tab w:val="left" w:pos="360"/>
      </w:tabs>
      <w:autoSpaceDN w:val="0"/>
      <w:spacing w:beforeLines="50" w:afterLines="50"/>
      <w:outlineLvl w:val="2"/>
    </w:pPr>
  </w:style>
  <w:style w:type="paragraph" w:customStyle="1" w:styleId="65">
    <w:name w:val="附录章标题"/>
    <w:next w:val="24"/>
    <w:qFormat/>
    <w:uiPriority w:val="0"/>
    <w:pPr>
      <w:numPr>
        <w:ilvl w:val="1"/>
        <w:numId w:val="5"/>
      </w:numPr>
      <w:tabs>
        <w:tab w:val="left" w:pos="360"/>
      </w:tabs>
      <w:wordWrap w:val="0"/>
      <w:overflowPunct w:val="0"/>
      <w:autoSpaceDE w:val="0"/>
      <w:spacing w:beforeLines="100" w:afterLines="100"/>
      <w:jc w:val="both"/>
      <w:textAlignment w:val="baseline"/>
      <w:outlineLvl w:val="1"/>
    </w:pPr>
    <w:rPr>
      <w:rFonts w:ascii="黑体" w:eastAsia="黑体"/>
      <w:kern w:val="21"/>
      <w:sz w:val="21"/>
      <w:lang w:val="en-US" w:eastAsia="zh-CN" w:bidi="ar-SA"/>
    </w:rPr>
  </w:style>
  <w:style w:type="paragraph" w:customStyle="1" w:styleId="66">
    <w:name w:val="封面标准文稿编辑信息"/>
    <w:basedOn w:val="56"/>
    <w:qFormat/>
    <w:uiPriority w:val="0"/>
    <w:pPr>
      <w:spacing w:before="180" w:line="180" w:lineRule="exact"/>
    </w:pPr>
    <w:rPr>
      <w:sz w:val="21"/>
    </w:rPr>
  </w:style>
  <w:style w:type="paragraph" w:customStyle="1" w:styleId="67">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lang w:val="en-US" w:eastAsia="zh-CN" w:bidi="ar-SA"/>
    </w:rPr>
  </w:style>
  <w:style w:type="paragraph" w:customStyle="1" w:styleId="68">
    <w:name w:val="二级条标题"/>
    <w:basedOn w:val="69"/>
    <w:next w:val="24"/>
    <w:qFormat/>
    <w:uiPriority w:val="0"/>
    <w:pPr>
      <w:numPr>
        <w:ilvl w:val="2"/>
      </w:numPr>
      <w:spacing w:before="50" w:after="50"/>
      <w:outlineLvl w:val="3"/>
    </w:pPr>
  </w:style>
  <w:style w:type="paragraph" w:customStyle="1" w:styleId="69">
    <w:name w:val="一级条标题"/>
    <w:next w:val="1"/>
    <w:qFormat/>
    <w:uiPriority w:val="0"/>
    <w:pPr>
      <w:numPr>
        <w:ilvl w:val="1"/>
        <w:numId w:val="6"/>
      </w:numPr>
      <w:spacing w:beforeLines="50" w:afterLines="50"/>
      <w:outlineLvl w:val="2"/>
    </w:pPr>
    <w:rPr>
      <w:rFonts w:ascii="黑体" w:eastAsia="黑体"/>
      <w:sz w:val="21"/>
      <w:szCs w:val="21"/>
      <w:lang w:val="en-US" w:eastAsia="zh-CN" w:bidi="ar-SA"/>
    </w:rPr>
  </w:style>
  <w:style w:type="paragraph" w:customStyle="1" w:styleId="70">
    <w:name w:val="封面一致性程度标识2"/>
    <w:basedOn w:val="57"/>
    <w:qFormat/>
    <w:uiPriority w:val="0"/>
    <w:pPr>
      <w:framePr w:y="4469"/>
    </w:pPr>
  </w:style>
  <w:style w:type="paragraph" w:customStyle="1" w:styleId="71">
    <w:name w:val="正文公式编号制表符"/>
    <w:basedOn w:val="24"/>
    <w:next w:val="24"/>
    <w:qFormat/>
    <w:uiPriority w:val="0"/>
    <w:pPr>
      <w:ind w:firstLine="0" w:firstLineChars="0"/>
    </w:pPr>
  </w:style>
  <w:style w:type="paragraph" w:customStyle="1" w:styleId="72">
    <w:name w:val="附录二级条标题"/>
    <w:basedOn w:val="1"/>
    <w:next w:val="24"/>
    <w:qFormat/>
    <w:uiPriority w:val="0"/>
    <w:pPr>
      <w:widowControl/>
      <w:numPr>
        <w:ilvl w:val="3"/>
        <w:numId w:val="5"/>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73">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74">
    <w:name w:val="附录三级无"/>
    <w:basedOn w:val="75"/>
    <w:qFormat/>
    <w:uiPriority w:val="0"/>
    <w:pPr>
      <w:spacing w:beforeLines="0" w:afterLines="0"/>
    </w:pPr>
    <w:rPr>
      <w:rFonts w:ascii="宋体" w:eastAsia="宋体"/>
      <w:szCs w:val="21"/>
    </w:rPr>
  </w:style>
  <w:style w:type="paragraph" w:customStyle="1" w:styleId="75">
    <w:name w:val="附录三级条标题"/>
    <w:basedOn w:val="72"/>
    <w:next w:val="24"/>
    <w:qFormat/>
    <w:uiPriority w:val="0"/>
    <w:pPr>
      <w:numPr>
        <w:ilvl w:val="4"/>
      </w:numPr>
      <w:outlineLvl w:val="4"/>
    </w:pPr>
  </w:style>
  <w:style w:type="paragraph" w:customStyle="1" w:styleId="76">
    <w:name w:val="注：（正文）"/>
    <w:basedOn w:val="77"/>
    <w:next w:val="24"/>
    <w:qFormat/>
    <w:uiPriority w:val="0"/>
  </w:style>
  <w:style w:type="paragraph" w:customStyle="1" w:styleId="77">
    <w:name w:val="注："/>
    <w:next w:val="24"/>
    <w:qFormat/>
    <w:uiPriority w:val="0"/>
    <w:pPr>
      <w:widowControl w:val="0"/>
      <w:autoSpaceDE w:val="0"/>
      <w:autoSpaceDN w:val="0"/>
      <w:ind w:left="726" w:hanging="363"/>
      <w:jc w:val="both"/>
    </w:pPr>
    <w:rPr>
      <w:rFonts w:ascii="宋体"/>
      <w:sz w:val="18"/>
      <w:szCs w:val="18"/>
      <w:lang w:val="en-US" w:eastAsia="zh-CN" w:bidi="ar-SA"/>
    </w:rPr>
  </w:style>
  <w:style w:type="paragraph" w:customStyle="1" w:styleId="78">
    <w:name w:val="其他发布部门"/>
    <w:basedOn w:val="79"/>
    <w:qFormat/>
    <w:uiPriority w:val="0"/>
    <w:pPr>
      <w:framePr w:y="15310"/>
      <w:spacing w:line="0" w:lineRule="atLeast"/>
    </w:pPr>
    <w:rPr>
      <w:rFonts w:ascii="黑体" w:eastAsia="黑体"/>
      <w:b w:val="0"/>
    </w:rPr>
  </w:style>
  <w:style w:type="paragraph" w:customStyle="1" w:styleId="79">
    <w:name w:val="发布部门"/>
    <w:next w:val="24"/>
    <w:qFormat/>
    <w:uiPriority w:val="0"/>
    <w:pPr>
      <w:framePr w:w="7938" w:h="1134" w:hRule="exact" w:hSpace="125" w:vSpace="181" w:wrap="around" w:vAnchor="page" w:hAnchor="page" w:x="2150" w:y="14630" w:anchorLock="1"/>
      <w:jc w:val="center"/>
    </w:pPr>
    <w:rPr>
      <w:rFonts w:ascii="宋体"/>
      <w:b/>
      <w:spacing w:val="20"/>
      <w:w w:val="135"/>
      <w:sz w:val="28"/>
      <w:lang w:val="en-US" w:eastAsia="zh-CN" w:bidi="ar-SA"/>
    </w:rPr>
  </w:style>
  <w:style w:type="paragraph" w:customStyle="1" w:styleId="80">
    <w:name w:val="三级条标题"/>
    <w:basedOn w:val="68"/>
    <w:next w:val="24"/>
    <w:qFormat/>
    <w:uiPriority w:val="0"/>
    <w:pPr>
      <w:numPr>
        <w:ilvl w:val="3"/>
      </w:numPr>
      <w:outlineLvl w:val="4"/>
    </w:pPr>
  </w:style>
  <w:style w:type="paragraph" w:customStyle="1" w:styleId="81">
    <w:name w:val="附录表标号"/>
    <w:basedOn w:val="1"/>
    <w:next w:val="24"/>
    <w:qFormat/>
    <w:uiPriority w:val="0"/>
    <w:pPr>
      <w:numPr>
        <w:ilvl w:val="0"/>
        <w:numId w:val="3"/>
      </w:numPr>
      <w:tabs>
        <w:tab w:val="clear" w:pos="0"/>
      </w:tabs>
      <w:spacing w:line="14" w:lineRule="exact"/>
      <w:ind w:left="811" w:hanging="448"/>
      <w:jc w:val="center"/>
      <w:outlineLvl w:val="0"/>
    </w:pPr>
    <w:rPr>
      <w:color w:val="FFFFFF"/>
    </w:rPr>
  </w:style>
  <w:style w:type="paragraph" w:customStyle="1" w:styleId="82">
    <w:name w:val="示例×："/>
    <w:basedOn w:val="83"/>
    <w:qFormat/>
    <w:uiPriority w:val="0"/>
    <w:pPr>
      <w:numPr>
        <w:ilvl w:val="0"/>
        <w:numId w:val="0"/>
      </w:numPr>
      <w:spacing w:beforeLines="0" w:afterLines="0"/>
      <w:ind w:firstLine="363"/>
      <w:outlineLvl w:val="9"/>
    </w:pPr>
    <w:rPr>
      <w:rFonts w:ascii="宋体" w:eastAsia="宋体"/>
      <w:sz w:val="18"/>
      <w:szCs w:val="18"/>
    </w:rPr>
  </w:style>
  <w:style w:type="paragraph" w:customStyle="1" w:styleId="83">
    <w:name w:val="章标题"/>
    <w:next w:val="24"/>
    <w:qFormat/>
    <w:uiPriority w:val="0"/>
    <w:pPr>
      <w:numPr>
        <w:ilvl w:val="0"/>
        <w:numId w:val="6"/>
      </w:numPr>
      <w:spacing w:beforeLines="100" w:afterLines="100"/>
      <w:jc w:val="both"/>
      <w:outlineLvl w:val="1"/>
    </w:pPr>
    <w:rPr>
      <w:rFonts w:ascii="黑体" w:eastAsia="黑体"/>
      <w:sz w:val="21"/>
      <w:lang w:val="en-US" w:eastAsia="zh-CN" w:bidi="ar-SA"/>
    </w:rPr>
  </w:style>
  <w:style w:type="paragraph" w:customStyle="1" w:styleId="8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spacing w:val="-40"/>
      <w:sz w:val="48"/>
      <w:szCs w:val="52"/>
      <w:lang w:val="en-US" w:eastAsia="zh-CN" w:bidi="ar-SA"/>
    </w:rPr>
  </w:style>
  <w:style w:type="paragraph" w:customStyle="1" w:styleId="85">
    <w:name w:val="封面标准文稿编辑信息2"/>
    <w:basedOn w:val="66"/>
    <w:qFormat/>
    <w:uiPriority w:val="0"/>
    <w:pPr>
      <w:framePr w:y="4469"/>
    </w:pPr>
  </w:style>
  <w:style w:type="paragraph" w:customStyle="1" w:styleId="86">
    <w:name w:val="四级无"/>
    <w:basedOn w:val="87"/>
    <w:qFormat/>
    <w:uiPriority w:val="0"/>
    <w:pPr>
      <w:spacing w:beforeLines="0" w:afterLines="0"/>
    </w:pPr>
    <w:rPr>
      <w:rFonts w:ascii="宋体" w:eastAsia="宋体"/>
    </w:rPr>
  </w:style>
  <w:style w:type="paragraph" w:customStyle="1" w:styleId="87">
    <w:name w:val="四级条标题"/>
    <w:basedOn w:val="80"/>
    <w:next w:val="24"/>
    <w:qFormat/>
    <w:uiPriority w:val="0"/>
    <w:pPr>
      <w:numPr>
        <w:ilvl w:val="4"/>
      </w:numPr>
      <w:outlineLvl w:val="5"/>
    </w:pPr>
  </w:style>
  <w:style w:type="paragraph" w:customStyle="1" w:styleId="88">
    <w:name w:val="附录标识"/>
    <w:basedOn w:val="1"/>
    <w:next w:val="24"/>
    <w:qFormat/>
    <w:uiPriority w:val="0"/>
    <w:pPr>
      <w:keepNext/>
      <w:widowControl/>
      <w:numPr>
        <w:ilvl w:val="0"/>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9">
    <w:name w:val="其他实施日期"/>
    <w:basedOn w:val="90"/>
    <w:qFormat/>
    <w:uiPriority w:val="0"/>
  </w:style>
  <w:style w:type="paragraph" w:customStyle="1" w:styleId="90">
    <w:name w:val="实施日期"/>
    <w:basedOn w:val="51"/>
    <w:qFormat/>
    <w:uiPriority w:val="0"/>
    <w:pPr>
      <w:framePr w:vAnchor="page" w:hAnchor="text"/>
      <w:jc w:val="right"/>
    </w:pPr>
  </w:style>
  <w:style w:type="paragraph" w:customStyle="1" w:styleId="91">
    <w:name w:val="图的脚注"/>
    <w:next w:val="24"/>
    <w:qFormat/>
    <w:uiPriority w:val="0"/>
    <w:pPr>
      <w:widowControl w:val="0"/>
      <w:ind w:left="840" w:leftChars="200" w:hanging="420" w:hangingChars="200"/>
      <w:jc w:val="both"/>
    </w:pPr>
    <w:rPr>
      <w:rFonts w:ascii="宋体"/>
      <w:sz w:val="18"/>
      <w:lang w:val="en-US" w:eastAsia="zh-CN" w:bidi="ar-SA"/>
    </w:rPr>
  </w:style>
  <w:style w:type="paragraph" w:customStyle="1" w:styleId="92">
    <w:name w:val="附录数字编号列项（二级）"/>
    <w:qFormat/>
    <w:uiPriority w:val="0"/>
    <w:pPr>
      <w:numPr>
        <w:ilvl w:val="1"/>
        <w:numId w:val="2"/>
      </w:numPr>
    </w:pPr>
    <w:rPr>
      <w:rFonts w:ascii="宋体"/>
      <w:sz w:val="21"/>
      <w:lang w:val="en-US" w:eastAsia="zh-CN" w:bidi="ar-SA"/>
    </w:rPr>
  </w:style>
  <w:style w:type="paragraph" w:customStyle="1" w:styleId="93">
    <w:name w:val="参考文献"/>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94">
    <w:name w:val="附录图标题"/>
    <w:basedOn w:val="1"/>
    <w:next w:val="24"/>
    <w:qFormat/>
    <w:uiPriority w:val="0"/>
    <w:pPr>
      <w:numPr>
        <w:ilvl w:val="1"/>
        <w:numId w:val="7"/>
      </w:numPr>
      <w:tabs>
        <w:tab w:val="left" w:pos="363"/>
      </w:tabs>
      <w:spacing w:beforeLines="50" w:afterLines="50"/>
      <w:ind w:left="0" w:firstLine="0"/>
      <w:jc w:val="center"/>
    </w:pPr>
    <w:rPr>
      <w:rFonts w:ascii="黑体" w:eastAsia="黑体"/>
      <w:szCs w:val="21"/>
    </w:rPr>
  </w:style>
  <w:style w:type="paragraph" w:customStyle="1" w:styleId="95">
    <w:name w:val="封面标准号2"/>
    <w:qFormat/>
    <w:uiPriority w:val="0"/>
    <w:pPr>
      <w:framePr w:w="9140" w:h="1242" w:hRule="exact" w:hSpace="284" w:wrap="around" w:vAnchor="page" w:hAnchor="page" w:x="1645" w:y="2910" w:anchorLock="1"/>
      <w:spacing w:before="357" w:line="280" w:lineRule="exact"/>
      <w:jc w:val="right"/>
    </w:pPr>
    <w:rPr>
      <w:rFonts w:ascii="黑体" w:eastAsia="黑体"/>
      <w:sz w:val="28"/>
      <w:szCs w:val="28"/>
      <w:lang w:val="en-US" w:eastAsia="zh-CN" w:bidi="ar-SA"/>
    </w:rPr>
  </w:style>
  <w:style w:type="paragraph" w:customStyle="1" w:styleId="96">
    <w:name w:val="附录四级条标题"/>
    <w:basedOn w:val="75"/>
    <w:next w:val="24"/>
    <w:qFormat/>
    <w:uiPriority w:val="0"/>
    <w:pPr>
      <w:numPr>
        <w:ilvl w:val="5"/>
      </w:numPr>
      <w:outlineLvl w:val="5"/>
    </w:pPr>
  </w:style>
  <w:style w:type="paragraph" w:customStyle="1" w:styleId="97">
    <w:name w:val="数字编号列项（二级）"/>
    <w:qFormat/>
    <w:uiPriority w:val="0"/>
    <w:pPr>
      <w:numPr>
        <w:ilvl w:val="1"/>
        <w:numId w:val="8"/>
      </w:numPr>
      <w:jc w:val="both"/>
    </w:pPr>
    <w:rPr>
      <w:rFonts w:ascii="宋体"/>
      <w:sz w:val="21"/>
      <w:lang w:val="en-US" w:eastAsia="zh-CN" w:bidi="ar-SA"/>
    </w:rPr>
  </w:style>
  <w:style w:type="paragraph" w:customStyle="1" w:styleId="98">
    <w:name w:val="列项◆（三级）"/>
    <w:basedOn w:val="1"/>
    <w:qFormat/>
    <w:uiPriority w:val="0"/>
    <w:pPr>
      <w:numPr>
        <w:ilvl w:val="2"/>
        <w:numId w:val="4"/>
      </w:numPr>
    </w:pPr>
    <w:rPr>
      <w:rFonts w:ascii="宋体"/>
      <w:szCs w:val="21"/>
    </w:rPr>
  </w:style>
  <w:style w:type="paragraph" w:customStyle="1" w:styleId="99">
    <w:name w:val="示例内容"/>
    <w:qFormat/>
    <w:uiPriority w:val="0"/>
    <w:pPr>
      <w:ind w:firstLine="200" w:firstLineChars="200"/>
    </w:pPr>
    <w:rPr>
      <w:rFonts w:ascii="宋体"/>
      <w:sz w:val="18"/>
      <w:szCs w:val="18"/>
      <w:lang w:val="en-US" w:eastAsia="zh-CN" w:bidi="ar-SA"/>
    </w:rPr>
  </w:style>
  <w:style w:type="paragraph" w:customStyle="1" w:styleId="100">
    <w:name w:val="一级无"/>
    <w:basedOn w:val="69"/>
    <w:qFormat/>
    <w:uiPriority w:val="0"/>
    <w:pPr>
      <w:spacing w:beforeLines="0" w:afterLines="0"/>
    </w:pPr>
    <w:rPr>
      <w:rFonts w:ascii="宋体" w:eastAsia="宋体"/>
    </w:rPr>
  </w:style>
  <w:style w:type="paragraph" w:customStyle="1" w:styleId="101">
    <w:name w:val="字母编号列项（一级）"/>
    <w:qFormat/>
    <w:uiPriority w:val="0"/>
    <w:pPr>
      <w:numPr>
        <w:ilvl w:val="0"/>
        <w:numId w:val="8"/>
      </w:numPr>
      <w:jc w:val="both"/>
    </w:pPr>
    <w:rPr>
      <w:rFonts w:ascii="宋体"/>
      <w:sz w:val="21"/>
      <w:lang w:val="en-US" w:eastAsia="zh-CN" w:bidi="ar-SA"/>
    </w:rPr>
  </w:style>
  <w:style w:type="paragraph" w:customStyle="1" w:styleId="102">
    <w:name w:val="封面标准代替信息"/>
    <w:qFormat/>
    <w:uiPriority w:val="0"/>
    <w:pPr>
      <w:framePr w:w="9140" w:h="1242" w:hRule="exact" w:hSpace="284" w:wrap="around" w:vAnchor="page" w:hAnchor="page" w:x="1645" w:y="2910" w:anchorLock="1"/>
      <w:spacing w:before="57" w:line="280" w:lineRule="exact"/>
      <w:jc w:val="right"/>
    </w:pPr>
    <w:rPr>
      <w:rFonts w:ascii="宋体"/>
      <w:sz w:val="21"/>
      <w:szCs w:val="21"/>
      <w:lang w:val="en-US" w:eastAsia="zh-CN" w:bidi="ar-SA"/>
    </w:rPr>
  </w:style>
  <w:style w:type="paragraph" w:customStyle="1" w:styleId="10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b/>
      <w:w w:val="170"/>
      <w:sz w:val="96"/>
      <w:szCs w:val="96"/>
      <w:lang w:val="en-US" w:eastAsia="zh-CN" w:bidi="ar-SA"/>
    </w:rPr>
  </w:style>
  <w:style w:type="paragraph" w:customStyle="1" w:styleId="104">
    <w:name w:val="封面标准英文名称2"/>
    <w:basedOn w:val="58"/>
    <w:qFormat/>
    <w:uiPriority w:val="0"/>
    <w:pPr>
      <w:framePr w:y="4469"/>
    </w:pPr>
  </w:style>
  <w:style w:type="paragraph" w:customStyle="1" w:styleId="105">
    <w:name w:val="标准书眉_奇数页"/>
    <w:next w:val="1"/>
    <w:qFormat/>
    <w:uiPriority w:val="0"/>
    <w:pPr>
      <w:tabs>
        <w:tab w:val="center" w:pos="4154"/>
        <w:tab w:val="right" w:pos="8306"/>
      </w:tabs>
      <w:spacing w:after="220"/>
      <w:jc w:val="right"/>
    </w:pPr>
    <w:rPr>
      <w:rFonts w:ascii="黑体" w:eastAsia="黑体"/>
      <w:sz w:val="21"/>
      <w:szCs w:val="21"/>
      <w:lang w:val="en-US" w:eastAsia="zh-CN" w:bidi="ar-SA"/>
    </w:rPr>
  </w:style>
  <w:style w:type="paragraph" w:customStyle="1" w:styleId="106">
    <w:name w:val="示例"/>
    <w:next w:val="99"/>
    <w:qFormat/>
    <w:uiPriority w:val="0"/>
    <w:pPr>
      <w:widowControl w:val="0"/>
      <w:ind w:firstLine="363"/>
      <w:jc w:val="both"/>
    </w:pPr>
    <w:rPr>
      <w:rFonts w:ascii="宋体"/>
      <w:sz w:val="18"/>
      <w:szCs w:val="18"/>
      <w:lang w:val="en-US" w:eastAsia="zh-CN" w:bidi="ar-SA"/>
    </w:rPr>
  </w:style>
  <w:style w:type="paragraph" w:customStyle="1" w:styleId="107">
    <w:name w:val="正文图标题"/>
    <w:next w:val="24"/>
    <w:qFormat/>
    <w:uiPriority w:val="0"/>
    <w:pPr>
      <w:tabs>
        <w:tab w:val="left" w:pos="360"/>
      </w:tabs>
      <w:spacing w:beforeLines="50" w:afterLines="50"/>
      <w:jc w:val="center"/>
    </w:pPr>
    <w:rPr>
      <w:rFonts w:ascii="黑体" w:eastAsia="黑体"/>
      <w:sz w:val="21"/>
      <w:lang w:val="en-US" w:eastAsia="zh-CN" w:bidi="ar-SA"/>
    </w:rPr>
  </w:style>
  <w:style w:type="paragraph" w:customStyle="1" w:styleId="108">
    <w:name w:val="封面正文"/>
    <w:qFormat/>
    <w:uiPriority w:val="0"/>
    <w:pPr>
      <w:jc w:val="both"/>
    </w:pPr>
    <w:rPr>
      <w:lang w:val="en-US" w:eastAsia="zh-CN" w:bidi="ar-SA"/>
    </w:rPr>
  </w:style>
  <w:style w:type="paragraph" w:customStyle="1" w:styleId="109">
    <w:name w:val="附录五级条标题"/>
    <w:basedOn w:val="96"/>
    <w:next w:val="24"/>
    <w:qFormat/>
    <w:uiPriority w:val="0"/>
    <w:pPr>
      <w:numPr>
        <w:ilvl w:val="6"/>
      </w:numPr>
      <w:outlineLvl w:val="6"/>
    </w:pPr>
  </w:style>
  <w:style w:type="paragraph" w:customStyle="1" w:styleId="110">
    <w:name w:val="附录图标号"/>
    <w:basedOn w:val="1"/>
    <w:qFormat/>
    <w:uiPriority w:val="0"/>
    <w:pPr>
      <w:keepNext/>
      <w:pageBreakBefore/>
      <w:widowControl/>
      <w:numPr>
        <w:ilvl w:val="0"/>
        <w:numId w:val="7"/>
      </w:numPr>
      <w:spacing w:line="14" w:lineRule="exact"/>
      <w:ind w:left="0" w:firstLine="363"/>
      <w:jc w:val="center"/>
      <w:outlineLvl w:val="0"/>
    </w:pPr>
    <w:rPr>
      <w:color w:val="FFFFFF"/>
    </w:rPr>
  </w:style>
  <w:style w:type="paragraph" w:customStyle="1" w:styleId="111">
    <w:name w:val="标准书眉_偶数页"/>
    <w:basedOn w:val="105"/>
    <w:next w:val="1"/>
    <w:qFormat/>
    <w:uiPriority w:val="0"/>
    <w:pPr>
      <w:jc w:val="left"/>
    </w:pPr>
  </w:style>
  <w:style w:type="paragraph" w:customStyle="1" w:styleId="112">
    <w:name w:val="条文脚注"/>
    <w:basedOn w:val="25"/>
    <w:qFormat/>
    <w:uiPriority w:val="0"/>
    <w:pPr>
      <w:numPr>
        <w:ilvl w:val="0"/>
        <w:numId w:val="0"/>
      </w:numPr>
      <w:jc w:val="both"/>
    </w:pPr>
  </w:style>
  <w:style w:type="paragraph" w:styleId="113">
    <w:name w:val="List Paragraph"/>
    <w:basedOn w:val="1"/>
    <w:qFormat/>
    <w:uiPriority w:val="34"/>
    <w:pPr>
      <w:ind w:firstLine="420" w:firstLineChars="200"/>
    </w:pPr>
  </w:style>
  <w:style w:type="paragraph" w:customStyle="1" w:styleId="114">
    <w:name w:val="注×："/>
    <w:qFormat/>
    <w:uiPriority w:val="0"/>
    <w:pPr>
      <w:widowControl w:val="0"/>
      <w:autoSpaceDE w:val="0"/>
      <w:autoSpaceDN w:val="0"/>
      <w:ind w:left="811" w:hanging="448"/>
      <w:jc w:val="both"/>
    </w:pPr>
    <w:rPr>
      <w:rFonts w:ascii="宋体"/>
      <w:sz w:val="18"/>
      <w:szCs w:val="18"/>
      <w:lang w:val="en-US" w:eastAsia="zh-CN" w:bidi="ar-SA"/>
    </w:rPr>
  </w:style>
  <w:style w:type="paragraph" w:customStyle="1" w:styleId="115">
    <w:name w:val="列项说明数字编号"/>
    <w:qFormat/>
    <w:uiPriority w:val="0"/>
    <w:pPr>
      <w:ind w:left="600" w:leftChars="400" w:hanging="200" w:hangingChars="200"/>
    </w:pPr>
    <w:rPr>
      <w:rFonts w:ascii="宋体"/>
      <w:sz w:val="21"/>
      <w:lang w:val="en-US" w:eastAsia="zh-CN" w:bidi="ar-SA"/>
    </w:rPr>
  </w:style>
  <w:style w:type="paragraph" w:customStyle="1" w:styleId="116">
    <w:name w:val="附录公式编号制表符"/>
    <w:basedOn w:val="1"/>
    <w:next w:val="24"/>
    <w:qFormat/>
    <w:uiPriority w:val="0"/>
    <w:pPr>
      <w:widowControl/>
      <w:tabs>
        <w:tab w:val="center" w:pos="4201"/>
        <w:tab w:val="right" w:leader="dot" w:pos="9298"/>
      </w:tabs>
      <w:autoSpaceDE w:val="0"/>
      <w:autoSpaceDN w:val="0"/>
    </w:pPr>
    <w:rPr>
      <w:rFonts w:ascii="宋体"/>
      <w:kern w:val="0"/>
      <w:szCs w:val="20"/>
    </w:rPr>
  </w:style>
  <w:style w:type="paragraph" w:customStyle="1" w:styleId="117">
    <w:name w:val="终结线"/>
    <w:basedOn w:val="1"/>
    <w:qFormat/>
    <w:uiPriority w:val="0"/>
    <w:pPr>
      <w:framePr w:hSpace="181" w:vSpace="181" w:wrap="around" w:vAnchor="text" w:hAnchor="margin" w:xAlign="center" w:y="285"/>
    </w:pPr>
  </w:style>
  <w:style w:type="paragraph" w:customStyle="1" w:styleId="118">
    <w:name w:val="编号列项（三级）"/>
    <w:qFormat/>
    <w:uiPriority w:val="0"/>
    <w:pPr>
      <w:numPr>
        <w:ilvl w:val="2"/>
        <w:numId w:val="8"/>
      </w:numPr>
    </w:pPr>
    <w:rPr>
      <w:rFonts w:ascii="宋体"/>
      <w:sz w:val="21"/>
      <w:lang w:val="en-US" w:eastAsia="zh-CN" w:bidi="ar-SA"/>
    </w:rPr>
  </w:style>
  <w:style w:type="paragraph" w:customStyle="1" w:styleId="119">
    <w:name w:val="五级条标题"/>
    <w:basedOn w:val="87"/>
    <w:next w:val="24"/>
    <w:qFormat/>
    <w:uiPriority w:val="0"/>
    <w:pPr>
      <w:numPr>
        <w:ilvl w:val="5"/>
      </w:numPr>
      <w:outlineLvl w:val="6"/>
    </w:pPr>
  </w:style>
  <w:style w:type="paragraph" w:customStyle="1" w:styleId="120">
    <w:name w:val="附录二级无"/>
    <w:basedOn w:val="72"/>
    <w:qFormat/>
    <w:uiPriority w:val="0"/>
    <w:pPr>
      <w:tabs>
        <w:tab w:val="clear" w:pos="360"/>
      </w:tabs>
      <w:spacing w:beforeLines="0" w:afterLines="0"/>
    </w:pPr>
    <w:rPr>
      <w:rFonts w:ascii="宋体" w:eastAsia="宋体"/>
      <w:szCs w:val="21"/>
    </w:rPr>
  </w:style>
  <w:style w:type="paragraph" w:customStyle="1" w:styleId="121">
    <w:name w:val="图标脚注说明"/>
    <w:basedOn w:val="24"/>
    <w:qFormat/>
    <w:uiPriority w:val="0"/>
    <w:pPr>
      <w:ind w:left="840" w:hanging="420" w:firstLineChars="0"/>
    </w:pPr>
    <w:rPr>
      <w:sz w:val="18"/>
      <w:szCs w:val="18"/>
    </w:rPr>
  </w:style>
  <w:style w:type="paragraph" w:customStyle="1" w:styleId="122">
    <w:name w:val="图表脚注说明"/>
    <w:basedOn w:val="1"/>
    <w:qFormat/>
    <w:uiPriority w:val="0"/>
    <w:pPr>
      <w:ind w:left="544" w:hanging="181"/>
    </w:pPr>
    <w:rPr>
      <w:rFonts w:ascii="宋体"/>
      <w:sz w:val="18"/>
      <w:szCs w:val="18"/>
    </w:rPr>
  </w:style>
  <w:style w:type="paragraph" w:customStyle="1" w:styleId="123">
    <w:name w:val="标准书脚_奇数页"/>
    <w:qFormat/>
    <w:uiPriority w:val="0"/>
    <w:pPr>
      <w:spacing w:before="120"/>
      <w:ind w:right="198"/>
      <w:jc w:val="right"/>
    </w:pPr>
    <w:rPr>
      <w:rFonts w:ascii="宋体"/>
      <w:sz w:val="18"/>
      <w:szCs w:val="18"/>
      <w:lang w:val="en-US" w:eastAsia="zh-CN" w:bidi="ar-SA"/>
    </w:rPr>
  </w:style>
  <w:style w:type="paragraph" w:customStyle="1" w:styleId="124">
    <w:name w:val="前言、引言标题"/>
    <w:next w:val="24"/>
    <w:qFormat/>
    <w:uiPriority w:val="0"/>
    <w:pPr>
      <w:keepNext/>
      <w:pageBreakBefore/>
      <w:shd w:val="clear" w:color="FFFFFF" w:fill="FFFFFF"/>
      <w:spacing w:before="640" w:after="560"/>
      <w:jc w:val="center"/>
      <w:outlineLvl w:val="0"/>
    </w:pPr>
    <w:rPr>
      <w:rFonts w:ascii="黑体" w:eastAsia="黑体"/>
      <w:sz w:val="32"/>
      <w:lang w:val="en-US" w:eastAsia="zh-CN" w:bidi="ar-SA"/>
    </w:rPr>
  </w:style>
  <w:style w:type="paragraph" w:customStyle="1" w:styleId="125">
    <w:name w:val="附录五级无"/>
    <w:basedOn w:val="109"/>
    <w:qFormat/>
    <w:uiPriority w:val="0"/>
    <w:pPr>
      <w:tabs>
        <w:tab w:val="clear" w:pos="360"/>
      </w:tabs>
      <w:spacing w:beforeLines="0" w:afterLines="0"/>
    </w:pPr>
    <w:rPr>
      <w:rFonts w:ascii="宋体" w:eastAsia="宋体"/>
      <w:szCs w:val="21"/>
    </w:rPr>
  </w:style>
  <w:style w:type="paragraph" w:customStyle="1" w:styleId="126">
    <w:name w:val="五级无"/>
    <w:basedOn w:val="119"/>
    <w:qFormat/>
    <w:uiPriority w:val="0"/>
    <w:pPr>
      <w:spacing w:beforeLines="0" w:afterLines="0"/>
    </w:pPr>
    <w:rPr>
      <w:rFonts w:ascii="宋体" w:eastAsia="宋体"/>
    </w:rPr>
  </w:style>
  <w:style w:type="paragraph" w:customStyle="1" w:styleId="127">
    <w:name w:val="二级无"/>
    <w:basedOn w:val="68"/>
    <w:qFormat/>
    <w:uiPriority w:val="0"/>
    <w:pPr>
      <w:spacing w:beforeLines="0" w:afterLines="0"/>
    </w:pPr>
    <w:rPr>
      <w:rFonts w:ascii="宋体" w:eastAsia="宋体"/>
    </w:rPr>
  </w:style>
  <w:style w:type="paragraph" w:customStyle="1" w:styleId="128">
    <w:name w:val="目次、索引正文"/>
    <w:qFormat/>
    <w:uiPriority w:val="0"/>
    <w:pPr>
      <w:spacing w:line="320" w:lineRule="exact"/>
      <w:jc w:val="both"/>
    </w:pPr>
    <w:rPr>
      <w:rFonts w:ascii="宋体"/>
      <w:sz w:val="21"/>
      <w:lang w:val="en-US" w:eastAsia="zh-CN" w:bidi="ar-SA"/>
    </w:rPr>
  </w:style>
  <w:style w:type="paragraph" w:customStyle="1" w:styleId="129">
    <w:name w:val="封面标准名称2"/>
    <w:basedOn w:val="59"/>
    <w:qFormat/>
    <w:uiPriority w:val="0"/>
    <w:pPr>
      <w:framePr w:y="4469"/>
      <w:spacing w:beforeLines="630"/>
    </w:pPr>
  </w:style>
  <w:style w:type="paragraph" w:customStyle="1" w:styleId="130">
    <w:name w:val="附录四级无"/>
    <w:basedOn w:val="96"/>
    <w:qFormat/>
    <w:uiPriority w:val="0"/>
    <w:pPr>
      <w:tabs>
        <w:tab w:val="clear" w:pos="360"/>
      </w:tabs>
      <w:spacing w:beforeLines="0" w:afterLines="0"/>
    </w:pPr>
    <w:rPr>
      <w:rFonts w:ascii="宋体" w:eastAsia="宋体"/>
      <w:szCs w:val="21"/>
    </w:rPr>
  </w:style>
  <w:style w:type="paragraph" w:customStyle="1" w:styleId="131">
    <w:name w:val="附录标题"/>
    <w:basedOn w:val="24"/>
    <w:next w:val="24"/>
    <w:qFormat/>
    <w:uiPriority w:val="0"/>
    <w:pPr>
      <w:ind w:firstLine="0" w:firstLineChars="0"/>
      <w:jc w:val="center"/>
    </w:pPr>
    <w:rPr>
      <w:rFonts w:ascii="黑体" w:eastAsia="黑体"/>
    </w:rPr>
  </w:style>
  <w:style w:type="paragraph" w:customStyle="1" w:styleId="132">
    <w:name w:val="正文表标题"/>
    <w:next w:val="24"/>
    <w:qFormat/>
    <w:uiPriority w:val="0"/>
    <w:pPr>
      <w:tabs>
        <w:tab w:val="left" w:pos="360"/>
      </w:tabs>
      <w:spacing w:beforeLines="50" w:afterLines="50"/>
      <w:jc w:val="center"/>
    </w:pPr>
    <w:rPr>
      <w:rFonts w:ascii="黑体" w:eastAsia="黑体"/>
      <w:sz w:val="21"/>
      <w:lang w:val="en-US" w:eastAsia="zh-CN" w:bidi="ar-SA"/>
    </w:rPr>
  </w:style>
  <w:style w:type="paragraph" w:customStyle="1" w:styleId="133">
    <w:name w:val="目次、标准名称标题"/>
    <w:basedOn w:val="1"/>
    <w:next w:val="2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34">
    <w:name w:val="封面标准号1"/>
    <w:qFormat/>
    <w:uiPriority w:val="0"/>
    <w:pPr>
      <w:widowControl w:val="0"/>
      <w:kinsoku w:val="0"/>
      <w:overflowPunct w:val="0"/>
      <w:autoSpaceDE w:val="0"/>
      <w:autoSpaceDN w:val="0"/>
      <w:spacing w:before="308"/>
      <w:jc w:val="right"/>
      <w:textAlignment w:val="center"/>
    </w:pPr>
    <w:rPr>
      <w:sz w:val="28"/>
      <w:lang w:val="en-US" w:eastAsia="zh-CN" w:bidi="ar-SA"/>
    </w:rPr>
  </w:style>
  <w:style w:type="paragraph" w:customStyle="1" w:styleId="135">
    <w:name w:val="示例后文字"/>
    <w:basedOn w:val="24"/>
    <w:next w:val="24"/>
    <w:qFormat/>
    <w:uiPriority w:val="0"/>
    <w:pPr>
      <w:ind w:firstLine="360"/>
    </w:pPr>
    <w:rPr>
      <w:sz w:val="18"/>
    </w:rPr>
  </w:style>
  <w:style w:type="paragraph" w:customStyle="1" w:styleId="136">
    <w:name w:val="列项●（二级）"/>
    <w:qFormat/>
    <w:uiPriority w:val="0"/>
    <w:pPr>
      <w:numPr>
        <w:ilvl w:val="1"/>
        <w:numId w:val="4"/>
      </w:numPr>
      <w:tabs>
        <w:tab w:val="left" w:pos="840"/>
      </w:tabs>
      <w:jc w:val="both"/>
    </w:pPr>
    <w:rPr>
      <w:rFonts w:ascii="宋体"/>
      <w:sz w:val="21"/>
      <w:lang w:val="en-US" w:eastAsia="zh-CN" w:bidi="ar-SA"/>
    </w:rPr>
  </w:style>
  <w:style w:type="paragraph" w:customStyle="1" w:styleId="137">
    <w:name w:val="三级无"/>
    <w:basedOn w:val="80"/>
    <w:qFormat/>
    <w:uiPriority w:val="0"/>
    <w:pPr>
      <w:spacing w:beforeLines="0" w:afterLines="0"/>
    </w:pPr>
    <w:rPr>
      <w:rFonts w:ascii="宋体" w:eastAsia="宋体"/>
    </w:rPr>
  </w:style>
  <w:style w:type="paragraph" w:customStyle="1" w:styleId="138">
    <w:name w:val="参考文献、索引标题"/>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39">
    <w:name w:val="其他标准标志"/>
    <w:basedOn w:val="103"/>
    <w:qFormat/>
    <w:uiPriority w:val="0"/>
    <w:pPr>
      <w:framePr w:w="6101" w:vAnchor="page" w:hAnchor="page" w:x="4673" w:y="942"/>
    </w:pPr>
    <w:rPr>
      <w:w w:val="130"/>
    </w:rPr>
  </w:style>
  <w:style w:type="paragraph" w:customStyle="1" w:styleId="140">
    <w:name w:val="注×：（正文）"/>
    <w:qFormat/>
    <w:uiPriority w:val="0"/>
    <w:pPr>
      <w:numPr>
        <w:ilvl w:val="0"/>
        <w:numId w:val="9"/>
      </w:numPr>
      <w:jc w:val="both"/>
    </w:pPr>
    <w:rPr>
      <w:rFonts w:ascii="宋体"/>
      <w:sz w:val="18"/>
      <w:szCs w:val="18"/>
      <w:lang w:val="en-US" w:eastAsia="zh-CN" w:bidi="ar-SA"/>
    </w:rPr>
  </w:style>
  <w:style w:type="character" w:customStyle="1" w:styleId="141">
    <w:name w:val="thisit"/>
    <w:uiPriority w:val="0"/>
  </w:style>
  <w:style w:type="character" w:customStyle="1" w:styleId="142">
    <w:name w:val="sysj"/>
    <w:uiPriority w:val="0"/>
  </w:style>
  <w:style w:type="character" w:customStyle="1" w:styleId="143">
    <w:name w:val="bzmc"/>
    <w:uiPriority w:val="0"/>
  </w:style>
  <w:style w:type="character" w:customStyle="1" w:styleId="144">
    <w:name w:val="bzmc1"/>
    <w:uiPriority w:val="0"/>
  </w:style>
  <w:style w:type="character" w:customStyle="1" w:styleId="145">
    <w:name w:val="bzmc2"/>
    <w:uiPriority w:val="0"/>
  </w:style>
  <w:style w:type="character" w:customStyle="1" w:styleId="146">
    <w:name w:val="bzrq"/>
    <w:uiPriority w:val="0"/>
  </w:style>
  <w:style w:type="character" w:customStyle="1" w:styleId="147">
    <w:name w:val="f_r6"/>
    <w:uiPriority w:val="0"/>
  </w:style>
  <w:style w:type="paragraph" w:customStyle="1" w:styleId="148">
    <w:name w:val="WPSOffice手动目录 1"/>
    <w:uiPriority w:val="0"/>
    <w:rPr>
      <w:lang w:val="en-US" w:eastAsia="zh-CN" w:bidi="ar-SA"/>
    </w:rPr>
  </w:style>
  <w:style w:type="paragraph" w:customStyle="1" w:styleId="149">
    <w:name w:val="WPSOffice手动目录 2"/>
    <w:uiPriority w:val="0"/>
    <w:pPr>
      <w:ind w:leftChars="200"/>
    </w:pPr>
    <w:rPr>
      <w:lang w:val="en-US" w:eastAsia="zh-CN" w:bidi="ar-SA"/>
    </w:rPr>
  </w:style>
  <w:style w:type="paragraph" w:styleId="150">
    <w:name w:val=""/>
    <w:unhideWhenUsed/>
    <w:uiPriority w:val="99"/>
    <w:rPr>
      <w:kern w:val="2"/>
      <w:sz w:val="21"/>
      <w:szCs w:val="24"/>
      <w:lang w:val="en-US" w:eastAsia="zh-CN" w:bidi="ar-SA"/>
    </w:rPr>
  </w:style>
  <w:style w:type="paragraph" w:styleId="151">
    <w:name w:val=""/>
    <w:basedOn w:val="2"/>
    <w:next w:val="1"/>
    <w:unhideWhenUsed/>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paragraph" w:customStyle="1" w:styleId="152">
    <w:name w:val="列表段落1"/>
    <w:basedOn w:val="1"/>
    <w:qFormat/>
    <w:uiPriority w:val="99"/>
    <w:pPr>
      <w:adjustRightInd/>
      <w:ind w:firstLine="420" w:firstLineChars="200"/>
    </w:pPr>
    <w:rPr>
      <w:rFonts w:ascii="Times New Roman" w:hAnsi="Times New Roman"/>
      <w:szCs w:val="24"/>
    </w:rPr>
  </w:style>
  <w:style w:type="table" w:customStyle="1" w:styleId="153">
    <w:name w:val="Table Normal"/>
    <w:unhideWhenUsed/>
    <w:qFormat/>
    <w:uiPriority w:val="0"/>
    <w:tblPr>
      <w:tblStyle w:val="32"/>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y\Desktop\&#26631;&#20934;&#32534;&#20889;&#33609;&#26696;%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标准编写草案 模板.dot</Template>
  <Company>zle</Company>
  <Pages>19</Pages>
  <Words>739</Words>
  <Characters>1083</Characters>
  <Lines>112</Lines>
  <Paragraphs>31</Paragraphs>
  <TotalTime>38</TotalTime>
  <ScaleCrop>false</ScaleCrop>
  <LinksUpToDate>false</LinksUpToDate>
  <CharactersWithSpaces>1251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2024-12-13T08:09:00Z</dcterms:created>
  <dc:creator>郑玉艳</dc:creator>
  <cp:lastModifiedBy>马晓静</cp:lastModifiedBy>
  <cp:lastPrinted>2021-03-29T06:32:00Z</cp:lastPrinted>
  <dcterms:modified xsi:type="dcterms:W3CDTF">2025-01-06T02:05:58Z</dcterms:modified>
  <dc:title>标准名称</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1EB38049B20245B2955E0F301D23064B_13</vt:lpwstr>
  </property>
  <property fmtid="{D5CDD505-2E9C-101B-9397-08002B2CF9AE}" pid="4" name="KSOTemplateDocerSaveRecord">
    <vt:lpwstr>eyJoZGlkIjoiYjg2YTNhNzdlYjkyYTE2YzI1NGNkZjhhZDQxMmI0ZTYiLCJ1c2VySWQiOiI4MjI4MDUzMDEifQ==</vt:lpwstr>
  </property>
</Properties>
</file>