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FB6E9">
      <w:pPr>
        <w:spacing w:before="173" w:line="188" w:lineRule="auto"/>
        <w:ind w:left="2726"/>
        <w:rPr>
          <w:rFonts w:hint="eastAsia" w:ascii="微软雅黑" w:hAnsi="微软雅黑" w:eastAsia="微软雅黑" w:cs="微软雅黑"/>
          <w:color w:val="000000" w:themeColor="text1"/>
          <w:sz w:val="31"/>
          <w:szCs w:val="31"/>
          <w14:textFill>
            <w14:solidFill>
              <w14:schemeClr w14:val="tx1"/>
            </w14:solidFill>
          </w14:textFill>
        </w:rPr>
      </w:pPr>
      <w:r>
        <w:rPr>
          <w:rFonts w:ascii="微软雅黑" w:hAnsi="微软雅黑" w:eastAsia="微软雅黑" w:cs="微软雅黑"/>
          <w:color w:val="000000" w:themeColor="text1"/>
          <w:spacing w:val="12"/>
          <w:sz w:val="31"/>
          <w:szCs w:val="31"/>
          <w14:textFill>
            <w14:solidFill>
              <w14:schemeClr w14:val="tx1"/>
            </w14:solidFill>
          </w14:textFill>
        </w:rPr>
        <w:t>安</w:t>
      </w:r>
      <w:r>
        <w:rPr>
          <w:rFonts w:ascii="微软雅黑" w:hAnsi="微软雅黑" w:eastAsia="微软雅黑" w:cs="微软雅黑"/>
          <w:color w:val="000000" w:themeColor="text1"/>
          <w:spacing w:val="9"/>
          <w:sz w:val="31"/>
          <w:szCs w:val="31"/>
          <w14:textFill>
            <w14:solidFill>
              <w14:schemeClr w14:val="tx1"/>
            </w14:solidFill>
          </w14:textFill>
        </w:rPr>
        <w:t>徽省地方标准编制说明</w:t>
      </w:r>
    </w:p>
    <w:p w14:paraId="36AAF768">
      <w:pPr>
        <w:spacing w:line="42" w:lineRule="exact"/>
        <w:rPr>
          <w:color w:val="000000" w:themeColor="text1"/>
          <w14:textFill>
            <w14:solidFill>
              <w14:schemeClr w14:val="tx1"/>
            </w14:solidFill>
          </w14:textFill>
        </w:rPr>
      </w:pPr>
    </w:p>
    <w:tbl>
      <w:tblPr>
        <w:tblStyle w:val="13"/>
        <w:tblW w:w="96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1"/>
        <w:gridCol w:w="975"/>
        <w:gridCol w:w="2575"/>
        <w:gridCol w:w="2684"/>
        <w:gridCol w:w="1277"/>
        <w:gridCol w:w="1424"/>
      </w:tblGrid>
      <w:tr w14:paraId="568698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1656" w:type="dxa"/>
            <w:gridSpan w:val="2"/>
          </w:tcPr>
          <w:p w14:paraId="2D10E9AB">
            <w:pPr>
              <w:spacing w:before="0" w:line="360" w:lineRule="auto"/>
              <w:ind w:left="116" w:right="108" w:firstLine="420"/>
              <w:jc w:val="center"/>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标准名称</w:t>
            </w:r>
          </w:p>
        </w:tc>
        <w:tc>
          <w:tcPr>
            <w:tcW w:w="7960" w:type="dxa"/>
            <w:gridSpan w:val="4"/>
            <w:vAlign w:val="center"/>
          </w:tcPr>
          <w:p w14:paraId="302B8B70">
            <w:pPr>
              <w:spacing w:before="0" w:line="360" w:lineRule="auto"/>
              <w:ind w:right="108"/>
              <w:jc w:val="both"/>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《中小学校团体供餐单位食品安全</w:t>
            </w:r>
            <w:r>
              <w:rPr>
                <w:rFonts w:hint="eastAsia" w:ascii="Times New Roman" w:hAnsi="Times New Roman" w:eastAsia="宋体" w:cs="Times New Roman"/>
                <w:color w:val="000000" w:themeColor="text1"/>
                <w:spacing w:val="7"/>
                <w:sz w:val="21"/>
                <w:szCs w:val="21"/>
                <w:lang w:eastAsia="zh-CN"/>
                <w14:textFill>
                  <w14:solidFill>
                    <w14:schemeClr w14:val="tx1"/>
                  </w14:solidFill>
                </w14:textFill>
              </w:rPr>
              <w:t>管理</w:t>
            </w:r>
            <w:r>
              <w:rPr>
                <w:rFonts w:hint="default" w:ascii="Times New Roman" w:hAnsi="Times New Roman" w:eastAsia="宋体" w:cs="Times New Roman"/>
                <w:color w:val="000000" w:themeColor="text1"/>
                <w:spacing w:val="7"/>
                <w:sz w:val="21"/>
                <w:szCs w:val="21"/>
                <w14:textFill>
                  <w14:solidFill>
                    <w14:schemeClr w14:val="tx1"/>
                  </w14:solidFill>
                </w14:textFill>
              </w:rPr>
              <w:t>规范》</w:t>
            </w:r>
          </w:p>
        </w:tc>
      </w:tr>
      <w:tr w14:paraId="3BCDC7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656" w:type="dxa"/>
            <w:gridSpan w:val="2"/>
          </w:tcPr>
          <w:p w14:paraId="2C95B478">
            <w:pPr>
              <w:spacing w:before="0" w:line="360" w:lineRule="auto"/>
              <w:ind w:right="108"/>
              <w:jc w:val="center"/>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任务来源</w:t>
            </w:r>
          </w:p>
          <w:p w14:paraId="0D010D74">
            <w:pPr>
              <w:spacing w:before="0" w:line="360" w:lineRule="auto"/>
              <w:ind w:right="108"/>
              <w:jc w:val="center"/>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(项目计划号)</w:t>
            </w:r>
          </w:p>
        </w:tc>
        <w:tc>
          <w:tcPr>
            <w:tcW w:w="7960" w:type="dxa"/>
            <w:gridSpan w:val="4"/>
            <w:vAlign w:val="center"/>
          </w:tcPr>
          <w:p w14:paraId="587A715D">
            <w:pPr>
              <w:spacing w:before="0" w:line="360" w:lineRule="auto"/>
              <w:ind w:right="108"/>
              <w:jc w:val="both"/>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《安徽省市场监督管理局关于下达2024年第四批安徽省地方标准制修订计划的通知》(皖市监函〔2024〕524号)</w:t>
            </w:r>
            <w:r>
              <w:rPr>
                <w:rFonts w:hint="eastAsia" w:ascii="Times New Roman" w:hAnsi="Times New Roman" w:eastAsia="宋体" w:cs="Times New Roman"/>
                <w:color w:val="000000" w:themeColor="text1"/>
                <w:spacing w:val="7"/>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7"/>
                <w:sz w:val="21"/>
                <w:szCs w:val="21"/>
                <w14:textFill>
                  <w14:solidFill>
                    <w14:schemeClr w14:val="tx1"/>
                  </w14:solidFill>
                </w14:textFill>
              </w:rPr>
              <w:t>计划项目号：2024-4-3</w:t>
            </w:r>
          </w:p>
        </w:tc>
      </w:tr>
      <w:tr w14:paraId="1C72C3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656" w:type="dxa"/>
            <w:gridSpan w:val="2"/>
          </w:tcPr>
          <w:p w14:paraId="4EE03AC7">
            <w:pPr>
              <w:spacing w:before="0" w:line="360" w:lineRule="auto"/>
              <w:ind w:right="108"/>
              <w:jc w:val="center"/>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第一起草单位</w:t>
            </w:r>
          </w:p>
          <w:p w14:paraId="0CFB720E">
            <w:pPr>
              <w:spacing w:before="0" w:line="360" w:lineRule="auto"/>
              <w:ind w:right="108"/>
              <w:jc w:val="center"/>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（盖章）</w:t>
            </w:r>
          </w:p>
        </w:tc>
        <w:tc>
          <w:tcPr>
            <w:tcW w:w="7960" w:type="dxa"/>
            <w:gridSpan w:val="4"/>
            <w:vAlign w:val="center"/>
          </w:tcPr>
          <w:p w14:paraId="027447E1">
            <w:pPr>
              <w:spacing w:before="0" w:line="360" w:lineRule="auto"/>
              <w:ind w:right="108"/>
              <w:jc w:val="both"/>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六安市市场监管局</w:t>
            </w:r>
          </w:p>
        </w:tc>
      </w:tr>
      <w:tr w14:paraId="6AFA3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656" w:type="dxa"/>
            <w:gridSpan w:val="2"/>
          </w:tcPr>
          <w:p w14:paraId="5B986939">
            <w:pPr>
              <w:spacing w:before="0" w:line="360" w:lineRule="auto"/>
              <w:ind w:right="108"/>
              <w:jc w:val="center"/>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单位地址</w:t>
            </w:r>
          </w:p>
        </w:tc>
        <w:tc>
          <w:tcPr>
            <w:tcW w:w="7960" w:type="dxa"/>
            <w:gridSpan w:val="4"/>
            <w:vAlign w:val="center"/>
          </w:tcPr>
          <w:p w14:paraId="3646B6B3">
            <w:pPr>
              <w:spacing w:before="0" w:line="360" w:lineRule="auto"/>
              <w:ind w:right="108"/>
              <w:jc w:val="both"/>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六安市金安区长安南路市市场监管局</w:t>
            </w:r>
          </w:p>
        </w:tc>
      </w:tr>
      <w:tr w14:paraId="4ECDF4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656" w:type="dxa"/>
            <w:gridSpan w:val="2"/>
          </w:tcPr>
          <w:p w14:paraId="5186C1F0">
            <w:pPr>
              <w:spacing w:before="0" w:line="360" w:lineRule="auto"/>
              <w:ind w:right="108"/>
              <w:jc w:val="center"/>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参与起草单位</w:t>
            </w:r>
          </w:p>
        </w:tc>
        <w:tc>
          <w:tcPr>
            <w:tcW w:w="7960" w:type="dxa"/>
            <w:gridSpan w:val="4"/>
            <w:vAlign w:val="center"/>
          </w:tcPr>
          <w:p w14:paraId="4DFBE9AF">
            <w:pPr>
              <w:spacing w:before="0" w:line="360" w:lineRule="auto"/>
              <w:ind w:right="108"/>
              <w:jc w:val="both"/>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合肥工业大学、六安市食品药品检验中心、六安市裕安区教育局、六安市裕安区紫荆小学、合肥工业大学附属中学</w:t>
            </w:r>
          </w:p>
        </w:tc>
      </w:tr>
      <w:tr w14:paraId="02F3B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9616" w:type="dxa"/>
            <w:gridSpan w:val="6"/>
          </w:tcPr>
          <w:p w14:paraId="3BDAECC5">
            <w:pPr>
              <w:spacing w:before="0" w:line="360" w:lineRule="auto"/>
              <w:ind w:left="116" w:right="108" w:firstLine="420"/>
              <w:jc w:val="center"/>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标准起草人</w:t>
            </w:r>
          </w:p>
          <w:p w14:paraId="1030FBEB">
            <w:pPr>
              <w:spacing w:before="0" w:line="360" w:lineRule="auto"/>
              <w:ind w:left="116" w:right="108" w:firstLine="420"/>
              <w:jc w:val="center"/>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(全部起草人，应与标准文本前言中起草人排序一致)</w:t>
            </w:r>
          </w:p>
        </w:tc>
      </w:tr>
      <w:tr w14:paraId="6F3916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81" w:type="dxa"/>
            <w:vAlign w:val="center"/>
          </w:tcPr>
          <w:p w14:paraId="15481EAA">
            <w:pPr>
              <w:spacing w:before="0"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Outline w14:w="3797" w14:cap="sq" w14:cmpd="sng" w14:algn="ctr">
                  <w14:solidFill>
                    <w14:srgbClr w14:val="000000"/>
                  </w14:solidFill>
                  <w14:prstDash w14:val="solid"/>
                  <w14:bevel/>
                </w14:textOutline>
                <w14:textFill>
                  <w14:solidFill>
                    <w14:schemeClr w14:val="tx1"/>
                  </w14:solidFill>
                </w14:textFill>
              </w:rPr>
              <w:t>序号</w:t>
            </w:r>
          </w:p>
        </w:tc>
        <w:tc>
          <w:tcPr>
            <w:tcW w:w="975" w:type="dxa"/>
            <w:vAlign w:val="center"/>
          </w:tcPr>
          <w:p w14:paraId="5C8823DE">
            <w:pPr>
              <w:spacing w:before="0"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Outline w14:w="3797" w14:cap="sq" w14:cmpd="sng" w14:algn="ctr">
                  <w14:solidFill>
                    <w14:srgbClr w14:val="000000"/>
                  </w14:solidFill>
                  <w14:prstDash w14:val="solid"/>
                  <w14:bevel/>
                </w14:textOutline>
                <w14:textFill>
                  <w14:solidFill>
                    <w14:schemeClr w14:val="tx1"/>
                  </w14:solidFill>
                </w14:textFill>
              </w:rPr>
              <w:t>姓名</w:t>
            </w:r>
          </w:p>
        </w:tc>
        <w:tc>
          <w:tcPr>
            <w:tcW w:w="2575" w:type="dxa"/>
            <w:vAlign w:val="center"/>
          </w:tcPr>
          <w:p w14:paraId="055BC3BE">
            <w:pPr>
              <w:spacing w:before="0"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5"/>
                <w:sz w:val="21"/>
                <w:szCs w:val="21"/>
                <w14:textOutline w14:w="3797" w14:cap="sq" w14:cmpd="sng" w14:algn="ctr">
                  <w14:solidFill>
                    <w14:srgbClr w14:val="000000"/>
                  </w14:solidFill>
                  <w14:prstDash w14:val="solid"/>
                  <w14:bevel/>
                </w14:textOutline>
                <w14:textFill>
                  <w14:solidFill>
                    <w14:schemeClr w14:val="tx1"/>
                  </w14:solidFill>
                </w14:textFill>
              </w:rPr>
              <w:t>单位</w:t>
            </w:r>
          </w:p>
        </w:tc>
        <w:tc>
          <w:tcPr>
            <w:tcW w:w="2684" w:type="dxa"/>
            <w:vAlign w:val="center"/>
          </w:tcPr>
          <w:p w14:paraId="4AAF6813">
            <w:pPr>
              <w:spacing w:before="0"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Outline w14:w="3797" w14:cap="sq" w14:cmpd="sng" w14:algn="ctr">
                  <w14:solidFill>
                    <w14:srgbClr w14:val="000000"/>
                  </w14:solidFill>
                  <w14:prstDash w14:val="solid"/>
                  <w14:bevel/>
                </w14:textOutline>
                <w14:textFill>
                  <w14:solidFill>
                    <w14:schemeClr w14:val="tx1"/>
                  </w14:solidFill>
                </w14:textFill>
              </w:rPr>
              <w:t>职</w:t>
            </w:r>
            <w:r>
              <w:rPr>
                <w:rFonts w:hint="default" w:ascii="Times New Roman" w:hAnsi="Times New Roman" w:eastAsia="宋体" w:cs="Times New Roman"/>
                <w:color w:val="000000" w:themeColor="text1"/>
                <w:spacing w:val="5"/>
                <w:sz w:val="21"/>
                <w:szCs w:val="21"/>
                <w14:textOutline w14:w="3797" w14:cap="sq" w14:cmpd="sng" w14:algn="ctr">
                  <w14:solidFill>
                    <w14:srgbClr w14:val="000000"/>
                  </w14:solidFill>
                  <w14:prstDash w14:val="solid"/>
                  <w14:bevel/>
                </w14:textOutline>
                <w14:textFill>
                  <w14:solidFill>
                    <w14:schemeClr w14:val="tx1"/>
                  </w14:solidFill>
                </w14:textFill>
              </w:rPr>
              <w:t>务</w:t>
            </w:r>
          </w:p>
        </w:tc>
        <w:tc>
          <w:tcPr>
            <w:tcW w:w="1277" w:type="dxa"/>
            <w:vAlign w:val="center"/>
          </w:tcPr>
          <w:p w14:paraId="0C0EA638">
            <w:pPr>
              <w:spacing w:before="0"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Outline w14:w="3797" w14:cap="sq" w14:cmpd="sng" w14:algn="ctr">
                  <w14:solidFill>
                    <w14:srgbClr w14:val="000000"/>
                  </w14:solidFill>
                  <w14:prstDash w14:val="solid"/>
                  <w14:bevel/>
                </w14:textOutline>
                <w14:textFill>
                  <w14:solidFill>
                    <w14:schemeClr w14:val="tx1"/>
                  </w14:solidFill>
                </w14:textFill>
              </w:rPr>
              <w:t>职</w:t>
            </w:r>
            <w:r>
              <w:rPr>
                <w:rFonts w:hint="default" w:ascii="Times New Roman" w:hAnsi="Times New Roman" w:eastAsia="宋体" w:cs="Times New Roman"/>
                <w:color w:val="000000" w:themeColor="text1"/>
                <w:spacing w:val="5"/>
                <w:sz w:val="21"/>
                <w:szCs w:val="21"/>
                <w14:textOutline w14:w="3797" w14:cap="sq" w14:cmpd="sng" w14:algn="ctr">
                  <w14:solidFill>
                    <w14:srgbClr w14:val="000000"/>
                  </w14:solidFill>
                  <w14:prstDash w14:val="solid"/>
                  <w14:bevel/>
                </w14:textOutline>
                <w14:textFill>
                  <w14:solidFill>
                    <w14:schemeClr w14:val="tx1"/>
                  </w14:solidFill>
                </w14:textFill>
              </w:rPr>
              <w:t>称</w:t>
            </w:r>
          </w:p>
        </w:tc>
        <w:tc>
          <w:tcPr>
            <w:tcW w:w="1424" w:type="dxa"/>
            <w:vAlign w:val="center"/>
          </w:tcPr>
          <w:p w14:paraId="697EDC46">
            <w:pPr>
              <w:spacing w:before="0"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Outline w14:w="3797" w14:cap="sq" w14:cmpd="sng" w14:algn="ctr">
                  <w14:solidFill>
                    <w14:srgbClr w14:val="000000"/>
                  </w14:solidFill>
                  <w14:prstDash w14:val="solid"/>
                  <w14:bevel/>
                </w14:textOutline>
                <w14:textFill>
                  <w14:solidFill>
                    <w14:schemeClr w14:val="tx1"/>
                  </w14:solidFill>
                </w14:textFill>
              </w:rPr>
              <w:t>电</w:t>
            </w:r>
            <w:r>
              <w:rPr>
                <w:rFonts w:hint="default" w:ascii="Times New Roman" w:hAnsi="Times New Roman" w:eastAsia="宋体" w:cs="Times New Roman"/>
                <w:color w:val="000000" w:themeColor="text1"/>
                <w:spacing w:val="-6"/>
                <w:sz w:val="21"/>
                <w:szCs w:val="21"/>
                <w14:textOutline w14:w="3797" w14:cap="sq" w14:cmpd="sng" w14:algn="ctr">
                  <w14:solidFill>
                    <w14:srgbClr w14:val="000000"/>
                  </w14:solidFill>
                  <w14:prstDash w14:val="solid"/>
                  <w14:bevel/>
                </w14:textOutline>
                <w14:textFill>
                  <w14:solidFill>
                    <w14:schemeClr w14:val="tx1"/>
                  </w14:solidFill>
                </w14:textFill>
              </w:rPr>
              <w:t>话</w:t>
            </w:r>
          </w:p>
        </w:tc>
      </w:tr>
      <w:tr w14:paraId="44DF4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681" w:type="dxa"/>
            <w:vAlign w:val="center"/>
          </w:tcPr>
          <w:p w14:paraId="73B43C72">
            <w:pPr>
              <w:spacing w:line="360" w:lineRule="auto"/>
              <w:jc w:val="center"/>
              <w:rPr>
                <w:rFonts w:hint="default" w:ascii="Times New Roman" w:hAnsi="Times New Roman" w:eastAsia="宋体" w:cs="Times New Roman"/>
                <w:bCs/>
                <w:sz w:val="21"/>
                <w:szCs w:val="21"/>
              </w:rPr>
            </w:pPr>
          </w:p>
        </w:tc>
        <w:tc>
          <w:tcPr>
            <w:tcW w:w="975" w:type="dxa"/>
            <w:shd w:val="clear" w:color="auto" w:fill="auto"/>
            <w:vAlign w:val="center"/>
          </w:tcPr>
          <w:p w14:paraId="43DD147D">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575" w:type="dxa"/>
            <w:shd w:val="clear" w:color="auto" w:fill="auto"/>
            <w:vAlign w:val="center"/>
          </w:tcPr>
          <w:p w14:paraId="39A1CB75">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684" w:type="dxa"/>
            <w:shd w:val="clear" w:color="auto" w:fill="auto"/>
            <w:vAlign w:val="center"/>
          </w:tcPr>
          <w:p w14:paraId="51630379">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277" w:type="dxa"/>
            <w:shd w:val="clear" w:color="auto" w:fill="auto"/>
            <w:vAlign w:val="center"/>
          </w:tcPr>
          <w:p w14:paraId="68CF3556">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424" w:type="dxa"/>
            <w:shd w:val="clear" w:color="auto" w:fill="auto"/>
            <w:vAlign w:val="center"/>
          </w:tcPr>
          <w:p w14:paraId="673461D2">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r>
      <w:tr w14:paraId="437265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81" w:type="dxa"/>
            <w:shd w:val="clear" w:color="auto" w:fill="auto"/>
            <w:vAlign w:val="center"/>
          </w:tcPr>
          <w:p w14:paraId="240B9854">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975" w:type="dxa"/>
            <w:shd w:val="clear" w:color="auto" w:fill="auto"/>
            <w:vAlign w:val="center"/>
          </w:tcPr>
          <w:p w14:paraId="0BBC2E9E">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575" w:type="dxa"/>
            <w:shd w:val="clear" w:color="auto" w:fill="auto"/>
            <w:vAlign w:val="center"/>
          </w:tcPr>
          <w:p w14:paraId="61A3994B">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684" w:type="dxa"/>
            <w:vAlign w:val="center"/>
          </w:tcPr>
          <w:p w14:paraId="54951825">
            <w:pPr>
              <w:spacing w:line="360" w:lineRule="auto"/>
              <w:jc w:val="center"/>
              <w:rPr>
                <w:rFonts w:hint="default" w:ascii="Times New Roman" w:hAnsi="Times New Roman" w:eastAsia="宋体" w:cs="Times New Roman"/>
                <w:bCs/>
                <w:sz w:val="21"/>
                <w:szCs w:val="21"/>
              </w:rPr>
            </w:pPr>
          </w:p>
        </w:tc>
        <w:tc>
          <w:tcPr>
            <w:tcW w:w="1277" w:type="dxa"/>
            <w:vAlign w:val="center"/>
          </w:tcPr>
          <w:p w14:paraId="2D037372">
            <w:pPr>
              <w:spacing w:line="360" w:lineRule="auto"/>
              <w:jc w:val="center"/>
              <w:rPr>
                <w:rFonts w:hint="default" w:ascii="Times New Roman" w:hAnsi="Times New Roman" w:eastAsia="宋体" w:cs="Times New Roman"/>
                <w:bCs/>
                <w:sz w:val="21"/>
                <w:szCs w:val="21"/>
              </w:rPr>
            </w:pPr>
          </w:p>
        </w:tc>
        <w:tc>
          <w:tcPr>
            <w:tcW w:w="1424" w:type="dxa"/>
            <w:vAlign w:val="center"/>
          </w:tcPr>
          <w:p w14:paraId="104F34A6">
            <w:pPr>
              <w:spacing w:line="360" w:lineRule="auto"/>
              <w:jc w:val="center"/>
              <w:rPr>
                <w:rFonts w:hint="default" w:ascii="Times New Roman" w:hAnsi="Times New Roman" w:eastAsia="宋体" w:cs="Times New Roman"/>
                <w:bCs/>
                <w:sz w:val="21"/>
                <w:szCs w:val="21"/>
                <w:lang w:val="en-US" w:eastAsia="zh-CN"/>
              </w:rPr>
            </w:pPr>
          </w:p>
        </w:tc>
      </w:tr>
      <w:tr w14:paraId="31FAC9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681" w:type="dxa"/>
            <w:shd w:val="clear" w:color="auto" w:fill="auto"/>
            <w:vAlign w:val="center"/>
          </w:tcPr>
          <w:p w14:paraId="159FE422">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975" w:type="dxa"/>
            <w:shd w:val="clear" w:color="auto" w:fill="auto"/>
            <w:vAlign w:val="center"/>
          </w:tcPr>
          <w:p w14:paraId="4C62D3FE">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575" w:type="dxa"/>
            <w:shd w:val="clear" w:color="auto" w:fill="auto"/>
            <w:vAlign w:val="center"/>
          </w:tcPr>
          <w:p w14:paraId="1E9ADABB">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684" w:type="dxa"/>
            <w:shd w:val="clear" w:color="auto" w:fill="auto"/>
            <w:vAlign w:val="center"/>
          </w:tcPr>
          <w:p w14:paraId="6825D773">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277" w:type="dxa"/>
            <w:shd w:val="clear" w:color="auto" w:fill="auto"/>
            <w:vAlign w:val="center"/>
          </w:tcPr>
          <w:p w14:paraId="4D765284">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424" w:type="dxa"/>
            <w:shd w:val="clear" w:color="auto" w:fill="auto"/>
            <w:vAlign w:val="center"/>
          </w:tcPr>
          <w:p w14:paraId="6762D618">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r>
      <w:tr w14:paraId="041539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681" w:type="dxa"/>
            <w:shd w:val="clear" w:color="auto" w:fill="auto"/>
            <w:vAlign w:val="center"/>
          </w:tcPr>
          <w:p w14:paraId="69D84674">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975" w:type="dxa"/>
            <w:shd w:val="clear" w:color="auto" w:fill="auto"/>
            <w:vAlign w:val="center"/>
          </w:tcPr>
          <w:p w14:paraId="6ED68281">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575" w:type="dxa"/>
            <w:shd w:val="clear" w:color="auto" w:fill="auto"/>
            <w:vAlign w:val="center"/>
          </w:tcPr>
          <w:p w14:paraId="37CB182D">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684" w:type="dxa"/>
            <w:shd w:val="clear" w:color="auto" w:fill="auto"/>
            <w:vAlign w:val="center"/>
          </w:tcPr>
          <w:p w14:paraId="3EF9C882">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277" w:type="dxa"/>
            <w:shd w:val="clear" w:color="auto" w:fill="auto"/>
            <w:vAlign w:val="center"/>
          </w:tcPr>
          <w:p w14:paraId="17C610B2">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424" w:type="dxa"/>
            <w:shd w:val="clear" w:color="auto" w:fill="auto"/>
            <w:vAlign w:val="center"/>
          </w:tcPr>
          <w:p w14:paraId="6CD40F2D">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r>
      <w:tr w14:paraId="11E9D8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81" w:type="dxa"/>
            <w:shd w:val="clear" w:color="auto" w:fill="auto"/>
            <w:vAlign w:val="center"/>
          </w:tcPr>
          <w:p w14:paraId="326DF8E6">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975" w:type="dxa"/>
            <w:shd w:val="clear" w:color="auto" w:fill="auto"/>
            <w:vAlign w:val="center"/>
          </w:tcPr>
          <w:p w14:paraId="7F397E97">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575" w:type="dxa"/>
            <w:shd w:val="clear" w:color="auto" w:fill="auto"/>
            <w:vAlign w:val="center"/>
          </w:tcPr>
          <w:p w14:paraId="72D52CE2">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684" w:type="dxa"/>
            <w:shd w:val="clear" w:color="auto" w:fill="auto"/>
            <w:vAlign w:val="center"/>
          </w:tcPr>
          <w:p w14:paraId="115055DC">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277" w:type="dxa"/>
            <w:shd w:val="clear" w:color="auto" w:fill="auto"/>
            <w:vAlign w:val="center"/>
          </w:tcPr>
          <w:p w14:paraId="36764911">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424" w:type="dxa"/>
            <w:shd w:val="clear" w:color="auto" w:fill="auto"/>
            <w:vAlign w:val="center"/>
          </w:tcPr>
          <w:p w14:paraId="3C488CB6">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r>
      <w:tr w14:paraId="4D372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81" w:type="dxa"/>
            <w:shd w:val="clear" w:color="auto" w:fill="auto"/>
            <w:vAlign w:val="center"/>
          </w:tcPr>
          <w:p w14:paraId="7555F634">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975" w:type="dxa"/>
            <w:shd w:val="clear" w:color="auto" w:fill="auto"/>
            <w:vAlign w:val="center"/>
          </w:tcPr>
          <w:p w14:paraId="3218AB1E">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575" w:type="dxa"/>
            <w:shd w:val="clear" w:color="auto" w:fill="auto"/>
            <w:vAlign w:val="center"/>
          </w:tcPr>
          <w:p w14:paraId="28EBF753">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684" w:type="dxa"/>
            <w:shd w:val="clear" w:color="auto" w:fill="auto"/>
            <w:vAlign w:val="center"/>
          </w:tcPr>
          <w:p w14:paraId="5B1C93A8">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277" w:type="dxa"/>
            <w:shd w:val="clear" w:color="auto" w:fill="auto"/>
            <w:vAlign w:val="center"/>
          </w:tcPr>
          <w:p w14:paraId="1C77ECE6">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424" w:type="dxa"/>
            <w:shd w:val="clear" w:color="auto" w:fill="auto"/>
            <w:vAlign w:val="center"/>
          </w:tcPr>
          <w:p w14:paraId="172F3B58">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r>
      <w:tr w14:paraId="196CAD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81" w:type="dxa"/>
            <w:shd w:val="clear" w:color="auto" w:fill="auto"/>
            <w:vAlign w:val="center"/>
          </w:tcPr>
          <w:p w14:paraId="19E36D71">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975" w:type="dxa"/>
            <w:shd w:val="clear" w:color="auto" w:fill="auto"/>
            <w:vAlign w:val="center"/>
          </w:tcPr>
          <w:p w14:paraId="48333DBB">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575" w:type="dxa"/>
            <w:shd w:val="clear" w:color="auto" w:fill="auto"/>
            <w:vAlign w:val="center"/>
          </w:tcPr>
          <w:p w14:paraId="3351731F">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684" w:type="dxa"/>
            <w:shd w:val="clear" w:color="auto" w:fill="auto"/>
            <w:vAlign w:val="center"/>
          </w:tcPr>
          <w:p w14:paraId="75D9E676">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277" w:type="dxa"/>
            <w:shd w:val="clear" w:color="auto" w:fill="auto"/>
            <w:vAlign w:val="center"/>
          </w:tcPr>
          <w:p w14:paraId="14FB0F1B">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1424" w:type="dxa"/>
            <w:shd w:val="clear" w:color="auto" w:fill="auto"/>
            <w:vAlign w:val="center"/>
          </w:tcPr>
          <w:p w14:paraId="38527F45">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r>
      <w:tr w14:paraId="6EFD5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681" w:type="dxa"/>
            <w:shd w:val="clear" w:color="auto" w:fill="auto"/>
            <w:vAlign w:val="center"/>
          </w:tcPr>
          <w:p w14:paraId="46DE1032">
            <w:pPr>
              <w:spacing w:before="0" w:line="360" w:lineRule="auto"/>
              <w:jc w:val="center"/>
              <w:rPr>
                <w:rFonts w:hint="default" w:ascii="Times New Roman" w:hAnsi="Times New Roman" w:eastAsia="宋体" w:cs="Times New Roman"/>
                <w:snapToGrid w:val="0"/>
                <w:color w:val="000000" w:themeColor="text1"/>
                <w:spacing w:val="6"/>
                <w:sz w:val="21"/>
                <w:szCs w:val="21"/>
                <w:lang w:val="en-US" w:eastAsia="zh-CN" w:bidi="ar-SA"/>
                <w14:textOutline w14:w="3797" w14:cap="sq" w14:cmpd="sng" w14:algn="ctr">
                  <w14:solidFill>
                    <w14:srgbClr w14:val="000000"/>
                  </w14:solidFill>
                  <w14:prstDash w14:val="solid"/>
                  <w14:bevel/>
                </w14:textOutline>
                <w14:textFill>
                  <w14:solidFill>
                    <w14:schemeClr w14:val="tx1"/>
                  </w14:solidFill>
                </w14:textFill>
              </w:rPr>
            </w:pPr>
          </w:p>
        </w:tc>
        <w:tc>
          <w:tcPr>
            <w:tcW w:w="975" w:type="dxa"/>
            <w:shd w:val="clear" w:color="auto" w:fill="auto"/>
            <w:vAlign w:val="center"/>
          </w:tcPr>
          <w:p w14:paraId="58303AB6">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575" w:type="dxa"/>
            <w:shd w:val="clear" w:color="auto" w:fill="auto"/>
            <w:vAlign w:val="center"/>
          </w:tcPr>
          <w:p w14:paraId="0EAAB98B">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2684" w:type="dxa"/>
            <w:vAlign w:val="center"/>
          </w:tcPr>
          <w:p w14:paraId="471AC32C">
            <w:pPr>
              <w:spacing w:line="360" w:lineRule="auto"/>
              <w:jc w:val="center"/>
              <w:rPr>
                <w:rFonts w:hint="default" w:ascii="Times New Roman" w:hAnsi="Times New Roman" w:eastAsia="宋体" w:cs="Times New Roman"/>
                <w:bCs/>
                <w:sz w:val="21"/>
                <w:szCs w:val="21"/>
              </w:rPr>
            </w:pPr>
          </w:p>
        </w:tc>
        <w:tc>
          <w:tcPr>
            <w:tcW w:w="1277" w:type="dxa"/>
            <w:vAlign w:val="center"/>
          </w:tcPr>
          <w:p w14:paraId="33950BEB">
            <w:pPr>
              <w:spacing w:line="360" w:lineRule="auto"/>
              <w:jc w:val="center"/>
              <w:rPr>
                <w:rFonts w:hint="default" w:ascii="Times New Roman" w:hAnsi="Times New Roman" w:eastAsia="宋体" w:cs="Times New Roman"/>
                <w:bCs/>
                <w:sz w:val="21"/>
                <w:szCs w:val="21"/>
              </w:rPr>
            </w:pPr>
          </w:p>
        </w:tc>
        <w:tc>
          <w:tcPr>
            <w:tcW w:w="1424" w:type="dxa"/>
            <w:vAlign w:val="center"/>
          </w:tcPr>
          <w:p w14:paraId="054510A7">
            <w:pPr>
              <w:spacing w:line="360" w:lineRule="auto"/>
              <w:jc w:val="center"/>
              <w:rPr>
                <w:rFonts w:hint="default" w:ascii="Times New Roman" w:hAnsi="Times New Roman" w:eastAsia="宋体" w:cs="Times New Roman"/>
                <w:bCs/>
                <w:sz w:val="21"/>
                <w:szCs w:val="21"/>
              </w:rPr>
            </w:pPr>
          </w:p>
        </w:tc>
      </w:tr>
      <w:tr w14:paraId="1F21CC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81" w:type="dxa"/>
            <w:shd w:val="clear" w:color="auto" w:fill="auto"/>
            <w:vAlign w:val="top"/>
          </w:tcPr>
          <w:p w14:paraId="2A05C971">
            <w:pPr>
              <w:spacing w:line="360" w:lineRule="auto"/>
              <w:jc w:val="center"/>
              <w:rPr>
                <w:rFonts w:hint="default" w:ascii="Times New Roman" w:hAnsi="Times New Roman" w:eastAsia="宋体" w:cs="Times New Roman"/>
                <w:bCs/>
                <w:snapToGrid w:val="0"/>
                <w:color w:val="000000"/>
                <w:sz w:val="21"/>
                <w:szCs w:val="21"/>
                <w:lang w:val="en-US" w:eastAsia="zh-CN" w:bidi="ar-SA"/>
              </w:rPr>
            </w:pPr>
          </w:p>
        </w:tc>
        <w:tc>
          <w:tcPr>
            <w:tcW w:w="975" w:type="dxa"/>
          </w:tcPr>
          <w:p w14:paraId="26341C7B">
            <w:pPr>
              <w:spacing w:line="360" w:lineRule="auto"/>
              <w:jc w:val="center"/>
              <w:rPr>
                <w:rFonts w:hint="default" w:ascii="Times New Roman" w:hAnsi="Times New Roman" w:eastAsia="宋体" w:cs="Times New Roman"/>
                <w:bCs/>
              </w:rPr>
            </w:pPr>
          </w:p>
        </w:tc>
        <w:tc>
          <w:tcPr>
            <w:tcW w:w="2575" w:type="dxa"/>
          </w:tcPr>
          <w:p w14:paraId="085E2BF1">
            <w:pPr>
              <w:spacing w:line="360" w:lineRule="auto"/>
              <w:jc w:val="center"/>
              <w:rPr>
                <w:rFonts w:hint="default" w:ascii="Times New Roman" w:hAnsi="Times New Roman" w:eastAsia="宋体" w:cs="Times New Roman"/>
                <w:bCs/>
              </w:rPr>
            </w:pPr>
          </w:p>
        </w:tc>
        <w:tc>
          <w:tcPr>
            <w:tcW w:w="2684" w:type="dxa"/>
          </w:tcPr>
          <w:p w14:paraId="6760287C">
            <w:pPr>
              <w:spacing w:line="360" w:lineRule="auto"/>
              <w:jc w:val="center"/>
              <w:rPr>
                <w:rFonts w:hint="default" w:ascii="Times New Roman" w:hAnsi="Times New Roman" w:eastAsia="宋体" w:cs="Times New Roman"/>
                <w:bCs/>
              </w:rPr>
            </w:pPr>
          </w:p>
        </w:tc>
        <w:tc>
          <w:tcPr>
            <w:tcW w:w="1277" w:type="dxa"/>
          </w:tcPr>
          <w:p w14:paraId="115E95B7">
            <w:pPr>
              <w:spacing w:line="360" w:lineRule="auto"/>
              <w:jc w:val="center"/>
              <w:rPr>
                <w:rFonts w:hint="default" w:ascii="Times New Roman" w:hAnsi="Times New Roman" w:eastAsia="宋体" w:cs="Times New Roman"/>
                <w:bCs/>
              </w:rPr>
            </w:pPr>
          </w:p>
        </w:tc>
        <w:tc>
          <w:tcPr>
            <w:tcW w:w="1424" w:type="dxa"/>
          </w:tcPr>
          <w:p w14:paraId="414E027C">
            <w:pPr>
              <w:spacing w:line="360" w:lineRule="auto"/>
              <w:jc w:val="center"/>
              <w:rPr>
                <w:rFonts w:hint="default" w:ascii="Times New Roman" w:hAnsi="Times New Roman" w:eastAsia="宋体" w:cs="Times New Roman"/>
                <w:bCs/>
              </w:rPr>
            </w:pPr>
          </w:p>
        </w:tc>
      </w:tr>
    </w:tbl>
    <w:p w14:paraId="15F8E2C9">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3F2FB67C">
      <w:pPr>
        <w:spacing w:line="91" w:lineRule="auto"/>
        <w:rPr>
          <w:color w:val="000000" w:themeColor="text1"/>
          <w:sz w:val="2"/>
          <w14:textFill>
            <w14:solidFill>
              <w14:schemeClr w14:val="tx1"/>
            </w14:solidFill>
          </w14:textFill>
        </w:rPr>
      </w:pPr>
    </w:p>
    <w:tbl>
      <w:tblPr>
        <w:tblStyle w:val="13"/>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36"/>
      </w:tblGrid>
      <w:tr w14:paraId="65DDB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jc w:val="center"/>
        </w:trPr>
        <w:tc>
          <w:tcPr>
            <w:tcW w:w="9536" w:type="dxa"/>
            <w:vAlign w:val="top"/>
          </w:tcPr>
          <w:p w14:paraId="54DE4D0F">
            <w:pPr>
              <w:spacing w:before="0" w:line="360" w:lineRule="auto"/>
              <w:ind w:left="4393"/>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8"/>
                <w:sz w:val="22"/>
                <w:szCs w:val="22"/>
                <w14:textOutline w14:w="3797" w14:cap="sq" w14:cmpd="sng" w14:algn="ctr">
                  <w14:solidFill>
                    <w14:srgbClr w14:val="000000"/>
                  </w14:solidFill>
                  <w14:prstDash w14:val="solid"/>
                  <w14:bevel/>
                </w14:textOutline>
              </w:rPr>
              <w:t>编制情况</w:t>
            </w:r>
          </w:p>
        </w:tc>
      </w:tr>
      <w:tr w14:paraId="50F61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jc w:val="center"/>
        </w:trPr>
        <w:tc>
          <w:tcPr>
            <w:tcW w:w="9536" w:type="dxa"/>
            <w:vAlign w:val="top"/>
          </w:tcPr>
          <w:p w14:paraId="447EEA99">
            <w:pPr>
              <w:spacing w:before="0" w:line="360" w:lineRule="auto"/>
              <w:ind w:left="124"/>
              <w:rPr>
                <w:rFonts w:hint="default" w:ascii="Times New Roman" w:hAnsi="Times New Roman" w:eastAsia="宋体" w:cs="Times New Roman"/>
                <w:color w:val="auto"/>
                <w:sz w:val="20"/>
                <w:szCs w:val="20"/>
              </w:rPr>
            </w:pPr>
            <w:r>
              <w:rPr>
                <w:rFonts w:hint="default" w:ascii="Times New Roman" w:hAnsi="Times New Roman" w:eastAsia="Calibri" w:cs="Times New Roman"/>
                <w:b/>
                <w:bCs/>
                <w:color w:val="auto"/>
                <w:spacing w:val="2"/>
                <w:position w:val="2"/>
                <w:sz w:val="20"/>
                <w:szCs w:val="20"/>
              </w:rPr>
              <w:t xml:space="preserve">1 </w:t>
            </w:r>
            <w:r>
              <w:rPr>
                <w:rFonts w:hint="default" w:ascii="Times New Roman" w:hAnsi="Times New Roman" w:eastAsia="宋体" w:cs="Times New Roman"/>
                <w:b/>
                <w:bCs/>
                <w:color w:val="auto"/>
                <w:spacing w:val="2"/>
                <w:position w:val="2"/>
                <w:sz w:val="20"/>
                <w:szCs w:val="20"/>
              </w:rPr>
              <w:t>、</w:t>
            </w:r>
            <w:r>
              <w:rPr>
                <w:rFonts w:hint="default" w:ascii="Times New Roman" w:hAnsi="Times New Roman" w:eastAsia="宋体" w:cs="Times New Roman"/>
                <w:b/>
                <w:bCs/>
                <w:color w:val="auto"/>
                <w:spacing w:val="1"/>
                <w:position w:val="2"/>
                <w:sz w:val="20"/>
                <w:szCs w:val="20"/>
              </w:rPr>
              <w:t>编制过程简介</w:t>
            </w:r>
          </w:p>
        </w:tc>
      </w:tr>
      <w:tr w14:paraId="70EE4A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9" w:hRule="atLeast"/>
          <w:jc w:val="center"/>
        </w:trPr>
        <w:tc>
          <w:tcPr>
            <w:tcW w:w="9536" w:type="dxa"/>
            <w:vAlign w:val="top"/>
          </w:tcPr>
          <w:p w14:paraId="1B27E840">
            <w:pPr>
              <w:spacing w:before="0" w:line="360" w:lineRule="auto"/>
              <w:ind w:left="118" w:firstLine="420" w:firstLineChars="200"/>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本标准</w:t>
            </w:r>
            <w:r>
              <w:rPr>
                <w:rFonts w:hint="default" w:ascii="Times New Roman" w:hAnsi="Times New Roman" w:eastAsia="宋体" w:cs="Times New Roman"/>
                <w:color w:val="auto"/>
                <w:lang w:val="en-US" w:eastAsia="zh-CN"/>
              </w:rPr>
              <w:t>的编制过程涵盖需求调研、标准制定、专家评审、公开征求意见等多个环节，目的是确保该规范能够有效落实，</w:t>
            </w:r>
            <w:r>
              <w:rPr>
                <w:rFonts w:hint="eastAsia" w:ascii="Times New Roman" w:hAnsi="Times New Roman" w:eastAsia="宋体" w:cs="Times New Roman"/>
                <w:color w:val="auto"/>
                <w:lang w:val="en-US" w:eastAsia="zh-CN"/>
              </w:rPr>
              <w:t>通过对</w:t>
            </w:r>
            <w:r>
              <w:rPr>
                <w:rFonts w:hint="default" w:ascii="Times New Roman" w:hAnsi="Times New Roman" w:eastAsia="宋体" w:cs="Times New Roman"/>
                <w:color w:val="auto"/>
                <w:lang w:val="en-US" w:eastAsia="zh-CN"/>
              </w:rPr>
              <w:t>中小学校团体供餐单位</w:t>
            </w:r>
            <w:r>
              <w:rPr>
                <w:rFonts w:hint="eastAsia" w:ascii="Times New Roman" w:hAnsi="Times New Roman" w:eastAsia="宋体" w:cs="Times New Roman"/>
                <w:color w:val="auto"/>
                <w:lang w:val="en-US" w:eastAsia="zh-CN"/>
              </w:rPr>
              <w:t>进行</w:t>
            </w:r>
            <w:r>
              <w:rPr>
                <w:rFonts w:hint="default" w:ascii="Times New Roman" w:hAnsi="Times New Roman" w:eastAsia="宋体" w:cs="Times New Roman"/>
                <w:color w:val="auto"/>
                <w:lang w:val="en-US" w:eastAsia="zh-CN"/>
              </w:rPr>
              <w:t>食品安全监督管理</w:t>
            </w:r>
            <w:r>
              <w:rPr>
                <w:rFonts w:hint="eastAsia" w:ascii="Times New Roman" w:hAnsi="Times New Roman" w:eastAsia="宋体" w:cs="Times New Roman"/>
                <w:color w:val="auto"/>
                <w:lang w:val="en-US" w:eastAsia="zh-CN"/>
              </w:rPr>
              <w:t>，提高和</w:t>
            </w:r>
            <w:r>
              <w:rPr>
                <w:rFonts w:hint="default" w:ascii="Times New Roman" w:hAnsi="Times New Roman" w:eastAsia="宋体" w:cs="Times New Roman"/>
                <w:color w:val="auto"/>
                <w:lang w:val="en-US" w:eastAsia="zh-CN"/>
              </w:rPr>
              <w:t>保障</w:t>
            </w:r>
            <w:r>
              <w:rPr>
                <w:rFonts w:hint="eastAsia" w:ascii="Times New Roman" w:hAnsi="Times New Roman" w:eastAsia="宋体" w:cs="Times New Roman"/>
                <w:color w:val="auto"/>
                <w:lang w:val="en-US" w:eastAsia="zh-CN"/>
              </w:rPr>
              <w:t>中小</w:t>
            </w:r>
            <w:r>
              <w:rPr>
                <w:rFonts w:hint="default" w:ascii="Times New Roman" w:hAnsi="Times New Roman" w:eastAsia="宋体" w:cs="Times New Roman"/>
                <w:color w:val="auto"/>
                <w:lang w:val="en-US" w:eastAsia="zh-CN"/>
              </w:rPr>
              <w:t>学校</w:t>
            </w:r>
            <w:r>
              <w:rPr>
                <w:rFonts w:hint="eastAsia" w:ascii="Times New Roman" w:hAnsi="Times New Roman" w:eastAsia="宋体" w:cs="Times New Roman"/>
                <w:color w:val="auto"/>
                <w:lang w:val="en-US" w:eastAsia="zh-CN"/>
              </w:rPr>
              <w:t>团体</w:t>
            </w:r>
            <w:r>
              <w:rPr>
                <w:rFonts w:hint="default" w:ascii="Times New Roman" w:hAnsi="Times New Roman" w:eastAsia="宋体" w:cs="Times New Roman"/>
                <w:color w:val="auto"/>
                <w:lang w:val="en-US" w:eastAsia="zh-CN"/>
              </w:rPr>
              <w:t>供餐的食品安全。以下是该标准编制的主要过程：</w:t>
            </w:r>
          </w:p>
          <w:p w14:paraId="3B73B568">
            <w:pPr>
              <w:spacing w:before="0" w:line="360" w:lineRule="auto"/>
              <w:ind w:left="118" w:firstLine="422" w:firstLineChars="200"/>
              <w:rPr>
                <w:rFonts w:hint="eastAsia" w:ascii="Times New Roman" w:hAnsi="Times New Roman" w:eastAsia="宋体" w:cs="Times New Roman"/>
                <w:b/>
                <w:bCs/>
                <w:color w:val="auto"/>
                <w:lang w:val="en-US" w:eastAsia="zh-CN"/>
              </w:rPr>
            </w:pPr>
            <w:r>
              <w:rPr>
                <w:rFonts w:hint="eastAsia" w:ascii="Times New Roman" w:hAnsi="Times New Roman" w:eastAsia="宋体" w:cs="Times New Roman"/>
                <w:b/>
                <w:bCs/>
                <w:color w:val="auto"/>
                <w:lang w:val="en-US" w:eastAsia="zh-CN"/>
              </w:rPr>
              <w:t>（1）需求调研与问题识别</w:t>
            </w:r>
          </w:p>
          <w:p w14:paraId="49AAA91B">
            <w:pPr>
              <w:spacing w:before="0" w:line="360" w:lineRule="auto"/>
              <w:ind w:left="118" w:firstLine="420" w:firstLineChars="200"/>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 xml:space="preserve">  编制工作从对中小学校团体供餐单位食品安全现状的调研入手，广泛收集相关部门、学校、供餐单位以及社会各界的意见和建议，识别当前食品安全管理中存在的主要问题和不足。如采购环节不规范、储存条件不达标、配送过程中存隐患等。该阶段的核心任务是明确标准编制的方向和重点内容。</w:t>
            </w:r>
          </w:p>
          <w:p w14:paraId="3040CC03">
            <w:pPr>
              <w:spacing w:before="0" w:line="360" w:lineRule="auto"/>
              <w:ind w:left="118" w:firstLine="422" w:firstLineChars="200"/>
              <w:rPr>
                <w:rFonts w:hint="eastAsia" w:ascii="Times New Roman" w:hAnsi="Times New Roman" w:eastAsia="宋体" w:cs="Times New Roman"/>
                <w:b/>
                <w:bCs/>
                <w:color w:val="auto"/>
                <w:lang w:val="en-US" w:eastAsia="zh-CN"/>
              </w:rPr>
            </w:pPr>
            <w:r>
              <w:rPr>
                <w:rFonts w:hint="eastAsia" w:ascii="Times New Roman" w:hAnsi="Times New Roman" w:eastAsia="宋体" w:cs="Times New Roman"/>
                <w:b/>
                <w:bCs/>
                <w:color w:val="auto"/>
                <w:lang w:val="en-US" w:eastAsia="zh-CN"/>
              </w:rPr>
              <w:t>（2）</w:t>
            </w:r>
            <w:r>
              <w:rPr>
                <w:rFonts w:hint="default" w:ascii="Times New Roman" w:hAnsi="Times New Roman" w:eastAsia="宋体" w:cs="Times New Roman"/>
                <w:b/>
                <w:bCs/>
                <w:color w:val="auto"/>
                <w:lang w:val="en-US" w:eastAsia="zh-CN"/>
              </w:rPr>
              <w:t>成立起草小组</w:t>
            </w:r>
            <w:r>
              <w:rPr>
                <w:rFonts w:hint="eastAsia" w:ascii="Times New Roman" w:hAnsi="Times New Roman" w:eastAsia="宋体" w:cs="Times New Roman"/>
                <w:b/>
                <w:bCs/>
                <w:color w:val="auto"/>
                <w:lang w:val="en-US" w:eastAsia="zh-CN"/>
              </w:rPr>
              <w:t>与</w:t>
            </w:r>
            <w:r>
              <w:rPr>
                <w:rFonts w:hint="default" w:ascii="Times New Roman" w:hAnsi="Times New Roman" w:eastAsia="宋体" w:cs="Times New Roman"/>
                <w:b/>
                <w:bCs/>
                <w:color w:val="auto"/>
                <w:lang w:val="en-US" w:eastAsia="zh-CN"/>
              </w:rPr>
              <w:t>编制草案</w:t>
            </w:r>
          </w:p>
          <w:p w14:paraId="66FD56FA">
            <w:pPr>
              <w:spacing w:before="0" w:line="360" w:lineRule="auto"/>
              <w:ind w:left="118" w:firstLine="420" w:firstLineChars="20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在需求调研的基础上，2024年3月，由六安市市场监督管理局提出《中小学校团体供餐单位食品安全</w:t>
            </w:r>
            <w:r>
              <w:rPr>
                <w:rFonts w:hint="eastAsia" w:ascii="Times New Roman" w:hAnsi="Times New Roman" w:eastAsia="宋体" w:cs="Times New Roman"/>
                <w:color w:val="auto"/>
                <w:lang w:val="en-US" w:eastAsia="zh-CN"/>
              </w:rPr>
              <w:t>监督管理</w:t>
            </w:r>
            <w:r>
              <w:rPr>
                <w:rFonts w:hint="default" w:ascii="Times New Roman" w:hAnsi="Times New Roman" w:eastAsia="宋体" w:cs="Times New Roman"/>
                <w:color w:val="auto"/>
                <w:lang w:val="en-US" w:eastAsia="zh-CN"/>
              </w:rPr>
              <w:t>规范》编制申请</w:t>
            </w:r>
            <w:r>
              <w:rPr>
                <w:rFonts w:hint="eastAsia" w:ascii="Times New Roman" w:hAnsi="Times New Roman" w:eastAsia="宋体" w:cs="Times New Roman"/>
                <w:color w:val="auto"/>
                <w:lang w:val="en-US" w:eastAsia="zh-CN"/>
              </w:rPr>
              <w:t>，并成立编制工作小组</w:t>
            </w:r>
            <w:r>
              <w:rPr>
                <w:rFonts w:hint="default" w:ascii="Times New Roman" w:hAnsi="Times New Roman" w:eastAsia="宋体" w:cs="Times New Roman"/>
                <w:color w:val="auto"/>
                <w:lang w:val="en-US" w:eastAsia="zh-CN"/>
              </w:rPr>
              <w:t>，确定主要负责人，明确起草组人员和相关职责。</w:t>
            </w:r>
            <w:r>
              <w:rPr>
                <w:rFonts w:hint="eastAsia" w:ascii="Times New Roman" w:hAnsi="Times New Roman" w:eastAsia="宋体" w:cs="Times New Roman"/>
                <w:color w:val="auto"/>
                <w:lang w:val="en-US" w:eastAsia="zh-CN"/>
              </w:rPr>
              <w:t>2024年4月，</w:t>
            </w:r>
            <w:r>
              <w:rPr>
                <w:rFonts w:hint="default" w:ascii="Times New Roman" w:hAnsi="Times New Roman" w:eastAsia="宋体" w:cs="Times New Roman"/>
                <w:color w:val="auto"/>
                <w:lang w:val="en-US" w:eastAsia="zh-CN"/>
              </w:rPr>
              <w:t>编制工作小组开始构建《中小学校团体供餐单位食品安全</w:t>
            </w:r>
            <w:r>
              <w:rPr>
                <w:rFonts w:hint="eastAsia" w:ascii="Times New Roman" w:hAnsi="Times New Roman" w:eastAsia="宋体" w:cs="Times New Roman"/>
                <w:color w:val="auto"/>
                <w:lang w:val="en-US" w:eastAsia="zh-CN"/>
              </w:rPr>
              <w:t>监督管理</w:t>
            </w:r>
            <w:r>
              <w:rPr>
                <w:rFonts w:hint="default" w:ascii="Times New Roman" w:hAnsi="Times New Roman" w:eastAsia="宋体" w:cs="Times New Roman"/>
                <w:color w:val="auto"/>
                <w:lang w:val="en-US" w:eastAsia="zh-CN"/>
              </w:rPr>
              <w:t>规范》的初步框架，明确食品安全管理的各项关键环节，如原料采购、食品加工、餐具消毒、运输储存等。</w:t>
            </w:r>
            <w:r>
              <w:rPr>
                <w:rFonts w:hint="eastAsia" w:ascii="Times New Roman" w:hAnsi="Times New Roman" w:eastAsia="宋体" w:cs="Times New Roman"/>
                <w:color w:val="auto"/>
                <w:lang w:val="en-US" w:eastAsia="zh-CN"/>
              </w:rPr>
              <w:t>2024年5月，</w:t>
            </w:r>
            <w:r>
              <w:rPr>
                <w:rFonts w:hint="default" w:ascii="Times New Roman" w:hAnsi="Times New Roman" w:eastAsia="宋体" w:cs="Times New Roman"/>
                <w:color w:val="auto"/>
                <w:lang w:val="en-US" w:eastAsia="zh-CN"/>
              </w:rPr>
              <w:t>根据地方的实际情况和政策要求，编制</w:t>
            </w:r>
            <w:r>
              <w:rPr>
                <w:rFonts w:hint="eastAsia" w:ascii="Times New Roman" w:hAnsi="Times New Roman" w:eastAsia="宋体" w:cs="Times New Roman"/>
                <w:color w:val="auto"/>
                <w:lang w:val="en-US" w:eastAsia="zh-CN"/>
              </w:rPr>
              <w:t>小</w:t>
            </w:r>
            <w:r>
              <w:rPr>
                <w:rFonts w:hint="default" w:ascii="Times New Roman" w:hAnsi="Times New Roman" w:eastAsia="宋体" w:cs="Times New Roman"/>
                <w:color w:val="auto"/>
                <w:lang w:val="en-US" w:eastAsia="zh-CN"/>
              </w:rPr>
              <w:t>组</w:t>
            </w:r>
            <w:r>
              <w:rPr>
                <w:rFonts w:hint="eastAsia" w:ascii="Times New Roman" w:hAnsi="Times New Roman" w:eastAsia="宋体" w:cs="Times New Roman"/>
                <w:color w:val="auto"/>
                <w:lang w:val="en-US" w:eastAsia="zh-CN"/>
              </w:rPr>
              <w:t>在</w:t>
            </w:r>
            <w:r>
              <w:rPr>
                <w:rFonts w:hint="default" w:ascii="Times New Roman" w:hAnsi="Times New Roman" w:eastAsia="宋体" w:cs="Times New Roman"/>
                <w:color w:val="auto"/>
                <w:lang w:val="en-US" w:eastAsia="zh-CN"/>
              </w:rPr>
              <w:t>研讨与交流团体供餐的各项环节</w:t>
            </w:r>
            <w:r>
              <w:rPr>
                <w:rFonts w:hint="eastAsia" w:ascii="Times New Roman" w:hAnsi="Times New Roman" w:eastAsia="宋体" w:cs="Times New Roman"/>
                <w:color w:val="auto"/>
                <w:lang w:val="en-US" w:eastAsia="zh-CN"/>
              </w:rPr>
              <w:t>、</w:t>
            </w:r>
            <w:r>
              <w:rPr>
                <w:rFonts w:hint="default" w:ascii="Times New Roman" w:hAnsi="Times New Roman" w:eastAsia="宋体" w:cs="Times New Roman"/>
                <w:color w:val="auto"/>
                <w:lang w:val="en-US" w:eastAsia="zh-CN"/>
              </w:rPr>
              <w:t>制定具体的操作规范和监管标准</w:t>
            </w:r>
            <w:r>
              <w:rPr>
                <w:rFonts w:hint="eastAsia" w:ascii="Times New Roman" w:hAnsi="Times New Roman" w:eastAsia="宋体" w:cs="Times New Roman"/>
                <w:color w:val="auto"/>
                <w:lang w:val="en-US" w:eastAsia="zh-CN"/>
              </w:rPr>
              <w:t>、</w:t>
            </w:r>
            <w:r>
              <w:rPr>
                <w:rFonts w:hint="default" w:ascii="Times New Roman" w:hAnsi="Times New Roman" w:eastAsia="宋体" w:cs="Times New Roman"/>
                <w:color w:val="auto"/>
                <w:lang w:val="en-US" w:eastAsia="zh-CN"/>
              </w:rPr>
              <w:t>确保涉及的每一环节都有明确规定</w:t>
            </w:r>
            <w:r>
              <w:rPr>
                <w:rFonts w:hint="eastAsia" w:ascii="Times New Roman" w:hAnsi="Times New Roman" w:eastAsia="宋体" w:cs="Times New Roman"/>
                <w:color w:val="auto"/>
                <w:lang w:val="en-US" w:eastAsia="zh-CN"/>
              </w:rPr>
              <w:t>的基础上，形成了</w:t>
            </w:r>
            <w:r>
              <w:rPr>
                <w:rFonts w:hint="default" w:ascii="Times New Roman" w:hAnsi="Times New Roman" w:eastAsia="宋体" w:cs="Times New Roman"/>
                <w:color w:val="auto"/>
                <w:lang w:val="en-US" w:eastAsia="zh-CN"/>
              </w:rPr>
              <w:t>工作组讨论</w:t>
            </w:r>
            <w:r>
              <w:rPr>
                <w:rFonts w:hint="eastAsia" w:ascii="Times New Roman" w:hAnsi="Times New Roman" w:eastAsia="宋体" w:cs="Times New Roman"/>
                <w:color w:val="auto"/>
                <w:lang w:val="en-US" w:eastAsia="zh-CN"/>
              </w:rPr>
              <w:t>草案</w:t>
            </w:r>
            <w:r>
              <w:rPr>
                <w:rFonts w:hint="default" w:ascii="Times New Roman" w:hAnsi="Times New Roman" w:eastAsia="宋体" w:cs="Times New Roman"/>
                <w:color w:val="auto"/>
                <w:lang w:val="en-US" w:eastAsia="zh-CN"/>
              </w:rPr>
              <w:t>。</w:t>
            </w:r>
          </w:p>
          <w:p w14:paraId="7F6A5C5A">
            <w:pPr>
              <w:spacing w:before="0" w:line="360" w:lineRule="auto"/>
              <w:ind w:left="118" w:firstLine="422" w:firstLineChars="200"/>
              <w:rPr>
                <w:rFonts w:hint="default" w:ascii="Times New Roman" w:hAnsi="Times New Roman" w:eastAsia="宋体" w:cs="Times New Roman"/>
                <w:b/>
                <w:bCs/>
                <w:color w:val="auto"/>
                <w:lang w:val="en-US" w:eastAsia="zh-CN"/>
              </w:rPr>
            </w:pPr>
            <w:r>
              <w:rPr>
                <w:rFonts w:hint="eastAsia" w:ascii="Times New Roman" w:hAnsi="Times New Roman" w:eastAsia="宋体" w:cs="Times New Roman"/>
                <w:b/>
                <w:bCs/>
                <w:color w:val="auto"/>
                <w:lang w:val="en-US" w:eastAsia="zh-CN"/>
              </w:rPr>
              <w:t>（3）专家评审与讨论</w:t>
            </w:r>
          </w:p>
          <w:p w14:paraId="32209000">
            <w:pPr>
              <w:spacing w:before="0" w:line="360" w:lineRule="auto"/>
              <w:ind w:left="118" w:firstLine="420" w:firstLineChars="20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草案编写完成后，2024年9月递交了2024年度安徽省地方标准计划项目的申请。</w:t>
            </w:r>
            <w:r>
              <w:rPr>
                <w:rFonts w:hint="default" w:ascii="Times New Roman" w:hAnsi="Times New Roman" w:eastAsia="宋体" w:cs="Times New Roman"/>
                <w:color w:val="auto"/>
                <w:lang w:val="en-US" w:eastAsia="zh-CN"/>
              </w:rPr>
              <w:t>2024年10月安徽省市场监督管理局组织</w:t>
            </w:r>
            <w:r>
              <w:rPr>
                <w:rFonts w:hint="eastAsia" w:ascii="Times New Roman" w:hAnsi="Times New Roman" w:eastAsia="宋体" w:cs="Times New Roman"/>
                <w:color w:val="auto"/>
                <w:lang w:val="en-US" w:eastAsia="zh-CN"/>
              </w:rPr>
              <w:t>了</w:t>
            </w:r>
            <w:r>
              <w:rPr>
                <w:rFonts w:hint="default" w:ascii="Times New Roman" w:hAnsi="Times New Roman" w:eastAsia="宋体" w:cs="Times New Roman"/>
                <w:color w:val="auto"/>
                <w:lang w:val="en-US" w:eastAsia="zh-CN"/>
              </w:rPr>
              <w:t>地方标准立项评估会</w:t>
            </w:r>
            <w:r>
              <w:rPr>
                <w:rFonts w:hint="eastAsia" w:ascii="Times New Roman" w:hAnsi="Times New Roman" w:eastAsia="宋体" w:cs="Times New Roman"/>
                <w:color w:val="auto"/>
                <w:lang w:val="en-US" w:eastAsia="zh-CN"/>
              </w:rPr>
              <w:t>。会上来自食品安全、公共卫生、法律等领域的专家对标准草案进行了现场审查和讨论，并提出宝贵的修订完善意见。具体包括建议根据所面向管理对象，提出将标准名称中的“</w:t>
            </w:r>
            <w:r>
              <w:rPr>
                <w:rFonts w:hint="default" w:ascii="Times New Roman" w:hAnsi="Times New Roman" w:eastAsia="宋体" w:cs="Times New Roman"/>
                <w:color w:val="auto"/>
                <w:lang w:val="en-US" w:eastAsia="zh-CN"/>
              </w:rPr>
              <w:t>中小学校团体供餐单位食品安全</w:t>
            </w:r>
            <w:r>
              <w:rPr>
                <w:rFonts w:hint="eastAsia" w:ascii="Times New Roman" w:hAnsi="Times New Roman" w:eastAsia="宋体" w:cs="Times New Roman"/>
                <w:color w:val="auto"/>
                <w:lang w:val="en-US" w:eastAsia="zh-CN"/>
              </w:rPr>
              <w:t>监督管理</w:t>
            </w:r>
            <w:r>
              <w:rPr>
                <w:rFonts w:hint="default" w:ascii="Times New Roman" w:hAnsi="Times New Roman" w:eastAsia="宋体" w:cs="Times New Roman"/>
                <w:color w:val="auto"/>
                <w:lang w:val="en-US" w:eastAsia="zh-CN"/>
              </w:rPr>
              <w:t>规范</w:t>
            </w:r>
            <w:r>
              <w:rPr>
                <w:rFonts w:hint="eastAsia" w:ascii="Times New Roman" w:hAnsi="Times New Roman" w:eastAsia="宋体" w:cs="Times New Roman"/>
                <w:color w:val="auto"/>
                <w:lang w:val="en-US" w:eastAsia="zh-CN"/>
              </w:rPr>
              <w:t>”修订为“</w:t>
            </w:r>
            <w:r>
              <w:rPr>
                <w:rFonts w:hint="default" w:ascii="Times New Roman" w:hAnsi="Times New Roman" w:eastAsia="宋体" w:cs="Times New Roman"/>
                <w:color w:val="auto"/>
                <w:lang w:val="en-US" w:eastAsia="zh-CN"/>
              </w:rPr>
              <w:t>中小学校团体供餐单位食品安全</w:t>
            </w:r>
            <w:r>
              <w:rPr>
                <w:rFonts w:hint="eastAsia" w:ascii="Times New Roman" w:hAnsi="Times New Roman" w:eastAsia="宋体" w:cs="Times New Roman"/>
                <w:color w:val="auto"/>
                <w:lang w:val="en-US" w:eastAsia="zh-CN"/>
              </w:rPr>
              <w:t>管理</w:t>
            </w:r>
            <w:r>
              <w:rPr>
                <w:rFonts w:hint="default" w:ascii="Times New Roman" w:hAnsi="Times New Roman" w:eastAsia="宋体" w:cs="Times New Roman"/>
                <w:color w:val="auto"/>
                <w:lang w:val="en-US" w:eastAsia="zh-CN"/>
              </w:rPr>
              <w:t>规范</w:t>
            </w:r>
            <w:r>
              <w:rPr>
                <w:rFonts w:hint="eastAsia" w:ascii="Times New Roman" w:hAnsi="Times New Roman" w:eastAsia="宋体" w:cs="Times New Roman"/>
                <w:color w:val="auto"/>
                <w:lang w:val="en-US" w:eastAsia="zh-CN"/>
              </w:rPr>
              <w:t>”，建议标准参编单位中增加中小学校单位等服务对象。上述意见确保了本草案在食品安全管理上的科学性、实用性和可操作性，同时确保了其符合国家和地方的相关法律法规。</w:t>
            </w:r>
          </w:p>
          <w:p w14:paraId="3EBE059F">
            <w:pPr>
              <w:spacing w:before="0" w:line="360" w:lineRule="auto"/>
              <w:ind w:left="118" w:firstLine="422" w:firstLineChars="200"/>
              <w:rPr>
                <w:rFonts w:hint="eastAsia" w:ascii="Times New Roman" w:hAnsi="Times New Roman" w:eastAsia="宋体" w:cs="Times New Roman"/>
                <w:b/>
                <w:bCs/>
                <w:color w:val="auto"/>
                <w:lang w:val="en-US" w:eastAsia="zh-CN"/>
              </w:rPr>
            </w:pPr>
            <w:r>
              <w:rPr>
                <w:rFonts w:hint="eastAsia" w:ascii="Times New Roman" w:hAnsi="Times New Roman" w:eastAsia="宋体" w:cs="Times New Roman"/>
                <w:b/>
                <w:bCs/>
                <w:color w:val="auto"/>
                <w:lang w:val="en-US" w:eastAsia="zh-CN"/>
              </w:rPr>
              <w:t>（4）</w:t>
            </w:r>
            <w:r>
              <w:rPr>
                <w:rFonts w:hint="default" w:ascii="Times New Roman" w:hAnsi="Times New Roman" w:eastAsia="宋体" w:cs="Times New Roman"/>
                <w:b/>
                <w:bCs/>
                <w:color w:val="auto"/>
                <w:lang w:val="en-US" w:eastAsia="zh-CN"/>
              </w:rPr>
              <w:t>形成征求意见稿</w:t>
            </w:r>
          </w:p>
          <w:p w14:paraId="73AB581F">
            <w:pPr>
              <w:spacing w:before="0" w:line="360" w:lineRule="auto"/>
              <w:ind w:left="118" w:firstLine="420" w:firstLineChars="200"/>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在专家意见基础上，编制工作小组通过多次召开内部研讨会，对《中小学校团体供餐单位食品安全管理规范》的框架和内容，以及规范管理对象和团餐服务对象进行了深入讨论、修改和完善。会议中编制小组深入分析团餐服务对象的特殊性和多样性，特别关注标准对监管对象的适用性与可操作性，确保标准能够覆盖所有相关的食品安全管理环节，并能有效指导供餐单位的日常操作。经过反复讨论和修订，最终形成标准的征求意见稿，为公开征求社会意见和反馈做好准备。</w:t>
            </w:r>
          </w:p>
        </w:tc>
      </w:tr>
      <w:tr w14:paraId="33493C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jc w:val="center"/>
        </w:trPr>
        <w:tc>
          <w:tcPr>
            <w:tcW w:w="9536" w:type="dxa"/>
            <w:vAlign w:val="top"/>
          </w:tcPr>
          <w:p w14:paraId="41122B06">
            <w:pPr>
              <w:spacing w:before="0" w:line="360" w:lineRule="auto"/>
              <w:ind w:left="118"/>
              <w:rPr>
                <w:rFonts w:hint="default" w:ascii="Times New Roman" w:hAnsi="Times New Roman" w:eastAsia="宋体" w:cs="Times New Roman"/>
                <w:color w:val="auto"/>
                <w:sz w:val="20"/>
                <w:szCs w:val="20"/>
              </w:rPr>
            </w:pPr>
            <w:r>
              <w:rPr>
                <w:rFonts w:hint="default" w:ascii="Times New Roman" w:hAnsi="Times New Roman" w:eastAsia="Calibri" w:cs="Times New Roman"/>
                <w:b/>
                <w:bCs/>
                <w:color w:val="auto"/>
                <w:spacing w:val="5"/>
                <w:position w:val="2"/>
                <w:sz w:val="20"/>
                <w:szCs w:val="20"/>
              </w:rPr>
              <w:t xml:space="preserve">2 </w:t>
            </w:r>
            <w:r>
              <w:rPr>
                <w:rFonts w:hint="default" w:ascii="Times New Roman" w:hAnsi="Times New Roman" w:eastAsia="宋体" w:cs="Times New Roman"/>
                <w:b/>
                <w:bCs/>
                <w:color w:val="auto"/>
                <w:spacing w:val="5"/>
                <w:position w:val="2"/>
                <w:sz w:val="20"/>
                <w:szCs w:val="20"/>
              </w:rPr>
              <w:t>、制定标准的必要性和意</w:t>
            </w:r>
            <w:r>
              <w:rPr>
                <w:rFonts w:hint="default" w:ascii="Times New Roman" w:hAnsi="Times New Roman" w:eastAsia="宋体" w:cs="Times New Roman"/>
                <w:b/>
                <w:bCs/>
                <w:color w:val="auto"/>
                <w:spacing w:val="2"/>
                <w:position w:val="2"/>
                <w:sz w:val="20"/>
                <w:szCs w:val="20"/>
              </w:rPr>
              <w:t>义</w:t>
            </w:r>
          </w:p>
        </w:tc>
      </w:tr>
      <w:tr w14:paraId="3EEAC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jc w:val="center"/>
        </w:trPr>
        <w:tc>
          <w:tcPr>
            <w:tcW w:w="9536" w:type="dxa"/>
            <w:vAlign w:val="top"/>
          </w:tcPr>
          <w:p w14:paraId="6499478C">
            <w:pPr>
              <w:spacing w:before="0" w:line="360" w:lineRule="auto"/>
              <w:ind w:left="118" w:firstLine="420" w:firstLineChars="200"/>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随着社会对食品安全关注度的不断提升，尤其是在中小学校团体供餐领域，食品安全管理的严格性和规范性显得尤为重要。《2024中国团餐产业趋势解读》显示，我国团餐年市场规模超2万亿元，占全国餐饮市场比例超四成。其中，学生是团餐最大的消费群体，占比77.0%。学校团体供餐不仅关系到学生的日常饮食健康，还涉及到广大家长和社会的信任。为了应对这一需求，制定《中小学校团体供餐单位食品安全管理规范》显得尤为迫切。该标准的制定，将有助于加强对供餐单位的食品安全监管，确保每一环节的合规性，从而提高市场透明度、优化资源配置，确保学生的饮食安全与健康。</w:t>
            </w:r>
          </w:p>
          <w:p w14:paraId="4B566EF2">
            <w:pPr>
              <w:spacing w:before="0" w:line="360" w:lineRule="auto"/>
              <w:ind w:left="118" w:firstLine="420" w:firstLineChars="200"/>
              <w:rPr>
                <w:rFonts w:hint="default" w:ascii="Times New Roman" w:hAnsi="Times New Roman" w:cs="Times New Roman"/>
                <w:b w:val="0"/>
                <w:bCs w:val="0"/>
                <w:color w:val="auto"/>
              </w:rPr>
            </w:pPr>
            <w:r>
              <w:rPr>
                <w:rFonts w:hint="default" w:ascii="Times New Roman" w:hAnsi="Times New Roman" w:cs="Times New Roman"/>
                <w:b w:val="0"/>
                <w:bCs w:val="0"/>
                <w:color w:val="auto"/>
              </w:rPr>
              <w:t>从公共安全角度</w:t>
            </w:r>
            <w:r>
              <w:rPr>
                <w:rFonts w:hint="eastAsia" w:ascii="Times New Roman" w:hAnsi="Times New Roman" w:eastAsia="宋体" w:cs="Times New Roman"/>
                <w:b w:val="0"/>
                <w:bCs w:val="0"/>
                <w:color w:val="auto"/>
                <w:lang w:eastAsia="zh-CN"/>
              </w:rPr>
              <w:t>，</w:t>
            </w:r>
            <w:r>
              <w:rPr>
                <w:rFonts w:hint="eastAsia" w:ascii="Times New Roman" w:hAnsi="Times New Roman" w:eastAsia="宋体" w:cs="Times New Roman"/>
                <w:b w:val="0"/>
                <w:bCs w:val="0"/>
                <w:color w:val="auto"/>
                <w:lang w:val="en-US" w:eastAsia="zh-CN"/>
              </w:rPr>
              <w:t>本标准的制定有助于</w:t>
            </w:r>
            <w:r>
              <w:rPr>
                <w:rFonts w:hint="default" w:ascii="Times New Roman" w:hAnsi="Times New Roman" w:cs="Times New Roman"/>
                <w:b w:val="0"/>
                <w:bCs w:val="0"/>
                <w:color w:val="auto"/>
              </w:rPr>
              <w:t>保障学生食品安全</w:t>
            </w:r>
            <w:r>
              <w:rPr>
                <w:rFonts w:hint="eastAsia" w:ascii="Times New Roman" w:hAnsi="Times New Roman" w:eastAsia="宋体" w:cs="Times New Roman"/>
                <w:b w:val="0"/>
                <w:bCs w:val="0"/>
                <w:color w:val="auto"/>
                <w:lang w:eastAsia="zh-CN"/>
              </w:rPr>
              <w:t>。</w:t>
            </w:r>
            <w:r>
              <w:rPr>
                <w:rFonts w:hint="default" w:ascii="Times New Roman" w:hAnsi="Times New Roman" w:cs="Times New Roman"/>
                <w:b w:val="0"/>
                <w:bCs w:val="0"/>
                <w:color w:val="auto"/>
              </w:rPr>
              <w:t>中小学校团体供餐单位直接关系到学生的饮食健康，尤其是对于儿童和青少年来说，他们的免疫系统尚未完全成熟，因此对食品的安全性要求尤为严格。近年来，学校集体供餐中频繁发生食品安全事件，可能对学生的身体健康、心理发展甚至生命安全造成严重影响。因此，制定统一的食品安全监管规范，将有助于确保供餐单位在采购、加工、存储、配送等各环节的安全性，减少食品安全隐患，最大限度地保障学生的健康。</w:t>
            </w:r>
          </w:p>
          <w:p w14:paraId="1D48E3A7">
            <w:pPr>
              <w:spacing w:before="0" w:line="360" w:lineRule="auto"/>
              <w:ind w:left="118" w:firstLine="420" w:firstLineChars="200"/>
              <w:rPr>
                <w:rFonts w:hint="default" w:ascii="Times New Roman" w:hAnsi="Times New Roman" w:cs="Times New Roman"/>
                <w:b w:val="0"/>
                <w:bCs w:val="0"/>
                <w:color w:val="auto"/>
              </w:rPr>
            </w:pPr>
            <w:r>
              <w:rPr>
                <w:rFonts w:hint="default" w:ascii="Times New Roman" w:hAnsi="Times New Roman" w:cs="Times New Roman"/>
                <w:b w:val="0"/>
                <w:bCs w:val="0"/>
                <w:color w:val="auto"/>
              </w:rPr>
              <w:t>从市场监管角度</w:t>
            </w:r>
            <w:r>
              <w:rPr>
                <w:rFonts w:hint="eastAsia" w:ascii="Times New Roman" w:hAnsi="Times New Roman" w:eastAsia="宋体" w:cs="Times New Roman"/>
                <w:b w:val="0"/>
                <w:bCs w:val="0"/>
                <w:color w:val="auto"/>
                <w:lang w:eastAsia="zh-CN"/>
              </w:rPr>
              <w:t>，</w:t>
            </w:r>
            <w:r>
              <w:rPr>
                <w:rFonts w:hint="eastAsia" w:ascii="Times New Roman" w:hAnsi="Times New Roman" w:eastAsia="宋体" w:cs="Times New Roman"/>
                <w:b w:val="0"/>
                <w:bCs w:val="0"/>
                <w:color w:val="auto"/>
                <w:lang w:val="en-US" w:eastAsia="zh-CN"/>
              </w:rPr>
              <w:t>本标准的制定有助于</w:t>
            </w:r>
            <w:r>
              <w:rPr>
                <w:rFonts w:hint="default" w:ascii="Times New Roman" w:hAnsi="Times New Roman" w:cs="Times New Roman"/>
                <w:b w:val="0"/>
                <w:bCs w:val="0"/>
                <w:color w:val="auto"/>
              </w:rPr>
              <w:t>提升监管效能与规范性</w:t>
            </w:r>
            <w:r>
              <w:rPr>
                <w:rFonts w:hint="eastAsia" w:ascii="Times New Roman" w:hAnsi="Times New Roman" w:eastAsia="宋体" w:cs="Times New Roman"/>
                <w:b w:val="0"/>
                <w:bCs w:val="0"/>
                <w:color w:val="auto"/>
                <w:lang w:eastAsia="zh-CN"/>
              </w:rPr>
              <w:t>。</w:t>
            </w:r>
            <w:r>
              <w:rPr>
                <w:rFonts w:hint="default" w:ascii="Times New Roman" w:hAnsi="Times New Roman" w:cs="Times New Roman"/>
                <w:b w:val="0"/>
                <w:bCs w:val="0"/>
                <w:color w:val="auto"/>
              </w:rPr>
              <w:t>由于目前地方</w:t>
            </w:r>
            <w:r>
              <w:rPr>
                <w:rFonts w:hint="eastAsia" w:ascii="Times New Roman" w:hAnsi="Times New Roman" w:eastAsia="宋体" w:cs="Times New Roman"/>
                <w:b w:val="0"/>
                <w:bCs w:val="0"/>
                <w:color w:val="auto"/>
                <w:lang w:val="en-US" w:eastAsia="zh-CN"/>
              </w:rPr>
              <w:t>对</w:t>
            </w:r>
            <w:r>
              <w:rPr>
                <w:rFonts w:hint="default" w:ascii="Times New Roman" w:hAnsi="Times New Roman" w:cs="Times New Roman"/>
                <w:b w:val="0"/>
                <w:bCs w:val="0"/>
                <w:color w:val="auto"/>
              </w:rPr>
              <w:t>中小学校团体供餐单位食品安全</w:t>
            </w:r>
            <w:r>
              <w:rPr>
                <w:rFonts w:hint="eastAsia" w:ascii="Times New Roman" w:hAnsi="Times New Roman" w:eastAsia="宋体" w:cs="Times New Roman"/>
                <w:b w:val="0"/>
                <w:bCs w:val="0"/>
                <w:color w:val="auto"/>
                <w:lang w:eastAsia="zh-CN"/>
              </w:rPr>
              <w:t>管理</w:t>
            </w:r>
            <w:r>
              <w:rPr>
                <w:rFonts w:hint="eastAsia" w:ascii="Times New Roman" w:hAnsi="Times New Roman" w:eastAsia="宋体" w:cs="Times New Roman"/>
                <w:b w:val="0"/>
                <w:bCs w:val="0"/>
                <w:color w:val="auto"/>
                <w:lang w:val="en-US" w:eastAsia="zh-CN"/>
              </w:rPr>
              <w:t>的</w:t>
            </w:r>
            <w:r>
              <w:rPr>
                <w:rFonts w:hint="default" w:ascii="Times New Roman" w:hAnsi="Times New Roman" w:cs="Times New Roman"/>
                <w:b w:val="0"/>
                <w:bCs w:val="0"/>
                <w:color w:val="auto"/>
              </w:rPr>
              <w:t>标准执行和监管力度存在差异，导致在实际监管过程中容易出现漏洞和盲区。通过制定《中小学校团体供餐单位食品安全</w:t>
            </w:r>
            <w:r>
              <w:rPr>
                <w:rFonts w:hint="eastAsia" w:ascii="Times New Roman" w:hAnsi="Times New Roman" w:eastAsia="宋体" w:cs="Times New Roman"/>
                <w:b w:val="0"/>
                <w:bCs w:val="0"/>
                <w:color w:val="auto"/>
                <w:lang w:eastAsia="zh-CN"/>
              </w:rPr>
              <w:t>管理</w:t>
            </w:r>
            <w:r>
              <w:rPr>
                <w:rFonts w:hint="default" w:ascii="Times New Roman" w:hAnsi="Times New Roman" w:cs="Times New Roman"/>
                <w:b w:val="0"/>
                <w:bCs w:val="0"/>
                <w:color w:val="auto"/>
              </w:rPr>
              <w:t>规范》，市场监管部门能够依据统一的标准进行操作，确保监管过程有章可循，提升监管的效能和透明度。这将有助于减少随意性，确保各地监管部门按照相同标准开展工作，提升中小学校团体供餐食品安全监管的一致性和规范性，避免因标准不一造成的执行偏差。</w:t>
            </w:r>
          </w:p>
          <w:p w14:paraId="1A2AACDB">
            <w:pPr>
              <w:spacing w:before="0" w:line="360" w:lineRule="auto"/>
              <w:ind w:left="118" w:firstLine="420" w:firstLineChars="200"/>
              <w:rPr>
                <w:rFonts w:hint="default" w:ascii="Times New Roman" w:hAnsi="Times New Roman" w:cs="Times New Roman"/>
                <w:b w:val="0"/>
                <w:bCs w:val="0"/>
                <w:color w:val="auto"/>
              </w:rPr>
            </w:pPr>
            <w:r>
              <w:rPr>
                <w:rFonts w:hint="default" w:ascii="Times New Roman" w:hAnsi="Times New Roman" w:cs="Times New Roman"/>
                <w:b w:val="0"/>
                <w:bCs w:val="0"/>
                <w:color w:val="auto"/>
              </w:rPr>
              <w:t>从行业发展角度</w:t>
            </w:r>
            <w:r>
              <w:rPr>
                <w:rFonts w:hint="eastAsia" w:ascii="Times New Roman" w:hAnsi="Times New Roman" w:eastAsia="宋体" w:cs="Times New Roman"/>
                <w:b w:val="0"/>
                <w:bCs w:val="0"/>
                <w:color w:val="auto"/>
                <w:lang w:eastAsia="zh-CN"/>
              </w:rPr>
              <w:t>，</w:t>
            </w:r>
            <w:r>
              <w:rPr>
                <w:rFonts w:hint="eastAsia" w:ascii="Times New Roman" w:hAnsi="Times New Roman" w:eastAsia="宋体" w:cs="Times New Roman"/>
                <w:b w:val="0"/>
                <w:bCs w:val="0"/>
                <w:color w:val="auto"/>
                <w:lang w:val="en-US" w:eastAsia="zh-CN"/>
              </w:rPr>
              <w:t>本标准的制定有助于</w:t>
            </w:r>
            <w:r>
              <w:rPr>
                <w:rFonts w:hint="default" w:ascii="Times New Roman" w:hAnsi="Times New Roman" w:cs="Times New Roman"/>
                <w:b w:val="0"/>
                <w:bCs w:val="0"/>
                <w:color w:val="auto"/>
              </w:rPr>
              <w:t>促进行业健康发展</w:t>
            </w:r>
            <w:r>
              <w:rPr>
                <w:rFonts w:hint="eastAsia" w:ascii="Times New Roman" w:hAnsi="Times New Roman" w:eastAsia="宋体" w:cs="Times New Roman"/>
                <w:b w:val="0"/>
                <w:bCs w:val="0"/>
                <w:color w:val="auto"/>
                <w:lang w:eastAsia="zh-CN"/>
              </w:rPr>
              <w:t>。</w:t>
            </w:r>
            <w:r>
              <w:rPr>
                <w:rFonts w:hint="default" w:ascii="Times New Roman" w:hAnsi="Times New Roman" w:cs="Times New Roman"/>
                <w:b w:val="0"/>
                <w:bCs w:val="0"/>
                <w:color w:val="auto"/>
              </w:rPr>
              <w:t>中小学校团体供餐行业涉及的环节众多，包括食品原料采购、加工、配送等。目前，部分不合规的供餐单位可能为了降低成本而采取违规操作，这不仅影响食品质量，还可能引发食品安全事故。制定地方标准能够为供餐行业设立明确的行为规范，规范市场竞争，遏制不合规企业的不正当竞争，推动整个行业向健康、规范的方向发展，提升供餐质量，改善市场环境。</w:t>
            </w:r>
          </w:p>
          <w:p w14:paraId="6592A75F">
            <w:pPr>
              <w:spacing w:before="0" w:line="360" w:lineRule="auto"/>
              <w:ind w:left="118" w:firstLine="420" w:firstLineChars="200"/>
              <w:rPr>
                <w:rFonts w:hint="default" w:ascii="Times New Roman" w:hAnsi="Times New Roman" w:cs="Times New Roman"/>
                <w:b w:val="0"/>
                <w:bCs w:val="0"/>
                <w:color w:val="auto"/>
              </w:rPr>
            </w:pPr>
            <w:r>
              <w:rPr>
                <w:rFonts w:hint="default" w:ascii="Times New Roman" w:hAnsi="Times New Roman" w:cs="Times New Roman"/>
                <w:b w:val="0"/>
                <w:bCs w:val="0"/>
                <w:color w:val="auto"/>
              </w:rPr>
              <w:t>从社会信任角度</w:t>
            </w:r>
            <w:r>
              <w:rPr>
                <w:rFonts w:hint="eastAsia" w:ascii="Times New Roman" w:hAnsi="Times New Roman" w:eastAsia="宋体" w:cs="Times New Roman"/>
                <w:b w:val="0"/>
                <w:bCs w:val="0"/>
                <w:color w:val="auto"/>
                <w:lang w:eastAsia="zh-CN"/>
              </w:rPr>
              <w:t>，</w:t>
            </w:r>
            <w:r>
              <w:rPr>
                <w:rFonts w:hint="eastAsia" w:ascii="Times New Roman" w:hAnsi="Times New Roman" w:eastAsia="宋体" w:cs="Times New Roman"/>
                <w:b w:val="0"/>
                <w:bCs w:val="0"/>
                <w:color w:val="auto"/>
                <w:lang w:val="en-US" w:eastAsia="zh-CN"/>
              </w:rPr>
              <w:t>本标准的制定有助于</w:t>
            </w:r>
            <w:r>
              <w:rPr>
                <w:rFonts w:hint="default" w:ascii="Times New Roman" w:hAnsi="Times New Roman" w:cs="Times New Roman"/>
                <w:b w:val="0"/>
                <w:bCs w:val="0"/>
                <w:color w:val="auto"/>
              </w:rPr>
              <w:t>提高公众信心</w:t>
            </w:r>
            <w:r>
              <w:rPr>
                <w:rFonts w:hint="eastAsia" w:ascii="Times New Roman" w:hAnsi="Times New Roman" w:eastAsia="宋体" w:cs="Times New Roman"/>
                <w:b w:val="0"/>
                <w:bCs w:val="0"/>
                <w:color w:val="auto"/>
                <w:lang w:eastAsia="zh-CN"/>
              </w:rPr>
              <w:t>。</w:t>
            </w:r>
            <w:r>
              <w:rPr>
                <w:rFonts w:hint="default" w:ascii="Times New Roman" w:hAnsi="Times New Roman" w:cs="Times New Roman"/>
                <w:b w:val="0"/>
                <w:bCs w:val="0"/>
                <w:color w:val="auto"/>
              </w:rPr>
              <w:t>学校团体供餐事关广大学生的饮食安全，一旦发生食品安全问题，不仅会影响学生的身体健康，还可能引发家长和社会公众的广泛关注和质疑。制定并严格执行食品安全监管规范，能够有效提高食品安全监管的透明度，增强公众对供餐单位食品安全的信任。通过明确监管标准、公开透明的信息披露等手段，可以回应家长和社会对食品安全的关切，增强社会对供餐单位及监管部门的信任。</w:t>
            </w:r>
          </w:p>
          <w:p w14:paraId="7B76A76C">
            <w:pPr>
              <w:spacing w:before="0" w:line="360" w:lineRule="auto"/>
              <w:ind w:firstLine="420" w:firstLineChars="200"/>
              <w:rPr>
                <w:rFonts w:hint="default" w:ascii="Times New Roman" w:hAnsi="Times New Roman" w:cs="Times New Roman"/>
                <w:b w:val="0"/>
                <w:bCs w:val="0"/>
                <w:color w:val="auto"/>
              </w:rPr>
            </w:pPr>
            <w:r>
              <w:rPr>
                <w:rFonts w:hint="default" w:ascii="Times New Roman" w:hAnsi="Times New Roman" w:cs="Times New Roman"/>
                <w:b w:val="0"/>
                <w:bCs w:val="0"/>
                <w:color w:val="auto"/>
              </w:rPr>
              <w:t>从经济效益角度</w:t>
            </w:r>
            <w:r>
              <w:rPr>
                <w:rFonts w:hint="eastAsia" w:ascii="Times New Roman" w:hAnsi="Times New Roman" w:eastAsia="宋体" w:cs="Times New Roman"/>
                <w:b w:val="0"/>
                <w:bCs w:val="0"/>
                <w:color w:val="auto"/>
                <w:lang w:eastAsia="zh-CN"/>
              </w:rPr>
              <w:t>，</w:t>
            </w:r>
            <w:r>
              <w:rPr>
                <w:rFonts w:hint="eastAsia" w:ascii="Times New Roman" w:hAnsi="Times New Roman" w:eastAsia="宋体" w:cs="Times New Roman"/>
                <w:b w:val="0"/>
                <w:bCs w:val="0"/>
                <w:color w:val="auto"/>
                <w:lang w:val="en-US" w:eastAsia="zh-CN"/>
              </w:rPr>
              <w:t>本标准的制定有助于</w:t>
            </w:r>
            <w:r>
              <w:rPr>
                <w:rFonts w:hint="default" w:ascii="Times New Roman" w:hAnsi="Times New Roman" w:cs="Times New Roman"/>
                <w:b w:val="0"/>
                <w:bCs w:val="0"/>
                <w:color w:val="auto"/>
              </w:rPr>
              <w:t>降低食品安全事故带来的经济损失</w:t>
            </w:r>
            <w:r>
              <w:rPr>
                <w:rFonts w:hint="eastAsia" w:ascii="Times New Roman" w:hAnsi="Times New Roman" w:eastAsia="宋体" w:cs="Times New Roman"/>
                <w:b w:val="0"/>
                <w:bCs w:val="0"/>
                <w:color w:val="auto"/>
                <w:lang w:eastAsia="zh-CN"/>
              </w:rPr>
              <w:t>。</w:t>
            </w:r>
            <w:r>
              <w:rPr>
                <w:rFonts w:hint="default" w:ascii="Times New Roman" w:hAnsi="Times New Roman" w:cs="Times New Roman"/>
                <w:b w:val="0"/>
                <w:bCs w:val="0"/>
                <w:color w:val="auto"/>
              </w:rPr>
              <w:t>食品安全事故不仅对学生健康构成威胁，还可能给学校和供餐单位带来巨大的经济损失，包括法律诉讼费用、赔偿费用以及品牌声誉的损害等。这些损失往往会严重影响供餐单位的运营和发展。通过制定规范化的食品安全监管标准，能够有效降低食品安全事故的发生，减少可能导致的经济损失。同时，行业的规范化也能够提升供应链管理效率，促进供餐单位在稳定的市场环境中获得长期经济效益。</w:t>
            </w:r>
          </w:p>
          <w:p w14:paraId="66AF8760">
            <w:pPr>
              <w:spacing w:before="0" w:line="360" w:lineRule="auto"/>
              <w:ind w:left="118" w:firstLine="420" w:firstLineChars="200"/>
              <w:rPr>
                <w:rFonts w:hint="default" w:ascii="Times New Roman" w:hAnsi="Times New Roman" w:cs="Times New Roman"/>
                <w:b w:val="0"/>
                <w:bCs w:val="0"/>
                <w:color w:val="auto"/>
              </w:rPr>
            </w:pPr>
            <w:r>
              <w:rPr>
                <w:rFonts w:hint="default" w:ascii="Times New Roman" w:hAnsi="Times New Roman" w:cs="Times New Roman"/>
                <w:b w:val="0"/>
                <w:bCs w:val="0"/>
                <w:color w:val="auto"/>
              </w:rPr>
              <w:t>从法律合规角度</w:t>
            </w:r>
            <w:r>
              <w:rPr>
                <w:rFonts w:hint="eastAsia" w:ascii="Times New Roman" w:hAnsi="Times New Roman" w:eastAsia="宋体" w:cs="Times New Roman"/>
                <w:b w:val="0"/>
                <w:bCs w:val="0"/>
                <w:color w:val="auto"/>
                <w:lang w:eastAsia="zh-CN"/>
              </w:rPr>
              <w:t>，</w:t>
            </w:r>
            <w:r>
              <w:rPr>
                <w:rFonts w:hint="eastAsia" w:ascii="Times New Roman" w:hAnsi="Times New Roman" w:eastAsia="宋体" w:cs="Times New Roman"/>
                <w:b w:val="0"/>
                <w:bCs w:val="0"/>
                <w:color w:val="auto"/>
                <w:lang w:val="en-US" w:eastAsia="zh-CN"/>
              </w:rPr>
              <w:t>本标准的制定有助于</w:t>
            </w:r>
            <w:r>
              <w:rPr>
                <w:rFonts w:hint="default" w:ascii="Times New Roman" w:hAnsi="Times New Roman" w:cs="Times New Roman"/>
                <w:b w:val="0"/>
                <w:bCs w:val="0"/>
                <w:color w:val="auto"/>
              </w:rPr>
              <w:t>促进法规的有效实施</w:t>
            </w:r>
            <w:r>
              <w:rPr>
                <w:rFonts w:hint="eastAsia" w:ascii="Times New Roman" w:hAnsi="Times New Roman" w:eastAsia="宋体" w:cs="Times New Roman"/>
                <w:b w:val="0"/>
                <w:bCs w:val="0"/>
                <w:color w:val="auto"/>
                <w:lang w:eastAsia="zh-CN"/>
              </w:rPr>
              <w:t>。</w:t>
            </w:r>
            <w:r>
              <w:rPr>
                <w:rFonts w:hint="default" w:ascii="Times New Roman" w:hAnsi="Times New Roman" w:cs="Times New Roman"/>
                <w:b w:val="0"/>
                <w:bCs w:val="0"/>
                <w:color w:val="auto"/>
              </w:rPr>
              <w:t>尽管我国已有相关的食品安全法律法规，但地方在执行过程中可能因标准和监管力度的差异，导致监管效果不一致。地方标准的制定，有助于补充现有法律法规的空白，弥补在地方执行中的不足，确保标准的统一性和地方政府的合规性。这不仅有助于推动国家相关食品安全法律法规的有效实施，也能够使市场主体对食品安全的遵守更加到位，提高地方政府监管工作的效率与公信力。</w:t>
            </w:r>
          </w:p>
          <w:p w14:paraId="5B919F81">
            <w:pPr>
              <w:spacing w:before="0" w:line="360" w:lineRule="auto"/>
              <w:ind w:left="118"/>
              <w:rPr>
                <w:rFonts w:hint="default" w:ascii="Times New Roman" w:hAnsi="Times New Roman" w:cs="Times New Roman"/>
                <w:b w:val="0"/>
                <w:bCs w:val="0"/>
                <w:color w:val="auto"/>
              </w:rPr>
            </w:pPr>
            <w:r>
              <w:rPr>
                <w:rFonts w:hint="eastAsia" w:ascii="Times New Roman" w:hAnsi="Times New Roman" w:eastAsia="宋体" w:cs="Times New Roman"/>
                <w:b w:val="0"/>
                <w:bCs w:val="0"/>
                <w:color w:val="auto"/>
                <w:lang w:val="en-US" w:eastAsia="zh-CN"/>
              </w:rPr>
              <w:t xml:space="preserve">       </w:t>
            </w:r>
            <w:r>
              <w:rPr>
                <w:rFonts w:hint="default" w:ascii="Times New Roman" w:hAnsi="Times New Roman" w:cs="Times New Roman"/>
                <w:b w:val="0"/>
                <w:bCs w:val="0"/>
                <w:color w:val="auto"/>
              </w:rPr>
              <w:t>从社会责任角度</w:t>
            </w:r>
            <w:r>
              <w:rPr>
                <w:rFonts w:hint="eastAsia" w:ascii="Times New Roman" w:hAnsi="Times New Roman" w:eastAsia="宋体" w:cs="Times New Roman"/>
                <w:b w:val="0"/>
                <w:bCs w:val="0"/>
                <w:color w:val="auto"/>
                <w:lang w:eastAsia="zh-CN"/>
              </w:rPr>
              <w:t>，</w:t>
            </w:r>
            <w:r>
              <w:rPr>
                <w:rFonts w:hint="eastAsia" w:ascii="Times New Roman" w:hAnsi="Times New Roman" w:eastAsia="宋体" w:cs="Times New Roman"/>
                <w:b w:val="0"/>
                <w:bCs w:val="0"/>
                <w:color w:val="auto"/>
                <w:lang w:val="en-US" w:eastAsia="zh-CN"/>
              </w:rPr>
              <w:t>本标准的制定有助于</w:t>
            </w:r>
            <w:r>
              <w:rPr>
                <w:rFonts w:hint="default" w:ascii="Times New Roman" w:hAnsi="Times New Roman" w:cs="Times New Roman"/>
                <w:b w:val="0"/>
                <w:bCs w:val="0"/>
                <w:color w:val="auto"/>
              </w:rPr>
              <w:t>增强供餐单位自律</w:t>
            </w:r>
            <w:r>
              <w:rPr>
                <w:rFonts w:hint="eastAsia" w:ascii="Times New Roman" w:hAnsi="Times New Roman" w:eastAsia="宋体" w:cs="Times New Roman"/>
                <w:b w:val="0"/>
                <w:bCs w:val="0"/>
                <w:color w:val="auto"/>
                <w:lang w:eastAsia="zh-CN"/>
              </w:rPr>
              <w:t>。</w:t>
            </w:r>
            <w:r>
              <w:rPr>
                <w:rFonts w:hint="default" w:ascii="Times New Roman" w:hAnsi="Times New Roman" w:cs="Times New Roman"/>
                <w:b w:val="0"/>
                <w:bCs w:val="0"/>
                <w:color w:val="auto"/>
              </w:rPr>
              <w:t>市场监管不仅依赖政府的外部监督，还需要供餐单位的自律与合规经营。制定《中小学校团体供餐单位食品安全</w:t>
            </w:r>
            <w:r>
              <w:rPr>
                <w:rFonts w:hint="eastAsia" w:ascii="Times New Roman" w:hAnsi="Times New Roman" w:eastAsia="宋体" w:cs="Times New Roman"/>
                <w:b w:val="0"/>
                <w:bCs w:val="0"/>
                <w:color w:val="auto"/>
                <w:lang w:eastAsia="zh-CN"/>
              </w:rPr>
              <w:t>管理</w:t>
            </w:r>
            <w:r>
              <w:rPr>
                <w:rFonts w:hint="default" w:ascii="Times New Roman" w:hAnsi="Times New Roman" w:cs="Times New Roman"/>
                <w:b w:val="0"/>
                <w:bCs w:val="0"/>
                <w:color w:val="auto"/>
              </w:rPr>
              <w:t>规范》可以为</w:t>
            </w:r>
            <w:r>
              <w:rPr>
                <w:rFonts w:hint="eastAsia" w:ascii="Times New Roman" w:hAnsi="Times New Roman" w:eastAsia="宋体" w:cs="Times New Roman"/>
                <w:b w:val="0"/>
                <w:bCs w:val="0"/>
                <w:color w:val="auto"/>
                <w:lang w:val="en-US" w:eastAsia="zh-CN"/>
              </w:rPr>
              <w:t>团体</w:t>
            </w:r>
            <w:r>
              <w:rPr>
                <w:rFonts w:hint="default" w:ascii="Times New Roman" w:hAnsi="Times New Roman" w:cs="Times New Roman"/>
                <w:b w:val="0"/>
                <w:bCs w:val="0"/>
                <w:color w:val="auto"/>
              </w:rPr>
              <w:t>供餐单位提供明确的操作标准和规范，促使其加强内部管理，提升自我监管能力。规范的出台不仅能激励供餐单位严格遵守食品安全要求，还能在日常运营中增强其社会责任感，减少食品安全问题的发生，从而为社会稳定和学生健康贡献力量。</w:t>
            </w:r>
          </w:p>
          <w:p w14:paraId="470DB2A0">
            <w:pPr>
              <w:spacing w:before="0" w:line="360" w:lineRule="auto"/>
              <w:ind w:left="118" w:firstLine="420" w:firstLineChars="200"/>
              <w:rPr>
                <w:rFonts w:hint="default" w:ascii="Times New Roman" w:hAnsi="Times New Roman" w:cs="Times New Roman"/>
                <w:color w:val="auto"/>
              </w:rPr>
            </w:pPr>
            <w:r>
              <w:rPr>
                <w:rFonts w:hint="default" w:ascii="Times New Roman" w:hAnsi="Times New Roman" w:cs="Times New Roman"/>
                <w:b w:val="0"/>
                <w:bCs w:val="0"/>
                <w:color w:val="auto"/>
              </w:rPr>
              <w:t>综上所述，从保障学生食品安全到提高社会信任、优化市场监管，再到促进行业健康发展，制定地方标准《中小学校团体供餐单位食品安全</w:t>
            </w:r>
            <w:r>
              <w:rPr>
                <w:rFonts w:hint="eastAsia" w:ascii="Times New Roman" w:hAnsi="Times New Roman" w:eastAsia="宋体" w:cs="Times New Roman"/>
                <w:b w:val="0"/>
                <w:bCs w:val="0"/>
                <w:color w:val="auto"/>
                <w:lang w:eastAsia="zh-CN"/>
              </w:rPr>
              <w:t>管理</w:t>
            </w:r>
            <w:r>
              <w:rPr>
                <w:rFonts w:hint="default" w:ascii="Times New Roman" w:hAnsi="Times New Roman" w:cs="Times New Roman"/>
                <w:b w:val="0"/>
                <w:bCs w:val="0"/>
                <w:color w:val="auto"/>
              </w:rPr>
              <w:t>规范》具有多方面的深远意义。它不仅能够确保食品安全，还将推动</w:t>
            </w:r>
            <w:r>
              <w:rPr>
                <w:rFonts w:hint="eastAsia" w:ascii="Times New Roman" w:hAnsi="Times New Roman" w:eastAsia="宋体" w:cs="Times New Roman"/>
                <w:b w:val="0"/>
                <w:bCs w:val="0"/>
                <w:color w:val="auto"/>
                <w:lang w:val="en-US" w:eastAsia="zh-CN"/>
              </w:rPr>
              <w:t>团体</w:t>
            </w:r>
            <w:r>
              <w:rPr>
                <w:rFonts w:hint="default" w:ascii="Times New Roman" w:hAnsi="Times New Roman" w:cs="Times New Roman"/>
                <w:b w:val="0"/>
                <w:bCs w:val="0"/>
                <w:color w:val="auto"/>
              </w:rPr>
              <w:t>供餐行业的长期健康发展，促进社会对食品安全监管的信任，最终为学生和公众提供更为安全的饮食环境。</w:t>
            </w:r>
          </w:p>
        </w:tc>
      </w:tr>
      <w:tr w14:paraId="79D120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9536" w:type="dxa"/>
            <w:vAlign w:val="top"/>
          </w:tcPr>
          <w:p w14:paraId="44CACB36">
            <w:pPr>
              <w:spacing w:before="0" w:line="360" w:lineRule="auto"/>
              <w:ind w:left="117"/>
              <w:rPr>
                <w:rFonts w:hint="default" w:ascii="Times New Roman" w:hAnsi="Times New Roman" w:eastAsia="宋体" w:cs="Times New Roman"/>
                <w:color w:val="auto"/>
                <w:sz w:val="20"/>
                <w:szCs w:val="20"/>
              </w:rPr>
            </w:pPr>
            <w:r>
              <w:rPr>
                <w:rFonts w:hint="default" w:ascii="Times New Roman" w:hAnsi="Times New Roman" w:eastAsia="Calibri" w:cs="Times New Roman"/>
                <w:b/>
                <w:bCs/>
                <w:color w:val="auto"/>
                <w:spacing w:val="10"/>
                <w:position w:val="2"/>
                <w:sz w:val="20"/>
                <w:szCs w:val="20"/>
              </w:rPr>
              <w:t>3</w:t>
            </w:r>
            <w:r>
              <w:rPr>
                <w:rFonts w:hint="default" w:ascii="Times New Roman" w:hAnsi="Times New Roman" w:eastAsia="Calibri" w:cs="Times New Roman"/>
                <w:b/>
                <w:bCs/>
                <w:color w:val="auto"/>
                <w:spacing w:val="7"/>
                <w:position w:val="2"/>
                <w:sz w:val="20"/>
                <w:szCs w:val="20"/>
              </w:rPr>
              <w:t xml:space="preserve"> </w:t>
            </w:r>
            <w:r>
              <w:rPr>
                <w:rFonts w:hint="default" w:ascii="Times New Roman" w:hAnsi="Times New Roman" w:eastAsia="宋体" w:cs="Times New Roman"/>
                <w:b/>
                <w:bCs/>
                <w:color w:val="auto"/>
                <w:spacing w:val="7"/>
                <w:position w:val="2"/>
                <w:sz w:val="20"/>
                <w:szCs w:val="20"/>
              </w:rPr>
              <w:t>、制定标准的原则和依据，与现行法律法规、标准的关系。</w:t>
            </w:r>
          </w:p>
        </w:tc>
      </w:tr>
      <w:tr w14:paraId="64AFB5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536" w:type="dxa"/>
            <w:vAlign w:val="center"/>
          </w:tcPr>
          <w:p w14:paraId="40FA10EC">
            <w:pPr>
              <w:spacing w:before="0" w:line="360" w:lineRule="auto"/>
              <w:ind w:firstLine="0" w:firstLineChars="0"/>
              <w:jc w:val="left"/>
              <w:rPr>
                <w:rFonts w:hint="default" w:ascii="Times New Roman" w:hAnsi="Times New Roman" w:cs="Times New Roman"/>
                <w:b/>
                <w:bCs/>
                <w:color w:val="auto"/>
              </w:rPr>
            </w:pPr>
            <w:r>
              <w:rPr>
                <w:rFonts w:hint="default" w:ascii="Times New Roman" w:hAnsi="Times New Roman" w:cs="Times New Roman"/>
                <w:b/>
                <w:bCs/>
                <w:color w:val="auto"/>
              </w:rPr>
              <w:t>（</w:t>
            </w:r>
            <w:r>
              <w:rPr>
                <w:rFonts w:hint="default" w:ascii="Times New Roman" w:hAnsi="Times New Roman" w:eastAsia="Arial" w:cs="Times New Roman"/>
                <w:b/>
                <w:bCs/>
                <w:color w:val="auto"/>
              </w:rPr>
              <w:t>一</w:t>
            </w:r>
            <w:r>
              <w:rPr>
                <w:rFonts w:hint="default" w:ascii="Times New Roman" w:hAnsi="Times New Roman" w:cs="Times New Roman"/>
                <w:b/>
                <w:bCs/>
                <w:color w:val="auto"/>
              </w:rPr>
              <w:t>）编制原则</w:t>
            </w:r>
          </w:p>
          <w:p w14:paraId="73DC9BB7">
            <w:pPr>
              <w:spacing w:before="0" w:line="360" w:lineRule="auto"/>
              <w:ind w:firstLine="420" w:firstLineChars="200"/>
              <w:jc w:val="left"/>
              <w:rPr>
                <w:rFonts w:hint="default" w:ascii="Times New Roman" w:hAnsi="Times New Roman" w:cs="Times New Roman"/>
                <w:color w:val="auto"/>
              </w:rPr>
            </w:pPr>
            <w:r>
              <w:rPr>
                <w:rFonts w:hint="default" w:ascii="Times New Roman" w:hAnsi="Times New Roman" w:cs="Times New Roman"/>
                <w:color w:val="auto"/>
              </w:rPr>
              <w:t>本标准的编制遵循如下原则：</w:t>
            </w:r>
          </w:p>
          <w:p w14:paraId="36E32534">
            <w:pPr>
              <w:numPr>
                <w:ilvl w:val="-1"/>
                <w:numId w:val="0"/>
              </w:numPr>
              <w:adjustRightInd/>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1</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t>贯彻国家有关法律法规和政策；</w:t>
            </w:r>
          </w:p>
          <w:p w14:paraId="2610B625">
            <w:pPr>
              <w:numPr>
                <w:ilvl w:val="-1"/>
                <w:numId w:val="0"/>
              </w:numPr>
              <w:adjustRightInd/>
              <w:spacing w:before="0" w:line="360" w:lineRule="auto"/>
              <w:ind w:left="118" w:leftChars="0"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2</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t>以现行法律法规规定为基础，与相关法律法规要求基本保持一致，符合法律法规的要求。</w:t>
            </w:r>
          </w:p>
          <w:p w14:paraId="29B13957">
            <w:pPr>
              <w:spacing w:before="0" w:line="360" w:lineRule="auto"/>
              <w:ind w:left="118" w:firstLine="420" w:firstLineChars="200"/>
              <w:rPr>
                <w:rFonts w:hint="eastAsia" w:ascii="Times New Roman" w:hAnsi="Times New Roman" w:eastAsia="宋体" w:cs="Times New Roman"/>
                <w:b w:val="0"/>
                <w:bCs w:val="0"/>
                <w:snapToGrid w:val="0"/>
                <w:color w:val="auto"/>
                <w:sz w:val="21"/>
                <w:szCs w:val="21"/>
                <w:lang w:val="en-US" w:eastAsia="zh-CN" w:bidi="ar-SA"/>
              </w:rPr>
            </w:pPr>
            <w:r>
              <w:rPr>
                <w:rFonts w:hint="eastAsia" w:ascii="Times New Roman" w:hAnsi="Times New Roman" w:eastAsia="宋体" w:cs="Times New Roman"/>
                <w:b w:val="0"/>
                <w:bCs w:val="0"/>
                <w:snapToGrid w:val="0"/>
                <w:color w:val="auto"/>
                <w:sz w:val="21"/>
                <w:szCs w:val="21"/>
                <w:lang w:val="en-US" w:eastAsia="zh-CN" w:bidi="ar-SA"/>
              </w:rPr>
              <w:t>（3）</w:t>
            </w:r>
            <w:r>
              <w:rPr>
                <w:rFonts w:hint="default" w:ascii="Times New Roman" w:hAnsi="Times New Roman" w:eastAsia="宋体" w:cs="Times New Roman"/>
                <w:b w:val="0"/>
                <w:bCs w:val="0"/>
                <w:snapToGrid w:val="0"/>
                <w:color w:val="auto"/>
                <w:sz w:val="21"/>
                <w:szCs w:val="21"/>
                <w:lang w:val="en-US" w:eastAsia="zh-CN" w:bidi="ar-SA"/>
              </w:rPr>
              <w:t>标准</w:t>
            </w:r>
            <w:r>
              <w:rPr>
                <w:rFonts w:hint="eastAsia" w:ascii="Times New Roman" w:hAnsi="Times New Roman" w:eastAsia="宋体" w:cs="Times New Roman"/>
                <w:b w:val="0"/>
                <w:bCs w:val="0"/>
                <w:snapToGrid w:val="0"/>
                <w:color w:val="auto"/>
                <w:sz w:val="21"/>
                <w:szCs w:val="21"/>
                <w:lang w:val="en-US" w:eastAsia="zh-CN" w:bidi="ar-SA"/>
              </w:rPr>
              <w:t>文件遵循“统一、简化、协调、优化”的标准原则，本着科学性、客观性、可操作性</w:t>
            </w:r>
            <w:r>
              <w:rPr>
                <w:rFonts w:hint="default" w:ascii="Times New Roman" w:hAnsi="Times New Roman" w:eastAsia="宋体" w:cs="Times New Roman"/>
                <w:b w:val="0"/>
                <w:bCs w:val="0"/>
                <w:snapToGrid w:val="0"/>
                <w:color w:val="auto"/>
                <w:sz w:val="21"/>
                <w:szCs w:val="21"/>
                <w:lang w:val="en-US" w:eastAsia="zh-CN" w:bidi="ar-SA"/>
              </w:rPr>
              <w:t>以及可持续改进性</w:t>
            </w:r>
            <w:r>
              <w:rPr>
                <w:rFonts w:hint="eastAsia" w:ascii="Times New Roman" w:hAnsi="Times New Roman" w:eastAsia="宋体" w:cs="Times New Roman"/>
                <w:b w:val="0"/>
                <w:bCs w:val="0"/>
                <w:snapToGrid w:val="0"/>
                <w:color w:val="auto"/>
                <w:sz w:val="21"/>
                <w:szCs w:val="21"/>
                <w:lang w:val="en-US" w:eastAsia="zh-CN" w:bidi="ar-SA"/>
              </w:rPr>
              <w:t>，在标准要求与技术指标的设置上，结合当前中小学生团体供餐单位食品安全监督管理的服务水平和管理现状，充分考虑市场需求以及标准的科学性、可操作性及前瞻性，标准编制过程尽可能考虑了标准条款的可执行性。</w:t>
            </w:r>
          </w:p>
          <w:p w14:paraId="0ABACE53">
            <w:pPr>
              <w:spacing w:before="0" w:line="360" w:lineRule="auto"/>
              <w:ind w:firstLine="0" w:firstLineChars="0"/>
              <w:jc w:val="left"/>
              <w:rPr>
                <w:rFonts w:hint="default" w:ascii="Times New Roman" w:hAnsi="Times New Roman" w:cs="Times New Roman"/>
                <w:b/>
                <w:bCs/>
                <w:color w:val="auto"/>
                <w:szCs w:val="21"/>
              </w:rPr>
            </w:pPr>
            <w:r>
              <w:rPr>
                <w:rFonts w:hint="default" w:ascii="Times New Roman" w:hAnsi="Times New Roman" w:cs="Times New Roman"/>
                <w:b/>
                <w:bCs/>
                <w:color w:val="auto"/>
                <w:szCs w:val="21"/>
              </w:rPr>
              <w:t>（</w:t>
            </w:r>
            <w:r>
              <w:rPr>
                <w:rFonts w:hint="default" w:ascii="Times New Roman" w:hAnsi="Times New Roman" w:eastAsia="Arial" w:cs="Times New Roman"/>
                <w:b/>
                <w:bCs/>
                <w:color w:val="auto"/>
                <w:szCs w:val="21"/>
              </w:rPr>
              <w:t>二</w:t>
            </w:r>
            <w:r>
              <w:rPr>
                <w:rFonts w:hint="default" w:ascii="Times New Roman" w:hAnsi="Times New Roman" w:cs="Times New Roman"/>
                <w:b/>
                <w:bCs/>
                <w:color w:val="auto"/>
                <w:szCs w:val="21"/>
              </w:rPr>
              <w:t>）编制依据</w:t>
            </w:r>
          </w:p>
          <w:p w14:paraId="11787489">
            <w:pPr>
              <w:spacing w:before="0" w:line="360" w:lineRule="auto"/>
              <w:ind w:left="118" w:firstLine="422" w:firstLineChars="200"/>
              <w:rPr>
                <w:rFonts w:hint="eastAsia" w:ascii="Times New Roman" w:hAnsi="Times New Roman" w:eastAsia="宋体" w:cs="Times New Roman"/>
                <w:b/>
                <w:bCs/>
                <w:color w:val="auto"/>
                <w:szCs w:val="21"/>
              </w:rPr>
            </w:pPr>
            <w:r>
              <w:rPr>
                <w:rFonts w:hint="eastAsia" w:ascii="Times New Roman" w:hAnsi="Times New Roman" w:eastAsia="宋体" w:cs="Times New Roman"/>
                <w:b/>
                <w:bCs/>
                <w:color w:val="auto"/>
                <w:szCs w:val="21"/>
              </w:rPr>
              <w:t>1.</w:t>
            </w:r>
            <w:r>
              <w:rPr>
                <w:rFonts w:hint="default" w:ascii="Times New Roman" w:hAnsi="Times New Roman" w:eastAsia="宋体" w:cs="Times New Roman"/>
                <w:b/>
                <w:bCs/>
                <w:color w:val="auto"/>
                <w:szCs w:val="21"/>
                <w:lang w:val="en-US" w:eastAsia="zh-CN"/>
              </w:rPr>
              <w:t xml:space="preserve"> 现行</w:t>
            </w:r>
            <w:r>
              <w:rPr>
                <w:rFonts w:hint="eastAsia" w:ascii="Times New Roman" w:hAnsi="Times New Roman" w:eastAsia="宋体" w:cs="Times New Roman"/>
                <w:b/>
                <w:bCs/>
                <w:color w:val="auto"/>
                <w:szCs w:val="21"/>
              </w:rPr>
              <w:t>政策法规</w:t>
            </w:r>
          </w:p>
          <w:p w14:paraId="6116E3D9">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《中华人民共和国标准化法》</w:t>
            </w:r>
          </w:p>
          <w:p w14:paraId="4B853098">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《中华人民共和国食品安全法》</w:t>
            </w:r>
          </w:p>
          <w:p w14:paraId="392FAB27">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《中华人民共和国消费者权益保护法》</w:t>
            </w:r>
          </w:p>
          <w:p w14:paraId="601FF7FC">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《餐饮服务食品安全操作规范》</w:t>
            </w:r>
          </w:p>
          <w:p w14:paraId="6E39D1E1">
            <w:pPr>
              <w:spacing w:before="0" w:line="360" w:lineRule="auto"/>
              <w:ind w:left="118" w:firstLine="420" w:firstLineChars="200"/>
              <w:rPr>
                <w:rFonts w:hint="default" w:ascii="Times New Roman" w:hAnsi="Times New Roman" w:eastAsia="宋体" w:cs="Times New Roman"/>
                <w:color w:val="auto"/>
                <w:szCs w:val="21"/>
                <w:lang w:eastAsia="zh-CN"/>
              </w:rPr>
            </w:pPr>
            <w:r>
              <w:rPr>
                <w:rFonts w:hint="default" w:ascii="Times New Roman" w:hAnsi="Times New Roman" w:eastAsia="宋体" w:cs="Times New Roman"/>
                <w:color w:val="auto"/>
                <w:szCs w:val="21"/>
                <w:lang w:eastAsia="zh-CN"/>
              </w:rPr>
              <w:t>《学校食品安全与营养健康管理规定》</w:t>
            </w:r>
          </w:p>
          <w:p w14:paraId="3E181473">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《安徽省食品安全条例》</w:t>
            </w:r>
          </w:p>
          <w:p w14:paraId="631E1041">
            <w:pPr>
              <w:numPr>
                <w:ilvl w:val="0"/>
                <w:numId w:val="5"/>
              </w:numPr>
              <w:spacing w:before="0" w:line="360" w:lineRule="auto"/>
              <w:ind w:left="118" w:firstLine="422" w:firstLineChars="200"/>
              <w:rPr>
                <w:rFonts w:hint="eastAsia" w:ascii="Times New Roman" w:hAnsi="Times New Roman" w:eastAsia="宋体" w:cs="Times New Roman"/>
                <w:b/>
                <w:bCs/>
                <w:color w:val="auto"/>
                <w:szCs w:val="21"/>
                <w:lang w:val="en-US" w:eastAsia="zh-CN"/>
              </w:rPr>
            </w:pPr>
            <w:r>
              <w:rPr>
                <w:rFonts w:hint="default" w:ascii="Times New Roman" w:hAnsi="Times New Roman" w:eastAsia="宋体" w:cs="Times New Roman"/>
                <w:b/>
                <w:bCs/>
                <w:color w:val="auto"/>
                <w:szCs w:val="21"/>
                <w:lang w:val="en-US" w:eastAsia="zh-CN"/>
              </w:rPr>
              <w:t>国家</w:t>
            </w:r>
            <w:r>
              <w:rPr>
                <w:rFonts w:hint="eastAsia" w:ascii="Times New Roman" w:hAnsi="Times New Roman" w:eastAsia="宋体" w:cs="Times New Roman"/>
                <w:b/>
                <w:bCs/>
                <w:color w:val="auto"/>
                <w:szCs w:val="21"/>
              </w:rPr>
              <w:t>标准</w:t>
            </w:r>
            <w:r>
              <w:rPr>
                <w:rFonts w:hint="default" w:ascii="Times New Roman" w:hAnsi="Times New Roman" w:eastAsia="宋体" w:cs="Times New Roman"/>
                <w:b/>
                <w:bCs/>
                <w:color w:val="auto"/>
                <w:szCs w:val="21"/>
                <w:lang w:val="en-US" w:eastAsia="zh-CN"/>
              </w:rPr>
              <w:t>和行业标准</w:t>
            </w:r>
          </w:p>
          <w:p w14:paraId="02DA852E">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GB 7718</w:t>
            </w:r>
            <w:r>
              <w:rPr>
                <w:rFonts w:hint="default" w:ascii="Times New Roman" w:hAnsi="Times New Roman" w:eastAsia="宋体" w:cs="Times New Roman"/>
                <w:color w:val="auto"/>
                <w:szCs w:val="21"/>
                <w:lang w:val="en-US" w:eastAsia="zh-CN"/>
              </w:rPr>
              <w:t xml:space="preserve">-2011 </w:t>
            </w:r>
            <w:r>
              <w:rPr>
                <w:rFonts w:hint="eastAsia" w:ascii="Times New Roman" w:hAnsi="Times New Roman" w:eastAsia="宋体" w:cs="Times New Roman"/>
                <w:color w:val="auto"/>
                <w:szCs w:val="21"/>
              </w:rPr>
              <w:t>《食品安全国家标准</w:t>
            </w:r>
            <w:r>
              <w:rPr>
                <w:rFonts w:hint="default" w:ascii="Times New Roman" w:hAnsi="Times New Roman" w:eastAsia="宋体" w:cs="Times New Roman"/>
                <w:color w:val="auto"/>
                <w:szCs w:val="21"/>
                <w:lang w:val="en-US" w:eastAsia="zh-CN"/>
              </w:rPr>
              <w:t xml:space="preserve">  </w:t>
            </w:r>
            <w:r>
              <w:rPr>
                <w:rFonts w:hint="eastAsia" w:ascii="Times New Roman" w:hAnsi="Times New Roman" w:eastAsia="宋体" w:cs="Times New Roman"/>
                <w:color w:val="auto"/>
                <w:szCs w:val="21"/>
              </w:rPr>
              <w:t>预包装食品标签通则》</w:t>
            </w:r>
          </w:p>
          <w:p w14:paraId="5A4947F3">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GB 14934 《食品安全国家标准 消毒餐（饮）具》</w:t>
            </w:r>
          </w:p>
          <w:p w14:paraId="541DBCA7">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GB 2760</w:t>
            </w:r>
            <w:r>
              <w:rPr>
                <w:rFonts w:hint="default" w:ascii="Times New Roman" w:hAnsi="Times New Roman" w:eastAsia="宋体" w:cs="Times New Roman"/>
                <w:color w:val="auto"/>
                <w:szCs w:val="21"/>
                <w:lang w:val="en-US" w:eastAsia="zh-CN"/>
              </w:rPr>
              <w:t xml:space="preserve">-2024 </w:t>
            </w:r>
            <w:r>
              <w:rPr>
                <w:rFonts w:hint="eastAsia" w:ascii="Times New Roman" w:hAnsi="Times New Roman" w:eastAsia="宋体" w:cs="Times New Roman"/>
                <w:color w:val="auto"/>
                <w:szCs w:val="21"/>
              </w:rPr>
              <w:t>《食品安全国家标准 食品添加剂使用标准》</w:t>
            </w:r>
          </w:p>
          <w:p w14:paraId="1E6BC983">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GB 31654 </w:t>
            </w:r>
            <w:r>
              <w:rPr>
                <w:rFonts w:hint="default" w:ascii="Times New Roman" w:hAnsi="Times New Roman" w:eastAsia="宋体" w:cs="Times New Roman"/>
                <w:color w:val="auto"/>
                <w:szCs w:val="21"/>
                <w:lang w:val="en-US" w:eastAsia="zh-CN"/>
              </w:rPr>
              <w:t>-2021</w:t>
            </w:r>
            <w:r>
              <w:rPr>
                <w:rFonts w:hint="eastAsia" w:ascii="Times New Roman" w:hAnsi="Times New Roman" w:eastAsia="宋体" w:cs="Times New Roman"/>
                <w:color w:val="auto"/>
                <w:szCs w:val="21"/>
              </w:rPr>
              <w:t>《食品安全国家标准 餐饮服务通用卫生规范》</w:t>
            </w:r>
          </w:p>
          <w:p w14:paraId="5CC29363">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GB 14930.1 《食品安全国家标准 洗涤剂》</w:t>
            </w:r>
          </w:p>
          <w:p w14:paraId="4A65DC4D">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GB 14930.2 《食品安全国家标准 消毒剂》</w:t>
            </w:r>
          </w:p>
          <w:p w14:paraId="2E4B4A5B">
            <w:pPr>
              <w:spacing w:before="0" w:line="360" w:lineRule="auto"/>
              <w:ind w:left="118"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GB 5749</w:t>
            </w:r>
            <w:r>
              <w:rPr>
                <w:rFonts w:hint="default" w:ascii="Times New Roman" w:hAnsi="Times New Roman" w:eastAsia="宋体" w:cs="Times New Roman"/>
                <w:color w:val="auto"/>
                <w:szCs w:val="21"/>
                <w:lang w:val="en-US" w:eastAsia="zh-CN"/>
              </w:rPr>
              <w:t>-2022</w:t>
            </w:r>
            <w:r>
              <w:rPr>
                <w:rFonts w:hint="eastAsia" w:ascii="Times New Roman" w:hAnsi="Times New Roman" w:eastAsia="宋体" w:cs="Times New Roman"/>
                <w:color w:val="auto"/>
                <w:szCs w:val="21"/>
              </w:rPr>
              <w:t xml:space="preserve"> 《生活饮用水要求》</w:t>
            </w:r>
          </w:p>
          <w:p w14:paraId="56E102F6">
            <w:pPr>
              <w:spacing w:before="0" w:line="360" w:lineRule="auto"/>
              <w:ind w:left="0" w:firstLine="0" w:firstLineChars="0"/>
              <w:rPr>
                <w:rFonts w:hint="eastAsia" w:ascii="Times New Roman" w:hAnsi="Times New Roman" w:eastAsia="宋体" w:cs="Times New Roman"/>
                <w:b/>
                <w:bCs/>
                <w:color w:val="auto"/>
                <w:szCs w:val="21"/>
              </w:rPr>
            </w:pPr>
            <w:r>
              <w:rPr>
                <w:rFonts w:hint="default" w:ascii="Times New Roman" w:hAnsi="Times New Roman" w:cs="Times New Roman"/>
                <w:b/>
                <w:bCs/>
                <w:color w:val="auto"/>
              </w:rPr>
              <w:t>（</w:t>
            </w:r>
            <w:r>
              <w:rPr>
                <w:rFonts w:hint="eastAsia" w:ascii="Times New Roman" w:hAnsi="Times New Roman" w:eastAsia="宋体" w:cs="Times New Roman"/>
                <w:b/>
                <w:bCs/>
                <w:color w:val="auto"/>
              </w:rPr>
              <w:t>三）</w:t>
            </w:r>
            <w:r>
              <w:rPr>
                <w:rFonts w:hint="eastAsia" w:ascii="Times New Roman" w:hAnsi="Times New Roman" w:eastAsia="宋体" w:cs="Times New Roman"/>
                <w:b/>
                <w:bCs/>
                <w:color w:val="auto"/>
                <w:szCs w:val="21"/>
              </w:rPr>
              <w:t>与现行法律法规、标准的关系</w:t>
            </w:r>
          </w:p>
          <w:p w14:paraId="3C67E872">
            <w:pPr>
              <w:spacing w:before="0" w:line="360" w:lineRule="auto"/>
              <w:ind w:left="118" w:firstLine="420" w:firstLineChars="200"/>
              <w:rPr>
                <w:rFonts w:hint="default" w:ascii="Times New Roman" w:hAnsi="Times New Roman" w:cs="Times New Roman"/>
                <w:color w:val="auto"/>
              </w:rPr>
            </w:pPr>
            <w:r>
              <w:rPr>
                <w:rFonts w:hint="eastAsia" w:ascii="Times New Roman" w:hAnsi="Times New Roman" w:eastAsia="宋体" w:cs="Times New Roman"/>
                <w:color w:val="auto"/>
              </w:rPr>
              <w:t>地方标准《中小学校团体供餐单位食品安全</w:t>
            </w:r>
            <w:r>
              <w:rPr>
                <w:rFonts w:hint="default" w:ascii="Times New Roman" w:hAnsi="Times New Roman" w:eastAsia="宋体" w:cs="Times New Roman"/>
                <w:color w:val="auto"/>
                <w:lang w:eastAsia="zh-CN"/>
              </w:rPr>
              <w:t>管理</w:t>
            </w:r>
            <w:r>
              <w:rPr>
                <w:rFonts w:hint="eastAsia" w:ascii="Times New Roman" w:hAnsi="Times New Roman" w:eastAsia="宋体" w:cs="Times New Roman"/>
                <w:color w:val="auto"/>
              </w:rPr>
              <w:t>规范》</w:t>
            </w:r>
            <w:r>
              <w:rPr>
                <w:rFonts w:hint="default" w:ascii="Times New Roman" w:hAnsi="Times New Roman" w:eastAsia="宋体" w:cs="Times New Roman"/>
                <w:color w:val="auto"/>
                <w:lang w:val="en-US" w:eastAsia="zh-CN"/>
              </w:rPr>
              <w:t>是</w:t>
            </w:r>
            <w:r>
              <w:rPr>
                <w:rFonts w:hint="eastAsia" w:ascii="Times New Roman" w:hAnsi="Times New Roman" w:eastAsia="宋体" w:cs="Times New Roman"/>
                <w:color w:val="auto"/>
              </w:rPr>
              <w:t>在国家法律法规和国家标准的基础上，针对学校团体供餐的特殊性进行</w:t>
            </w:r>
            <w:r>
              <w:rPr>
                <w:rFonts w:hint="default" w:ascii="Times New Roman" w:hAnsi="Times New Roman" w:eastAsia="宋体" w:cs="Times New Roman"/>
                <w:color w:val="auto"/>
                <w:lang w:val="en-US" w:eastAsia="zh-CN"/>
              </w:rPr>
              <w:t>的</w:t>
            </w:r>
            <w:r>
              <w:rPr>
                <w:rFonts w:hint="eastAsia" w:ascii="Times New Roman" w:hAnsi="Times New Roman" w:eastAsia="宋体" w:cs="Times New Roman"/>
                <w:color w:val="auto"/>
              </w:rPr>
              <w:t>补充和细化，填补</w:t>
            </w:r>
            <w:r>
              <w:rPr>
                <w:rFonts w:hint="default" w:ascii="Times New Roman" w:hAnsi="Times New Roman" w:eastAsia="宋体" w:cs="Times New Roman"/>
                <w:color w:val="auto"/>
                <w:lang w:val="en-US" w:eastAsia="zh-CN"/>
              </w:rPr>
              <w:t>了</w:t>
            </w:r>
            <w:r>
              <w:rPr>
                <w:rFonts w:hint="eastAsia" w:ascii="Times New Roman" w:hAnsi="Times New Roman" w:eastAsia="宋体" w:cs="Times New Roman"/>
                <w:color w:val="auto"/>
              </w:rPr>
              <w:t>现有法律法规和标准在具体操作层面的空白。</w:t>
            </w:r>
            <w:r>
              <w:rPr>
                <w:rFonts w:hint="default" w:ascii="Times New Roman" w:hAnsi="Times New Roman" w:eastAsia="宋体" w:cs="Times New Roman"/>
                <w:color w:val="auto"/>
                <w:lang w:val="en-US" w:eastAsia="zh-CN"/>
              </w:rPr>
              <w:t>此外，本</w:t>
            </w:r>
            <w:r>
              <w:rPr>
                <w:rFonts w:hint="eastAsia" w:ascii="Times New Roman" w:hAnsi="Times New Roman" w:eastAsia="宋体" w:cs="Times New Roman"/>
                <w:color w:val="auto"/>
              </w:rPr>
              <w:t>标准与现行法律法规、国家标准一致，不矛盾、不冲突，</w:t>
            </w:r>
            <w:r>
              <w:rPr>
                <w:rFonts w:hint="default" w:ascii="Times New Roman" w:hAnsi="Times New Roman" w:eastAsia="宋体" w:cs="Times New Roman"/>
                <w:color w:val="auto"/>
                <w:lang w:val="en-US" w:eastAsia="zh-CN"/>
              </w:rPr>
              <w:t>标准</w:t>
            </w:r>
            <w:r>
              <w:rPr>
                <w:rFonts w:hint="eastAsia" w:ascii="Times New Roman" w:hAnsi="Times New Roman" w:eastAsia="宋体" w:cs="Times New Roman"/>
                <w:color w:val="auto"/>
              </w:rPr>
              <w:t>通过协调各项要求，形成一个统一、连贯的</w:t>
            </w:r>
            <w:r>
              <w:rPr>
                <w:rFonts w:hint="default" w:ascii="Times New Roman" w:hAnsi="Times New Roman" w:eastAsia="宋体" w:cs="Times New Roman"/>
                <w:color w:val="auto"/>
                <w:lang w:val="en-US" w:eastAsia="zh-CN"/>
              </w:rPr>
              <w:t>团餐</w:t>
            </w:r>
            <w:r>
              <w:rPr>
                <w:rFonts w:hint="eastAsia" w:ascii="Times New Roman" w:hAnsi="Times New Roman" w:eastAsia="宋体" w:cs="Times New Roman"/>
                <w:color w:val="auto"/>
              </w:rPr>
              <w:t>食品安全管理体系。</w:t>
            </w:r>
            <w:r>
              <w:rPr>
                <w:rFonts w:hint="default" w:ascii="Times New Roman" w:hAnsi="Times New Roman" w:eastAsia="宋体" w:cs="Times New Roman"/>
                <w:color w:val="auto"/>
                <w:lang w:val="en-US" w:eastAsia="zh-CN"/>
              </w:rPr>
              <w:t>本</w:t>
            </w:r>
            <w:r>
              <w:rPr>
                <w:rFonts w:hint="eastAsia" w:ascii="Times New Roman" w:hAnsi="Times New Roman" w:eastAsia="宋体" w:cs="Times New Roman"/>
                <w:color w:val="auto"/>
              </w:rPr>
              <w:t>标准作为地方性的技术规范，其效力低于国家法律法规和国家标准，但高于行业内部的企业标准和操作规程。</w:t>
            </w:r>
            <w:r>
              <w:rPr>
                <w:rFonts w:hint="default" w:ascii="Times New Roman" w:hAnsi="Times New Roman" w:eastAsia="宋体" w:cs="Times New Roman"/>
                <w:color w:val="auto"/>
                <w:lang w:val="en-US" w:eastAsia="zh-CN"/>
              </w:rPr>
              <w:t>同时，</w:t>
            </w:r>
            <w:r>
              <w:rPr>
                <w:rFonts w:hint="eastAsia" w:ascii="Times New Roman" w:hAnsi="Times New Roman" w:eastAsia="宋体" w:cs="Times New Roman"/>
                <w:color w:val="auto"/>
              </w:rPr>
              <w:t>在具体实施过程中，</w:t>
            </w:r>
            <w:r>
              <w:rPr>
                <w:rFonts w:hint="default" w:ascii="Times New Roman" w:hAnsi="Times New Roman" w:eastAsia="宋体" w:cs="Times New Roman"/>
                <w:color w:val="auto"/>
                <w:lang w:val="en-US" w:eastAsia="zh-CN"/>
              </w:rPr>
              <w:t>本</w:t>
            </w:r>
            <w:r>
              <w:rPr>
                <w:rFonts w:hint="eastAsia" w:ascii="Times New Roman" w:hAnsi="Times New Roman" w:eastAsia="宋体" w:cs="Times New Roman"/>
                <w:color w:val="auto"/>
              </w:rPr>
              <w:t>标准确保</w:t>
            </w:r>
            <w:r>
              <w:rPr>
                <w:rFonts w:hint="default" w:ascii="Times New Roman" w:hAnsi="Times New Roman" w:eastAsia="宋体" w:cs="Times New Roman"/>
                <w:color w:val="auto"/>
                <w:lang w:val="en-US" w:eastAsia="zh-CN"/>
              </w:rPr>
              <w:t>了</w:t>
            </w:r>
            <w:r>
              <w:rPr>
                <w:rFonts w:hint="eastAsia" w:ascii="Times New Roman" w:hAnsi="Times New Roman" w:eastAsia="宋体" w:cs="Times New Roman"/>
                <w:color w:val="auto"/>
              </w:rPr>
              <w:t>不低于国家相关标准的要求。例如，《食品安全法》规定的基本食品安全要求是底线，地方标准在此基础上进一步提升</w:t>
            </w:r>
            <w:r>
              <w:rPr>
                <w:rFonts w:hint="default" w:ascii="Times New Roman" w:hAnsi="Times New Roman" w:eastAsia="宋体" w:cs="Times New Roman"/>
                <w:color w:val="auto"/>
                <w:lang w:val="en-US" w:eastAsia="zh-CN"/>
              </w:rPr>
              <w:t>了</w:t>
            </w:r>
            <w:r>
              <w:rPr>
                <w:rFonts w:hint="eastAsia" w:ascii="Times New Roman" w:hAnsi="Times New Roman" w:eastAsia="宋体" w:cs="Times New Roman"/>
                <w:color w:val="auto"/>
              </w:rPr>
              <w:t>要求，以适应本地实际需求。</w:t>
            </w:r>
            <w:r>
              <w:rPr>
                <w:rFonts w:hint="default" w:ascii="Times New Roman" w:hAnsi="Times New Roman" w:eastAsia="宋体" w:cs="Times New Roman"/>
                <w:color w:val="auto"/>
                <w:lang w:val="en-US" w:eastAsia="zh-CN"/>
              </w:rPr>
              <w:t>还有，本</w:t>
            </w:r>
            <w:r>
              <w:rPr>
                <w:rFonts w:hint="eastAsia" w:ascii="Times New Roman" w:hAnsi="Times New Roman" w:eastAsia="宋体" w:cs="Times New Roman"/>
                <w:color w:val="auto"/>
              </w:rPr>
              <w:t>标准为地方市场监管部门提供了具体的操作依据和监管工具，有助于在实际监管中更好地执行《食品安全法》和《中小学校食品安全与营养健康管理规定》。通过地方标准，监管部门能够制定更具针对性的检查方案，提高监管工作的效率和效果。</w:t>
            </w:r>
            <w:r>
              <w:rPr>
                <w:rFonts w:hint="default" w:ascii="Times New Roman" w:hAnsi="Times New Roman" w:eastAsia="宋体" w:cs="Times New Roman"/>
                <w:color w:val="auto"/>
                <w:lang w:val="en-US" w:eastAsia="zh-CN"/>
              </w:rPr>
              <w:t>最后，</w:t>
            </w:r>
            <w:r>
              <w:rPr>
                <w:rFonts w:hint="eastAsia" w:ascii="Times New Roman" w:hAnsi="Times New Roman" w:eastAsia="宋体" w:cs="Times New Roman"/>
                <w:color w:val="auto"/>
              </w:rPr>
              <w:t>随着《食品安全法》和国家标准的更新，</w:t>
            </w:r>
            <w:r>
              <w:rPr>
                <w:rFonts w:hint="default" w:ascii="Times New Roman" w:hAnsi="Times New Roman" w:eastAsia="宋体" w:cs="Times New Roman"/>
                <w:color w:val="auto"/>
                <w:lang w:val="en-US" w:eastAsia="zh-CN"/>
              </w:rPr>
              <w:t>本</w:t>
            </w:r>
            <w:r>
              <w:rPr>
                <w:rFonts w:hint="eastAsia" w:ascii="Times New Roman" w:hAnsi="Times New Roman" w:eastAsia="宋体" w:cs="Times New Roman"/>
                <w:color w:val="auto"/>
              </w:rPr>
              <w:t>标准</w:t>
            </w:r>
            <w:r>
              <w:rPr>
                <w:rFonts w:hint="default" w:ascii="Times New Roman" w:hAnsi="Times New Roman" w:eastAsia="宋体" w:cs="Times New Roman"/>
                <w:color w:val="auto"/>
                <w:lang w:val="en-US" w:eastAsia="zh-CN"/>
              </w:rPr>
              <w:t>将</w:t>
            </w:r>
            <w:r>
              <w:rPr>
                <w:rFonts w:hint="eastAsia" w:ascii="Times New Roman" w:hAnsi="Times New Roman" w:eastAsia="宋体" w:cs="Times New Roman"/>
                <w:color w:val="auto"/>
              </w:rPr>
              <w:t>及时进行修订和调整，确保其始终与上位法保持一致，适应新的法律法规和标准要求。</w:t>
            </w:r>
          </w:p>
        </w:tc>
      </w:tr>
      <w:tr w14:paraId="63EC6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jc w:val="center"/>
        </w:trPr>
        <w:tc>
          <w:tcPr>
            <w:tcW w:w="9536" w:type="dxa"/>
            <w:tcMar>
              <w:top w:w="0" w:type="dxa"/>
              <w:left w:w="0" w:type="dxa"/>
              <w:bottom w:w="0" w:type="dxa"/>
              <w:right w:w="0" w:type="dxa"/>
            </w:tcMar>
            <w:vAlign w:val="top"/>
          </w:tcPr>
          <w:p w14:paraId="5095930A">
            <w:pPr>
              <w:spacing w:before="0" w:line="360" w:lineRule="auto"/>
              <w:ind w:left="111"/>
              <w:rPr>
                <w:rFonts w:hint="default" w:ascii="Times New Roman" w:hAnsi="Times New Roman" w:eastAsia="宋体" w:cs="Times New Roman"/>
                <w:color w:val="auto"/>
                <w:sz w:val="20"/>
                <w:szCs w:val="20"/>
              </w:rPr>
            </w:pPr>
            <w:r>
              <w:rPr>
                <w:rFonts w:ascii="Times New Roman" w:hAnsi="Times New Roman" w:eastAsia="Calibri" w:cs="Times New Roman"/>
                <w:b/>
                <w:bCs/>
                <w:color w:val="auto"/>
                <w:spacing w:val="14"/>
                <w:sz w:val="20"/>
                <w:szCs w:val="20"/>
              </w:rPr>
              <w:t xml:space="preserve">4 </w:t>
            </w:r>
            <w:r>
              <w:rPr>
                <w:rFonts w:ascii="Times New Roman" w:hAnsi="Times New Roman" w:eastAsia="宋体" w:cs="Times New Roman"/>
                <w:b/>
                <w:bCs/>
                <w:color w:val="auto"/>
                <w:spacing w:val="13"/>
                <w:sz w:val="20"/>
                <w:szCs w:val="20"/>
              </w:rPr>
              <w:t>、</w:t>
            </w:r>
            <w:r>
              <w:rPr>
                <w:rFonts w:ascii="Times New Roman" w:hAnsi="Times New Roman" w:eastAsia="宋体" w:cs="Times New Roman"/>
                <w:b/>
                <w:bCs/>
                <w:color w:val="auto"/>
                <w:spacing w:val="7"/>
                <w:sz w:val="20"/>
                <w:szCs w:val="20"/>
              </w:rPr>
              <w:t>主要条款的说明，主要技术指标、参数、试验验证的论述 (详细说明)</w:t>
            </w:r>
          </w:p>
        </w:tc>
      </w:tr>
      <w:tr w14:paraId="5D7FF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2" w:hRule="atLeast"/>
          <w:jc w:val="center"/>
        </w:trPr>
        <w:tc>
          <w:tcPr>
            <w:tcW w:w="9536" w:type="dxa"/>
            <w:tcMar>
              <w:top w:w="0" w:type="dxa"/>
              <w:left w:w="0" w:type="dxa"/>
              <w:bottom w:w="0" w:type="dxa"/>
              <w:right w:w="0" w:type="dxa"/>
            </w:tcMar>
            <w:vAlign w:val="top"/>
          </w:tcPr>
          <w:p w14:paraId="0278A13F">
            <w:pPr>
              <w:spacing w:before="0" w:line="360" w:lineRule="auto"/>
              <w:ind w:left="0" w:firstLine="0" w:firstLineChars="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（一）标准的适用范围</w:t>
            </w:r>
          </w:p>
          <w:p w14:paraId="02E1692E">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snapToGrid w:val="0"/>
                <w:color w:val="auto"/>
              </w:rPr>
              <w:t>本标准规定了安徽省中小学校（包括普通中学、中等职业学校、小学、幼儿园）团体供餐（以下简称“团餐”）管理的术语和定义、总则、通用要求、管理要求、供餐配送要求及食品安全管理要求。本标准适用于安徽省内中小学校供餐单位所配送的中小学生在校团餐的食品质量与安全管理。</w:t>
            </w:r>
          </w:p>
          <w:p w14:paraId="5BB2F689">
            <w:pPr>
              <w:spacing w:before="0" w:line="360" w:lineRule="auto"/>
              <w:ind w:left="0" w:firstLine="0" w:firstLineChars="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（二）标准结构框架</w:t>
            </w:r>
          </w:p>
          <w:p w14:paraId="31A5BF3D">
            <w:pPr>
              <w:spacing w:before="0" w:line="360" w:lineRule="auto"/>
              <w:ind w:left="118" w:firstLine="420" w:firstLineChars="200"/>
              <w:rPr>
                <w:rFonts w:hint="eastAsia" w:ascii="Times New Roman" w:hAnsi="Times New Roman" w:eastAsia="宋体" w:cs="Times New Roman"/>
                <w:color w:val="auto"/>
                <w:szCs w:val="21"/>
                <w:lang w:val="zh-CN"/>
              </w:rPr>
            </w:pPr>
            <w:r>
              <w:rPr>
                <w:rFonts w:hint="eastAsia" w:ascii="Times New Roman" w:hAnsi="Times New Roman" w:eastAsia="宋体" w:cs="Times New Roman"/>
                <w:color w:val="auto"/>
                <w:szCs w:val="21"/>
                <w:lang w:val="zh-CN"/>
              </w:rPr>
              <w:t>本标准共有十个章节，分别是：1</w:t>
            </w:r>
            <w:r>
              <w:rPr>
                <w:rFonts w:hint="eastAsia" w:ascii="Times New Roman" w:hAnsi="Times New Roman" w:eastAsia="宋体" w:cs="Times New Roman"/>
                <w:color w:val="auto"/>
                <w:szCs w:val="21"/>
                <w:lang w:val="en-US" w:eastAsia="zh-CN"/>
              </w:rPr>
              <w:t>. 适用</w:t>
            </w:r>
            <w:r>
              <w:rPr>
                <w:rFonts w:hint="eastAsia" w:ascii="Times New Roman" w:hAnsi="Times New Roman" w:eastAsia="宋体" w:cs="Times New Roman"/>
                <w:color w:val="auto"/>
                <w:szCs w:val="21"/>
                <w:lang w:val="zh-CN"/>
              </w:rPr>
              <w:t>范围；</w:t>
            </w:r>
            <w:r>
              <w:rPr>
                <w:rFonts w:hint="eastAsia" w:ascii="Times New Roman" w:hAnsi="Times New Roman" w:eastAsia="宋体" w:cs="Times New Roman"/>
                <w:color w:val="auto"/>
                <w:szCs w:val="21"/>
                <w:lang w:val="en-US" w:eastAsia="zh-CN"/>
              </w:rPr>
              <w:t xml:space="preserve">2. </w:t>
            </w:r>
            <w:r>
              <w:rPr>
                <w:rFonts w:hint="eastAsia" w:ascii="Times New Roman" w:hAnsi="Times New Roman" w:eastAsia="宋体" w:cs="Times New Roman"/>
                <w:color w:val="auto"/>
                <w:szCs w:val="21"/>
                <w:lang w:val="zh-CN"/>
              </w:rPr>
              <w:t>规范性引用文件；</w:t>
            </w:r>
            <w:r>
              <w:rPr>
                <w:rFonts w:hint="eastAsia" w:ascii="Times New Roman" w:hAnsi="Times New Roman" w:eastAsia="宋体" w:cs="Times New Roman"/>
                <w:color w:val="auto"/>
                <w:szCs w:val="21"/>
                <w:lang w:val="en-US" w:eastAsia="zh-CN"/>
              </w:rPr>
              <w:t xml:space="preserve">3. </w:t>
            </w:r>
            <w:r>
              <w:rPr>
                <w:rFonts w:hint="eastAsia" w:ascii="Times New Roman" w:hAnsi="Times New Roman" w:eastAsia="宋体" w:cs="Times New Roman"/>
                <w:color w:val="auto"/>
                <w:szCs w:val="21"/>
                <w:lang w:val="zh-CN"/>
              </w:rPr>
              <w:t>术语和定义；</w:t>
            </w:r>
            <w:r>
              <w:rPr>
                <w:rFonts w:hint="eastAsia" w:ascii="Times New Roman" w:hAnsi="Times New Roman" w:eastAsia="宋体" w:cs="Times New Roman"/>
                <w:color w:val="auto"/>
                <w:szCs w:val="21"/>
                <w:lang w:val="en-US" w:eastAsia="zh-CN"/>
              </w:rPr>
              <w:t xml:space="preserve">4. </w:t>
            </w:r>
            <w:r>
              <w:rPr>
                <w:rFonts w:hint="eastAsia" w:ascii="Times New Roman" w:hAnsi="Times New Roman" w:eastAsia="宋体" w:cs="Times New Roman"/>
                <w:color w:val="auto"/>
                <w:szCs w:val="21"/>
                <w:lang w:val="zh-CN"/>
              </w:rPr>
              <w:t>总则 ；</w:t>
            </w:r>
            <w:r>
              <w:rPr>
                <w:rFonts w:hint="eastAsia" w:ascii="Times New Roman" w:hAnsi="Times New Roman" w:eastAsia="宋体" w:cs="Times New Roman"/>
                <w:color w:val="auto"/>
                <w:szCs w:val="21"/>
                <w:lang w:val="en-US" w:eastAsia="zh-CN"/>
              </w:rPr>
              <w:t xml:space="preserve">5. </w:t>
            </w:r>
            <w:r>
              <w:rPr>
                <w:rFonts w:hint="eastAsia" w:ascii="Times New Roman" w:hAnsi="Times New Roman" w:eastAsia="宋体" w:cs="Times New Roman"/>
                <w:color w:val="auto"/>
                <w:szCs w:val="21"/>
                <w:lang w:val="zh-CN"/>
              </w:rPr>
              <w:t>通用要求；</w:t>
            </w:r>
            <w:r>
              <w:rPr>
                <w:rFonts w:hint="eastAsia" w:ascii="Times New Roman" w:hAnsi="Times New Roman" w:eastAsia="宋体" w:cs="Times New Roman"/>
                <w:color w:val="auto"/>
                <w:szCs w:val="21"/>
                <w:lang w:val="en-US" w:eastAsia="zh-CN"/>
              </w:rPr>
              <w:t xml:space="preserve">6. </w:t>
            </w:r>
            <w:r>
              <w:rPr>
                <w:rFonts w:hint="eastAsia" w:ascii="Times New Roman" w:hAnsi="Times New Roman" w:eastAsia="宋体" w:cs="Times New Roman"/>
                <w:color w:val="auto"/>
                <w:szCs w:val="21"/>
                <w:lang w:val="zh-CN"/>
              </w:rPr>
              <w:t>建设管理；</w:t>
            </w:r>
            <w:r>
              <w:rPr>
                <w:rFonts w:hint="eastAsia" w:ascii="Times New Roman" w:hAnsi="Times New Roman" w:eastAsia="宋体" w:cs="Times New Roman"/>
                <w:color w:val="auto"/>
                <w:szCs w:val="21"/>
                <w:lang w:val="en-US" w:eastAsia="zh-CN"/>
              </w:rPr>
              <w:t xml:space="preserve">7. </w:t>
            </w:r>
            <w:r>
              <w:rPr>
                <w:rFonts w:hint="eastAsia" w:ascii="Times New Roman" w:hAnsi="Times New Roman" w:eastAsia="宋体" w:cs="Times New Roman"/>
                <w:color w:val="auto"/>
                <w:szCs w:val="21"/>
                <w:lang w:val="zh-CN"/>
              </w:rPr>
              <w:t>管理要求；</w:t>
            </w:r>
            <w:r>
              <w:rPr>
                <w:rFonts w:hint="eastAsia" w:ascii="Times New Roman" w:hAnsi="Times New Roman" w:eastAsia="宋体" w:cs="Times New Roman"/>
                <w:color w:val="auto"/>
                <w:szCs w:val="21"/>
                <w:lang w:val="en-US" w:eastAsia="zh-CN"/>
              </w:rPr>
              <w:t xml:space="preserve">8. </w:t>
            </w:r>
            <w:r>
              <w:rPr>
                <w:rFonts w:hint="eastAsia" w:ascii="Times New Roman" w:hAnsi="Times New Roman" w:eastAsia="宋体" w:cs="Times New Roman"/>
                <w:color w:val="auto"/>
                <w:szCs w:val="21"/>
                <w:lang w:val="zh-CN"/>
              </w:rPr>
              <w:t>供餐配送要求；</w:t>
            </w:r>
            <w:r>
              <w:rPr>
                <w:rFonts w:hint="eastAsia" w:ascii="Times New Roman" w:hAnsi="Times New Roman" w:eastAsia="宋体" w:cs="Times New Roman"/>
                <w:color w:val="auto"/>
                <w:szCs w:val="21"/>
                <w:lang w:val="en-US" w:eastAsia="zh-CN"/>
              </w:rPr>
              <w:t xml:space="preserve">9. </w:t>
            </w:r>
            <w:r>
              <w:rPr>
                <w:rFonts w:hint="eastAsia" w:ascii="Times New Roman" w:hAnsi="Times New Roman" w:eastAsia="宋体" w:cs="Times New Roman"/>
                <w:color w:val="auto"/>
                <w:szCs w:val="21"/>
                <w:lang w:val="zh-CN"/>
              </w:rPr>
              <w:t>食品安全管理；</w:t>
            </w:r>
            <w:r>
              <w:rPr>
                <w:rFonts w:hint="eastAsia" w:ascii="Times New Roman" w:hAnsi="Times New Roman" w:eastAsia="宋体" w:cs="Times New Roman"/>
                <w:color w:val="auto"/>
                <w:szCs w:val="21"/>
                <w:lang w:val="en-US" w:eastAsia="zh-CN"/>
              </w:rPr>
              <w:t xml:space="preserve">10. </w:t>
            </w:r>
            <w:r>
              <w:rPr>
                <w:rFonts w:hint="eastAsia" w:ascii="Times New Roman" w:hAnsi="Times New Roman" w:eastAsia="宋体" w:cs="Times New Roman"/>
                <w:color w:val="auto"/>
                <w:szCs w:val="21"/>
                <w:lang w:val="zh-CN"/>
              </w:rPr>
              <w:t>监督、评价与改进。</w:t>
            </w:r>
          </w:p>
          <w:p w14:paraId="2E63A436">
            <w:pPr>
              <w:spacing w:before="0" w:line="360" w:lineRule="auto"/>
              <w:ind w:left="0" w:firstLine="0" w:firstLineChars="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（三）主要技术指标</w:t>
            </w:r>
          </w:p>
          <w:p w14:paraId="382B21D6">
            <w:pPr>
              <w:numPr>
                <w:ilvl w:val="-1"/>
                <w:numId w:val="0"/>
              </w:numPr>
              <w:spacing w:before="0" w:line="360" w:lineRule="auto"/>
              <w:ind w:left="118" w:firstLine="482" w:firstLineChars="20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lang w:val="en-US" w:eastAsia="zh-CN"/>
              </w:rPr>
              <w:t>1</w:t>
            </w:r>
            <w:r>
              <w:rPr>
                <w:rFonts w:hint="eastAsia" w:ascii="Times New Roman" w:hAnsi="Times New Roman" w:eastAsia="宋体" w:cs="Times New Roman"/>
                <w:b/>
                <w:bCs/>
                <w:color w:val="auto"/>
                <w:sz w:val="24"/>
                <w:szCs w:val="24"/>
                <w:lang w:eastAsia="zh-CN"/>
              </w:rPr>
              <w:t>.</w:t>
            </w:r>
            <w:r>
              <w:rPr>
                <w:rFonts w:hint="eastAsia" w:ascii="Times New Roman" w:hAnsi="Times New Roman" w:eastAsia="宋体" w:cs="Times New Roman"/>
                <w:b/>
                <w:bCs/>
                <w:color w:val="auto"/>
                <w:sz w:val="24"/>
                <w:szCs w:val="24"/>
                <w:lang w:val="en-US" w:eastAsia="zh-CN"/>
              </w:rPr>
              <w:t xml:space="preserve"> </w:t>
            </w:r>
            <w:r>
              <w:rPr>
                <w:rFonts w:hint="eastAsia" w:ascii="Times New Roman" w:hAnsi="Times New Roman" w:eastAsia="宋体" w:cs="Times New Roman"/>
                <w:b/>
                <w:bCs/>
                <w:color w:val="auto"/>
                <w:sz w:val="24"/>
                <w:szCs w:val="24"/>
              </w:rPr>
              <w:t>通用要求</w:t>
            </w:r>
          </w:p>
          <w:p w14:paraId="04DC1FB7">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lang w:val="en-US" w:eastAsia="zh-CN"/>
              </w:rPr>
              <w:t>1</w:t>
            </w:r>
            <w:r>
              <w:rPr>
                <w:rFonts w:hint="eastAsia" w:ascii="Times New Roman" w:hAnsi="Times New Roman" w:eastAsia="宋体" w:cs="Times New Roman"/>
                <w:color w:val="auto"/>
              </w:rPr>
              <w:t>.1　供餐单位应建立健全并组织实施食品安全管理制度和食品安全追溯体系，确保食品的可追溯性。单位需如实、准确、完整地记录并保存食品进货查验等相关信息。应优先选择信誉良好、产品质量有保障的供应商，并对其资质及产品质量进行定期评估，以保证供应链中的食品安全。</w:t>
            </w:r>
          </w:p>
          <w:p w14:paraId="4C99583D">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lang w:eastAsia="zh-CN"/>
              </w:rPr>
              <w:t>1</w:t>
            </w:r>
            <w:r>
              <w:rPr>
                <w:rFonts w:hint="eastAsia" w:ascii="Times New Roman" w:hAnsi="Times New Roman" w:eastAsia="宋体" w:cs="Times New Roman"/>
                <w:color w:val="auto"/>
              </w:rPr>
              <w:t>.2　供餐单位应开展“互联网+明厨亮灶”工程，将信号接入省级平台，对烹饪间、分装间、食品库房、留样间、餐饮具清洗消毒间等重点场所通过视频监控公开食品加工过程。不得制售冷荤凉菜、生食类食品、裱花蛋糕。不得加工制作四季豆、鲜黄花菜、野生蘑菇、发芽土豆等高风险食品，规范制售湿米粉、湿淀粉类食品。</w:t>
            </w:r>
          </w:p>
          <w:p w14:paraId="2D8CF62E">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lang w:eastAsia="zh-CN"/>
              </w:rPr>
              <w:t>1</w:t>
            </w:r>
            <w:r>
              <w:rPr>
                <w:rFonts w:hint="eastAsia" w:ascii="Times New Roman" w:hAnsi="Times New Roman" w:eastAsia="宋体" w:cs="Times New Roman"/>
                <w:color w:val="auto"/>
              </w:rPr>
              <w:t>.3　供餐单位宜委托具有相应资质的第三方检测机构定期对原料、半成品及成品的食品安全指标进行检验；采用“4D、6T、5常”先进管理方式，建立 HACCP或ISO22000管理体系；每年对生产加工过程进行食品安全风险隐患排查。</w:t>
            </w:r>
          </w:p>
          <w:p w14:paraId="46FC8C3B">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lang w:eastAsia="zh-CN"/>
              </w:rPr>
              <w:t>1</w:t>
            </w:r>
            <w:r>
              <w:rPr>
                <w:rFonts w:hint="eastAsia" w:ascii="Times New Roman" w:hAnsi="Times New Roman" w:eastAsia="宋体" w:cs="Times New Roman"/>
                <w:color w:val="auto"/>
              </w:rPr>
              <w:t>.4　供餐单位应建立食品安全培训制度，根据不同岗位的需要，制定培训计划并予以实施。应对培训效果予以评价，定期审核并及时更新。</w:t>
            </w:r>
          </w:p>
          <w:p w14:paraId="6549D449">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lang w:eastAsia="zh-CN"/>
              </w:rPr>
              <w:t>1</w:t>
            </w:r>
            <w:r>
              <w:rPr>
                <w:rFonts w:hint="eastAsia" w:ascii="Times New Roman" w:hAnsi="Times New Roman" w:eastAsia="宋体" w:cs="Times New Roman"/>
                <w:color w:val="auto"/>
              </w:rPr>
              <w:t>.5　供餐单位应配合市场监督管理部门、教育行政主管部门</w:t>
            </w:r>
            <w:r>
              <w:rPr>
                <w:rFonts w:hint="eastAsia" w:ascii="Times New Roman" w:hAnsi="Times New Roman" w:eastAsia="宋体" w:cs="Times New Roman"/>
                <w:color w:val="auto"/>
                <w:lang w:eastAsia="zh-CN"/>
              </w:rPr>
              <w:t>、卫生健康等部门</w:t>
            </w:r>
            <w:r>
              <w:rPr>
                <w:rFonts w:hint="eastAsia" w:ascii="Times New Roman" w:hAnsi="Times New Roman" w:eastAsia="宋体" w:cs="Times New Roman"/>
                <w:color w:val="auto"/>
              </w:rPr>
              <w:t>做好食品安全监管检查、营养素指标抽检、学生营养健康状况监测评估、市场价格监测（预警）和监督等工作。</w:t>
            </w:r>
          </w:p>
          <w:p w14:paraId="5264AA01">
            <w:pPr>
              <w:numPr>
                <w:ilvl w:val="0"/>
                <w:numId w:val="6"/>
              </w:numPr>
              <w:spacing w:before="0" w:line="360" w:lineRule="auto"/>
              <w:ind w:left="118" w:leftChars="0" w:firstLine="482" w:firstLineChars="200"/>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建设管理</w:t>
            </w:r>
          </w:p>
          <w:p w14:paraId="480E0CF1">
            <w:pPr>
              <w:numPr>
                <w:ilvl w:val="-1"/>
                <w:numId w:val="0"/>
              </w:num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eastAsia="zh-CN"/>
              </w:rPr>
              <w:t>2</w:t>
            </w:r>
            <w:r>
              <w:rPr>
                <w:rFonts w:hint="default" w:ascii="Times New Roman" w:hAnsi="Times New Roman" w:eastAsia="宋体" w:cs="Times New Roman"/>
                <w:b/>
                <w:bCs/>
                <w:color w:val="auto"/>
              </w:rPr>
              <w:t>.1</w:t>
            </w:r>
            <w:r>
              <w:rPr>
                <w:rFonts w:hint="default" w:ascii="Times New Roman" w:hAnsi="Times New Roman" w:eastAsia="宋体" w:cs="Times New Roman"/>
                <w:b/>
                <w:bCs/>
                <w:color w:val="auto"/>
                <w:lang w:val="en-US" w:eastAsia="zh-CN"/>
              </w:rPr>
              <w:t xml:space="preserve"> </w:t>
            </w:r>
            <w:r>
              <w:rPr>
                <w:rFonts w:hint="default" w:ascii="Times New Roman" w:hAnsi="Times New Roman" w:eastAsia="宋体" w:cs="Times New Roman"/>
                <w:b/>
                <w:bCs/>
                <w:color w:val="auto"/>
              </w:rPr>
              <w:t>从业人员管理</w:t>
            </w:r>
            <w:bookmarkStart w:id="0" w:name="_GoBack"/>
            <w:bookmarkEnd w:id="0"/>
          </w:p>
          <w:p w14:paraId="1C3EA72C">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配备要求</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供餐单位应根据供餐需求，合理配置充足的从业人员，确保各岗位职责明确，人员配备到位，以保证食品安全管理工作的有效开展。</w:t>
            </w:r>
          </w:p>
          <w:p w14:paraId="52A0F417">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培训管理</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供餐单位应在教育、市场监管、卫生健康等部门和营养专业人员的指导下，对从业人员定期组织培训，每人每年累计不少于40学时。每半年对从业人员进行一次食品安全、营养配餐、消防安全、职业道德和法治教育等方面的培训考核。应建立从业人员基础档案，定期开展食品安全知识培训，做好培训记录。</w:t>
            </w:r>
          </w:p>
          <w:p w14:paraId="5A75F9A5">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上岗要求</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从业人员应持有效健康证明和食品安全知识培训考核合格证明上岗。从业人员应保持良好的个人卫生，坚持做到"四勤”，即勤洗手和剪指甲、勤洗澡、勤理发、勤洗工作衣帽。操作时穿浅色清洁的工作衣帽，不吸烟、不吃零食、不佩戴饰物。进入专间前应洗手消毒、二次更衣。不穿戴工作衣帽上厕所。从业人员应每日进行健康监测并做好记录。发现患有有碍食品安全疾病的从业人员，应暂停其从事接触直接入口食品的工作。</w:t>
            </w:r>
          </w:p>
          <w:p w14:paraId="29336395">
            <w:pPr>
              <w:numPr>
                <w:ilvl w:val="-1"/>
                <w:numId w:val="0"/>
              </w:num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eastAsia="zh-CN"/>
              </w:rPr>
              <w:t>2</w:t>
            </w:r>
            <w:r>
              <w:rPr>
                <w:rFonts w:hint="default" w:ascii="Times New Roman" w:hAnsi="Times New Roman" w:eastAsia="宋体" w:cs="Times New Roman"/>
                <w:b/>
                <w:bCs/>
                <w:color w:val="auto"/>
              </w:rPr>
              <w:t>.2</w:t>
            </w:r>
            <w:r>
              <w:rPr>
                <w:rFonts w:hint="default" w:ascii="Times New Roman" w:hAnsi="Times New Roman" w:eastAsia="宋体" w:cs="Times New Roman"/>
                <w:b/>
                <w:bCs/>
                <w:color w:val="auto"/>
                <w:lang w:val="en-US" w:eastAsia="zh-CN"/>
              </w:rPr>
              <w:t xml:space="preserve"> </w:t>
            </w:r>
            <w:r>
              <w:rPr>
                <w:rFonts w:hint="default" w:ascii="Times New Roman" w:hAnsi="Times New Roman" w:eastAsia="宋体" w:cs="Times New Roman"/>
                <w:b/>
                <w:bCs/>
                <w:color w:val="auto"/>
              </w:rPr>
              <w:t>组织管理</w:t>
            </w:r>
          </w:p>
          <w:p w14:paraId="0E1BB050">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食品安全监督管理队伍的建立</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应建立由学校和供餐单位共同牵头，学校教师代表、学生代表、学生家长和有资质的第三方协管单位为主要成员的食品安全监督管理队伍，明确管理队伍工作职责，对供餐单位食品安全工作进行监督指导，研究解决供餐单位食品安全管理中的重大问题。</w:t>
            </w:r>
          </w:p>
          <w:p w14:paraId="5540D801">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食品安全监督管理队伍的职责</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食品安全监督管理队伍协助学校和供餐单位开展包括但不限于以下工作：a) 开展食品安全宣传教育：b) 建立健全食品安全管理制度；c) 持续提升食品安全智慧化管理水平：d) 组织开展食品安全自查自纠；e) 加强从业人员健康管理；f) 定期组织开展食品安全应急演练</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g) 加强从业人员食品安全培训考核：h) 其他与食品安全相关的职责。</w:t>
            </w:r>
          </w:p>
          <w:p w14:paraId="55BF45A3">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食品安全员和食品安全总监的任命</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所有有学生就餐的学校均应设立食品安全员，对于用餐人数300人以上的幼儿园、用餐人数500人以上的学校，供餐单位应任命食品安全员，学校应安排相应人员进行监督管理。</w:t>
            </w:r>
          </w:p>
          <w:p w14:paraId="58376EB7">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食品安全员和食品安全总监的的要求</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食品安全总监、食品安全员应熟练掌握食品安全有关的法律法规和食品质量安全知识，参加食品安全管理人员培训并通过考核，具备食品安全管理能力，主抓学校和供餐单位食品安全工作并安要求做好做好食品安全相关管理工作。</w:t>
            </w:r>
          </w:p>
          <w:p w14:paraId="66B98CB7">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营养专业支持</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有条件的供餐单位可配备营养专业人员或应用专业营养软件（电子营养师），为中小学校提供科学配餐、膳食营养均衡等服务。</w:t>
            </w:r>
          </w:p>
          <w:p w14:paraId="0B160DBA">
            <w:pPr>
              <w:numPr>
                <w:ilvl w:val="-1"/>
                <w:numId w:val="0"/>
              </w:num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eastAsia="zh-CN"/>
              </w:rPr>
              <w:t>2</w:t>
            </w:r>
            <w:r>
              <w:rPr>
                <w:rFonts w:hint="default" w:ascii="Times New Roman" w:hAnsi="Times New Roman" w:eastAsia="宋体" w:cs="Times New Roman"/>
                <w:b/>
                <w:bCs/>
                <w:color w:val="auto"/>
              </w:rPr>
              <w:t>.3 制度建设</w:t>
            </w:r>
          </w:p>
          <w:p w14:paraId="094807D1">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b w:val="0"/>
                <w:bCs w:val="0"/>
                <w:color w:val="auto"/>
              </w:rPr>
              <w:t>信息公示制度</w:t>
            </w:r>
            <w:r>
              <w:rPr>
                <w:rFonts w:hint="default" w:ascii="Times New Roman" w:hAnsi="Times New Roman" w:eastAsia="宋体" w:cs="Times New Roman"/>
                <w:b/>
                <w:bCs/>
                <w:color w:val="auto"/>
                <w:lang w:eastAsia="zh-CN"/>
              </w:rPr>
              <w:t>：</w:t>
            </w:r>
            <w:r>
              <w:rPr>
                <w:rFonts w:hint="default" w:ascii="Times New Roman" w:hAnsi="Times New Roman" w:eastAsia="宋体" w:cs="Times New Roman"/>
                <w:color w:val="auto"/>
              </w:rPr>
              <w:t xml:space="preserve">应建立信息公示制度，在经营场所醒目位置进行信息公示，包括但不限于：a) 食品安全承诺书:b) 食品安全管理制度：c) 从业人员健康证明；d) 监管部门监督检查信息；e) 每周带量食谱及饭菜价格；f) </w:t>
            </w:r>
            <w:r>
              <w:rPr>
                <w:rFonts w:hint="eastAsia" w:ascii="Times New Roman" w:hAnsi="Times New Roman" w:eastAsia="宋体" w:cs="Times New Roman"/>
                <w:color w:val="auto"/>
                <w:lang w:val="en-US" w:eastAsia="zh-CN"/>
              </w:rPr>
              <w:t>大宗</w:t>
            </w:r>
            <w:r>
              <w:rPr>
                <w:rFonts w:hint="default" w:ascii="Times New Roman" w:hAnsi="Times New Roman" w:eastAsia="宋体" w:cs="Times New Roman"/>
                <w:color w:val="auto"/>
              </w:rPr>
              <w:t>食品原料供应商及采购价格。</w:t>
            </w:r>
          </w:p>
          <w:p w14:paraId="1D3232E7">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日常管理制度</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供餐单位应建立日常管理制度，包括但不限于：a) 从业人员健康管理和培训管理制度；b) 加工经营场所及设施设备清洁、消毒和维修保养制度；c) 食品、食品添加剂、食品相关产品采购索证索票、进货查验和分账记录制度；d) 关键环节食品加工操作规程；e) 食品留样制度；f) 餐厨废弃物处置管理制度；g) 餐饮服务食品安全突发事件应急处置方案；h) 投诉受理制度。</w:t>
            </w:r>
          </w:p>
          <w:p w14:paraId="45EEF626">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b w:val="0"/>
                <w:bCs w:val="0"/>
                <w:color w:val="auto"/>
              </w:rPr>
              <w:t>台账管理制度</w:t>
            </w:r>
            <w:r>
              <w:rPr>
                <w:rFonts w:hint="default" w:ascii="Times New Roman" w:hAnsi="Times New Roman" w:eastAsia="宋体" w:cs="Times New Roman"/>
                <w:b w:val="0"/>
                <w:bCs w:val="0"/>
                <w:color w:val="auto"/>
                <w:lang w:eastAsia="zh-CN"/>
              </w:rPr>
              <w:t>：</w:t>
            </w:r>
            <w:r>
              <w:rPr>
                <w:rFonts w:hint="default" w:ascii="Times New Roman" w:hAnsi="Times New Roman" w:eastAsia="宋体" w:cs="Times New Roman"/>
                <w:color w:val="auto"/>
              </w:rPr>
              <w:t>供餐单位应建立食品安全管理档案，及时收集相关资料，每年汇总整理并装订成册，有关记录至少应保存2年。包括但不限于以下内容：a) 食品安全管理机构名单及上级有关文件；b) 食品安全管理工作制度；c) 供餐单位人员组成及分工情况；d) 供餐单位食品经营许可证、从业人员健康证明、食品安全知识培训合格证复印件；e) 食品安全知识培训教材、资料，人员学习记录；f) 供餐单位食品安全年度工作计划、总结；g) 监督检查意见书；h) 各类台账资料。台账资料管理包括但不限于：a) 供应商资格审核记录；b) 食品原料采购索证索票进货查验和采购记录；c) 清洁卫生及场所消毒情况记录；d) 餐用具清洗消毒情况记录；e) 从业人员健康监测记录；f) 食品安全“日管控、周排查、月调度”工作记录；g) 安全自查记录；h) 食品留样记录；i) 投诉处理记录；j) 不合格食品处理记录；k) 废弃物处理记录；l) 食品添加剂采购及使用记录；m) 陪餐记录；n) 每周带量食谱。</w:t>
            </w:r>
            <w:r>
              <w:rPr>
                <w:rFonts w:hint="default" w:ascii="Times New Roman" w:hAnsi="Times New Roman" w:eastAsia="宋体" w:cs="Times New Roman"/>
                <w:color w:val="auto"/>
                <w:lang w:val="en-US" w:eastAsia="zh-CN"/>
              </w:rPr>
              <w:t>此外，</w:t>
            </w:r>
            <w:r>
              <w:rPr>
                <w:rFonts w:hint="default" w:ascii="Times New Roman" w:hAnsi="Times New Roman" w:eastAsia="宋体" w:cs="Times New Roman"/>
                <w:color w:val="auto"/>
              </w:rPr>
              <w:t>供餐单位宜应用“互联网+明厨亮灶+AI识别”智慧化管理平台，建立电子记录保存资料台账，实现食品安全管理的数字化、智能化。</w:t>
            </w:r>
          </w:p>
          <w:p w14:paraId="42185A33">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b w:val="0"/>
                <w:bCs w:val="0"/>
                <w:color w:val="auto"/>
              </w:rPr>
              <w:t>责任追究制度</w:t>
            </w:r>
            <w:r>
              <w:rPr>
                <w:rFonts w:hint="default" w:ascii="Times New Roman" w:hAnsi="Times New Roman" w:eastAsia="宋体" w:cs="Times New Roman"/>
                <w:b w:val="0"/>
                <w:bCs w:val="0"/>
                <w:color w:val="auto"/>
                <w:lang w:eastAsia="zh-CN"/>
              </w:rPr>
              <w:t>：</w:t>
            </w:r>
            <w:r>
              <w:rPr>
                <w:rFonts w:hint="default" w:ascii="Times New Roman" w:hAnsi="Times New Roman" w:eastAsia="宋体" w:cs="Times New Roman"/>
                <w:color w:val="auto"/>
              </w:rPr>
              <w:t>依据《中华人民共和国食品安全法实施条例》的规定，明确“法定代表人、主要负责人、直接负责的主管人员和其他直接责任人员”等四类责任人员，健全完善“处罚到人”食品安全责任追究制度，对未履行职责或履职不到位，导致学校食堂发生食品安全事故，依法追究相关责任人员责任。</w:t>
            </w:r>
          </w:p>
          <w:p w14:paraId="013BF317">
            <w:pPr>
              <w:numPr>
                <w:ilvl w:val="-1"/>
                <w:numId w:val="0"/>
              </w:num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eastAsia="zh-CN"/>
              </w:rPr>
              <w:t>2</w:t>
            </w:r>
            <w:r>
              <w:rPr>
                <w:rFonts w:hint="default" w:ascii="Times New Roman" w:hAnsi="Times New Roman" w:eastAsia="宋体" w:cs="Times New Roman"/>
                <w:b/>
                <w:bCs/>
                <w:color w:val="auto"/>
              </w:rPr>
              <w:t>.4 布局流程</w:t>
            </w:r>
          </w:p>
          <w:p w14:paraId="7429AD81">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食品处理区应按一般操作区、准清洁操作区和清洁操作区相对分开的原则，结合供餐量和规模大小实际情况进行规划布局，按照“从生到熟、从脏到净”单一流向运行，有效控制交叉污染。在此基础上设置功能间（区），包括但不限于以下功能间（区）：a) 健康监测间（区） 设置身份识别、体温检测等设施或岗位，为落实从业人员上岗前健康监测要求提供条件，有条件的可选择自动识别测温仪等；b) 预进间（区）  设置更衣、洗手消毒等设施；c) 一般操作间（区） 分为食品库房、粗加工制作、切配、餐具用具清洗消毒等，设置相应的设施设备；d) 准清洁操作间（区） 分为烹饪、餐具用具保洁、面食加工等，设置相应的设施设备；e) 清洁操作间（区） 分为备餐、凉菜配制等，设置相应的设施设备。</w:t>
            </w:r>
          </w:p>
          <w:p w14:paraId="230D7E83">
            <w:pPr>
              <w:numPr>
                <w:ilvl w:val="-1"/>
                <w:numId w:val="0"/>
              </w:num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eastAsia="zh-CN"/>
              </w:rPr>
              <w:t>2</w:t>
            </w:r>
            <w:r>
              <w:rPr>
                <w:rFonts w:hint="default" w:ascii="Times New Roman" w:hAnsi="Times New Roman" w:eastAsia="宋体" w:cs="Times New Roman"/>
                <w:b/>
                <w:bCs/>
                <w:color w:val="auto"/>
              </w:rPr>
              <w:t>.5 场所建设</w:t>
            </w:r>
          </w:p>
          <w:p w14:paraId="5C109D11">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基本要求</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应选择与经营餐食相适应的场所，保持场所环境清洁，不应选择易受到污染的区域。应采用坚固耐用，易于维修、清洁或消毒的材料建造，材质和结构应能避免有害生物侵入和栖息。</w:t>
            </w:r>
          </w:p>
          <w:p w14:paraId="7EDE82C4">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地面和墙壁</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应选择防水、防滑、无毒、无异味、易清洗的浅色材料涂覆或铺设，应表面平滑、无裂缝、无破损，无霉斑、无积垢，宜选用浅色瓷砖、防火防爆玻璃。有水区域地面应以排水沟（口）为低点，保持1.5°的坡度。需经常冲洗的场所（包括粗加工制作、切配、烹饪和餐用具清洗消毒等场所），应铺设1.5m以上、浅色、不吸水、易清洗的瓷砖墙裙。备餐间、白案间、凉菜间的瓷砖墙裙应铺设到墙顶。</w:t>
            </w:r>
          </w:p>
          <w:p w14:paraId="27617169">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天花板</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应该选择无毒、无异味、不吸水、易清洁、耐高温、耐腐蚀、浅色的涂覆或装修材料。无裂缝、无破损，无霉斑、无灰尘积聚。天花板与横梁或墙壁结合处宜有一定弧度，避免积灰。水蒸汽较多区域的天花板应有不少于1.5°的坡度。半成品、成品暴露区的天花板应平整。</w:t>
            </w:r>
          </w:p>
          <w:p w14:paraId="1CC1CD46">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门窗</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应坚固、不透水、易清洗、闭合严密、无变形、无破损，便于维护和清洁。确保门窗在使用过程中不会因损坏影响食品安全。</w:t>
            </w:r>
          </w:p>
          <w:p w14:paraId="5D573B3A">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给、排水</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应有足够的供水设施，确保供水量满足生产需求，水质应符合GB 5749《生活饮用水卫生标准》的规定。排水沟应有一定坡度，确保下水道通畅，避免积水。排水的流向应由高清洁操作区流向低清洁操作区，并应防止污水逆流，避免交叉污染。排水沟上方应设置横箅子（盖板）或排水沟出水口处应设置竖箅子，缝隙间距或网眼应小于10毫米，防止有害生物侵入。清洁操作区不应设置明沟，地漏应能有效防止废弃物流入及浊气逸出，确保排水系统的卫生和安全。</w:t>
            </w:r>
          </w:p>
          <w:p w14:paraId="1756BB74">
            <w:pPr>
              <w:numPr>
                <w:ilvl w:val="-1"/>
                <w:numId w:val="0"/>
              </w:num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eastAsia="zh-CN"/>
              </w:rPr>
              <w:t>2</w:t>
            </w:r>
            <w:r>
              <w:rPr>
                <w:rFonts w:hint="default" w:ascii="Times New Roman" w:hAnsi="Times New Roman" w:eastAsia="宋体" w:cs="Times New Roman"/>
                <w:b/>
                <w:bCs/>
                <w:color w:val="auto"/>
              </w:rPr>
              <w:t>.6 设施设备</w:t>
            </w:r>
          </w:p>
          <w:p w14:paraId="1AA9F436">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加工制作设施设备</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应根据加工制作食品的需要，合理配置各类加工制作设施设备，确保操作高效、卫生。各类水池、层架、水浴保温台、配餐台等设备应采用不锈钢材质制造，不易积垢，便于清洁，并用明显标识标明用途。不得将加工制作食品的设施设备、容器、工具用于与加工制作食品无关的用途。设施设备的摆放位置应便于操作、清洁、维护和减少交叉污染；固定安装的设施设备应安装牢固，与地面、墙壁无缝隙，或保留足够的清洁、维护空间。设施设备、容器和工具与食品接触的表面应平滑、无凹陷或裂缝，内部角落部位不宜有尖角，确保易于清洁和消毒。</w:t>
            </w:r>
          </w:p>
          <w:p w14:paraId="6907D1C6">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照明设施</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食品处理区应有充足的自然采光或人工照明设施，工作面的光照强度不应低于220 lux，且光源应不改变食品的感官颜色。其他场所的光照强度不应低于110 lux，确保操作环境的明亮和安全。安装在暴露食品正上方的照明灯应配备防护装置，防止灯具直接污染食品。冷冻（藏）库应使用防爆灯，确保在低温环境下照明设备的安全性和稳定性。</w:t>
            </w:r>
          </w:p>
          <w:p w14:paraId="21A486E6">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油烟处理设施</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产生油烟的设备上方，应设置机械排风及油烟净化处理设备，确保厨房空气质量。产生大量蒸汽的设备上方，应设置机械排风排气装置，并做好凝结水的引泄，防止蒸汽积聚影响食品安全。排气口应设有防止有害生物侵入的网罩，确保排风系统的卫生和安全。</w:t>
            </w:r>
          </w:p>
          <w:p w14:paraId="1DCD1302">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冷藏设施设备</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应根据加工需要配置冷冻柜、冷藏柜，必要时设置冷冻库、冷藏库，确保食品在贮存过程中的温度控制。应根据贮存食物的不同类别进行区分标识，确保食品分类存储，避免交叉污染。冷冻、冷藏柜（库）应设有可正确显示内部温度的外显式温度计，宜安装温度监测传感器，对贮存温度进行实时监控和预警，确保温度控制的准确性和及时性。</w:t>
            </w:r>
          </w:p>
          <w:p w14:paraId="7BA10709">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有害生物防制设施</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食品处理区和就餐区宜安装粘捕式灭蝇灯。使用电击式灭蝇灯的，灭蝇灯不得悬挂在食品加工制作或贮存区域的上方。应根据场所的布局、面积及灭蝇灯使用技术要求合理设置灭蝇灯。食品处理区内应设有灭鼠设施，包括但不限于粘鼠板、捕鼠笼、电子驱鼠设备、机械式捕鼠器，严禁使用化学灭鼠剂。食品处理区外可使用抗干预型鼠饵站，鼠饵站和鼠饵等设施应固定安装，避免鼠饵外泄。食品处理区与外界直接相通的门、可开启的窗和销售传递窗口，应设置易拆洗、不易生锈的有害生物防制设施，包括但不限于蝇纱网、空气幕、防蝇胶帘、防虫纱窗、防鼠板。挡鼠板高度应不低于600毫米，门的缝隙应小于6毫米。防蝇胶帘应覆盖整个门框，底部离地距离小于20毫米，相邻胶帘条的重叠部分不少于20毫米。食品处理区与外界直接相通的门应能自动关闭。通风口、换气窗应加装不小于16目的防虫筛网，防止有害生物通过通风口进入。供餐单位的“互联网+明厨亮灶+AI识别”智慧化管理系统应具备鼠类活动自动抓拍和自动推送预警功能，并全天候开展鼠类活动监测，确保有害生物防控的及时性和有效性。</w:t>
            </w:r>
          </w:p>
          <w:p w14:paraId="726B99D6">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检验检测设施</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有条件的供餐单位宜建立食品安全快速检测室，配置农药残留、兽药残留、洁净度快速检测仪器，日常开展食品检验检测，确保食品安全指标达标。根据自身的食品安全风险分析结果，确定检验检测项目，包括但不限于农药残留、兽药残留、致病性微生物、餐用具清洗消毒效果监测等，确保全面覆盖食品安全风险。检验检测人员应经过专业培训与考核，具备相应的食品安全检验检测资质，确保检测结果的准确性和可靠性。</w:t>
            </w:r>
          </w:p>
          <w:p w14:paraId="56D050C0">
            <w:pPr>
              <w:numPr>
                <w:ilvl w:val="-1"/>
                <w:numId w:val="0"/>
              </w:num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eastAsia="zh-CN"/>
              </w:rPr>
              <w:t>2</w:t>
            </w:r>
            <w:r>
              <w:rPr>
                <w:rFonts w:hint="default" w:ascii="Times New Roman" w:hAnsi="Times New Roman" w:eastAsia="宋体" w:cs="Times New Roman"/>
                <w:b/>
                <w:bCs/>
                <w:color w:val="auto"/>
              </w:rPr>
              <w:t>.7 功能区建设</w:t>
            </w:r>
          </w:p>
          <w:p w14:paraId="3AC92748">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 更衣室</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更衣室应为独立隔间，位于食品处理区入口处，空间和更衣设施（如更衣柜、挂钩、衣架）应满足实际需求，确保从业人员能够方便、卫生地更换工作服。</w:t>
            </w:r>
          </w:p>
          <w:p w14:paraId="2DD4ABCA">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库房</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库房应设有通风、防潮及防止有害生物侵入的装置。主食原料、副食原料、调味品、食品包装材料等应分类存放，并有明显的区分标识。应设置足够数量的存放架，结构及位置应使贮存的食品和物品离墙离地至少100毫米，避免直接接触地面。洗涤剂、消毒剂、杀虫剂、灭鼠药等有毒有害物品应设立专门贮存区，严禁进入食品仓库。库房应做好防潮防霉工作，宜配置温湿度计或温湿度监测传感设备，对库房温湿度进行实时监控。</w:t>
            </w:r>
          </w:p>
          <w:p w14:paraId="67F04539">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粗加工制作区</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粗加工制作区应设有择菜区、清洗区和切配区，加工顺序为择菜→清洗→切配。应设有素菜浸泡池、清洗池、肉类清洗池和水产清洗池，分类分开使用，标识清楚。粗加工用的工具应按荤、素、水产分类配置、分开使用、定位存放，并标识清楚。应按原料和净菜分别配置容器，分开使用，定位存放，确保食品加工过程的卫生和安全。</w:t>
            </w:r>
          </w:p>
          <w:p w14:paraId="71D13BDF">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烹饪间</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烹调间操作台宜使用不锈钢台面，灶台应有一定坡度的排水沟，保持下水道通畅，灶台上方应安装排烟罩，确保油烟及时排出。蒸饭车、煮制桶（锅）等产生大量蒸汽的设备上方应设置机械排风排气装置，做好凝结水的引泄，防止蒸汽积聚影响操作环境和食品安全。</w:t>
            </w:r>
          </w:p>
          <w:p w14:paraId="0CE18359">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清洗消毒间</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清洗消毒间应分为清洗区和消毒区。餐具用具清洗、消毒、保洁设施设备容量和数量应能满足加工制作和供餐需要。清洗间应按回收除渣设备、餐具粗洗池、清洗池、冲淋池、滤水台（架）等顺序设置。餐饮具和工用具应分开清洗消毒，定位存放。需配备餐具保洁箱的，应加盖密闭。宜采用物理消毒方式，并在蒸箱、热力消毒柜或消毒库附近墙壁加贴消毒温度、时间要求。消毒保洁柜（库）的数量和容量应符合实际需要，宜采用大容量消毒库，确保需要消毒的工用具、容器和餐饮具得到有效消毒和保洁。采用洗碗机消毒的，洗碗机的消毒温度和时间要达到消毒需要。宜采用温度监测传感器，对消毒柜（库）、洗碗机等消毒设备的消毒温度和时间进行监测预警。化学消毒仅适用于无法进行物理消毒的工用具，至少设置4个专用水池，分别用于餐用具的初洗、清洗、浸泡消毒和消毒液残留冲洗，各类水池应标明其用途。消毒池上方应加贴消毒方法说明。消毒液应由专人配置，根据消毒池实际容积和使用消毒液的品牌要求，注明所配制消毒液的实际配比和配制方法，以便于操作。</w:t>
            </w:r>
          </w:p>
          <w:p w14:paraId="696437C5">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备餐间</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备餐间应设置不锈钢配餐台，成品容器需带盖，并设置保温箱等保温设施。分餐工用具和容器应专用，并进行回收清洗消毒。应配备专用留样冰箱（柜）及足够数量的、易清洗消毒的密闭留样盒。备餐间入口处应设置通过式预进间或预进区，配置更衣柜（架）、非接触式洗手池、手消毒和干手设备、脚消毒垫等设施，墙壁张贴“七步洗手法”指示图。备有洗手液、消毒液等用品。宜应用视频抓拍或设备传感监测对预进间更衣消毒环节进行管理。备餐间门宜可自动关闭，不能双向开闭的应开向备餐间内。备餐间与烹调间之间应设专用供菜通道，通道大小应适应传递食品的容器，通道口设门，售饭口应为可开闭式传递窗。备餐间应配备独立空调，功率与室内面积相匹配。废弃物箱（桶）盖子应为脚踏式，并保持内外壁清洁。备餐间内不应设有明沟，确保废弃物处理的卫生和安全。</w:t>
            </w:r>
          </w:p>
          <w:p w14:paraId="046C50EC">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面点间</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面点间应独立设置，确保面点制作过程的卫生和安全。面点间的水池、冰箱、工具、容器和发酵成型设备应专用，避免交叉污染，确保面点制作的卫生条件。</w:t>
            </w:r>
          </w:p>
          <w:p w14:paraId="32EB5243">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专间（区）</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专间（区）应设置独立的空调设施，确保空气质量。应定期清洁消毒空调及通风设施，保持环境卫生。专间（区）应设置独立预进间，配置二次更衣、洗手、手消毒、脚消毒设施，墙壁张贴“七步洗手法”指示图。备有洗手液、消毒液等用品。宜应用视频抓拍或设备传感监测对预进间更衣消毒环节进行管理。专间（区）的设备、工具、容器应专用，避免与其他区域交叉使用，确保食品安全。专间（区）应配置空气和物表消毒设施，包括但不限于紫外线消毒灯。紫外线消毒灯的功率应不小于2 W/m³，安装位置应距离物表面1200毫米至1500毫米处，并配备反光罩，确保消毒效果。紫外线灯应居中悬挂，离地不超过2米，并在室外设置紫外线消毒灯的开关，并加贴相关标识。</w:t>
            </w:r>
          </w:p>
          <w:p w14:paraId="068A7F1D">
            <w:pPr>
              <w:numPr>
                <w:ilvl w:val="-1"/>
                <w:numId w:val="0"/>
              </w:num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卫生间</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卫生间不得设置在食品处理区内，避免交叉污染。卫生间出入口不得与食品处理区的出入口直对，防止污染物通过门窗传播。卫生间应设置独立的排风装置，确保空气流通和卫生。应设置冲水式便池，排污口位于餐饮服务场所外，避免污水逆流进入食品处理区。卫生间应配备洗手设施，确保使用者能够及时、有效地洗手，防止食品污染。</w:t>
            </w:r>
          </w:p>
          <w:p w14:paraId="63E6B631">
            <w:pPr>
              <w:numPr>
                <w:ilvl w:val="0"/>
                <w:numId w:val="6"/>
              </w:numPr>
              <w:spacing w:before="0" w:line="360" w:lineRule="auto"/>
              <w:ind w:left="118" w:firstLine="723" w:firstLineChars="30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管理要求</w:t>
            </w:r>
          </w:p>
          <w:p w14:paraId="0E352A59">
            <w:p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3</w:t>
            </w:r>
            <w:r>
              <w:rPr>
                <w:rFonts w:hint="eastAsia" w:ascii="Times New Roman" w:hAnsi="Times New Roman" w:eastAsia="宋体" w:cs="Times New Roman"/>
                <w:b/>
                <w:bCs/>
                <w:color w:val="auto"/>
              </w:rPr>
              <w:t>.1原料采购、运输、验收与贮存</w:t>
            </w:r>
          </w:p>
          <w:p w14:paraId="178ABA48">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采购</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应制定并实施食品、食品添加剂及食品相关产品采购控制要求，采购依法取得许可资质的供货者生产经营的食品、食品添加剂及食品相关产品，不应采购法律、法规禁止生产经营的食品、食品添加剂及食品相关产品。在采购食品、食品添加剂及相关产品时，供餐单位应严格按照规定查验并留存供货商的许可资质证明复印件，确保所有采购物资均可追溯。</w:t>
            </w:r>
          </w:p>
          <w:p w14:paraId="7A2FBEDC">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运输</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应</w:t>
            </w:r>
            <w:r>
              <w:rPr>
                <w:rFonts w:hint="eastAsia" w:ascii="Times New Roman" w:hAnsi="Times New Roman" w:eastAsia="宋体" w:cs="Times New Roman"/>
                <w:color w:val="auto"/>
              </w:rPr>
              <w:t>根据食品的特性，选择适宜的运输工具，并在必要时配备保温、冷藏、冷冻、保鲜、保湿等设施，以确保食品在运输过程中的安全和质量。运输前，供餐单位应对运输工具和盛装食品的容器进行彻底清洁消毒，防止食品在运输过程中受到污染。运输过程中，应采取有效措施防止食品与污染源接触，确保食品安全。</w:t>
            </w:r>
          </w:p>
          <w:p w14:paraId="08D62E83">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验收</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供餐单位在接收食品、食品添加剂及相关产品时，应严格按照规定查验供货商提供的产品合格证明文件，并留存所有相关票据，保存期限不得少于2年。对于实行统一配送经营方式的餐饮服务企业，由企业总部统一查验供货商的产品合格证明文件。企业总部应将统一查验的许可资质证明、产品合格证明文件等信息电子化存档，门店应能随时查询相关信息，确保食品来源的透明和可追溯。</w:t>
            </w:r>
          </w:p>
          <w:p w14:paraId="73C9EFFB">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贮存</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食品原料、半成品、成品应分隔或分开贮存，贮存过程中，应与墙壁、地面保持至少10厘米的距离，防止污染。散装食品（食用农产品除外）应存放在标有食品名称、生产日期或生产批号、使用期限等信息的密闭容器中，确保贮存环境的卫生和食品的安全。供餐单位应遵循先进先出的原则，合理安排食品原料、食品添加剂及相关产品的使用顺序，确保食品的新鲜和安全。对存在感官性状异常、超过保质期等情况的食品，应及时清理并采取无害化处理或销毁措施，严格记录处理过程，防止变质食品流入供餐环节。</w:t>
            </w:r>
          </w:p>
          <w:p w14:paraId="386D1C7B">
            <w:pPr>
              <w:numPr>
                <w:ilvl w:val="0"/>
                <w:numId w:val="5"/>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rPr>
              <w:t>2 加工过程的食品安全控制</w:t>
            </w:r>
          </w:p>
          <w:p w14:paraId="5AF93FA1">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基本要求</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供餐单位不得加工法律、法规禁止生产经营的食品。加工过程中，严禁任何违反食品安全法律法规的行为。在食品加工前，供餐单位应对待加工食品进行感官检查，发现有腐败变质、混有异物或其他感官性状异常的食品，应立即停止使用，确保不将不合格食品投入加工和供餐环节。</w:t>
            </w:r>
          </w:p>
          <w:p w14:paraId="14DE1819">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初加工</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冷冻（藏）食品从冷柜（库）中取出或解冻后，应尽快进行加工使用，避免温度变化导致食品质量下降。经过初加工的食品应做好防护措施，防止二次污染，确保食品在加工过程中保持卫生。初加工后的食品应及时使用或冷藏、冷冻，防止食品变质。生食蔬菜、水果和生食水产品原料应在专用区域或设施内进行清洗处理，必要时进行消毒，确保食品安全。</w:t>
            </w:r>
          </w:p>
          <w:p w14:paraId="51670086">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烹任</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食品烹任的温度和时间应符合食品安全要求，确保食品在烹任过程中不会产生有害物质。需要烧熟煮透的食品，加工时食品的中心温度应达到70℃以上；若中心温度低于70℃，应严格控制原料质量，确保食品安全。食品煎炸所使用的食用油和煎炸过程中的油温，应有利于减缓食用油在煎炸过程中发生劣变。煎炸用油若不符合食品安全要求，应及时更换，确保食品质量。</w:t>
            </w:r>
          </w:p>
          <w:p w14:paraId="4EC18D4E">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食品添加剂使用</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供餐单位在使用食品添加剂时，应在技术上确有必要，并在达到预期效果的前提下，尽可能减少使用量。食品添加剂的使用量及要求应符合《食品安全国家标准 食品添加剂使用标准》（GB 2760）的规定。严禁采购、贮存、使用国家法律、法规禁止在餐饮业使用的食品添加剂，如亚硝酸盐等有害添加剂。食品添加剂应由专人负责保管，存放于专柜（位）内，并标注“食品添加剂”字样。供餐单位应建立专册，记录使用的食品添加剂名称、生产日期或批号、添加的食品品种、添加量、添加时间、操作人员等信息，确保食品添加剂的可追溯性和安全使用。</w:t>
            </w:r>
          </w:p>
          <w:p w14:paraId="47618A08">
            <w:p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3</w:t>
            </w:r>
            <w:r>
              <w:rPr>
                <w:rFonts w:hint="eastAsia" w:ascii="Times New Roman" w:hAnsi="Times New Roman" w:eastAsia="宋体" w:cs="Times New Roman"/>
                <w:b/>
                <w:bCs/>
                <w:color w:val="auto"/>
              </w:rPr>
              <w:t>.3 清洁维护与废弃物管理</w:t>
            </w:r>
          </w:p>
          <w:p w14:paraId="6958D35D">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餐用具卫生</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餐用具使用后，应及时进行清洗消毒，消毒后的餐用具应符合《食品安全国家标准 消毒餐（饮）具》（GB 14934）的规定。禁止重复使用一次性餐（饮）具，确保食品安全。餐用具消毒设备和设施应保持正常运转，优先采用热力等物理方法进行消毒。消毒后的餐用具应存放在专用保洁设施或场所内，保持清洁，防止二次污染。委托餐（饮）具集中消毒服务单位提供清洗消毒服务的，供餐单位应查验并留存该服务单位的营业执照复印件和消毒合格证明，保存期限不得少于消毒餐（饮）具使用期限到期后6个月。</w:t>
            </w:r>
          </w:p>
          <w:p w14:paraId="4B8A23B7">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b w:val="0"/>
                <w:bCs w:val="0"/>
                <w:color w:val="auto"/>
              </w:rPr>
              <w:t>场所、设施、设备清洁消毒和维护</w:t>
            </w:r>
            <w:r>
              <w:rPr>
                <w:rFonts w:hint="eastAsia" w:ascii="Times New Roman" w:hAnsi="Times New Roman" w:eastAsia="宋体" w:cs="Times New Roman"/>
                <w:b w:val="0"/>
                <w:bCs w:val="0"/>
                <w:color w:val="auto"/>
                <w:lang w:eastAsia="zh-CN"/>
              </w:rPr>
              <w:t>：</w:t>
            </w:r>
            <w:r>
              <w:rPr>
                <w:rFonts w:hint="eastAsia" w:ascii="Times New Roman" w:hAnsi="Times New Roman" w:eastAsia="宋体" w:cs="Times New Roman"/>
                <w:color w:val="auto"/>
              </w:rPr>
              <w:t>餐饮服务场所、设施、设备应定期进行维护，发现问题应及时维修或更换，确保设备的正常运行和食品加工过程的卫生。供餐单位应建立并执行清洁消毒程序和计划，配备必要的清洗消毒设施。采用物理方法或化学方法进行清洗消毒时，应满足相关规定，确保清洗消毒效果。使用的化学品应符合国家标准，并从正规渠道采购，确保化学品的安全性和有效性。清洗消毒人员应经过专业培训，掌握相关清洗消毒知识和操作流程，确保清洁消毒工作的规范性和有效性。</w:t>
            </w:r>
          </w:p>
          <w:p w14:paraId="607DCBE7">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b w:val="0"/>
                <w:bCs w:val="0"/>
                <w:color w:val="auto"/>
              </w:rPr>
              <w:t>废弃物管理</w:t>
            </w:r>
            <w:r>
              <w:rPr>
                <w:rFonts w:hint="eastAsia" w:ascii="Times New Roman" w:hAnsi="Times New Roman" w:eastAsia="宋体" w:cs="Times New Roman"/>
                <w:b w:val="0"/>
                <w:bCs w:val="0"/>
                <w:color w:val="auto"/>
                <w:lang w:eastAsia="zh-CN"/>
              </w:rPr>
              <w:t>：</w:t>
            </w:r>
            <w:r>
              <w:rPr>
                <w:rFonts w:hint="eastAsia" w:ascii="Times New Roman" w:hAnsi="Times New Roman" w:eastAsia="宋体" w:cs="Times New Roman"/>
                <w:color w:val="auto"/>
              </w:rPr>
              <w:t>废弃物的处置应符合法律、法规、规章的要求，确保废弃物处理过程的环保和安全。供餐单位应建立废弃物管理制度，分类收集、储存和处理废弃物，避免废弃物对食品安全和环境造成污染。餐厨废弃物应及时清理，并采取无害化处理措施，确保废弃物处理过程符合环保要求。</w:t>
            </w:r>
          </w:p>
          <w:p w14:paraId="2873E584">
            <w:p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3</w:t>
            </w:r>
            <w:r>
              <w:rPr>
                <w:rFonts w:hint="eastAsia" w:ascii="Times New Roman" w:hAnsi="Times New Roman" w:eastAsia="宋体" w:cs="Times New Roman"/>
                <w:b/>
                <w:bCs/>
                <w:color w:val="auto"/>
              </w:rPr>
              <w:t>.4</w:t>
            </w:r>
            <w:r>
              <w:rPr>
                <w:rFonts w:hint="eastAsia" w:ascii="Times New Roman" w:hAnsi="Times New Roman" w:eastAsia="宋体" w:cs="Times New Roman"/>
                <w:b/>
                <w:bCs/>
                <w:color w:val="auto"/>
                <w:lang w:val="en-US" w:eastAsia="zh-CN"/>
              </w:rPr>
              <w:t xml:space="preserve"> </w:t>
            </w:r>
            <w:r>
              <w:rPr>
                <w:rFonts w:hint="eastAsia" w:ascii="Times New Roman" w:hAnsi="Times New Roman" w:eastAsia="宋体" w:cs="Times New Roman"/>
                <w:b/>
                <w:bCs/>
                <w:color w:val="auto"/>
              </w:rPr>
              <w:t>人员健康与卫生</w:t>
            </w:r>
          </w:p>
          <w:p w14:paraId="1E3349B6">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健康管理</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供餐单位应建立并执行食品从业人员健康管理制度，确保从业人员的健康状况符合食品安全要求。从事接触直接入口食品工作的人员，每年应进行一次健康检查，取得健康证明后方可上岗。患有霍乱、伤寒、副伤寒等国务院卫生行政部门规定的有碍食品安全疾病的人员，不得从事接触直接入口食品的工作。从业人员每日上岗前，应进行健康状况检查。发现有发热等病症或皮肤有伤口、感染等情况的人员，应立即暂停从事接触食品的工作，待查明原因并排除有碍食品安全的疾病后方可重新上岗。</w:t>
            </w:r>
          </w:p>
          <w:p w14:paraId="08E4E251">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人员卫生</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食品处理区内的从业人员不得留长指甲、涂指甲油，不得化妆。工作时，佩戴的饰物不得外露，应戴清洁的工作帽，避免头发掉落污染食品；专间和专用操作区内的从业人员操作时，应佩戴清洁的口罩，确保口鼻被遮盖。从业人员的个人用品应集中存放，存放位置不得影响食品安全。使用卫生间、接触可能污染食品的物品或从事与食品加工无关的其他活动后，再次从事接触食品、食品容器、工具、设备等餐饮服务相关活动前，应重新洗手，并进行手部消毒。特别是从事接触直接入口食品工作的人员，应严格遵守洗手和消毒程序，确保手部卫生。供餐单位应根据加工品种和岗位要求，配备专用工作服，如工作衣、帽、发网等，必要时配备口罩、围裙、套袖、手套等。工作服应定期清洗更换，操作过程中应保持清洁，避免食品污染。</w:t>
            </w:r>
          </w:p>
          <w:p w14:paraId="53AF5D80">
            <w:p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3</w:t>
            </w:r>
            <w:r>
              <w:rPr>
                <w:rFonts w:hint="eastAsia" w:ascii="Times New Roman" w:hAnsi="Times New Roman" w:eastAsia="宋体" w:cs="Times New Roman"/>
                <w:b/>
                <w:bCs/>
                <w:color w:val="auto"/>
              </w:rPr>
              <w:t>.5人员培训</w:t>
            </w:r>
          </w:p>
          <w:p w14:paraId="258EBC3A">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供餐单位应建立并实施食品安全培训制度，对各岗位从业人员进行系统的食品安全知识培训，确保每位从业人员每年接受不少于40小时的培训，并通过考核后方可上岗。根据不同岗位的实际需求，供餐单位应制定和实施年度食品安全培训计划，并做好培训记录。培训内容应涵盖食品安全法律法规、食品卫生知识、食品加工操作规范、应急处理措施等方面，提升从业人员的食品安全意识和操作技能，确保食品安全管理工作的有效开展。</w:t>
            </w:r>
          </w:p>
          <w:p w14:paraId="1B9C8078">
            <w:pPr>
              <w:numPr>
                <w:ilvl w:val="-1"/>
                <w:numId w:val="0"/>
              </w:numPr>
              <w:spacing w:before="0" w:line="360" w:lineRule="auto"/>
              <w:ind w:left="118" w:firstLine="482" w:firstLineChars="20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lang w:val="en-US" w:eastAsia="zh-CN"/>
              </w:rPr>
              <w:t xml:space="preserve">4. </w:t>
            </w:r>
            <w:r>
              <w:rPr>
                <w:rFonts w:hint="eastAsia" w:ascii="Times New Roman" w:hAnsi="Times New Roman" w:eastAsia="宋体" w:cs="Times New Roman"/>
                <w:b/>
                <w:bCs/>
                <w:color w:val="auto"/>
                <w:sz w:val="24"/>
                <w:szCs w:val="24"/>
              </w:rPr>
              <w:t>供餐配送要求</w:t>
            </w:r>
          </w:p>
          <w:p w14:paraId="6B72DE76">
            <w:p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4</w:t>
            </w:r>
            <w:r>
              <w:rPr>
                <w:rFonts w:hint="default" w:ascii="Times New Roman" w:hAnsi="Times New Roman" w:eastAsia="宋体" w:cs="Times New Roman"/>
                <w:b/>
                <w:bCs/>
                <w:color w:val="auto"/>
              </w:rPr>
              <w:t>.1热链配送</w:t>
            </w:r>
          </w:p>
          <w:p w14:paraId="10F73C21">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供餐单位采用热链配送的食品，应在制作完成后2小时内通过加温保温设备，使食品的中心温度保持在60℃以上。加工制作后至食用的间隔时间应不超过4小时，确保食品在配送过程中的温度控制和安全性。</w:t>
            </w:r>
          </w:p>
          <w:p w14:paraId="5936218B">
            <w:p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4</w:t>
            </w:r>
            <w:r>
              <w:rPr>
                <w:rFonts w:hint="default" w:ascii="Times New Roman" w:hAnsi="Times New Roman" w:eastAsia="宋体" w:cs="Times New Roman"/>
                <w:b/>
                <w:bCs/>
                <w:color w:val="auto"/>
              </w:rPr>
              <w:t>.2 冷链配送</w:t>
            </w:r>
          </w:p>
          <w:p w14:paraId="1DE5EF55">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采用冷链工艺供餐的膳食，应存放在清洁操作区内，并采取相应措施防止微生物生长。二次加热时，应在供餐现场或学校附近建立复热点，配备复热设施设备，将膳食中心温度加热至70℃以上后方可供餐。复热完毕至食用的间隔时间应不超过4小时，确保食品的温度控制和安全性。</w:t>
            </w:r>
          </w:p>
          <w:p w14:paraId="1C05A95D">
            <w:p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4</w:t>
            </w:r>
            <w:r>
              <w:rPr>
                <w:rFonts w:hint="default" w:ascii="Times New Roman" w:hAnsi="Times New Roman" w:eastAsia="宋体" w:cs="Times New Roman"/>
                <w:b/>
                <w:bCs/>
                <w:color w:val="auto"/>
              </w:rPr>
              <w:t>.3 生产配送桶饭管理</w:t>
            </w:r>
          </w:p>
          <w:p w14:paraId="2BD158FC">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生产配送桶饭的，供餐点应设立面积满足分餐需要的分餐专用场所，配备膳食加热保温设施设备、手部和工作用具清洗消毒设备设施等，确保桶饭在分配过程中的卫生和安全。</w:t>
            </w:r>
          </w:p>
          <w:p w14:paraId="4FA1363D">
            <w:p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4</w:t>
            </w:r>
            <w:r>
              <w:rPr>
                <w:rFonts w:hint="default" w:ascii="Times New Roman" w:hAnsi="Times New Roman" w:eastAsia="宋体" w:cs="Times New Roman"/>
                <w:b/>
                <w:bCs/>
                <w:color w:val="auto"/>
              </w:rPr>
              <w:t>.4 餐盒和餐饮具管理</w:t>
            </w:r>
          </w:p>
          <w:p w14:paraId="32615B4F">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餐盒和饭桶等餐饮具及容器应清洁无毒，符合国家食品安全标准规定及供餐食品的特性要求。在高温、微波加热等特定使用条件下，餐饮具和容器应不影响食品的安全，并能在正常贮存、运输、销售中保护食品免受污染和损坏。</w:t>
            </w:r>
          </w:p>
          <w:p w14:paraId="6C390250">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应选用食品级材料如PP材料或304不锈钢分餐盒，可循环使用的餐饮具和保温容器在使用前后应及时清洗、消毒。消毒后的餐饮具和保温容器应符合《食品安全国家标准 消毒餐（饮）具》（GB 14934）的规定，并贮存在专用保洁柜内备用。禁止重复使用一次性餐饮具，确保食品安全。</w:t>
            </w:r>
          </w:p>
          <w:p w14:paraId="1AD55A96">
            <w:p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4</w:t>
            </w:r>
            <w:r>
              <w:rPr>
                <w:rFonts w:hint="default" w:ascii="Times New Roman" w:hAnsi="Times New Roman" w:eastAsia="宋体" w:cs="Times New Roman"/>
                <w:b/>
                <w:bCs/>
                <w:color w:val="auto"/>
              </w:rPr>
              <w:t>.5 配送安排</w:t>
            </w:r>
          </w:p>
          <w:p w14:paraId="535EB71F">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供餐单位应根据膳食的种类和性质，对加工时间、定岗人员、配送路线、配送时间、配送车辆等进行合理安排。选择适宜的运输方式，确保运输过程中符合食品标签所标识的贮存条件，采取必要的措施，避免食品受到二次污染，确保食品在配送过程中的安全和质量。</w:t>
            </w:r>
          </w:p>
          <w:p w14:paraId="4D9D89F1">
            <w:pPr>
              <w:numPr>
                <w:ilvl w:val="-1"/>
                <w:numId w:val="0"/>
              </w:numPr>
              <w:spacing w:before="0" w:line="360" w:lineRule="auto"/>
              <w:ind w:left="118" w:firstLine="482" w:firstLineChars="200"/>
              <w:rPr>
                <w:rFonts w:hint="eastAsia" w:ascii="Times New Roman" w:hAnsi="Times New Roman" w:eastAsia="宋体" w:cs="Times New Roman"/>
                <w:b/>
                <w:bCs/>
                <w:color w:val="auto"/>
                <w:sz w:val="21"/>
                <w:szCs w:val="21"/>
              </w:rPr>
            </w:pPr>
            <w:r>
              <w:rPr>
                <w:rFonts w:hint="default" w:ascii="Times New Roman" w:hAnsi="Times New Roman" w:eastAsia="宋体" w:cs="Times New Roman"/>
                <w:b/>
                <w:bCs/>
                <w:color w:val="auto"/>
                <w:sz w:val="24"/>
                <w:szCs w:val="24"/>
                <w:lang w:val="en-US" w:eastAsia="zh-CN"/>
              </w:rPr>
              <w:t xml:space="preserve">5. </w:t>
            </w:r>
            <w:r>
              <w:rPr>
                <w:rFonts w:hint="eastAsia" w:ascii="Times New Roman" w:hAnsi="Times New Roman" w:eastAsia="宋体" w:cs="Times New Roman"/>
                <w:b/>
                <w:bCs/>
                <w:color w:val="auto"/>
                <w:sz w:val="24"/>
                <w:szCs w:val="24"/>
              </w:rPr>
              <w:t>食品安全管理</w:t>
            </w:r>
          </w:p>
          <w:p w14:paraId="74D5C42B">
            <w:pPr>
              <w:numPr>
                <w:ilvl w:val="-1"/>
                <w:numId w:val="0"/>
              </w:numPr>
              <w:spacing w:before="0" w:line="360" w:lineRule="auto"/>
              <w:ind w:left="420" w:leftChars="200" w:firstLine="0" w:firstLineChars="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 xml:space="preserve">5.1 </w:t>
            </w:r>
            <w:r>
              <w:rPr>
                <w:rFonts w:hint="default" w:ascii="Times New Roman" w:hAnsi="Times New Roman" w:eastAsia="宋体" w:cs="Times New Roman"/>
                <w:b/>
                <w:bCs/>
                <w:color w:val="auto"/>
              </w:rPr>
              <w:t>管理制度和事故处置</w:t>
            </w:r>
          </w:p>
          <w:p w14:paraId="4A16F6A2">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供餐单位应建立并持续完善一套涵盖原料控制、餐用具清洗消毒、餐饮服务过程控制、从业人员健康管理、从业人员培训、食品安全自查、进货查验与记录、食品留样、场所与设施设备清洗消毒与维修保养、食品安全信息追溯以及消费者投诉处理等方面的食品安全管理制度，并制定应急处置方案，及时应对食品安全突发事件。</w:t>
            </w:r>
          </w:p>
          <w:p w14:paraId="6D46E370">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供餐单位应配备经过食品安全培训、具备专业能力的专职或兼职食品安全管理人员，确保食品安全管理工作有效落实。</w:t>
            </w:r>
          </w:p>
          <w:p w14:paraId="3ECF3499">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发生食品安全事故时，供餐单位应立即采取封存措施控制可能涉及的食品、原料、工具、设备及设施，并按规定报告所在地相关监管部门。供餐单位应积极配合相关部门调查处置，并采取有效措施防止事态扩展。</w:t>
            </w:r>
          </w:p>
          <w:p w14:paraId="6F0CD859">
            <w:pPr>
              <w:spacing w:before="0" w:line="360" w:lineRule="auto"/>
              <w:ind w:left="118" w:firstLine="422" w:firstLineChars="20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 xml:space="preserve">5.2 </w:t>
            </w:r>
            <w:r>
              <w:rPr>
                <w:rFonts w:hint="default" w:ascii="Times New Roman" w:hAnsi="Times New Roman" w:cs="Times New Roman"/>
                <w:b/>
                <w:bCs/>
                <w:color w:val="auto"/>
              </w:rPr>
              <w:t>食品安全自查</w:t>
            </w:r>
          </w:p>
          <w:p w14:paraId="35D12CDA">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供餐单位应定期进行食品安全自查，或委托具备资质的第三方机构开展相关工作，实施“日管控、周排查、月调度”制度，及时发现并消除食品安全隐患，预防食品安全事故的发生。</w:t>
            </w:r>
          </w:p>
          <w:p w14:paraId="46CD99FC">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自查过程中发现条件不再符合食品安全要求的，应立即采取整改措施。若存在食品安全事故的潜在风险，应立刻停止相关食品经营活动，并向市场监管部门报告。</w:t>
            </w:r>
          </w:p>
          <w:p w14:paraId="1430CE54">
            <w:p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5</w:t>
            </w:r>
            <w:r>
              <w:rPr>
                <w:rFonts w:hint="default" w:ascii="Times New Roman" w:hAnsi="Times New Roman" w:eastAsia="宋体" w:cs="Times New Roman"/>
                <w:b/>
                <w:bCs/>
                <w:color w:val="auto"/>
              </w:rPr>
              <w:t>.3</w:t>
            </w:r>
            <w:r>
              <w:rPr>
                <w:rFonts w:hint="default" w:ascii="Times New Roman" w:hAnsi="Times New Roman" w:eastAsia="宋体" w:cs="Times New Roman"/>
                <w:b/>
                <w:bCs/>
                <w:color w:val="auto"/>
                <w:lang w:val="en-US" w:eastAsia="zh-CN"/>
              </w:rPr>
              <w:t xml:space="preserve"> </w:t>
            </w:r>
            <w:r>
              <w:rPr>
                <w:rFonts w:hint="default" w:ascii="Times New Roman" w:hAnsi="Times New Roman" w:eastAsia="宋体" w:cs="Times New Roman"/>
                <w:b/>
                <w:bCs/>
                <w:color w:val="auto"/>
              </w:rPr>
              <w:t>食品留样</w:t>
            </w:r>
          </w:p>
          <w:p w14:paraId="1F7D9258">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供餐单位应指定专人负责食品留样的采集与保管工作，包括自制饮品及小吃甜点。食品样品应通过消毒过的专用工具采集，并存放于专门的冷藏设施内，确保留样食品的安全性。留样冷藏箱（柜）应独立存放留样食品，避免存放无关物品，并确保监控覆盖。</w:t>
            </w:r>
          </w:p>
          <w:p w14:paraId="4E9D65A6">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每餐次的食品成品应进行留样，留样量不低于125g，并在冷藏条件下保存48小时以上。所有留样食品应按日期和品种分别储存，并妥善记录，内容包括但不限于：a) 食品名称；b) 留样量；c) 留样时间；d) 销毁时间；e) 留样人。</w:t>
            </w:r>
          </w:p>
          <w:p w14:paraId="3D98CB80">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留样工具、冷藏设施及保存工具应定期清洗消毒。</w:t>
            </w:r>
          </w:p>
          <w:p w14:paraId="12EA8028">
            <w:p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5</w:t>
            </w:r>
            <w:r>
              <w:rPr>
                <w:rFonts w:hint="default" w:ascii="Times New Roman" w:hAnsi="Times New Roman" w:eastAsia="宋体" w:cs="Times New Roman"/>
                <w:b/>
                <w:bCs/>
                <w:color w:val="auto"/>
              </w:rPr>
              <w:t>.4</w:t>
            </w:r>
            <w:r>
              <w:rPr>
                <w:rFonts w:hint="default" w:ascii="Times New Roman" w:hAnsi="Times New Roman" w:eastAsia="宋体" w:cs="Times New Roman"/>
                <w:b/>
                <w:bCs/>
                <w:color w:val="auto"/>
                <w:lang w:val="en-US" w:eastAsia="zh-CN"/>
              </w:rPr>
              <w:t xml:space="preserve"> </w:t>
            </w:r>
            <w:r>
              <w:rPr>
                <w:rFonts w:hint="default" w:ascii="Times New Roman" w:hAnsi="Times New Roman" w:eastAsia="宋体" w:cs="Times New Roman"/>
                <w:b/>
                <w:bCs/>
                <w:color w:val="auto"/>
              </w:rPr>
              <w:t>检验</w:t>
            </w:r>
          </w:p>
          <w:p w14:paraId="63EBEFD4">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供餐单位应定期或委托具资质的第三方机构对食品及其加工环境进行检验。自行进行检验的单位应具备必要的检验设备和专业能力，确保检验设备按期校准，并符合相关食品安全标准。</w:t>
            </w:r>
          </w:p>
          <w:p w14:paraId="339D61F7">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食品检验应根据食品品种、加工工艺、原料控制等因素，合理确定检验项目、指标及频次，确保控制措施的有效性。</w:t>
            </w:r>
          </w:p>
          <w:p w14:paraId="4EF9799E">
            <w:p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5</w:t>
            </w:r>
            <w:r>
              <w:rPr>
                <w:rFonts w:hint="default" w:ascii="Times New Roman" w:hAnsi="Times New Roman" w:eastAsia="宋体" w:cs="Times New Roman"/>
                <w:b/>
                <w:bCs/>
                <w:color w:val="auto"/>
              </w:rPr>
              <w:t>.5</w:t>
            </w:r>
            <w:r>
              <w:rPr>
                <w:rFonts w:hint="default" w:ascii="Times New Roman" w:hAnsi="Times New Roman" w:eastAsia="宋体" w:cs="Times New Roman"/>
                <w:b/>
                <w:bCs/>
                <w:color w:val="auto"/>
                <w:lang w:val="en-US" w:eastAsia="zh-CN"/>
              </w:rPr>
              <w:t xml:space="preserve"> </w:t>
            </w:r>
            <w:r>
              <w:rPr>
                <w:rFonts w:hint="default" w:ascii="Times New Roman" w:hAnsi="Times New Roman" w:eastAsia="宋体" w:cs="Times New Roman"/>
                <w:b/>
                <w:bCs/>
                <w:color w:val="auto"/>
              </w:rPr>
              <w:t>记录和文件管理</w:t>
            </w:r>
          </w:p>
          <w:p w14:paraId="0B5407BF">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供餐单位应建立完善的记录管理制度，确保食品安全相关的各项记录完整、真实。记录应涵盖从业人员培训、进货查验、食品添加剂使用、食品安全自查、消费者投诉处理、变质或超过保质期食品处置、定期除虫等情况。</w:t>
            </w:r>
          </w:p>
          <w:p w14:paraId="0981300F">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对于进行食品和加工环境检验的单位，应保存检验记录，且无特别要求的，所有记录保存时间应不少于6个月。进货查验记录、收货记录及相关凭证应保存不少于2年。</w:t>
            </w:r>
          </w:p>
          <w:p w14:paraId="3CA2AB79">
            <w:p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5</w:t>
            </w:r>
            <w:r>
              <w:rPr>
                <w:rFonts w:hint="default" w:ascii="Times New Roman" w:hAnsi="Times New Roman" w:eastAsia="宋体" w:cs="Times New Roman"/>
                <w:b/>
                <w:bCs/>
                <w:color w:val="auto"/>
              </w:rPr>
              <w:t>.6</w:t>
            </w:r>
            <w:r>
              <w:rPr>
                <w:rFonts w:hint="default" w:ascii="Times New Roman" w:hAnsi="Times New Roman" w:eastAsia="宋体" w:cs="Times New Roman"/>
                <w:b/>
                <w:bCs/>
                <w:color w:val="auto"/>
                <w:lang w:val="en-US" w:eastAsia="zh-CN"/>
              </w:rPr>
              <w:t xml:space="preserve"> </w:t>
            </w:r>
            <w:r>
              <w:rPr>
                <w:rFonts w:hint="default" w:ascii="Times New Roman" w:hAnsi="Times New Roman" w:eastAsia="宋体" w:cs="Times New Roman"/>
                <w:b/>
                <w:bCs/>
                <w:color w:val="auto"/>
              </w:rPr>
              <w:t>食品质量安全责任</w:t>
            </w:r>
          </w:p>
          <w:p w14:paraId="5ADF3313">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若供餐单位或从业人员未按要求操作，导致重大食品安全事故并造成严重后果，责任界定如下：供餐单位未按监管部门的检查意见及时调整餐饮服务提供者，导致食品安全事故发生的，供餐单位应承担主要责任；供餐单位或从业人员未按监管要求执行食品安全措施，导致食品安全事故发生的，供餐单位与相关责任人应承担共同责任。</w:t>
            </w:r>
          </w:p>
          <w:p w14:paraId="7F9A9389">
            <w:pPr>
              <w:spacing w:before="0" w:line="360" w:lineRule="auto"/>
              <w:ind w:left="118" w:firstLine="422" w:firstLineChars="20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5</w:t>
            </w:r>
            <w:r>
              <w:rPr>
                <w:rFonts w:hint="default" w:ascii="Times New Roman" w:hAnsi="Times New Roman" w:eastAsia="宋体" w:cs="Times New Roman"/>
                <w:b/>
                <w:bCs/>
                <w:color w:val="auto"/>
              </w:rPr>
              <w:t>.7</w:t>
            </w:r>
            <w:r>
              <w:rPr>
                <w:rFonts w:hint="default" w:ascii="Times New Roman" w:hAnsi="Times New Roman" w:eastAsia="宋体" w:cs="Times New Roman"/>
                <w:b/>
                <w:bCs/>
                <w:color w:val="auto"/>
                <w:lang w:val="en-US" w:eastAsia="zh-CN"/>
              </w:rPr>
              <w:t xml:space="preserve"> </w:t>
            </w:r>
            <w:r>
              <w:rPr>
                <w:rFonts w:hint="default" w:ascii="Times New Roman" w:hAnsi="Times New Roman" w:eastAsia="宋体" w:cs="Times New Roman"/>
                <w:b/>
                <w:bCs/>
                <w:color w:val="auto"/>
              </w:rPr>
              <w:t>应急管理</w:t>
            </w:r>
          </w:p>
          <w:p w14:paraId="4A6C181B">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发生食品安全事故时，应立即采取以下措施：a）积极协助医疗机构对受害者进行救治；b）停止供餐，并按照规定向教育、食品安全监督管理及卫生健康部门报告；c）封存可能涉及食品安全事故的食品、原料、工具、设备及现场，并按相关部门要求采取控制措施；d）配合食品安全监管部门进行现场调查。</w:t>
            </w:r>
          </w:p>
          <w:p w14:paraId="18D73078">
            <w:pPr>
              <w:spacing w:before="0" w:line="360" w:lineRule="auto"/>
              <w:ind w:left="118"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应加强与相关部门合作，组织对用餐师生进行调查，并通过师生家长、媒体等渠道进行有效的沟通与情况通报。同时，妥善进行新闻发布和媒体应对工作。</w:t>
            </w:r>
          </w:p>
          <w:p w14:paraId="3D5B2C9E">
            <w:pPr>
              <w:spacing w:before="0" w:line="360" w:lineRule="auto"/>
              <w:ind w:left="118" w:firstLine="420" w:firstLineChars="200"/>
              <w:rPr>
                <w:rFonts w:ascii="Times New Roman" w:hAnsi="Times New Roman" w:eastAsia="宋体" w:cs="Times New Roman"/>
                <w:color w:val="auto"/>
              </w:rPr>
            </w:pPr>
            <w:r>
              <w:rPr>
                <w:rFonts w:hint="default" w:ascii="Times New Roman" w:hAnsi="Times New Roman" w:eastAsia="宋体" w:cs="Times New Roman"/>
                <w:color w:val="auto"/>
              </w:rPr>
              <w:t>遇到突发公共卫生事件时，应按上级要求配合相关部门做好应对工作。</w:t>
            </w:r>
          </w:p>
          <w:p w14:paraId="24BEDD53">
            <w:pPr>
              <w:numPr>
                <w:ilvl w:val="0"/>
                <w:numId w:val="7"/>
              </w:numPr>
              <w:spacing w:before="0" w:line="360" w:lineRule="auto"/>
              <w:ind w:left="420" w:leftChars="200" w:firstLine="0" w:firstLineChars="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监督、评价与改进</w:t>
            </w:r>
          </w:p>
          <w:p w14:paraId="41AA82DA">
            <w:pPr>
              <w:numPr>
                <w:ilvl w:val="1"/>
                <w:numId w:val="0"/>
              </w:numPr>
              <w:spacing w:before="0" w:line="360" w:lineRule="auto"/>
              <w:ind w:left="118" w:firstLine="422" w:firstLineChars="200"/>
              <w:rPr>
                <w:rFonts w:hint="default" w:ascii="Times New Roman" w:hAnsi="Times New Roman" w:eastAsia="宋体" w:cs="Times New Roman"/>
                <w:color w:val="auto"/>
              </w:rPr>
            </w:pPr>
            <w:r>
              <w:rPr>
                <w:rFonts w:hint="default" w:ascii="Times New Roman" w:hAnsi="Times New Roman" w:eastAsia="宋体" w:cs="Times New Roman"/>
                <w:b/>
                <w:bCs/>
                <w:snapToGrid w:val="0"/>
                <w:color w:val="auto"/>
                <w:sz w:val="21"/>
                <w:szCs w:val="21"/>
                <w:lang w:val="en-US" w:eastAsia="zh-CN" w:bidi="ar-SA"/>
              </w:rPr>
              <w:t xml:space="preserve">6.1 </w:t>
            </w:r>
            <w:r>
              <w:rPr>
                <w:rFonts w:hint="default" w:ascii="Times New Roman" w:hAnsi="Times New Roman" w:eastAsia="宋体" w:cs="Times New Roman"/>
                <w:b/>
                <w:bCs/>
                <w:color w:val="auto"/>
              </w:rPr>
              <w:t>监督</w:t>
            </w:r>
            <w:r>
              <w:rPr>
                <w:rFonts w:hint="default" w:ascii="Times New Roman" w:hAnsi="Times New Roman" w:eastAsia="宋体" w:cs="Times New Roman"/>
                <w:b/>
                <w:bCs/>
                <w:color w:val="auto"/>
                <w:lang w:val="en-US" w:eastAsia="zh-CN"/>
              </w:rPr>
              <w:t xml:space="preserve">  </w:t>
            </w:r>
            <w:r>
              <w:rPr>
                <w:rFonts w:hint="default" w:ascii="Times New Roman" w:hAnsi="Times New Roman" w:eastAsia="宋体" w:cs="Times New Roman"/>
                <w:color w:val="auto"/>
              </w:rPr>
              <w:t>应成立由学校教师代表、学生代表、学生家长及具有资质的第三方机构组成的食品安全监督管理队伍，定期开展对供餐单位的抽查与评议，及时反馈食品安全问题。委托具备资质的第三方机构协助学校进行食品安全隐患排查，帮助消除食品安全风险。</w:t>
            </w:r>
          </w:p>
          <w:p w14:paraId="256B8C3A">
            <w:pPr>
              <w:numPr>
                <w:ilvl w:val="1"/>
                <w:numId w:val="0"/>
              </w:numPr>
              <w:spacing w:before="0" w:line="360" w:lineRule="auto"/>
              <w:ind w:left="118" w:firstLine="422" w:firstLineChars="200"/>
              <w:rPr>
                <w:rFonts w:ascii="Times New Roman" w:hAnsi="Times New Roman" w:eastAsia="宋体" w:cs="Times New Roman"/>
                <w:color w:val="auto"/>
              </w:rPr>
            </w:pPr>
            <w:r>
              <w:rPr>
                <w:rFonts w:hint="default" w:ascii="Times New Roman" w:hAnsi="Times New Roman" w:eastAsia="宋体" w:cs="Times New Roman"/>
                <w:b/>
                <w:bCs/>
                <w:snapToGrid w:val="0"/>
                <w:color w:val="auto"/>
                <w:sz w:val="21"/>
                <w:szCs w:val="21"/>
                <w:lang w:val="en-US" w:eastAsia="zh-CN" w:bidi="ar-SA"/>
              </w:rPr>
              <w:t xml:space="preserve">6.2 </w:t>
            </w:r>
            <w:r>
              <w:rPr>
                <w:rFonts w:hint="default" w:ascii="Times New Roman" w:hAnsi="Times New Roman" w:eastAsia="宋体" w:cs="Times New Roman"/>
                <w:b/>
                <w:bCs/>
                <w:color w:val="auto"/>
              </w:rPr>
              <w:t>评价</w:t>
            </w:r>
            <w:r>
              <w:rPr>
                <w:rFonts w:hint="default"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供餐单位应建立食品安全自评机制，每学期进行一次食品安全工作自查与评价。自评工作应重点检查食品安全管理制度的落实情况，及时发现并改进潜在问题。</w:t>
            </w:r>
          </w:p>
          <w:p w14:paraId="31536157">
            <w:pPr>
              <w:spacing w:before="0" w:line="360" w:lineRule="auto"/>
              <w:ind w:left="118" w:firstLine="422" w:firstLineChars="200"/>
              <w:rPr>
                <w:rFonts w:ascii="Times New Roman" w:hAnsi="Times New Roman" w:eastAsia="宋体" w:cs="Times New Roman"/>
                <w:color w:val="auto"/>
              </w:rPr>
            </w:pPr>
            <w:r>
              <w:rPr>
                <w:rFonts w:hint="default" w:ascii="Times New Roman" w:hAnsi="Times New Roman" w:eastAsia="宋体" w:cs="Times New Roman"/>
                <w:b/>
                <w:bCs/>
                <w:color w:val="auto"/>
                <w:lang w:val="en-US" w:eastAsia="zh-CN"/>
              </w:rPr>
              <w:t xml:space="preserve">6.3 </w:t>
            </w:r>
            <w:r>
              <w:rPr>
                <w:rFonts w:hint="default" w:ascii="Times New Roman" w:hAnsi="Times New Roman" w:eastAsia="宋体" w:cs="Times New Roman"/>
                <w:b/>
                <w:bCs/>
                <w:color w:val="auto"/>
              </w:rPr>
              <w:t>改进</w:t>
            </w:r>
            <w:r>
              <w:rPr>
                <w:rFonts w:hint="default"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对食品安全监督管理队伍发现的安全隐患，供餐单位应按照“发现隐患、评估风险、落实整改、反馈结果”的闭环流程进行整改，并确保所有问题得到彻底处理。应建立问题整改记录台账，对所有整改行为进行详细记录，并通过照片或视频等方式进行前后对比。同时，应对同类问题进行总结与分析，以防止重复发生。对于整改不到位或整改后问题反复出现的情况，学校应依托食品安全监督管理队伍落实责任追究措施，必要时进行诫勉和惩戒，确保责任落实到位，对问题严重，屡教不改的供餐单位立即终止合同，维护食品安全管理的严肃性。</w:t>
            </w:r>
          </w:p>
          <w:p w14:paraId="4504A01D">
            <w:pPr>
              <w:spacing w:before="0" w:line="360" w:lineRule="auto"/>
              <w:ind w:left="0" w:firstLine="0" w:firstLineChars="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w:t>
            </w:r>
            <w:r>
              <w:rPr>
                <w:rFonts w:hint="eastAsia" w:ascii="Times New Roman" w:hAnsi="Times New Roman" w:eastAsia="宋体" w:cs="Times New Roman"/>
                <w:b/>
                <w:bCs/>
                <w:color w:val="auto"/>
                <w:sz w:val="24"/>
                <w:szCs w:val="24"/>
                <w:lang w:eastAsia="zh-CN"/>
              </w:rPr>
              <w:t>四</w:t>
            </w:r>
            <w:r>
              <w:rPr>
                <w:rFonts w:hint="eastAsia" w:ascii="Times New Roman" w:hAnsi="Times New Roman" w:eastAsia="宋体" w:cs="Times New Roman"/>
                <w:b/>
                <w:bCs/>
                <w:color w:val="auto"/>
                <w:sz w:val="24"/>
                <w:szCs w:val="24"/>
              </w:rPr>
              <w:t>）标准技术水平的说明</w:t>
            </w:r>
          </w:p>
          <w:p w14:paraId="23A92C1E">
            <w:p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本标准内容满足</w:t>
            </w:r>
            <w:r>
              <w:rPr>
                <w:rFonts w:hint="eastAsia" w:ascii="Times New Roman" w:hAnsi="Times New Roman" w:eastAsia="宋体" w:cs="Times New Roman"/>
                <w:color w:val="auto"/>
                <w:lang w:val="en-US" w:eastAsia="zh-CN"/>
              </w:rPr>
              <w:t>对</w:t>
            </w:r>
            <w:r>
              <w:rPr>
                <w:rFonts w:hint="eastAsia" w:ascii="Times New Roman" w:hAnsi="Times New Roman" w:eastAsia="宋体" w:cs="Times New Roman"/>
                <w:color w:val="auto"/>
              </w:rPr>
              <w:t>中小学校团体供餐单位食品安全</w:t>
            </w:r>
            <w:r>
              <w:rPr>
                <w:rFonts w:hint="eastAsia" w:ascii="Times New Roman" w:hAnsi="Times New Roman" w:eastAsia="宋体" w:cs="Times New Roman"/>
                <w:color w:val="auto"/>
                <w:lang w:val="en-US" w:eastAsia="zh-CN"/>
              </w:rPr>
              <w:t>进行管理</w:t>
            </w:r>
            <w:r>
              <w:rPr>
                <w:rFonts w:hint="eastAsia" w:ascii="Times New Roman" w:hAnsi="Times New Roman" w:eastAsia="宋体" w:cs="Times New Roman"/>
                <w:color w:val="auto"/>
              </w:rPr>
              <w:t>的要求，且符合安徽省地方发展需求。标准内容根据我省团体供餐服务的实际情况进行了细化和分类，具有较强的操作性，能够适应不同实际环境中的应用需求。具体而言，本标准通过以下几个方面提升了其技术水平和适应性：</w:t>
            </w:r>
          </w:p>
          <w:p w14:paraId="765E0F13">
            <w:pPr>
              <w:numPr>
                <w:ilvl w:val="0"/>
                <w:numId w:val="8"/>
              </w:numPr>
              <w:spacing w:before="0" w:line="360" w:lineRule="auto"/>
              <w:ind w:left="118" w:firstLine="422" w:firstLineChars="200"/>
              <w:rPr>
                <w:rFonts w:hint="eastAsia" w:ascii="Times New Roman" w:hAnsi="Times New Roman" w:eastAsia="宋体" w:cs="Times New Roman"/>
                <w:color w:val="auto"/>
              </w:rPr>
            </w:pPr>
            <w:r>
              <w:rPr>
                <w:rFonts w:hint="eastAsia" w:ascii="Times New Roman" w:hAnsi="Times New Roman" w:eastAsia="宋体" w:cs="Times New Roman"/>
                <w:b/>
                <w:bCs/>
                <w:color w:val="auto"/>
              </w:rPr>
              <w:t>针对性与地方化</w:t>
            </w:r>
            <w:r>
              <w:rPr>
                <w:rFonts w:hint="eastAsia" w:ascii="Times New Roman" w:hAnsi="Times New Roman" w:eastAsia="宋体" w:cs="Times New Roman"/>
                <w:color w:val="auto"/>
                <w:lang w:eastAsia="zh-CN"/>
              </w:rPr>
              <w:t xml:space="preserve"> </w:t>
            </w:r>
            <w:r>
              <w:rPr>
                <w:rFonts w:hint="eastAsia" w:ascii="Times New Roman" w:hAnsi="Times New Roman" w:eastAsia="宋体" w:cs="Times New Roman"/>
                <w:color w:val="auto"/>
                <w:lang w:val="en-US" w:eastAsia="zh-CN"/>
              </w:rPr>
              <w:t xml:space="preserve"> </w:t>
            </w:r>
            <w:r>
              <w:rPr>
                <w:rFonts w:hint="eastAsia" w:ascii="Times New Roman" w:hAnsi="Times New Roman" w:eastAsia="宋体" w:cs="Times New Roman"/>
                <w:color w:val="auto"/>
              </w:rPr>
              <w:t>本标准在满足国家食品安全法律法规的基础上，结合安徽省的地方特色和实际需求，对标准进行了本地化调整与补充。特别是在原料采购、食品加工、餐饮环境管理等环节，考虑到本地区不同供餐单位的实际情况，提供了更具操作性的实施细则。</w:t>
            </w:r>
          </w:p>
          <w:p w14:paraId="17F02B2D">
            <w:pPr>
              <w:numPr>
                <w:ilvl w:val="0"/>
                <w:numId w:val="8"/>
              </w:numPr>
              <w:spacing w:before="0" w:line="360" w:lineRule="auto"/>
              <w:ind w:left="118" w:firstLine="422" w:firstLineChars="200"/>
              <w:rPr>
                <w:rFonts w:hint="eastAsia" w:ascii="Times New Roman" w:hAnsi="Times New Roman" w:eastAsia="宋体" w:cs="Times New Roman"/>
                <w:color w:val="auto"/>
              </w:rPr>
            </w:pPr>
            <w:r>
              <w:rPr>
                <w:rFonts w:hint="eastAsia" w:ascii="Times New Roman" w:hAnsi="Times New Roman" w:eastAsia="宋体" w:cs="Times New Roman"/>
                <w:b/>
                <w:bCs/>
                <w:color w:val="auto"/>
              </w:rPr>
              <w:t>技术细化与分类</w:t>
            </w:r>
            <w:r>
              <w:rPr>
                <w:rFonts w:hint="eastAsia" w:ascii="Times New Roman" w:hAnsi="Times New Roman" w:eastAsia="宋体" w:cs="Times New Roman"/>
                <w:color w:val="auto"/>
                <w:lang w:eastAsia="zh-CN"/>
              </w:rPr>
              <w:t xml:space="preserve"> </w:t>
            </w:r>
            <w:r>
              <w:rPr>
                <w:rFonts w:hint="eastAsia" w:ascii="Times New Roman" w:hAnsi="Times New Roman" w:eastAsia="宋体" w:cs="Times New Roman"/>
                <w:color w:val="auto"/>
                <w:lang w:val="en-US" w:eastAsia="zh-CN"/>
              </w:rPr>
              <w:t xml:space="preserve"> </w:t>
            </w:r>
            <w:r>
              <w:rPr>
                <w:rFonts w:hint="eastAsia" w:ascii="Times New Roman" w:hAnsi="Times New Roman" w:eastAsia="宋体" w:cs="Times New Roman"/>
                <w:color w:val="auto"/>
              </w:rPr>
              <w:t>标准依据中小学供餐的实际操作流程，明确了各类食品的具体要求，涵盖了食品采购、验收、加工、存储、配送等环节的详细技术指标。通过细化标准内容，确保各环节有据可依，便于实际操作与执行，减少管理和执行中的不确定性。</w:t>
            </w:r>
          </w:p>
          <w:p w14:paraId="0C731025">
            <w:pPr>
              <w:numPr>
                <w:ilvl w:val="0"/>
                <w:numId w:val="8"/>
              </w:numPr>
              <w:spacing w:before="0" w:line="360" w:lineRule="auto"/>
              <w:ind w:left="118" w:firstLine="422" w:firstLineChars="200"/>
              <w:rPr>
                <w:rFonts w:hint="eastAsia" w:ascii="Times New Roman" w:hAnsi="Times New Roman" w:eastAsia="宋体" w:cs="Times New Roman"/>
                <w:color w:val="auto"/>
              </w:rPr>
            </w:pPr>
            <w:r>
              <w:rPr>
                <w:rFonts w:hint="eastAsia" w:ascii="Times New Roman" w:hAnsi="Times New Roman" w:eastAsia="宋体" w:cs="Times New Roman"/>
                <w:b/>
                <w:bCs/>
                <w:color w:val="auto"/>
              </w:rPr>
              <w:t>食品安全控制措施</w:t>
            </w:r>
            <w:r>
              <w:rPr>
                <w:rFonts w:hint="eastAsia" w:ascii="Times New Roman" w:hAnsi="Times New Roman" w:eastAsia="宋体" w:cs="Times New Roman"/>
                <w:color w:val="auto"/>
                <w:lang w:eastAsia="zh-CN"/>
              </w:rPr>
              <w:t xml:space="preserve"> </w:t>
            </w:r>
            <w:r>
              <w:rPr>
                <w:rFonts w:hint="eastAsia" w:ascii="Times New Roman" w:hAnsi="Times New Roman" w:eastAsia="宋体" w:cs="Times New Roman"/>
                <w:color w:val="auto"/>
                <w:lang w:val="en-US" w:eastAsia="zh-CN"/>
              </w:rPr>
              <w:t xml:space="preserve"> </w:t>
            </w:r>
            <w:r>
              <w:rPr>
                <w:rFonts w:hint="eastAsia" w:ascii="Times New Roman" w:hAnsi="Times New Roman" w:eastAsia="宋体" w:cs="Times New Roman"/>
                <w:color w:val="auto"/>
              </w:rPr>
              <w:t>标准在食品安全方面提出了严格的控制措施，涉及食品安全自查、事故处置、食品留样与检验等方面。这些措施有效提升了团体供餐单位对食品安全风险的防控能力，保障了食品的可追溯性和安全性。</w:t>
            </w:r>
          </w:p>
          <w:p w14:paraId="0270BCA0">
            <w:pPr>
              <w:numPr>
                <w:ilvl w:val="0"/>
                <w:numId w:val="8"/>
              </w:numPr>
              <w:spacing w:before="0" w:line="360" w:lineRule="auto"/>
              <w:ind w:left="118" w:firstLine="422" w:firstLineChars="200"/>
              <w:rPr>
                <w:rFonts w:hint="eastAsia" w:ascii="Times New Roman" w:hAnsi="Times New Roman" w:eastAsia="宋体" w:cs="Times New Roman"/>
                <w:color w:val="auto"/>
              </w:rPr>
            </w:pPr>
            <w:r>
              <w:rPr>
                <w:rFonts w:hint="eastAsia" w:ascii="Times New Roman" w:hAnsi="Times New Roman" w:eastAsia="宋体" w:cs="Times New Roman"/>
                <w:b/>
                <w:bCs/>
                <w:color w:val="auto"/>
              </w:rPr>
              <w:t>便于实施与监督</w:t>
            </w:r>
            <w:r>
              <w:rPr>
                <w:rFonts w:hint="eastAsia" w:ascii="Times New Roman" w:hAnsi="Times New Roman" w:eastAsia="宋体" w:cs="Times New Roman"/>
                <w:color w:val="auto"/>
                <w:lang w:eastAsia="zh-CN"/>
              </w:rPr>
              <w:t xml:space="preserve"> </w:t>
            </w:r>
            <w:r>
              <w:rPr>
                <w:rFonts w:hint="eastAsia" w:ascii="Times New Roman" w:hAnsi="Times New Roman" w:eastAsia="宋体" w:cs="Times New Roman"/>
                <w:color w:val="auto"/>
                <w:lang w:val="en-US" w:eastAsia="zh-CN"/>
              </w:rPr>
              <w:t xml:space="preserve"> </w:t>
            </w:r>
            <w:r>
              <w:rPr>
                <w:rFonts w:hint="eastAsia" w:ascii="Times New Roman" w:hAnsi="Times New Roman" w:eastAsia="宋体" w:cs="Times New Roman"/>
                <w:color w:val="auto"/>
              </w:rPr>
              <w:t>标准制定过程中充分考虑了实际操作的可行性，提出了具体的监督与评估机制，包括食品安全自评、整改记录、外部监督等。通过建立系统的监督管理流程，确保标准在实际操作中的落地和持续改进。</w:t>
            </w:r>
          </w:p>
          <w:p w14:paraId="20594A53">
            <w:pPr>
              <w:numPr>
                <w:ilvl w:val="0"/>
                <w:numId w:val="8"/>
              </w:numPr>
              <w:spacing w:before="0" w:line="360" w:lineRule="auto"/>
              <w:ind w:left="118" w:firstLine="422" w:firstLineChars="200"/>
              <w:rPr>
                <w:rFonts w:hint="eastAsia" w:ascii="Times New Roman" w:hAnsi="Times New Roman" w:eastAsia="宋体" w:cs="Times New Roman"/>
                <w:color w:val="auto"/>
              </w:rPr>
            </w:pPr>
            <w:r>
              <w:rPr>
                <w:rFonts w:hint="eastAsia" w:ascii="Times New Roman" w:hAnsi="Times New Roman" w:eastAsia="宋体" w:cs="Times New Roman"/>
                <w:b/>
                <w:bCs/>
                <w:color w:val="auto"/>
              </w:rPr>
              <w:t>符合发展趋势</w:t>
            </w:r>
            <w:r>
              <w:rPr>
                <w:rFonts w:hint="eastAsia" w:ascii="Times New Roman" w:hAnsi="Times New Roman" w:eastAsia="宋体" w:cs="Times New Roman"/>
                <w:b/>
                <w:bCs/>
                <w:color w:val="auto"/>
                <w:lang w:val="en-US" w:eastAsia="zh-CN"/>
              </w:rPr>
              <w:t xml:space="preserve">  </w:t>
            </w:r>
            <w:r>
              <w:rPr>
                <w:rFonts w:hint="eastAsia" w:ascii="Times New Roman" w:hAnsi="Times New Roman" w:eastAsia="宋体" w:cs="Times New Roman"/>
                <w:color w:val="auto"/>
              </w:rPr>
              <w:t>在现代食品安全和卫生管理日益受到重视的背景下，本标准不仅注重现有的食品安全控制要求，还着眼于未来可能出现的新兴食品安全挑战，提供了灵活性，便于根据新的法规、技术或食品安全事件的出现及时进行更新和完善。</w:t>
            </w:r>
          </w:p>
          <w:p w14:paraId="533192F3">
            <w:pPr>
              <w:spacing w:before="0" w:line="360" w:lineRule="auto"/>
              <w:ind w:left="118" w:firstLine="420" w:firstLineChars="200"/>
              <w:rPr>
                <w:rFonts w:hint="default" w:ascii="Times New Roman" w:hAnsi="Times New Roman" w:eastAsia="宋体" w:cs="Times New Roman"/>
                <w:color w:val="auto"/>
                <w:sz w:val="20"/>
                <w:szCs w:val="20"/>
              </w:rPr>
            </w:pPr>
            <w:r>
              <w:rPr>
                <w:rFonts w:hint="eastAsia" w:ascii="Times New Roman" w:hAnsi="Times New Roman" w:eastAsia="宋体" w:cs="Times New Roman"/>
                <w:color w:val="auto"/>
              </w:rPr>
              <w:t>综上所述，本标准不仅满足了中小学校团体供餐单位的食品安全</w:t>
            </w:r>
            <w:r>
              <w:rPr>
                <w:rFonts w:hint="eastAsia" w:ascii="Times New Roman" w:hAnsi="Times New Roman" w:eastAsia="宋体" w:cs="Times New Roman"/>
                <w:color w:val="auto"/>
                <w:lang w:val="en-US" w:eastAsia="zh-CN"/>
              </w:rPr>
              <w:t>管理规范的</w:t>
            </w:r>
            <w:r>
              <w:rPr>
                <w:rFonts w:hint="eastAsia" w:ascii="Times New Roman" w:hAnsi="Times New Roman" w:eastAsia="宋体" w:cs="Times New Roman"/>
                <w:color w:val="auto"/>
              </w:rPr>
              <w:t>基本要求，还根据我省的具体情况进行了适当的本地化调整，确保标准具有高效性、可操作性与长效性。</w:t>
            </w:r>
          </w:p>
        </w:tc>
      </w:tr>
      <w:tr w14:paraId="22106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jc w:val="center"/>
        </w:trPr>
        <w:tc>
          <w:tcPr>
            <w:tcW w:w="9536" w:type="dxa"/>
            <w:tcMar>
              <w:top w:w="0" w:type="dxa"/>
              <w:left w:w="0" w:type="dxa"/>
              <w:bottom w:w="0" w:type="dxa"/>
              <w:right w:w="0" w:type="dxa"/>
            </w:tcMar>
            <w:vAlign w:val="top"/>
          </w:tcPr>
          <w:p w14:paraId="573A37B6">
            <w:pPr>
              <w:spacing w:before="0" w:line="360" w:lineRule="auto"/>
              <w:ind w:left="117"/>
              <w:rPr>
                <w:rFonts w:hint="default" w:ascii="Times New Roman" w:hAnsi="Times New Roman" w:eastAsia="宋体" w:cs="Times New Roman"/>
                <w:color w:val="auto"/>
                <w:sz w:val="20"/>
                <w:szCs w:val="20"/>
              </w:rPr>
            </w:pPr>
            <w:r>
              <w:rPr>
                <w:rFonts w:ascii="Times New Roman" w:hAnsi="Times New Roman" w:eastAsia="Calibri" w:cs="Times New Roman"/>
                <w:b/>
                <w:bCs/>
                <w:color w:val="auto"/>
                <w:spacing w:val="12"/>
                <w:position w:val="2"/>
                <w:sz w:val="20"/>
                <w:szCs w:val="20"/>
              </w:rPr>
              <w:t xml:space="preserve">5 </w:t>
            </w:r>
            <w:r>
              <w:rPr>
                <w:rFonts w:ascii="Times New Roman" w:hAnsi="Times New Roman" w:eastAsia="宋体" w:cs="Times New Roman"/>
                <w:b/>
                <w:bCs/>
                <w:color w:val="auto"/>
                <w:spacing w:val="10"/>
                <w:position w:val="2"/>
                <w:sz w:val="20"/>
                <w:szCs w:val="20"/>
              </w:rPr>
              <w:t>、</w:t>
            </w:r>
            <w:r>
              <w:rPr>
                <w:rFonts w:ascii="Times New Roman" w:hAnsi="Times New Roman" w:eastAsia="宋体" w:cs="Times New Roman"/>
                <w:b/>
                <w:bCs/>
                <w:color w:val="auto"/>
                <w:spacing w:val="6"/>
                <w:position w:val="2"/>
                <w:sz w:val="20"/>
                <w:szCs w:val="20"/>
              </w:rPr>
              <w:t>标准中</w:t>
            </w:r>
            <w:r>
              <w:rPr>
                <w:rFonts w:hint="default" w:ascii="Times New Roman" w:hAnsi="Times New Roman" w:eastAsia="宋体" w:cs="Times New Roman"/>
                <w:b/>
                <w:bCs/>
                <w:color w:val="auto"/>
                <w:spacing w:val="6"/>
                <w:position w:val="2"/>
                <w:sz w:val="20"/>
                <w:szCs w:val="20"/>
              </w:rPr>
              <w:t>如果</w:t>
            </w:r>
            <w:r>
              <w:rPr>
                <w:rFonts w:ascii="Times New Roman" w:hAnsi="Times New Roman" w:eastAsia="宋体" w:cs="Times New Roman"/>
                <w:b/>
                <w:bCs/>
                <w:color w:val="auto"/>
                <w:spacing w:val="6"/>
                <w:position w:val="2"/>
                <w:sz w:val="20"/>
                <w:szCs w:val="20"/>
              </w:rPr>
              <w:t>涉及专利，应有明确的知识产权说明</w:t>
            </w:r>
          </w:p>
        </w:tc>
      </w:tr>
      <w:tr w14:paraId="54322A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jc w:val="center"/>
        </w:trPr>
        <w:tc>
          <w:tcPr>
            <w:tcW w:w="9536" w:type="dxa"/>
            <w:tcMar>
              <w:top w:w="0" w:type="dxa"/>
              <w:left w:w="0" w:type="dxa"/>
              <w:bottom w:w="0" w:type="dxa"/>
              <w:right w:w="0" w:type="dxa"/>
            </w:tcMar>
            <w:vAlign w:val="top"/>
          </w:tcPr>
          <w:p w14:paraId="1B73F2BA">
            <w:pPr>
              <w:spacing w:before="0" w:line="360" w:lineRule="auto"/>
              <w:ind w:left="0" w:firstLine="448" w:firstLineChars="200"/>
              <w:rPr>
                <w:rFonts w:hint="default" w:ascii="Times New Roman" w:hAnsi="Times New Roman" w:eastAsia="宋体" w:cs="Times New Roman"/>
                <w:b/>
                <w:bCs/>
                <w:color w:val="auto"/>
                <w:spacing w:val="12"/>
                <w:position w:val="2"/>
                <w:sz w:val="20"/>
                <w:szCs w:val="20"/>
                <w:lang w:val="en-US" w:eastAsia="zh-CN"/>
              </w:rPr>
            </w:pPr>
            <w:r>
              <w:rPr>
                <w:rFonts w:hint="default" w:ascii="Times New Roman" w:hAnsi="Times New Roman" w:eastAsia="宋体" w:cs="Times New Roman"/>
                <w:b w:val="0"/>
                <w:bCs w:val="0"/>
                <w:color w:val="auto"/>
                <w:spacing w:val="12"/>
                <w:position w:val="2"/>
                <w:sz w:val="20"/>
                <w:szCs w:val="20"/>
                <w:lang w:val="en-US" w:eastAsia="zh-CN"/>
              </w:rPr>
              <w:t>无</w:t>
            </w:r>
          </w:p>
        </w:tc>
      </w:tr>
      <w:tr w14:paraId="33D304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jc w:val="center"/>
        </w:trPr>
        <w:tc>
          <w:tcPr>
            <w:tcW w:w="9536" w:type="dxa"/>
            <w:tcMar>
              <w:top w:w="0" w:type="dxa"/>
              <w:left w:w="0" w:type="dxa"/>
              <w:bottom w:w="0" w:type="dxa"/>
              <w:right w:w="0" w:type="dxa"/>
            </w:tcMar>
            <w:vAlign w:val="top"/>
          </w:tcPr>
          <w:p w14:paraId="4720D588">
            <w:pPr>
              <w:spacing w:before="0" w:line="360" w:lineRule="auto"/>
              <w:ind w:left="117"/>
              <w:rPr>
                <w:rFonts w:hint="default" w:ascii="Times New Roman" w:hAnsi="Times New Roman" w:eastAsia="宋体" w:cs="Times New Roman"/>
                <w:color w:val="auto"/>
                <w:sz w:val="20"/>
                <w:szCs w:val="20"/>
              </w:rPr>
            </w:pPr>
            <w:r>
              <w:rPr>
                <w:rFonts w:ascii="Times New Roman" w:hAnsi="Times New Roman" w:eastAsia="Calibri" w:cs="Times New Roman"/>
                <w:b/>
                <w:bCs/>
                <w:color w:val="auto"/>
                <w:spacing w:val="16"/>
                <w:position w:val="2"/>
                <w:sz w:val="20"/>
                <w:szCs w:val="20"/>
              </w:rPr>
              <w:t>6</w:t>
            </w:r>
            <w:r>
              <w:rPr>
                <w:rFonts w:ascii="Times New Roman" w:hAnsi="Times New Roman" w:eastAsia="Calibri" w:cs="Times New Roman"/>
                <w:b/>
                <w:bCs/>
                <w:color w:val="auto"/>
                <w:spacing w:val="11"/>
                <w:position w:val="2"/>
                <w:sz w:val="20"/>
                <w:szCs w:val="20"/>
              </w:rPr>
              <w:t xml:space="preserve"> </w:t>
            </w:r>
            <w:r>
              <w:rPr>
                <w:rFonts w:ascii="Times New Roman" w:hAnsi="Times New Roman" w:eastAsia="宋体" w:cs="Times New Roman"/>
                <w:b/>
                <w:bCs/>
                <w:color w:val="auto"/>
                <w:spacing w:val="8"/>
                <w:position w:val="2"/>
                <w:sz w:val="20"/>
                <w:szCs w:val="20"/>
              </w:rPr>
              <w:t>、采用国际标准或国外先进标准的，说明采标</w:t>
            </w:r>
            <w:r>
              <w:rPr>
                <w:rFonts w:hint="default" w:ascii="Times New Roman" w:hAnsi="Times New Roman" w:eastAsia="宋体" w:cs="Times New Roman"/>
                <w:b/>
                <w:bCs/>
                <w:color w:val="auto"/>
                <w:spacing w:val="8"/>
                <w:position w:val="2"/>
                <w:sz w:val="20"/>
                <w:szCs w:val="20"/>
              </w:rPr>
              <w:t>程度</w:t>
            </w:r>
            <w:r>
              <w:rPr>
                <w:rFonts w:ascii="Times New Roman" w:hAnsi="Times New Roman" w:eastAsia="宋体" w:cs="Times New Roman"/>
                <w:b/>
                <w:bCs/>
                <w:color w:val="auto"/>
                <w:spacing w:val="8"/>
                <w:position w:val="2"/>
                <w:sz w:val="20"/>
                <w:szCs w:val="20"/>
              </w:rPr>
              <w:t>，以及国内外同类标准水平的对比情况</w:t>
            </w:r>
          </w:p>
        </w:tc>
      </w:tr>
      <w:tr w14:paraId="41BF4F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9536" w:type="dxa"/>
            <w:tcMar>
              <w:top w:w="0" w:type="dxa"/>
              <w:left w:w="0" w:type="dxa"/>
              <w:bottom w:w="0" w:type="dxa"/>
              <w:right w:w="0" w:type="dxa"/>
            </w:tcMar>
            <w:vAlign w:val="top"/>
          </w:tcPr>
          <w:p w14:paraId="14C984B1">
            <w:pPr>
              <w:spacing w:before="0" w:line="360" w:lineRule="auto"/>
              <w:ind w:left="0" w:firstLine="420" w:firstLineChars="200"/>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lang w:val="en-US" w:eastAsia="zh-CN"/>
              </w:rPr>
              <w:t>无</w:t>
            </w:r>
          </w:p>
        </w:tc>
      </w:tr>
      <w:tr w14:paraId="078D95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9536" w:type="dxa"/>
            <w:tcMar>
              <w:top w:w="0" w:type="dxa"/>
              <w:left w:w="0" w:type="dxa"/>
              <w:bottom w:w="0" w:type="dxa"/>
              <w:right w:w="0" w:type="dxa"/>
            </w:tcMar>
            <w:vAlign w:val="top"/>
          </w:tcPr>
          <w:p w14:paraId="052DFA22">
            <w:pPr>
              <w:spacing w:before="0" w:line="360" w:lineRule="auto"/>
              <w:ind w:left="116"/>
              <w:rPr>
                <w:rFonts w:hint="default" w:ascii="Times New Roman" w:hAnsi="Times New Roman" w:eastAsia="宋体" w:cs="Times New Roman"/>
                <w:color w:val="auto"/>
                <w:sz w:val="20"/>
                <w:szCs w:val="20"/>
              </w:rPr>
            </w:pPr>
            <w:r>
              <w:rPr>
                <w:rFonts w:ascii="Times New Roman" w:hAnsi="Times New Roman" w:eastAsia="Calibri" w:cs="Times New Roman"/>
                <w:b/>
                <w:bCs/>
                <w:color w:val="auto"/>
                <w:spacing w:val="6"/>
                <w:position w:val="2"/>
                <w:sz w:val="20"/>
                <w:szCs w:val="20"/>
              </w:rPr>
              <w:t xml:space="preserve">7 </w:t>
            </w:r>
            <w:r>
              <w:rPr>
                <w:rFonts w:ascii="Times New Roman" w:hAnsi="Times New Roman" w:eastAsia="宋体" w:cs="Times New Roman"/>
                <w:b/>
                <w:bCs/>
                <w:color w:val="auto"/>
                <w:spacing w:val="6"/>
                <w:position w:val="2"/>
                <w:sz w:val="20"/>
                <w:szCs w:val="20"/>
              </w:rPr>
              <w:t>、重大分歧意见的处理经过和依</w:t>
            </w:r>
            <w:r>
              <w:rPr>
                <w:rFonts w:ascii="Times New Roman" w:hAnsi="Times New Roman" w:eastAsia="宋体" w:cs="Times New Roman"/>
                <w:b/>
                <w:bCs/>
                <w:color w:val="auto"/>
                <w:spacing w:val="4"/>
                <w:position w:val="2"/>
                <w:sz w:val="20"/>
                <w:szCs w:val="20"/>
              </w:rPr>
              <w:t>据</w:t>
            </w:r>
          </w:p>
        </w:tc>
      </w:tr>
      <w:tr w14:paraId="617A3F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9536" w:type="dxa"/>
            <w:tcMar>
              <w:top w:w="0" w:type="dxa"/>
              <w:left w:w="0" w:type="dxa"/>
              <w:bottom w:w="0" w:type="dxa"/>
              <w:right w:w="0" w:type="dxa"/>
            </w:tcMar>
            <w:vAlign w:val="top"/>
          </w:tcPr>
          <w:p w14:paraId="3FDFA6F3">
            <w:pPr>
              <w:spacing w:before="0" w:line="360" w:lineRule="auto"/>
              <w:ind w:left="0" w:firstLine="420" w:firstLineChars="200"/>
              <w:rPr>
                <w:rFonts w:ascii="Times New Roman" w:hAnsi="Times New Roman" w:eastAsia="Calibri" w:cs="Times New Roman"/>
                <w:b/>
                <w:bCs/>
                <w:color w:val="auto"/>
                <w:spacing w:val="6"/>
                <w:position w:val="2"/>
                <w:sz w:val="20"/>
                <w:szCs w:val="20"/>
              </w:rPr>
            </w:pPr>
            <w:r>
              <w:rPr>
                <w:rFonts w:hint="default" w:ascii="Times New Roman" w:hAnsi="Times New Roman" w:eastAsia="宋体" w:cs="Times New Roman"/>
                <w:color w:val="auto"/>
                <w:lang w:val="en-US" w:eastAsia="zh-CN"/>
              </w:rPr>
              <w:t>无</w:t>
            </w:r>
          </w:p>
        </w:tc>
      </w:tr>
      <w:tr w14:paraId="726524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jc w:val="center"/>
        </w:trPr>
        <w:tc>
          <w:tcPr>
            <w:tcW w:w="9536" w:type="dxa"/>
            <w:tcMar>
              <w:top w:w="0" w:type="dxa"/>
              <w:left w:w="0" w:type="dxa"/>
              <w:bottom w:w="0" w:type="dxa"/>
              <w:right w:w="0" w:type="dxa"/>
            </w:tcMar>
            <w:vAlign w:val="top"/>
          </w:tcPr>
          <w:p w14:paraId="4EE110CF">
            <w:pPr>
              <w:spacing w:before="0" w:line="360" w:lineRule="auto"/>
              <w:ind w:left="115"/>
              <w:rPr>
                <w:rFonts w:hint="default" w:ascii="Times New Roman" w:hAnsi="Times New Roman" w:eastAsia="宋体" w:cs="Times New Roman"/>
                <w:color w:val="auto"/>
                <w:sz w:val="20"/>
                <w:szCs w:val="20"/>
              </w:rPr>
            </w:pPr>
            <w:r>
              <w:rPr>
                <w:rFonts w:ascii="Times New Roman" w:hAnsi="Times New Roman" w:eastAsia="Calibri" w:cs="Times New Roman"/>
                <w:b/>
                <w:bCs/>
                <w:color w:val="auto"/>
                <w:spacing w:val="14"/>
                <w:sz w:val="20"/>
                <w:szCs w:val="20"/>
              </w:rPr>
              <w:t xml:space="preserve">8 </w:t>
            </w:r>
            <w:r>
              <w:rPr>
                <w:rFonts w:ascii="Times New Roman" w:hAnsi="Times New Roman" w:eastAsia="宋体" w:cs="Times New Roman"/>
                <w:b/>
                <w:bCs/>
                <w:color w:val="auto"/>
                <w:spacing w:val="14"/>
                <w:sz w:val="20"/>
                <w:szCs w:val="20"/>
              </w:rPr>
              <w:t>、贯</w:t>
            </w:r>
            <w:r>
              <w:rPr>
                <w:rFonts w:ascii="Times New Roman" w:hAnsi="Times New Roman" w:eastAsia="宋体" w:cs="Times New Roman"/>
                <w:b/>
                <w:bCs/>
                <w:color w:val="auto"/>
                <w:spacing w:val="9"/>
                <w:sz w:val="20"/>
                <w:szCs w:val="20"/>
              </w:rPr>
              <w:t>彻</w:t>
            </w:r>
            <w:r>
              <w:rPr>
                <w:rFonts w:ascii="Times New Roman" w:hAnsi="Times New Roman" w:eastAsia="宋体" w:cs="Times New Roman"/>
                <w:b/>
                <w:bCs/>
                <w:color w:val="auto"/>
                <w:spacing w:val="7"/>
                <w:sz w:val="20"/>
                <w:szCs w:val="20"/>
              </w:rPr>
              <w:t>标准的要求和措施建议 (包括组织措施、技术措施、过渡办法、实施日期等)</w:t>
            </w:r>
          </w:p>
        </w:tc>
      </w:tr>
      <w:tr w14:paraId="195AF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jc w:val="center"/>
        </w:trPr>
        <w:tc>
          <w:tcPr>
            <w:tcW w:w="9536" w:type="dxa"/>
            <w:tcMar>
              <w:top w:w="0" w:type="dxa"/>
              <w:left w:w="0" w:type="dxa"/>
              <w:bottom w:w="0" w:type="dxa"/>
              <w:right w:w="0" w:type="dxa"/>
            </w:tcMar>
            <w:vAlign w:val="top"/>
          </w:tcPr>
          <w:p w14:paraId="46E510C1">
            <w:pPr>
              <w:numPr>
                <w:ilvl w:val="0"/>
                <w:numId w:val="0"/>
              </w:numPr>
              <w:spacing w:before="0" w:line="360" w:lineRule="auto"/>
              <w:ind w:left="118" w:firstLine="420" w:firstLineChars="200"/>
              <w:rPr>
                <w:rFonts w:hint="eastAsia" w:ascii="Times New Roman" w:hAnsi="Times New Roman" w:eastAsia="宋体" w:cs="Times New Roman"/>
                <w:b w:val="0"/>
                <w:bCs w:val="0"/>
                <w:color w:val="auto"/>
              </w:rPr>
            </w:pPr>
            <w:r>
              <w:rPr>
                <w:rFonts w:hint="eastAsia" w:ascii="Times New Roman" w:hAnsi="Times New Roman" w:eastAsia="宋体" w:cs="Times New Roman"/>
                <w:color w:val="auto"/>
              </w:rPr>
              <w:t>为确保本标准在中小学校团体供餐单位的食品安全管理中得到有效贯彻和实施，监督管理部门应根据标准要求，结合实际情况，采取切实可行的组织措施、技术措施、过渡办法及实施日期安排，以确保食品安全的持续和稳定。</w:t>
            </w:r>
          </w:p>
          <w:p w14:paraId="79001FFD">
            <w:pPr>
              <w:numPr>
                <w:ilvl w:val="0"/>
                <w:numId w:val="0"/>
              </w:numPr>
              <w:spacing w:before="0" w:line="360" w:lineRule="auto"/>
              <w:ind w:left="118" w:firstLine="482" w:firstLineChars="20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lang w:eastAsia="zh-CN"/>
              </w:rPr>
              <w:t>（</w:t>
            </w:r>
            <w:r>
              <w:rPr>
                <w:rFonts w:hint="eastAsia" w:ascii="Times New Roman" w:hAnsi="Times New Roman" w:eastAsia="宋体" w:cs="Times New Roman"/>
                <w:b/>
                <w:bCs/>
                <w:color w:val="auto"/>
                <w:sz w:val="24"/>
                <w:szCs w:val="24"/>
              </w:rPr>
              <w:t>一</w:t>
            </w:r>
            <w:r>
              <w:rPr>
                <w:rFonts w:hint="eastAsia" w:ascii="Times New Roman" w:hAnsi="Times New Roman" w:eastAsia="宋体" w:cs="Times New Roman"/>
                <w:b/>
                <w:bCs/>
                <w:color w:val="auto"/>
                <w:sz w:val="24"/>
                <w:szCs w:val="24"/>
                <w:lang w:eastAsia="zh-CN"/>
              </w:rPr>
              <w:t>）</w:t>
            </w:r>
            <w:r>
              <w:rPr>
                <w:rFonts w:hint="eastAsia" w:ascii="Times New Roman" w:hAnsi="Times New Roman" w:eastAsia="宋体" w:cs="Times New Roman"/>
                <w:b/>
                <w:bCs/>
                <w:color w:val="auto"/>
                <w:sz w:val="24"/>
                <w:szCs w:val="24"/>
              </w:rPr>
              <w:t>组织措施</w:t>
            </w:r>
          </w:p>
          <w:p w14:paraId="069D34FC">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val="en-US" w:eastAsia="zh-CN"/>
              </w:rPr>
              <w:t xml:space="preserve">（1） </w:t>
            </w:r>
            <w:r>
              <w:rPr>
                <w:rFonts w:hint="eastAsia" w:ascii="Times New Roman" w:hAnsi="Times New Roman" w:eastAsia="宋体" w:cs="Times New Roman"/>
                <w:b/>
                <w:bCs/>
                <w:color w:val="auto"/>
              </w:rPr>
              <w:t>成立食品安全监管领导小组</w:t>
            </w:r>
          </w:p>
          <w:p w14:paraId="27876FA2">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各地教育行政部门及食品安全监管机构应成立由主管领导牵头的食品安全监管领导小组，确保食品安全标准在学校团体供餐单位的实施过程中具有强有力的组织保障。该小组负责协调相关部门，制定具体的实施细则，开展督导检查，确保各项食品安全措施落到实处。</w:t>
            </w:r>
          </w:p>
          <w:p w14:paraId="13194E0D">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2</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明确各级责任与分工</w:t>
            </w:r>
          </w:p>
          <w:p w14:paraId="6CEB5E6D">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明确学校、供餐单位和监管部门在食品安全管理中的职责与分工。学校应指派专门人员负责日常监管，确保供餐单位按照标准要求实施食品安全管理工作；监管部门要强化日常巡查和专项检查，确保供餐单位符合食品安全标准。</w:t>
            </w:r>
          </w:p>
          <w:p w14:paraId="055A7EDE">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3</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设立专门的食品安全管理岗位</w:t>
            </w:r>
          </w:p>
          <w:p w14:paraId="471E65F1">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每所学校的团体供餐单位应配备经过培训、具备食品安全管理能力的专职或兼职食品安全管理人员，负责供餐单位的日常食品安全管理工作。监管部门应为这些人员提供定期的培训，确保其具备最新的食品安全知识和实践技能。</w:t>
            </w:r>
          </w:p>
          <w:p w14:paraId="371F3EBE">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4</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制定食品安全监督与反馈机制</w:t>
            </w:r>
          </w:p>
          <w:p w14:paraId="16212B65">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学校应设立专门的食品安全监督机制，通过意见箱、电话投诉等途径，鼓励学生、家长及教职工参与食品安全监督，并及时反馈意见。监管部门应加强与学校和家长的沟通，确保食品安全管理中出现的问题能得到快速响应和处理。</w:t>
            </w:r>
          </w:p>
          <w:p w14:paraId="48288B17">
            <w:pPr>
              <w:numPr>
                <w:ilvl w:val="0"/>
                <w:numId w:val="0"/>
              </w:numPr>
              <w:spacing w:before="0" w:line="360" w:lineRule="auto"/>
              <w:ind w:left="118" w:firstLine="482" w:firstLineChars="20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lang w:eastAsia="zh-CN"/>
              </w:rPr>
              <w:t>（</w:t>
            </w:r>
            <w:r>
              <w:rPr>
                <w:rFonts w:hint="eastAsia" w:ascii="Times New Roman" w:hAnsi="Times New Roman" w:eastAsia="宋体" w:cs="Times New Roman"/>
                <w:b/>
                <w:bCs/>
                <w:color w:val="auto"/>
                <w:sz w:val="24"/>
                <w:szCs w:val="24"/>
              </w:rPr>
              <w:t>二</w:t>
            </w:r>
            <w:r>
              <w:rPr>
                <w:rFonts w:hint="eastAsia" w:ascii="Times New Roman" w:hAnsi="Times New Roman" w:eastAsia="宋体" w:cs="Times New Roman"/>
                <w:b/>
                <w:bCs/>
                <w:color w:val="auto"/>
                <w:sz w:val="24"/>
                <w:szCs w:val="24"/>
                <w:lang w:eastAsia="zh-CN"/>
              </w:rPr>
              <w:t>）</w:t>
            </w:r>
            <w:r>
              <w:rPr>
                <w:rFonts w:hint="eastAsia" w:ascii="Times New Roman" w:hAnsi="Times New Roman" w:eastAsia="宋体" w:cs="Times New Roman"/>
                <w:b/>
                <w:bCs/>
                <w:color w:val="auto"/>
                <w:sz w:val="24"/>
                <w:szCs w:val="24"/>
              </w:rPr>
              <w:t>技术措施</w:t>
            </w:r>
          </w:p>
          <w:p w14:paraId="6CAC0E5F">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1</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建立食品安全自查制度</w:t>
            </w:r>
          </w:p>
          <w:p w14:paraId="50234626">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各供餐单位应根据标准要求，建立食品安全自查机制，定期组织对食品采购、储存、加工、配送等环节进行自查，确保不出现食品安全隐患。自查应覆盖所有食品安全控制点，并通过记录、分析发现问题，及时整改。</w:t>
            </w:r>
          </w:p>
          <w:p w14:paraId="3BCE229B">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2</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食品加工过程监控与控制</w:t>
            </w:r>
          </w:p>
          <w:p w14:paraId="0AED3032">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供餐单位应严格按照标准规定，落实食品加工过程的控制，特别是对温度、湿度、消毒等关键环节要进行实时监控，并记录数据。监管部门应加强对供餐单位加工现场的抽查，确保其操作符合卫生要求，防止交叉污染。</w:t>
            </w:r>
          </w:p>
          <w:p w14:paraId="287CCF15">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3</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强化食品采购和供应链管理</w:t>
            </w:r>
          </w:p>
          <w:p w14:paraId="4214F7CC">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对所有食品原料的采购，供餐单位必须严格按照标准要求进行核查，确保所有食品原料来自合格渠道，且符合食品安全要求。监管部门应定期抽查供应商资质、原料来源等信息，确保供餐单位采购环节的安全性。</w:t>
            </w:r>
          </w:p>
          <w:p w14:paraId="323716BE">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4</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建立食品留样与追溯制度</w:t>
            </w:r>
          </w:p>
          <w:p w14:paraId="115DBF42">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供餐单位应设立专人负责食品留样的采集、保存和记录工作。食品留样应符合标准要求，留样品种、数量、存储时间等方面应有明确规定。监管部门应加强对食品留样情况的抽查，确保学校能够及时追溯到问题源头。</w:t>
            </w:r>
          </w:p>
          <w:p w14:paraId="0B7C4D78">
            <w:pPr>
              <w:numPr>
                <w:ilvl w:val="0"/>
                <w:numId w:val="0"/>
              </w:numPr>
              <w:spacing w:before="0" w:line="360" w:lineRule="auto"/>
              <w:ind w:left="118" w:firstLine="482" w:firstLineChars="20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lang w:eastAsia="zh-CN"/>
              </w:rPr>
              <w:t>（</w:t>
            </w:r>
            <w:r>
              <w:rPr>
                <w:rFonts w:hint="eastAsia" w:ascii="Times New Roman" w:hAnsi="Times New Roman" w:eastAsia="宋体" w:cs="Times New Roman"/>
                <w:b/>
                <w:bCs/>
                <w:color w:val="auto"/>
                <w:sz w:val="24"/>
                <w:szCs w:val="24"/>
              </w:rPr>
              <w:t>三</w:t>
            </w:r>
            <w:r>
              <w:rPr>
                <w:rFonts w:hint="eastAsia" w:ascii="Times New Roman" w:hAnsi="Times New Roman" w:eastAsia="宋体" w:cs="Times New Roman"/>
                <w:b/>
                <w:bCs/>
                <w:color w:val="auto"/>
                <w:sz w:val="24"/>
                <w:szCs w:val="24"/>
                <w:lang w:eastAsia="zh-CN"/>
              </w:rPr>
              <w:t>）</w:t>
            </w:r>
            <w:r>
              <w:rPr>
                <w:rFonts w:hint="eastAsia" w:ascii="Times New Roman" w:hAnsi="Times New Roman" w:eastAsia="宋体" w:cs="Times New Roman"/>
                <w:b/>
                <w:bCs/>
                <w:color w:val="auto"/>
                <w:sz w:val="24"/>
                <w:szCs w:val="24"/>
              </w:rPr>
              <w:t>过渡办法</w:t>
            </w:r>
          </w:p>
          <w:p w14:paraId="31FEDF6D">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1</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设定过渡期与实施方案</w:t>
            </w:r>
          </w:p>
          <w:p w14:paraId="7A874322">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为确保标准平稳过渡至所有供餐单位，监管部门应制定过渡期实施方案，并设定过渡期（建议为6个月至1年），在过渡期间，供餐单位可逐步落实标准要求，监管部门则可根据进度提供必要的技术指导与支持。</w:t>
            </w:r>
          </w:p>
          <w:p w14:paraId="1643AD9F">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2</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分阶段执行与监督</w:t>
            </w:r>
          </w:p>
          <w:p w14:paraId="5B209FD4">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过渡期内，监管部门应按照分阶段执行的原则，分批次对供餐单位实施检查，重点检查其在食品采购、加工和储存环节的整改情况。在过渡期的第一阶段，主要关注供餐单位在食品采购和卫生管理上的落实情况；第二阶段，集中检查加工环节的规范化操作。</w:t>
            </w:r>
          </w:p>
          <w:p w14:paraId="46E600FB">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3</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逐步推进，确保规范执行</w:t>
            </w:r>
          </w:p>
          <w:p w14:paraId="50247C54">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过渡期结束后，供餐单位应全面落实标准要求，所有的操作程序、记录保存、设施设备等方面均应符合食品安全标准。监管部门在此阶段应加大检查频次，并确保所有不符合要求的单位进行整改。</w:t>
            </w:r>
          </w:p>
          <w:p w14:paraId="31865FF2">
            <w:pPr>
              <w:numPr>
                <w:ilvl w:val="0"/>
                <w:numId w:val="0"/>
              </w:numPr>
              <w:spacing w:before="0" w:line="360" w:lineRule="auto"/>
              <w:ind w:left="118" w:firstLine="482" w:firstLineChars="20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lang w:eastAsia="zh-CN"/>
              </w:rPr>
              <w:t>（</w:t>
            </w:r>
            <w:r>
              <w:rPr>
                <w:rFonts w:hint="eastAsia" w:ascii="Times New Roman" w:hAnsi="Times New Roman" w:eastAsia="宋体" w:cs="Times New Roman"/>
                <w:b/>
                <w:bCs/>
                <w:color w:val="auto"/>
                <w:sz w:val="24"/>
                <w:szCs w:val="24"/>
              </w:rPr>
              <w:t>四</w:t>
            </w:r>
            <w:r>
              <w:rPr>
                <w:rFonts w:hint="eastAsia" w:ascii="Times New Roman" w:hAnsi="Times New Roman" w:eastAsia="宋体" w:cs="Times New Roman"/>
                <w:b/>
                <w:bCs/>
                <w:color w:val="auto"/>
                <w:sz w:val="24"/>
                <w:szCs w:val="24"/>
                <w:lang w:eastAsia="zh-CN"/>
              </w:rPr>
              <w:t>）</w:t>
            </w:r>
            <w:r>
              <w:rPr>
                <w:rFonts w:hint="eastAsia" w:ascii="Times New Roman" w:hAnsi="Times New Roman" w:eastAsia="宋体" w:cs="Times New Roman"/>
                <w:b/>
                <w:bCs/>
                <w:color w:val="auto"/>
                <w:sz w:val="24"/>
                <w:szCs w:val="24"/>
              </w:rPr>
              <w:t>实施日期</w:t>
            </w:r>
          </w:p>
          <w:p w14:paraId="31E64F1F">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1</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标准生效日期</w:t>
            </w:r>
          </w:p>
          <w:p w14:paraId="1886B6A4">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本标准自发布之日起生效，监管部门应确保所有相关供餐单位在标准生效后6个月内完成基础设施和管理流程的整改，并向监管部门提交整改报告。</w:t>
            </w:r>
          </w:p>
          <w:p w14:paraId="5D8E0438">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2</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实施计划安排</w:t>
            </w:r>
          </w:p>
          <w:p w14:paraId="717BCA54">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在标准实施初期，监管部门应制定详细的实施计划，明确每个阶段的目标和重点任务。第一阶段为培训和宣传阶段，第二阶段为设施与流程整改阶段，第三阶段为全面执行阶段，第四阶段为常态化监督和评估阶段。</w:t>
            </w:r>
          </w:p>
          <w:p w14:paraId="4A94B536">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3</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检查与评估机制</w:t>
            </w:r>
          </w:p>
          <w:p w14:paraId="767DFA3B">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标准实施后，监管部门应进行定期检查，并依据标准要求评估供餐单位食品安全管理的执行情况。评估工作应根据具体实施情况进行反馈，发现问题及时采取措施进行改进。实施后的评估结果应公开，供餐单位应根据评估反馈进行整改。</w:t>
            </w:r>
          </w:p>
          <w:p w14:paraId="7119D869">
            <w:pPr>
              <w:numPr>
                <w:ilvl w:val="0"/>
                <w:numId w:val="0"/>
              </w:numPr>
              <w:spacing w:before="0" w:line="360" w:lineRule="auto"/>
              <w:ind w:left="118" w:firstLine="482" w:firstLineChars="200"/>
              <w:rPr>
                <w:rFonts w:hint="eastAsia"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lang w:eastAsia="zh-CN"/>
              </w:rPr>
              <w:t>（</w:t>
            </w:r>
            <w:r>
              <w:rPr>
                <w:rFonts w:hint="eastAsia" w:ascii="Times New Roman" w:hAnsi="Times New Roman" w:eastAsia="宋体" w:cs="Times New Roman"/>
                <w:b/>
                <w:bCs/>
                <w:color w:val="auto"/>
                <w:sz w:val="24"/>
                <w:szCs w:val="24"/>
              </w:rPr>
              <w:t>五</w:t>
            </w:r>
            <w:r>
              <w:rPr>
                <w:rFonts w:hint="eastAsia" w:ascii="Times New Roman" w:hAnsi="Times New Roman" w:eastAsia="宋体" w:cs="Times New Roman"/>
                <w:b/>
                <w:bCs/>
                <w:color w:val="auto"/>
                <w:sz w:val="24"/>
                <w:szCs w:val="24"/>
                <w:lang w:eastAsia="zh-CN"/>
              </w:rPr>
              <w:t>）</w:t>
            </w:r>
            <w:r>
              <w:rPr>
                <w:rFonts w:hint="eastAsia" w:ascii="Times New Roman" w:hAnsi="Times New Roman" w:eastAsia="宋体" w:cs="Times New Roman"/>
                <w:b/>
                <w:bCs/>
                <w:color w:val="auto"/>
                <w:sz w:val="24"/>
                <w:szCs w:val="24"/>
              </w:rPr>
              <w:t>监督与评估</w:t>
            </w:r>
          </w:p>
          <w:p w14:paraId="6FDEFD3E">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1</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加强食品安全监管力度</w:t>
            </w:r>
          </w:p>
          <w:p w14:paraId="60C23386">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监管部门应加强对供餐单位食品安全管理实施情况的监督，确保每个环节都符合标准要求。对于不合格的单位，应按规定采取整改措施，并根据整改进度给予相应的支持与指导。</w:t>
            </w:r>
          </w:p>
          <w:p w14:paraId="1569D0DE">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2</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实施定期评估和审查</w:t>
            </w:r>
          </w:p>
          <w:p w14:paraId="48788F04">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标准实施后，监管部门应根据年度食品安全工作计划开展定期评估。评估的内容应包括各供餐单位的食品安全管理情况、标准执行情况、以及食品安全事故发生的频次等，确保食品安全工作的持续改进。</w:t>
            </w:r>
          </w:p>
          <w:p w14:paraId="4812E99F">
            <w:pPr>
              <w:numPr>
                <w:ilvl w:val="0"/>
                <w:numId w:val="0"/>
              </w:numPr>
              <w:spacing w:before="0" w:line="360" w:lineRule="auto"/>
              <w:ind w:left="118" w:firstLine="422" w:firstLineChars="200"/>
              <w:rPr>
                <w:rFonts w:hint="eastAsia" w:ascii="Times New Roman" w:hAnsi="Times New Roman" w:eastAsia="宋体" w:cs="Times New Roman"/>
                <w:b/>
                <w:bCs/>
                <w:color w:val="auto"/>
              </w:rPr>
            </w:pP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lang w:val="en-US" w:eastAsia="zh-CN"/>
              </w:rPr>
              <w:t>3</w:t>
            </w:r>
            <w:r>
              <w:rPr>
                <w:rFonts w:hint="eastAsia" w:ascii="Times New Roman" w:hAnsi="Times New Roman" w:eastAsia="宋体" w:cs="Times New Roman"/>
                <w:b/>
                <w:bCs/>
                <w:color w:val="auto"/>
                <w:lang w:eastAsia="zh-CN"/>
              </w:rPr>
              <w:t>）</w:t>
            </w:r>
            <w:r>
              <w:rPr>
                <w:rFonts w:hint="eastAsia" w:ascii="Times New Roman" w:hAnsi="Times New Roman" w:eastAsia="宋体" w:cs="Times New Roman"/>
                <w:b/>
                <w:bCs/>
                <w:color w:val="auto"/>
              </w:rPr>
              <w:t>整改跟踪与反馈机制</w:t>
            </w:r>
          </w:p>
          <w:p w14:paraId="0419F215">
            <w:pPr>
              <w:numPr>
                <w:ilvl w:val="0"/>
                <w:numId w:val="0"/>
              </w:numPr>
              <w:spacing w:before="0" w:line="360" w:lineRule="auto"/>
              <w:ind w:left="118"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对于标准实施过程中发现的问题，监管部门应建立完善的整改跟踪机制，要求供餐单位在规定时间内完成整改，并向监管部门反馈整改结果。对于整改不到位的单位，监管部门应加大处罚力度，并督促其限期整改。</w:t>
            </w:r>
          </w:p>
          <w:p w14:paraId="4C388DBD">
            <w:pPr>
              <w:numPr>
                <w:ilvl w:val="0"/>
                <w:numId w:val="0"/>
              </w:numPr>
              <w:spacing w:line="360" w:lineRule="auto"/>
              <w:ind w:left="118" w:firstLine="420" w:firstLineChars="200"/>
              <w:rPr>
                <w:rFonts w:ascii="Times New Roman" w:hAnsi="Times New Roman" w:cs="Times New Roman"/>
                <w:color w:val="auto"/>
              </w:rPr>
            </w:pPr>
            <w:r>
              <w:rPr>
                <w:rFonts w:hint="eastAsia" w:ascii="Times New Roman" w:hAnsi="Times New Roman" w:eastAsia="宋体" w:cs="Times New Roman"/>
                <w:color w:val="auto"/>
              </w:rPr>
              <w:t>通过以上组织措施、技术措施、过渡办法、实施日期安排以及监督与评估的机制，监管部门将能够有效落实本标准要求，确保中小学校团体供餐单位在食品安全管理方面的规范化、系统化，最终保障广大学生的食品安全。</w:t>
            </w:r>
          </w:p>
        </w:tc>
      </w:tr>
      <w:tr w14:paraId="22A9F6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9536" w:type="dxa"/>
            <w:tcMar>
              <w:top w:w="0" w:type="dxa"/>
              <w:left w:w="0" w:type="dxa"/>
              <w:bottom w:w="0" w:type="dxa"/>
              <w:right w:w="0" w:type="dxa"/>
            </w:tcMar>
            <w:vAlign w:val="top"/>
          </w:tcPr>
          <w:p w14:paraId="6267A6A7">
            <w:pPr>
              <w:spacing w:before="0" w:line="360" w:lineRule="auto"/>
              <w:ind w:left="115"/>
              <w:rPr>
                <w:rFonts w:hint="default" w:ascii="Times New Roman" w:hAnsi="Times New Roman" w:eastAsia="宋体" w:cs="Times New Roman"/>
                <w:color w:val="auto"/>
                <w:sz w:val="20"/>
                <w:szCs w:val="20"/>
              </w:rPr>
            </w:pPr>
            <w:r>
              <w:rPr>
                <w:rFonts w:ascii="Times New Roman" w:hAnsi="Times New Roman" w:eastAsia="宋体" w:cs="Times New Roman"/>
                <w:b/>
                <w:bCs/>
                <w:color w:val="auto"/>
                <w:spacing w:val="16"/>
                <w:position w:val="1"/>
                <w:sz w:val="20"/>
                <w:szCs w:val="20"/>
              </w:rPr>
              <w:t>9</w:t>
            </w:r>
            <w:r>
              <w:rPr>
                <w:rFonts w:ascii="Times New Roman" w:hAnsi="Times New Roman" w:eastAsia="宋体" w:cs="Times New Roman"/>
                <w:b/>
                <w:bCs/>
                <w:color w:val="auto"/>
                <w:spacing w:val="10"/>
                <w:position w:val="1"/>
                <w:sz w:val="20"/>
                <w:szCs w:val="20"/>
              </w:rPr>
              <w:t>、</w:t>
            </w:r>
            <w:r>
              <w:rPr>
                <w:rFonts w:ascii="Times New Roman" w:hAnsi="Times New Roman" w:eastAsia="宋体" w:cs="Times New Roman"/>
                <w:b/>
                <w:bCs/>
                <w:color w:val="auto"/>
                <w:spacing w:val="8"/>
                <w:position w:val="1"/>
                <w:sz w:val="20"/>
                <w:szCs w:val="20"/>
              </w:rPr>
              <w:t>废止现行相关标准的建议</w:t>
            </w:r>
          </w:p>
        </w:tc>
      </w:tr>
      <w:tr w14:paraId="1871C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9536" w:type="dxa"/>
            <w:tcMar>
              <w:top w:w="0" w:type="dxa"/>
              <w:left w:w="0" w:type="dxa"/>
              <w:bottom w:w="0" w:type="dxa"/>
              <w:right w:w="0" w:type="dxa"/>
            </w:tcMar>
            <w:vAlign w:val="top"/>
          </w:tcPr>
          <w:p w14:paraId="40ADCC37">
            <w:pPr>
              <w:spacing w:before="0" w:line="360" w:lineRule="auto"/>
              <w:ind w:left="115" w:firstLine="420" w:firstLineChars="200"/>
              <w:rPr>
                <w:rFonts w:ascii="Times New Roman" w:hAnsi="Times New Roman" w:eastAsia="宋体" w:cs="Times New Roman"/>
                <w:b/>
                <w:bCs/>
                <w:color w:val="auto"/>
                <w:spacing w:val="16"/>
                <w:position w:val="1"/>
                <w:sz w:val="20"/>
                <w:szCs w:val="20"/>
              </w:rPr>
            </w:pPr>
            <w:r>
              <w:rPr>
                <w:rFonts w:hint="default" w:ascii="Times New Roman" w:hAnsi="Times New Roman" w:eastAsia="宋体" w:cs="Times New Roman"/>
                <w:color w:val="auto"/>
                <w:lang w:val="en-US" w:eastAsia="zh-CN"/>
              </w:rPr>
              <w:t>无</w:t>
            </w:r>
          </w:p>
        </w:tc>
      </w:tr>
      <w:tr w14:paraId="54492E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9536" w:type="dxa"/>
            <w:tcMar>
              <w:top w:w="0" w:type="dxa"/>
              <w:left w:w="0" w:type="dxa"/>
              <w:bottom w:w="0" w:type="dxa"/>
              <w:right w:w="0" w:type="dxa"/>
            </w:tcMar>
            <w:vAlign w:val="top"/>
          </w:tcPr>
          <w:p w14:paraId="69CBF1FF">
            <w:pPr>
              <w:spacing w:before="0" w:line="360" w:lineRule="auto"/>
              <w:ind w:left="130"/>
              <w:rPr>
                <w:rFonts w:hint="default" w:ascii="Times New Roman" w:hAnsi="Times New Roman" w:eastAsia="宋体" w:cs="Times New Roman"/>
                <w:color w:val="auto"/>
                <w:sz w:val="20"/>
                <w:szCs w:val="20"/>
              </w:rPr>
            </w:pPr>
            <w:r>
              <w:rPr>
                <w:rFonts w:ascii="Times New Roman" w:hAnsi="Times New Roman" w:eastAsia="宋体" w:cs="Times New Roman"/>
                <w:b/>
                <w:bCs/>
                <w:color w:val="auto"/>
                <w:spacing w:val="8"/>
                <w:position w:val="1"/>
                <w:sz w:val="20"/>
                <w:szCs w:val="20"/>
              </w:rPr>
              <w:t>1</w:t>
            </w:r>
            <w:r>
              <w:rPr>
                <w:rFonts w:ascii="Times New Roman" w:hAnsi="Times New Roman" w:eastAsia="宋体" w:cs="Times New Roman"/>
                <w:b/>
                <w:bCs/>
                <w:color w:val="auto"/>
                <w:spacing w:val="7"/>
                <w:position w:val="1"/>
                <w:sz w:val="20"/>
                <w:szCs w:val="20"/>
              </w:rPr>
              <w:t>0、</w:t>
            </w:r>
            <w:r>
              <w:rPr>
                <w:rFonts w:hint="default" w:ascii="Times New Roman" w:hAnsi="Times New Roman" w:eastAsia="宋体" w:cs="Times New Roman"/>
                <w:b/>
                <w:bCs/>
                <w:color w:val="auto"/>
                <w:spacing w:val="7"/>
                <w:position w:val="1"/>
                <w:sz w:val="20"/>
                <w:szCs w:val="20"/>
              </w:rPr>
              <w:t>其他</w:t>
            </w:r>
            <w:r>
              <w:rPr>
                <w:rFonts w:ascii="Times New Roman" w:hAnsi="Times New Roman" w:eastAsia="宋体" w:cs="Times New Roman"/>
                <w:b/>
                <w:bCs/>
                <w:color w:val="auto"/>
                <w:spacing w:val="7"/>
                <w:position w:val="1"/>
                <w:sz w:val="20"/>
                <w:szCs w:val="20"/>
              </w:rPr>
              <w:t>应予说明的事项</w:t>
            </w:r>
          </w:p>
        </w:tc>
      </w:tr>
      <w:tr w14:paraId="29EBBB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9536" w:type="dxa"/>
            <w:tcMar>
              <w:top w:w="0" w:type="dxa"/>
              <w:left w:w="0" w:type="dxa"/>
              <w:bottom w:w="0" w:type="dxa"/>
              <w:right w:w="0" w:type="dxa"/>
            </w:tcMar>
            <w:vAlign w:val="top"/>
          </w:tcPr>
          <w:p w14:paraId="5C4DC246">
            <w:pPr>
              <w:spacing w:before="0" w:line="360" w:lineRule="auto"/>
              <w:ind w:left="130" w:firstLine="420" w:firstLineChars="200"/>
              <w:rPr>
                <w:rFonts w:ascii="Times New Roman" w:hAnsi="Times New Roman" w:eastAsia="宋体" w:cs="Times New Roman"/>
                <w:b/>
                <w:bCs/>
                <w:color w:val="auto"/>
                <w:spacing w:val="8"/>
                <w:position w:val="1"/>
                <w:sz w:val="20"/>
                <w:szCs w:val="20"/>
              </w:rPr>
            </w:pPr>
            <w:r>
              <w:rPr>
                <w:rFonts w:hint="default" w:ascii="Times New Roman" w:hAnsi="Times New Roman" w:eastAsia="宋体" w:cs="Times New Roman"/>
                <w:color w:val="auto"/>
                <w:lang w:val="en-US" w:eastAsia="zh-CN"/>
              </w:rPr>
              <w:t>无</w:t>
            </w:r>
          </w:p>
        </w:tc>
      </w:tr>
    </w:tbl>
    <w:p w14:paraId="42BD8AF8">
      <w:pPr>
        <w:spacing w:before="55" w:line="233" w:lineRule="auto"/>
        <w:rPr>
          <w:rFonts w:hint="eastAsia" w:ascii="宋体" w:hAnsi="宋体" w:eastAsia="宋体" w:cs="宋体"/>
          <w:color w:val="000000" w:themeColor="text1"/>
          <w:sz w:val="20"/>
          <w:szCs w:val="20"/>
          <w14:textFill>
            <w14:solidFill>
              <w14:schemeClr w14:val="tx1"/>
            </w14:solidFill>
          </w14:textFill>
        </w:rPr>
      </w:pPr>
      <w:r>
        <w:rPr>
          <w:rFonts w:hint="eastAsia" w:ascii="黑体" w:hAnsi="黑体" w:eastAsia="黑体" w:cs="黑体"/>
          <w:color w:val="000000" w:themeColor="text1"/>
          <w:spacing w:val="2"/>
          <w:sz w:val="20"/>
          <w:szCs w:val="20"/>
          <w14:textFill>
            <w14:solidFill>
              <w14:schemeClr w14:val="tx1"/>
            </w14:solidFill>
          </w14:textFill>
        </w:rPr>
        <w:t>1</w:t>
      </w:r>
      <w:r>
        <w:rPr>
          <w:rFonts w:ascii="黑体" w:hAnsi="黑体" w:eastAsia="黑体" w:cs="黑体"/>
          <w:color w:val="000000" w:themeColor="text1"/>
          <w:spacing w:val="2"/>
          <w:sz w:val="20"/>
          <w:szCs w:val="20"/>
          <w14:textFill>
            <w14:solidFill>
              <w14:schemeClr w14:val="tx1"/>
            </w14:solidFill>
          </w14:textFill>
        </w:rPr>
        <w:t>注：</w:t>
      </w:r>
      <w:r>
        <w:rPr>
          <w:rFonts w:ascii="宋体" w:hAnsi="宋体" w:eastAsia="宋体" w:cs="宋体"/>
          <w:color w:val="000000" w:themeColor="text1"/>
          <w:spacing w:val="2"/>
          <w:sz w:val="20"/>
          <w:szCs w:val="20"/>
          <w14:textFill>
            <w14:solidFill>
              <w14:schemeClr w14:val="tx1"/>
            </w14:solidFill>
          </w14:textFill>
        </w:rPr>
        <w:t>没有的</w:t>
      </w:r>
      <w:r>
        <w:rPr>
          <w:rFonts w:ascii="宋体" w:hAnsi="宋体" w:eastAsia="宋体" w:cs="宋体"/>
          <w:color w:val="000000" w:themeColor="text1"/>
          <w:spacing w:val="1"/>
          <w:sz w:val="20"/>
          <w:szCs w:val="20"/>
          <w14:textFill>
            <w14:solidFill>
              <w14:schemeClr w14:val="tx1"/>
            </w14:solidFill>
          </w14:textFill>
        </w:rPr>
        <w:t>请填写“无”。</w:t>
      </w:r>
    </w:p>
    <w:sectPr>
      <w:pgSz w:w="11906" w:h="16839"/>
      <w:pgMar w:top="1431" w:right="812" w:bottom="0" w:left="1472"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91DC6"/>
    <w:multiLevelType w:val="singleLevel"/>
    <w:tmpl w:val="81891DC6"/>
    <w:lvl w:ilvl="0" w:tentative="0">
      <w:start w:val="1"/>
      <w:numFmt w:val="decimal"/>
      <w:suff w:val="nothing"/>
      <w:lvlText w:val="%1、"/>
      <w:lvlJc w:val="left"/>
      <w:rPr>
        <w:rFonts w:hint="default" w:ascii="宋体" w:hAnsi="宋体" w:eastAsia="宋体" w:cs="宋体"/>
        <w:b w:val="0"/>
        <w:bCs w:val="0"/>
        <w:sz w:val="21"/>
        <w:szCs w:val="21"/>
      </w:rPr>
    </w:lvl>
  </w:abstractNum>
  <w:abstractNum w:abstractNumId="1">
    <w:nsid w:val="AF177AC0"/>
    <w:multiLevelType w:val="singleLevel"/>
    <w:tmpl w:val="AF177AC0"/>
    <w:lvl w:ilvl="0" w:tentative="0">
      <w:start w:val="1"/>
      <w:numFmt w:val="decimal"/>
      <w:suff w:val="space"/>
      <w:lvlText w:val="%1."/>
      <w:lvlJc w:val="left"/>
      <w:rPr>
        <w:rFonts w:hint="default"/>
        <w:b/>
        <w:bCs/>
        <w:sz w:val="21"/>
        <w:szCs w:val="21"/>
      </w:rPr>
    </w:lvl>
  </w:abstractNum>
  <w:abstractNum w:abstractNumId="2">
    <w:nsid w:val="2C5917C3"/>
    <w:multiLevelType w:val="multilevel"/>
    <w:tmpl w:val="2C5917C3"/>
    <w:lvl w:ilvl="0" w:tentative="0">
      <w:start w:val="1"/>
      <w:numFmt w:val="none"/>
      <w:pStyle w:val="20"/>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2CEA8CE0"/>
    <w:multiLevelType w:val="multilevel"/>
    <w:tmpl w:val="2CEA8CE0"/>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36F02194"/>
    <w:multiLevelType w:val="singleLevel"/>
    <w:tmpl w:val="36F02194"/>
    <w:lvl w:ilvl="0" w:tentative="0">
      <w:start w:val="2"/>
      <w:numFmt w:val="decimal"/>
      <w:suff w:val="space"/>
      <w:lvlText w:val="%1."/>
      <w:lvlJc w:val="left"/>
    </w:lvl>
  </w:abstractNum>
  <w:abstractNum w:abstractNumId="5">
    <w:nsid w:val="44C50F90"/>
    <w:multiLevelType w:val="multilevel"/>
    <w:tmpl w:val="44C50F90"/>
    <w:lvl w:ilvl="0" w:tentative="0">
      <w:start w:val="1"/>
      <w:numFmt w:val="lowerLetter"/>
      <w:pStyle w:val="24"/>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4C30C0A1"/>
    <w:multiLevelType w:val="singleLevel"/>
    <w:tmpl w:val="4C30C0A1"/>
    <w:lvl w:ilvl="0" w:tentative="0">
      <w:start w:val="6"/>
      <w:numFmt w:val="decimal"/>
      <w:suff w:val="space"/>
      <w:lvlText w:val="%1."/>
      <w:lvlJc w:val="left"/>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9"/>
      <w:suff w:val="nothing"/>
      <w:lvlText w:val="%1%2　"/>
      <w:lvlJc w:val="left"/>
      <w:pPr>
        <w:ind w:left="1418" w:firstLine="0"/>
      </w:pPr>
      <w:rPr>
        <w:rFonts w:hint="eastAsia" w:ascii="黑体" w:eastAsia="黑体"/>
        <w:b w:val="0"/>
        <w:i w:val="0"/>
        <w:sz w:val="21"/>
      </w:rPr>
    </w:lvl>
    <w:lvl w:ilvl="2" w:tentative="0">
      <w:start w:val="1"/>
      <w:numFmt w:val="decimal"/>
      <w:pStyle w:val="1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3"/>
      <w:suff w:val="nothing"/>
      <w:lvlText w:val="%1%2.%3.%4　"/>
      <w:lvlJc w:val="left"/>
      <w:pPr>
        <w:ind w:left="0" w:firstLine="0"/>
      </w:pPr>
      <w:rPr>
        <w:rFonts w:hint="eastAsia" w:ascii="黑体" w:eastAsia="黑体"/>
        <w:b w:val="0"/>
        <w:i w:val="0"/>
        <w:sz w:val="21"/>
      </w:rPr>
    </w:lvl>
    <w:lvl w:ilvl="4" w:tentative="0">
      <w:start w:val="1"/>
      <w:numFmt w:val="decimal"/>
      <w:pStyle w:val="22"/>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2"/>
  </w:num>
  <w:num w:numId="3">
    <w:abstractNumId w:val="5"/>
  </w:num>
  <w:num w:numId="4">
    <w:abstractNumId w:val="0"/>
  </w:num>
  <w:num w:numId="5">
    <w:abstractNumId w:val="4"/>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k0ODBhYWQ2Y2I5NGFhZDQwMTBkZDY3MmUwODA4ZWYifQ=="/>
    <w:docVar w:name="KSO_WPS_MARK_KEY" w:val="0435ae3e-6820-4e2f-81ed-86ed7d2e9b8b"/>
  </w:docVars>
  <w:rsids>
    <w:rsidRoot w:val="00041B39"/>
    <w:rsid w:val="00041B39"/>
    <w:rsid w:val="001F045B"/>
    <w:rsid w:val="0020440A"/>
    <w:rsid w:val="002C660F"/>
    <w:rsid w:val="00354897"/>
    <w:rsid w:val="00421378"/>
    <w:rsid w:val="005C0327"/>
    <w:rsid w:val="006D4653"/>
    <w:rsid w:val="00996E76"/>
    <w:rsid w:val="009B1E2A"/>
    <w:rsid w:val="009F7C6F"/>
    <w:rsid w:val="00A565E0"/>
    <w:rsid w:val="00A650FB"/>
    <w:rsid w:val="00A728F8"/>
    <w:rsid w:val="00A75028"/>
    <w:rsid w:val="00BC5FC5"/>
    <w:rsid w:val="00BE01D9"/>
    <w:rsid w:val="00D75C77"/>
    <w:rsid w:val="00E342AF"/>
    <w:rsid w:val="00E42ED7"/>
    <w:rsid w:val="00EE20B9"/>
    <w:rsid w:val="05501FE7"/>
    <w:rsid w:val="068C52E6"/>
    <w:rsid w:val="07832BA1"/>
    <w:rsid w:val="082C6A05"/>
    <w:rsid w:val="085C588F"/>
    <w:rsid w:val="0A30445B"/>
    <w:rsid w:val="0A8C4462"/>
    <w:rsid w:val="0B3348DE"/>
    <w:rsid w:val="0B381662"/>
    <w:rsid w:val="0C175925"/>
    <w:rsid w:val="0D2D6C22"/>
    <w:rsid w:val="0DF0403A"/>
    <w:rsid w:val="0F331350"/>
    <w:rsid w:val="0F955B67"/>
    <w:rsid w:val="10DE709A"/>
    <w:rsid w:val="11FA6155"/>
    <w:rsid w:val="12390E3E"/>
    <w:rsid w:val="124B2BB2"/>
    <w:rsid w:val="130C6140"/>
    <w:rsid w:val="13C470E7"/>
    <w:rsid w:val="13CA16CE"/>
    <w:rsid w:val="14795A57"/>
    <w:rsid w:val="1571672E"/>
    <w:rsid w:val="1588503E"/>
    <w:rsid w:val="18980476"/>
    <w:rsid w:val="192D5062"/>
    <w:rsid w:val="1B80591D"/>
    <w:rsid w:val="1C6012AB"/>
    <w:rsid w:val="22B56539"/>
    <w:rsid w:val="264F4D47"/>
    <w:rsid w:val="265E5B35"/>
    <w:rsid w:val="26631251"/>
    <w:rsid w:val="27FA254A"/>
    <w:rsid w:val="28E22D21"/>
    <w:rsid w:val="2B4C78DA"/>
    <w:rsid w:val="2BE20C39"/>
    <w:rsid w:val="2C286276"/>
    <w:rsid w:val="2D1C14D2"/>
    <w:rsid w:val="2DB11966"/>
    <w:rsid w:val="2F702046"/>
    <w:rsid w:val="306A211B"/>
    <w:rsid w:val="309317F7"/>
    <w:rsid w:val="328A7B62"/>
    <w:rsid w:val="33111825"/>
    <w:rsid w:val="340842AA"/>
    <w:rsid w:val="354B6B44"/>
    <w:rsid w:val="39B32A00"/>
    <w:rsid w:val="3A30455A"/>
    <w:rsid w:val="3B0A599B"/>
    <w:rsid w:val="3BAC56EF"/>
    <w:rsid w:val="3CE84C78"/>
    <w:rsid w:val="3F4A432C"/>
    <w:rsid w:val="3F970A7C"/>
    <w:rsid w:val="40D07EFD"/>
    <w:rsid w:val="421574F4"/>
    <w:rsid w:val="422D7327"/>
    <w:rsid w:val="42D02437"/>
    <w:rsid w:val="433E1A96"/>
    <w:rsid w:val="43972F54"/>
    <w:rsid w:val="44A83E45"/>
    <w:rsid w:val="45542DF7"/>
    <w:rsid w:val="458D60B7"/>
    <w:rsid w:val="45E20A0D"/>
    <w:rsid w:val="468772B0"/>
    <w:rsid w:val="47417462"/>
    <w:rsid w:val="4C5B3702"/>
    <w:rsid w:val="4CFA0F4D"/>
    <w:rsid w:val="50AB080A"/>
    <w:rsid w:val="510065DD"/>
    <w:rsid w:val="51575FA6"/>
    <w:rsid w:val="515C0F39"/>
    <w:rsid w:val="539179C0"/>
    <w:rsid w:val="54D87E8C"/>
    <w:rsid w:val="54E35FFA"/>
    <w:rsid w:val="55AF7A7F"/>
    <w:rsid w:val="5737087F"/>
    <w:rsid w:val="583849FF"/>
    <w:rsid w:val="59B44593"/>
    <w:rsid w:val="5A5C0C66"/>
    <w:rsid w:val="5B286E5C"/>
    <w:rsid w:val="5C9A1694"/>
    <w:rsid w:val="5FB92779"/>
    <w:rsid w:val="5FF05A6E"/>
    <w:rsid w:val="62066A55"/>
    <w:rsid w:val="6223037D"/>
    <w:rsid w:val="64265CC1"/>
    <w:rsid w:val="65E9543A"/>
    <w:rsid w:val="678135EA"/>
    <w:rsid w:val="69B17CA7"/>
    <w:rsid w:val="6A13107A"/>
    <w:rsid w:val="6A2F5D7E"/>
    <w:rsid w:val="6A3D5D54"/>
    <w:rsid w:val="6A5D01A4"/>
    <w:rsid w:val="6B074E45"/>
    <w:rsid w:val="6CE07FA9"/>
    <w:rsid w:val="6D17288C"/>
    <w:rsid w:val="6F6B4986"/>
    <w:rsid w:val="70A1703D"/>
    <w:rsid w:val="70EB6F9A"/>
    <w:rsid w:val="718033E2"/>
    <w:rsid w:val="71CC6DCF"/>
    <w:rsid w:val="76573D15"/>
    <w:rsid w:val="77336110"/>
    <w:rsid w:val="786F49F3"/>
    <w:rsid w:val="78702885"/>
    <w:rsid w:val="79590D1A"/>
    <w:rsid w:val="79DA46FF"/>
    <w:rsid w:val="7E2E5C88"/>
    <w:rsid w:val="7F152167"/>
    <w:rsid w:val="7F4A58FD"/>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eastAsia="宋体" w:cs="Times New Roman"/>
      <w:b/>
      <w:bCs/>
      <w:kern w:val="44"/>
      <w:sz w:val="48"/>
      <w:szCs w:val="4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style>
  <w:style w:type="paragraph" w:styleId="4">
    <w:name w:val="Body Text Indent"/>
    <w:basedOn w:val="1"/>
    <w:qFormat/>
    <w:uiPriority w:val="0"/>
    <w:pPr>
      <w:spacing w:line="360" w:lineRule="auto"/>
      <w:ind w:firstLine="600"/>
    </w:pPr>
    <w:rPr>
      <w:sz w:val="24"/>
    </w:rPr>
  </w:style>
  <w:style w:type="paragraph" w:styleId="5">
    <w:name w:val="toc 5"/>
    <w:basedOn w:val="1"/>
    <w:next w:val="1"/>
    <w:qFormat/>
    <w:uiPriority w:val="0"/>
    <w:pPr>
      <w:widowControl w:val="0"/>
      <w:tabs>
        <w:tab w:val="right" w:leader="dot" w:pos="9241"/>
      </w:tabs>
      <w:kinsoku/>
      <w:autoSpaceDE/>
      <w:autoSpaceDN/>
      <w:adjustRightInd/>
      <w:snapToGrid/>
      <w:ind w:firstLine="300" w:firstLineChars="300"/>
      <w:textAlignment w:val="auto"/>
    </w:pPr>
    <w:rPr>
      <w:rFonts w:ascii="宋体" w:hAnsi="Times New Roman" w:eastAsia="宋体" w:cs="Times New Roman"/>
      <w:snapToGrid/>
      <w:color w:val="auto"/>
      <w:kern w:val="2"/>
    </w:rPr>
  </w:style>
  <w:style w:type="paragraph" w:styleId="6">
    <w:name w:val="footer"/>
    <w:basedOn w:val="1"/>
    <w:link w:val="28"/>
    <w:qFormat/>
    <w:uiPriority w:val="0"/>
    <w:pPr>
      <w:tabs>
        <w:tab w:val="center" w:pos="4153"/>
        <w:tab w:val="right" w:pos="8306"/>
      </w:tabs>
    </w:pPr>
    <w:rPr>
      <w:sz w:val="18"/>
      <w:szCs w:val="18"/>
    </w:rPr>
  </w:style>
  <w:style w:type="paragraph" w:styleId="7">
    <w:name w:val="header"/>
    <w:basedOn w:val="1"/>
    <w:link w:val="27"/>
    <w:qFormat/>
    <w:uiPriority w:val="0"/>
    <w:pPr>
      <w:tabs>
        <w:tab w:val="center" w:pos="4153"/>
        <w:tab w:val="right" w:pos="8306"/>
      </w:tabs>
      <w:jc w:val="center"/>
    </w:pPr>
    <w:rPr>
      <w:sz w:val="18"/>
      <w:szCs w:val="18"/>
    </w:rPr>
  </w:style>
  <w:style w:type="paragraph" w:styleId="8">
    <w:name w:val="Body Text First Indent"/>
    <w:basedOn w:val="3"/>
    <w:qFormat/>
    <w:uiPriority w:val="0"/>
    <w:pPr>
      <w:ind w:firstLine="200" w:firstLineChars="200"/>
    </w:pPr>
  </w:style>
  <w:style w:type="paragraph" w:styleId="9">
    <w:name w:val="Body Text First Indent 2"/>
    <w:basedOn w:val="4"/>
    <w:qFormat/>
    <w:uiPriority w:val="0"/>
    <w:pPr>
      <w:ind w:firstLine="420" w:firstLineChars="200"/>
    </w:pPr>
  </w:style>
  <w:style w:type="character" w:styleId="12">
    <w:name w:val="Strong"/>
    <w:basedOn w:val="11"/>
    <w:qFormat/>
    <w:uiPriority w:val="0"/>
    <w:rPr>
      <w:b/>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列表段落1"/>
    <w:basedOn w:val="1"/>
    <w:qFormat/>
    <w:uiPriority w:val="99"/>
    <w:pPr>
      <w:adjustRightInd/>
      <w:ind w:firstLine="420" w:firstLineChars="200"/>
    </w:pPr>
    <w:rPr>
      <w:rFonts w:ascii="Times New Roman" w:hAnsi="Times New Roman"/>
      <w:szCs w:val="24"/>
    </w:rPr>
  </w:style>
  <w:style w:type="paragraph" w:customStyle="1" w:styleId="15">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
    <w:name w:val="标准文件_一级无标题"/>
    <w:basedOn w:val="18"/>
    <w:qFormat/>
    <w:uiPriority w:val="0"/>
    <w:pPr>
      <w:spacing w:before="0" w:beforeLines="0" w:after="0" w:afterLines="0"/>
      <w:outlineLvl w:val="9"/>
    </w:pPr>
    <w:rPr>
      <w:rFonts w:ascii="宋体" w:eastAsia="宋体"/>
    </w:rPr>
  </w:style>
  <w:style w:type="paragraph" w:customStyle="1" w:styleId="18">
    <w:name w:val="标准文件_一级条标题"/>
    <w:basedOn w:val="19"/>
    <w:next w:val="16"/>
    <w:qFormat/>
    <w:uiPriority w:val="0"/>
    <w:pPr>
      <w:numPr>
        <w:ilvl w:val="2"/>
      </w:numPr>
      <w:spacing w:before="50" w:beforeLines="50" w:after="50" w:afterLines="50"/>
      <w:outlineLvl w:val="1"/>
    </w:pPr>
  </w:style>
  <w:style w:type="paragraph" w:customStyle="1" w:styleId="19">
    <w:name w:val="标准文件_章标题"/>
    <w:next w:val="16"/>
    <w:qFormat/>
    <w:uiPriority w:val="0"/>
    <w:pPr>
      <w:numPr>
        <w:ilvl w:val="1"/>
        <w:numId w:val="1"/>
      </w:numPr>
      <w:spacing w:before="100" w:beforeLines="100" w:after="100" w:afterLines="100"/>
      <w:jc w:val="both"/>
      <w:outlineLvl w:val="0"/>
    </w:pPr>
    <w:rPr>
      <w:rFonts w:ascii="黑体" w:hAnsi="Times New Roman" w:eastAsia="黑体" w:cs="Times New Roman"/>
      <w:sz w:val="21"/>
      <w:szCs w:val="22"/>
      <w:lang w:val="en-US" w:eastAsia="zh-CN" w:bidi="ar-SA"/>
    </w:rPr>
  </w:style>
  <w:style w:type="paragraph" w:customStyle="1" w:styleId="20">
    <w:name w:val="标准文件_一级项"/>
    <w:qFormat/>
    <w:uiPriority w:val="0"/>
    <w:pPr>
      <w:numPr>
        <w:ilvl w:val="0"/>
        <w:numId w:val="2"/>
      </w:numPr>
    </w:pPr>
    <w:rPr>
      <w:rFonts w:ascii="宋体" w:hAnsi="Times New Roman" w:eastAsia="宋体" w:cs="Times New Roman"/>
      <w:sz w:val="21"/>
      <w:lang w:val="en-US" w:eastAsia="zh-CN" w:bidi="ar-SA"/>
    </w:rPr>
  </w:style>
  <w:style w:type="paragraph" w:customStyle="1" w:styleId="21">
    <w:name w:val="标准文件_三级无标题"/>
    <w:basedOn w:val="22"/>
    <w:qFormat/>
    <w:uiPriority w:val="0"/>
    <w:pPr>
      <w:spacing w:before="0" w:beforeLines="0" w:after="0" w:afterLines="0"/>
      <w:outlineLvl w:val="9"/>
    </w:pPr>
    <w:rPr>
      <w:rFonts w:ascii="宋体" w:eastAsia="宋体"/>
    </w:rPr>
  </w:style>
  <w:style w:type="paragraph" w:customStyle="1" w:styleId="22">
    <w:name w:val="标准文件_三级条标题"/>
    <w:basedOn w:val="23"/>
    <w:next w:val="16"/>
    <w:qFormat/>
    <w:uiPriority w:val="0"/>
    <w:pPr>
      <w:widowControl/>
      <w:numPr>
        <w:ilvl w:val="4"/>
      </w:numPr>
      <w:outlineLvl w:val="3"/>
    </w:pPr>
  </w:style>
  <w:style w:type="paragraph" w:customStyle="1" w:styleId="23">
    <w:name w:val="标准文件_二级条标题"/>
    <w:next w:val="16"/>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4">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25">
    <w:name w:val="标准文件_二级无标题"/>
    <w:basedOn w:val="23"/>
    <w:qFormat/>
    <w:uiPriority w:val="0"/>
    <w:pPr>
      <w:spacing w:before="0" w:beforeLines="0" w:after="0" w:afterLines="0"/>
      <w:outlineLvl w:val="9"/>
    </w:pPr>
    <w:rPr>
      <w:rFonts w:ascii="宋体" w:eastAsia="宋体"/>
    </w:rPr>
  </w:style>
  <w:style w:type="paragraph" w:customStyle="1" w:styleId="26">
    <w:name w:val="三级条标题"/>
    <w:basedOn w:val="1"/>
    <w:next w:val="15"/>
    <w:qFormat/>
    <w:uiPriority w:val="0"/>
    <w:pPr>
      <w:numPr>
        <w:ilvl w:val="3"/>
        <w:numId w:val="4"/>
      </w:numPr>
      <w:kinsoku/>
      <w:autoSpaceDE/>
      <w:autoSpaceDN/>
      <w:adjustRightInd/>
      <w:snapToGrid/>
      <w:spacing w:before="50" w:beforeLines="50" w:after="50" w:afterLines="50"/>
      <w:textAlignment w:val="auto"/>
      <w:outlineLvl w:val="4"/>
    </w:pPr>
    <w:rPr>
      <w:rFonts w:ascii="黑体" w:hAnsi="Times New Roman" w:eastAsia="黑体" w:cs="Times New Roman"/>
      <w:snapToGrid/>
      <w:color w:val="auto"/>
    </w:rPr>
  </w:style>
  <w:style w:type="character" w:customStyle="1" w:styleId="27">
    <w:name w:val="页眉 字符"/>
    <w:basedOn w:val="11"/>
    <w:link w:val="7"/>
    <w:qFormat/>
    <w:uiPriority w:val="0"/>
    <w:rPr>
      <w:rFonts w:ascii="Arial" w:hAnsi="Arial" w:eastAsia="Arial" w:cs="Arial"/>
      <w:snapToGrid w:val="0"/>
      <w:color w:val="000000"/>
      <w:sz w:val="18"/>
      <w:szCs w:val="18"/>
    </w:rPr>
  </w:style>
  <w:style w:type="character" w:customStyle="1" w:styleId="28">
    <w:name w:val="页脚 字符"/>
    <w:basedOn w:val="11"/>
    <w:link w:val="6"/>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3186</Words>
  <Characters>3307</Characters>
  <Lines>35</Lines>
  <Paragraphs>10</Paragraphs>
  <TotalTime>0</TotalTime>
  <ScaleCrop>false</ScaleCrop>
  <LinksUpToDate>false</LinksUpToDate>
  <CharactersWithSpaces>3318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2024-12-13T07:51:00Z</dcterms:created>
  <dc:creator>Mac</dc:creator>
  <cp:lastModifiedBy>马晓静</cp:lastModifiedBy>
  <dcterms:modified xsi:type="dcterms:W3CDTF">2025-01-06T02:04:56Z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2023-01-10T17:54:21Z</vt:filetime>
  </property>
  <property fmtid="{D5CDD505-2E9C-101B-9397-08002B2CF9AE}" pid="4" name="KSOProductBuildVer">
    <vt:lpwstr>2052-12.1.0.19770</vt:lpwstr>
  </property>
  <property fmtid="{D5CDD505-2E9C-101B-9397-08002B2CF9AE}" pid="5" name="ICV">
    <vt:lpwstr>C5FBA9774C744F73B46D9A0EAA27034D_13</vt:lpwstr>
  </property>
  <property fmtid="{D5CDD505-2E9C-101B-9397-08002B2CF9AE}" pid="6" name="KSOTemplateDocerSaveRecord">
    <vt:lpwstr>eyJoZGlkIjoiYjg2YTNhNzdlYjkyYTE2YzI1NGNkZjhhZDQxMmI0ZTYiLCJ1c2VySWQiOiI4MjI4MDUzMDEifQ==</vt:lpwstr>
  </property>
</Properties>
</file>