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F5536">
      <w:pPr>
        <w:pStyle w:val="127"/>
      </w:pPr>
      <w:r>
        <w:rPr>
          <w:rFonts w:ascii="Times New Roman"/>
        </w:rPr>
        <w:t>ICS</w:t>
      </w:r>
      <w:r>
        <w:rPr>
          <w:rFonts w:hint="eastAsia" w:ascii="MS Mincho" w:hAnsi="MS Mincho" w:eastAsia="MS Mincho" w:cs="MS Mincho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0"/>
    </w:p>
    <w:p w14:paraId="24B96DBB">
      <w:pPr>
        <w:pStyle w:val="127"/>
      </w:pPr>
      <w:bookmarkStart w:id="1" w:name="WXFLH"/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1"/>
    </w:p>
    <w:tbl>
      <w:tblPr>
        <w:tblStyle w:val="3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F2D2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733D1855">
            <w:pPr>
              <w:pStyle w:val="127"/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0" b="0"/>
                      <wp:wrapNone/>
                      <wp:docPr id="4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4144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yK4v7NUA&#10;AAAHAQAADwAAAAAAAAABACAAAAAiAAAAZHJzL2Rvd25yZXYueG1sUEsBAhQAFAAAAAgAh07iQLEz&#10;6MywAQAAZwMAAA4AAAAAAAAAAQAgAAAAJAEAAGRycy9lMm9Eb2MueG1sUEsFBgAAAAAGAAYAWQEA&#10;AEY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备案号：</w:t>
            </w:r>
            <w:r>
              <w:fldChar w:fldCharType="end"/>
            </w:r>
            <w:bookmarkEnd w:id="2"/>
          </w:p>
        </w:tc>
      </w:tr>
    </w:tbl>
    <w:p w14:paraId="0A6A9B83">
      <w:pPr>
        <w:pStyle w:val="81"/>
      </w:pPr>
      <w:r>
        <w:t>DB</w:t>
      </w:r>
      <w:bookmarkStart w:id="3" w:name="c3"/>
      <w:r>
        <w:fldChar w:fldCharType="begin">
          <w:ffData>
            <w:name w:val="c3"/>
            <w:enabled/>
            <w:calcOnExit w:val="0"/>
            <w:entryMacro w:val="ShowHelp16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</w:t>
      </w:r>
      <w:r>
        <w:fldChar w:fldCharType="end"/>
      </w:r>
      <w:bookmarkEnd w:id="3"/>
    </w:p>
    <w:p w14:paraId="70617DCD">
      <w:pPr>
        <w:pStyle w:val="61"/>
      </w:pPr>
      <w:bookmarkStart w:id="4" w:name="c4"/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江西省</w:t>
      </w:r>
      <w:r>
        <w:fldChar w:fldCharType="end"/>
      </w:r>
      <w:bookmarkEnd w:id="4"/>
      <w:r>
        <w:rPr>
          <w:rFonts w:hint="eastAsia"/>
        </w:rPr>
        <w:t>地方标准</w:t>
      </w:r>
    </w:p>
    <w:p w14:paraId="36DC0F13">
      <w:pPr>
        <w:pStyle w:val="89"/>
        <w:rPr>
          <w:rFonts w:hAnsi="黑体"/>
        </w:rPr>
      </w:pPr>
      <w:r>
        <w:rPr>
          <w:rFonts w:ascii="Times New Roman"/>
        </w:rPr>
        <w:t xml:space="preserve">DB </w:t>
      </w:r>
      <w:bookmarkStart w:id="5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XX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 xml:space="preserve">/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Style w:val="3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1A211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9F7A6D3">
            <w:pPr>
              <w:pStyle w:val="124"/>
            </w:pPr>
            <w:bookmarkStart w:id="8" w:name="DT"/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代替</w:t>
            </w:r>
            <w:r>
              <w:t xml:space="preserve"> DB </w:t>
            </w:r>
            <w:r>
              <w:fldChar w:fldCharType="end"/>
            </w:r>
            <w:bookmarkEnd w:id="8"/>
          </w:p>
        </w:tc>
      </w:tr>
    </w:tbl>
    <w:p w14:paraId="058372E8">
      <w:pPr>
        <w:pStyle w:val="89"/>
        <w:rPr>
          <w:rFonts w:hAnsi="黑体"/>
        </w:rPr>
      </w:pPr>
    </w:p>
    <w:p w14:paraId="5D7EF215">
      <w:pPr>
        <w:pStyle w:val="89"/>
        <w:rPr>
          <w:rFonts w:hAnsi="黑体"/>
        </w:rPr>
      </w:pPr>
    </w:p>
    <w:p w14:paraId="5CA63FEA">
      <w:pPr>
        <w:pStyle w:val="60"/>
      </w:pPr>
      <w:bookmarkStart w:id="9" w:name="StdName"/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桑芽茶加工技术规程</w:t>
      </w:r>
      <w:r>
        <w:fldChar w:fldCharType="end"/>
      </w:r>
      <w:bookmarkEnd w:id="9"/>
    </w:p>
    <w:p w14:paraId="3FAF3320">
      <w:pPr>
        <w:pStyle w:val="59"/>
      </w:pPr>
      <w:bookmarkStart w:id="10" w:name="StdEnglishName"/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Technical specifications for processing mulberry bud tea</w:t>
      </w:r>
      <w:r>
        <w:fldChar w:fldCharType="end"/>
      </w:r>
      <w:bookmarkEnd w:id="10"/>
    </w:p>
    <w:p w14:paraId="0AD4EE9C">
      <w:pPr>
        <w:pStyle w:val="58"/>
      </w:pPr>
      <w:bookmarkStart w:id="11" w:name="YZBS"/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11"/>
    </w:p>
    <w:tbl>
      <w:tblPr>
        <w:tblStyle w:val="3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377FD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0702630">
            <w:pPr>
              <w:pStyle w:val="57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0"/>
                      <wp:wrapNone/>
                      <wp:docPr id="3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337.15pt;height:20pt;width:150pt;z-index:-251655168;mso-width-relative:page;mso-height-relative:page;" fillcolor="#FFFFFF" filled="t" stroked="f" coordsize="21600,21600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f1/fg1wAAAAsB&#10;AAAPAAAAAAAAAAEAIAAAACIAAABkcnMvZG93bnJldi54bWxQSwECFAAUAAAACACHTuJAjWJ5laoB&#10;AABnAwAADgAAAAAAAAABACAAAAAmAQAAZHJzL2Uyb0RvYy54bWxQSwUGAAAAAAYABgBZAQAAQgUA&#10;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12"/>
          </w:p>
        </w:tc>
      </w:tr>
      <w:tr w14:paraId="5C6304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961D325">
            <w:pPr>
              <w:pStyle w:val="78"/>
            </w:pPr>
            <w:bookmarkStart w:id="13" w:name="WCRQ"/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（本稿完成日期：202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3日）</w:t>
            </w:r>
            <w:r>
              <w:fldChar w:fldCharType="end"/>
            </w:r>
            <w:bookmarkEnd w:id="13"/>
          </w:p>
        </w:tc>
      </w:tr>
    </w:tbl>
    <w:p w14:paraId="3567713C">
      <w:pPr>
        <w:pStyle w:val="126"/>
      </w:pPr>
      <w:bookmarkStart w:id="14" w:name="FY"/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0" b="0"/>
                <wp:wrapNone/>
                <wp:docPr id="5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-0.05pt;margin-top:728.5pt;height:0pt;width:481.9pt;mso-position-vertical-relative:page;z-index:251663360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WHazzWAAAA&#10;CwEAAA8AAAAAAAAAAQAgAAAAIgAAAGRycy9kb3ducmV2LnhtbFBLAQIUABQAAAAIAIdO4kA3tMMG&#10;5gEAANwDAAAOAAAAAAAAAAEAIAAAACU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41B50667">
      <w:pPr>
        <w:pStyle w:val="96"/>
      </w:pPr>
      <w:bookmarkStart w:id="16" w:name="SY"/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p w14:paraId="67473537">
      <w:pPr>
        <w:pStyle w:val="65"/>
      </w:pPr>
      <w:bookmarkStart w:id="19" w:name="fm"/>
      <w:r>
        <w:rPr>
          <w:w w:val="10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0" b="0"/>
                <wp:wrapNone/>
                <wp:docPr id="2" name="LB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LB" o:spid="_x0000_s1026" o:spt="1" style="position:absolute;left:0pt;margin-left:142.55pt;margin-top:-310.45pt;height:24pt;width:100pt;z-index:-251656192;mso-width-relative:page;mso-height-relative:page;" fillcolor="#FFFFFF" filled="t" stroked="f" coordsize="21600,2160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+bXu1tkAAAAN&#10;AQAADwAAAAAAAAABACAAAAAiAAAAZHJzL2Rvd25yZXYueG1sUEsBAhQAFAAAAAgAh07iQBXfBLqp&#10;AQAAZwMAAA4AAAAAAAAAAQAgAAAAKAEAAGRycy9lMm9Eb2MueG1sUEsFBgAAAAAGAAYAWQEAAEMF&#10;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w w:val="10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1" name="D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DT" o:spid="_x0000_s1026" o:spt="1" style="position:absolute;left:0pt;margin-left:347.55pt;margin-top:-585.45pt;height:18pt;width:90pt;z-index:-251657216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fyYoR2gAA&#10;AA8BAAAPAAAAAAAAAAEAIAAAACIAAABkcnMvZG93bnJldi54bWxQSwECFAAUAAAACACHTuJA9p9R&#10;CqoBAABnAwAADgAAAAAAAAABACAAAAApAQAAZHJzL2Uyb0RvYy54bWxQSwUGAAAAAAYABgBZAQAA&#10;RQ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w w:val="1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0" r="0" b="0"/>
                <wp:wrapNone/>
                <wp:docPr id="6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-36.6pt;margin-top:-552.85pt;height:0pt;width:481.9pt;z-index:251664384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slkaDY&#10;AAAADwEAAA8AAAAAAAAAAQAgAAAAIgAAAGRycy9kb3ducmV2LnhtbFBLAQIUABQAAAAIAIdO4kAB&#10;DqeS5wEAANwDAAAOAAAAAAAAAAEAIAAAACc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rPr>
          <w:rFonts w:hint="eastAsia"/>
        </w:rPr>
        <w:t>江西省市场监督管理局</w:t>
      </w:r>
      <w:r>
        <w:fldChar w:fldCharType="end"/>
      </w:r>
      <w:bookmarkEnd w:id="19"/>
      <w:r>
        <w:rPr>
          <w:rFonts w:hAnsi="黑体"/>
        </w:rPr>
        <w:t>   </w:t>
      </w:r>
      <w:r>
        <w:rPr>
          <w:rStyle w:val="41"/>
          <w:rFonts w:hint="eastAsia"/>
        </w:rPr>
        <w:t>发布</w:t>
      </w:r>
    </w:p>
    <w:p w14:paraId="160F04F2">
      <w:pPr>
        <w:pStyle w:val="21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567" w:right="850" w:bottom="1134" w:left="1418" w:header="0" w:footer="0" w:gutter="0"/>
          <w:pgNumType w:start="1"/>
          <w:cols w:space="720" w:num="1"/>
          <w:docGrid w:type="lines" w:linePitch="312" w:charSpace="0"/>
        </w:sectPr>
      </w:pPr>
    </w:p>
    <w:p w14:paraId="2ED14667">
      <w:pPr>
        <w:pStyle w:val="62"/>
        <w:rPr>
          <w:rFonts w:hint="eastAsia"/>
        </w:rPr>
      </w:pPr>
      <w:bookmarkStart w:id="20" w:name="_Toc526946704"/>
      <w:bookmarkStart w:id="21" w:name="_Toc526945991"/>
      <w:r>
        <w:rPr>
          <w:rFonts w:hint="eastAsia"/>
        </w:rPr>
        <w:t>目</w:t>
      </w:r>
      <w:bookmarkStart w:id="22" w:name="BKML"/>
      <w:r>
        <w:rPr>
          <w:rFonts w:hAnsi="黑体"/>
        </w:rPr>
        <w:t>  </w:t>
      </w:r>
      <w:r>
        <w:rPr>
          <w:rFonts w:hint="eastAsia"/>
        </w:rPr>
        <w:t>次</w:t>
      </w:r>
      <w:bookmarkEnd w:id="22"/>
    </w:p>
    <w:p w14:paraId="52A817CE">
      <w:pPr>
        <w:pStyle w:val="17"/>
        <w:tabs>
          <w:tab w:val="right" w:leader="dot" w:pos="9354"/>
          <w:tab w:val="clear" w:pos="9241"/>
        </w:tabs>
      </w:pPr>
      <w:r>
        <w:fldChar w:fldCharType="begin"/>
      </w:r>
      <w:r>
        <w:instrText xml:space="preserve"> TOC \h \z \t"前言、引言标题,1,参考文献、索引标题,1,章标题,1,参考文献,1,附录标识,1" \* MERGEFORMAT </w:instrText>
      </w:r>
      <w:r>
        <w:fldChar w:fldCharType="separate"/>
      </w:r>
      <w:r>
        <w:fldChar w:fldCharType="begin"/>
      </w:r>
      <w:r>
        <w:instrText xml:space="preserve"> HYPERLINK \l _Toc27202 </w:instrText>
      </w:r>
      <w:r>
        <w:fldChar w:fldCharType="separate"/>
      </w:r>
      <w:r>
        <w:rPr>
          <w:rFonts w:hint="eastAsia"/>
        </w:rPr>
        <w:t>前</w:t>
      </w:r>
      <w:r>
        <w:rPr>
          <w:rFonts w:hAnsi="黑体"/>
        </w:rPr>
        <w:t>  </w:t>
      </w:r>
      <w:r>
        <w:rPr>
          <w:rFonts w:hint="eastAsia"/>
        </w:rPr>
        <w:t>言</w:t>
      </w:r>
      <w:r>
        <w:tab/>
      </w:r>
      <w:r>
        <w:fldChar w:fldCharType="begin"/>
      </w:r>
      <w:r>
        <w:instrText xml:space="preserve"> PAGEREF _Toc27202 \h </w:instrText>
      </w:r>
      <w:r>
        <w:fldChar w:fldCharType="separate"/>
      </w:r>
      <w:r>
        <w:t>II</w:t>
      </w:r>
      <w:r>
        <w:fldChar w:fldCharType="end"/>
      </w:r>
      <w:r>
        <w:fldChar w:fldCharType="end"/>
      </w:r>
    </w:p>
    <w:p w14:paraId="11FE38B0">
      <w:pPr>
        <w:pStyle w:val="17"/>
        <w:tabs>
          <w:tab w:val="right" w:leader="dot" w:pos="9354"/>
          <w:tab w:val="clear" w:pos="9241"/>
        </w:tabs>
      </w:pPr>
      <w:r>
        <w:fldChar w:fldCharType="begin"/>
      </w:r>
      <w:r>
        <w:instrText xml:space="preserve"> HYPERLINK \l _Toc6820 </w:instrText>
      </w:r>
      <w:r>
        <w:fldChar w:fldCharType="separate"/>
      </w:r>
      <w:r>
        <w:rPr>
          <w:rFonts w:hint="eastAsia" w:ascii="黑体" w:hAnsi="Times New Roman" w:eastAsia="黑体"/>
          <w:i w:val="0"/>
          <w:szCs w:val="21"/>
        </w:rPr>
        <w:t xml:space="preserve">1 </w:t>
      </w:r>
      <w:r>
        <w:rPr>
          <w:rFonts w:hint="eastAsia"/>
        </w:rPr>
        <w:t>范围</w:t>
      </w:r>
      <w:r>
        <w:tab/>
      </w:r>
      <w:r>
        <w:fldChar w:fldCharType="begin"/>
      </w:r>
      <w:r>
        <w:instrText xml:space="preserve"> PAGEREF _Toc6820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34998904">
      <w:pPr>
        <w:pStyle w:val="17"/>
        <w:tabs>
          <w:tab w:val="right" w:leader="dot" w:pos="9354"/>
          <w:tab w:val="clear" w:pos="9241"/>
        </w:tabs>
      </w:pPr>
      <w:r>
        <w:fldChar w:fldCharType="begin"/>
      </w:r>
      <w:r>
        <w:instrText xml:space="preserve"> HYPERLINK \l _Toc13872 </w:instrText>
      </w:r>
      <w:r>
        <w:fldChar w:fldCharType="separate"/>
      </w:r>
      <w:r>
        <w:rPr>
          <w:rFonts w:hint="eastAsia" w:ascii="黑体" w:hAnsi="Times New Roman" w:eastAsia="黑体"/>
          <w:i w:val="0"/>
          <w:szCs w:val="21"/>
        </w:rPr>
        <w:t xml:space="preserve">2 </w:t>
      </w:r>
      <w:r>
        <w:t>规范性引用文件</w:t>
      </w:r>
      <w:r>
        <w:tab/>
      </w:r>
      <w:r>
        <w:fldChar w:fldCharType="begin"/>
      </w:r>
      <w:r>
        <w:instrText xml:space="preserve"> PAGEREF _Toc13872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F1C5370">
      <w:pPr>
        <w:pStyle w:val="17"/>
        <w:tabs>
          <w:tab w:val="right" w:leader="dot" w:pos="9354"/>
          <w:tab w:val="clear" w:pos="9241"/>
        </w:tabs>
      </w:pPr>
      <w:r>
        <w:fldChar w:fldCharType="begin"/>
      </w:r>
      <w:r>
        <w:instrText xml:space="preserve"> HYPERLINK \l _Toc14949 </w:instrText>
      </w:r>
      <w:r>
        <w:fldChar w:fldCharType="separate"/>
      </w:r>
      <w:r>
        <w:rPr>
          <w:rFonts w:hint="eastAsia" w:ascii="黑体" w:hAnsi="Times New Roman" w:eastAsia="黑体"/>
          <w:i w:val="0"/>
          <w:szCs w:val="21"/>
        </w:rPr>
        <w:t xml:space="preserve">3 </w:t>
      </w:r>
      <w:r>
        <w:t>术语和定义</w:t>
      </w:r>
      <w:r>
        <w:tab/>
      </w:r>
      <w:r>
        <w:fldChar w:fldCharType="begin"/>
      </w:r>
      <w:r>
        <w:instrText xml:space="preserve"> PAGEREF _Toc14949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EDFAF17">
      <w:pPr>
        <w:pStyle w:val="17"/>
        <w:tabs>
          <w:tab w:val="right" w:leader="dot" w:pos="9354"/>
          <w:tab w:val="clear" w:pos="9241"/>
        </w:tabs>
      </w:pPr>
      <w:r>
        <w:fldChar w:fldCharType="begin"/>
      </w:r>
      <w:r>
        <w:instrText xml:space="preserve"> HYPERLINK \l _Toc21100 </w:instrText>
      </w:r>
      <w:r>
        <w:fldChar w:fldCharType="separate"/>
      </w:r>
      <w:r>
        <w:rPr>
          <w:rFonts w:hint="eastAsia" w:ascii="黑体" w:hAnsi="Times New Roman" w:eastAsia="黑体"/>
          <w:i w:val="0"/>
          <w:szCs w:val="21"/>
        </w:rPr>
        <w:t xml:space="preserve">4 </w:t>
      </w:r>
      <w:r>
        <w:rPr>
          <w:rFonts w:hint="eastAsia" w:ascii="Times New Roman"/>
          <w:szCs w:val="21"/>
        </w:rPr>
        <w:t>原料要求</w:t>
      </w:r>
      <w:r>
        <w:tab/>
      </w:r>
      <w:r>
        <w:fldChar w:fldCharType="begin"/>
      </w:r>
      <w:r>
        <w:instrText xml:space="preserve"> PAGEREF _Toc21100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F8B2A23">
      <w:pPr>
        <w:pStyle w:val="17"/>
        <w:tabs>
          <w:tab w:val="right" w:leader="dot" w:pos="9354"/>
          <w:tab w:val="clear" w:pos="9241"/>
        </w:tabs>
      </w:pPr>
      <w:r>
        <w:fldChar w:fldCharType="begin"/>
      </w:r>
      <w:r>
        <w:instrText xml:space="preserve"> HYPERLINK \l _Toc24786 </w:instrText>
      </w:r>
      <w:r>
        <w:fldChar w:fldCharType="separate"/>
      </w:r>
      <w:r>
        <w:rPr>
          <w:rFonts w:hint="eastAsia" w:ascii="黑体" w:hAnsi="Times New Roman" w:eastAsia="黑体"/>
          <w:i w:val="0"/>
          <w:szCs w:val="21"/>
        </w:rPr>
        <w:t xml:space="preserve">5 </w:t>
      </w:r>
      <w:r>
        <w:rPr>
          <w:rFonts w:hint="eastAsia" w:ascii="Times New Roman"/>
        </w:rPr>
        <w:t>技术要求</w:t>
      </w:r>
      <w:r>
        <w:tab/>
      </w:r>
      <w:r>
        <w:fldChar w:fldCharType="begin"/>
      </w:r>
      <w:r>
        <w:instrText xml:space="preserve"> PAGEREF _Toc24786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3ABF9C4">
      <w:pPr>
        <w:pStyle w:val="17"/>
        <w:tabs>
          <w:tab w:val="right" w:leader="dot" w:pos="9354"/>
          <w:tab w:val="clear" w:pos="9241"/>
        </w:tabs>
      </w:pPr>
      <w:r>
        <w:fldChar w:fldCharType="begin"/>
      </w:r>
      <w:r>
        <w:instrText xml:space="preserve"> HYPERLINK \l _Toc9434 </w:instrText>
      </w:r>
      <w:r>
        <w:fldChar w:fldCharType="separate"/>
      </w:r>
      <w:r>
        <w:rPr>
          <w:rFonts w:hint="eastAsia" w:ascii="黑体" w:hAnsi="Times New Roman" w:eastAsia="黑体"/>
          <w:i w:val="0"/>
          <w:szCs w:val="21"/>
        </w:rPr>
        <w:t xml:space="preserve">6 </w:t>
      </w:r>
      <w:r>
        <w:rPr>
          <w:rFonts w:hint="eastAsia" w:ascii="Times New Roman"/>
        </w:rPr>
        <w:t>品质要求</w:t>
      </w:r>
      <w:r>
        <w:tab/>
      </w:r>
      <w:r>
        <w:fldChar w:fldCharType="begin"/>
      </w:r>
      <w:r>
        <w:instrText xml:space="preserve"> PAGEREF _Toc9434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0EE246CC">
      <w:pPr>
        <w:pStyle w:val="17"/>
        <w:tabs>
          <w:tab w:val="right" w:leader="dot" w:pos="9354"/>
          <w:tab w:val="clear" w:pos="9241"/>
        </w:tabs>
      </w:pPr>
      <w:r>
        <w:fldChar w:fldCharType="begin"/>
      </w:r>
      <w:r>
        <w:instrText xml:space="preserve"> HYPERLINK \l _Toc29446 </w:instrText>
      </w:r>
      <w:r>
        <w:fldChar w:fldCharType="separate"/>
      </w:r>
      <w:r>
        <w:rPr>
          <w:rFonts w:hint="eastAsia" w:ascii="黑体" w:hAnsi="Times New Roman" w:eastAsia="黑体"/>
          <w:i w:val="0"/>
          <w:szCs w:val="21"/>
        </w:rPr>
        <w:t xml:space="preserve">7 </w:t>
      </w:r>
      <w:r>
        <w:rPr>
          <w:rFonts w:hint="eastAsia" w:ascii="Times New Roman"/>
        </w:rPr>
        <w:t>检验</w:t>
      </w:r>
      <w:r>
        <w:rPr>
          <w:rFonts w:hint="eastAsia"/>
        </w:rPr>
        <w:t>规则</w:t>
      </w:r>
      <w:r>
        <w:tab/>
      </w:r>
      <w:r>
        <w:fldChar w:fldCharType="begin"/>
      </w:r>
      <w:r>
        <w:instrText xml:space="preserve"> PAGEREF _Toc29446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BA866B5">
      <w:pPr>
        <w:pStyle w:val="17"/>
        <w:tabs>
          <w:tab w:val="right" w:leader="dot" w:pos="9354"/>
          <w:tab w:val="clear" w:pos="9241"/>
        </w:tabs>
      </w:pPr>
      <w:r>
        <w:fldChar w:fldCharType="begin"/>
      </w:r>
      <w:r>
        <w:instrText xml:space="preserve"> HYPERLINK \l _Toc16871 </w:instrText>
      </w:r>
      <w:r>
        <w:fldChar w:fldCharType="separate"/>
      </w:r>
      <w:r>
        <w:rPr>
          <w:rFonts w:hint="eastAsia" w:ascii="黑体" w:hAnsi="Times New Roman" w:eastAsia="黑体"/>
          <w:i w:val="0"/>
          <w:szCs w:val="21"/>
        </w:rPr>
        <w:t xml:space="preserve">8 </w:t>
      </w:r>
      <w:r>
        <w:rPr>
          <w:rFonts w:hint="eastAsia" w:ascii="Times New Roman"/>
        </w:rPr>
        <w:t>标志、标签</w:t>
      </w:r>
      <w:r>
        <w:tab/>
      </w:r>
      <w:r>
        <w:fldChar w:fldCharType="begin"/>
      </w:r>
      <w:r>
        <w:instrText xml:space="preserve"> PAGEREF _Toc16871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72AD1D3">
      <w:pPr>
        <w:pStyle w:val="17"/>
        <w:tabs>
          <w:tab w:val="right" w:leader="dot" w:pos="9354"/>
          <w:tab w:val="clear" w:pos="9241"/>
        </w:tabs>
      </w:pPr>
      <w:r>
        <w:fldChar w:fldCharType="begin"/>
      </w:r>
      <w:r>
        <w:instrText xml:space="preserve"> HYPERLINK \l _Toc20619 </w:instrText>
      </w:r>
      <w:r>
        <w:fldChar w:fldCharType="separate"/>
      </w:r>
      <w:r>
        <w:rPr>
          <w:rFonts w:hint="eastAsia" w:ascii="黑体" w:hAnsi="Times New Roman" w:eastAsia="黑体"/>
          <w:i w:val="0"/>
          <w:szCs w:val="21"/>
        </w:rPr>
        <w:t xml:space="preserve">9 </w:t>
      </w:r>
      <w:r>
        <w:rPr>
          <w:rFonts w:hint="eastAsia" w:ascii="Times New Roman"/>
        </w:rPr>
        <w:t>包装、运输和贮存</w:t>
      </w:r>
      <w:r>
        <w:tab/>
      </w:r>
      <w:r>
        <w:fldChar w:fldCharType="begin"/>
      </w:r>
      <w:r>
        <w:instrText xml:space="preserve"> PAGEREF _Toc20619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78303DB">
      <w:pPr>
        <w:pStyle w:val="21"/>
      </w:pPr>
      <w:r>
        <w:fldChar w:fldCharType="end"/>
      </w:r>
    </w:p>
    <w:p w14:paraId="313F2DE1">
      <w:pPr>
        <w:pStyle w:val="103"/>
        <w:rPr>
          <w:rFonts w:hint="eastAsia"/>
        </w:rPr>
      </w:pPr>
      <w:bookmarkStart w:id="23" w:name="_Toc527704460"/>
      <w:bookmarkStart w:id="24" w:name="_Toc27202"/>
      <w:r>
        <w:rPr>
          <w:rFonts w:hint="eastAsia"/>
        </w:rPr>
        <w:t>前</w:t>
      </w:r>
      <w:bookmarkStart w:id="25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20"/>
      <w:bookmarkEnd w:id="21"/>
      <w:bookmarkEnd w:id="23"/>
      <w:bookmarkEnd w:id="24"/>
      <w:bookmarkEnd w:id="25"/>
    </w:p>
    <w:p w14:paraId="50941A60">
      <w:pPr>
        <w:adjustRightInd w:val="0"/>
        <w:spacing w:line="320" w:lineRule="exact"/>
        <w:ind w:firstLine="420" w:firstLineChars="200"/>
        <w:jc w:val="left"/>
        <w:rPr>
          <w:rFonts w:hint="eastAsia" w:ascii="宋体" w:hAnsi="宋体"/>
          <w:bCs/>
          <w:color w:val="auto"/>
          <w:kern w:val="0"/>
          <w:szCs w:val="21"/>
        </w:rPr>
      </w:pPr>
      <w:r>
        <w:rPr>
          <w:rFonts w:hint="eastAsia" w:ascii="宋体"/>
          <w:bCs/>
          <w:color w:val="auto"/>
          <w:kern w:val="0"/>
          <w:szCs w:val="21"/>
        </w:rPr>
        <w:t>本标准按照GB/T1.1-20</w:t>
      </w:r>
      <w:r>
        <w:rPr>
          <w:rFonts w:hint="eastAsia" w:ascii="宋体"/>
          <w:bCs/>
          <w:color w:val="auto"/>
          <w:kern w:val="0"/>
          <w:szCs w:val="21"/>
          <w:lang w:val="en-US" w:eastAsia="zh-CN"/>
        </w:rPr>
        <w:t>20</w:t>
      </w:r>
      <w:r>
        <w:rPr>
          <w:rFonts w:hint="eastAsia" w:ascii="宋体" w:hAnsi="宋体"/>
          <w:bCs/>
          <w:color w:val="auto"/>
          <w:kern w:val="0"/>
          <w:szCs w:val="21"/>
        </w:rPr>
        <w:t>《标准化工作导则 第1部分：标准的结构和编写规则》给出的规则起草。</w:t>
      </w:r>
    </w:p>
    <w:p w14:paraId="1C64FA55">
      <w:pPr>
        <w:adjustRightInd w:val="0"/>
        <w:spacing w:line="320" w:lineRule="exact"/>
        <w:ind w:left="437" w:leftChars="208"/>
        <w:jc w:val="left"/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</w:pPr>
      <w:r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  <w:t>请注意本文件的某些内容可能涉及专利。本文件的发布机构不承担识别专利的责任。</w:t>
      </w:r>
    </w:p>
    <w:p w14:paraId="1222F583">
      <w:pPr>
        <w:adjustRightInd w:val="0"/>
        <w:spacing w:line="320" w:lineRule="exact"/>
        <w:ind w:left="437" w:leftChars="208"/>
        <w:jc w:val="left"/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</w:pPr>
      <w:r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  <w:t>本标准由江西省农业农村厅提出并归口。</w:t>
      </w:r>
    </w:p>
    <w:p w14:paraId="15973D1F">
      <w:pPr>
        <w:adjustRightInd w:val="0"/>
        <w:spacing w:line="320" w:lineRule="exact"/>
        <w:ind w:firstLine="420" w:firstLineChars="200"/>
        <w:jc w:val="left"/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</w:pPr>
      <w:r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  <w:t>本标准起草单位：修水县蚕桑产业服务中心、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  <w:lang w:val="en-US" w:eastAsia="zh-CN"/>
        </w:rPr>
        <w:t>江西省经济作物研究所、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  <w:t>江西省修水神茶实业有限公司、九江市修水茶叶科学研究所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  <w:lang w:eastAsia="zh-CN"/>
        </w:rPr>
        <w:t>、修水县市场监督管理局、</w:t>
      </w:r>
      <w:r>
        <w:rPr>
          <w:rFonts w:hint="eastAsia" w:ascii="宋体" w:cs="Times New Roman"/>
          <w:bCs/>
          <w:color w:val="auto"/>
          <w:kern w:val="0"/>
          <w:szCs w:val="21"/>
          <w:lang w:eastAsia="zh-CN"/>
        </w:rPr>
        <w:t>江西井冈蚕种科技有限公司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  <w:t>。</w:t>
      </w:r>
    </w:p>
    <w:p w14:paraId="3FB4F715">
      <w:pPr>
        <w:adjustRightInd w:val="0"/>
        <w:spacing w:line="320" w:lineRule="exact"/>
        <w:ind w:firstLine="420" w:firstLineChars="200"/>
        <w:jc w:val="left"/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  <w:sectPr>
          <w:headerReference r:id="rId9" w:type="default"/>
          <w:footerReference r:id="rId10" w:type="default"/>
          <w:pgSz w:w="11906" w:h="16838"/>
          <w:pgMar w:top="567" w:right="1134" w:bottom="1134" w:left="1418" w:header="1418" w:footer="1134" w:gutter="0"/>
          <w:pgNumType w:fmt="upperRoman" w:start="1"/>
          <w:cols w:space="720" w:num="1"/>
          <w:formProt w:val="0"/>
          <w:docGrid w:type="lines" w:linePitch="312" w:charSpace="0"/>
        </w:sectPr>
      </w:pPr>
      <w:r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  <w:t>本标准主要起草人：梁财、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  <w:lang w:val="en-US" w:eastAsia="zh-CN"/>
        </w:rPr>
        <w:t>姚金宝、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  <w:t>陈思洋、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  <w:lang w:val="en-US" w:eastAsia="zh-CN"/>
        </w:rPr>
        <w:t>王冬生、</w:t>
      </w:r>
      <w:r>
        <w:rPr>
          <w:rFonts w:hint="eastAsia" w:ascii="宋体" w:cs="Times New Roman"/>
          <w:bCs/>
          <w:color w:val="auto"/>
          <w:kern w:val="0"/>
          <w:szCs w:val="21"/>
          <w:lang w:val="en-US" w:eastAsia="zh-CN"/>
        </w:rPr>
        <w:t>曾小健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  <w:lang w:val="en-US" w:eastAsia="zh-CN"/>
        </w:rPr>
        <w:t>、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  <w:t>陈罗君、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  <w:lang w:val="en-US" w:eastAsia="zh-CN"/>
        </w:rPr>
        <w:t>余于国、</w:t>
      </w:r>
      <w:r>
        <w:rPr>
          <w:rFonts w:hint="eastAsia" w:ascii="宋体" w:cs="Times New Roman"/>
          <w:bCs/>
          <w:color w:val="auto"/>
          <w:kern w:val="0"/>
          <w:szCs w:val="21"/>
          <w:lang w:val="en-US" w:eastAsia="zh-CN"/>
        </w:rPr>
        <w:t>周建邦、李丽梅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  <w:lang w:eastAsia="zh-CN"/>
        </w:rPr>
        <w:t>、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  <w:lang w:val="en-US" w:eastAsia="zh-CN"/>
        </w:rPr>
        <w:t>黄继会、冷鹏谦、周燚寄、郭鸿云、</w:t>
      </w:r>
      <w:r>
        <w:rPr>
          <w:rFonts w:hint="eastAsia" w:ascii="宋体" w:cs="Times New Roman"/>
          <w:bCs/>
          <w:color w:val="auto"/>
          <w:kern w:val="0"/>
          <w:szCs w:val="21"/>
          <w:lang w:val="en-US" w:eastAsia="zh-CN"/>
        </w:rPr>
        <w:t>曾莉红、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  <w:lang w:val="en-US" w:eastAsia="zh-CN"/>
        </w:rPr>
        <w:t>卢彬、杨熙昴、夏凤、徐倩婷、周浩</w:t>
      </w:r>
      <w:r>
        <w:rPr>
          <w:rFonts w:hint="eastAsia" w:ascii="宋体" w:hAnsi="Times New Roman" w:eastAsia="宋体" w:cs="Times New Roman"/>
          <w:bCs/>
          <w:color w:val="auto"/>
          <w:kern w:val="0"/>
          <w:szCs w:val="21"/>
        </w:rPr>
        <w:t>。</w:t>
      </w:r>
    </w:p>
    <w:p w14:paraId="137A701B">
      <w:pPr>
        <w:pStyle w:val="62"/>
        <w:rPr>
          <w:color w:val="FF0000"/>
        </w:rPr>
      </w:pPr>
      <w:r>
        <w:rPr>
          <w:rFonts w:hint="eastAsia" w:ascii="Times New Roman"/>
          <w:bCs/>
          <w:color w:val="000000"/>
          <w:szCs w:val="32"/>
        </w:rPr>
        <w:t>桑芽茶加工技术规程</w:t>
      </w:r>
    </w:p>
    <w:p w14:paraId="30275CCA">
      <w:pPr>
        <w:pStyle w:val="97"/>
        <w:rPr>
          <w:rFonts w:hint="eastAsia"/>
        </w:rPr>
      </w:pPr>
      <w:bookmarkStart w:id="26" w:name="_Toc526945992"/>
      <w:bookmarkStart w:id="27" w:name="_Toc526946705"/>
      <w:bookmarkStart w:id="28" w:name="_Toc526944678"/>
      <w:bookmarkStart w:id="29" w:name="_Toc527704461"/>
      <w:bookmarkStart w:id="30" w:name="_Toc6820"/>
      <w:r>
        <w:rPr>
          <w:rFonts w:hint="eastAsia"/>
        </w:rPr>
        <w:t>范围</w:t>
      </w:r>
      <w:bookmarkEnd w:id="26"/>
      <w:bookmarkEnd w:id="27"/>
      <w:bookmarkEnd w:id="28"/>
      <w:bookmarkEnd w:id="29"/>
      <w:bookmarkEnd w:id="30"/>
    </w:p>
    <w:p w14:paraId="094F6B17">
      <w:pPr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本标准规定了</w:t>
      </w:r>
      <w:r>
        <w:rPr>
          <w:rFonts w:hint="eastAsia" w:ascii="宋体" w:hAnsi="宋体" w:cs="宋体"/>
        </w:rPr>
        <w:t>桑芽茶</w:t>
      </w:r>
      <w:r>
        <w:rPr>
          <w:rFonts w:hint="eastAsia" w:ascii="宋体" w:hAnsi="宋体" w:cs="宋体"/>
          <w:kern w:val="0"/>
          <w:szCs w:val="21"/>
        </w:rPr>
        <w:t>的术语和定义、原料要求、技术要求、品质要求、检验规则、标志、标签、包装、运输和贮存等。</w:t>
      </w:r>
    </w:p>
    <w:p w14:paraId="62D64514">
      <w:pPr>
        <w:ind w:firstLine="420" w:firstLineChars="200"/>
        <w:jc w:val="left"/>
        <w:rPr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本标准适用于在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江西省</w:t>
      </w:r>
      <w:r>
        <w:rPr>
          <w:rFonts w:hint="eastAsia" w:ascii="宋体" w:hAnsi="宋体" w:cs="宋体"/>
          <w:kern w:val="0"/>
          <w:szCs w:val="21"/>
        </w:rPr>
        <w:t>采用新鲜桑芽生产的桑芽茶。</w:t>
      </w:r>
    </w:p>
    <w:p w14:paraId="780DC513">
      <w:pPr>
        <w:pStyle w:val="97"/>
      </w:pPr>
      <w:bookmarkStart w:id="31" w:name="_Toc521158401"/>
      <w:bookmarkStart w:id="32" w:name="_Toc535569919"/>
      <w:bookmarkStart w:id="33" w:name="_Toc28595773"/>
      <w:bookmarkStart w:id="34" w:name="_Toc28595479"/>
      <w:bookmarkStart w:id="35" w:name="_Toc27389302"/>
      <w:bookmarkStart w:id="36" w:name="_Toc28356281"/>
      <w:bookmarkStart w:id="37" w:name="_Toc28595678"/>
      <w:bookmarkStart w:id="38" w:name="_Toc28595577"/>
      <w:bookmarkStart w:id="39" w:name="_Toc27749163"/>
      <w:bookmarkStart w:id="40" w:name="_Toc28595634"/>
      <w:bookmarkStart w:id="41" w:name="_Toc28250905"/>
      <w:bookmarkStart w:id="42" w:name="_Toc28251126"/>
      <w:bookmarkStart w:id="43" w:name="_Toc28356175"/>
      <w:bookmarkStart w:id="44" w:name="_Toc28251060"/>
      <w:bookmarkStart w:id="45" w:name="_Toc28596083"/>
      <w:bookmarkStart w:id="46" w:name="_Toc521159813"/>
      <w:bookmarkStart w:id="47" w:name="_Toc28595166"/>
      <w:bookmarkStart w:id="48" w:name="_Toc535570068"/>
      <w:bookmarkStart w:id="49" w:name="_Toc28356080"/>
      <w:bookmarkStart w:id="50" w:name="_Toc28356668"/>
      <w:bookmarkStart w:id="51" w:name="_Toc28250871"/>
      <w:bookmarkStart w:id="52" w:name="_Toc13872"/>
      <w:r>
        <w:t>规范性引用文件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5CBB76B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3D3A8619">
      <w:pPr>
        <w:pStyle w:val="21"/>
        <w:rPr>
          <w:rFonts w:hint="eastAsia" w:hAnsi="宋体" w:cs="宋体"/>
        </w:rPr>
      </w:pPr>
      <w:r>
        <w:rPr>
          <w:rFonts w:hint="eastAsia" w:ascii="宋体" w:hAnsi="宋体" w:eastAsia="宋体" w:cs="宋体"/>
        </w:rPr>
        <w:t>NY/T 5010-2016</w:t>
      </w:r>
      <w:r>
        <w:rPr>
          <w:rFonts w:hint="eastAsia" w:hAnsi="宋体" w:eastAsia="宋体" w:cs="宋体"/>
          <w:lang w:val="en-US" w:eastAsia="zh-CN"/>
        </w:rPr>
        <w:t xml:space="preserve">  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行业标准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无公害农产品 种植业产地环境条件</w:t>
      </w:r>
    </w:p>
    <w:p w14:paraId="4CBBBB3C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GB 14881 食品安全国家标准 食品生产通用卫生规范</w:t>
      </w:r>
    </w:p>
    <w:p w14:paraId="57C78C09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GB 5009.3 食品安全国家标准 食品中水分的测定</w:t>
      </w:r>
    </w:p>
    <w:p w14:paraId="4773F5E0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GB 5009.4 食品安全国家标准 食品中灰分的测定</w:t>
      </w:r>
    </w:p>
    <w:p w14:paraId="48A9DD3F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GB 2762 食品安全国家标准 食品中污染物限量</w:t>
      </w:r>
    </w:p>
    <w:p w14:paraId="45237364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GB 2763 食品安全国家标准 食品中农药最大残留限量</w:t>
      </w:r>
    </w:p>
    <w:p w14:paraId="7BFBB470">
      <w:pPr>
        <w:pStyle w:val="21"/>
        <w:rPr>
          <w:rFonts w:hAnsi="宋体" w:cs="宋体"/>
        </w:rPr>
      </w:pPr>
      <w:r>
        <w:rPr>
          <w:rFonts w:hint="eastAsia"/>
        </w:rPr>
        <w:t>JJF 1070 定量包装商品净含量计量检验规则</w:t>
      </w:r>
    </w:p>
    <w:p w14:paraId="2AFE2493">
      <w:pPr>
        <w:pStyle w:val="21"/>
        <w:rPr>
          <w:rFonts w:hAnsi="宋体" w:cs="宋体"/>
        </w:rPr>
      </w:pPr>
      <w:r>
        <w:rPr>
          <w:rFonts w:hint="eastAsia" w:hAnsi="宋体" w:cs="宋体"/>
        </w:rPr>
        <w:t>GB/T 8302 茶 取样</w:t>
      </w:r>
    </w:p>
    <w:p w14:paraId="187E4646">
      <w:pPr>
        <w:pStyle w:val="21"/>
        <w:rPr>
          <w:rFonts w:hint="eastAsia"/>
        </w:rPr>
      </w:pPr>
      <w:r>
        <w:rPr>
          <w:rFonts w:hint="eastAsia"/>
        </w:rPr>
        <w:t>国家市场监督管理总局</w:t>
      </w:r>
      <w:r>
        <w:rPr>
          <w:rFonts w:hint="eastAsia"/>
          <w:lang w:eastAsia="zh-CN"/>
        </w:rPr>
        <w:t>〔2023〕70号</w:t>
      </w:r>
      <w:r>
        <w:rPr>
          <w:rFonts w:hint="eastAsia"/>
        </w:rPr>
        <w:t>令《定量包装商品计量监督管理办法》</w:t>
      </w:r>
    </w:p>
    <w:p w14:paraId="540C8CFA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GB/T 191  包装储运图示标志</w:t>
      </w:r>
    </w:p>
    <w:p w14:paraId="7CEB3934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GB 7718 食品安全国家标准 预包装食品标签通则</w:t>
      </w:r>
    </w:p>
    <w:p w14:paraId="33C9FA95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GB 4806.1 食品安全国家标准 食品接触材料及制品通用安全要求</w:t>
      </w:r>
    </w:p>
    <w:p w14:paraId="3D2C8237">
      <w:pPr>
        <w:pStyle w:val="21"/>
        <w:rPr>
          <w:rFonts w:hint="eastAsia" w:hAnsi="宋体" w:cs="宋体"/>
        </w:rPr>
      </w:pPr>
    </w:p>
    <w:p w14:paraId="7CB827C7">
      <w:pPr>
        <w:pStyle w:val="97"/>
      </w:pPr>
      <w:bookmarkStart w:id="53" w:name="_Toc521158402"/>
      <w:bookmarkEnd w:id="53"/>
      <w:bookmarkStart w:id="54" w:name="_Toc28595679"/>
      <w:bookmarkStart w:id="55" w:name="_Toc28356081"/>
      <w:bookmarkStart w:id="56" w:name="_Toc28595480"/>
      <w:bookmarkStart w:id="57" w:name="_Toc28596084"/>
      <w:bookmarkStart w:id="58" w:name="_Toc28595635"/>
      <w:bookmarkStart w:id="59" w:name="_Toc27749164"/>
      <w:bookmarkStart w:id="60" w:name="_Toc28251127"/>
      <w:bookmarkStart w:id="61" w:name="_Toc28595167"/>
      <w:bookmarkStart w:id="62" w:name="_Toc28251061"/>
      <w:bookmarkStart w:id="63" w:name="_Toc28356176"/>
      <w:bookmarkStart w:id="64" w:name="_Toc28356669"/>
      <w:bookmarkStart w:id="65" w:name="_Toc28595774"/>
      <w:bookmarkStart w:id="66" w:name="_Toc535569920"/>
      <w:bookmarkStart w:id="67" w:name="_Toc535570069"/>
      <w:bookmarkStart w:id="68" w:name="_Toc521159814"/>
      <w:bookmarkStart w:id="69" w:name="_Toc28250872"/>
      <w:bookmarkStart w:id="70" w:name="_Toc28250906"/>
      <w:bookmarkStart w:id="71" w:name="_Toc28356282"/>
      <w:bookmarkStart w:id="72" w:name="_Toc27389303"/>
      <w:bookmarkStart w:id="73" w:name="_Toc28595578"/>
      <w:bookmarkStart w:id="74" w:name="_Toc14949"/>
      <w:r>
        <w:t>术语和定义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5560935">
      <w:pPr>
        <w:pStyle w:val="21"/>
        <w:spacing w:before="156" w:after="156"/>
        <w:rPr>
          <w:rFonts w:ascii="Times New Roman"/>
        </w:rPr>
      </w:pPr>
      <w:r>
        <w:rPr>
          <w:rFonts w:ascii="Times New Roman"/>
        </w:rPr>
        <w:t>下列术语和定义适用于本</w:t>
      </w:r>
      <w:r>
        <w:rPr>
          <w:rFonts w:hint="eastAsia" w:ascii="Times New Roman"/>
        </w:rPr>
        <w:t>文件</w:t>
      </w:r>
      <w:r>
        <w:rPr>
          <w:rFonts w:ascii="Times New Roman"/>
        </w:rPr>
        <w:t>。</w:t>
      </w:r>
    </w:p>
    <w:p w14:paraId="194E3CFC">
      <w:pPr>
        <w:pStyle w:val="50"/>
        <w:bidi w:val="0"/>
        <w:ind w:left="0" w:leftChars="0" w:firstLine="0" w:firstLineChars="0"/>
        <w:rPr>
          <w:rFonts w:hint="eastAsia"/>
        </w:rPr>
      </w:pPr>
      <w:bookmarkStart w:id="75" w:name="_Toc521159815"/>
      <w:bookmarkEnd w:id="75"/>
      <w:bookmarkStart w:id="76" w:name="_Toc521159816"/>
      <w:bookmarkEnd w:id="76"/>
      <w:bookmarkStart w:id="77" w:name="_Toc535570070"/>
      <w:bookmarkStart w:id="78" w:name="_Toc535569921"/>
      <w:bookmarkStart w:id="79" w:name="_Toc28250873"/>
      <w:bookmarkStart w:id="80" w:name="_Toc27749165"/>
      <w:bookmarkStart w:id="81" w:name="_Toc27389304"/>
      <w:bookmarkStart w:id="82" w:name="_Toc535570071"/>
      <w:bookmarkStart w:id="83" w:name="_Toc535569922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桑芽茶（mulberry</w:t>
      </w:r>
      <w:r>
        <w:rPr>
          <w:rFonts w:hint="eastAsia"/>
          <w:lang w:val="en-US" w:eastAsia="zh-CN"/>
        </w:rPr>
        <w:t xml:space="preserve"> bud</w:t>
      </w:r>
      <w:r>
        <w:rPr>
          <w:rFonts w:hint="eastAsia"/>
        </w:rPr>
        <w:t xml:space="preserve"> ）</w:t>
      </w:r>
    </w:p>
    <w:p w14:paraId="0A8F9509">
      <w:pPr>
        <w:pStyle w:val="50"/>
        <w:numPr>
          <w:ilvl w:val="1"/>
          <w:numId w:val="0"/>
        </w:numPr>
        <w:bidi w:val="0"/>
        <w:ind w:leftChars="0"/>
        <w:rPr>
          <w:rFonts w:hint="default" w:ascii="宋体" w:hAnsi="宋体" w:eastAsia="宋体" w:cs="宋体"/>
          <w:sz w:val="21"/>
          <w:szCs w:val="20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0"/>
          <w:lang w:val="en-US" w:eastAsia="zh-CN" w:bidi="ar-SA"/>
        </w:rPr>
        <w:t>春季桑树顶部生长的嫩芽叶，包括一芽芯或一芽芯一竖叶。</w:t>
      </w:r>
    </w:p>
    <w:p w14:paraId="685E5C2B">
      <w:pPr>
        <w:pStyle w:val="5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桑芽茶（mulberry</w:t>
      </w:r>
      <w:r>
        <w:rPr>
          <w:rFonts w:hint="eastAsia"/>
          <w:lang w:val="en-US" w:eastAsia="zh-CN"/>
        </w:rPr>
        <w:t xml:space="preserve"> bud</w:t>
      </w:r>
      <w:r>
        <w:rPr>
          <w:rFonts w:hint="eastAsia"/>
        </w:rPr>
        <w:t xml:space="preserve"> Tea）</w:t>
      </w:r>
      <w:bookmarkEnd w:id="77"/>
      <w:bookmarkEnd w:id="78"/>
      <w:bookmarkEnd w:id="79"/>
      <w:bookmarkEnd w:id="80"/>
      <w:bookmarkEnd w:id="81"/>
    </w:p>
    <w:p w14:paraId="6FB09646">
      <w:pPr>
        <w:spacing w:before="156" w:after="156"/>
        <w:ind w:firstLine="420" w:firstLineChars="200"/>
        <w:jc w:val="left"/>
      </w:pPr>
      <w:r>
        <w:rPr>
          <w:rFonts w:hint="eastAsia" w:ascii="宋体" w:cs="宋体"/>
          <w:kern w:val="0"/>
          <w:szCs w:val="21"/>
        </w:rPr>
        <w:t>选用新鲜桑树嫩芽为原料，经摊青、杀青、揉捻、干燥等加工工艺制成的叶类代用茶产品。</w:t>
      </w:r>
      <w:bookmarkEnd w:id="82"/>
      <w:bookmarkEnd w:id="83"/>
    </w:p>
    <w:p w14:paraId="220AC543">
      <w:pPr>
        <w:pStyle w:val="97"/>
        <w:rPr>
          <w:rFonts w:ascii="Times New Roman"/>
          <w:szCs w:val="21"/>
        </w:rPr>
      </w:pPr>
      <w:bookmarkStart w:id="84" w:name="_Toc521159817"/>
      <w:bookmarkEnd w:id="84"/>
      <w:bookmarkStart w:id="85" w:name="_Toc521159818"/>
      <w:bookmarkEnd w:id="85"/>
      <w:bookmarkStart w:id="86" w:name="_Toc21100"/>
      <w:r>
        <w:rPr>
          <w:rFonts w:hint="eastAsia" w:ascii="Times New Roman"/>
          <w:szCs w:val="21"/>
        </w:rPr>
        <w:t>原料要求</w:t>
      </w:r>
      <w:bookmarkEnd w:id="86"/>
    </w:p>
    <w:p w14:paraId="3A96434B">
      <w:pPr>
        <w:pStyle w:val="50"/>
        <w:numPr>
          <w:ilvl w:val="0"/>
          <w:numId w:val="0"/>
        </w:numPr>
        <w:spacing w:before="0" w:beforeLines="0" w:after="0" w:afterLine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4.1  桑树种植产地环境应符合NY/T 5010-2016的规定。</w:t>
      </w:r>
    </w:p>
    <w:p w14:paraId="6A46356B">
      <w:pPr>
        <w:pStyle w:val="50"/>
        <w:numPr>
          <w:ilvl w:val="0"/>
          <w:numId w:val="0"/>
        </w:numPr>
        <w:spacing w:before="0" w:beforeLines="0" w:after="0" w:afterLines="0"/>
        <w:rPr>
          <w:rFonts w:hint="eastAsia" w:ascii="宋体" w:hAnsi="宋体" w:eastAsia="宋体" w:cs="黑体"/>
          <w:color w:val="000000"/>
        </w:rPr>
      </w:pPr>
      <w:r>
        <w:rPr>
          <w:rFonts w:hint="eastAsia" w:ascii="宋体" w:hAnsi="宋体" w:eastAsia="宋体" w:cs="宋体"/>
        </w:rPr>
        <w:t>4.2  鲜</w:t>
      </w:r>
      <w:r>
        <w:rPr>
          <w:rFonts w:hint="eastAsia" w:ascii="宋体" w:hAnsi="宋体" w:eastAsia="宋体" w:cs="黑体"/>
          <w:color w:val="000000"/>
        </w:rPr>
        <w:t>桑芽采摘时间应以晴天为宜，采摘桑树新梢顶端</w:t>
      </w:r>
      <w:r>
        <w:rPr>
          <w:rFonts w:hint="eastAsia" w:ascii="宋体" w:eastAsia="宋体" w:cs="宋体"/>
        </w:rPr>
        <w:t>一芯或一芯一竖叶</w:t>
      </w:r>
      <w:r>
        <w:rPr>
          <w:rFonts w:hint="eastAsia" w:ascii="宋体" w:hAnsi="宋体" w:eastAsia="宋体" w:cs="黑体"/>
          <w:color w:val="000000"/>
        </w:rPr>
        <w:t>。</w:t>
      </w:r>
    </w:p>
    <w:p w14:paraId="1690D561">
      <w:pPr>
        <w:pStyle w:val="50"/>
        <w:numPr>
          <w:ilvl w:val="0"/>
          <w:numId w:val="0"/>
        </w:numPr>
        <w:spacing w:before="0" w:beforeLines="0" w:after="0" w:afterLine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4.3  采用洁净、无异味、透气性良好的篓筐盛装运输，及时将鲜桑芽运送至加工厂，验收合格后摊放在竹席或摊青设备上。 </w:t>
      </w:r>
    </w:p>
    <w:p w14:paraId="22405995">
      <w:pPr>
        <w:pStyle w:val="21"/>
        <w:ind w:firstLine="0" w:firstLineChars="0"/>
      </w:pPr>
      <w:r>
        <w:rPr>
          <w:rFonts w:hint="eastAsia" w:hAnsi="宋体" w:cs="宋体"/>
        </w:rPr>
        <w:t>4.4  鲜桑芽原料应无劣变、无异味，无其他杂物。</w:t>
      </w:r>
    </w:p>
    <w:p w14:paraId="34571905">
      <w:pPr>
        <w:pStyle w:val="97"/>
        <w:rPr>
          <w:rFonts w:ascii="Times New Roman"/>
          <w:szCs w:val="21"/>
        </w:rPr>
      </w:pPr>
      <w:bookmarkStart w:id="87" w:name="_Toc24786"/>
      <w:r>
        <w:rPr>
          <w:rFonts w:hint="eastAsia" w:ascii="Times New Roman"/>
        </w:rPr>
        <w:t>技术要求</w:t>
      </w:r>
      <w:bookmarkEnd w:id="87"/>
    </w:p>
    <w:p w14:paraId="615E215E">
      <w:pPr>
        <w:pStyle w:val="50"/>
        <w:rPr>
          <w:rFonts w:hint="eastAsia"/>
        </w:rPr>
      </w:pPr>
      <w:r>
        <w:rPr>
          <w:rFonts w:hint="eastAsia"/>
        </w:rPr>
        <w:t>生产加工过程中的卫生要求</w:t>
      </w:r>
    </w:p>
    <w:p w14:paraId="1E6CC8AC">
      <w:pPr>
        <w:pStyle w:val="21"/>
      </w:pPr>
      <w:r>
        <w:rPr>
          <w:rFonts w:hint="eastAsia"/>
        </w:rPr>
        <w:t>应符合GB/T 14881的规定。</w:t>
      </w:r>
    </w:p>
    <w:p w14:paraId="5130C52B">
      <w:pPr>
        <w:pStyle w:val="50"/>
        <w:rPr>
          <w:rFonts w:hint="eastAsia"/>
        </w:rPr>
      </w:pPr>
      <w:r>
        <w:rPr>
          <w:rFonts w:hint="eastAsia"/>
        </w:rPr>
        <w:t>工艺流程</w:t>
      </w:r>
    </w:p>
    <w:p w14:paraId="12953C55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摊青→杀青→揉捻→干燥。</w:t>
      </w:r>
    </w:p>
    <w:p w14:paraId="3E1C308B">
      <w:pPr>
        <w:pStyle w:val="50"/>
        <w:rPr>
          <w:rFonts w:hint="eastAsia"/>
        </w:rPr>
      </w:pPr>
      <w:r>
        <w:rPr>
          <w:rFonts w:hint="eastAsia"/>
        </w:rPr>
        <w:t>工艺要求</w:t>
      </w:r>
    </w:p>
    <w:p w14:paraId="3080C752">
      <w:pPr>
        <w:pStyle w:val="49"/>
        <w:spacing w:before="156" w:after="156"/>
        <w:rPr>
          <w:rFonts w:hint="eastAsia"/>
        </w:rPr>
      </w:pPr>
      <w:r>
        <w:rPr>
          <w:rFonts w:hint="eastAsia"/>
        </w:rPr>
        <w:t>摊青</w:t>
      </w:r>
    </w:p>
    <w:p w14:paraId="78D16833">
      <w:pPr>
        <w:pStyle w:val="21"/>
        <w:rPr>
          <w:rFonts w:hint="eastAsia"/>
        </w:rPr>
      </w:pPr>
      <w:r>
        <w:rPr>
          <w:rFonts w:hint="eastAsia" w:hAnsi="宋体" w:cs="宋体"/>
        </w:rPr>
        <w:t>将验收合格的鲜桑芽均匀摊放在摊青架或萎凋槽上，摊叶厚度不超过6cm，摊青时间6小时-12小时，中间翻动一次，至芽叶柔软，色泽转暗，手握不断。</w:t>
      </w:r>
    </w:p>
    <w:p w14:paraId="11C0DEA5">
      <w:pPr>
        <w:pStyle w:val="49"/>
        <w:spacing w:before="156" w:after="156"/>
      </w:pPr>
      <w:r>
        <w:rPr>
          <w:rFonts w:hint="eastAsia"/>
        </w:rPr>
        <w:t>杀青</w:t>
      </w:r>
    </w:p>
    <w:p w14:paraId="1009ACDD">
      <w:pPr>
        <w:pStyle w:val="21"/>
        <w:rPr>
          <w:rFonts w:hint="eastAsia" w:hAnsi="宋体" w:cs="宋体"/>
        </w:rPr>
      </w:pPr>
      <w:r>
        <w:rPr>
          <w:rFonts w:hint="eastAsia" w:hAnsi="宋体" w:cs="宋体"/>
        </w:rPr>
        <w:t>杀青温度控制在120℃-180℃，杀青时间2min-5min，使桑叶青气散失，呈现出淡淡清香，及时将杀青叶摊凉。</w:t>
      </w:r>
    </w:p>
    <w:p w14:paraId="11DB60B0">
      <w:pPr>
        <w:pStyle w:val="49"/>
        <w:spacing w:before="156" w:after="156"/>
        <w:rPr>
          <w:rFonts w:hint="eastAsia"/>
        </w:rPr>
      </w:pPr>
      <w:r>
        <w:rPr>
          <w:rFonts w:hint="eastAsia"/>
        </w:rPr>
        <w:t>揉捻</w:t>
      </w:r>
    </w:p>
    <w:p w14:paraId="29160CD3">
      <w:pPr>
        <w:pStyle w:val="21"/>
        <w:rPr>
          <w:rFonts w:hint="eastAsia"/>
        </w:rPr>
      </w:pPr>
      <w:r>
        <w:rPr>
          <w:rFonts w:hint="eastAsia" w:hAnsi="宋体" w:cs="宋体"/>
        </w:rPr>
        <w:t>根据桑叶数量选择适宜的揉捻机进行揉捻，揉捻加压掌握“轻→重→轻”交替原则，揉捻时间30min-60min，桑芽80%卷曲成条为宜。</w:t>
      </w:r>
    </w:p>
    <w:p w14:paraId="24672D13">
      <w:pPr>
        <w:pStyle w:val="49"/>
        <w:spacing w:before="156" w:after="156"/>
      </w:pPr>
      <w:r>
        <w:rPr>
          <w:rFonts w:hint="eastAsia"/>
        </w:rPr>
        <w:t>干燥</w:t>
      </w:r>
    </w:p>
    <w:p w14:paraId="3258C8E6">
      <w:pPr>
        <w:pStyle w:val="21"/>
      </w:pPr>
      <w:r>
        <w:rPr>
          <w:rFonts w:hint="eastAsia" w:hAnsi="宋体" w:cs="宋体"/>
        </w:rPr>
        <w:t>设定烘干机温度75℃-85℃，干燥时间1h-2h，桑芽水分≤7%。</w:t>
      </w:r>
    </w:p>
    <w:p w14:paraId="65AE9C7D">
      <w:pPr>
        <w:pStyle w:val="97"/>
        <w:rPr>
          <w:rFonts w:hint="eastAsia" w:ascii="Times New Roman"/>
        </w:rPr>
      </w:pPr>
      <w:bookmarkStart w:id="88" w:name="_Toc9434"/>
      <w:r>
        <w:rPr>
          <w:rFonts w:hint="eastAsia" w:ascii="Times New Roman"/>
        </w:rPr>
        <w:t>品质要求</w:t>
      </w:r>
      <w:bookmarkEnd w:id="88"/>
    </w:p>
    <w:p w14:paraId="5716061B">
      <w:pPr>
        <w:pStyle w:val="50"/>
        <w:rPr>
          <w:rFonts w:hint="eastAsia"/>
        </w:rPr>
      </w:pPr>
      <w:r>
        <w:rPr>
          <w:rFonts w:hint="eastAsia"/>
        </w:rPr>
        <w:t>基本要求</w:t>
      </w:r>
    </w:p>
    <w:p w14:paraId="1B3F92A4">
      <w:pPr>
        <w:pStyle w:val="21"/>
      </w:pPr>
      <w:r>
        <w:rPr>
          <w:rFonts w:hint="eastAsia"/>
        </w:rPr>
        <w:t>应洁净、无异物、无异</w:t>
      </w:r>
      <w:bookmarkStart w:id="92" w:name="_GoBack"/>
      <w:r>
        <w:rPr>
          <w:rFonts w:hint="eastAsia"/>
          <w:lang w:eastAsia="zh-CN"/>
        </w:rPr>
        <w:t>味</w:t>
      </w:r>
      <w:bookmarkEnd w:id="92"/>
      <w:r>
        <w:rPr>
          <w:rFonts w:hint="eastAsia"/>
        </w:rPr>
        <w:t>、无霉变，不得添加香精、色素等食品添加剂。</w:t>
      </w:r>
    </w:p>
    <w:p w14:paraId="0B98CE3E">
      <w:pPr>
        <w:pStyle w:val="50"/>
      </w:pPr>
      <w:r>
        <w:rPr>
          <w:rFonts w:hint="eastAsia"/>
        </w:rPr>
        <w:t>感官指标</w:t>
      </w:r>
    </w:p>
    <w:p w14:paraId="77EC7043">
      <w:pPr>
        <w:pStyle w:val="21"/>
        <w:rPr>
          <w:rFonts w:hint="eastAsia"/>
        </w:rPr>
      </w:pPr>
      <w:r>
        <w:rPr>
          <w:rFonts w:hint="eastAsia"/>
        </w:rPr>
        <w:t>应符合表1的规定。</w:t>
      </w:r>
    </w:p>
    <w:p w14:paraId="67717804">
      <w:pPr>
        <w:pStyle w:val="21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表1  桑芽茶感官指标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3888"/>
        <w:gridCol w:w="3438"/>
      </w:tblGrid>
      <w:tr w14:paraId="45163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  <w:noWrap w:val="0"/>
            <w:vAlign w:val="top"/>
          </w:tcPr>
          <w:p w14:paraId="6095CF81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项目</w:t>
            </w:r>
          </w:p>
        </w:tc>
        <w:tc>
          <w:tcPr>
            <w:tcW w:w="3888" w:type="dxa"/>
            <w:noWrap w:val="0"/>
            <w:vAlign w:val="top"/>
          </w:tcPr>
          <w:p w14:paraId="25DC367F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指标</w:t>
            </w:r>
          </w:p>
        </w:tc>
        <w:tc>
          <w:tcPr>
            <w:tcW w:w="3438" w:type="dxa"/>
            <w:noWrap w:val="0"/>
            <w:vAlign w:val="top"/>
          </w:tcPr>
          <w:p w14:paraId="5454A6CE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检验方法</w:t>
            </w:r>
          </w:p>
        </w:tc>
      </w:tr>
      <w:tr w14:paraId="41613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  <w:noWrap w:val="0"/>
            <w:vAlign w:val="top"/>
          </w:tcPr>
          <w:p w14:paraId="6DBCCBC8">
            <w:pPr>
              <w:pStyle w:val="21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外观</w:t>
            </w:r>
          </w:p>
        </w:tc>
        <w:tc>
          <w:tcPr>
            <w:tcW w:w="3888" w:type="dxa"/>
            <w:noWrap w:val="0"/>
            <w:vAlign w:val="top"/>
          </w:tcPr>
          <w:p w14:paraId="073ECF2A">
            <w:pPr>
              <w:pStyle w:val="21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芽显黄色，叶显深绿色，条形尚卷带片</w:t>
            </w:r>
          </w:p>
        </w:tc>
        <w:tc>
          <w:tcPr>
            <w:tcW w:w="3438" w:type="dxa"/>
            <w:vMerge w:val="restart"/>
            <w:noWrap w:val="0"/>
            <w:vAlign w:val="top"/>
          </w:tcPr>
          <w:p w14:paraId="70671613">
            <w:pPr>
              <w:pStyle w:val="21"/>
              <w:ind w:firstLine="0" w:firstLineChars="0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将样品置于评茶盘中，观察干茶外观。取样品3.0g置于带盖审评杯中，加150ml沸水，加盖，计时5min，滤出茶汤，观察汤色和叶底，鼻闻香气，口尝滋味。</w:t>
            </w:r>
          </w:p>
        </w:tc>
      </w:tr>
      <w:tr w14:paraId="77789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  <w:noWrap w:val="0"/>
            <w:vAlign w:val="top"/>
          </w:tcPr>
          <w:p w14:paraId="565D068F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汤色</w:t>
            </w:r>
          </w:p>
        </w:tc>
        <w:tc>
          <w:tcPr>
            <w:tcW w:w="3888" w:type="dxa"/>
            <w:noWrap w:val="0"/>
            <w:vAlign w:val="top"/>
          </w:tcPr>
          <w:p w14:paraId="0C68BBEE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黄绿明亮</w:t>
            </w:r>
          </w:p>
        </w:tc>
        <w:tc>
          <w:tcPr>
            <w:tcW w:w="3438" w:type="dxa"/>
            <w:vMerge w:val="continue"/>
            <w:noWrap w:val="0"/>
            <w:vAlign w:val="top"/>
          </w:tcPr>
          <w:p w14:paraId="39A4E34C">
            <w:pPr>
              <w:pStyle w:val="21"/>
              <w:ind w:firstLine="0" w:firstLineChars="0"/>
              <w:rPr>
                <w:szCs w:val="18"/>
              </w:rPr>
            </w:pPr>
          </w:p>
        </w:tc>
      </w:tr>
      <w:tr w14:paraId="78CD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  <w:noWrap w:val="0"/>
            <w:vAlign w:val="top"/>
          </w:tcPr>
          <w:p w14:paraId="0621B9BD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香气</w:t>
            </w:r>
          </w:p>
        </w:tc>
        <w:tc>
          <w:tcPr>
            <w:tcW w:w="3888" w:type="dxa"/>
            <w:noWrap w:val="0"/>
            <w:vAlign w:val="top"/>
          </w:tcPr>
          <w:p w14:paraId="5F33C28D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清香持久</w:t>
            </w:r>
          </w:p>
        </w:tc>
        <w:tc>
          <w:tcPr>
            <w:tcW w:w="3438" w:type="dxa"/>
            <w:vMerge w:val="continue"/>
            <w:noWrap w:val="0"/>
            <w:vAlign w:val="top"/>
          </w:tcPr>
          <w:p w14:paraId="011DE5B1">
            <w:pPr>
              <w:pStyle w:val="21"/>
              <w:ind w:firstLine="0" w:firstLineChars="0"/>
              <w:rPr>
                <w:szCs w:val="18"/>
              </w:rPr>
            </w:pPr>
          </w:p>
        </w:tc>
      </w:tr>
      <w:tr w14:paraId="7882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  <w:noWrap w:val="0"/>
            <w:vAlign w:val="top"/>
          </w:tcPr>
          <w:p w14:paraId="49AF3984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滋味</w:t>
            </w:r>
          </w:p>
        </w:tc>
        <w:tc>
          <w:tcPr>
            <w:tcW w:w="3888" w:type="dxa"/>
            <w:noWrap w:val="0"/>
            <w:vAlign w:val="top"/>
          </w:tcPr>
          <w:p w14:paraId="6A7BE881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鲜醇爽口</w:t>
            </w:r>
          </w:p>
        </w:tc>
        <w:tc>
          <w:tcPr>
            <w:tcW w:w="3438" w:type="dxa"/>
            <w:vMerge w:val="continue"/>
            <w:noWrap w:val="0"/>
            <w:vAlign w:val="top"/>
          </w:tcPr>
          <w:p w14:paraId="3CC855ED">
            <w:pPr>
              <w:pStyle w:val="21"/>
              <w:ind w:firstLine="0" w:firstLineChars="0"/>
              <w:rPr>
                <w:szCs w:val="18"/>
              </w:rPr>
            </w:pPr>
          </w:p>
        </w:tc>
      </w:tr>
      <w:tr w14:paraId="64E3E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4" w:type="dxa"/>
            <w:noWrap w:val="0"/>
            <w:vAlign w:val="top"/>
          </w:tcPr>
          <w:p w14:paraId="253C858F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叶底</w:t>
            </w:r>
          </w:p>
        </w:tc>
        <w:tc>
          <w:tcPr>
            <w:tcW w:w="3888" w:type="dxa"/>
            <w:noWrap w:val="0"/>
            <w:vAlign w:val="top"/>
          </w:tcPr>
          <w:p w14:paraId="38132CE9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黄绿鲜嫩</w:t>
            </w:r>
          </w:p>
        </w:tc>
        <w:tc>
          <w:tcPr>
            <w:tcW w:w="3438" w:type="dxa"/>
            <w:vMerge w:val="continue"/>
            <w:noWrap w:val="0"/>
            <w:vAlign w:val="top"/>
          </w:tcPr>
          <w:p w14:paraId="6A8CB22F">
            <w:pPr>
              <w:pStyle w:val="21"/>
              <w:ind w:firstLine="0" w:firstLineChars="0"/>
              <w:rPr>
                <w:szCs w:val="18"/>
              </w:rPr>
            </w:pPr>
          </w:p>
        </w:tc>
      </w:tr>
    </w:tbl>
    <w:p w14:paraId="4F501394">
      <w:pPr>
        <w:pStyle w:val="50"/>
        <w:rPr>
          <w:rFonts w:hint="eastAsia"/>
        </w:rPr>
      </w:pPr>
      <w:r>
        <w:rPr>
          <w:rFonts w:hint="eastAsia"/>
        </w:rPr>
        <w:t xml:space="preserve"> 理化指标</w:t>
      </w:r>
    </w:p>
    <w:p w14:paraId="05BBA67B">
      <w:pPr>
        <w:pStyle w:val="21"/>
        <w:rPr>
          <w:rFonts w:hint="eastAsia"/>
        </w:rPr>
      </w:pPr>
      <w:r>
        <w:rPr>
          <w:rFonts w:hint="eastAsia"/>
        </w:rPr>
        <w:t>应符合表2的规定。</w:t>
      </w:r>
    </w:p>
    <w:p w14:paraId="1B6C39A2">
      <w:pPr>
        <w:pStyle w:val="21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表2  理化指标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3237"/>
        <w:gridCol w:w="3438"/>
      </w:tblGrid>
      <w:tr w14:paraId="2E120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5" w:type="dxa"/>
            <w:noWrap w:val="0"/>
            <w:vAlign w:val="top"/>
          </w:tcPr>
          <w:p w14:paraId="4860AD5E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项目</w:t>
            </w:r>
          </w:p>
        </w:tc>
        <w:tc>
          <w:tcPr>
            <w:tcW w:w="3237" w:type="dxa"/>
            <w:noWrap w:val="0"/>
            <w:vAlign w:val="top"/>
          </w:tcPr>
          <w:p w14:paraId="1B7D9555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指标</w:t>
            </w:r>
          </w:p>
        </w:tc>
        <w:tc>
          <w:tcPr>
            <w:tcW w:w="3438" w:type="dxa"/>
            <w:noWrap w:val="0"/>
            <w:vAlign w:val="top"/>
          </w:tcPr>
          <w:p w14:paraId="14163153">
            <w:pPr>
              <w:pStyle w:val="21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检验方法</w:t>
            </w:r>
          </w:p>
        </w:tc>
      </w:tr>
      <w:tr w14:paraId="6E7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95" w:type="dxa"/>
            <w:noWrap w:val="0"/>
            <w:vAlign w:val="top"/>
          </w:tcPr>
          <w:p w14:paraId="63D6BB95">
            <w:pPr>
              <w:pStyle w:val="21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水分（质量分数）（%）</w:t>
            </w:r>
          </w:p>
        </w:tc>
        <w:tc>
          <w:tcPr>
            <w:tcW w:w="3237" w:type="dxa"/>
            <w:noWrap w:val="0"/>
            <w:vAlign w:val="top"/>
          </w:tcPr>
          <w:p w14:paraId="25F319C0">
            <w:pPr>
              <w:pStyle w:val="21"/>
              <w:ind w:firstLine="0" w:firstLineChars="0"/>
              <w:jc w:val="center"/>
              <w:rPr>
                <w:rFonts w:hint="eastAsia" w:hAnsi="宋体" w:cs="宋体"/>
                <w:szCs w:val="18"/>
              </w:rPr>
            </w:pPr>
            <w:r>
              <w:rPr>
                <w:rFonts w:hint="eastAsia" w:hAnsi="宋体" w:cs="宋体"/>
                <w:szCs w:val="18"/>
              </w:rPr>
              <w:t>≤7.0</w:t>
            </w:r>
          </w:p>
        </w:tc>
        <w:tc>
          <w:tcPr>
            <w:tcW w:w="3438" w:type="dxa"/>
            <w:noWrap w:val="0"/>
            <w:vAlign w:val="top"/>
          </w:tcPr>
          <w:p w14:paraId="09D15F0D">
            <w:pPr>
              <w:pStyle w:val="21"/>
              <w:ind w:firstLine="0" w:firstLineChars="0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GB 5009.3</w:t>
            </w:r>
          </w:p>
        </w:tc>
      </w:tr>
      <w:tr w14:paraId="7A3C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5" w:type="dxa"/>
            <w:noWrap w:val="0"/>
            <w:vAlign w:val="top"/>
          </w:tcPr>
          <w:p w14:paraId="659FABBE">
            <w:pPr>
              <w:pStyle w:val="21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总灰分（质量分数）（%）</w:t>
            </w:r>
          </w:p>
        </w:tc>
        <w:tc>
          <w:tcPr>
            <w:tcW w:w="3237" w:type="dxa"/>
            <w:noWrap w:val="0"/>
            <w:vAlign w:val="top"/>
          </w:tcPr>
          <w:p w14:paraId="2F8DA3BC">
            <w:pPr>
              <w:pStyle w:val="21"/>
              <w:ind w:firstLine="0" w:firstLineChars="0"/>
              <w:jc w:val="center"/>
              <w:rPr>
                <w:rFonts w:hint="eastAsia" w:hAnsi="宋体" w:cs="宋体"/>
                <w:szCs w:val="18"/>
              </w:rPr>
            </w:pPr>
            <w:r>
              <w:rPr>
                <w:rFonts w:hint="eastAsia" w:hAnsi="宋体" w:cs="宋体"/>
                <w:szCs w:val="18"/>
              </w:rPr>
              <w:t>≤10.0</w:t>
            </w:r>
          </w:p>
        </w:tc>
        <w:tc>
          <w:tcPr>
            <w:tcW w:w="3438" w:type="dxa"/>
            <w:noWrap w:val="0"/>
            <w:vAlign w:val="top"/>
          </w:tcPr>
          <w:p w14:paraId="0DB571F2">
            <w:pPr>
              <w:pStyle w:val="21"/>
              <w:ind w:firstLine="0" w:firstLineChars="0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GB 5009.4</w:t>
            </w:r>
          </w:p>
        </w:tc>
      </w:tr>
    </w:tbl>
    <w:p w14:paraId="5464A939">
      <w:pPr>
        <w:pStyle w:val="50"/>
        <w:rPr>
          <w:rFonts w:ascii="Times New Roman"/>
        </w:rPr>
      </w:pPr>
      <w:r>
        <w:rPr>
          <w:rFonts w:ascii="Times New Roman"/>
        </w:rPr>
        <w:t>卫生指标</w:t>
      </w:r>
    </w:p>
    <w:p w14:paraId="34EB7840">
      <w:pPr>
        <w:pStyle w:val="49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应符合</w:t>
      </w:r>
      <w:r>
        <w:rPr>
          <w:rFonts w:hint="eastAsia" w:ascii="宋体" w:hAnsi="宋体" w:eastAsia="宋体" w:cs="宋体"/>
          <w:lang w:val="en-US" w:eastAsia="zh-CN"/>
        </w:rPr>
        <w:t>GB 14881、GH/T1077的要求。</w:t>
      </w:r>
    </w:p>
    <w:p w14:paraId="59A02AD0">
      <w:pPr>
        <w:pStyle w:val="49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其他污染物限量应符合GB 2762的规定，其他农药残留限量应符合GB 2763的规定。</w:t>
      </w:r>
    </w:p>
    <w:p w14:paraId="494B2BF1">
      <w:pPr>
        <w:pStyle w:val="50"/>
        <w:rPr>
          <w:rFonts w:hint="eastAsia"/>
        </w:rPr>
      </w:pPr>
      <w:r>
        <w:rPr>
          <w:rFonts w:hint="eastAsia"/>
        </w:rPr>
        <w:t xml:space="preserve"> 净含量</w:t>
      </w:r>
    </w:p>
    <w:p w14:paraId="62BA3FC6">
      <w:pPr>
        <w:pStyle w:val="21"/>
        <w:rPr>
          <w:rFonts w:hint="eastAsia" w:ascii="Times New Roman"/>
        </w:rPr>
      </w:pPr>
      <w:r>
        <w:rPr>
          <w:rFonts w:hint="eastAsia"/>
        </w:rPr>
        <w:t>应符合国家市场监督管理总局</w:t>
      </w:r>
      <w:r>
        <w:rPr>
          <w:rFonts w:hint="eastAsia"/>
          <w:lang w:eastAsia="zh-CN"/>
        </w:rPr>
        <w:t>〔2023〕70号</w:t>
      </w:r>
      <w:r>
        <w:rPr>
          <w:rFonts w:hint="eastAsia"/>
        </w:rPr>
        <w:t>令《定量包装商品计量监督管理办法》的规定，检验方法按JJF 1070的规定执行。</w:t>
      </w:r>
    </w:p>
    <w:p w14:paraId="703792C1">
      <w:pPr>
        <w:pStyle w:val="97"/>
        <w:rPr>
          <w:rFonts w:hint="eastAsia"/>
        </w:rPr>
      </w:pPr>
      <w:bookmarkStart w:id="89" w:name="_Toc29446"/>
      <w:r>
        <w:rPr>
          <w:rFonts w:hint="eastAsia" w:ascii="Times New Roman"/>
        </w:rPr>
        <w:t>检验</w:t>
      </w:r>
      <w:r>
        <w:rPr>
          <w:rFonts w:hint="eastAsia"/>
        </w:rPr>
        <w:t>规则</w:t>
      </w:r>
      <w:bookmarkEnd w:id="89"/>
    </w:p>
    <w:p w14:paraId="79A14358">
      <w:pPr>
        <w:pStyle w:val="50"/>
      </w:pPr>
      <w:r>
        <w:rPr>
          <w:rFonts w:hint="eastAsia"/>
        </w:rPr>
        <w:t>取样</w:t>
      </w:r>
    </w:p>
    <w:p w14:paraId="778E2726">
      <w:pPr>
        <w:pStyle w:val="49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取样以“批”为单位，采用同一原料和同一生产工艺形成的独立数量的产品为一批，同批产品的品质和规格应一致。</w:t>
      </w:r>
    </w:p>
    <w:p w14:paraId="5C2464EA">
      <w:pPr>
        <w:pStyle w:val="49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取样方法按GB/T 8302规定执行。</w:t>
      </w:r>
    </w:p>
    <w:p w14:paraId="4F3808C9">
      <w:pPr>
        <w:pStyle w:val="50"/>
        <w:rPr>
          <w:rFonts w:hint="eastAsia"/>
        </w:rPr>
      </w:pPr>
      <w:r>
        <w:rPr>
          <w:rFonts w:hint="eastAsia"/>
        </w:rPr>
        <w:t>出厂检验</w:t>
      </w:r>
    </w:p>
    <w:p w14:paraId="05A30509">
      <w:pPr>
        <w:pStyle w:val="21"/>
      </w:pPr>
      <w:r>
        <w:rPr>
          <w:rFonts w:hint="eastAsia"/>
        </w:rPr>
        <w:t>每批产品均应做出厂检验，经检验合格签发合格证后，方可出厂。出厂检验项目为感官指标、水分和净含量。</w:t>
      </w:r>
    </w:p>
    <w:p w14:paraId="03749D58">
      <w:pPr>
        <w:pStyle w:val="50"/>
      </w:pPr>
      <w:r>
        <w:rPr>
          <w:rFonts w:hint="eastAsia"/>
        </w:rPr>
        <w:t>型式检验</w:t>
      </w:r>
    </w:p>
    <w:p w14:paraId="70642C1D">
      <w:pPr>
        <w:pStyle w:val="21"/>
        <w:rPr>
          <w:rFonts w:hint="eastAsia"/>
        </w:rPr>
      </w:pPr>
      <w:r>
        <w:rPr>
          <w:rFonts w:hint="eastAsia"/>
        </w:rPr>
        <w:t>型式检验为6.2~6.5规定的全部项目，有下列情况之一应进行型式检验：</w:t>
      </w:r>
    </w:p>
    <w:p w14:paraId="00BE1EC9">
      <w:pPr>
        <w:pStyle w:val="21"/>
        <w:numPr>
          <w:ilvl w:val="0"/>
          <w:numId w:val="18"/>
        </w:numPr>
        <w:rPr>
          <w:rFonts w:hint="eastAsia"/>
        </w:rPr>
      </w:pPr>
      <w:r>
        <w:rPr>
          <w:rFonts w:hint="eastAsia"/>
        </w:rPr>
        <w:t>新产品试制；</w:t>
      </w:r>
    </w:p>
    <w:p w14:paraId="7C3F96F4">
      <w:pPr>
        <w:pStyle w:val="21"/>
        <w:numPr>
          <w:ilvl w:val="0"/>
          <w:numId w:val="18"/>
        </w:numPr>
      </w:pPr>
      <w:r>
        <w:rPr>
          <w:rFonts w:hint="eastAsia"/>
        </w:rPr>
        <w:t>出厂检验的结果与上次型式检验有较大差异时；</w:t>
      </w:r>
    </w:p>
    <w:p w14:paraId="78BFE764">
      <w:pPr>
        <w:pStyle w:val="21"/>
        <w:numPr>
          <w:ilvl w:val="0"/>
          <w:numId w:val="18"/>
        </w:numPr>
      </w:pPr>
      <w:r>
        <w:rPr>
          <w:rFonts w:hint="eastAsia"/>
        </w:rPr>
        <w:t>国家质量监督机构提出要求时；</w:t>
      </w:r>
    </w:p>
    <w:p w14:paraId="238DA942">
      <w:pPr>
        <w:pStyle w:val="21"/>
        <w:numPr>
          <w:ilvl w:val="0"/>
          <w:numId w:val="18"/>
        </w:numPr>
      </w:pPr>
      <w:r>
        <w:rPr>
          <w:rFonts w:hint="eastAsia"/>
        </w:rPr>
        <w:t>产品停产一年以上恢复生产时。</w:t>
      </w:r>
    </w:p>
    <w:p w14:paraId="4AF9D04F">
      <w:pPr>
        <w:pStyle w:val="50"/>
        <w:rPr>
          <w:rFonts w:hint="eastAsia"/>
        </w:rPr>
      </w:pPr>
      <w:r>
        <w:rPr>
          <w:rFonts w:hint="eastAsia"/>
        </w:rPr>
        <w:t xml:space="preserve"> 判定规则</w:t>
      </w:r>
    </w:p>
    <w:p w14:paraId="6D4468D2">
      <w:pPr>
        <w:pStyle w:val="21"/>
      </w:pPr>
      <w:r>
        <w:rPr>
          <w:rFonts w:hint="eastAsia"/>
        </w:rPr>
        <w:t>检验项目全部符合则判定该批产品为合格；任何一项不符合规定，应在原批产品中加倍抽取样本复检，复检仍不合格的，该批产品判为不合格产品。</w:t>
      </w:r>
    </w:p>
    <w:p w14:paraId="389D2ED9">
      <w:pPr>
        <w:pStyle w:val="50"/>
        <w:rPr>
          <w:rFonts w:hint="eastAsia"/>
        </w:rPr>
      </w:pPr>
      <w:r>
        <w:rPr>
          <w:rFonts w:hint="eastAsia"/>
        </w:rPr>
        <w:t>仲裁</w:t>
      </w:r>
    </w:p>
    <w:p w14:paraId="1EBB3610">
      <w:pPr>
        <w:pStyle w:val="21"/>
        <w:rPr>
          <w:rFonts w:hint="eastAsia"/>
        </w:rPr>
      </w:pPr>
      <w:r>
        <w:rPr>
          <w:rFonts w:hint="eastAsia"/>
        </w:rPr>
        <w:t>对检验结果</w:t>
      </w:r>
      <w:r>
        <w:rPr>
          <w:rFonts w:hint="eastAsia"/>
          <w:color w:val="auto"/>
        </w:rPr>
        <w:t>有</w:t>
      </w:r>
      <w:r>
        <w:rPr>
          <w:rFonts w:hint="eastAsia"/>
        </w:rPr>
        <w:t>争议时，应对留存样进行复验，对不合格项目进行复验，以复验结果为准。</w:t>
      </w:r>
    </w:p>
    <w:p w14:paraId="780D04CD">
      <w:pPr>
        <w:pStyle w:val="97"/>
        <w:rPr>
          <w:rFonts w:hint="eastAsia" w:ascii="Times New Roman"/>
        </w:rPr>
      </w:pPr>
      <w:bookmarkStart w:id="90" w:name="_Toc16871"/>
      <w:r>
        <w:rPr>
          <w:rFonts w:hint="eastAsia" w:ascii="Times New Roman"/>
        </w:rPr>
        <w:t>标志、标签</w:t>
      </w:r>
      <w:bookmarkEnd w:id="90"/>
    </w:p>
    <w:p w14:paraId="5345F015">
      <w:pPr>
        <w:pStyle w:val="21"/>
        <w:rPr>
          <w:rFonts w:hint="eastAsia" w:ascii="Times New Roman"/>
        </w:rPr>
      </w:pPr>
      <w:r>
        <w:rPr>
          <w:rFonts w:hint="eastAsia" w:ascii="Times New Roman"/>
        </w:rPr>
        <w:t>运输包装的图示标志应符合GB/T 191的规定；标签应符合GB 7718及相关法规的规定。</w:t>
      </w:r>
    </w:p>
    <w:p w14:paraId="3BAF1478">
      <w:pPr>
        <w:pStyle w:val="97"/>
        <w:rPr>
          <w:rFonts w:ascii="Times New Roman"/>
        </w:rPr>
      </w:pPr>
      <w:bookmarkStart w:id="91" w:name="_Toc20619"/>
      <w:r>
        <w:rPr>
          <w:rFonts w:hint="eastAsia" w:ascii="Times New Roman"/>
        </w:rPr>
        <w:t>包装、运输和贮存</w:t>
      </w:r>
      <w:bookmarkEnd w:id="91"/>
    </w:p>
    <w:p w14:paraId="6FC7D16D">
      <w:pPr>
        <w:pStyle w:val="50"/>
        <w:rPr>
          <w:rFonts w:hint="eastAsia"/>
        </w:rPr>
      </w:pPr>
      <w:r>
        <w:rPr>
          <w:rFonts w:hint="eastAsia"/>
        </w:rPr>
        <w:t xml:space="preserve"> 包装</w:t>
      </w:r>
    </w:p>
    <w:p w14:paraId="26C4A3B4">
      <w:pPr>
        <w:pStyle w:val="21"/>
      </w:pPr>
      <w:r>
        <w:rPr>
          <w:rFonts w:hint="eastAsia"/>
        </w:rPr>
        <w:t>包装容器应干燥、清洁、无毒、无异味、不影响桑叶茶品质。接触产品的包装材料应符合</w:t>
      </w:r>
      <w:r>
        <w:rPr>
          <w:rFonts w:ascii="Times New Roman"/>
        </w:rPr>
        <w:t>GB 4806.1</w:t>
      </w:r>
      <w:r>
        <w:rPr>
          <w:rFonts w:hint="eastAsia"/>
        </w:rPr>
        <w:t>的规定。</w:t>
      </w:r>
    </w:p>
    <w:p w14:paraId="70396B9D">
      <w:pPr>
        <w:pStyle w:val="50"/>
      </w:pPr>
      <w:r>
        <w:rPr>
          <w:rFonts w:hint="eastAsia"/>
        </w:rPr>
        <w:t>运输</w:t>
      </w:r>
    </w:p>
    <w:p w14:paraId="4BC7FC2D">
      <w:pPr>
        <w:pStyle w:val="21"/>
      </w:pPr>
      <w:r>
        <w:t>运输工具应清洁、干燥、无异味、无污染；运输时应防雨、防潮、防暴晒，严禁与有毒、有异味等损害茶品质的货物混装运输，并避免剧烈撞击、重压</w:t>
      </w:r>
      <w:r>
        <w:rPr>
          <w:rFonts w:hint="eastAsia"/>
        </w:rPr>
        <w:t>。</w:t>
      </w:r>
    </w:p>
    <w:p w14:paraId="39C7EAB9">
      <w:pPr>
        <w:pStyle w:val="50"/>
        <w:rPr>
          <w:rFonts w:hint="eastAsia"/>
        </w:rPr>
      </w:pPr>
      <w:r>
        <w:rPr>
          <w:rFonts w:hint="eastAsia"/>
        </w:rPr>
        <w:t>贮存</w:t>
      </w:r>
    </w:p>
    <w:p w14:paraId="2CA7294F">
      <w:pPr>
        <w:pStyle w:val="21"/>
        <w:rPr>
          <w:rFonts w:hint="eastAsia"/>
        </w:rPr>
      </w:pPr>
      <w:r>
        <w:rPr>
          <w:rFonts w:hint="eastAsia"/>
        </w:rPr>
        <w:t xml:space="preserve">产品应贮存在清洁、干燥、通风、无异味的专用仓库中，避免在阳光直射和高温高湿处存放；严禁与有毒、有异味、易污染的物品混放。 </w:t>
      </w:r>
    </w:p>
    <w:p w14:paraId="0D4646F9">
      <w:pPr>
        <w:pStyle w:val="93"/>
        <w:rPr>
          <w:rFonts w:hint="eastAsia"/>
        </w:rPr>
      </w:pPr>
      <w:r>
        <w:t>________________________________</w:t>
      </w:r>
    </w:p>
    <w:p w14:paraId="4BF1F8DC">
      <w:pPr>
        <w:pStyle w:val="21"/>
        <w:rPr>
          <w:rFonts w:hint="eastAsia"/>
        </w:rPr>
      </w:pPr>
    </w:p>
    <w:p w14:paraId="08566971">
      <w:pPr>
        <w:pStyle w:val="21"/>
        <w:ind w:firstLine="0" w:firstLineChars="0"/>
      </w:pPr>
    </w:p>
    <w:p w14:paraId="38BFC691">
      <w:pPr>
        <w:pStyle w:val="21"/>
        <w:ind w:firstLine="0" w:firstLineChars="0"/>
        <w:rPr>
          <w:rFonts w:hint="eastAsia" w:ascii="Times New Roman"/>
          <w:szCs w:val="22"/>
        </w:rPr>
      </w:pPr>
    </w:p>
    <w:sectPr>
      <w:headerReference r:id="rId11" w:type="default"/>
      <w:footerReference r:id="rId12" w:type="default"/>
      <w:pgSz w:w="11906" w:h="16838"/>
      <w:pgMar w:top="567" w:right="1134" w:bottom="1134" w:left="1418" w:header="1418" w:footer="1134" w:gutter="0"/>
      <w:pgNumType w:start="1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55BA1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FE072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5B4F5">
    <w:pPr>
      <w:pStyle w:val="1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192B1">
    <w:pPr>
      <w:pStyle w:val="73"/>
    </w:pPr>
    <w:r>
      <w:fldChar w:fldCharType="begin"/>
    </w:r>
    <w:r>
      <w:instrText xml:space="preserve"> PAGE  \* MERGEFORMAT </w:instrText>
    </w:r>
    <w:r>
      <w:fldChar w:fldCharType="separate"/>
    </w:r>
    <w:r>
      <w:t>II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83722">
    <w:pPr>
      <w:pStyle w:val="73"/>
    </w:pP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3AE3D">
    <w:pPr>
      <w:pStyle w:val="1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E503F">
    <w:pPr>
      <w:pStyle w:val="1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E5FB3">
    <w:pPr>
      <w:pStyle w:val="1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1B88A">
    <w:pPr>
      <w:pStyle w:val="77"/>
    </w:pPr>
    <w:r>
      <w:t>DBXX/ XXXXX—XXXX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63C10">
    <w:pPr>
      <w:pStyle w:val="77"/>
    </w:pPr>
    <w:r>
      <w:t>DBXX/ XXXXX—XXXX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11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40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117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pStyle w:val="70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8716DEA"/>
    <w:multiLevelType w:val="singleLevel"/>
    <w:tmpl w:val="18716DEA"/>
    <w:lvl w:ilvl="0" w:tentative="0">
      <w:start w:val="1"/>
      <w:numFmt w:val="lowerLetter"/>
      <w:suff w:val="nothing"/>
      <w:lvlText w:val="%1）"/>
      <w:lvlJc w:val="left"/>
    </w:lvl>
  </w:abstractNum>
  <w:abstractNum w:abstractNumId="5">
    <w:nsid w:val="1DBF583A"/>
    <w:multiLevelType w:val="multilevel"/>
    <w:tmpl w:val="1DBF583A"/>
    <w:lvl w:ilvl="0" w:tentative="0">
      <w:start w:val="1"/>
      <w:numFmt w:val="decimal"/>
      <w:pStyle w:val="9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1FC91163"/>
    <w:lvl w:ilvl="0" w:tentative="0">
      <w:start w:val="1"/>
      <w:numFmt w:val="decimal"/>
      <w:pStyle w:val="97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50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9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9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2A8F7113"/>
    <w:multiLevelType w:val="multilevel"/>
    <w:tmpl w:val="2A8F7113"/>
    <w:lvl w:ilvl="0" w:tentative="0">
      <w:start w:val="1"/>
      <w:numFmt w:val="upperLetter"/>
      <w:pStyle w:val="74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64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8">
    <w:nsid w:val="2C5917C3"/>
    <w:multiLevelType w:val="multilevel"/>
    <w:tmpl w:val="2C5917C3"/>
    <w:lvl w:ilvl="0" w:tentative="0">
      <w:start w:val="1"/>
      <w:numFmt w:val="none"/>
      <w:pStyle w:val="68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75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3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9">
    <w:nsid w:val="3D733618"/>
    <w:multiLevelType w:val="multilevel"/>
    <w:tmpl w:val="3D733618"/>
    <w:lvl w:ilvl="0" w:tentative="0">
      <w:start w:val="1"/>
      <w:numFmt w:val="decimal"/>
      <w:pStyle w:val="22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0">
    <w:nsid w:val="44C50F90"/>
    <w:multiLevelType w:val="multilevel"/>
    <w:tmpl w:val="44C50F90"/>
    <w:lvl w:ilvl="0" w:tentative="0">
      <w:start w:val="1"/>
      <w:numFmt w:val="lowerLetter"/>
      <w:pStyle w:val="109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106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136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1">
    <w:nsid w:val="4B733A5F"/>
    <w:multiLevelType w:val="multilevel"/>
    <w:tmpl w:val="4B733A5F"/>
    <w:lvl w:ilvl="0" w:tentative="0">
      <w:start w:val="1"/>
      <w:numFmt w:val="decimal"/>
      <w:pStyle w:val="100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2">
    <w:nsid w:val="557C2AF5"/>
    <w:multiLevelType w:val="multilevel"/>
    <w:tmpl w:val="557C2AF5"/>
    <w:lvl w:ilvl="0" w:tentative="0">
      <w:start w:val="1"/>
      <w:numFmt w:val="decimal"/>
      <w:pStyle w:val="131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0B55DC2"/>
    <w:multiLevelType w:val="multilevel"/>
    <w:tmpl w:val="60B55DC2"/>
    <w:lvl w:ilvl="0" w:tentative="0">
      <w:start w:val="1"/>
      <w:numFmt w:val="upperLetter"/>
      <w:pStyle w:val="79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646260FA"/>
    <w:lvl w:ilvl="0" w:tentative="0">
      <w:start w:val="1"/>
      <w:numFmt w:val="decimal"/>
      <w:pStyle w:val="123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57D3FBC"/>
    <w:multiLevelType w:val="multilevel"/>
    <w:tmpl w:val="657D3FBC"/>
    <w:lvl w:ilvl="0" w:tentative="0">
      <w:start w:val="1"/>
      <w:numFmt w:val="upperLetter"/>
      <w:pStyle w:val="113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55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5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7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46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45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87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0">
      <w:start w:val="1"/>
      <w:numFmt w:val="lowerLetter"/>
      <w:pStyle w:val="118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5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7">
    <w:nsid w:val="6DBF04F4"/>
    <w:multiLevelType w:val="multilevel"/>
    <w:tmpl w:val="6DBF04F4"/>
    <w:lvl w:ilvl="0" w:tentative="0">
      <w:start w:val="1"/>
      <w:numFmt w:val="none"/>
      <w:pStyle w:val="128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6"/>
  </w:num>
  <w:num w:numId="5">
    <w:abstractNumId w:val="16"/>
  </w:num>
  <w:num w:numId="6">
    <w:abstractNumId w:val="8"/>
  </w:num>
  <w:num w:numId="7">
    <w:abstractNumId w:val="7"/>
  </w:num>
  <w:num w:numId="8">
    <w:abstractNumId w:val="3"/>
  </w:num>
  <w:num w:numId="9">
    <w:abstractNumId w:val="13"/>
  </w:num>
  <w:num w:numId="10">
    <w:abstractNumId w:val="5"/>
  </w:num>
  <w:num w:numId="11">
    <w:abstractNumId w:val="11"/>
  </w:num>
  <w:num w:numId="12">
    <w:abstractNumId w:val="10"/>
  </w:num>
  <w:num w:numId="13">
    <w:abstractNumId w:val="0"/>
  </w:num>
  <w:num w:numId="14">
    <w:abstractNumId w:val="2"/>
  </w:num>
  <w:num w:numId="15">
    <w:abstractNumId w:val="14"/>
  </w:num>
  <w:num w:numId="16">
    <w:abstractNumId w:val="17"/>
  </w:num>
  <w:num w:numId="17">
    <w:abstractNumId w:val="1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0" w:hash="YufRdKB4c1ia8bW/Y26GKrijD3E=" w:salt="Ci/36UhPnJYjarFcimAtOg==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ZTkwM2ViNDgyNWQ0YzJjYzY5NDdjN2Y0Mjk2YjQifQ=="/>
  </w:docVars>
  <w:rsids>
    <w:rsidRoot w:val="00172A27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27D0F"/>
    <w:rsid w:val="000320A7"/>
    <w:rsid w:val="00035925"/>
    <w:rsid w:val="00051375"/>
    <w:rsid w:val="00067CDF"/>
    <w:rsid w:val="000703AB"/>
    <w:rsid w:val="00074FBE"/>
    <w:rsid w:val="00082074"/>
    <w:rsid w:val="00083A09"/>
    <w:rsid w:val="0009005E"/>
    <w:rsid w:val="00092857"/>
    <w:rsid w:val="000A20A9"/>
    <w:rsid w:val="000A48B1"/>
    <w:rsid w:val="000B3143"/>
    <w:rsid w:val="000C6B05"/>
    <w:rsid w:val="000C6DD6"/>
    <w:rsid w:val="000C73D4"/>
    <w:rsid w:val="000D3D4C"/>
    <w:rsid w:val="000D4F51"/>
    <w:rsid w:val="000D718B"/>
    <w:rsid w:val="000E0C46"/>
    <w:rsid w:val="000E5008"/>
    <w:rsid w:val="000F030C"/>
    <w:rsid w:val="000F129C"/>
    <w:rsid w:val="001056DE"/>
    <w:rsid w:val="00107F97"/>
    <w:rsid w:val="001124C0"/>
    <w:rsid w:val="0013175F"/>
    <w:rsid w:val="001512B4"/>
    <w:rsid w:val="001620A5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B6DC2"/>
    <w:rsid w:val="001C149C"/>
    <w:rsid w:val="001C21AC"/>
    <w:rsid w:val="001C47BA"/>
    <w:rsid w:val="001C59EA"/>
    <w:rsid w:val="001D406C"/>
    <w:rsid w:val="001D41EE"/>
    <w:rsid w:val="001E0380"/>
    <w:rsid w:val="001E13B1"/>
    <w:rsid w:val="001E42C9"/>
    <w:rsid w:val="001F3A19"/>
    <w:rsid w:val="00234467"/>
    <w:rsid w:val="00237D8D"/>
    <w:rsid w:val="00241DA2"/>
    <w:rsid w:val="00247FEE"/>
    <w:rsid w:val="00250E7D"/>
    <w:rsid w:val="002565D5"/>
    <w:rsid w:val="002622C0"/>
    <w:rsid w:val="002778AE"/>
    <w:rsid w:val="0028269A"/>
    <w:rsid w:val="00282E2C"/>
    <w:rsid w:val="00283590"/>
    <w:rsid w:val="002836D4"/>
    <w:rsid w:val="00286973"/>
    <w:rsid w:val="00294E70"/>
    <w:rsid w:val="002A1924"/>
    <w:rsid w:val="002A7420"/>
    <w:rsid w:val="002B0F12"/>
    <w:rsid w:val="002B1308"/>
    <w:rsid w:val="002B4554"/>
    <w:rsid w:val="002C72D8"/>
    <w:rsid w:val="002D11FA"/>
    <w:rsid w:val="002E0DDF"/>
    <w:rsid w:val="002E2906"/>
    <w:rsid w:val="002E5635"/>
    <w:rsid w:val="002E64C3"/>
    <w:rsid w:val="002E6A2C"/>
    <w:rsid w:val="002F1D8C"/>
    <w:rsid w:val="002F21DA"/>
    <w:rsid w:val="002F32C3"/>
    <w:rsid w:val="00301F39"/>
    <w:rsid w:val="00325926"/>
    <w:rsid w:val="00327A8A"/>
    <w:rsid w:val="00336610"/>
    <w:rsid w:val="00343F73"/>
    <w:rsid w:val="00345060"/>
    <w:rsid w:val="0035323B"/>
    <w:rsid w:val="003609D2"/>
    <w:rsid w:val="00363F22"/>
    <w:rsid w:val="00365FCC"/>
    <w:rsid w:val="00375564"/>
    <w:rsid w:val="00383191"/>
    <w:rsid w:val="00386DED"/>
    <w:rsid w:val="003912E7"/>
    <w:rsid w:val="00392925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5729"/>
    <w:rsid w:val="003F4EE0"/>
    <w:rsid w:val="00402153"/>
    <w:rsid w:val="00402FC1"/>
    <w:rsid w:val="00425082"/>
    <w:rsid w:val="004267ED"/>
    <w:rsid w:val="00431DEB"/>
    <w:rsid w:val="00446B29"/>
    <w:rsid w:val="00453F9A"/>
    <w:rsid w:val="00471E91"/>
    <w:rsid w:val="00474675"/>
    <w:rsid w:val="0047470C"/>
    <w:rsid w:val="004A35F9"/>
    <w:rsid w:val="004B24C1"/>
    <w:rsid w:val="004B5D06"/>
    <w:rsid w:val="004C262B"/>
    <w:rsid w:val="004C292F"/>
    <w:rsid w:val="004D1399"/>
    <w:rsid w:val="00510280"/>
    <w:rsid w:val="00513D73"/>
    <w:rsid w:val="00514A43"/>
    <w:rsid w:val="005174E5"/>
    <w:rsid w:val="00522393"/>
    <w:rsid w:val="00522620"/>
    <w:rsid w:val="00525656"/>
    <w:rsid w:val="00534C02"/>
    <w:rsid w:val="0054264B"/>
    <w:rsid w:val="00543786"/>
    <w:rsid w:val="005533D7"/>
    <w:rsid w:val="00553628"/>
    <w:rsid w:val="005703DE"/>
    <w:rsid w:val="0058464E"/>
    <w:rsid w:val="005A01CB"/>
    <w:rsid w:val="005A58FF"/>
    <w:rsid w:val="005A5EAF"/>
    <w:rsid w:val="005A64C0"/>
    <w:rsid w:val="005B3C11"/>
    <w:rsid w:val="005C1C28"/>
    <w:rsid w:val="005C6DB5"/>
    <w:rsid w:val="005E19E7"/>
    <w:rsid w:val="0061287B"/>
    <w:rsid w:val="0061716C"/>
    <w:rsid w:val="006243A1"/>
    <w:rsid w:val="00632E56"/>
    <w:rsid w:val="00635CBA"/>
    <w:rsid w:val="0064338B"/>
    <w:rsid w:val="00646542"/>
    <w:rsid w:val="006504F4"/>
    <w:rsid w:val="00654BC9"/>
    <w:rsid w:val="006552FD"/>
    <w:rsid w:val="00663AF3"/>
    <w:rsid w:val="00666B6C"/>
    <w:rsid w:val="00682682"/>
    <w:rsid w:val="00682702"/>
    <w:rsid w:val="0068728E"/>
    <w:rsid w:val="00692368"/>
    <w:rsid w:val="006A01BC"/>
    <w:rsid w:val="006A2EBC"/>
    <w:rsid w:val="006A5EA0"/>
    <w:rsid w:val="006A783B"/>
    <w:rsid w:val="006A7B33"/>
    <w:rsid w:val="006B4E13"/>
    <w:rsid w:val="006B75DD"/>
    <w:rsid w:val="006C2336"/>
    <w:rsid w:val="006C67E0"/>
    <w:rsid w:val="006C7ABA"/>
    <w:rsid w:val="006D0D60"/>
    <w:rsid w:val="006D1122"/>
    <w:rsid w:val="006D195F"/>
    <w:rsid w:val="006D3C00"/>
    <w:rsid w:val="006E3675"/>
    <w:rsid w:val="006E4A7F"/>
    <w:rsid w:val="006F6F48"/>
    <w:rsid w:val="00704DF6"/>
    <w:rsid w:val="0070651C"/>
    <w:rsid w:val="007132A3"/>
    <w:rsid w:val="00716421"/>
    <w:rsid w:val="00724EFB"/>
    <w:rsid w:val="0072775E"/>
    <w:rsid w:val="00727D8E"/>
    <w:rsid w:val="007419C3"/>
    <w:rsid w:val="007467A7"/>
    <w:rsid w:val="007469DD"/>
    <w:rsid w:val="0074741B"/>
    <w:rsid w:val="0074759E"/>
    <w:rsid w:val="007478EA"/>
    <w:rsid w:val="0075415C"/>
    <w:rsid w:val="007574C0"/>
    <w:rsid w:val="00763502"/>
    <w:rsid w:val="007913AB"/>
    <w:rsid w:val="007914F7"/>
    <w:rsid w:val="007B1625"/>
    <w:rsid w:val="007B4457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2EC6"/>
    <w:rsid w:val="007F4CF1"/>
    <w:rsid w:val="007F758D"/>
    <w:rsid w:val="007F7D52"/>
    <w:rsid w:val="00802D02"/>
    <w:rsid w:val="0080654C"/>
    <w:rsid w:val="008071C6"/>
    <w:rsid w:val="00817A00"/>
    <w:rsid w:val="00835DB3"/>
    <w:rsid w:val="0083617B"/>
    <w:rsid w:val="008371BD"/>
    <w:rsid w:val="008504A8"/>
    <w:rsid w:val="00851F27"/>
    <w:rsid w:val="0085282E"/>
    <w:rsid w:val="0085326B"/>
    <w:rsid w:val="00855218"/>
    <w:rsid w:val="0087198C"/>
    <w:rsid w:val="00872C1F"/>
    <w:rsid w:val="00873B42"/>
    <w:rsid w:val="008856D8"/>
    <w:rsid w:val="00892E82"/>
    <w:rsid w:val="008A28AA"/>
    <w:rsid w:val="008A5464"/>
    <w:rsid w:val="008C1B58"/>
    <w:rsid w:val="008C39AE"/>
    <w:rsid w:val="008C590D"/>
    <w:rsid w:val="008E031B"/>
    <w:rsid w:val="008E7029"/>
    <w:rsid w:val="008E7EF6"/>
    <w:rsid w:val="008F1F98"/>
    <w:rsid w:val="008F6758"/>
    <w:rsid w:val="00900356"/>
    <w:rsid w:val="009040DD"/>
    <w:rsid w:val="00905B47"/>
    <w:rsid w:val="0091331C"/>
    <w:rsid w:val="009279DE"/>
    <w:rsid w:val="00930116"/>
    <w:rsid w:val="00930B02"/>
    <w:rsid w:val="0094212C"/>
    <w:rsid w:val="00954689"/>
    <w:rsid w:val="009617C9"/>
    <w:rsid w:val="00961C93"/>
    <w:rsid w:val="00965324"/>
    <w:rsid w:val="0097091E"/>
    <w:rsid w:val="009760D3"/>
    <w:rsid w:val="00977132"/>
    <w:rsid w:val="00981A4B"/>
    <w:rsid w:val="00982501"/>
    <w:rsid w:val="009877D3"/>
    <w:rsid w:val="00994E8F"/>
    <w:rsid w:val="009951DC"/>
    <w:rsid w:val="009959BB"/>
    <w:rsid w:val="00997158"/>
    <w:rsid w:val="009A3A7C"/>
    <w:rsid w:val="009B2ADB"/>
    <w:rsid w:val="009B603A"/>
    <w:rsid w:val="009C1C31"/>
    <w:rsid w:val="009C2D0E"/>
    <w:rsid w:val="009C3DAC"/>
    <w:rsid w:val="009C42E0"/>
    <w:rsid w:val="009C43F2"/>
    <w:rsid w:val="009D5362"/>
    <w:rsid w:val="009E1415"/>
    <w:rsid w:val="009E6116"/>
    <w:rsid w:val="00A02E43"/>
    <w:rsid w:val="00A065F9"/>
    <w:rsid w:val="00A07F34"/>
    <w:rsid w:val="00A22154"/>
    <w:rsid w:val="00A25C38"/>
    <w:rsid w:val="00A36BBE"/>
    <w:rsid w:val="00A4307A"/>
    <w:rsid w:val="00A47EBB"/>
    <w:rsid w:val="00A51CDD"/>
    <w:rsid w:val="00A6730D"/>
    <w:rsid w:val="00A71625"/>
    <w:rsid w:val="00A71919"/>
    <w:rsid w:val="00A71B9B"/>
    <w:rsid w:val="00A751C7"/>
    <w:rsid w:val="00A87844"/>
    <w:rsid w:val="00AA038C"/>
    <w:rsid w:val="00AA7A09"/>
    <w:rsid w:val="00AB3B50"/>
    <w:rsid w:val="00AC05B1"/>
    <w:rsid w:val="00AD356C"/>
    <w:rsid w:val="00AE2914"/>
    <w:rsid w:val="00AE6D15"/>
    <w:rsid w:val="00B04182"/>
    <w:rsid w:val="00B07AE3"/>
    <w:rsid w:val="00B11430"/>
    <w:rsid w:val="00B1697F"/>
    <w:rsid w:val="00B17E4F"/>
    <w:rsid w:val="00B31790"/>
    <w:rsid w:val="00B353EB"/>
    <w:rsid w:val="00B439C4"/>
    <w:rsid w:val="00B4535E"/>
    <w:rsid w:val="00B52A8C"/>
    <w:rsid w:val="00B52CE4"/>
    <w:rsid w:val="00B636A8"/>
    <w:rsid w:val="00B665C6"/>
    <w:rsid w:val="00B805AF"/>
    <w:rsid w:val="00B869EC"/>
    <w:rsid w:val="00B9397A"/>
    <w:rsid w:val="00B9633D"/>
    <w:rsid w:val="00BA2EBE"/>
    <w:rsid w:val="00BA2FDF"/>
    <w:rsid w:val="00BB0F28"/>
    <w:rsid w:val="00BB458A"/>
    <w:rsid w:val="00BD00D3"/>
    <w:rsid w:val="00BD1659"/>
    <w:rsid w:val="00BD3AA9"/>
    <w:rsid w:val="00BD4A18"/>
    <w:rsid w:val="00BD4D34"/>
    <w:rsid w:val="00BD6DB2"/>
    <w:rsid w:val="00BE11CF"/>
    <w:rsid w:val="00BE21AB"/>
    <w:rsid w:val="00BE55CB"/>
    <w:rsid w:val="00BF617A"/>
    <w:rsid w:val="00C0379D"/>
    <w:rsid w:val="00C03931"/>
    <w:rsid w:val="00C05FE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4095D"/>
    <w:rsid w:val="00C601D2"/>
    <w:rsid w:val="00C65BCC"/>
    <w:rsid w:val="00C66970"/>
    <w:rsid w:val="00C71607"/>
    <w:rsid w:val="00C8477F"/>
    <w:rsid w:val="00C8691C"/>
    <w:rsid w:val="00C873F4"/>
    <w:rsid w:val="00CA168A"/>
    <w:rsid w:val="00CA357E"/>
    <w:rsid w:val="00CA44F9"/>
    <w:rsid w:val="00CA4A69"/>
    <w:rsid w:val="00CC3E0C"/>
    <w:rsid w:val="00CC58D3"/>
    <w:rsid w:val="00CC784D"/>
    <w:rsid w:val="00D0337B"/>
    <w:rsid w:val="00D079B2"/>
    <w:rsid w:val="00D114E9"/>
    <w:rsid w:val="00D408C0"/>
    <w:rsid w:val="00D429C6"/>
    <w:rsid w:val="00D47748"/>
    <w:rsid w:val="00D54CC3"/>
    <w:rsid w:val="00D6041A"/>
    <w:rsid w:val="00D633EB"/>
    <w:rsid w:val="00D648D4"/>
    <w:rsid w:val="00D82FF7"/>
    <w:rsid w:val="00D847FE"/>
    <w:rsid w:val="00D964EA"/>
    <w:rsid w:val="00D966D0"/>
    <w:rsid w:val="00DA0C59"/>
    <w:rsid w:val="00DA3991"/>
    <w:rsid w:val="00DB7E6C"/>
    <w:rsid w:val="00DD5A29"/>
    <w:rsid w:val="00DD5D9D"/>
    <w:rsid w:val="00DE35CB"/>
    <w:rsid w:val="00DF21E9"/>
    <w:rsid w:val="00E00F14"/>
    <w:rsid w:val="00E06386"/>
    <w:rsid w:val="00E20C8B"/>
    <w:rsid w:val="00E24EB4"/>
    <w:rsid w:val="00E31EFB"/>
    <w:rsid w:val="00E320ED"/>
    <w:rsid w:val="00E33003"/>
    <w:rsid w:val="00E33AFB"/>
    <w:rsid w:val="00E34218"/>
    <w:rsid w:val="00E46282"/>
    <w:rsid w:val="00E5216E"/>
    <w:rsid w:val="00E70F59"/>
    <w:rsid w:val="00E82344"/>
    <w:rsid w:val="00E8337E"/>
    <w:rsid w:val="00E84C82"/>
    <w:rsid w:val="00E84D64"/>
    <w:rsid w:val="00E87408"/>
    <w:rsid w:val="00E914C4"/>
    <w:rsid w:val="00E934F5"/>
    <w:rsid w:val="00E96961"/>
    <w:rsid w:val="00EA72EC"/>
    <w:rsid w:val="00EB11CB"/>
    <w:rsid w:val="00EB275A"/>
    <w:rsid w:val="00EB786A"/>
    <w:rsid w:val="00EB7B76"/>
    <w:rsid w:val="00EC1578"/>
    <w:rsid w:val="00EC1C72"/>
    <w:rsid w:val="00EC3CC9"/>
    <w:rsid w:val="00EC680A"/>
    <w:rsid w:val="00ED6EED"/>
    <w:rsid w:val="00EE2BED"/>
    <w:rsid w:val="00EE374B"/>
    <w:rsid w:val="00EF1D40"/>
    <w:rsid w:val="00F11BB5"/>
    <w:rsid w:val="00F1417B"/>
    <w:rsid w:val="00F34B99"/>
    <w:rsid w:val="00F52DAB"/>
    <w:rsid w:val="00F543F0"/>
    <w:rsid w:val="00F81D29"/>
    <w:rsid w:val="00F848C0"/>
    <w:rsid w:val="00F91C4D"/>
    <w:rsid w:val="00F92FD9"/>
    <w:rsid w:val="00FA4BDE"/>
    <w:rsid w:val="00FA6684"/>
    <w:rsid w:val="00FA731E"/>
    <w:rsid w:val="00FB2B38"/>
    <w:rsid w:val="00FC6358"/>
    <w:rsid w:val="00FD217A"/>
    <w:rsid w:val="00FD320D"/>
    <w:rsid w:val="00FD37F2"/>
    <w:rsid w:val="00FE23DE"/>
    <w:rsid w:val="01B403AC"/>
    <w:rsid w:val="01D3704B"/>
    <w:rsid w:val="0276049F"/>
    <w:rsid w:val="03986A4D"/>
    <w:rsid w:val="03E5561E"/>
    <w:rsid w:val="055C3E84"/>
    <w:rsid w:val="075D74B4"/>
    <w:rsid w:val="07752305"/>
    <w:rsid w:val="08AE7E56"/>
    <w:rsid w:val="090D2DDE"/>
    <w:rsid w:val="0B7E2D7E"/>
    <w:rsid w:val="0BBC0A15"/>
    <w:rsid w:val="0DCD2AD1"/>
    <w:rsid w:val="0F46498B"/>
    <w:rsid w:val="0FA33284"/>
    <w:rsid w:val="10C7687A"/>
    <w:rsid w:val="10E94A8B"/>
    <w:rsid w:val="125E1927"/>
    <w:rsid w:val="12E25D77"/>
    <w:rsid w:val="14013CB0"/>
    <w:rsid w:val="14780E9C"/>
    <w:rsid w:val="148B6B27"/>
    <w:rsid w:val="16E239D7"/>
    <w:rsid w:val="172F7D9C"/>
    <w:rsid w:val="17924349"/>
    <w:rsid w:val="17A84556"/>
    <w:rsid w:val="17EB9767"/>
    <w:rsid w:val="19FB6293"/>
    <w:rsid w:val="1EA33F65"/>
    <w:rsid w:val="1F5976E3"/>
    <w:rsid w:val="1F6E5FE7"/>
    <w:rsid w:val="1FCBDA65"/>
    <w:rsid w:val="1FFBAB1A"/>
    <w:rsid w:val="20746C50"/>
    <w:rsid w:val="216D40E6"/>
    <w:rsid w:val="22477370"/>
    <w:rsid w:val="229430EF"/>
    <w:rsid w:val="25FD4869"/>
    <w:rsid w:val="278042E9"/>
    <w:rsid w:val="27EE00B2"/>
    <w:rsid w:val="28240506"/>
    <w:rsid w:val="287530F8"/>
    <w:rsid w:val="28AE2D8F"/>
    <w:rsid w:val="29572344"/>
    <w:rsid w:val="2A0E3088"/>
    <w:rsid w:val="2B8D5DD4"/>
    <w:rsid w:val="2BAD1346"/>
    <w:rsid w:val="2BFB0EC8"/>
    <w:rsid w:val="2DFF4D80"/>
    <w:rsid w:val="30733266"/>
    <w:rsid w:val="307C0981"/>
    <w:rsid w:val="324B2289"/>
    <w:rsid w:val="329658B2"/>
    <w:rsid w:val="33526AA0"/>
    <w:rsid w:val="362E919B"/>
    <w:rsid w:val="36E46E3C"/>
    <w:rsid w:val="3B681892"/>
    <w:rsid w:val="3B762375"/>
    <w:rsid w:val="3D5D2A0D"/>
    <w:rsid w:val="3E146C34"/>
    <w:rsid w:val="3EBF8E83"/>
    <w:rsid w:val="3FC55802"/>
    <w:rsid w:val="3FE55326"/>
    <w:rsid w:val="42713243"/>
    <w:rsid w:val="4301750B"/>
    <w:rsid w:val="432E3C17"/>
    <w:rsid w:val="43A86AE9"/>
    <w:rsid w:val="444231D4"/>
    <w:rsid w:val="463811DC"/>
    <w:rsid w:val="4BFB08F8"/>
    <w:rsid w:val="4C6B4D4B"/>
    <w:rsid w:val="4FD750C6"/>
    <w:rsid w:val="503350D6"/>
    <w:rsid w:val="526D488E"/>
    <w:rsid w:val="52E94DE0"/>
    <w:rsid w:val="53734CDC"/>
    <w:rsid w:val="53736DFF"/>
    <w:rsid w:val="53F80750"/>
    <w:rsid w:val="563951EA"/>
    <w:rsid w:val="56567CD1"/>
    <w:rsid w:val="5897608A"/>
    <w:rsid w:val="5A131773"/>
    <w:rsid w:val="5ABF4EFE"/>
    <w:rsid w:val="5B1D2246"/>
    <w:rsid w:val="5D110EF3"/>
    <w:rsid w:val="5DCD7448"/>
    <w:rsid w:val="5DDBFBF8"/>
    <w:rsid w:val="5E6A0C20"/>
    <w:rsid w:val="5ED3D296"/>
    <w:rsid w:val="5F9D1B7B"/>
    <w:rsid w:val="60E92DF5"/>
    <w:rsid w:val="645D5138"/>
    <w:rsid w:val="65BC41D7"/>
    <w:rsid w:val="679118E5"/>
    <w:rsid w:val="6BBDB55E"/>
    <w:rsid w:val="6BDB7F78"/>
    <w:rsid w:val="6D1702CE"/>
    <w:rsid w:val="6D3C51D8"/>
    <w:rsid w:val="6D482626"/>
    <w:rsid w:val="6F65CAEB"/>
    <w:rsid w:val="6F717383"/>
    <w:rsid w:val="6FB3A5B0"/>
    <w:rsid w:val="703B4416"/>
    <w:rsid w:val="704D19FC"/>
    <w:rsid w:val="71B25047"/>
    <w:rsid w:val="72204B14"/>
    <w:rsid w:val="725D4F92"/>
    <w:rsid w:val="73B503BE"/>
    <w:rsid w:val="77CF5533"/>
    <w:rsid w:val="78985327"/>
    <w:rsid w:val="78DF7469"/>
    <w:rsid w:val="7936384A"/>
    <w:rsid w:val="797B216C"/>
    <w:rsid w:val="7BC62ECA"/>
    <w:rsid w:val="7BC66686"/>
    <w:rsid w:val="7C10151B"/>
    <w:rsid w:val="7EBC1F35"/>
    <w:rsid w:val="7FFF2800"/>
    <w:rsid w:val="8FFF6127"/>
    <w:rsid w:val="95FD2469"/>
    <w:rsid w:val="BF1FAE94"/>
    <w:rsid w:val="C3BFE445"/>
    <w:rsid w:val="CF9D5DA4"/>
    <w:rsid w:val="D7B58543"/>
    <w:rsid w:val="DFEF53D2"/>
    <w:rsid w:val="ED73B6FE"/>
    <w:rsid w:val="EFBF1EBE"/>
    <w:rsid w:val="F6FF5CDF"/>
    <w:rsid w:val="FDFFE2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2">
    <w:name w:val="Default Paragraph Font"/>
    <w:semiHidden/>
    <w:qFormat/>
    <w:uiPriority w:val="0"/>
  </w:style>
  <w:style w:type="table" w:default="1" w:styleId="3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/>
      <w:szCs w:val="21"/>
    </w:rPr>
  </w:style>
  <w:style w:type="paragraph" w:styleId="4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7">
    <w:name w:val="Document Map"/>
    <w:basedOn w:val="1"/>
    <w:semiHidden/>
    <w:qFormat/>
    <w:uiPriority w:val="0"/>
    <w:pPr>
      <w:shd w:val="clear" w:color="auto" w:fill="000080"/>
    </w:pPr>
  </w:style>
  <w:style w:type="paragraph" w:styleId="8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0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1">
    <w:name w:val="toc 3"/>
    <w:basedOn w:val="1"/>
    <w:next w:val="1"/>
    <w:semiHidden/>
    <w:qFormat/>
    <w:uiPriority w:val="0"/>
    <w:pPr>
      <w:tabs>
        <w:tab w:val="right" w:leader="dot" w:pos="9241"/>
      </w:tabs>
      <w:ind w:firstLine="102" w:firstLineChars="100"/>
      <w:jc w:val="left"/>
    </w:pPr>
    <w:rPr>
      <w:rFonts w:ascii="宋体"/>
      <w:szCs w:val="21"/>
    </w:rPr>
  </w:style>
  <w:style w:type="paragraph" w:styleId="12">
    <w:name w:val="toc 8"/>
    <w:basedOn w:val="1"/>
    <w:next w:val="1"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3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4">
    <w:name w:val="endnote text"/>
    <w:basedOn w:val="1"/>
    <w:semiHidden/>
    <w:qFormat/>
    <w:uiPriority w:val="0"/>
    <w:pPr>
      <w:snapToGrid w:val="0"/>
      <w:jc w:val="left"/>
    </w:pPr>
  </w:style>
  <w:style w:type="paragraph" w:styleId="15">
    <w:name w:val="footer"/>
    <w:basedOn w:val="1"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6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7">
    <w:name w:val="toc 1"/>
    <w:basedOn w:val="1"/>
    <w:next w:val="1"/>
    <w:semiHidden/>
    <w:qFormat/>
    <w:uiPriority w:val="0"/>
    <w:pPr>
      <w:tabs>
        <w:tab w:val="right" w:leader="dot" w:pos="9241"/>
      </w:tabs>
      <w:spacing w:before="25" w:beforeLines="25" w:after="25" w:afterLines="25"/>
      <w:jc w:val="left"/>
    </w:pPr>
    <w:rPr>
      <w:rFonts w:ascii="宋体"/>
      <w:szCs w:val="21"/>
    </w:rPr>
  </w:style>
  <w:style w:type="paragraph" w:styleId="18">
    <w:name w:val="toc 4"/>
    <w:basedOn w:val="1"/>
    <w:next w:val="1"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/>
      <w:szCs w:val="21"/>
    </w:rPr>
  </w:style>
  <w:style w:type="paragraph" w:styleId="19">
    <w:name w:val="index heading"/>
    <w:basedOn w:val="1"/>
    <w:next w:val="20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0">
    <w:name w:val="index 1"/>
    <w:basedOn w:val="1"/>
    <w:next w:val="21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1">
    <w:name w:val="段"/>
    <w:link w:val="3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2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/>
      <w:szCs w:val="21"/>
    </w:rPr>
  </w:style>
  <w:style w:type="paragraph" w:styleId="24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5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6">
    <w:name w:val="toc 2"/>
    <w:basedOn w:val="1"/>
    <w:next w:val="1"/>
    <w:semiHidden/>
    <w:qFormat/>
    <w:uiPriority w:val="0"/>
    <w:pPr>
      <w:tabs>
        <w:tab w:val="right" w:leader="dot" w:pos="9241"/>
      </w:tabs>
    </w:pPr>
    <w:rPr>
      <w:rFonts w:ascii="宋体"/>
      <w:szCs w:val="21"/>
    </w:rPr>
  </w:style>
  <w:style w:type="paragraph" w:styleId="27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28">
    <w:name w:val="Normal (Web)"/>
    <w:basedOn w:val="1"/>
    <w:qFormat/>
    <w:uiPriority w:val="0"/>
    <w:rPr>
      <w:sz w:val="24"/>
    </w:rPr>
  </w:style>
  <w:style w:type="paragraph" w:styleId="29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1">
    <w:name w:val="Table Grid"/>
    <w:basedOn w:val="30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3">
    <w:name w:val="endnote reference"/>
    <w:semiHidden/>
    <w:qFormat/>
    <w:uiPriority w:val="0"/>
    <w:rPr>
      <w:vertAlign w:val="superscript"/>
    </w:rPr>
  </w:style>
  <w:style w:type="character" w:styleId="34">
    <w:name w:val="page number"/>
    <w:qFormat/>
    <w:uiPriority w:val="0"/>
    <w:rPr>
      <w:rFonts w:ascii="Times New Roman" w:hAnsi="Times New Roman" w:eastAsia="宋体"/>
      <w:sz w:val="18"/>
    </w:rPr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Hyperlink"/>
    <w:qFormat/>
    <w:uiPriority w:val="0"/>
    <w:rPr>
      <w:color w:val="0000FF"/>
      <w:spacing w:val="0"/>
      <w:w w:val="100"/>
      <w:szCs w:val="21"/>
      <w:u w:val="single"/>
    </w:rPr>
  </w:style>
  <w:style w:type="character" w:styleId="37">
    <w:name w:val="footnote reference"/>
    <w:semiHidden/>
    <w:qFormat/>
    <w:uiPriority w:val="0"/>
    <w:rPr>
      <w:vertAlign w:val="superscript"/>
    </w:rPr>
  </w:style>
  <w:style w:type="character" w:customStyle="1" w:styleId="38">
    <w:name w:val="段 Char"/>
    <w:link w:val="21"/>
    <w:qFormat/>
    <w:uiPriority w:val="0"/>
    <w:rPr>
      <w:rFonts w:ascii="宋体"/>
      <w:sz w:val="21"/>
      <w:lang w:val="en-US" w:eastAsia="zh-CN" w:bidi="ar-SA"/>
    </w:rPr>
  </w:style>
  <w:style w:type="character" w:customStyle="1" w:styleId="39">
    <w:name w:val="首示例 Char"/>
    <w:link w:val="40"/>
    <w:qFormat/>
    <w:uiPriority w:val="0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40">
    <w:name w:val="首示例"/>
    <w:next w:val="21"/>
    <w:link w:val="39"/>
    <w:qFormat/>
    <w:uiPriority w:val="0"/>
    <w:pPr>
      <w:numPr>
        <w:ilvl w:val="0"/>
        <w:numId w:val="2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41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42">
    <w:name w:val="附录公式 Char"/>
    <w:link w:val="43"/>
    <w:qFormat/>
    <w:uiPriority w:val="0"/>
    <w:rPr>
      <w:lang w:val="en-US" w:eastAsia="zh-CN" w:bidi="ar-SA"/>
    </w:rPr>
  </w:style>
  <w:style w:type="paragraph" w:customStyle="1" w:styleId="43">
    <w:name w:val="附录公式"/>
    <w:basedOn w:val="21"/>
    <w:next w:val="21"/>
    <w:link w:val="42"/>
    <w:qFormat/>
    <w:uiPriority w:val="0"/>
    <w:rPr>
      <w:rFonts w:ascii="Times New Roman"/>
      <w:sz w:val="20"/>
    </w:rPr>
  </w:style>
  <w:style w:type="character" w:customStyle="1" w:styleId="44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  <w:style w:type="paragraph" w:customStyle="1" w:styleId="45">
    <w:name w:val="附录四级条标题"/>
    <w:basedOn w:val="46"/>
    <w:next w:val="21"/>
    <w:qFormat/>
    <w:uiPriority w:val="0"/>
    <w:pPr>
      <w:numPr>
        <w:ilvl w:val="5"/>
        <w:numId w:val="3"/>
      </w:numPr>
      <w:tabs>
        <w:tab w:val="left" w:pos="360"/>
      </w:tabs>
      <w:outlineLvl w:val="5"/>
    </w:pPr>
  </w:style>
  <w:style w:type="paragraph" w:customStyle="1" w:styleId="46">
    <w:name w:val="附录三级条标题"/>
    <w:basedOn w:val="47"/>
    <w:next w:val="21"/>
    <w:qFormat/>
    <w:uiPriority w:val="0"/>
    <w:pPr>
      <w:numPr>
        <w:ilvl w:val="4"/>
        <w:numId w:val="3"/>
      </w:numPr>
      <w:tabs>
        <w:tab w:val="left" w:pos="360"/>
      </w:tabs>
      <w:outlineLvl w:val="4"/>
    </w:pPr>
  </w:style>
  <w:style w:type="paragraph" w:customStyle="1" w:styleId="47">
    <w:name w:val="附录二级条标题"/>
    <w:basedOn w:val="1"/>
    <w:next w:val="21"/>
    <w:qFormat/>
    <w:uiPriority w:val="0"/>
    <w:pPr>
      <w:widowControl/>
      <w:numPr>
        <w:ilvl w:val="3"/>
        <w:numId w:val="3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48">
    <w:name w:val="三级条标题"/>
    <w:basedOn w:val="49"/>
    <w:next w:val="21"/>
    <w:qFormat/>
    <w:uiPriority w:val="0"/>
    <w:pPr>
      <w:numPr>
        <w:ilvl w:val="3"/>
        <w:numId w:val="4"/>
      </w:numPr>
      <w:outlineLvl w:val="4"/>
    </w:pPr>
  </w:style>
  <w:style w:type="paragraph" w:customStyle="1" w:styleId="49">
    <w:name w:val="二级条标题"/>
    <w:basedOn w:val="50"/>
    <w:next w:val="21"/>
    <w:qFormat/>
    <w:uiPriority w:val="0"/>
    <w:pPr>
      <w:numPr>
        <w:ilvl w:val="2"/>
        <w:numId w:val="4"/>
      </w:numPr>
      <w:spacing w:before="50" w:after="50"/>
      <w:outlineLvl w:val="3"/>
    </w:pPr>
  </w:style>
  <w:style w:type="paragraph" w:customStyle="1" w:styleId="50">
    <w:name w:val="一级条标题"/>
    <w:next w:val="21"/>
    <w:qFormat/>
    <w:uiPriority w:val="0"/>
    <w:pPr>
      <w:numPr>
        <w:ilvl w:val="1"/>
        <w:numId w:val="4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1">
    <w:name w:val="三级无"/>
    <w:basedOn w:val="48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52">
    <w:name w:val="附录数字编号列项（二级）"/>
    <w:qFormat/>
    <w:uiPriority w:val="0"/>
    <w:pPr>
      <w:numPr>
        <w:ilvl w:val="1"/>
        <w:numId w:val="5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3">
    <w:name w:val="附录一级无"/>
    <w:basedOn w:val="54"/>
    <w:qFormat/>
    <w:uiPriority w:val="0"/>
    <w:pPr>
      <w:tabs>
        <w:tab w:val="left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54">
    <w:name w:val="附录一级条标题"/>
    <w:basedOn w:val="55"/>
    <w:next w:val="21"/>
    <w:qFormat/>
    <w:uiPriority w:val="0"/>
    <w:pPr>
      <w:numPr>
        <w:ilvl w:val="2"/>
        <w:numId w:val="3"/>
      </w:numPr>
      <w:tabs>
        <w:tab w:val="left" w:pos="360"/>
      </w:tabs>
      <w:autoSpaceDN w:val="0"/>
      <w:spacing w:before="50" w:beforeLines="50" w:after="50" w:afterLines="50"/>
      <w:outlineLvl w:val="2"/>
    </w:pPr>
  </w:style>
  <w:style w:type="paragraph" w:customStyle="1" w:styleId="55">
    <w:name w:val="附录章标题"/>
    <w:next w:val="21"/>
    <w:qFormat/>
    <w:uiPriority w:val="0"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56">
    <w:name w:val="正文公式编号制表符"/>
    <w:basedOn w:val="21"/>
    <w:next w:val="21"/>
    <w:qFormat/>
    <w:uiPriority w:val="0"/>
    <w:pPr>
      <w:ind w:firstLine="0" w:firstLineChars="0"/>
    </w:pPr>
  </w:style>
  <w:style w:type="paragraph" w:customStyle="1" w:styleId="57">
    <w:name w:val="封面标准文稿类别"/>
    <w:basedOn w:val="58"/>
    <w:qFormat/>
    <w:uiPriority w:val="0"/>
    <w:pPr>
      <w:spacing w:after="160" w:line="240" w:lineRule="auto"/>
    </w:pPr>
    <w:rPr>
      <w:sz w:val="24"/>
    </w:rPr>
  </w:style>
  <w:style w:type="paragraph" w:customStyle="1" w:styleId="58">
    <w:name w:val="封面一致性程度标识"/>
    <w:basedOn w:val="59"/>
    <w:qFormat/>
    <w:uiPriority w:val="0"/>
    <w:pPr>
      <w:spacing w:before="440"/>
    </w:pPr>
    <w:rPr>
      <w:rFonts w:ascii="宋体" w:eastAsia="宋体"/>
    </w:rPr>
  </w:style>
  <w:style w:type="paragraph" w:customStyle="1" w:styleId="59">
    <w:name w:val="封面标准英文名称"/>
    <w:basedOn w:val="60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60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61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62">
    <w:name w:val="目次、标准名称标题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63">
    <w:name w:val="列项◆（三级）"/>
    <w:basedOn w:val="1"/>
    <w:qFormat/>
    <w:uiPriority w:val="0"/>
    <w:pPr>
      <w:numPr>
        <w:ilvl w:val="2"/>
        <w:numId w:val="6"/>
      </w:numPr>
    </w:pPr>
    <w:rPr>
      <w:rFonts w:ascii="宋体"/>
      <w:szCs w:val="21"/>
    </w:rPr>
  </w:style>
  <w:style w:type="paragraph" w:customStyle="1" w:styleId="64">
    <w:name w:val="附录图标题"/>
    <w:basedOn w:val="1"/>
    <w:next w:val="21"/>
    <w:qFormat/>
    <w:uiPriority w:val="0"/>
    <w:pPr>
      <w:numPr>
        <w:ilvl w:val="1"/>
        <w:numId w:val="7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65">
    <w:name w:val="其他发布部门"/>
    <w:basedOn w:val="66"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66">
    <w:name w:val="发布部门"/>
    <w:next w:val="21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67">
    <w:name w:val="四级条标题"/>
    <w:basedOn w:val="48"/>
    <w:next w:val="21"/>
    <w:qFormat/>
    <w:uiPriority w:val="0"/>
    <w:pPr>
      <w:numPr>
        <w:ilvl w:val="4"/>
        <w:numId w:val="4"/>
      </w:numPr>
      <w:outlineLvl w:val="5"/>
    </w:pPr>
  </w:style>
  <w:style w:type="paragraph" w:customStyle="1" w:styleId="68">
    <w:name w:val="列项——（一级）"/>
    <w:qFormat/>
    <w:uiPriority w:val="0"/>
    <w:pPr>
      <w:widowControl w:val="0"/>
      <w:numPr>
        <w:ilvl w:val="0"/>
        <w:numId w:val="6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9">
    <w:name w:val="封面标准英文名称2"/>
    <w:basedOn w:val="59"/>
    <w:qFormat/>
    <w:uiPriority w:val="0"/>
    <w:pPr>
      <w:framePr w:y="4469"/>
    </w:pPr>
  </w:style>
  <w:style w:type="paragraph" w:customStyle="1" w:styleId="70">
    <w:name w:val="图表脚注说明"/>
    <w:basedOn w:val="1"/>
    <w:qFormat/>
    <w:uiPriority w:val="0"/>
    <w:pPr>
      <w:numPr>
        <w:ilvl w:val="0"/>
        <w:numId w:val="8"/>
      </w:numPr>
    </w:pPr>
    <w:rPr>
      <w:rFonts w:ascii="宋体"/>
      <w:sz w:val="18"/>
      <w:szCs w:val="18"/>
    </w:rPr>
  </w:style>
  <w:style w:type="paragraph" w:customStyle="1" w:styleId="71">
    <w:name w:val="实施日期"/>
    <w:basedOn w:val="72"/>
    <w:qFormat/>
    <w:uiPriority w:val="0"/>
    <w:pPr>
      <w:framePr w:vAnchor="page" w:hAnchor="page"/>
      <w:jc w:val="right"/>
    </w:pPr>
  </w:style>
  <w:style w:type="paragraph" w:customStyle="1" w:styleId="72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3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4">
    <w:name w:val="附录图标号"/>
    <w:basedOn w:val="1"/>
    <w:qFormat/>
    <w:uiPriority w:val="0"/>
    <w:pPr>
      <w:keepNext/>
      <w:pageBreakBefore/>
      <w:widowControl/>
      <w:numPr>
        <w:ilvl w:val="0"/>
        <w:numId w:val="7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75">
    <w:name w:val="列项●（二级）"/>
    <w:qFormat/>
    <w:uiPriority w:val="0"/>
    <w:pPr>
      <w:numPr>
        <w:ilvl w:val="1"/>
        <w:numId w:val="6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6">
    <w:name w:val="附录二级无"/>
    <w:basedOn w:val="47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7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78">
    <w:name w:val="封面标准文稿编辑信息"/>
    <w:basedOn w:val="57"/>
    <w:qFormat/>
    <w:uiPriority w:val="0"/>
    <w:pPr>
      <w:spacing w:before="180" w:line="180" w:lineRule="exact"/>
    </w:pPr>
    <w:rPr>
      <w:sz w:val="21"/>
    </w:rPr>
  </w:style>
  <w:style w:type="paragraph" w:customStyle="1" w:styleId="79">
    <w:name w:val="附录表标号"/>
    <w:basedOn w:val="1"/>
    <w:next w:val="21"/>
    <w:qFormat/>
    <w:uiPriority w:val="0"/>
    <w:pPr>
      <w:numPr>
        <w:ilvl w:val="0"/>
        <w:numId w:val="9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0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81">
    <w:name w:val="其他标准标志"/>
    <w:basedOn w:val="82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82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83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4">
    <w:name w:val="附录表标题"/>
    <w:basedOn w:val="1"/>
    <w:next w:val="21"/>
    <w:qFormat/>
    <w:uiPriority w:val="0"/>
    <w:pPr>
      <w:numPr>
        <w:ilvl w:val="1"/>
        <w:numId w:val="9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85">
    <w:name w:val="示例后文字"/>
    <w:basedOn w:val="21"/>
    <w:next w:val="21"/>
    <w:qFormat/>
    <w:uiPriority w:val="0"/>
    <w:pPr>
      <w:ind w:firstLine="360"/>
    </w:pPr>
    <w:rPr>
      <w:sz w:val="18"/>
    </w:rPr>
  </w:style>
  <w:style w:type="paragraph" w:customStyle="1" w:styleId="86">
    <w:name w:val="条文脚注"/>
    <w:basedOn w:val="22"/>
    <w:qFormat/>
    <w:uiPriority w:val="0"/>
    <w:pPr>
      <w:numPr>
        <w:ilvl w:val="0"/>
        <w:numId w:val="0"/>
      </w:numPr>
      <w:jc w:val="both"/>
    </w:pPr>
    <w:rPr>
      <w:rFonts w:ascii="宋体"/>
    </w:rPr>
  </w:style>
  <w:style w:type="paragraph" w:customStyle="1" w:styleId="87">
    <w:name w:val="附录五级条标题"/>
    <w:basedOn w:val="45"/>
    <w:next w:val="21"/>
    <w:qFormat/>
    <w:uiPriority w:val="0"/>
    <w:pPr>
      <w:numPr>
        <w:ilvl w:val="6"/>
        <w:numId w:val="3"/>
      </w:numPr>
      <w:outlineLvl w:val="6"/>
    </w:pPr>
  </w:style>
  <w:style w:type="paragraph" w:customStyle="1" w:styleId="88">
    <w:name w:val="图标脚注说明"/>
    <w:basedOn w:val="21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89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90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91">
    <w:name w:val="附录公式编号制表符"/>
    <w:basedOn w:val="1"/>
    <w:next w:val="21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2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93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94">
    <w:name w:val="注×：（正文）"/>
    <w:qFormat/>
    <w:uiPriority w:val="0"/>
    <w:pPr>
      <w:numPr>
        <w:ilvl w:val="0"/>
        <w:numId w:val="10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95">
    <w:name w:val="二级无"/>
    <w:basedOn w:val="49"/>
    <w:qFormat/>
    <w:uiPriority w:val="0"/>
    <w:pPr>
      <w:spacing w:before="0" w:beforeLines="0" w:after="0" w:afterLines="0"/>
      <w:ind w:left="0" w:firstLine="0"/>
    </w:pPr>
    <w:rPr>
      <w:rFonts w:ascii="宋体" w:eastAsia="宋体"/>
    </w:rPr>
  </w:style>
  <w:style w:type="paragraph" w:customStyle="1" w:styleId="96">
    <w:name w:val="其他实施日期"/>
    <w:basedOn w:val="71"/>
    <w:qFormat/>
    <w:uiPriority w:val="0"/>
  </w:style>
  <w:style w:type="paragraph" w:customStyle="1" w:styleId="97">
    <w:name w:val="章标题"/>
    <w:next w:val="21"/>
    <w:qFormat/>
    <w:uiPriority w:val="0"/>
    <w:pPr>
      <w:numPr>
        <w:ilvl w:val="0"/>
        <w:numId w:val="4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8">
    <w:name w:val="五级无"/>
    <w:basedOn w:val="9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99">
    <w:name w:val="五级条标题"/>
    <w:basedOn w:val="67"/>
    <w:next w:val="21"/>
    <w:qFormat/>
    <w:uiPriority w:val="0"/>
    <w:pPr>
      <w:numPr>
        <w:ilvl w:val="5"/>
        <w:numId w:val="4"/>
      </w:numPr>
      <w:outlineLvl w:val="6"/>
    </w:pPr>
  </w:style>
  <w:style w:type="paragraph" w:customStyle="1" w:styleId="100">
    <w:name w:val="示例×："/>
    <w:basedOn w:val="97"/>
    <w:qFormat/>
    <w:uiPriority w:val="0"/>
    <w:pPr>
      <w:numPr>
        <w:ilvl w:val="0"/>
        <w:numId w:val="11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101">
    <w:name w:val="图的脚注"/>
    <w:next w:val="21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2">
    <w:name w:val="参考文献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03">
    <w:name w:val="前言、引言标题"/>
    <w:next w:val="2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05">
    <w:name w:val="封面标准文稿编辑信息2"/>
    <w:basedOn w:val="78"/>
    <w:qFormat/>
    <w:uiPriority w:val="0"/>
    <w:pPr>
      <w:framePr w:y="4469"/>
    </w:pPr>
  </w:style>
  <w:style w:type="paragraph" w:customStyle="1" w:styleId="106">
    <w:name w:val="数字编号列项（二级）"/>
    <w:qFormat/>
    <w:uiPriority w:val="0"/>
    <w:pPr>
      <w:numPr>
        <w:ilvl w:val="1"/>
        <w:numId w:val="1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08">
    <w:name w:val="四级无"/>
    <w:basedOn w:val="67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09">
    <w:name w:val="字母编号列项（一级）"/>
    <w:qFormat/>
    <w:uiPriority w:val="0"/>
    <w:pPr>
      <w:numPr>
        <w:ilvl w:val="0"/>
        <w:numId w:val="1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0">
    <w:name w:val="UserStyle_7"/>
    <w:basedOn w:val="111"/>
    <w:next w:val="112"/>
    <w:qFormat/>
    <w:uiPriority w:val="0"/>
    <w:pPr>
      <w:widowControl/>
      <w:numPr>
        <w:ilvl w:val="2"/>
        <w:numId w:val="4"/>
      </w:numPr>
      <w:spacing w:before="50" w:after="50"/>
      <w:textAlignment w:val="baseline"/>
    </w:pPr>
  </w:style>
  <w:style w:type="paragraph" w:customStyle="1" w:styleId="111">
    <w:name w:val="UserStyle_8"/>
    <w:next w:val="112"/>
    <w:qFormat/>
    <w:uiPriority w:val="0"/>
    <w:pPr>
      <w:numPr>
        <w:ilvl w:val="1"/>
        <w:numId w:val="4"/>
      </w:numPr>
      <w:spacing w:before="156" w:after="156"/>
      <w:textAlignment w:val="baseline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12">
    <w:name w:val="UserStyle_1"/>
    <w:qFormat/>
    <w:uiPriority w:val="0"/>
    <w:pPr>
      <w:tabs>
        <w:tab w:val="center" w:pos="4201"/>
        <w:tab w:val="right" w:leader="dot" w:pos="9298"/>
      </w:tabs>
      <w:ind w:firstLine="420" w:firstLineChars="200"/>
      <w:jc w:val="both"/>
      <w:textAlignment w:val="baseline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3">
    <w:name w:val="附录标识"/>
    <w:basedOn w:val="1"/>
    <w:next w:val="21"/>
    <w:qFormat/>
    <w:uiPriority w:val="0"/>
    <w:pPr>
      <w:keepNext/>
      <w:widowControl/>
      <w:numPr>
        <w:ilvl w:val="0"/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14">
    <w:name w:val="注×："/>
    <w:qFormat/>
    <w:uiPriority w:val="0"/>
    <w:pPr>
      <w:widowControl w:val="0"/>
      <w:numPr>
        <w:ilvl w:val="0"/>
        <w:numId w:val="1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15">
    <w:name w:val="封面标准文稿类别2"/>
    <w:basedOn w:val="57"/>
    <w:qFormat/>
    <w:uiPriority w:val="0"/>
    <w:pPr>
      <w:framePr w:y="4469"/>
    </w:pPr>
  </w:style>
  <w:style w:type="paragraph" w:customStyle="1" w:styleId="116">
    <w:name w:val="封面一致性程度标识2"/>
    <w:basedOn w:val="58"/>
    <w:qFormat/>
    <w:uiPriority w:val="0"/>
    <w:pPr>
      <w:framePr w:y="4469"/>
    </w:pPr>
  </w:style>
  <w:style w:type="paragraph" w:customStyle="1" w:styleId="117">
    <w:name w:val="示例"/>
    <w:next w:val="107"/>
    <w:qFormat/>
    <w:uiPriority w:val="0"/>
    <w:pPr>
      <w:widowControl w:val="0"/>
      <w:numPr>
        <w:ilvl w:val="0"/>
        <w:numId w:val="14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18">
    <w:name w:val="附录字母编号列项（一级）"/>
    <w:qFormat/>
    <w:uiPriority w:val="0"/>
    <w:pPr>
      <w:numPr>
        <w:ilvl w:val="0"/>
        <w:numId w:val="5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9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0">
    <w:name w:val="一级无"/>
    <w:basedOn w:val="50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1">
    <w:name w:val="附录五级无"/>
    <w:basedOn w:val="87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22">
    <w:name w:val="附录四级无"/>
    <w:basedOn w:val="45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23">
    <w:name w:val="正文表标题"/>
    <w:next w:val="21"/>
    <w:qFormat/>
    <w:uiPriority w:val="0"/>
    <w:pPr>
      <w:numPr>
        <w:ilvl w:val="0"/>
        <w:numId w:val="15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4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125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6">
    <w:name w:val="其他发布日期"/>
    <w:basedOn w:val="72"/>
    <w:qFormat/>
    <w:uiPriority w:val="0"/>
    <w:pPr>
      <w:framePr w:vAnchor="page" w:hAnchor="page" w:x="1419"/>
    </w:pPr>
  </w:style>
  <w:style w:type="paragraph" w:customStyle="1" w:styleId="127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8">
    <w:name w:val="注："/>
    <w:next w:val="21"/>
    <w:qFormat/>
    <w:uiPriority w:val="0"/>
    <w:pPr>
      <w:widowControl w:val="0"/>
      <w:numPr>
        <w:ilvl w:val="0"/>
        <w:numId w:val="1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9">
    <w:name w:val="注：（正文）"/>
    <w:basedOn w:val="128"/>
    <w:next w:val="21"/>
    <w:qFormat/>
    <w:uiPriority w:val="0"/>
  </w:style>
  <w:style w:type="paragraph" w:customStyle="1" w:styleId="130">
    <w:name w:val="参考文献、索引标题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31">
    <w:name w:val="正文图标题"/>
    <w:next w:val="21"/>
    <w:qFormat/>
    <w:uiPriority w:val="0"/>
    <w:pPr>
      <w:numPr>
        <w:ilvl w:val="0"/>
        <w:numId w:val="17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2">
    <w:name w:val="标准书眉_偶数页"/>
    <w:basedOn w:val="77"/>
    <w:next w:val="1"/>
    <w:qFormat/>
    <w:uiPriority w:val="0"/>
    <w:pPr>
      <w:jc w:val="left"/>
    </w:pPr>
    <w:rPr>
      <w:rFonts w:ascii="黑体" w:eastAsia="黑体"/>
    </w:rPr>
  </w:style>
  <w:style w:type="paragraph" w:customStyle="1" w:styleId="133">
    <w:name w:val="封面标准名称2"/>
    <w:basedOn w:val="60"/>
    <w:qFormat/>
    <w:uiPriority w:val="0"/>
    <w:pPr>
      <w:framePr w:y="4469"/>
      <w:spacing w:before="630" w:beforeLines="630"/>
    </w:pPr>
  </w:style>
  <w:style w:type="paragraph" w:customStyle="1" w:styleId="134">
    <w:name w:val="附录三级无"/>
    <w:basedOn w:val="46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3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6">
    <w:name w:val="编号列项（三级）"/>
    <w:qFormat/>
    <w:uiPriority w:val="0"/>
    <w:pPr>
      <w:numPr>
        <w:ilvl w:val="2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7">
    <w:name w:val="附录标题"/>
    <w:basedOn w:val="21"/>
    <w:next w:val="21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138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zle</Company>
  <Pages>7</Pages>
  <Words>2149</Words>
  <Characters>2521</Characters>
  <Lines>24</Lines>
  <Paragraphs>6</Paragraphs>
  <TotalTime>5</TotalTime>
  <ScaleCrop>false</ScaleCrop>
  <LinksUpToDate>false</LinksUpToDate>
  <CharactersWithSpaces>2623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2018-10-22T19:08:00Z</dcterms:created>
  <dc:creator>CNIS</dc:creator>
  <cp:lastModifiedBy>陈星瞳</cp:lastModifiedBy>
  <cp:lastPrinted>2024-10-31T09:17:00Z</cp:lastPrinted>
  <dcterms:modified xsi:type="dcterms:W3CDTF">2025-01-07T02:08:46Z</dcterms:modified>
  <dc:title>标准名称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23720CA3CCE542D28258F20820D5B308_13</vt:lpwstr>
  </property>
  <property fmtid="{D5CDD505-2E9C-101B-9397-08002B2CF9AE}" pid="4" name="KSOTemplateDocerSaveRecord">
    <vt:lpwstr>eyJoZGlkIjoiNzhiMjFhNjIyYzE0ZWNjMWI5NjJlODEyYTM4NmRiY2EiLCJ1c2VySWQiOiIxMjEzNjU0MDg4In0=</vt:lpwstr>
  </property>
</Properties>
</file>