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Times New Roman"/>
          <w:b/>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地方标准</w:t>
      </w:r>
      <w:r>
        <w:rPr>
          <w:rFonts w:hint="eastAsia" w:ascii="方正小标宋_GBK" w:hAnsi="方正小标宋_GBK" w:eastAsia="方正小标宋_GBK" w:cs="方正小标宋_GBK"/>
          <w:b w:val="0"/>
          <w:bCs/>
          <w:sz w:val="44"/>
          <w:szCs w:val="44"/>
          <w:lang w:eastAsia="zh-CN"/>
        </w:rPr>
        <w:t>发布目录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sz w:val="44"/>
          <w:szCs w:val="44"/>
          <w:lang w:eastAsia="zh-CN"/>
        </w:rPr>
      </w:pPr>
    </w:p>
    <w:tbl>
      <w:tblPr>
        <w:tblStyle w:val="5"/>
        <w:tblW w:w="14173" w:type="dxa"/>
        <w:jc w:val="center"/>
        <w:tblInd w:w="-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41"/>
        <w:gridCol w:w="5292"/>
        <w:gridCol w:w="1363"/>
        <w:gridCol w:w="1337"/>
        <w:gridCol w:w="1429"/>
        <w:gridCol w:w="14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5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序号</w:t>
            </w:r>
          </w:p>
        </w:tc>
        <w:tc>
          <w:tcPr>
            <w:tcW w:w="254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标准编号</w:t>
            </w:r>
          </w:p>
        </w:tc>
        <w:tc>
          <w:tcPr>
            <w:tcW w:w="529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标准名称</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kern w:val="0"/>
                <w:sz w:val="24"/>
                <w:szCs w:val="24"/>
              </w:rPr>
              <w:t>批准日期</w:t>
            </w:r>
          </w:p>
        </w:tc>
        <w:tc>
          <w:tcPr>
            <w:tcW w:w="13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kern w:val="0"/>
                <w:sz w:val="24"/>
                <w:szCs w:val="24"/>
              </w:rPr>
              <w:t>实施日期</w:t>
            </w:r>
          </w:p>
        </w:tc>
        <w:tc>
          <w:tcPr>
            <w:tcW w:w="142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ICS编号</w:t>
            </w:r>
          </w:p>
        </w:tc>
        <w:tc>
          <w:tcPr>
            <w:tcW w:w="145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中国标准文献分类号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3119-2024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文明旅游引导服务规范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03.080.30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A12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3120-2024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非遗街区示范点创建规范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03.080.30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A12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落地自驾游服务规范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03.080.30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A16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自驾游产品网络交易与服务规范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highlight w:val="yellow"/>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highlight w:val="yellow"/>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03.080.30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A16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周转住房运营管理规范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highlight w:val="yellow"/>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highlight w:val="yellow"/>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03.160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A01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3124-2024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节约型机关幼儿园建设和管理规范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03.160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A01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3125-2024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湘沙猪繁育技术规程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3126-2024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水稻微纳米硅肥施用技术规范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3127-2024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汝城白毛茶设施育苗技术规程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67.04.10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饲用富铁酿酒酵母菌液体发酵技术规程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3129-2024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秀珍菇绿色生产技术规程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3130-2024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大棚羊肚菌-姬松茸周年生产技术规程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大球盖菇菌种制作技术规程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稻田福寿螺监测技术规程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水稻核辐射靶向基因突变筛选技术规程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3134-2024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稻田土壤酸化治理技术规程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3135-2024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山地烟区土壤酸化改良技术规程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3136-2024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稻作烟区土壤酸化治理技术规程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19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3137-2024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犬蛔虫检验技术规程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湘栀子种苗繁育与栽培技术规程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3139-2024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汝城朝天椒栽培技术规程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3140-2024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丘岗山地穇子绿色栽培技术规程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紫鹊界贡米 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叶用芥菜种质资源繁殖与保存技术规程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桑植白茶加工技术规程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67.140.10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X55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3144-2024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鲇池塘养殖技术规程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67.120.30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3145-2024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黑斑侧褶蛙繁育技术规程 </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3146-2024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highlight w:val="yellow"/>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黑斑侧褶蛙健康养殖技术规程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highlight w:val="yellow"/>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highlight w:val="yellow"/>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65.020.30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highlight w:val="yellow"/>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b w:val="0"/>
                <w:bCs/>
                <w:i w:val="0"/>
                <w:color w:val="auto"/>
                <w:kern w:val="0"/>
                <w:sz w:val="24"/>
                <w:szCs w:val="24"/>
                <w:u w:val="none"/>
                <w:lang w:val="en-US" w:eastAsia="zh-CN" w:bidi="ar"/>
              </w:rPr>
              <w:t>29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DB43/T  3147-2024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兰寿金鱼工厂化养殖技术规程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sz w:val="24"/>
                <w:szCs w:val="24"/>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67.120.30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color w:val="auto"/>
                <w:kern w:val="2"/>
                <w:sz w:val="24"/>
                <w:szCs w:val="24"/>
                <w:lang w:val="en-US" w:eastAsia="zh-CN" w:bidi="ar-SA"/>
              </w:rPr>
            </w:pPr>
            <w:r>
              <w:rPr>
                <w:rFonts w:hint="eastAsia" w:ascii="Times New Roman" w:hAnsi="Times New Roman" w:eastAsia="方正仿宋_GBK" w:cs="方正仿宋_GBK"/>
                <w:i w:val="0"/>
                <w:color w:val="auto"/>
                <w:kern w:val="0"/>
                <w:sz w:val="24"/>
                <w:szCs w:val="24"/>
                <w:u w:val="none"/>
                <w:lang w:val="en-US" w:eastAsia="zh-CN" w:bidi="ar"/>
              </w:rPr>
              <w:t>B52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3148-2024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家禽精液菌落总数控制技术规范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3149-2024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鹅冷冻精液制作技术规程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3150-2024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高标准农田建设生态环境保护规范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07.040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油茶林下白芷间套作栽培技术规程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65.020.40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3152.1-2024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spacing w:val="0"/>
                <w:kern w:val="0"/>
                <w:sz w:val="24"/>
                <w:szCs w:val="24"/>
                <w:u w:val="none"/>
                <w:lang w:val="en-US" w:eastAsia="zh-CN" w:bidi="ar"/>
              </w:rPr>
            </w:pPr>
            <w:r>
              <w:rPr>
                <w:rFonts w:hint="eastAsia" w:ascii="Times New Roman" w:hAnsi="Times New Roman" w:eastAsia="方正仿宋_GBK" w:cs="方正仿宋_GBK"/>
                <w:i w:val="0"/>
                <w:color w:val="auto"/>
                <w:spacing w:val="0"/>
                <w:kern w:val="0"/>
                <w:sz w:val="24"/>
                <w:szCs w:val="24"/>
                <w:u w:val="none"/>
                <w:lang w:val="en-US" w:eastAsia="zh-CN" w:bidi="ar"/>
              </w:rPr>
              <w:t>五彩湘茶职业能力培训规范 第1部分：茶艺师</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67.140.10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X10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3152.2-2024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spacing w:val="0"/>
                <w:kern w:val="0"/>
                <w:sz w:val="24"/>
                <w:szCs w:val="24"/>
                <w:u w:val="none"/>
                <w:lang w:val="en-US" w:eastAsia="zh-CN" w:bidi="ar"/>
              </w:rPr>
            </w:pPr>
            <w:r>
              <w:rPr>
                <w:rFonts w:hint="eastAsia" w:ascii="Times New Roman" w:hAnsi="Times New Roman" w:eastAsia="方正仿宋_GBK" w:cs="方正仿宋_GBK"/>
                <w:i w:val="0"/>
                <w:color w:val="auto"/>
                <w:spacing w:val="0"/>
                <w:kern w:val="0"/>
                <w:sz w:val="24"/>
                <w:szCs w:val="24"/>
                <w:u w:val="none"/>
                <w:lang w:val="en-US" w:eastAsia="zh-CN" w:bidi="ar"/>
              </w:rPr>
              <w:t>五彩湘茶职业能力培训规范 第2部分：评茶员</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67.140.10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X10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3152.3-2024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spacing w:val="0"/>
                <w:kern w:val="0"/>
                <w:sz w:val="24"/>
                <w:szCs w:val="24"/>
                <w:u w:val="none"/>
                <w:lang w:val="en-US" w:eastAsia="zh-CN" w:bidi="ar"/>
              </w:rPr>
            </w:pPr>
            <w:r>
              <w:rPr>
                <w:rFonts w:hint="eastAsia" w:ascii="Times New Roman" w:hAnsi="Times New Roman" w:eastAsia="方正仿宋_GBK" w:cs="方正仿宋_GBK"/>
                <w:i w:val="0"/>
                <w:color w:val="auto"/>
                <w:spacing w:val="0"/>
                <w:kern w:val="0"/>
                <w:sz w:val="24"/>
                <w:szCs w:val="24"/>
                <w:u w:val="none"/>
                <w:lang w:val="en-US" w:eastAsia="zh-CN" w:bidi="ar"/>
              </w:rPr>
              <w:t>五彩湘茶职业能力培训规范 第3部分：茶叶加工</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67.140.10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X10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稻油轮作轻简高效生产技术规程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3154-2024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规模化猪场病死猪无害化处理技术规程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39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3155-2024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spacing w:val="-6"/>
                <w:kern w:val="0"/>
                <w:sz w:val="24"/>
                <w:szCs w:val="24"/>
                <w:u w:val="none"/>
                <w:lang w:val="en-US" w:eastAsia="zh-CN" w:bidi="ar"/>
              </w:rPr>
              <w:t>大豆玉米带状复合种植病虫草害综合防控技术规程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40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603-2024代替DB43/T 603-2010</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春包菜栽培技术规程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67.080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41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602-2024代替DB43/T 602-2010</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多子芋栽培技术规程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67.080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42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3156-2024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调味面制品中鼠尾草酸和鼠尾草酚的测定 高效液相色谱法</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67.060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43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3157.1-2024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湖南名品评价规范 第1部分：工业产品</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03.120.10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44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3157.2-2024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湖南名品评价规范 第2部分：服务</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03.120.10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45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通信基站能效限定值及能效等级</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27.010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F01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46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3159-2024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铁矿烧结系统节能减排技术规范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77.080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H31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47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3160-2024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新能源汽车废旧动力蓄电池综合利用规范企业评价方法</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13.020.20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Z04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48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2935.2-2024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硬质合金单位产品能源消耗限额及计算方法 第2部分：切削工具类</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27.010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F01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49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新型墙体材料绿色生产及管理技术规程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91.100.01</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Q10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国土空间用途管制规则技术指南</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07.040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废钢铁加工利用规范企业评价方法</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91.100.01</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Q10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3164-2024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公路桥梁锚下有效预应力检测技术规程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93.040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P28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3165-2024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一次性食品安全封签管理技术规范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67.250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X08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3166.1-2024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应急广播广域双向通讯网传输技术规范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第1部分：通用技术要求</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33.160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M60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b w:val="0"/>
                <w:bCs/>
                <w:i w:val="0"/>
                <w:color w:val="auto"/>
                <w:kern w:val="0"/>
                <w:sz w:val="24"/>
                <w:szCs w:val="24"/>
                <w:u w:val="none"/>
                <w:lang w:val="en-US" w:eastAsia="zh-CN" w:bidi="ar"/>
              </w:rPr>
              <w:t>DB43/T  3166.2-2024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应急广播广域双向通讯网传输技术规范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第2部分：应急信息接入</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33.160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M60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3167-2024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康养基地卫生规范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03.080.20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 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一体化柜式储能系统设计规范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27.180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F19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3169-2024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安全生产培训档案管理规范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03.080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59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3170-2024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定制客运服务规范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03.220.20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R10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3171-2024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专利侵权纠纷行政裁决口头审理规范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03.140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61</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3172-2024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地理标志产品  醴陵瓷器</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81.060.01</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Q 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62</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3173-2024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SBS改性沥青的改性剂定量设计规范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83.040.30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G47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63</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3174-2024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改性沥青中SBS含量检测  红外光谱法</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83.040.30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G47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64</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3175-2024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中小学、幼儿园安全风险分级管控和隐患排查治理双重预防体系建设通用规范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13.200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3176-2024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中小学、幼儿园安全风险分级管控和隐患排查治理双重预防体系建设效能评估规范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13.200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66</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3177-2024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spacing w:val="-6"/>
                <w:kern w:val="0"/>
                <w:sz w:val="24"/>
                <w:szCs w:val="24"/>
                <w:u w:val="none"/>
                <w:lang w:val="en-US" w:eastAsia="zh-CN" w:bidi="ar"/>
              </w:rPr>
              <w:t>中小学、幼儿园双重预防体系信息化系统建设指南</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13.200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A90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67</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3178-2024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烟叶农场建设管理要求</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68</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2947-2024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烟草种子质量控制规程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69</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2948-2024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烟草种子供应管理规范</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70</w:t>
            </w:r>
          </w:p>
        </w:tc>
        <w:tc>
          <w:tcPr>
            <w:tcW w:w="25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DB43/T  2949-2024</w:t>
            </w:r>
          </w:p>
        </w:tc>
        <w:tc>
          <w:tcPr>
            <w:tcW w:w="52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烤烟苗期病害综合防控技术规程</w:t>
            </w:r>
          </w:p>
        </w:tc>
        <w:tc>
          <w:tcPr>
            <w:tcW w:w="13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 xml:space="preserve">2024/12/31 </w:t>
            </w:r>
          </w:p>
        </w:tc>
        <w:tc>
          <w:tcPr>
            <w:tcW w:w="13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2025/3/31</w:t>
            </w:r>
          </w:p>
        </w:tc>
        <w:tc>
          <w:tcPr>
            <w:tcW w:w="14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65.020</w:t>
            </w:r>
          </w:p>
        </w:tc>
        <w:tc>
          <w:tcPr>
            <w:tcW w:w="145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i w:val="0"/>
                <w:color w:val="auto"/>
                <w:kern w:val="0"/>
                <w:sz w:val="24"/>
                <w:szCs w:val="24"/>
                <w:u w:val="none"/>
                <w:lang w:val="en-US" w:eastAsia="zh-CN" w:bidi="ar"/>
              </w:rPr>
            </w:pPr>
            <w:r>
              <w:rPr>
                <w:rFonts w:hint="eastAsia" w:ascii="Times New Roman" w:hAnsi="Times New Roman" w:eastAsia="方正仿宋_GBK" w:cs="方正仿宋_GBK"/>
                <w:i w:val="0"/>
                <w:color w:val="auto"/>
                <w:kern w:val="0"/>
                <w:sz w:val="24"/>
                <w:szCs w:val="24"/>
                <w:u w:val="none"/>
                <w:lang w:val="en-US" w:eastAsia="zh-CN" w:bidi="ar"/>
              </w:rPr>
              <w:t>B16</w:t>
            </w:r>
          </w:p>
        </w:tc>
      </w:tr>
    </w:tbl>
    <w:p/>
    <w:p>
      <w:bookmarkStart w:id="0" w:name="_GoBack"/>
      <w:bookmarkEnd w:id="0"/>
    </w:p>
    <w:sectPr>
      <w:pgSz w:w="16838" w:h="11906" w:orient="landscape"/>
      <w:pgMar w:top="1474" w:right="1474" w:bottom="1474" w:left="1474" w:header="851" w:footer="1134"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2025-01-20T01:38:39Z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