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309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A0F855">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F63CF03">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03.080.01</w:t>
            </w:r>
            <w:r>
              <w:rPr>
                <w:rFonts w:ascii="黑体" w:hAnsi="黑体" w:eastAsia="黑体"/>
                <w:sz w:val="21"/>
                <w:szCs w:val="21"/>
              </w:rPr>
              <w:fldChar w:fldCharType="end"/>
            </w:r>
            <w:bookmarkEnd w:id="0"/>
          </w:p>
        </w:tc>
      </w:tr>
      <w:tr w14:paraId="78D8A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EF099F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0E65335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F4F405E">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CCA</w:t>
                  </w:r>
                  <w:r>
                    <w:fldChar w:fldCharType="end"/>
                  </w:r>
                  <w:bookmarkEnd w:id="1"/>
                </w:p>
              </w:tc>
            </w:tr>
          </w:tbl>
          <w:p w14:paraId="5B7028C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10</w:t>
            </w:r>
            <w:r>
              <w:rPr>
                <w:rFonts w:ascii="黑体" w:hAnsi="黑体" w:eastAsia="黑体"/>
                <w:sz w:val="21"/>
                <w:szCs w:val="21"/>
              </w:rPr>
              <w:fldChar w:fldCharType="end"/>
            </w:r>
            <w:bookmarkEnd w:id="2"/>
          </w:p>
        </w:tc>
      </w:tr>
    </w:tbl>
    <w:p w14:paraId="2995ECAB">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中</w:t>
      </w:r>
      <w:r>
        <w:rPr>
          <w:rFonts w:hint="eastAsia" w:ascii="黑体" w:eastAsia="黑体"/>
          <w:b w:val="0"/>
          <w:w w:val="100"/>
          <w:sz w:val="48"/>
        </w:rPr>
        <w:t>国烹饪协会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A522ED">
      <w:pPr>
        <w:pStyle w:val="195"/>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CCA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1539D0E4">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60F78C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A99E5E6">
      <w:pPr>
        <w:pStyle w:val="50"/>
        <w:framePr w:w="9639" w:h="6976" w:hRule="exact" w:hSpace="0" w:vSpace="0" w:wrap="around" w:hAnchor="page" w:y="6408"/>
        <w:jc w:val="center"/>
        <w:rPr>
          <w:rFonts w:hint="eastAsia" w:ascii="黑体" w:hAnsi="黑体" w:eastAsia="黑体"/>
          <w:b w:val="0"/>
          <w:bCs w:val="0"/>
          <w:w w:val="100"/>
        </w:rPr>
      </w:pPr>
    </w:p>
    <w:p w14:paraId="7D15A6CE">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老年人膳食配制与烹饪技术规范</w:t>
      </w:r>
      <w:r>
        <w:fldChar w:fldCharType="end"/>
      </w:r>
      <w:bookmarkEnd w:id="9"/>
    </w:p>
    <w:p w14:paraId="42AD2F96">
      <w:pPr>
        <w:framePr w:w="9639" w:h="6974" w:hRule="exact" w:wrap="around" w:vAnchor="page" w:hAnchor="page" w:x="1419" w:y="6408" w:anchorLock="1"/>
        <w:ind w:left="-1418"/>
      </w:pPr>
    </w:p>
    <w:p w14:paraId="090765FC">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Specification of Dietary Formulation and Cooking Techniques for the Elderly</w:t>
      </w:r>
      <w:r>
        <w:rPr>
          <w:rFonts w:eastAsia="黑体"/>
          <w:szCs w:val="28"/>
        </w:rPr>
        <w:fldChar w:fldCharType="end"/>
      </w:r>
      <w:bookmarkEnd w:id="10"/>
    </w:p>
    <w:p w14:paraId="7BE03BE0">
      <w:pPr>
        <w:framePr w:w="9639" w:h="6974" w:hRule="exact" w:wrap="around" w:vAnchor="page" w:hAnchor="page" w:x="1419" w:y="6408" w:anchorLock="1"/>
        <w:spacing w:line="760" w:lineRule="exact"/>
        <w:ind w:left="-1418"/>
      </w:pPr>
    </w:p>
    <w:p w14:paraId="6465FD94">
      <w:pPr>
        <w:pStyle w:val="125"/>
        <w:framePr w:w="9639" w:h="6974" w:hRule="exact" w:wrap="around" w:vAnchor="page" w:hAnchor="page" w:x="1419" w:y="6408" w:anchorLock="1"/>
        <w:textAlignment w:val="bottom"/>
        <w:rPr>
          <w:rFonts w:eastAsia="黑体"/>
          <w:szCs w:val="28"/>
        </w:rPr>
      </w:pPr>
    </w:p>
    <w:p w14:paraId="37BE04B0">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FC6995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0F4C04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880FCF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7759121">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44D936E">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中</w:t>
      </w:r>
      <w:r>
        <w:rPr>
          <w:rFonts w:hint="eastAsia" w:hAnsi="黑体"/>
          <w:w w:val="100"/>
          <w:sz w:val="28"/>
        </w:rPr>
        <w:t>国烹饪协会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9A65F55">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072B358">
      <w:pPr>
        <w:pStyle w:val="91"/>
        <w:spacing w:after="360"/>
      </w:pPr>
      <w:bookmarkStart w:id="21" w:name="BookMark1"/>
      <w:bookmarkStart w:id="22" w:name="_Toc188608936"/>
      <w:r>
        <w:rPr>
          <w:rFonts w:hint="eastAsia"/>
          <w:spacing w:val="320"/>
        </w:rPr>
        <w:t>目</w:t>
      </w:r>
      <w:r>
        <w:rPr>
          <w:rFonts w:hint="eastAsia"/>
        </w:rPr>
        <w:t>次</w:t>
      </w:r>
    </w:p>
    <w:p w14:paraId="1056B062">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"_Toc188608975"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_Toc188608975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68B968F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"_Toc188608976" </w:instrText>
      </w:r>
      <w:r>
        <w:fldChar w:fldCharType="separate"/>
      </w:r>
      <w:r>
        <w:rPr>
          <w:rStyle w:val="32"/>
          <w:rFonts w:hint="eastAsia"/>
        </w:rPr>
        <w:t>1</w:t>
      </w:r>
      <w:r>
        <w:rPr>
          <w:rStyle w:val="32"/>
        </w:rPr>
        <w:t xml:space="preserve"> </w:t>
      </w:r>
      <w:r>
        <w:rPr>
          <w:rStyle w:val="32"/>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_Toc188608976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BFC522D">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"_Toc188608977" </w:instrText>
      </w:r>
      <w:r>
        <w:fldChar w:fldCharType="separate"/>
      </w:r>
      <w:r>
        <w:rPr>
          <w:rStyle w:val="32"/>
          <w:rFonts w:hint="eastAsia"/>
        </w:rPr>
        <w:t>2</w:t>
      </w:r>
      <w:r>
        <w:rPr>
          <w:rStyle w:val="32"/>
        </w:rPr>
        <w:t xml:space="preserve"> </w:t>
      </w:r>
      <w:r>
        <w:rPr>
          <w:rStyle w:val="32"/>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_Toc188608977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9E953A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"_Toc188608978" </w:instrText>
      </w:r>
      <w:r>
        <w:fldChar w:fldCharType="separate"/>
      </w:r>
      <w:r>
        <w:rPr>
          <w:rStyle w:val="32"/>
          <w:rFonts w:hint="eastAsia"/>
        </w:rPr>
        <w:t>3</w:t>
      </w:r>
      <w:r>
        <w:rPr>
          <w:rStyle w:val="32"/>
        </w:rPr>
        <w:t xml:space="preserve"> </w:t>
      </w:r>
      <w:r>
        <w:rPr>
          <w:rStyle w:val="32"/>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_Toc188608978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73AF633">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"_Toc188608979" </w:instrText>
      </w:r>
      <w:r>
        <w:fldChar w:fldCharType="separate"/>
      </w:r>
      <w:r>
        <w:rPr>
          <w:rStyle w:val="32"/>
          <w:rFonts w:hint="eastAsia"/>
        </w:rPr>
        <w:t>4</w:t>
      </w:r>
      <w:r>
        <w:rPr>
          <w:rStyle w:val="32"/>
        </w:rPr>
        <w:t xml:space="preserve"> </w:t>
      </w:r>
      <w:r>
        <w:rPr>
          <w:rStyle w:val="32"/>
          <w:rFonts w:hint="eastAsia"/>
        </w:rPr>
        <w:t xml:space="preserve"> 基本要求</w:t>
      </w:r>
      <w:r>
        <w:rPr>
          <w:rFonts w:hint="eastAsia"/>
        </w:rPr>
        <w:tab/>
      </w:r>
      <w:r>
        <w:rPr>
          <w:rFonts w:hint="eastAsia"/>
        </w:rPr>
        <w:fldChar w:fldCharType="begin"/>
      </w:r>
      <w:r>
        <w:rPr>
          <w:rFonts w:hint="eastAsia"/>
        </w:rPr>
        <w:instrText xml:space="preserve"> </w:instrText>
      </w:r>
      <w:r>
        <w:instrText xml:space="preserve">PAGEREF _Toc188608979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C03D5C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"_Toc188608980" </w:instrText>
      </w:r>
      <w:r>
        <w:fldChar w:fldCharType="separate"/>
      </w:r>
      <w:r>
        <w:rPr>
          <w:rStyle w:val="32"/>
          <w:rFonts w:hint="eastAsia"/>
        </w:rPr>
        <w:t>5</w:t>
      </w:r>
      <w:r>
        <w:rPr>
          <w:rStyle w:val="32"/>
        </w:rPr>
        <w:t xml:space="preserve"> </w:t>
      </w:r>
      <w:r>
        <w:rPr>
          <w:rStyle w:val="32"/>
          <w:rFonts w:hint="eastAsia"/>
        </w:rPr>
        <w:t xml:space="preserve"> 服务对象</w:t>
      </w:r>
      <w:r>
        <w:rPr>
          <w:rFonts w:hint="eastAsia"/>
        </w:rPr>
        <w:tab/>
      </w:r>
      <w:r>
        <w:rPr>
          <w:rFonts w:hint="eastAsia"/>
        </w:rPr>
        <w:fldChar w:fldCharType="begin"/>
      </w:r>
      <w:r>
        <w:rPr>
          <w:rFonts w:hint="eastAsia"/>
        </w:rPr>
        <w:instrText xml:space="preserve"> </w:instrText>
      </w:r>
      <w:r>
        <w:instrText xml:space="preserve">PAGEREF _Toc188608980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0A2CDF34">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"_Toc188608981" </w:instrText>
      </w:r>
      <w:r>
        <w:fldChar w:fldCharType="separate"/>
      </w:r>
      <w:r>
        <w:rPr>
          <w:rStyle w:val="32"/>
          <w:rFonts w:hint="eastAsia"/>
        </w:rPr>
        <w:t>6</w:t>
      </w:r>
      <w:r>
        <w:rPr>
          <w:rStyle w:val="32"/>
        </w:rPr>
        <w:t xml:space="preserve"> </w:t>
      </w:r>
      <w:r>
        <w:rPr>
          <w:rStyle w:val="32"/>
          <w:rFonts w:hint="eastAsia"/>
        </w:rPr>
        <w:t xml:space="preserve"> 食谱制定</w:t>
      </w:r>
      <w:r>
        <w:rPr>
          <w:rFonts w:hint="eastAsia"/>
        </w:rPr>
        <w:tab/>
      </w:r>
      <w:r>
        <w:rPr>
          <w:rFonts w:hint="eastAsia"/>
        </w:rPr>
        <w:fldChar w:fldCharType="begin"/>
      </w:r>
      <w:r>
        <w:rPr>
          <w:rFonts w:hint="eastAsia"/>
        </w:rPr>
        <w:instrText xml:space="preserve"> </w:instrText>
      </w:r>
      <w:r>
        <w:instrText xml:space="preserve">PAGEREF _Toc188608981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67B924C">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"_Toc188608982" </w:instrText>
      </w:r>
      <w:r>
        <w:fldChar w:fldCharType="separate"/>
      </w:r>
      <w:r>
        <w:rPr>
          <w:rStyle w:val="32"/>
          <w:rFonts w:hint="eastAsia"/>
        </w:rPr>
        <w:t>7</w:t>
      </w:r>
      <w:r>
        <w:rPr>
          <w:rStyle w:val="32"/>
        </w:rPr>
        <w:t xml:space="preserve"> </w:t>
      </w:r>
      <w:r>
        <w:rPr>
          <w:rStyle w:val="32"/>
          <w:rFonts w:hint="eastAsia"/>
        </w:rPr>
        <w:t xml:space="preserve"> 食材准备</w:t>
      </w:r>
      <w:r>
        <w:rPr>
          <w:rFonts w:hint="eastAsia"/>
        </w:rPr>
        <w:tab/>
      </w:r>
      <w:r>
        <w:rPr>
          <w:rFonts w:hint="eastAsia"/>
        </w:rPr>
        <w:fldChar w:fldCharType="begin"/>
      </w:r>
      <w:r>
        <w:rPr>
          <w:rFonts w:hint="eastAsia"/>
        </w:rPr>
        <w:instrText xml:space="preserve"> </w:instrText>
      </w:r>
      <w:r>
        <w:instrText xml:space="preserve">PAGEREF _Toc188608982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DA8679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"_Toc188608983" </w:instrText>
      </w:r>
      <w:r>
        <w:fldChar w:fldCharType="separate"/>
      </w:r>
      <w:r>
        <w:rPr>
          <w:rStyle w:val="32"/>
          <w:rFonts w:hint="eastAsia"/>
        </w:rPr>
        <w:t>8</w:t>
      </w:r>
      <w:r>
        <w:rPr>
          <w:rStyle w:val="32"/>
        </w:rPr>
        <w:t xml:space="preserve"> </w:t>
      </w:r>
      <w:r>
        <w:rPr>
          <w:rStyle w:val="32"/>
          <w:rFonts w:hint="eastAsia"/>
        </w:rPr>
        <w:t xml:space="preserve"> 配制要求</w:t>
      </w:r>
      <w:r>
        <w:rPr>
          <w:rFonts w:hint="eastAsia"/>
        </w:rPr>
        <w:tab/>
      </w:r>
      <w:r>
        <w:rPr>
          <w:rFonts w:hint="eastAsia"/>
        </w:rPr>
        <w:fldChar w:fldCharType="begin"/>
      </w:r>
      <w:r>
        <w:rPr>
          <w:rFonts w:hint="eastAsia"/>
        </w:rPr>
        <w:instrText xml:space="preserve"> </w:instrText>
      </w:r>
      <w:r>
        <w:instrText xml:space="preserve">PAGEREF _Toc188608983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409B00F8">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"_Toc188608984" </w:instrText>
      </w:r>
      <w:r>
        <w:fldChar w:fldCharType="separate"/>
      </w:r>
      <w:r>
        <w:rPr>
          <w:rStyle w:val="32"/>
          <w:rFonts w:hint="eastAsia"/>
        </w:rPr>
        <w:t>9</w:t>
      </w:r>
      <w:r>
        <w:rPr>
          <w:rStyle w:val="32"/>
        </w:rPr>
        <w:t xml:space="preserve"> </w:t>
      </w:r>
      <w:r>
        <w:rPr>
          <w:rStyle w:val="32"/>
          <w:rFonts w:hint="eastAsia"/>
        </w:rPr>
        <w:t xml:space="preserve"> 烹饪要求</w:t>
      </w:r>
      <w:r>
        <w:rPr>
          <w:rFonts w:hint="eastAsia"/>
        </w:rPr>
        <w:tab/>
      </w:r>
      <w:r>
        <w:rPr>
          <w:rFonts w:hint="eastAsia"/>
        </w:rPr>
        <w:fldChar w:fldCharType="begin"/>
      </w:r>
      <w:r>
        <w:rPr>
          <w:rFonts w:hint="eastAsia"/>
        </w:rPr>
        <w:instrText xml:space="preserve"> </w:instrText>
      </w:r>
      <w:r>
        <w:instrText xml:space="preserve">PAGEREF _Toc188608984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5810057">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"_Toc188608985" </w:instrText>
      </w:r>
      <w:r>
        <w:fldChar w:fldCharType="separate"/>
      </w:r>
      <w:r>
        <w:rPr>
          <w:rStyle w:val="32"/>
          <w:rFonts w:hint="eastAsia"/>
        </w:rPr>
        <w:t>10</w:t>
      </w:r>
      <w:r>
        <w:rPr>
          <w:rStyle w:val="32"/>
        </w:rPr>
        <w:t xml:space="preserve"> </w:t>
      </w:r>
      <w:r>
        <w:rPr>
          <w:rStyle w:val="32"/>
          <w:rFonts w:hint="eastAsia" w:hAnsi="黑体"/>
        </w:rPr>
        <w:t xml:space="preserve"> 评价与改进</w:t>
      </w:r>
      <w:r>
        <w:rPr>
          <w:rFonts w:hint="eastAsia"/>
        </w:rPr>
        <w:tab/>
      </w:r>
      <w:r>
        <w:rPr>
          <w:rFonts w:hint="eastAsia"/>
        </w:rPr>
        <w:fldChar w:fldCharType="begin"/>
      </w:r>
      <w:r>
        <w:rPr>
          <w:rFonts w:hint="eastAsia"/>
        </w:rPr>
        <w:instrText xml:space="preserve"> </w:instrText>
      </w:r>
      <w:r>
        <w:instrText xml:space="preserve">PAGEREF _Toc188608985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0F6BFB5">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"_Toc188608986" </w:instrText>
      </w:r>
      <w:r>
        <w:fldChar w:fldCharType="separate"/>
      </w:r>
      <w:r>
        <w:rPr>
          <w:rStyle w:val="32"/>
          <w:rFonts w:hint="eastAsia"/>
        </w:rPr>
        <w:t>附录A（规范性）</w:t>
      </w:r>
      <w:r>
        <w:rPr>
          <w:rStyle w:val="32"/>
        </w:rPr>
        <w:t xml:space="preserve"> </w:t>
      </w:r>
      <w:r>
        <w:rPr>
          <w:rStyle w:val="32"/>
          <w:rFonts w:hint="eastAsia"/>
        </w:rPr>
        <w:t xml:space="preserve"> 附录A食物分类及其摄入量参考值</w:t>
      </w:r>
      <w:r>
        <w:rPr>
          <w:rFonts w:hint="eastAsia"/>
        </w:rPr>
        <w:tab/>
      </w:r>
      <w:r>
        <w:rPr>
          <w:rFonts w:hint="eastAsia"/>
        </w:rPr>
        <w:fldChar w:fldCharType="begin"/>
      </w:r>
      <w:r>
        <w:rPr>
          <w:rFonts w:hint="eastAsia"/>
        </w:rPr>
        <w:instrText xml:space="preserve"> </w:instrText>
      </w:r>
      <w:r>
        <w:instrText xml:space="preserve">PAGEREF _Toc188608986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5253BC6">
      <w:pPr>
        <w:pStyle w:val="19"/>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"_Toc188608987" </w:instrText>
      </w:r>
      <w:r>
        <w:fldChar w:fldCharType="separate"/>
      </w:r>
      <w:r>
        <w:rPr>
          <w:rStyle w:val="32"/>
          <w:rFonts w:hint="eastAsia"/>
        </w:rPr>
        <w:t>参考文献</w:t>
      </w:r>
      <w:r>
        <w:rPr>
          <w:rFonts w:hint="eastAsia"/>
        </w:rPr>
        <w:tab/>
      </w:r>
      <w:r>
        <w:rPr>
          <w:rFonts w:hint="eastAsia"/>
        </w:rPr>
        <w:fldChar w:fldCharType="begin"/>
      </w:r>
      <w:r>
        <w:rPr>
          <w:rFonts w:hint="eastAsia"/>
        </w:rPr>
        <w:instrText xml:space="preserve"> </w:instrText>
      </w:r>
      <w:r>
        <w:instrText xml:space="preserve">PAGEREF _Toc188608987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FF31F56">
      <w:pPr>
        <w:pStyle w:val="91"/>
        <w:spacing w:after="36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F32B526">
      <w:pPr>
        <w:pStyle w:val="89"/>
        <w:spacing w:before="900" w:after="360"/>
      </w:pPr>
      <w:bookmarkStart w:id="23" w:name="_Toc188608975"/>
      <w:bookmarkStart w:id="24" w:name="BookMark2"/>
      <w:r>
        <w:rPr>
          <w:rFonts w:hint="eastAsia"/>
          <w:spacing w:val="320"/>
        </w:rPr>
        <w:t>前</w:t>
      </w:r>
      <w:r>
        <w:rPr>
          <w:rFonts w:hint="eastAsia"/>
        </w:rPr>
        <w:t>言</w:t>
      </w:r>
      <w:bookmarkEnd w:id="22"/>
      <w:bookmarkEnd w:id="23"/>
    </w:p>
    <w:p w14:paraId="2D48C26E">
      <w:pPr>
        <w:pStyle w:val="56"/>
        <w:ind w:firstLine="420"/>
      </w:pPr>
      <w:r>
        <w:rPr>
          <w:rFonts w:hint="eastAsia"/>
        </w:rPr>
        <w:t>本文件按照GB/T 1.1—2020《标准化工作导则  第1部分：标准化文件的结构和起草规则》的规定起草。</w:t>
      </w:r>
    </w:p>
    <w:p w14:paraId="50089CF5">
      <w:pPr>
        <w:pStyle w:val="56"/>
        <w:ind w:firstLine="420"/>
      </w:pPr>
      <w:r>
        <w:rPr>
          <w:rFonts w:hint="eastAsia"/>
        </w:rPr>
        <w:t>请注意本文件的某些内容可能涉及专利。本文件的发布机构不承担识别专利的责任。</w:t>
      </w:r>
    </w:p>
    <w:p w14:paraId="00935B70">
      <w:pPr>
        <w:pStyle w:val="56"/>
        <w:ind w:firstLine="420"/>
      </w:pPr>
      <w:r>
        <w:rPr>
          <w:rFonts w:hint="eastAsia"/>
        </w:rPr>
        <w:t>本文件由中国烹饪协会提出和归口。</w:t>
      </w:r>
    </w:p>
    <w:p w14:paraId="3B28F51E">
      <w:pPr>
        <w:pStyle w:val="56"/>
        <w:ind w:firstLine="420"/>
      </w:pPr>
      <w:r>
        <w:rPr>
          <w:rFonts w:hint="eastAsia"/>
        </w:rPr>
        <w:t>本文件起草单位：中国烹饪协会、平安臻颐年（上海）企业管理有限公司、浙江大学、浙江省医养结合研究会、浙江省健康膳食公益促进会、中国人民解放军总医院第七医学中心</w:t>
      </w:r>
      <w:r>
        <w:rPr>
          <w:rFonts w:hint="eastAsia"/>
          <w:lang w:eastAsia="zh-CN"/>
        </w:rPr>
        <w:t>、首都保健营养美食学会</w:t>
      </w:r>
      <w:r>
        <w:rPr>
          <w:rFonts w:hint="eastAsia"/>
        </w:rPr>
        <w:t>。</w:t>
      </w:r>
    </w:p>
    <w:p w14:paraId="302A1399">
      <w:pPr>
        <w:pStyle w:val="56"/>
        <w:ind w:firstLine="420"/>
      </w:pPr>
      <w:r>
        <w:rPr>
          <w:rFonts w:hint="eastAsia"/>
        </w:rPr>
        <w:t>本文件主要起草人：杨柳、王宇科、吕秋菊、王敏、任颉玮、朱加进、王丰、徐步荣、张利、段智俊、于仁文、沈贤法、阮礼增、郭嘉馨、何婉君、邱阳、薛辰旭、王子欣、张杰、宋晓峰、常明、王叶、沈洲。</w:t>
      </w:r>
    </w:p>
    <w:p w14:paraId="76FF2081">
      <w:pPr>
        <w:pStyle w:val="56"/>
        <w:ind w:firstLine="420"/>
      </w:pPr>
    </w:p>
    <w:p w14:paraId="004A8CD9">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4"/>
    <w:p w14:paraId="3EADC683">
      <w:pPr>
        <w:spacing w:line="20" w:lineRule="exact"/>
        <w:jc w:val="center"/>
        <w:rPr>
          <w:rFonts w:hint="eastAsia" w:ascii="黑体" w:hAnsi="黑体" w:eastAsia="黑体"/>
          <w:sz w:val="32"/>
          <w:szCs w:val="32"/>
        </w:rPr>
      </w:pPr>
      <w:bookmarkStart w:id="25" w:name="BookMark4"/>
    </w:p>
    <w:p w14:paraId="2BA56FB9">
      <w:pPr>
        <w:spacing w:line="20" w:lineRule="exact"/>
        <w:jc w:val="center"/>
        <w:rPr>
          <w:rFonts w:hint="eastAsia" w:ascii="黑体" w:hAnsi="黑体" w:eastAsia="黑体"/>
          <w:sz w:val="32"/>
          <w:szCs w:val="32"/>
        </w:rPr>
      </w:pPr>
    </w:p>
    <w:sdt>
      <w:sdtPr>
        <w:tag w:val="NEW_STAND_NAME"/>
        <w:id w:val="595910757"/>
        <w:lock w:val="sdtLocked"/>
        <w:placeholder>
          <w:docPart w:val="ECA7A7923D474AC0BA372C9DD9F0960E"/>
        </w:placeholder>
      </w:sdtPr>
      <w:sdtContent>
        <w:p w14:paraId="04BBE7C6">
          <w:pPr>
            <w:pStyle w:val="177"/>
            <w:spacing w:before="2" w:beforeLines="1" w:after="528" w:afterLines="220"/>
            <w:rPr>
              <w:rFonts w:hint="eastAsia"/>
            </w:rPr>
          </w:pPr>
          <w:bookmarkStart w:id="26" w:name="NEW_STAND_NAME"/>
          <w:r>
            <w:rPr>
              <w:rFonts w:hint="eastAsia"/>
            </w:rPr>
            <w:t>老年人膳食配制与烹饪技术规范</w:t>
          </w:r>
        </w:p>
      </w:sdtContent>
    </w:sdt>
    <w:bookmarkEnd w:id="26"/>
    <w:p w14:paraId="37B7490F">
      <w:pPr>
        <w:pStyle w:val="104"/>
        <w:spacing w:before="240" w:after="240"/>
      </w:pPr>
      <w:bookmarkStart w:id="27" w:name="_Toc17233325"/>
      <w:bookmarkStart w:id="28" w:name="_Toc26718930"/>
      <w:bookmarkStart w:id="29" w:name="_Toc26986771"/>
      <w:bookmarkStart w:id="30" w:name="_Toc24884211"/>
      <w:bookmarkStart w:id="31" w:name="_Toc26986530"/>
      <w:bookmarkStart w:id="32" w:name="_Toc97192964"/>
      <w:bookmarkStart w:id="33" w:name="_Toc24884218"/>
      <w:bookmarkStart w:id="34" w:name="_Toc17233333"/>
      <w:bookmarkStart w:id="35" w:name="_Toc26648465"/>
      <w:bookmarkStart w:id="36" w:name="_Toc188608976"/>
      <w:bookmarkStart w:id="37" w:name="_Toc188608937"/>
      <w:bookmarkStart w:id="38" w:name="_Toc18860249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p>
    <w:p w14:paraId="7CD097DF">
      <w:pPr>
        <w:pStyle w:val="56"/>
        <w:ind w:firstLine="420"/>
      </w:pPr>
      <w:bookmarkStart w:id="39" w:name="_Toc17233326"/>
      <w:bookmarkStart w:id="40" w:name="_Toc17233334"/>
      <w:bookmarkStart w:id="41" w:name="_Toc24884212"/>
      <w:bookmarkStart w:id="42" w:name="_Toc26648466"/>
      <w:bookmarkStart w:id="43" w:name="_Toc24884219"/>
      <w:r>
        <w:rPr>
          <w:rFonts w:hint="eastAsia"/>
        </w:rPr>
        <w:t>本文件规定了老年人膳食配制与烹饪技术的基本要求、服务对象、食谱制定、食材准备、配制要求、烹饪要求和评价与改进。</w:t>
      </w:r>
    </w:p>
    <w:p w14:paraId="0D7A8BC9">
      <w:pPr>
        <w:pStyle w:val="56"/>
        <w:ind w:firstLine="420"/>
      </w:pPr>
      <w:r>
        <w:rPr>
          <w:rFonts w:hint="eastAsia"/>
        </w:rPr>
        <w:t>本文件适用于指导老年助餐服务机构为65周岁及以上的一般老年和特殊老年人进行老年人膳食配制与烹饪。</w:t>
      </w:r>
    </w:p>
    <w:p w14:paraId="31514E80">
      <w:pPr>
        <w:pStyle w:val="104"/>
        <w:spacing w:before="240" w:after="240"/>
      </w:pPr>
      <w:bookmarkStart w:id="44" w:name="_Toc26718931"/>
      <w:bookmarkStart w:id="45" w:name="_Toc26986772"/>
      <w:bookmarkStart w:id="46" w:name="_Toc26986531"/>
      <w:bookmarkStart w:id="47" w:name="_Toc97192965"/>
      <w:bookmarkStart w:id="48" w:name="_Toc188602497"/>
      <w:bookmarkStart w:id="49" w:name="_Toc188608938"/>
      <w:bookmarkStart w:id="50" w:name="_Toc188608977"/>
      <w:r>
        <w:rPr>
          <w:rFonts w:hint="eastAsia"/>
        </w:rPr>
        <w:t>规范性引用文件</w:t>
      </w:r>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89269AEEB4C44E738C4F57B006AD554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73D4BFC">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22EB39">
      <w:pPr>
        <w:pStyle w:val="56"/>
        <w:ind w:firstLine="420"/>
      </w:pPr>
      <w:r>
        <w:rPr>
          <w:rFonts w:hint="eastAsia"/>
        </w:rPr>
        <w:t>GB 2760  食品安全国家标准 食品添加剂使用标准</w:t>
      </w:r>
    </w:p>
    <w:p w14:paraId="11A6E544">
      <w:pPr>
        <w:pStyle w:val="56"/>
        <w:ind w:firstLine="420"/>
      </w:pPr>
      <w:r>
        <w:rPr>
          <w:rFonts w:hint="eastAsia"/>
        </w:rPr>
        <w:t>GB 7718  食品安全国家标准 预包装食品标签通则</w:t>
      </w:r>
    </w:p>
    <w:p w14:paraId="4AB62969">
      <w:pPr>
        <w:pStyle w:val="56"/>
        <w:ind w:firstLine="420"/>
      </w:pPr>
      <w:r>
        <w:rPr>
          <w:rFonts w:hint="eastAsia"/>
        </w:rPr>
        <w:t>SB/T 10474  餐饮业营养配餐技术要求</w:t>
      </w:r>
    </w:p>
    <w:p w14:paraId="495F7477">
      <w:pPr>
        <w:pStyle w:val="56"/>
        <w:ind w:firstLine="420"/>
      </w:pPr>
      <w:r>
        <w:rPr>
          <w:rFonts w:hint="eastAsia"/>
        </w:rPr>
        <w:t>WS/T 429  成人糖尿病患者膳食指导</w:t>
      </w:r>
    </w:p>
    <w:p w14:paraId="6E03D278">
      <w:pPr>
        <w:pStyle w:val="56"/>
        <w:ind w:firstLine="420"/>
      </w:pPr>
      <w:r>
        <w:rPr>
          <w:rFonts w:hint="eastAsia"/>
        </w:rPr>
        <w:t>WS/T 430  高血压患者膳食指导</w:t>
      </w:r>
    </w:p>
    <w:p w14:paraId="23AE2C3F">
      <w:pPr>
        <w:pStyle w:val="56"/>
        <w:ind w:firstLine="420"/>
      </w:pPr>
      <w:r>
        <w:rPr>
          <w:rFonts w:hint="eastAsia"/>
        </w:rPr>
        <w:t>WS/T 556  老年人膳食指导</w:t>
      </w:r>
    </w:p>
    <w:p w14:paraId="6BE44107">
      <w:pPr>
        <w:pStyle w:val="56"/>
        <w:ind w:firstLine="420"/>
      </w:pPr>
      <w:r>
        <w:rPr>
          <w:rFonts w:hint="eastAsia"/>
        </w:rPr>
        <w:t>WS/T 557  慢性肾脏病患者膳食指导</w:t>
      </w:r>
    </w:p>
    <w:p w14:paraId="2598C0F7">
      <w:pPr>
        <w:pStyle w:val="56"/>
        <w:ind w:firstLine="420"/>
      </w:pPr>
      <w:r>
        <w:rPr>
          <w:rFonts w:hint="eastAsia"/>
        </w:rPr>
        <w:t>WS/T 560  高尿酸血症与痛风患者膳食指导</w:t>
      </w:r>
    </w:p>
    <w:p w14:paraId="241FAFA5">
      <w:pPr>
        <w:pStyle w:val="56"/>
        <w:ind w:firstLine="420"/>
      </w:pPr>
      <w:r>
        <w:rPr>
          <w:rFonts w:hint="eastAsia"/>
        </w:rPr>
        <w:t>吞咽障碍膳食营养管理中国专家共识(2019版)</w:t>
      </w:r>
    </w:p>
    <w:p w14:paraId="702F82F8">
      <w:pPr>
        <w:pStyle w:val="104"/>
        <w:spacing w:before="240" w:after="240"/>
      </w:pPr>
      <w:bookmarkStart w:id="51" w:name="_Toc97192966"/>
      <w:bookmarkStart w:id="52" w:name="_Toc188602498"/>
      <w:bookmarkStart w:id="53" w:name="_Toc188608978"/>
      <w:bookmarkStart w:id="54" w:name="_Toc188608939"/>
      <w:r>
        <w:rPr>
          <w:rFonts w:hint="eastAsia"/>
          <w:szCs w:val="21"/>
        </w:rPr>
        <w:t>术语和定义</w:t>
      </w:r>
      <w:bookmarkEnd w:id="51"/>
      <w:bookmarkEnd w:id="52"/>
      <w:bookmarkEnd w:id="53"/>
      <w:bookmarkEnd w:id="54"/>
    </w:p>
    <w:sdt>
      <w:sdtPr>
        <w:id w:val="-1909835108"/>
        <w:placeholder>
          <w:docPart w:val="56FB82223C674E67AA30D486A96EB5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9C0499F">
          <w:pPr>
            <w:pStyle w:val="56"/>
            <w:ind w:firstLine="420"/>
          </w:pPr>
          <w:bookmarkStart w:id="55" w:name="_Toc26986532"/>
          <w:bookmarkEnd w:id="55"/>
          <w:r>
            <w:t>下列术语和定义适用于本文件。</w:t>
          </w:r>
        </w:p>
      </w:sdtContent>
    </w:sdt>
    <w:p w14:paraId="10D53766">
      <w:pPr>
        <w:pStyle w:val="105"/>
        <w:spacing w:before="120" w:after="120"/>
      </w:pPr>
      <w:bookmarkStart w:id="56" w:name="_Toc188608940"/>
      <w:bookmarkEnd w:id="56"/>
    </w:p>
    <w:p w14:paraId="79FE7729">
      <w:pPr>
        <w:pStyle w:val="56"/>
        <w:ind w:firstLine="420"/>
        <w:rPr>
          <w:rFonts w:hint="eastAsia" w:ascii="黑体" w:hAnsi="黑体" w:eastAsia="黑体"/>
        </w:rPr>
      </w:pPr>
      <w:r>
        <w:rPr>
          <w:rFonts w:hint="eastAsia" w:ascii="黑体" w:hAnsi="黑体" w:eastAsia="黑体"/>
        </w:rPr>
        <w:t>老年人膳食配制  dietary formulation for the elderly</w:t>
      </w:r>
    </w:p>
    <w:p w14:paraId="5EBB0757">
      <w:pPr>
        <w:pStyle w:val="56"/>
        <w:ind w:firstLine="420"/>
      </w:pPr>
      <w:r>
        <w:rPr>
          <w:rFonts w:hint="eastAsia"/>
        </w:rPr>
        <w:t>为了满足65周岁及以上的老年人群对营养素和膳食适应程度的需求。根据合理营养的原则和方法，为其制作饮食的过程。</w:t>
      </w:r>
    </w:p>
    <w:p w14:paraId="0A44151E">
      <w:pPr>
        <w:pStyle w:val="104"/>
        <w:spacing w:before="240" w:after="240"/>
      </w:pPr>
      <w:bookmarkStart w:id="57" w:name="_Toc188608941"/>
      <w:bookmarkStart w:id="58" w:name="_Toc188608979"/>
      <w:r>
        <w:rPr>
          <w:rFonts w:hint="eastAsia"/>
        </w:rPr>
        <w:t>基本要求</w:t>
      </w:r>
      <w:bookmarkEnd w:id="57"/>
      <w:bookmarkEnd w:id="58"/>
    </w:p>
    <w:p w14:paraId="6AB21EF6">
      <w:pPr>
        <w:pStyle w:val="105"/>
        <w:spacing w:before="120" w:after="120"/>
        <w:rPr>
          <w:rFonts w:hint="eastAsia" w:ascii="宋体" w:hAnsi="宋体" w:eastAsia="宋体"/>
        </w:rPr>
      </w:pPr>
      <w:bookmarkStart w:id="59" w:name="_Toc188608942"/>
      <w:r>
        <w:rPr>
          <w:rFonts w:hint="eastAsia" w:ascii="宋体" w:hAnsi="宋体" w:eastAsia="宋体"/>
        </w:rPr>
        <w:t>应结合老年人营养膳食需求，参考《中国居民膳食指南》及《中国老年人膳食指南》合理编制食谱，营养配餐应符合SB/T 10474的要求。</w:t>
      </w:r>
      <w:bookmarkEnd w:id="59"/>
    </w:p>
    <w:p w14:paraId="481572CA">
      <w:pPr>
        <w:pStyle w:val="105"/>
        <w:spacing w:before="120" w:after="120"/>
        <w:rPr>
          <w:rFonts w:hint="eastAsia" w:ascii="宋体" w:hAnsi="宋体" w:eastAsia="宋体"/>
        </w:rPr>
      </w:pPr>
      <w:bookmarkStart w:id="60" w:name="_Toc188608943"/>
      <w:r>
        <w:rPr>
          <w:rFonts w:hint="eastAsia" w:ascii="宋体" w:hAnsi="宋体" w:eastAsia="宋体"/>
        </w:rPr>
        <w:t>老年人能量及主要营养素摄入量应符合WS/T 556的要求，各类食物每人每天摄入量参见附录A。</w:t>
      </w:r>
      <w:bookmarkEnd w:id="60"/>
    </w:p>
    <w:p w14:paraId="79E19595">
      <w:pPr>
        <w:pStyle w:val="105"/>
        <w:spacing w:before="120" w:after="120"/>
        <w:rPr>
          <w:rFonts w:hint="eastAsia" w:ascii="宋体" w:hAnsi="宋体" w:eastAsia="宋体"/>
        </w:rPr>
      </w:pPr>
      <w:bookmarkStart w:id="61" w:name="_Toc188608944"/>
      <w:r>
        <w:rPr>
          <w:rFonts w:hint="eastAsia" w:ascii="宋体" w:hAnsi="宋体" w:eastAsia="宋体"/>
        </w:rPr>
        <w:t>每日食物种类至少12种，每周至少25种食物。每日食物供给总量、食材选定搭配应满足WS/T 556的要求。</w:t>
      </w:r>
      <w:bookmarkEnd w:id="61"/>
    </w:p>
    <w:p w14:paraId="790D8582">
      <w:pPr>
        <w:pStyle w:val="105"/>
        <w:spacing w:before="120" w:after="120"/>
        <w:rPr>
          <w:rFonts w:hint="eastAsia" w:ascii="宋体" w:hAnsi="宋体" w:eastAsia="宋体"/>
        </w:rPr>
      </w:pPr>
      <w:bookmarkStart w:id="62" w:name="_Toc188608945"/>
      <w:r>
        <w:rPr>
          <w:rFonts w:hint="eastAsia" w:ascii="宋体" w:hAnsi="宋体" w:eastAsia="宋体"/>
        </w:rPr>
        <w:t>应考虑能量供给与老年人机体需求相适应，保证优质蛋白质、矿物质、维生素的供给。</w:t>
      </w:r>
      <w:bookmarkEnd w:id="62"/>
    </w:p>
    <w:p w14:paraId="319D3A60">
      <w:pPr>
        <w:pStyle w:val="105"/>
        <w:spacing w:before="120" w:after="120"/>
        <w:rPr>
          <w:rFonts w:hint="eastAsia" w:ascii="宋体" w:hAnsi="宋体" w:eastAsia="宋体"/>
        </w:rPr>
      </w:pPr>
      <w:bookmarkStart w:id="63" w:name="_Toc188608946"/>
      <w:r>
        <w:rPr>
          <w:rFonts w:hint="eastAsia" w:ascii="宋体" w:hAnsi="宋体" w:eastAsia="宋体"/>
        </w:rPr>
        <w:t>应了解老年人饮食习惯，选择适宜的食材和烹饪方法。</w:t>
      </w:r>
      <w:bookmarkEnd w:id="63"/>
    </w:p>
    <w:p w14:paraId="280D718C">
      <w:pPr>
        <w:pStyle w:val="105"/>
        <w:spacing w:before="120" w:after="120"/>
        <w:rPr>
          <w:rFonts w:hint="eastAsia" w:ascii="宋体" w:hAnsi="宋体" w:eastAsia="宋体"/>
        </w:rPr>
      </w:pPr>
      <w:bookmarkStart w:id="64" w:name="_Toc188608947"/>
      <w:r>
        <w:rPr>
          <w:rFonts w:hint="eastAsia" w:ascii="宋体" w:hAnsi="宋体" w:eastAsia="宋体"/>
        </w:rPr>
        <w:t>应配制清淡饮食，适合老年人咀嚼、吞咽和消化，主食宜松软，菜肴宜碎烂，避免高盐和油炸食品。了解老年人群过敏情况，供餐应规避相应过敏原。</w:t>
      </w:r>
      <w:bookmarkEnd w:id="64"/>
    </w:p>
    <w:p w14:paraId="5E346C0A">
      <w:pPr>
        <w:pStyle w:val="105"/>
        <w:spacing w:before="120" w:after="120"/>
      </w:pPr>
      <w:bookmarkStart w:id="65" w:name="_Toc188608948"/>
      <w:r>
        <w:rPr>
          <w:rFonts w:hint="eastAsia" w:ascii="宋体" w:hAnsi="宋体" w:eastAsia="宋体"/>
        </w:rPr>
        <w:t>应供应新鲜食物，减少腌制、熏腊及动物油以及食品添加剂的使用，如使用食品添加剂应符合GB 2760规定</w:t>
      </w:r>
      <w:r>
        <w:rPr>
          <w:rFonts w:hint="eastAsia"/>
        </w:rPr>
        <w:t>。</w:t>
      </w:r>
      <w:bookmarkEnd w:id="65"/>
    </w:p>
    <w:p w14:paraId="6D3C9773">
      <w:pPr>
        <w:pStyle w:val="104"/>
        <w:spacing w:before="240" w:after="240"/>
      </w:pPr>
      <w:bookmarkStart w:id="66" w:name="_Toc188608980"/>
      <w:bookmarkStart w:id="67" w:name="_Toc188608949"/>
      <w:r>
        <w:rPr>
          <w:rFonts w:hint="eastAsia"/>
        </w:rPr>
        <w:t>服务对象</w:t>
      </w:r>
      <w:bookmarkEnd w:id="66"/>
      <w:bookmarkEnd w:id="67"/>
    </w:p>
    <w:p w14:paraId="444F3635">
      <w:pPr>
        <w:pStyle w:val="56"/>
        <w:ind w:firstLine="420"/>
      </w:pPr>
      <w:r>
        <w:rPr>
          <w:rFonts w:hint="eastAsia"/>
        </w:rPr>
        <w:t>服务对象包括65周岁及以上的一般老年人和患有糖尿病、高血压、高脂血症、高尿酸血症与痛风、慢性肾脏疾病、肌少症、骨质疏松、吞咽障碍症状的特殊老年人。</w:t>
      </w:r>
    </w:p>
    <w:p w14:paraId="5EC158AE">
      <w:pPr>
        <w:pStyle w:val="104"/>
        <w:spacing w:before="240" w:after="240"/>
      </w:pPr>
      <w:bookmarkStart w:id="68" w:name="_Toc188608950"/>
      <w:bookmarkStart w:id="69" w:name="_Toc188608981"/>
      <w:r>
        <w:rPr>
          <w:rFonts w:hint="eastAsia"/>
        </w:rPr>
        <w:t>食谱制定</w:t>
      </w:r>
      <w:bookmarkEnd w:id="68"/>
      <w:bookmarkEnd w:id="69"/>
    </w:p>
    <w:p w14:paraId="183B2DC1">
      <w:pPr>
        <w:pStyle w:val="105"/>
        <w:spacing w:before="120" w:after="120"/>
        <w:rPr>
          <w:rFonts w:hint="eastAsia" w:ascii="宋体" w:hAnsi="宋体" w:eastAsia="宋体"/>
        </w:rPr>
      </w:pPr>
      <w:bookmarkStart w:id="70" w:name="_Toc188608951"/>
      <w:r>
        <w:rPr>
          <w:rFonts w:hint="eastAsia" w:ascii="宋体" w:hAnsi="宋体" w:eastAsia="宋体"/>
        </w:rPr>
        <w:t>应按照WS/T 556和本文件第五章的要求，定制每周食谱。</w:t>
      </w:r>
      <w:bookmarkEnd w:id="70"/>
    </w:p>
    <w:p w14:paraId="361590DA">
      <w:pPr>
        <w:pStyle w:val="105"/>
        <w:spacing w:before="120" w:after="120"/>
        <w:rPr>
          <w:rFonts w:hint="eastAsia" w:ascii="宋体" w:hAnsi="宋体" w:eastAsia="宋体"/>
        </w:rPr>
      </w:pPr>
      <w:bookmarkStart w:id="71" w:name="_Toc188608952"/>
      <w:r>
        <w:rPr>
          <w:rFonts w:hint="eastAsia" w:ascii="宋体" w:hAnsi="宋体" w:eastAsia="宋体"/>
        </w:rPr>
        <w:t>应根据老年人疾病情况，提供糖尿病膳食、低盐膳食、低嘌呤(痛风)膳食、肾病膳食、匀浆膳等特殊膳食，特殊膳食食谱应由营养师制定，特殊膳食还应符合下列要求：</w:t>
      </w:r>
      <w:bookmarkEnd w:id="71"/>
    </w:p>
    <w:p w14:paraId="0C6FA747">
      <w:pPr>
        <w:pStyle w:val="56"/>
        <w:ind w:firstLine="420"/>
      </w:pPr>
      <w:r>
        <w:rPr>
          <w:rFonts w:hint="eastAsia"/>
        </w:rPr>
        <w:t>a)糖尿病老年人：符合WS/T 429的要求；</w:t>
      </w:r>
    </w:p>
    <w:p w14:paraId="32711886">
      <w:pPr>
        <w:pStyle w:val="56"/>
        <w:ind w:firstLine="420"/>
      </w:pPr>
      <w:r>
        <w:rPr>
          <w:rFonts w:hint="eastAsia"/>
        </w:rPr>
        <w:t>b)高血压老年人：符合WS/T 430的要求；</w:t>
      </w:r>
    </w:p>
    <w:p w14:paraId="37C69C54">
      <w:pPr>
        <w:pStyle w:val="56"/>
        <w:ind w:firstLine="420"/>
      </w:pPr>
      <w:r>
        <w:rPr>
          <w:rFonts w:hint="eastAsia"/>
        </w:rPr>
        <w:t>c)高尿酸血症与痛风老年人：符合WS/T 560的要求；</w:t>
      </w:r>
    </w:p>
    <w:p w14:paraId="59681F93">
      <w:pPr>
        <w:pStyle w:val="56"/>
        <w:ind w:firstLine="420"/>
      </w:pPr>
      <w:r>
        <w:rPr>
          <w:rFonts w:hint="eastAsia"/>
        </w:rPr>
        <w:t>d)慢性肾脏病老年人：符合WS/T 557的要求；</w:t>
      </w:r>
    </w:p>
    <w:p w14:paraId="0A903B2C">
      <w:pPr>
        <w:pStyle w:val="56"/>
        <w:ind w:firstLine="420"/>
      </w:pPr>
      <w:r>
        <w:rPr>
          <w:rFonts w:hint="eastAsia"/>
        </w:rPr>
        <w:t>e)吞咽障碍老年人：符合吞咽障碍膳食营养管理中国专家共识(2019版)的要求；</w:t>
      </w:r>
    </w:p>
    <w:p w14:paraId="5A3AC89F">
      <w:pPr>
        <w:pStyle w:val="56"/>
        <w:ind w:firstLine="420"/>
      </w:pPr>
      <w:r>
        <w:rPr>
          <w:rFonts w:hint="eastAsia"/>
        </w:rPr>
        <w:t>f)骨质疏松老年人：提供富含钙、维生素D、维生素K及优质蛋白质的膳食；</w:t>
      </w:r>
    </w:p>
    <w:p w14:paraId="0E820EDB">
      <w:pPr>
        <w:pStyle w:val="56"/>
        <w:ind w:firstLine="420"/>
      </w:pPr>
      <w:r>
        <w:rPr>
          <w:rFonts w:hint="eastAsia"/>
        </w:rPr>
        <w:t>g)肌少症老年人：提供高蛋白、富含维生素D、Omega-3 脂肪酸等营养素的膳食，严重营养不良的肌少症老年人还应参考吞咽障碍膳食营养管理中国专家共识(2019版)中图4进行营养评估和干预。</w:t>
      </w:r>
    </w:p>
    <w:p w14:paraId="2DE8C0F2">
      <w:pPr>
        <w:pStyle w:val="105"/>
        <w:spacing w:before="120" w:after="120"/>
        <w:rPr>
          <w:rFonts w:hint="eastAsia" w:ascii="宋体" w:hAnsi="宋体" w:eastAsia="宋体"/>
        </w:rPr>
      </w:pPr>
      <w:bookmarkStart w:id="72" w:name="_Toc188608953"/>
      <w:r>
        <w:rPr>
          <w:rFonts w:hint="eastAsia" w:ascii="宋体" w:hAnsi="宋体" w:eastAsia="宋体"/>
        </w:rPr>
        <w:t>应根据老年人咀嚼、吞咽及消化功能的不同，提供普通膳食、软食、半流质膳食、流质膳食等基本膳食。</w:t>
      </w:r>
      <w:bookmarkEnd w:id="72"/>
    </w:p>
    <w:p w14:paraId="4D6D6BFB">
      <w:pPr>
        <w:pStyle w:val="105"/>
        <w:spacing w:before="120" w:after="120"/>
        <w:rPr>
          <w:rFonts w:hint="eastAsia" w:ascii="宋体" w:hAnsi="宋体" w:eastAsia="宋体"/>
        </w:rPr>
      </w:pPr>
      <w:bookmarkStart w:id="73" w:name="_Toc188608954"/>
      <w:r>
        <w:rPr>
          <w:rFonts w:hint="eastAsia" w:ascii="宋体" w:hAnsi="宋体" w:eastAsia="宋体"/>
        </w:rPr>
        <w:t>食谱每周更新一次，更新食谱时，应参考季节变化、食材供应情况以及老年人的反馈意见，并在公示栏或通过电子信息进行公布。</w:t>
      </w:r>
      <w:bookmarkEnd w:id="73"/>
    </w:p>
    <w:p w14:paraId="1288026F">
      <w:pPr>
        <w:pStyle w:val="104"/>
        <w:spacing w:before="240" w:after="240"/>
      </w:pPr>
      <w:bookmarkStart w:id="74" w:name="_Toc188608982"/>
      <w:bookmarkStart w:id="75" w:name="_Toc188608955"/>
      <w:r>
        <w:rPr>
          <w:rFonts w:hint="eastAsia"/>
        </w:rPr>
        <w:t>食材准备</w:t>
      </w:r>
      <w:bookmarkEnd w:id="74"/>
      <w:bookmarkEnd w:id="75"/>
    </w:p>
    <w:p w14:paraId="79FCEBA2">
      <w:pPr>
        <w:pStyle w:val="105"/>
        <w:spacing w:before="120" w:after="120"/>
      </w:pPr>
      <w:bookmarkStart w:id="76" w:name="_Toc188608956"/>
      <w:r>
        <w:rPr>
          <w:rFonts w:hint="eastAsia"/>
        </w:rPr>
        <w:t>采购</w:t>
      </w:r>
      <w:bookmarkEnd w:id="76"/>
    </w:p>
    <w:p w14:paraId="68085AC1">
      <w:pPr>
        <w:pStyle w:val="65"/>
        <w:spacing w:before="120" w:after="120"/>
        <w:rPr>
          <w:rFonts w:hint="eastAsia" w:ascii="宋体" w:hAnsi="宋体" w:eastAsia="宋体"/>
        </w:rPr>
      </w:pPr>
      <w:r>
        <w:rPr>
          <w:rFonts w:hint="eastAsia" w:ascii="宋体" w:hAnsi="宋体" w:eastAsia="宋体"/>
        </w:rPr>
        <w:t>应根据食谱制定采购计划，并根据食材存放难易程度和保质期确定采购周期。</w:t>
      </w:r>
    </w:p>
    <w:p w14:paraId="238E927B">
      <w:pPr>
        <w:pStyle w:val="65"/>
        <w:spacing w:before="120" w:after="120"/>
        <w:rPr>
          <w:rFonts w:hint="eastAsia" w:ascii="宋体" w:hAnsi="宋体" w:eastAsia="宋体"/>
        </w:rPr>
      </w:pPr>
      <w:r>
        <w:rPr>
          <w:rFonts w:hint="eastAsia" w:ascii="宋体" w:hAnsi="宋体" w:eastAsia="宋体"/>
        </w:rPr>
        <w:t>应建立完善的食材索证索票和定点采购制度，详细记录采购的食材名称、数量、供应商、采购日期等信息。</w:t>
      </w:r>
    </w:p>
    <w:p w14:paraId="2F962F88">
      <w:pPr>
        <w:pStyle w:val="65"/>
        <w:spacing w:before="120" w:after="120"/>
        <w:rPr>
          <w:rFonts w:hint="eastAsia" w:ascii="宋体" w:hAnsi="宋体" w:eastAsia="宋体"/>
        </w:rPr>
      </w:pPr>
      <w:r>
        <w:rPr>
          <w:rFonts w:hint="eastAsia" w:ascii="宋体" w:hAnsi="宋体" w:eastAsia="宋体"/>
        </w:rPr>
        <w:t>应根据食材来源、质量、价格和供货能力等因素选择供应商，并索要供应商资质。</w:t>
      </w:r>
    </w:p>
    <w:p w14:paraId="2FAA4CBF">
      <w:pPr>
        <w:pStyle w:val="65"/>
        <w:spacing w:before="120" w:after="120"/>
        <w:rPr>
          <w:rFonts w:hint="eastAsia" w:ascii="宋体" w:hAnsi="宋体" w:eastAsia="宋体"/>
        </w:rPr>
      </w:pPr>
      <w:r>
        <w:rPr>
          <w:rFonts w:hint="eastAsia" w:ascii="宋体" w:hAnsi="宋体" w:eastAsia="宋体"/>
        </w:rPr>
        <w:t>应采购符合食品安全国家标准的食材，不应采购含有违禁添加剂、农药残留超标的食材。</w:t>
      </w:r>
    </w:p>
    <w:p w14:paraId="0EBFA447">
      <w:pPr>
        <w:pStyle w:val="65"/>
        <w:spacing w:before="120" w:after="120"/>
        <w:rPr>
          <w:rFonts w:hint="eastAsia" w:ascii="宋体" w:hAnsi="宋体" w:eastAsia="宋体"/>
        </w:rPr>
      </w:pPr>
      <w:r>
        <w:rPr>
          <w:rFonts w:hint="eastAsia" w:ascii="宋体" w:hAnsi="宋体" w:eastAsia="宋体"/>
        </w:rPr>
        <w:t>预包装食品标签应符合GB 7718的要求。</w:t>
      </w:r>
    </w:p>
    <w:p w14:paraId="5B4E259D">
      <w:pPr>
        <w:pStyle w:val="105"/>
        <w:spacing w:before="120" w:after="120"/>
      </w:pPr>
      <w:bookmarkStart w:id="77" w:name="_Toc188608957"/>
      <w:r>
        <w:rPr>
          <w:rFonts w:hint="eastAsia"/>
        </w:rPr>
        <w:t>储存</w:t>
      </w:r>
      <w:bookmarkEnd w:id="77"/>
    </w:p>
    <w:p w14:paraId="45A26653">
      <w:pPr>
        <w:pStyle w:val="65"/>
        <w:spacing w:before="120" w:after="120"/>
        <w:rPr>
          <w:rFonts w:hint="eastAsia" w:ascii="宋体" w:hAnsi="宋体" w:eastAsia="宋体"/>
        </w:rPr>
      </w:pPr>
      <w:r>
        <w:rPr>
          <w:rFonts w:hint="eastAsia" w:ascii="宋体" w:hAnsi="宋体" w:eastAsia="宋体"/>
        </w:rPr>
        <w:t>食材储存应符合GB 31654及《餐饮服务食品安全操作规范》的相关要求。</w:t>
      </w:r>
    </w:p>
    <w:p w14:paraId="023C4543">
      <w:pPr>
        <w:pStyle w:val="65"/>
        <w:spacing w:before="120" w:after="120"/>
        <w:rPr>
          <w:rFonts w:hint="eastAsia" w:ascii="宋体" w:hAnsi="宋体" w:eastAsia="宋体"/>
        </w:rPr>
      </w:pPr>
      <w:r>
        <w:rPr>
          <w:rFonts w:hint="eastAsia" w:ascii="宋体" w:hAnsi="宋体" w:eastAsia="宋体"/>
        </w:rPr>
        <w:t>贮存场所、设备应保持清洁，无霉斑、无虫害迹象等，不得存放有毒、有害物品及个人生活用品。</w:t>
      </w:r>
    </w:p>
    <w:p w14:paraId="1C89001E">
      <w:pPr>
        <w:pStyle w:val="65"/>
        <w:spacing w:before="120" w:after="120"/>
        <w:rPr>
          <w:rFonts w:hint="eastAsia" w:ascii="宋体" w:hAnsi="宋体" w:eastAsia="宋体"/>
        </w:rPr>
      </w:pPr>
      <w:r>
        <w:rPr>
          <w:rFonts w:hint="eastAsia" w:ascii="宋体" w:hAnsi="宋体" w:eastAsia="宋体"/>
        </w:rPr>
        <w:t>食材应分类摆放、离墙离地，避免交叉污染，并做好先进先出。调料有标识。</w:t>
      </w:r>
    </w:p>
    <w:p w14:paraId="10F0B020">
      <w:pPr>
        <w:pStyle w:val="105"/>
        <w:spacing w:before="120" w:after="120"/>
      </w:pPr>
      <w:bookmarkStart w:id="78" w:name="_Toc188608958"/>
      <w:r>
        <w:rPr>
          <w:rFonts w:hint="eastAsia"/>
        </w:rPr>
        <w:t>查验</w:t>
      </w:r>
      <w:bookmarkEnd w:id="78"/>
    </w:p>
    <w:p w14:paraId="7A07E623">
      <w:pPr>
        <w:pStyle w:val="65"/>
        <w:spacing w:before="120" w:after="120"/>
        <w:rPr>
          <w:rFonts w:hint="eastAsia" w:ascii="宋体" w:hAnsi="宋体" w:eastAsia="宋体"/>
        </w:rPr>
      </w:pPr>
      <w:r>
        <w:rPr>
          <w:rFonts w:hint="eastAsia" w:ascii="宋体" w:hAnsi="宋体" w:eastAsia="宋体"/>
        </w:rPr>
        <w:t>食材进货查验应符合GB 31654及《餐饮服务食品安全操作规范》相关要求。</w:t>
      </w:r>
    </w:p>
    <w:p w14:paraId="0A49D71D">
      <w:pPr>
        <w:pStyle w:val="65"/>
        <w:spacing w:before="120" w:after="120"/>
        <w:rPr>
          <w:rFonts w:hint="eastAsia" w:ascii="宋体" w:hAnsi="宋体" w:eastAsia="宋体"/>
        </w:rPr>
      </w:pPr>
      <w:r>
        <w:rPr>
          <w:rFonts w:hint="eastAsia" w:ascii="宋体" w:hAnsi="宋体" w:eastAsia="宋体"/>
        </w:rPr>
        <w:t>进货查验的动物产品应确保动物检疫合格证明中有效期内且一一对应。</w:t>
      </w:r>
    </w:p>
    <w:p w14:paraId="4DCE1E52">
      <w:pPr>
        <w:pStyle w:val="65"/>
        <w:spacing w:before="120" w:after="120"/>
        <w:rPr>
          <w:rFonts w:hint="eastAsia" w:ascii="宋体" w:hAnsi="宋体" w:eastAsia="宋体"/>
        </w:rPr>
      </w:pPr>
      <w:r>
        <w:rPr>
          <w:rFonts w:hint="eastAsia" w:ascii="宋体" w:hAnsi="宋体" w:eastAsia="宋体"/>
        </w:rPr>
        <w:t>食材查验应按照企业食材品质要求进行验收，过期、腐烂、变质食材应拒收，并记录供应商信息，作为食材供应商选择依据。</w:t>
      </w:r>
    </w:p>
    <w:p w14:paraId="1B8FE59E">
      <w:pPr>
        <w:pStyle w:val="104"/>
        <w:spacing w:before="240" w:after="240"/>
      </w:pPr>
      <w:bookmarkStart w:id="79" w:name="_Toc188608959"/>
      <w:bookmarkStart w:id="80" w:name="_Toc188608983"/>
      <w:r>
        <w:rPr>
          <w:rFonts w:hint="eastAsia"/>
        </w:rPr>
        <w:t>配制要求</w:t>
      </w:r>
      <w:bookmarkEnd w:id="79"/>
      <w:bookmarkEnd w:id="80"/>
    </w:p>
    <w:p w14:paraId="072D65F5">
      <w:pPr>
        <w:pStyle w:val="105"/>
        <w:spacing w:before="120" w:after="120"/>
        <w:rPr>
          <w:rFonts w:hint="eastAsia" w:hAnsi="黑体"/>
        </w:rPr>
      </w:pPr>
      <w:bookmarkStart w:id="81" w:name="_Toc188608960"/>
      <w:r>
        <w:rPr>
          <w:rFonts w:hint="eastAsia" w:hAnsi="黑体"/>
        </w:rPr>
        <w:t>液体食品</w:t>
      </w:r>
      <w:bookmarkEnd w:id="81"/>
    </w:p>
    <w:p w14:paraId="1439F63D">
      <w:pPr>
        <w:pStyle w:val="65"/>
        <w:spacing w:before="120" w:after="120"/>
        <w:rPr>
          <w:rFonts w:hint="eastAsia" w:ascii="宋体" w:hAnsi="宋体" w:eastAsia="宋体"/>
        </w:rPr>
      </w:pPr>
      <w:r>
        <w:rPr>
          <w:rFonts w:hint="eastAsia" w:ascii="宋体" w:hAnsi="宋体" w:eastAsia="宋体"/>
        </w:rPr>
        <w:t>液体食品的粘度应适中，可使用增稠剂来调整液体食品的粘稠，添加蛋白质粉、营养补充剂等增强液体食品的营养密度。</w:t>
      </w:r>
    </w:p>
    <w:p w14:paraId="240CA3D3">
      <w:pPr>
        <w:pStyle w:val="65"/>
        <w:spacing w:before="120" w:after="120"/>
        <w:rPr>
          <w:rFonts w:hint="eastAsia" w:ascii="宋体" w:hAnsi="宋体" w:eastAsia="宋体"/>
        </w:rPr>
      </w:pPr>
      <w:r>
        <w:rPr>
          <w:rFonts w:hint="eastAsia" w:ascii="宋体" w:hAnsi="宋体" w:eastAsia="宋体"/>
        </w:rPr>
        <w:t>患有糖尿病、高血压的特殊老年人的液体食品应控制糖分和盐分的摄入，液体的稠度应符合表1的要求。</w:t>
      </w:r>
    </w:p>
    <w:p w14:paraId="0A9462B5">
      <w:pPr>
        <w:pStyle w:val="112"/>
        <w:spacing w:before="120" w:after="120"/>
      </w:pPr>
      <w:r>
        <w:rPr>
          <w:rFonts w:hint="eastAsia"/>
        </w:rPr>
        <w:t>不同种类液体食品的稠度范围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3"/>
        <w:gridCol w:w="2333"/>
        <w:gridCol w:w="2412"/>
        <w:gridCol w:w="2256"/>
      </w:tblGrid>
      <w:tr w14:paraId="7EA11C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8" w:space="0"/>
              <w:left w:val="single" w:color="auto" w:sz="8" w:space="0"/>
              <w:bottom w:val="single" w:color="auto" w:sz="8" w:space="0"/>
              <w:right w:val="single" w:color="auto" w:sz="4" w:space="0"/>
            </w:tcBorders>
            <w:vAlign w:val="center"/>
          </w:tcPr>
          <w:p w14:paraId="043C69A5">
            <w:pPr>
              <w:pStyle w:val="56"/>
              <w:ind w:firstLine="420"/>
            </w:pPr>
            <w:r>
              <w:rPr>
                <w:rFonts w:hint="eastAsia"/>
              </w:rPr>
              <w:t>食品种类</w:t>
            </w:r>
          </w:p>
        </w:tc>
        <w:tc>
          <w:tcPr>
            <w:tcW w:w="2333" w:type="dxa"/>
            <w:tcBorders>
              <w:top w:val="single" w:color="auto" w:sz="8" w:space="0"/>
              <w:left w:val="single" w:color="auto" w:sz="4" w:space="0"/>
              <w:bottom w:val="single" w:color="auto" w:sz="8" w:space="0"/>
              <w:right w:val="single" w:color="auto" w:sz="4" w:space="0"/>
            </w:tcBorders>
            <w:vAlign w:val="center"/>
          </w:tcPr>
          <w:p w14:paraId="1CAD9711">
            <w:pPr>
              <w:pStyle w:val="56"/>
              <w:ind w:firstLine="420"/>
            </w:pPr>
            <w:r>
              <w:rPr>
                <w:rFonts w:hint="eastAsia"/>
              </w:rPr>
              <w:t>高稠型（mPa·s）</w:t>
            </w:r>
          </w:p>
        </w:tc>
        <w:tc>
          <w:tcPr>
            <w:tcW w:w="2412" w:type="dxa"/>
            <w:tcBorders>
              <w:top w:val="single" w:color="auto" w:sz="8" w:space="0"/>
              <w:left w:val="single" w:color="auto" w:sz="4" w:space="0"/>
              <w:bottom w:val="single" w:color="auto" w:sz="8" w:space="0"/>
              <w:right w:val="single" w:color="auto" w:sz="4" w:space="0"/>
            </w:tcBorders>
            <w:vAlign w:val="center"/>
          </w:tcPr>
          <w:p w14:paraId="4A891C86">
            <w:pPr>
              <w:pStyle w:val="56"/>
              <w:ind w:firstLine="420"/>
            </w:pPr>
            <w:r>
              <w:rPr>
                <w:rFonts w:hint="eastAsia"/>
              </w:rPr>
              <w:t>中稠型（mPa·s）</w:t>
            </w:r>
          </w:p>
        </w:tc>
        <w:tc>
          <w:tcPr>
            <w:tcW w:w="2256" w:type="dxa"/>
            <w:tcBorders>
              <w:top w:val="single" w:color="auto" w:sz="8" w:space="0"/>
              <w:left w:val="single" w:color="auto" w:sz="4" w:space="0"/>
              <w:bottom w:val="single" w:color="auto" w:sz="8" w:space="0"/>
              <w:right w:val="single" w:color="auto" w:sz="8" w:space="0"/>
            </w:tcBorders>
            <w:vAlign w:val="center"/>
          </w:tcPr>
          <w:p w14:paraId="0918271C">
            <w:pPr>
              <w:pStyle w:val="56"/>
              <w:ind w:firstLine="420"/>
            </w:pPr>
            <w:r>
              <w:rPr>
                <w:rFonts w:hint="eastAsia"/>
              </w:rPr>
              <w:t>低稠型（mPa·s）</w:t>
            </w:r>
          </w:p>
        </w:tc>
      </w:tr>
      <w:tr w14:paraId="30BD19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auto" w:sz="8" w:space="0"/>
              <w:left w:val="single" w:color="auto" w:sz="8" w:space="0"/>
              <w:bottom w:val="single" w:color="auto" w:sz="8" w:space="0"/>
              <w:right w:val="single" w:color="auto" w:sz="4" w:space="0"/>
            </w:tcBorders>
            <w:vAlign w:val="center"/>
          </w:tcPr>
          <w:p w14:paraId="05C60DEF">
            <w:pPr>
              <w:pStyle w:val="56"/>
              <w:ind w:firstLine="420"/>
            </w:pPr>
            <w:r>
              <w:rPr>
                <w:rFonts w:hint="eastAsia"/>
              </w:rPr>
              <w:t>稠度值范围</w:t>
            </w:r>
          </w:p>
        </w:tc>
        <w:tc>
          <w:tcPr>
            <w:tcW w:w="2333" w:type="dxa"/>
            <w:tcBorders>
              <w:top w:val="single" w:color="auto" w:sz="8" w:space="0"/>
              <w:left w:val="single" w:color="auto" w:sz="4" w:space="0"/>
              <w:bottom w:val="single" w:color="auto" w:sz="8" w:space="0"/>
              <w:right w:val="single" w:color="auto" w:sz="4" w:space="0"/>
            </w:tcBorders>
            <w:vAlign w:val="center"/>
          </w:tcPr>
          <w:p w14:paraId="1A114A57">
            <w:pPr>
              <w:pStyle w:val="56"/>
              <w:ind w:firstLine="420"/>
            </w:pPr>
            <w:r>
              <w:rPr>
                <w:rFonts w:hint="eastAsia"/>
              </w:rPr>
              <w:t xml:space="preserve">＞10000 </w:t>
            </w:r>
          </w:p>
        </w:tc>
        <w:tc>
          <w:tcPr>
            <w:tcW w:w="2412" w:type="dxa"/>
            <w:tcBorders>
              <w:top w:val="single" w:color="auto" w:sz="8" w:space="0"/>
              <w:left w:val="single" w:color="auto" w:sz="4" w:space="0"/>
              <w:bottom w:val="single" w:color="auto" w:sz="8" w:space="0"/>
              <w:right w:val="single" w:color="auto" w:sz="4" w:space="0"/>
            </w:tcBorders>
            <w:vAlign w:val="center"/>
          </w:tcPr>
          <w:p w14:paraId="245DAE25">
            <w:pPr>
              <w:pStyle w:val="56"/>
              <w:ind w:firstLine="420"/>
            </w:pPr>
            <w:r>
              <w:rPr>
                <w:rFonts w:hint="eastAsia"/>
              </w:rPr>
              <w:t>100～10000</w:t>
            </w:r>
          </w:p>
        </w:tc>
        <w:tc>
          <w:tcPr>
            <w:tcW w:w="2256" w:type="dxa"/>
            <w:tcBorders>
              <w:top w:val="single" w:color="auto" w:sz="8" w:space="0"/>
              <w:left w:val="single" w:color="auto" w:sz="4" w:space="0"/>
              <w:bottom w:val="single" w:color="auto" w:sz="8" w:space="0"/>
              <w:right w:val="single" w:color="auto" w:sz="8" w:space="0"/>
            </w:tcBorders>
            <w:vAlign w:val="center"/>
          </w:tcPr>
          <w:p w14:paraId="38EE804F">
            <w:pPr>
              <w:pStyle w:val="56"/>
              <w:ind w:firstLine="420"/>
            </w:pPr>
            <w:r>
              <w:rPr>
                <w:rFonts w:hint="eastAsia"/>
              </w:rPr>
              <w:t>1～100</w:t>
            </w:r>
          </w:p>
        </w:tc>
      </w:tr>
      <w:tr w14:paraId="4F6C80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4"/>
            <w:tcBorders>
              <w:top w:val="single" w:color="auto" w:sz="8" w:space="0"/>
              <w:left w:val="single" w:color="auto" w:sz="8" w:space="0"/>
              <w:bottom w:val="single" w:color="auto" w:sz="8" w:space="0"/>
              <w:right w:val="single" w:color="auto" w:sz="8" w:space="0"/>
            </w:tcBorders>
            <w:vAlign w:val="center"/>
          </w:tcPr>
          <w:p w14:paraId="6183B7C4">
            <w:pPr>
              <w:pStyle w:val="56"/>
              <w:numPr>
                <w:ilvl w:val="0"/>
                <w:numId w:val="32"/>
              </w:numPr>
              <w:ind w:firstLine="420"/>
            </w:pPr>
            <w:r>
              <w:rPr>
                <w:rFonts w:hint="eastAsia"/>
              </w:rPr>
              <w:t>高稠型食品：果冻、蜂蜜、糖浆；</w:t>
            </w:r>
          </w:p>
          <w:p w14:paraId="152DBB03">
            <w:pPr>
              <w:pStyle w:val="56"/>
              <w:ind w:firstLine="420"/>
            </w:pPr>
            <w:r>
              <w:rPr>
                <w:rFonts w:hint="eastAsia"/>
              </w:rPr>
              <w:t xml:space="preserve">      中稠型食品：果汁（无果肉的）、酸奶、浓果汁；</w:t>
            </w:r>
          </w:p>
          <w:p w14:paraId="166C2FA5">
            <w:pPr>
              <w:pStyle w:val="56"/>
              <w:ind w:firstLine="420"/>
            </w:pPr>
            <w:r>
              <w:rPr>
                <w:rFonts w:hint="eastAsia"/>
              </w:rPr>
              <w:t xml:space="preserve">      低稠型食品：清汤、茶、清果汁。</w:t>
            </w:r>
          </w:p>
        </w:tc>
      </w:tr>
    </w:tbl>
    <w:p w14:paraId="170BBC63">
      <w:pPr>
        <w:pStyle w:val="105"/>
        <w:spacing w:before="120" w:after="120"/>
      </w:pPr>
      <w:bookmarkStart w:id="82" w:name="_Toc188608961"/>
      <w:r>
        <w:rPr>
          <w:rFonts w:hint="eastAsia"/>
        </w:rPr>
        <w:t>固体与半固体食品</w:t>
      </w:r>
      <w:bookmarkEnd w:id="82"/>
    </w:p>
    <w:p w14:paraId="684C4C2D">
      <w:pPr>
        <w:pStyle w:val="65"/>
        <w:spacing w:before="120" w:after="120"/>
        <w:rPr>
          <w:rFonts w:hint="eastAsia" w:ascii="宋体" w:hAnsi="宋体" w:eastAsia="宋体"/>
        </w:rPr>
      </w:pPr>
      <w:r>
        <w:rPr>
          <w:rFonts w:hint="eastAsia" w:ascii="宋体" w:hAnsi="宋体" w:eastAsia="宋体"/>
        </w:rPr>
        <w:t>固体与半固体食品应易咀嚼、吞咽，且不应造成阻塞或食物残留，可通过以下方式将食物变成泥状、糊状、软质、易碎等质地：</w:t>
      </w:r>
    </w:p>
    <w:p w14:paraId="49E3A0AF">
      <w:pPr>
        <w:pStyle w:val="56"/>
        <w:ind w:firstLine="420"/>
        <w:rPr>
          <w:rFonts w:hint="eastAsia" w:hAnsi="宋体"/>
        </w:rPr>
      </w:pPr>
      <w:r>
        <w:rPr>
          <w:rFonts w:hint="eastAsia" w:hAnsi="宋体"/>
        </w:rPr>
        <w:t>--采用蒸、炖、煮、煨、汆等方式软化食物；</w:t>
      </w:r>
    </w:p>
    <w:p w14:paraId="400F8F1C">
      <w:pPr>
        <w:pStyle w:val="56"/>
        <w:ind w:firstLine="420"/>
        <w:rPr>
          <w:rFonts w:hint="eastAsia" w:hAnsi="宋体"/>
        </w:rPr>
      </w:pPr>
      <w:r>
        <w:rPr>
          <w:rFonts w:hint="eastAsia" w:hAnsi="宋体"/>
        </w:rPr>
        <w:t>--通过搅拌、打浆将固体食品制成无颗粒、硬块的泥状、糊状；</w:t>
      </w:r>
    </w:p>
    <w:p w14:paraId="65D63714">
      <w:pPr>
        <w:pStyle w:val="56"/>
        <w:ind w:firstLine="420"/>
        <w:rPr>
          <w:rFonts w:hint="eastAsia" w:hAnsi="宋体"/>
        </w:rPr>
      </w:pPr>
      <w:r>
        <w:rPr>
          <w:rFonts w:hint="eastAsia" w:hAnsi="宋体"/>
        </w:rPr>
        <w:t>--必要时加液体软化。</w:t>
      </w:r>
    </w:p>
    <w:p w14:paraId="13D369C7">
      <w:pPr>
        <w:pStyle w:val="65"/>
        <w:spacing w:before="120" w:after="120"/>
        <w:rPr>
          <w:rFonts w:hint="eastAsia" w:ascii="宋体" w:hAnsi="宋体" w:eastAsia="宋体"/>
        </w:rPr>
      </w:pPr>
      <w:r>
        <w:rPr>
          <w:rFonts w:hint="eastAsia" w:ascii="宋体" w:hAnsi="宋体" w:eastAsia="宋体"/>
        </w:rPr>
        <w:t>细泥型食物适用于无法咀嚼、严重咀嚼障碍、疾病急性期，如中风、口腔疾病等人群。</w:t>
      </w:r>
    </w:p>
    <w:p w14:paraId="79CC265D">
      <w:pPr>
        <w:pStyle w:val="65"/>
        <w:spacing w:before="120" w:after="120"/>
        <w:rPr>
          <w:rFonts w:hint="eastAsia" w:ascii="宋体" w:hAnsi="宋体" w:eastAsia="宋体"/>
        </w:rPr>
      </w:pPr>
      <w:r>
        <w:rPr>
          <w:rFonts w:hint="eastAsia" w:ascii="宋体" w:hAnsi="宋体" w:eastAsia="宋体"/>
        </w:rPr>
        <w:t>细碎食物适用于轻度咀嚼困难、吞咽功能受限、康复期患者等人群。</w:t>
      </w:r>
    </w:p>
    <w:p w14:paraId="4610EAAC">
      <w:pPr>
        <w:pStyle w:val="65"/>
        <w:spacing w:before="120" w:after="120"/>
        <w:rPr>
          <w:rFonts w:hint="eastAsia" w:ascii="宋体" w:hAnsi="宋体" w:eastAsia="宋体"/>
        </w:rPr>
      </w:pPr>
      <w:r>
        <w:rPr>
          <w:rFonts w:hint="eastAsia" w:ascii="宋体" w:hAnsi="宋体" w:eastAsia="宋体"/>
        </w:rPr>
        <w:t>软质食物适用于咀嚼能力较弱、消化功能欠佳、疾病恢复期、高龄老人等人群。</w:t>
      </w:r>
    </w:p>
    <w:p w14:paraId="1DC8AF77">
      <w:pPr>
        <w:pStyle w:val="65"/>
        <w:spacing w:before="120" w:after="120"/>
        <w:rPr>
          <w:rFonts w:hint="eastAsia" w:ascii="宋体" w:hAnsi="宋体" w:eastAsia="宋体"/>
        </w:rPr>
      </w:pPr>
      <w:r>
        <w:rPr>
          <w:rFonts w:hint="eastAsia" w:ascii="宋体" w:hAnsi="宋体" w:eastAsia="宋体"/>
        </w:rPr>
        <w:t>选择鸡胸肉、鱼肉等质地软的肉类、蛋类、豆类制品，可额外添加蛋白质粉增强营养密度。</w:t>
      </w:r>
    </w:p>
    <w:p w14:paraId="29487C21">
      <w:pPr>
        <w:pStyle w:val="65"/>
        <w:spacing w:before="120" w:after="120"/>
        <w:rPr>
          <w:rFonts w:hint="eastAsia" w:ascii="宋体" w:hAnsi="宋体" w:eastAsia="宋体"/>
        </w:rPr>
      </w:pPr>
      <w:r>
        <w:rPr>
          <w:rFonts w:hint="eastAsia" w:ascii="宋体" w:hAnsi="宋体" w:eastAsia="宋体"/>
        </w:rPr>
        <w:t>选择较粗食材，可切细或打成小颗粒调整结构。</w:t>
      </w:r>
    </w:p>
    <w:p w14:paraId="6DDE1C91">
      <w:pPr>
        <w:pStyle w:val="65"/>
        <w:spacing w:before="120" w:after="120"/>
        <w:rPr>
          <w:rFonts w:hint="eastAsia" w:ascii="宋体" w:hAnsi="宋体" w:eastAsia="宋体"/>
        </w:rPr>
      </w:pPr>
      <w:r>
        <w:rPr>
          <w:rFonts w:hint="eastAsia" w:ascii="宋体" w:hAnsi="宋体" w:eastAsia="宋体"/>
        </w:rPr>
        <w:t>固体与半固体食品的硬度应符合表2的要求。</w:t>
      </w:r>
    </w:p>
    <w:p w14:paraId="67ECA04C">
      <w:pPr>
        <w:pStyle w:val="112"/>
        <w:spacing w:before="120" w:after="120"/>
      </w:pPr>
      <w:r>
        <w:rPr>
          <w:rFonts w:hint="eastAsia"/>
        </w:rPr>
        <w:t>不同种类固体食品的硬度范围</w:t>
      </w:r>
    </w:p>
    <w:tbl>
      <w:tblPr>
        <w:tblStyle w:val="27"/>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11"/>
        <w:gridCol w:w="2314"/>
        <w:gridCol w:w="2317"/>
        <w:gridCol w:w="2314"/>
      </w:tblGrid>
      <w:tr w14:paraId="4DD6D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332" w:type="dxa"/>
            <w:tcBorders>
              <w:top w:val="single" w:color="auto" w:sz="8" w:space="0"/>
              <w:left w:val="single" w:color="auto" w:sz="8" w:space="0"/>
              <w:bottom w:val="single" w:color="auto" w:sz="8" w:space="0"/>
              <w:right w:val="single" w:color="auto" w:sz="4" w:space="0"/>
            </w:tcBorders>
            <w:vAlign w:val="center"/>
          </w:tcPr>
          <w:p w14:paraId="5E7C35B0">
            <w:pPr>
              <w:pStyle w:val="56"/>
              <w:ind w:firstLine="420"/>
            </w:pPr>
            <w:r>
              <w:rPr>
                <w:rFonts w:hint="eastAsia"/>
              </w:rPr>
              <w:t>食品种类</w:t>
            </w:r>
          </w:p>
        </w:tc>
        <w:tc>
          <w:tcPr>
            <w:tcW w:w="2334" w:type="dxa"/>
            <w:tcBorders>
              <w:top w:val="single" w:color="auto" w:sz="8" w:space="0"/>
              <w:left w:val="single" w:color="auto" w:sz="4" w:space="0"/>
              <w:bottom w:val="single" w:color="auto" w:sz="8" w:space="0"/>
              <w:right w:val="single" w:color="auto" w:sz="4" w:space="0"/>
            </w:tcBorders>
            <w:vAlign w:val="center"/>
          </w:tcPr>
          <w:p w14:paraId="5E247E4C">
            <w:pPr>
              <w:pStyle w:val="56"/>
              <w:ind w:firstLine="420"/>
            </w:pPr>
            <w:r>
              <w:rPr>
                <w:rFonts w:hint="eastAsia"/>
              </w:rPr>
              <w:t>细泥型（g）</w:t>
            </w:r>
          </w:p>
        </w:tc>
        <w:tc>
          <w:tcPr>
            <w:tcW w:w="2334" w:type="dxa"/>
            <w:tcBorders>
              <w:top w:val="single" w:color="auto" w:sz="8" w:space="0"/>
              <w:left w:val="single" w:color="auto" w:sz="4" w:space="0"/>
              <w:bottom w:val="single" w:color="auto" w:sz="8" w:space="0"/>
              <w:right w:val="single" w:color="auto" w:sz="4" w:space="0"/>
            </w:tcBorders>
            <w:vAlign w:val="center"/>
          </w:tcPr>
          <w:p w14:paraId="390E0FE3">
            <w:pPr>
              <w:pStyle w:val="56"/>
              <w:ind w:firstLine="420"/>
            </w:pPr>
            <w:r>
              <w:rPr>
                <w:rFonts w:hint="eastAsia"/>
              </w:rPr>
              <w:t>细碎型（g）</w:t>
            </w:r>
          </w:p>
        </w:tc>
        <w:tc>
          <w:tcPr>
            <w:tcW w:w="2334" w:type="dxa"/>
            <w:tcBorders>
              <w:top w:val="single" w:color="auto" w:sz="8" w:space="0"/>
              <w:left w:val="single" w:color="auto" w:sz="4" w:space="0"/>
              <w:bottom w:val="single" w:color="auto" w:sz="8" w:space="0"/>
              <w:right w:val="single" w:color="auto" w:sz="8" w:space="0"/>
            </w:tcBorders>
            <w:vAlign w:val="center"/>
          </w:tcPr>
          <w:p w14:paraId="6B844EFB">
            <w:pPr>
              <w:pStyle w:val="56"/>
              <w:ind w:firstLine="420"/>
            </w:pPr>
            <w:r>
              <w:rPr>
                <w:rFonts w:hint="eastAsia"/>
              </w:rPr>
              <w:t>软质型（g）</w:t>
            </w:r>
          </w:p>
        </w:tc>
      </w:tr>
      <w:tr w14:paraId="3271EB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2332" w:type="dxa"/>
            <w:tcBorders>
              <w:top w:val="single" w:color="auto" w:sz="8" w:space="0"/>
              <w:left w:val="single" w:color="auto" w:sz="8" w:space="0"/>
              <w:bottom w:val="single" w:color="auto" w:sz="8" w:space="0"/>
              <w:right w:val="single" w:color="auto" w:sz="4" w:space="0"/>
            </w:tcBorders>
            <w:vAlign w:val="center"/>
          </w:tcPr>
          <w:p w14:paraId="456A2695">
            <w:pPr>
              <w:pStyle w:val="56"/>
              <w:ind w:firstLine="420"/>
            </w:pPr>
            <w:r>
              <w:rPr>
                <w:rFonts w:hint="eastAsia"/>
              </w:rPr>
              <w:t>硬度值范围</w:t>
            </w:r>
          </w:p>
        </w:tc>
        <w:tc>
          <w:tcPr>
            <w:tcW w:w="2334" w:type="dxa"/>
            <w:tcBorders>
              <w:top w:val="single" w:color="auto" w:sz="8" w:space="0"/>
              <w:left w:val="single" w:color="auto" w:sz="4" w:space="0"/>
              <w:bottom w:val="single" w:color="auto" w:sz="8" w:space="0"/>
              <w:right w:val="single" w:color="auto" w:sz="4" w:space="0"/>
            </w:tcBorders>
            <w:vAlign w:val="center"/>
          </w:tcPr>
          <w:p w14:paraId="1456EBB6">
            <w:pPr>
              <w:pStyle w:val="56"/>
              <w:ind w:firstLine="420"/>
            </w:pPr>
            <w:r>
              <w:rPr>
                <w:rFonts w:hint="eastAsia"/>
              </w:rPr>
              <w:t>≤100</w:t>
            </w:r>
          </w:p>
        </w:tc>
        <w:tc>
          <w:tcPr>
            <w:tcW w:w="2334" w:type="dxa"/>
            <w:tcBorders>
              <w:top w:val="single" w:color="auto" w:sz="8" w:space="0"/>
              <w:left w:val="single" w:color="auto" w:sz="4" w:space="0"/>
              <w:bottom w:val="single" w:color="auto" w:sz="8" w:space="0"/>
              <w:right w:val="single" w:color="auto" w:sz="4" w:space="0"/>
            </w:tcBorders>
            <w:vAlign w:val="center"/>
          </w:tcPr>
          <w:p w14:paraId="659D66D4">
            <w:pPr>
              <w:pStyle w:val="56"/>
              <w:ind w:firstLine="420"/>
            </w:pPr>
            <w:r>
              <w:rPr>
                <w:rFonts w:hint="eastAsia"/>
              </w:rPr>
              <w:t>100～400</w:t>
            </w:r>
          </w:p>
        </w:tc>
        <w:tc>
          <w:tcPr>
            <w:tcW w:w="2334" w:type="dxa"/>
            <w:tcBorders>
              <w:top w:val="single" w:color="auto" w:sz="8" w:space="0"/>
              <w:left w:val="single" w:color="auto" w:sz="4" w:space="0"/>
              <w:bottom w:val="single" w:color="auto" w:sz="8" w:space="0"/>
              <w:right w:val="single" w:color="auto" w:sz="8" w:space="0"/>
            </w:tcBorders>
            <w:vAlign w:val="center"/>
          </w:tcPr>
          <w:p w14:paraId="627EB851">
            <w:pPr>
              <w:pStyle w:val="56"/>
              <w:ind w:firstLine="420"/>
            </w:pPr>
            <w:r>
              <w:rPr>
                <w:rFonts w:hint="eastAsia"/>
              </w:rPr>
              <w:t>≥400</w:t>
            </w:r>
          </w:p>
        </w:tc>
      </w:tr>
      <w:tr w14:paraId="708AC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9334" w:type="dxa"/>
            <w:gridSpan w:val="4"/>
            <w:tcBorders>
              <w:top w:val="single" w:color="auto" w:sz="8" w:space="0"/>
              <w:left w:val="single" w:color="auto" w:sz="8" w:space="0"/>
              <w:bottom w:val="single" w:color="auto" w:sz="8" w:space="0"/>
              <w:right w:val="single" w:color="auto" w:sz="8" w:space="0"/>
            </w:tcBorders>
            <w:vAlign w:val="center"/>
          </w:tcPr>
          <w:p w14:paraId="57623D18">
            <w:pPr>
              <w:pStyle w:val="56"/>
              <w:numPr>
                <w:ilvl w:val="0"/>
                <w:numId w:val="33"/>
              </w:numPr>
              <w:ind w:firstLine="420"/>
            </w:pPr>
            <w:r>
              <w:rPr>
                <w:rFonts w:hint="eastAsia"/>
              </w:rPr>
              <w:t>细泥型食品：精细的米糊、柔软的果泥（如苹果泥）、细碎的土豆泥与肉泥；</w:t>
            </w:r>
          </w:p>
          <w:p w14:paraId="6ECEA2E6">
            <w:pPr>
              <w:pStyle w:val="56"/>
              <w:ind w:firstLine="420"/>
            </w:pPr>
            <w:r>
              <w:rPr>
                <w:rFonts w:hint="eastAsia"/>
              </w:rPr>
              <w:t xml:space="preserve">      细碎型食品：蒸蛋、烂熟的蔬菜（如胡萝卜、南瓜）；</w:t>
            </w:r>
          </w:p>
          <w:p w14:paraId="084C41F3">
            <w:pPr>
              <w:pStyle w:val="56"/>
              <w:ind w:firstLine="420"/>
            </w:pPr>
            <w:r>
              <w:rPr>
                <w:rFonts w:hint="eastAsia"/>
              </w:rPr>
              <w:t>软质型食品：煮烂的米饭、烤熟的蛋糕、软炖肉（如炖牛肉）。</w:t>
            </w:r>
          </w:p>
        </w:tc>
      </w:tr>
    </w:tbl>
    <w:p w14:paraId="3C9B36A7">
      <w:pPr>
        <w:pStyle w:val="104"/>
        <w:spacing w:before="240" w:after="240"/>
      </w:pPr>
      <w:bookmarkStart w:id="83" w:name="_Toc188608984"/>
      <w:bookmarkStart w:id="84" w:name="_Toc188608962"/>
      <w:r>
        <w:rPr>
          <w:rFonts w:hint="eastAsia"/>
        </w:rPr>
        <w:t>烹饪要求</w:t>
      </w:r>
      <w:bookmarkEnd w:id="83"/>
      <w:bookmarkEnd w:id="84"/>
    </w:p>
    <w:p w14:paraId="0A2E640E">
      <w:pPr>
        <w:pStyle w:val="105"/>
        <w:spacing w:before="120" w:after="120"/>
      </w:pPr>
      <w:bookmarkStart w:id="85" w:name="_Toc188608963"/>
      <w:r>
        <w:rPr>
          <w:rFonts w:hint="eastAsia"/>
        </w:rPr>
        <w:t>工具要求</w:t>
      </w:r>
      <w:bookmarkEnd w:id="85"/>
    </w:p>
    <w:p w14:paraId="1121B99E">
      <w:pPr>
        <w:pStyle w:val="65"/>
        <w:spacing w:before="120" w:after="120"/>
        <w:rPr>
          <w:rFonts w:hint="eastAsia" w:ascii="宋体" w:hAnsi="宋体" w:eastAsia="宋体"/>
        </w:rPr>
      </w:pPr>
      <w:r>
        <w:rPr>
          <w:rFonts w:hint="eastAsia" w:ascii="宋体" w:hAnsi="宋体" w:eastAsia="宋体"/>
        </w:rPr>
        <w:t>加工工具及烹饪前准备应符合GB 31654 及《餐饮服务食品安全操作规范》的相关要求。</w:t>
      </w:r>
    </w:p>
    <w:p w14:paraId="0233E6EA">
      <w:pPr>
        <w:pStyle w:val="65"/>
        <w:spacing w:before="120" w:after="120"/>
        <w:rPr>
          <w:rFonts w:hint="eastAsia" w:ascii="宋体" w:hAnsi="宋体" w:eastAsia="宋体"/>
        </w:rPr>
      </w:pPr>
      <w:r>
        <w:rPr>
          <w:rFonts w:hint="eastAsia" w:ascii="宋体" w:hAnsi="宋体" w:eastAsia="宋体"/>
        </w:rPr>
        <w:t>鼓励企业引进多功能集成灶、老人料理机、智能烹饪机器人等烹饪工具。</w:t>
      </w:r>
    </w:p>
    <w:p w14:paraId="08A2CBD9">
      <w:pPr>
        <w:pStyle w:val="105"/>
        <w:spacing w:before="120" w:after="120"/>
      </w:pPr>
      <w:bookmarkStart w:id="86" w:name="_Toc188608964"/>
      <w:r>
        <w:rPr>
          <w:rFonts w:hint="eastAsia"/>
        </w:rPr>
        <w:t>食材定量加工</w:t>
      </w:r>
      <w:bookmarkEnd w:id="86"/>
    </w:p>
    <w:p w14:paraId="1B2BF4D6">
      <w:pPr>
        <w:pStyle w:val="65"/>
        <w:spacing w:before="120" w:after="120"/>
        <w:rPr>
          <w:rFonts w:hint="eastAsia" w:ascii="宋体" w:hAnsi="宋体" w:eastAsia="宋体"/>
        </w:rPr>
      </w:pPr>
      <w:r>
        <w:rPr>
          <w:rFonts w:hint="eastAsia" w:ascii="宋体" w:hAnsi="宋体" w:eastAsia="宋体"/>
        </w:rPr>
        <w:t>食材根据搭配情况可切成丝、片（含各型片）、块（含滚刀块等）、丁、条，食材切后的长度和大小宜符合以下要求：</w:t>
      </w:r>
    </w:p>
    <w:p w14:paraId="005C6CF8">
      <w:pPr>
        <w:pStyle w:val="56"/>
        <w:ind w:firstLine="420"/>
      </w:pPr>
      <w:r>
        <w:rPr>
          <w:rFonts w:hint="eastAsia"/>
        </w:rPr>
        <w:t>--丝：长2cm～4cm（以3cm为宜）；直径0.2cm～0.4cm；</w:t>
      </w:r>
    </w:p>
    <w:p w14:paraId="74CD148C">
      <w:pPr>
        <w:pStyle w:val="56"/>
        <w:ind w:firstLine="420"/>
      </w:pPr>
      <w:r>
        <w:rPr>
          <w:rFonts w:hint="eastAsia"/>
        </w:rPr>
        <w:t>--片（含各型片）：厚0.1cm～0.3cm（以0.2cm为宜，约1元硬币厚度）；平面直径1.5 cm～2.5cm（以2cm为宜，约一个1元硬币大小）；</w:t>
      </w:r>
    </w:p>
    <w:p w14:paraId="7A9A3060">
      <w:pPr>
        <w:pStyle w:val="56"/>
        <w:ind w:firstLine="420"/>
      </w:pPr>
      <w:r>
        <w:rPr>
          <w:rFonts w:hint="eastAsia"/>
        </w:rPr>
        <w:t>--块（含滚刀块等）：2 cm～3cm见方，最长面直径不超3cm（以2cm见方为宜）；</w:t>
      </w:r>
    </w:p>
    <w:p w14:paraId="083EC24C">
      <w:pPr>
        <w:pStyle w:val="56"/>
        <w:ind w:firstLine="420"/>
      </w:pPr>
      <w:r>
        <w:rPr>
          <w:rFonts w:hint="eastAsia"/>
        </w:rPr>
        <w:t>--丁：0.7 cm～1.2cm见方（以1cm见方为多）；</w:t>
      </w:r>
    </w:p>
    <w:p w14:paraId="6AB094FB">
      <w:pPr>
        <w:pStyle w:val="56"/>
        <w:ind w:firstLine="420"/>
      </w:pPr>
      <w:r>
        <w:rPr>
          <w:rFonts w:hint="eastAsia"/>
        </w:rPr>
        <w:t>--条：长3 cm～4cm，直径0.6 cm 1cm（以0.7cm为宜）。</w:t>
      </w:r>
    </w:p>
    <w:p w14:paraId="5BD98D54">
      <w:pPr>
        <w:pStyle w:val="105"/>
        <w:spacing w:before="120" w:after="120"/>
      </w:pPr>
      <w:bookmarkStart w:id="87" w:name="_Toc188608965"/>
      <w:r>
        <w:rPr>
          <w:rFonts w:hint="eastAsia"/>
        </w:rPr>
        <w:t>烹饪方法</w:t>
      </w:r>
      <w:bookmarkEnd w:id="87"/>
    </w:p>
    <w:p w14:paraId="22E12DD4">
      <w:pPr>
        <w:pStyle w:val="65"/>
        <w:spacing w:before="120" w:after="120"/>
        <w:rPr>
          <w:rFonts w:hint="eastAsia" w:ascii="宋体" w:hAnsi="宋体" w:eastAsia="宋体"/>
          <w:szCs w:val="21"/>
        </w:rPr>
      </w:pPr>
      <w:r>
        <w:rPr>
          <w:rFonts w:hint="eastAsia" w:ascii="宋体" w:hAnsi="宋体" w:eastAsia="宋体"/>
        </w:rPr>
        <w:t>遵循灭菌和易于食用的基本原则，最大限度保留食物营养，减少高温烹制时间。优先选择以 “水和蒸汽”为加热传导介质的烹饪方法。</w:t>
      </w:r>
    </w:p>
    <w:p w14:paraId="33A7D504">
      <w:pPr>
        <w:pStyle w:val="65"/>
        <w:spacing w:before="120" w:after="120"/>
        <w:rPr>
          <w:rFonts w:hint="eastAsia" w:ascii="宋体" w:hAnsi="宋体" w:eastAsia="宋体"/>
        </w:rPr>
      </w:pPr>
      <w:r>
        <w:rPr>
          <w:rFonts w:hint="eastAsia" w:ascii="宋体" w:hAnsi="宋体" w:eastAsia="宋体"/>
        </w:rPr>
        <w:t>选用以油脂、热空气（如烤炉、烤箱）为加热传导介质的烹调方法，需谨慎把控食材选择、油脂用量、油脂种类、烹饪温度和时间。</w:t>
      </w:r>
    </w:p>
    <w:p w14:paraId="48A3BA5E">
      <w:pPr>
        <w:pStyle w:val="65"/>
        <w:spacing w:before="120" w:after="120"/>
        <w:rPr>
          <w:rFonts w:hint="eastAsia" w:ascii="宋体" w:hAnsi="宋体" w:eastAsia="宋体"/>
        </w:rPr>
      </w:pPr>
      <w:r>
        <w:rPr>
          <w:rFonts w:hint="eastAsia" w:ascii="宋体" w:hAnsi="宋体" w:eastAsia="宋体"/>
        </w:rPr>
        <w:t>不同种类的食材烹饪方式和烹饪要求见表3。</w:t>
      </w:r>
    </w:p>
    <w:p w14:paraId="749EBD9B">
      <w:pPr>
        <w:pStyle w:val="112"/>
        <w:spacing w:before="120" w:after="120"/>
      </w:pPr>
      <w:r>
        <w:rPr>
          <w:rFonts w:hint="eastAsia"/>
        </w:rPr>
        <w:t>食材烹饪方式和烹饪要求表</w:t>
      </w:r>
    </w:p>
    <w:tbl>
      <w:tblPr>
        <w:tblStyle w:val="27"/>
        <w:tblW w:w="0" w:type="auto"/>
        <w:tblInd w:w="10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54"/>
        <w:gridCol w:w="2243"/>
        <w:gridCol w:w="5729"/>
      </w:tblGrid>
      <w:tr w14:paraId="621AD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54" w:type="dxa"/>
            <w:tcBorders>
              <w:top w:val="single" w:color="auto" w:sz="8" w:space="0"/>
              <w:left w:val="single" w:color="auto" w:sz="8" w:space="0"/>
              <w:bottom w:val="single" w:color="auto" w:sz="8" w:space="0"/>
              <w:right w:val="single" w:color="auto" w:sz="4" w:space="0"/>
            </w:tcBorders>
            <w:vAlign w:val="center"/>
          </w:tcPr>
          <w:p w14:paraId="4F08B882">
            <w:pPr>
              <w:pStyle w:val="56"/>
              <w:ind w:firstLine="0" w:firstLineChars="0"/>
              <w:jc w:val="center"/>
            </w:pPr>
            <w:r>
              <w:rPr>
                <w:rFonts w:hint="eastAsia"/>
              </w:rPr>
              <w:t>食材类别</w:t>
            </w:r>
          </w:p>
        </w:tc>
        <w:tc>
          <w:tcPr>
            <w:tcW w:w="2243" w:type="dxa"/>
            <w:tcBorders>
              <w:top w:val="single" w:color="auto" w:sz="8" w:space="0"/>
              <w:left w:val="single" w:color="auto" w:sz="4" w:space="0"/>
              <w:bottom w:val="single" w:color="auto" w:sz="8" w:space="0"/>
              <w:right w:val="single" w:color="auto" w:sz="4" w:space="0"/>
            </w:tcBorders>
            <w:vAlign w:val="center"/>
          </w:tcPr>
          <w:p w14:paraId="1C9B36BC">
            <w:pPr>
              <w:pStyle w:val="56"/>
              <w:ind w:firstLine="0" w:firstLineChars="0"/>
              <w:jc w:val="center"/>
            </w:pPr>
            <w:r>
              <w:rPr>
                <w:rFonts w:hint="eastAsia"/>
              </w:rPr>
              <w:t>烹饪方式</w:t>
            </w:r>
          </w:p>
        </w:tc>
        <w:tc>
          <w:tcPr>
            <w:tcW w:w="5729" w:type="dxa"/>
            <w:tcBorders>
              <w:top w:val="single" w:color="auto" w:sz="8" w:space="0"/>
              <w:left w:val="single" w:color="auto" w:sz="4" w:space="0"/>
              <w:bottom w:val="single" w:color="auto" w:sz="8" w:space="0"/>
              <w:right w:val="single" w:color="auto" w:sz="8" w:space="0"/>
            </w:tcBorders>
            <w:vAlign w:val="center"/>
          </w:tcPr>
          <w:p w14:paraId="098F862B">
            <w:pPr>
              <w:pStyle w:val="56"/>
              <w:ind w:firstLine="0" w:firstLineChars="0"/>
              <w:jc w:val="center"/>
            </w:pPr>
            <w:r>
              <w:rPr>
                <w:rFonts w:hint="eastAsia"/>
              </w:rPr>
              <w:t>烹饪要求</w:t>
            </w:r>
          </w:p>
        </w:tc>
      </w:tr>
      <w:tr w14:paraId="06E212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54" w:type="dxa"/>
            <w:tcBorders>
              <w:top w:val="single" w:color="auto" w:sz="8" w:space="0"/>
              <w:left w:val="single" w:color="auto" w:sz="8" w:space="0"/>
              <w:bottom w:val="single" w:color="auto" w:sz="4" w:space="0"/>
              <w:right w:val="single" w:color="auto" w:sz="4" w:space="0"/>
            </w:tcBorders>
            <w:vAlign w:val="center"/>
          </w:tcPr>
          <w:p w14:paraId="3AE1CF17">
            <w:pPr>
              <w:pStyle w:val="56"/>
              <w:ind w:firstLine="0" w:firstLineChars="0"/>
              <w:jc w:val="center"/>
            </w:pPr>
            <w:r>
              <w:rPr>
                <w:rFonts w:hint="eastAsia"/>
              </w:rPr>
              <w:t>虾、鱼类</w:t>
            </w:r>
          </w:p>
        </w:tc>
        <w:tc>
          <w:tcPr>
            <w:tcW w:w="2243" w:type="dxa"/>
            <w:tcBorders>
              <w:top w:val="single" w:color="auto" w:sz="8" w:space="0"/>
              <w:left w:val="single" w:color="auto" w:sz="4" w:space="0"/>
              <w:bottom w:val="single" w:color="auto" w:sz="4" w:space="0"/>
              <w:right w:val="single" w:color="auto" w:sz="4" w:space="0"/>
            </w:tcBorders>
            <w:vAlign w:val="center"/>
          </w:tcPr>
          <w:p w14:paraId="03D2772E">
            <w:pPr>
              <w:pStyle w:val="56"/>
              <w:ind w:firstLine="0" w:firstLineChars="0"/>
              <w:jc w:val="center"/>
            </w:pPr>
            <w:r>
              <w:rPr>
                <w:rFonts w:hint="eastAsia"/>
              </w:rPr>
              <w:t>蒸、汆、水灼、煮最佳，其次是炒和烧</w:t>
            </w:r>
          </w:p>
        </w:tc>
        <w:tc>
          <w:tcPr>
            <w:tcW w:w="5729" w:type="dxa"/>
            <w:tcBorders>
              <w:top w:val="single" w:color="auto" w:sz="8" w:space="0"/>
              <w:left w:val="single" w:color="auto" w:sz="4" w:space="0"/>
              <w:bottom w:val="single" w:color="auto" w:sz="4" w:space="0"/>
              <w:right w:val="single" w:color="auto" w:sz="8" w:space="0"/>
            </w:tcBorders>
            <w:vAlign w:val="center"/>
          </w:tcPr>
          <w:p w14:paraId="3C32E0AD">
            <w:pPr>
              <w:pStyle w:val="56"/>
              <w:ind w:firstLine="0" w:firstLineChars="0"/>
            </w:pPr>
            <w:r>
              <w:rPr>
                <w:rFonts w:hint="eastAsia"/>
              </w:rPr>
              <w:t>宜采用短时间（可分批）烹制成熟</w:t>
            </w:r>
          </w:p>
        </w:tc>
      </w:tr>
      <w:tr w14:paraId="0E07C3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54" w:type="dxa"/>
            <w:vMerge w:val="restart"/>
            <w:tcBorders>
              <w:top w:val="single" w:color="auto" w:sz="4" w:space="0"/>
              <w:left w:val="single" w:color="auto" w:sz="8" w:space="0"/>
              <w:bottom w:val="single" w:color="auto" w:sz="4" w:space="0"/>
              <w:right w:val="single" w:color="auto" w:sz="4" w:space="0"/>
            </w:tcBorders>
            <w:vAlign w:val="center"/>
          </w:tcPr>
          <w:p w14:paraId="29F941E2">
            <w:pPr>
              <w:pStyle w:val="56"/>
              <w:ind w:firstLine="0" w:firstLineChars="0"/>
              <w:jc w:val="center"/>
            </w:pPr>
            <w:r>
              <w:rPr>
                <w:rFonts w:hint="eastAsia"/>
              </w:rPr>
              <w:t>禽、畜肉类</w:t>
            </w:r>
          </w:p>
        </w:tc>
        <w:tc>
          <w:tcPr>
            <w:tcW w:w="2243" w:type="dxa"/>
            <w:tcBorders>
              <w:top w:val="single" w:color="auto" w:sz="4" w:space="0"/>
              <w:left w:val="single" w:color="auto" w:sz="4" w:space="0"/>
              <w:bottom w:val="single" w:color="auto" w:sz="4" w:space="0"/>
              <w:right w:val="single" w:color="auto" w:sz="4" w:space="0"/>
            </w:tcBorders>
            <w:vAlign w:val="center"/>
          </w:tcPr>
          <w:p w14:paraId="5A614009">
            <w:pPr>
              <w:pStyle w:val="56"/>
              <w:ind w:firstLine="0" w:firstLineChars="0"/>
              <w:jc w:val="center"/>
            </w:pPr>
            <w:r>
              <w:rPr>
                <w:rFonts w:hint="eastAsia"/>
              </w:rPr>
              <w:t>炒</w:t>
            </w:r>
          </w:p>
        </w:tc>
        <w:tc>
          <w:tcPr>
            <w:tcW w:w="5729" w:type="dxa"/>
            <w:tcBorders>
              <w:top w:val="single" w:color="auto" w:sz="4" w:space="0"/>
              <w:left w:val="single" w:color="auto" w:sz="4" w:space="0"/>
              <w:bottom w:val="single" w:color="auto" w:sz="4" w:space="0"/>
              <w:right w:val="single" w:color="auto" w:sz="8" w:space="0"/>
            </w:tcBorders>
            <w:vAlign w:val="center"/>
          </w:tcPr>
          <w:p w14:paraId="5FE2774E">
            <w:pPr>
              <w:pStyle w:val="56"/>
              <w:ind w:firstLine="0" w:firstLineChars="0"/>
            </w:pPr>
            <w:r>
              <w:rPr>
                <w:rFonts w:hint="eastAsia"/>
              </w:rPr>
              <w:t>较嫩部分的原料，宜切薄片、丝或肉末直接炒，油温不宜太高，或将裹以淀粉上浆的腌渍原料“滑油”（也称“过油”）处理，迅速沥油脂再炒制，可获得香滑细嫩口感，保持原料的营养成分</w:t>
            </w:r>
          </w:p>
        </w:tc>
      </w:tr>
      <w:tr w14:paraId="1DEFB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5AE7C3BC">
            <w:pPr>
              <w:pStyle w:val="56"/>
              <w:ind w:firstLine="420"/>
              <w:jc w:val="center"/>
            </w:pPr>
          </w:p>
        </w:tc>
        <w:tc>
          <w:tcPr>
            <w:tcW w:w="2243" w:type="dxa"/>
            <w:tcBorders>
              <w:top w:val="single" w:color="auto" w:sz="4" w:space="0"/>
              <w:left w:val="single" w:color="auto" w:sz="4" w:space="0"/>
              <w:bottom w:val="single" w:color="auto" w:sz="4" w:space="0"/>
              <w:right w:val="single" w:color="auto" w:sz="4" w:space="0"/>
            </w:tcBorders>
            <w:vAlign w:val="center"/>
          </w:tcPr>
          <w:p w14:paraId="084CE681">
            <w:pPr>
              <w:pStyle w:val="56"/>
              <w:ind w:firstLine="0" w:firstLineChars="0"/>
              <w:jc w:val="center"/>
            </w:pPr>
            <w:r>
              <w:rPr>
                <w:rFonts w:hint="eastAsia"/>
              </w:rPr>
              <w:t>炒</w:t>
            </w:r>
          </w:p>
        </w:tc>
        <w:tc>
          <w:tcPr>
            <w:tcW w:w="5729" w:type="dxa"/>
            <w:tcBorders>
              <w:top w:val="single" w:color="auto" w:sz="4" w:space="0"/>
              <w:left w:val="single" w:color="auto" w:sz="4" w:space="0"/>
              <w:bottom w:val="single" w:color="auto" w:sz="4" w:space="0"/>
              <w:right w:val="single" w:color="auto" w:sz="8" w:space="0"/>
            </w:tcBorders>
            <w:vAlign w:val="center"/>
          </w:tcPr>
          <w:p w14:paraId="0933A93A">
            <w:pPr>
              <w:pStyle w:val="56"/>
              <w:ind w:firstLine="0" w:firstLineChars="0"/>
            </w:pPr>
            <w:r>
              <w:rPr>
                <w:rFonts w:hint="eastAsia"/>
              </w:rPr>
              <w:t>适老化烹调中，多采用更加控油量的“水滑”法代替，即先把上浆好的肉丝、肉片分批投入沸水，保持恒温，快速汆煮划散至成熟，经沥水，再用少量油炒制</w:t>
            </w:r>
          </w:p>
        </w:tc>
      </w:tr>
      <w:tr w14:paraId="4F51E3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108D0EA2">
            <w:pPr>
              <w:pStyle w:val="56"/>
              <w:ind w:firstLine="420"/>
              <w:jc w:val="center"/>
            </w:pPr>
          </w:p>
        </w:tc>
        <w:tc>
          <w:tcPr>
            <w:tcW w:w="2243" w:type="dxa"/>
            <w:tcBorders>
              <w:top w:val="single" w:color="auto" w:sz="4" w:space="0"/>
              <w:left w:val="single" w:color="auto" w:sz="4" w:space="0"/>
              <w:bottom w:val="single" w:color="auto" w:sz="4" w:space="0"/>
              <w:right w:val="single" w:color="auto" w:sz="4" w:space="0"/>
            </w:tcBorders>
            <w:vAlign w:val="center"/>
          </w:tcPr>
          <w:p w14:paraId="0E771666">
            <w:pPr>
              <w:pStyle w:val="56"/>
              <w:ind w:firstLine="0" w:firstLineChars="0"/>
              <w:jc w:val="center"/>
            </w:pPr>
            <w:r>
              <w:rPr>
                <w:rFonts w:hint="eastAsia"/>
              </w:rPr>
              <w:t>炖、煮、烧</w:t>
            </w:r>
          </w:p>
        </w:tc>
        <w:tc>
          <w:tcPr>
            <w:tcW w:w="5729" w:type="dxa"/>
            <w:tcBorders>
              <w:top w:val="single" w:color="auto" w:sz="4" w:space="0"/>
              <w:left w:val="single" w:color="auto" w:sz="4" w:space="0"/>
              <w:bottom w:val="single" w:color="auto" w:sz="4" w:space="0"/>
              <w:right w:val="single" w:color="auto" w:sz="8" w:space="0"/>
            </w:tcBorders>
            <w:vAlign w:val="center"/>
          </w:tcPr>
          <w:p w14:paraId="09A30DB7">
            <w:pPr>
              <w:pStyle w:val="56"/>
              <w:ind w:firstLine="0" w:firstLineChars="0"/>
            </w:pPr>
            <w:r>
              <w:rPr>
                <w:rFonts w:hint="eastAsia"/>
              </w:rPr>
              <w:t>较大较韧的肉、禽、带骨类食材，加热时间控制在40分钟为宜，后放盐调味的，烹调油脂少用，甚至不使用</w:t>
            </w:r>
          </w:p>
        </w:tc>
      </w:tr>
      <w:tr w14:paraId="2FECA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54" w:type="dxa"/>
            <w:vMerge w:val="restart"/>
            <w:tcBorders>
              <w:top w:val="single" w:color="auto" w:sz="4" w:space="0"/>
              <w:left w:val="single" w:color="auto" w:sz="8" w:space="0"/>
              <w:bottom w:val="single" w:color="auto" w:sz="4" w:space="0"/>
              <w:right w:val="single" w:color="auto" w:sz="4" w:space="0"/>
            </w:tcBorders>
            <w:vAlign w:val="center"/>
          </w:tcPr>
          <w:p w14:paraId="13A38DAB">
            <w:pPr>
              <w:pStyle w:val="56"/>
              <w:ind w:firstLine="0" w:firstLineChars="0"/>
              <w:jc w:val="center"/>
            </w:pPr>
            <w:r>
              <w:rPr>
                <w:rFonts w:hint="eastAsia"/>
              </w:rPr>
              <w:t>蔬菜类</w:t>
            </w:r>
          </w:p>
        </w:tc>
        <w:tc>
          <w:tcPr>
            <w:tcW w:w="2243" w:type="dxa"/>
            <w:tcBorders>
              <w:top w:val="single" w:color="auto" w:sz="4" w:space="0"/>
              <w:left w:val="single" w:color="auto" w:sz="4" w:space="0"/>
              <w:bottom w:val="single" w:color="auto" w:sz="4" w:space="0"/>
              <w:right w:val="single" w:color="auto" w:sz="4" w:space="0"/>
            </w:tcBorders>
            <w:vAlign w:val="center"/>
          </w:tcPr>
          <w:p w14:paraId="047E942B">
            <w:pPr>
              <w:pStyle w:val="56"/>
              <w:ind w:firstLine="0" w:firstLineChars="0"/>
              <w:jc w:val="center"/>
            </w:pPr>
            <w:r>
              <w:rPr>
                <w:rFonts w:hint="eastAsia"/>
              </w:rPr>
              <w:t>汆、灼</w:t>
            </w:r>
          </w:p>
        </w:tc>
        <w:tc>
          <w:tcPr>
            <w:tcW w:w="5729" w:type="dxa"/>
            <w:tcBorders>
              <w:top w:val="single" w:color="auto" w:sz="4" w:space="0"/>
              <w:left w:val="single" w:color="auto" w:sz="4" w:space="0"/>
              <w:bottom w:val="single" w:color="auto" w:sz="4" w:space="0"/>
              <w:right w:val="single" w:color="auto" w:sz="8" w:space="0"/>
            </w:tcBorders>
            <w:vAlign w:val="center"/>
          </w:tcPr>
          <w:p w14:paraId="0706EE32">
            <w:pPr>
              <w:pStyle w:val="56"/>
              <w:ind w:firstLine="0" w:firstLineChars="0"/>
            </w:pPr>
            <w:r>
              <w:rPr>
                <w:rFonts w:hint="eastAsia"/>
              </w:rPr>
              <w:t>叶菜类宜采用短时间旺火（可少量多次）快速断生</w:t>
            </w:r>
          </w:p>
        </w:tc>
      </w:tr>
      <w:tr w14:paraId="7517E2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25B42712">
            <w:pPr>
              <w:pStyle w:val="56"/>
              <w:ind w:firstLine="420"/>
              <w:jc w:val="center"/>
            </w:pPr>
          </w:p>
        </w:tc>
        <w:tc>
          <w:tcPr>
            <w:tcW w:w="2243" w:type="dxa"/>
            <w:tcBorders>
              <w:top w:val="single" w:color="auto" w:sz="4" w:space="0"/>
              <w:left w:val="single" w:color="auto" w:sz="4" w:space="0"/>
              <w:bottom w:val="single" w:color="auto" w:sz="4" w:space="0"/>
              <w:right w:val="single" w:color="auto" w:sz="4" w:space="0"/>
            </w:tcBorders>
            <w:vAlign w:val="center"/>
          </w:tcPr>
          <w:p w14:paraId="0B4B9EE1">
            <w:pPr>
              <w:pStyle w:val="56"/>
              <w:ind w:firstLine="0" w:firstLineChars="0"/>
              <w:jc w:val="center"/>
            </w:pPr>
            <w:r>
              <w:rPr>
                <w:rFonts w:hint="eastAsia"/>
              </w:rPr>
              <w:t>蒸、煮、炖、烧</w:t>
            </w:r>
          </w:p>
        </w:tc>
        <w:tc>
          <w:tcPr>
            <w:tcW w:w="5729" w:type="dxa"/>
            <w:tcBorders>
              <w:top w:val="single" w:color="auto" w:sz="4" w:space="0"/>
              <w:left w:val="single" w:color="auto" w:sz="4" w:space="0"/>
              <w:bottom w:val="single" w:color="auto" w:sz="4" w:space="0"/>
              <w:right w:val="single" w:color="auto" w:sz="8" w:space="0"/>
            </w:tcBorders>
            <w:vAlign w:val="center"/>
          </w:tcPr>
          <w:p w14:paraId="6F1AE032">
            <w:pPr>
              <w:pStyle w:val="56"/>
              <w:ind w:firstLine="0" w:firstLineChars="0"/>
            </w:pPr>
            <w:r>
              <w:rPr>
                <w:rFonts w:hint="eastAsia"/>
              </w:rPr>
              <w:t>根茎类宜采用适中时间（根据根茎粗细适当调整）慢火烹制成熟</w:t>
            </w:r>
          </w:p>
        </w:tc>
      </w:tr>
      <w:tr w14:paraId="19F9588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0" w:type="auto"/>
            <w:vMerge w:val="continue"/>
            <w:tcBorders>
              <w:top w:val="single" w:color="auto" w:sz="4" w:space="0"/>
              <w:left w:val="single" w:color="auto" w:sz="8" w:space="0"/>
              <w:bottom w:val="single" w:color="auto" w:sz="4" w:space="0"/>
              <w:right w:val="single" w:color="auto" w:sz="4" w:space="0"/>
            </w:tcBorders>
            <w:vAlign w:val="center"/>
          </w:tcPr>
          <w:p w14:paraId="30642657">
            <w:pPr>
              <w:pStyle w:val="56"/>
              <w:ind w:firstLine="420"/>
              <w:jc w:val="center"/>
            </w:pPr>
          </w:p>
        </w:tc>
        <w:tc>
          <w:tcPr>
            <w:tcW w:w="2243" w:type="dxa"/>
            <w:tcBorders>
              <w:top w:val="single" w:color="auto" w:sz="4" w:space="0"/>
              <w:left w:val="single" w:color="auto" w:sz="4" w:space="0"/>
              <w:bottom w:val="single" w:color="auto" w:sz="4" w:space="0"/>
              <w:right w:val="single" w:color="auto" w:sz="4" w:space="0"/>
            </w:tcBorders>
            <w:vAlign w:val="center"/>
          </w:tcPr>
          <w:p w14:paraId="0D1FB20C">
            <w:pPr>
              <w:pStyle w:val="56"/>
              <w:ind w:firstLine="0" w:firstLineChars="0"/>
              <w:jc w:val="center"/>
            </w:pPr>
            <w:r>
              <w:rPr>
                <w:rFonts w:hint="eastAsia"/>
              </w:rPr>
              <w:t>灼、煮、烩、炒、炖</w:t>
            </w:r>
          </w:p>
        </w:tc>
        <w:tc>
          <w:tcPr>
            <w:tcW w:w="5729" w:type="dxa"/>
            <w:tcBorders>
              <w:top w:val="single" w:color="auto" w:sz="4" w:space="0"/>
              <w:left w:val="single" w:color="auto" w:sz="4" w:space="0"/>
              <w:bottom w:val="single" w:color="auto" w:sz="4" w:space="0"/>
              <w:right w:val="single" w:color="auto" w:sz="8" w:space="0"/>
            </w:tcBorders>
            <w:vAlign w:val="center"/>
          </w:tcPr>
          <w:p w14:paraId="13FE330E">
            <w:pPr>
              <w:pStyle w:val="56"/>
              <w:ind w:firstLine="0" w:firstLineChars="0"/>
            </w:pPr>
            <w:r>
              <w:rPr>
                <w:rFonts w:hint="eastAsia"/>
              </w:rPr>
              <w:t>菌菇类宜采用中低火（分批或少量翻炒）适度时</w:t>
            </w:r>
            <w:bookmarkStart w:id="103" w:name="_GoBack"/>
            <w:bookmarkEnd w:id="103"/>
            <w:r>
              <w:rPr>
                <w:rFonts w:hint="eastAsia"/>
              </w:rPr>
              <w:t>间烹制</w:t>
            </w:r>
          </w:p>
        </w:tc>
      </w:tr>
      <w:tr w14:paraId="14F7FD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254" w:type="dxa"/>
            <w:tcBorders>
              <w:top w:val="single" w:color="auto" w:sz="4" w:space="0"/>
              <w:left w:val="single" w:color="auto" w:sz="8" w:space="0"/>
              <w:bottom w:val="single" w:color="auto" w:sz="8" w:space="0"/>
              <w:right w:val="single" w:color="auto" w:sz="4" w:space="0"/>
            </w:tcBorders>
            <w:vAlign w:val="center"/>
          </w:tcPr>
          <w:p w14:paraId="0DC54474">
            <w:pPr>
              <w:pStyle w:val="56"/>
              <w:ind w:firstLine="0" w:firstLineChars="0"/>
              <w:jc w:val="center"/>
            </w:pPr>
            <w:r>
              <w:rPr>
                <w:rFonts w:hint="eastAsia"/>
              </w:rPr>
              <w:t>豆制品类</w:t>
            </w:r>
          </w:p>
        </w:tc>
        <w:tc>
          <w:tcPr>
            <w:tcW w:w="2243" w:type="dxa"/>
            <w:tcBorders>
              <w:top w:val="single" w:color="auto" w:sz="4" w:space="0"/>
              <w:left w:val="single" w:color="auto" w:sz="4" w:space="0"/>
              <w:bottom w:val="single" w:color="auto" w:sz="8" w:space="0"/>
              <w:right w:val="single" w:color="auto" w:sz="4" w:space="0"/>
            </w:tcBorders>
            <w:vAlign w:val="center"/>
          </w:tcPr>
          <w:p w14:paraId="63DFC5B8">
            <w:pPr>
              <w:pStyle w:val="56"/>
              <w:ind w:firstLine="0" w:firstLineChars="0"/>
              <w:jc w:val="center"/>
            </w:pPr>
            <w:r>
              <w:rPr>
                <w:rFonts w:hint="eastAsia"/>
              </w:rPr>
              <w:t>煮、炖、烧，部分辅以炒</w:t>
            </w:r>
          </w:p>
        </w:tc>
        <w:tc>
          <w:tcPr>
            <w:tcW w:w="5729" w:type="dxa"/>
            <w:tcBorders>
              <w:top w:val="single" w:color="auto" w:sz="4" w:space="0"/>
              <w:left w:val="single" w:color="auto" w:sz="4" w:space="0"/>
              <w:bottom w:val="single" w:color="auto" w:sz="8" w:space="0"/>
              <w:right w:val="single" w:color="auto" w:sz="8" w:space="0"/>
            </w:tcBorders>
            <w:vAlign w:val="center"/>
          </w:tcPr>
          <w:p w14:paraId="1AB10ACC">
            <w:pPr>
              <w:pStyle w:val="56"/>
              <w:ind w:firstLine="0" w:firstLineChars="0"/>
            </w:pPr>
            <w:r>
              <w:rPr>
                <w:rFonts w:hint="eastAsia"/>
              </w:rPr>
              <w:t>宜采用中小火（适时翻面或搅拌）适度时间烹制</w:t>
            </w:r>
          </w:p>
        </w:tc>
      </w:tr>
    </w:tbl>
    <w:p w14:paraId="73704D26">
      <w:pPr>
        <w:pStyle w:val="105"/>
        <w:spacing w:before="120" w:after="120"/>
      </w:pPr>
      <w:bookmarkStart w:id="88" w:name="_Toc188608966"/>
      <w:r>
        <w:rPr>
          <w:rFonts w:hint="eastAsia"/>
        </w:rPr>
        <w:t>食物软硬度掌握及方法</w:t>
      </w:r>
      <w:bookmarkEnd w:id="88"/>
    </w:p>
    <w:p w14:paraId="005C1E29">
      <w:pPr>
        <w:pStyle w:val="56"/>
        <w:ind w:firstLine="420"/>
      </w:pPr>
      <w:r>
        <w:rPr>
          <w:rFonts w:hint="eastAsia"/>
        </w:rPr>
        <w:t>根据老年人的饮食需求，精准把握烹饪环节，确保菜品软硬度适中，食物软硬度掌握及应对方法见图1。</w:t>
      </w:r>
    </w:p>
    <w:p w14:paraId="35265FEE">
      <w:pPr>
        <w:pStyle w:val="56"/>
        <w:ind w:firstLine="420"/>
      </w:pPr>
      <w:r>
        <w:drawing>
          <wp:inline distT="0" distB="0" distL="0" distR="0">
            <wp:extent cx="5721350" cy="4103370"/>
            <wp:effectExtent l="0" t="0" r="0" b="0"/>
            <wp:docPr id="4" name="图片 1" descr="食物软硬度掌握及应对方法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食物软硬度掌握及应对方法_01"/>
                    <pic:cNvPicPr>
                      <a:picLocks noChangeAspect="1"/>
                    </pic:cNvPicPr>
                  </pic:nvPicPr>
                  <pic:blipFill>
                    <a:blip r:embed="rId17"/>
                    <a:srcRect l="5338" t="3478" r="3081" b="4881"/>
                    <a:stretch>
                      <a:fillRect/>
                    </a:stretch>
                  </pic:blipFill>
                  <pic:spPr>
                    <a:xfrm>
                      <a:off x="0" y="0"/>
                      <a:ext cx="5725892" cy="4106644"/>
                    </a:xfrm>
                    <a:prstGeom prst="rect">
                      <a:avLst/>
                    </a:prstGeom>
                  </pic:spPr>
                </pic:pic>
              </a:graphicData>
            </a:graphic>
          </wp:inline>
        </w:drawing>
      </w:r>
    </w:p>
    <w:p w14:paraId="511EB0E2">
      <w:pPr>
        <w:pStyle w:val="114"/>
        <w:spacing w:before="120" w:after="120"/>
      </w:pPr>
      <w:r>
        <w:rPr>
          <w:rFonts w:hint="eastAsia"/>
        </w:rPr>
        <w:t>食物软硬度掌握及应对方法</w:t>
      </w:r>
    </w:p>
    <w:p w14:paraId="3F4E6AB3">
      <w:pPr>
        <w:pStyle w:val="105"/>
        <w:spacing w:before="120" w:after="120"/>
      </w:pPr>
      <w:bookmarkStart w:id="89" w:name="_Toc188608967"/>
      <w:r>
        <w:rPr>
          <w:rFonts w:hint="eastAsia"/>
        </w:rPr>
        <w:t>食物软硬程度</w:t>
      </w:r>
      <w:bookmarkEnd w:id="89"/>
    </w:p>
    <w:p w14:paraId="493BCEAB">
      <w:pPr>
        <w:pStyle w:val="56"/>
        <w:ind w:firstLine="420"/>
      </w:pPr>
      <w:r>
        <w:rPr>
          <w:rFonts w:hint="eastAsia"/>
        </w:rPr>
        <w:t>老年餐饮常见食物软硬程度应符合表4的要求。</w:t>
      </w:r>
    </w:p>
    <w:p w14:paraId="6EF9C602">
      <w:pPr>
        <w:pStyle w:val="112"/>
        <w:spacing w:before="120" w:after="120"/>
      </w:pPr>
      <w:r>
        <w:rPr>
          <w:rFonts w:hint="eastAsia"/>
        </w:rPr>
        <w:t>食物软硬程度表</w:t>
      </w:r>
    </w:p>
    <w:tbl>
      <w:tblPr>
        <w:tblStyle w:val="27"/>
        <w:tblW w:w="934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8"/>
        <w:gridCol w:w="1168"/>
        <w:gridCol w:w="1168"/>
        <w:gridCol w:w="1168"/>
        <w:gridCol w:w="1168"/>
        <w:gridCol w:w="1168"/>
        <w:gridCol w:w="1168"/>
        <w:gridCol w:w="1168"/>
      </w:tblGrid>
      <w:tr w14:paraId="0133F2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168" w:type="dxa"/>
            <w:tcBorders>
              <w:top w:val="single" w:color="auto" w:sz="8" w:space="0"/>
              <w:left w:val="single" w:color="auto" w:sz="8" w:space="0"/>
              <w:bottom w:val="single" w:color="auto" w:sz="8" w:space="0"/>
              <w:right w:val="single" w:color="auto" w:sz="4" w:space="0"/>
            </w:tcBorders>
            <w:vAlign w:val="center"/>
          </w:tcPr>
          <w:p w14:paraId="24A8E1CA">
            <w:pPr>
              <w:pStyle w:val="56"/>
              <w:ind w:firstLine="0" w:firstLineChars="0"/>
            </w:pPr>
            <w:r>
              <w:rPr>
                <w:rFonts w:hint="eastAsia"/>
              </w:rPr>
              <w:t>食物类别</w:t>
            </w:r>
          </w:p>
        </w:tc>
        <w:tc>
          <w:tcPr>
            <w:tcW w:w="1168" w:type="dxa"/>
            <w:tcBorders>
              <w:top w:val="single" w:color="auto" w:sz="8" w:space="0"/>
              <w:left w:val="single" w:color="auto" w:sz="4" w:space="0"/>
              <w:bottom w:val="single" w:color="auto" w:sz="8" w:space="0"/>
              <w:right w:val="single" w:color="auto" w:sz="4" w:space="0"/>
            </w:tcBorders>
            <w:vAlign w:val="center"/>
          </w:tcPr>
          <w:p w14:paraId="7DEAC178">
            <w:pPr>
              <w:pStyle w:val="56"/>
              <w:ind w:firstLine="0" w:firstLineChars="0"/>
            </w:pPr>
            <w:r>
              <w:rPr>
                <w:rFonts w:hint="eastAsia"/>
              </w:rPr>
              <w:t>米饭</w:t>
            </w:r>
          </w:p>
        </w:tc>
        <w:tc>
          <w:tcPr>
            <w:tcW w:w="1168" w:type="dxa"/>
            <w:tcBorders>
              <w:top w:val="single" w:color="auto" w:sz="8" w:space="0"/>
              <w:left w:val="single" w:color="auto" w:sz="4" w:space="0"/>
              <w:bottom w:val="single" w:color="auto" w:sz="8" w:space="0"/>
              <w:right w:val="single" w:color="auto" w:sz="4" w:space="0"/>
            </w:tcBorders>
            <w:vAlign w:val="center"/>
          </w:tcPr>
          <w:p w14:paraId="320D168D">
            <w:pPr>
              <w:pStyle w:val="56"/>
              <w:ind w:firstLine="0" w:firstLineChars="0"/>
            </w:pPr>
            <w:r>
              <w:rPr>
                <w:rFonts w:hint="eastAsia"/>
              </w:rPr>
              <w:t>面包</w:t>
            </w:r>
          </w:p>
        </w:tc>
        <w:tc>
          <w:tcPr>
            <w:tcW w:w="1168" w:type="dxa"/>
            <w:tcBorders>
              <w:top w:val="single" w:color="auto" w:sz="8" w:space="0"/>
              <w:left w:val="single" w:color="auto" w:sz="4" w:space="0"/>
              <w:bottom w:val="single" w:color="auto" w:sz="8" w:space="0"/>
              <w:right w:val="single" w:color="auto" w:sz="4" w:space="0"/>
            </w:tcBorders>
            <w:vAlign w:val="center"/>
          </w:tcPr>
          <w:p w14:paraId="3B26DFBD">
            <w:pPr>
              <w:pStyle w:val="56"/>
              <w:ind w:firstLine="0" w:firstLineChars="0"/>
            </w:pPr>
            <w:r>
              <w:rPr>
                <w:rFonts w:hint="eastAsia"/>
              </w:rPr>
              <w:t>肉禽鱼虾类</w:t>
            </w:r>
          </w:p>
        </w:tc>
        <w:tc>
          <w:tcPr>
            <w:tcW w:w="1168" w:type="dxa"/>
            <w:tcBorders>
              <w:top w:val="single" w:color="auto" w:sz="8" w:space="0"/>
              <w:left w:val="single" w:color="auto" w:sz="4" w:space="0"/>
              <w:bottom w:val="single" w:color="auto" w:sz="8" w:space="0"/>
              <w:right w:val="single" w:color="auto" w:sz="4" w:space="0"/>
            </w:tcBorders>
            <w:vAlign w:val="center"/>
          </w:tcPr>
          <w:p w14:paraId="5D621832">
            <w:pPr>
              <w:pStyle w:val="56"/>
              <w:ind w:firstLine="0" w:firstLineChars="0"/>
            </w:pPr>
            <w:r>
              <w:rPr>
                <w:rFonts w:hint="eastAsia"/>
              </w:rPr>
              <w:t>大豆</w:t>
            </w:r>
          </w:p>
        </w:tc>
        <w:tc>
          <w:tcPr>
            <w:tcW w:w="1168" w:type="dxa"/>
            <w:tcBorders>
              <w:top w:val="single" w:color="auto" w:sz="8" w:space="0"/>
              <w:left w:val="single" w:color="auto" w:sz="4" w:space="0"/>
              <w:bottom w:val="single" w:color="auto" w:sz="8" w:space="0"/>
              <w:right w:val="single" w:color="auto" w:sz="4" w:space="0"/>
            </w:tcBorders>
            <w:vAlign w:val="center"/>
          </w:tcPr>
          <w:p w14:paraId="17471B65">
            <w:pPr>
              <w:pStyle w:val="56"/>
              <w:ind w:firstLine="0" w:firstLineChars="0"/>
            </w:pPr>
            <w:r>
              <w:rPr>
                <w:rFonts w:hint="eastAsia"/>
              </w:rPr>
              <w:t>蔬菜</w:t>
            </w:r>
          </w:p>
        </w:tc>
        <w:tc>
          <w:tcPr>
            <w:tcW w:w="1168" w:type="dxa"/>
            <w:tcBorders>
              <w:top w:val="single" w:color="auto" w:sz="8" w:space="0"/>
              <w:left w:val="single" w:color="auto" w:sz="4" w:space="0"/>
              <w:bottom w:val="single" w:color="auto" w:sz="8" w:space="0"/>
              <w:right w:val="single" w:color="auto" w:sz="4" w:space="0"/>
            </w:tcBorders>
            <w:vAlign w:val="center"/>
          </w:tcPr>
          <w:p w14:paraId="1DF2B461">
            <w:pPr>
              <w:pStyle w:val="56"/>
              <w:ind w:firstLine="0" w:firstLineChars="0"/>
            </w:pPr>
            <w:r>
              <w:rPr>
                <w:rFonts w:hint="eastAsia"/>
              </w:rPr>
              <w:t>水果</w:t>
            </w:r>
          </w:p>
        </w:tc>
        <w:tc>
          <w:tcPr>
            <w:tcW w:w="1168" w:type="dxa"/>
            <w:tcBorders>
              <w:top w:val="single" w:color="auto" w:sz="8" w:space="0"/>
              <w:left w:val="single" w:color="auto" w:sz="4" w:space="0"/>
              <w:bottom w:val="single" w:color="auto" w:sz="8" w:space="0"/>
              <w:right w:val="single" w:color="auto" w:sz="8" w:space="0"/>
            </w:tcBorders>
            <w:vAlign w:val="center"/>
          </w:tcPr>
          <w:p w14:paraId="02FEBA0B">
            <w:pPr>
              <w:pStyle w:val="56"/>
              <w:ind w:firstLine="0" w:firstLineChars="0"/>
            </w:pPr>
            <w:r>
              <w:rPr>
                <w:rFonts w:hint="eastAsia"/>
              </w:rPr>
              <w:t>乳制品</w:t>
            </w:r>
          </w:p>
        </w:tc>
      </w:tr>
      <w:tr w14:paraId="09B52E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8" w:type="dxa"/>
            <w:tcBorders>
              <w:top w:val="single" w:color="auto" w:sz="8" w:space="0"/>
              <w:left w:val="single" w:color="auto" w:sz="8" w:space="0"/>
              <w:bottom w:val="single" w:color="auto" w:sz="8" w:space="0"/>
              <w:right w:val="single" w:color="auto" w:sz="4" w:space="0"/>
            </w:tcBorders>
            <w:vAlign w:val="center"/>
          </w:tcPr>
          <w:p w14:paraId="40E8A69B">
            <w:pPr>
              <w:pStyle w:val="56"/>
              <w:ind w:firstLine="0" w:firstLineChars="0"/>
            </w:pPr>
            <w:r>
              <w:rPr>
                <w:rFonts w:hint="eastAsia"/>
              </w:rPr>
              <w:t>硬度（g）</w:t>
            </w:r>
          </w:p>
        </w:tc>
        <w:tc>
          <w:tcPr>
            <w:tcW w:w="1168" w:type="dxa"/>
            <w:tcBorders>
              <w:top w:val="single" w:color="auto" w:sz="8" w:space="0"/>
              <w:left w:val="single" w:color="auto" w:sz="4" w:space="0"/>
              <w:bottom w:val="single" w:color="auto" w:sz="8" w:space="0"/>
              <w:right w:val="single" w:color="auto" w:sz="4" w:space="0"/>
            </w:tcBorders>
            <w:vAlign w:val="center"/>
          </w:tcPr>
          <w:p w14:paraId="384C52B5">
            <w:pPr>
              <w:pStyle w:val="56"/>
              <w:ind w:firstLine="0" w:firstLineChars="0"/>
            </w:pPr>
            <w:r>
              <w:rPr>
                <w:rFonts w:hint="eastAsia"/>
              </w:rPr>
              <w:t>≤1000</w:t>
            </w:r>
          </w:p>
        </w:tc>
        <w:tc>
          <w:tcPr>
            <w:tcW w:w="1168" w:type="dxa"/>
            <w:tcBorders>
              <w:top w:val="single" w:color="auto" w:sz="8" w:space="0"/>
              <w:left w:val="single" w:color="auto" w:sz="4" w:space="0"/>
              <w:bottom w:val="single" w:color="auto" w:sz="8" w:space="0"/>
              <w:right w:val="single" w:color="auto" w:sz="4" w:space="0"/>
            </w:tcBorders>
            <w:vAlign w:val="center"/>
          </w:tcPr>
          <w:p w14:paraId="630DBEA5">
            <w:pPr>
              <w:pStyle w:val="56"/>
              <w:ind w:firstLine="0" w:firstLineChars="0"/>
            </w:pPr>
            <w:r>
              <w:rPr>
                <w:rFonts w:hint="eastAsia"/>
              </w:rPr>
              <w:t>50～100</w:t>
            </w:r>
          </w:p>
        </w:tc>
        <w:tc>
          <w:tcPr>
            <w:tcW w:w="1168" w:type="dxa"/>
            <w:tcBorders>
              <w:top w:val="single" w:color="auto" w:sz="8" w:space="0"/>
              <w:left w:val="single" w:color="auto" w:sz="4" w:space="0"/>
              <w:bottom w:val="single" w:color="auto" w:sz="8" w:space="0"/>
              <w:right w:val="single" w:color="auto" w:sz="4" w:space="0"/>
            </w:tcBorders>
            <w:vAlign w:val="center"/>
          </w:tcPr>
          <w:p w14:paraId="2157B86E">
            <w:pPr>
              <w:pStyle w:val="56"/>
              <w:ind w:firstLine="0" w:firstLineChars="0"/>
            </w:pPr>
            <w:r>
              <w:rPr>
                <w:rFonts w:hint="eastAsia"/>
              </w:rPr>
              <w:t>300～400</w:t>
            </w:r>
          </w:p>
        </w:tc>
        <w:tc>
          <w:tcPr>
            <w:tcW w:w="1168" w:type="dxa"/>
            <w:tcBorders>
              <w:top w:val="single" w:color="auto" w:sz="8" w:space="0"/>
              <w:left w:val="single" w:color="auto" w:sz="4" w:space="0"/>
              <w:bottom w:val="single" w:color="auto" w:sz="8" w:space="0"/>
              <w:right w:val="single" w:color="auto" w:sz="4" w:space="0"/>
            </w:tcBorders>
            <w:vAlign w:val="center"/>
          </w:tcPr>
          <w:p w14:paraId="3D4B0A6F">
            <w:pPr>
              <w:pStyle w:val="56"/>
              <w:ind w:firstLine="0" w:firstLineChars="0"/>
            </w:pPr>
            <w:r>
              <w:rPr>
                <w:rFonts w:hint="eastAsia"/>
              </w:rPr>
              <w:t>500</w:t>
            </w:r>
          </w:p>
        </w:tc>
        <w:tc>
          <w:tcPr>
            <w:tcW w:w="1168" w:type="dxa"/>
            <w:tcBorders>
              <w:top w:val="single" w:color="auto" w:sz="8" w:space="0"/>
              <w:left w:val="single" w:color="auto" w:sz="4" w:space="0"/>
              <w:bottom w:val="single" w:color="auto" w:sz="8" w:space="0"/>
              <w:right w:val="single" w:color="auto" w:sz="4" w:space="0"/>
            </w:tcBorders>
            <w:vAlign w:val="center"/>
          </w:tcPr>
          <w:p w14:paraId="02DC2031">
            <w:pPr>
              <w:pStyle w:val="56"/>
              <w:ind w:firstLine="0" w:firstLineChars="0"/>
            </w:pPr>
            <w:r>
              <w:rPr>
                <w:rFonts w:hint="eastAsia"/>
              </w:rPr>
              <w:t>20～200</w:t>
            </w:r>
          </w:p>
        </w:tc>
        <w:tc>
          <w:tcPr>
            <w:tcW w:w="1168" w:type="dxa"/>
            <w:tcBorders>
              <w:top w:val="single" w:color="auto" w:sz="8" w:space="0"/>
              <w:left w:val="single" w:color="auto" w:sz="4" w:space="0"/>
              <w:bottom w:val="single" w:color="auto" w:sz="8" w:space="0"/>
              <w:right w:val="single" w:color="auto" w:sz="4" w:space="0"/>
            </w:tcBorders>
            <w:vAlign w:val="center"/>
          </w:tcPr>
          <w:p w14:paraId="51CB9F70">
            <w:pPr>
              <w:pStyle w:val="56"/>
              <w:ind w:firstLine="0" w:firstLineChars="0"/>
            </w:pPr>
            <w:r>
              <w:rPr>
                <w:rFonts w:hint="eastAsia"/>
              </w:rPr>
              <w:t>100～200</w:t>
            </w:r>
          </w:p>
        </w:tc>
        <w:tc>
          <w:tcPr>
            <w:tcW w:w="1168" w:type="dxa"/>
            <w:tcBorders>
              <w:top w:val="single" w:color="auto" w:sz="8" w:space="0"/>
              <w:left w:val="single" w:color="auto" w:sz="4" w:space="0"/>
              <w:bottom w:val="single" w:color="auto" w:sz="8" w:space="0"/>
              <w:right w:val="single" w:color="auto" w:sz="8" w:space="0"/>
            </w:tcBorders>
            <w:vAlign w:val="center"/>
          </w:tcPr>
          <w:p w14:paraId="0BB068E7">
            <w:pPr>
              <w:pStyle w:val="56"/>
              <w:ind w:firstLine="0" w:firstLineChars="0"/>
            </w:pPr>
            <w:r>
              <w:rPr>
                <w:rFonts w:hint="eastAsia"/>
              </w:rPr>
              <w:t>100～200</w:t>
            </w:r>
          </w:p>
        </w:tc>
      </w:tr>
    </w:tbl>
    <w:p w14:paraId="7370EA4C">
      <w:pPr>
        <w:pStyle w:val="104"/>
        <w:spacing w:before="240" w:after="240"/>
        <w:rPr>
          <w:szCs w:val="21"/>
        </w:rPr>
      </w:pPr>
      <w:bookmarkStart w:id="90" w:name="_Toc188608968"/>
      <w:bookmarkStart w:id="91" w:name="_Toc188608985"/>
      <w:r>
        <w:rPr>
          <w:rFonts w:hint="eastAsia" w:hAnsi="黑体"/>
        </w:rPr>
        <w:t>评价与改进</w:t>
      </w:r>
      <w:bookmarkEnd w:id="90"/>
      <w:bookmarkEnd w:id="91"/>
    </w:p>
    <w:p w14:paraId="4DD94FEF">
      <w:pPr>
        <w:pStyle w:val="105"/>
        <w:spacing w:before="120" w:after="120"/>
      </w:pPr>
      <w:bookmarkStart w:id="92" w:name="_Toc188608969"/>
      <w:r>
        <w:rPr>
          <w:rFonts w:hint="eastAsia" w:hAnsi="黑体"/>
        </w:rPr>
        <w:t>评价</w:t>
      </w:r>
      <w:bookmarkEnd w:id="92"/>
    </w:p>
    <w:p w14:paraId="24DC5413">
      <w:pPr>
        <w:pStyle w:val="165"/>
      </w:pPr>
      <w:r>
        <w:rPr>
          <w:rFonts w:hint="eastAsia" w:hAnsi="宋体"/>
        </w:rPr>
        <w:t>宜采取日常检查、定期检查、不定期抽查、专项检查等方式进行内部评价，1年开展不少于1次的自我检查，并形成检查报告。</w:t>
      </w:r>
    </w:p>
    <w:p w14:paraId="339224FC">
      <w:pPr>
        <w:pStyle w:val="165"/>
      </w:pPr>
      <w:r>
        <w:rPr>
          <w:rFonts w:hint="eastAsia" w:hAnsi="宋体"/>
        </w:rPr>
        <w:t>定期进行老年人膳食满意度调查，收集老年人口味需求及老年人用餐反馈，改进服务。</w:t>
      </w:r>
    </w:p>
    <w:p w14:paraId="08A1A759">
      <w:pPr>
        <w:pStyle w:val="105"/>
        <w:spacing w:before="120" w:after="120"/>
      </w:pPr>
      <w:bookmarkStart w:id="93" w:name="_Toc188608970"/>
      <w:r>
        <w:rPr>
          <w:rFonts w:hint="eastAsia" w:hAnsi="黑体"/>
        </w:rPr>
        <w:t>持续改进</w:t>
      </w:r>
      <w:bookmarkEnd w:id="93"/>
    </w:p>
    <w:p w14:paraId="3C9DC5F8">
      <w:pPr>
        <w:pStyle w:val="165"/>
      </w:pPr>
      <w:r>
        <w:rPr>
          <w:rFonts w:hint="eastAsia" w:hAnsi="宋体"/>
        </w:rPr>
        <w:t>应明确投诉受理部门和人员，做好投诉及反馈记录，记录应具体完整。</w:t>
      </w:r>
    </w:p>
    <w:p w14:paraId="0BC07D42">
      <w:pPr>
        <w:pStyle w:val="165"/>
      </w:pPr>
      <w:r>
        <w:rPr>
          <w:rFonts w:hint="eastAsia" w:hAnsi="宋体"/>
        </w:rPr>
        <w:t>应对服务评价结论进行及时分析，并制定相应的整改计划。</w:t>
      </w:r>
    </w:p>
    <w:p w14:paraId="547C70E5">
      <w:pPr>
        <w:pStyle w:val="56"/>
        <w:ind w:firstLine="420"/>
      </w:pPr>
    </w:p>
    <w:p w14:paraId="267E3635">
      <w:pPr>
        <w:pStyle w:val="56"/>
        <w:ind w:firstLine="420"/>
        <w:sectPr>
          <w:pgSz w:w="11906" w:h="16838"/>
          <w:pgMar w:top="1928" w:right="1134" w:bottom="1134" w:left="1134" w:header="1418" w:footer="1134" w:gutter="284"/>
          <w:pgNumType w:start="1"/>
          <w:cols w:space="425" w:num="1"/>
          <w:formProt w:val="0"/>
          <w:docGrid w:linePitch="312" w:charSpace="0"/>
        </w:sectPr>
      </w:pPr>
    </w:p>
    <w:bookmarkEnd w:id="25"/>
    <w:p w14:paraId="5D4D4E1E">
      <w:pPr>
        <w:pStyle w:val="198"/>
        <w:rPr>
          <w:rFonts w:hint="eastAsia"/>
          <w:vanish w:val="0"/>
        </w:rPr>
      </w:pPr>
      <w:bookmarkStart w:id="94" w:name="BookMark5"/>
    </w:p>
    <w:p w14:paraId="0C223D6E">
      <w:pPr>
        <w:pStyle w:val="199"/>
        <w:rPr>
          <w:vanish w:val="0"/>
        </w:rPr>
      </w:pPr>
    </w:p>
    <w:p w14:paraId="46562101">
      <w:pPr>
        <w:pStyle w:val="76"/>
        <w:spacing w:after="120"/>
      </w:pPr>
      <w:r>
        <w:br w:type="textWrapping"/>
      </w:r>
      <w:bookmarkStart w:id="95" w:name="_Toc188608986"/>
      <w:bookmarkStart w:id="96" w:name="_Toc188608971"/>
      <w:r>
        <w:rPr>
          <w:rFonts w:hint="eastAsia"/>
        </w:rPr>
        <w:t>（规范性）</w:t>
      </w:r>
      <w:r>
        <w:br w:type="textWrapping"/>
      </w:r>
      <w:r>
        <w:rPr>
          <w:rFonts w:hint="eastAsia"/>
        </w:rPr>
        <w:t>附录A食物分类及其摄入量参考值</w:t>
      </w:r>
      <w:bookmarkEnd w:id="95"/>
      <w:bookmarkEnd w:id="96"/>
    </w:p>
    <w:p w14:paraId="23C5AC37">
      <w:pPr>
        <w:pStyle w:val="78"/>
        <w:spacing w:before="120" w:after="120"/>
      </w:pPr>
      <w:bookmarkStart w:id="97" w:name="_Toc188608972"/>
      <w:r>
        <w:rPr>
          <w:rFonts w:hint="eastAsia"/>
        </w:rPr>
        <w:t>以食物为基础的营养配餐要求应符合表A.1的要求。</w:t>
      </w:r>
      <w:bookmarkEnd w:id="97"/>
    </w:p>
    <w:p w14:paraId="06B3BFA8">
      <w:pPr>
        <w:pStyle w:val="77"/>
        <w:spacing w:before="120" w:after="120"/>
      </w:pPr>
      <w:r>
        <w:rPr>
          <w:rFonts w:hint="eastAsia"/>
        </w:rPr>
        <w:t>老年人营养配餐中食物摄入量（以生品的可食部分计）</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11"/>
        <w:gridCol w:w="3682"/>
        <w:gridCol w:w="4241"/>
      </w:tblGrid>
      <w:tr w14:paraId="659036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vMerge w:val="restart"/>
            <w:tcBorders>
              <w:top w:val="single" w:color="auto" w:sz="8" w:space="0"/>
              <w:left w:val="single" w:color="auto" w:sz="8" w:space="0"/>
              <w:bottom w:val="single" w:color="auto" w:sz="4" w:space="0"/>
              <w:right w:val="single" w:color="auto" w:sz="4" w:space="0"/>
            </w:tcBorders>
            <w:vAlign w:val="center"/>
          </w:tcPr>
          <w:p w14:paraId="021EA0F2">
            <w:pPr>
              <w:pStyle w:val="56"/>
              <w:ind w:firstLine="0" w:firstLineChars="0"/>
              <w:jc w:val="center"/>
            </w:pPr>
            <w:r>
              <w:rPr>
                <w:rFonts w:hint="eastAsia"/>
              </w:rPr>
              <w:t>食物种类</w:t>
            </w:r>
          </w:p>
        </w:tc>
        <w:tc>
          <w:tcPr>
            <w:tcW w:w="7923" w:type="dxa"/>
            <w:gridSpan w:val="2"/>
            <w:tcBorders>
              <w:top w:val="single" w:color="auto" w:sz="8" w:space="0"/>
              <w:left w:val="single" w:color="auto" w:sz="4" w:space="0"/>
              <w:bottom w:val="single" w:color="auto" w:sz="4" w:space="0"/>
              <w:right w:val="single" w:color="auto" w:sz="8" w:space="0"/>
            </w:tcBorders>
            <w:vAlign w:val="center"/>
          </w:tcPr>
          <w:p w14:paraId="6C110F98">
            <w:pPr>
              <w:pStyle w:val="56"/>
              <w:ind w:firstLine="0" w:firstLineChars="0"/>
              <w:jc w:val="center"/>
            </w:pPr>
            <w:r>
              <w:rPr>
                <w:rFonts w:hint="eastAsia"/>
              </w:rPr>
              <w:t>全天膳食实物量</w:t>
            </w:r>
          </w:p>
        </w:tc>
      </w:tr>
      <w:tr w14:paraId="4E995C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8" w:space="0"/>
              <w:left w:val="single" w:color="auto" w:sz="8" w:space="0"/>
              <w:bottom w:val="single" w:color="auto" w:sz="4" w:space="0"/>
              <w:right w:val="single" w:color="auto" w:sz="4" w:space="0"/>
            </w:tcBorders>
            <w:vAlign w:val="center"/>
          </w:tcPr>
          <w:p w14:paraId="6885D0D6">
            <w:pPr>
              <w:pStyle w:val="56"/>
              <w:ind w:firstLine="420"/>
              <w:jc w:val="center"/>
            </w:pPr>
          </w:p>
        </w:tc>
        <w:tc>
          <w:tcPr>
            <w:tcW w:w="3682" w:type="dxa"/>
            <w:tcBorders>
              <w:top w:val="single" w:color="auto" w:sz="4" w:space="0"/>
              <w:left w:val="single" w:color="auto" w:sz="4" w:space="0"/>
              <w:bottom w:val="single" w:color="auto" w:sz="4" w:space="0"/>
              <w:right w:val="single" w:color="auto" w:sz="4" w:space="0"/>
            </w:tcBorders>
            <w:vAlign w:val="center"/>
          </w:tcPr>
          <w:p w14:paraId="70A993A1">
            <w:pPr>
              <w:pStyle w:val="56"/>
              <w:ind w:firstLine="0" w:firstLineChars="0"/>
            </w:pPr>
            <w:r>
              <w:rPr>
                <w:rFonts w:hint="eastAsia"/>
              </w:rPr>
              <w:t>60周岁～79周岁</w:t>
            </w:r>
          </w:p>
        </w:tc>
        <w:tc>
          <w:tcPr>
            <w:tcW w:w="4241" w:type="dxa"/>
            <w:tcBorders>
              <w:top w:val="single" w:color="auto" w:sz="4" w:space="0"/>
              <w:left w:val="single" w:color="auto" w:sz="4" w:space="0"/>
              <w:bottom w:val="single" w:color="auto" w:sz="4" w:space="0"/>
              <w:right w:val="single" w:color="auto" w:sz="8" w:space="0"/>
            </w:tcBorders>
            <w:vAlign w:val="center"/>
          </w:tcPr>
          <w:p w14:paraId="34918B4A">
            <w:pPr>
              <w:pStyle w:val="56"/>
              <w:ind w:firstLine="0" w:firstLineChars="0"/>
            </w:pPr>
            <w:r>
              <w:rPr>
                <w:rFonts w:hint="eastAsia"/>
              </w:rPr>
              <w:t>80周岁及以上</w:t>
            </w:r>
          </w:p>
        </w:tc>
      </w:tr>
      <w:tr w14:paraId="5E132D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6C8B7E77">
            <w:pPr>
              <w:pStyle w:val="56"/>
              <w:ind w:firstLine="0" w:firstLineChars="0"/>
              <w:jc w:val="center"/>
            </w:pPr>
            <w:r>
              <w:rPr>
                <w:rFonts w:hint="eastAsia"/>
              </w:rPr>
              <w:t>主食类</w:t>
            </w:r>
          </w:p>
        </w:tc>
        <w:tc>
          <w:tcPr>
            <w:tcW w:w="3682" w:type="dxa"/>
            <w:tcBorders>
              <w:top w:val="single" w:color="auto" w:sz="4" w:space="0"/>
              <w:left w:val="single" w:color="auto" w:sz="4" w:space="0"/>
              <w:bottom w:val="single" w:color="auto" w:sz="4" w:space="0"/>
              <w:right w:val="single" w:color="auto" w:sz="4" w:space="0"/>
            </w:tcBorders>
          </w:tcPr>
          <w:p w14:paraId="5166A459">
            <w:pPr>
              <w:pStyle w:val="56"/>
              <w:ind w:firstLine="0" w:firstLineChars="0"/>
            </w:pPr>
            <w:r>
              <w:rPr>
                <w:rFonts w:hint="eastAsia"/>
              </w:rPr>
              <w:t>米面 150g～250g；</w:t>
            </w:r>
          </w:p>
          <w:p w14:paraId="6C6B0B94">
            <w:pPr>
              <w:pStyle w:val="56"/>
              <w:ind w:firstLine="0" w:firstLineChars="0"/>
            </w:pPr>
            <w:r>
              <w:rPr>
                <w:rFonts w:hint="eastAsia"/>
              </w:rPr>
              <w:t>全谷物和杂粮 50g～75g；</w:t>
            </w:r>
          </w:p>
          <w:p w14:paraId="2CDAD29E">
            <w:pPr>
              <w:pStyle w:val="56"/>
              <w:ind w:firstLine="0" w:firstLineChars="0"/>
            </w:pPr>
            <w:r>
              <w:rPr>
                <w:rFonts w:hint="eastAsia"/>
              </w:rPr>
              <w:t>薯类 100g～150g</w:t>
            </w:r>
          </w:p>
        </w:tc>
        <w:tc>
          <w:tcPr>
            <w:tcW w:w="4241" w:type="dxa"/>
            <w:tcBorders>
              <w:top w:val="single" w:color="auto" w:sz="4" w:space="0"/>
              <w:left w:val="single" w:color="auto" w:sz="4" w:space="0"/>
              <w:bottom w:val="single" w:color="auto" w:sz="4" w:space="0"/>
              <w:right w:val="single" w:color="auto" w:sz="8" w:space="0"/>
            </w:tcBorders>
          </w:tcPr>
          <w:p w14:paraId="61CECCBD">
            <w:pPr>
              <w:pStyle w:val="56"/>
              <w:ind w:firstLine="0" w:firstLineChars="0"/>
            </w:pPr>
            <w:r>
              <w:rPr>
                <w:rFonts w:hint="eastAsia"/>
              </w:rPr>
              <w:t>谷类 200g～300g；</w:t>
            </w:r>
          </w:p>
          <w:p w14:paraId="1A5E54ED">
            <w:pPr>
              <w:pStyle w:val="56"/>
              <w:ind w:firstLine="0" w:firstLineChars="0"/>
            </w:pPr>
            <w:r>
              <w:rPr>
                <w:rFonts w:hint="eastAsia"/>
              </w:rPr>
              <w:t>全谷物和杂豆 50g～150g；</w:t>
            </w:r>
          </w:p>
          <w:p w14:paraId="46B30D54">
            <w:pPr>
              <w:pStyle w:val="56"/>
              <w:ind w:firstLine="0" w:firstLineChars="0"/>
            </w:pPr>
            <w:r>
              <w:rPr>
                <w:rFonts w:hint="eastAsia"/>
              </w:rPr>
              <w:t>薯类 50g～100g</w:t>
            </w:r>
          </w:p>
        </w:tc>
      </w:tr>
      <w:tr w14:paraId="5531CB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20CA325C">
            <w:pPr>
              <w:pStyle w:val="56"/>
              <w:ind w:firstLine="0" w:firstLineChars="0"/>
              <w:jc w:val="center"/>
            </w:pPr>
            <w:r>
              <w:rPr>
                <w:rFonts w:hint="eastAsia"/>
              </w:rPr>
              <w:t>肉类</w:t>
            </w:r>
          </w:p>
        </w:tc>
        <w:tc>
          <w:tcPr>
            <w:tcW w:w="3682" w:type="dxa"/>
            <w:tcBorders>
              <w:top w:val="single" w:color="auto" w:sz="4" w:space="0"/>
              <w:left w:val="single" w:color="auto" w:sz="4" w:space="0"/>
              <w:bottom w:val="single" w:color="auto" w:sz="4" w:space="0"/>
              <w:right w:val="single" w:color="auto" w:sz="4" w:space="0"/>
            </w:tcBorders>
          </w:tcPr>
          <w:p w14:paraId="07FAC818">
            <w:pPr>
              <w:pStyle w:val="56"/>
              <w:ind w:firstLine="0" w:firstLineChars="0"/>
            </w:pPr>
            <w:r>
              <w:rPr>
                <w:rFonts w:hint="eastAsia"/>
              </w:rPr>
              <w:t>水产及禽类 50g～100g；</w:t>
            </w:r>
          </w:p>
          <w:p w14:paraId="3ADAFDF0">
            <w:pPr>
              <w:pStyle w:val="56"/>
              <w:ind w:firstLine="0" w:firstLineChars="0"/>
            </w:pPr>
            <w:r>
              <w:rPr>
                <w:rFonts w:hint="eastAsia"/>
              </w:rPr>
              <w:t>畜肉（瘦） 40g～50g</w:t>
            </w:r>
          </w:p>
        </w:tc>
        <w:tc>
          <w:tcPr>
            <w:tcW w:w="4241" w:type="dxa"/>
            <w:tcBorders>
              <w:top w:val="single" w:color="auto" w:sz="4" w:space="0"/>
              <w:left w:val="single" w:color="auto" w:sz="4" w:space="0"/>
              <w:bottom w:val="single" w:color="auto" w:sz="4" w:space="0"/>
              <w:right w:val="single" w:color="auto" w:sz="8" w:space="0"/>
            </w:tcBorders>
          </w:tcPr>
          <w:p w14:paraId="7E4CA305">
            <w:pPr>
              <w:pStyle w:val="56"/>
              <w:ind w:firstLine="0" w:firstLineChars="0"/>
            </w:pPr>
            <w:r>
              <w:rPr>
                <w:rFonts w:hint="eastAsia"/>
              </w:rPr>
              <w:t>水产及禽类 120g～200g；</w:t>
            </w:r>
          </w:p>
          <w:p w14:paraId="5D16F7EB">
            <w:pPr>
              <w:pStyle w:val="56"/>
              <w:ind w:firstLine="0" w:firstLineChars="0"/>
            </w:pPr>
            <w:r>
              <w:rPr>
                <w:rFonts w:hint="eastAsia"/>
              </w:rPr>
              <w:t>水产品每周至少2次</w:t>
            </w:r>
          </w:p>
        </w:tc>
      </w:tr>
      <w:tr w14:paraId="7EDB2A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7246075B">
            <w:pPr>
              <w:pStyle w:val="56"/>
              <w:ind w:firstLine="0" w:firstLineChars="0"/>
              <w:jc w:val="center"/>
            </w:pPr>
            <w:r>
              <w:rPr>
                <w:rFonts w:hint="eastAsia"/>
              </w:rPr>
              <w:t>蛋类</w:t>
            </w:r>
          </w:p>
        </w:tc>
        <w:tc>
          <w:tcPr>
            <w:tcW w:w="3682" w:type="dxa"/>
            <w:tcBorders>
              <w:top w:val="single" w:color="auto" w:sz="4" w:space="0"/>
              <w:left w:val="single" w:color="auto" w:sz="4" w:space="0"/>
              <w:bottom w:val="single" w:color="auto" w:sz="4" w:space="0"/>
              <w:right w:val="single" w:color="auto" w:sz="4" w:space="0"/>
            </w:tcBorders>
          </w:tcPr>
          <w:p w14:paraId="03952307">
            <w:pPr>
              <w:pStyle w:val="56"/>
              <w:ind w:firstLine="0" w:firstLineChars="0"/>
            </w:pPr>
            <w:r>
              <w:rPr>
                <w:rFonts w:hint="eastAsia"/>
              </w:rPr>
              <w:t>每天一个（40g～50g）</w:t>
            </w:r>
          </w:p>
        </w:tc>
        <w:tc>
          <w:tcPr>
            <w:tcW w:w="4241" w:type="dxa"/>
            <w:tcBorders>
              <w:top w:val="single" w:color="auto" w:sz="4" w:space="0"/>
              <w:left w:val="single" w:color="auto" w:sz="4" w:space="0"/>
              <w:bottom w:val="single" w:color="auto" w:sz="4" w:space="0"/>
              <w:right w:val="single" w:color="auto" w:sz="8" w:space="0"/>
            </w:tcBorders>
          </w:tcPr>
          <w:p w14:paraId="0B6D657D">
            <w:pPr>
              <w:pStyle w:val="56"/>
              <w:ind w:firstLine="0" w:firstLineChars="0"/>
            </w:pPr>
            <w:r>
              <w:rPr>
                <w:rFonts w:hint="eastAsia"/>
              </w:rPr>
              <w:t>每天一个（约50g）</w:t>
            </w:r>
          </w:p>
        </w:tc>
      </w:tr>
      <w:tr w14:paraId="404E12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3903E663">
            <w:pPr>
              <w:pStyle w:val="56"/>
              <w:ind w:firstLine="0" w:firstLineChars="0"/>
              <w:jc w:val="center"/>
            </w:pPr>
            <w:r>
              <w:rPr>
                <w:rFonts w:hint="eastAsia"/>
              </w:rPr>
              <w:t>奶及奶制品</w:t>
            </w:r>
          </w:p>
        </w:tc>
        <w:tc>
          <w:tcPr>
            <w:tcW w:w="3682" w:type="dxa"/>
            <w:tcBorders>
              <w:top w:val="single" w:color="auto" w:sz="4" w:space="0"/>
              <w:left w:val="single" w:color="auto" w:sz="4" w:space="0"/>
              <w:bottom w:val="single" w:color="auto" w:sz="4" w:space="0"/>
              <w:right w:val="single" w:color="auto" w:sz="4" w:space="0"/>
            </w:tcBorders>
          </w:tcPr>
          <w:p w14:paraId="65AA2753">
            <w:pPr>
              <w:pStyle w:val="56"/>
              <w:ind w:firstLine="0" w:firstLineChars="0"/>
            </w:pPr>
            <w:r>
              <w:rPr>
                <w:rFonts w:hint="eastAsia"/>
              </w:rPr>
              <w:t>鲜奶300g～400g或相当量蛋白质的奶制品</w:t>
            </w:r>
          </w:p>
        </w:tc>
        <w:tc>
          <w:tcPr>
            <w:tcW w:w="4241" w:type="dxa"/>
            <w:tcBorders>
              <w:top w:val="single" w:color="auto" w:sz="4" w:space="0"/>
              <w:left w:val="single" w:color="auto" w:sz="4" w:space="0"/>
              <w:bottom w:val="single" w:color="auto" w:sz="4" w:space="0"/>
              <w:right w:val="single" w:color="auto" w:sz="8" w:space="0"/>
            </w:tcBorders>
          </w:tcPr>
          <w:p w14:paraId="4BB3804E">
            <w:pPr>
              <w:pStyle w:val="56"/>
              <w:ind w:firstLine="0" w:firstLineChars="0"/>
            </w:pPr>
            <w:r>
              <w:rPr>
                <w:rFonts w:hint="eastAsia"/>
              </w:rPr>
              <w:t>鲜奶300g～500g或相当量的奶制品</w:t>
            </w:r>
          </w:p>
        </w:tc>
      </w:tr>
      <w:tr w14:paraId="735F43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0E2563CC">
            <w:pPr>
              <w:pStyle w:val="56"/>
              <w:ind w:firstLine="0" w:firstLineChars="0"/>
              <w:jc w:val="center"/>
            </w:pPr>
            <w:r>
              <w:rPr>
                <w:rFonts w:hint="eastAsia"/>
              </w:rPr>
              <w:t>大豆及其制品</w:t>
            </w:r>
          </w:p>
        </w:tc>
        <w:tc>
          <w:tcPr>
            <w:tcW w:w="3682" w:type="dxa"/>
            <w:tcBorders>
              <w:top w:val="single" w:color="auto" w:sz="4" w:space="0"/>
              <w:left w:val="single" w:color="auto" w:sz="4" w:space="0"/>
              <w:bottom w:val="single" w:color="auto" w:sz="4" w:space="0"/>
              <w:right w:val="single" w:color="auto" w:sz="4" w:space="0"/>
            </w:tcBorders>
          </w:tcPr>
          <w:p w14:paraId="4B72432E">
            <w:pPr>
              <w:pStyle w:val="56"/>
              <w:ind w:firstLine="0" w:firstLineChars="0"/>
            </w:pPr>
            <w:r>
              <w:rPr>
                <w:rFonts w:hint="eastAsia"/>
              </w:rPr>
              <w:t>15g大豆或相当量的豆制品，如豆腐、豆腐干、豆皮、豆腐脑、黄豆芽及豆浆等</w:t>
            </w:r>
          </w:p>
        </w:tc>
        <w:tc>
          <w:tcPr>
            <w:tcW w:w="4241" w:type="dxa"/>
            <w:tcBorders>
              <w:top w:val="single" w:color="auto" w:sz="4" w:space="0"/>
              <w:left w:val="single" w:color="auto" w:sz="4" w:space="0"/>
              <w:bottom w:val="single" w:color="auto" w:sz="4" w:space="0"/>
              <w:right w:val="single" w:color="auto" w:sz="8" w:space="0"/>
            </w:tcBorders>
          </w:tcPr>
          <w:p w14:paraId="79880CC8">
            <w:pPr>
              <w:pStyle w:val="56"/>
              <w:ind w:firstLine="0" w:firstLineChars="0"/>
            </w:pPr>
            <w:r>
              <w:rPr>
                <w:rFonts w:hint="eastAsia"/>
              </w:rPr>
              <w:t>25g～35g大豆或相当量的豆制品，如豆腐125g～175g、腐竹20g～30g、豆腐丝（干）50g～70g、豆浆640g</w:t>
            </w:r>
          </w:p>
        </w:tc>
      </w:tr>
      <w:tr w14:paraId="1DD79A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289B2C73">
            <w:pPr>
              <w:pStyle w:val="56"/>
              <w:ind w:firstLine="0" w:firstLineChars="0"/>
              <w:jc w:val="center"/>
            </w:pPr>
            <w:r>
              <w:rPr>
                <w:rFonts w:hint="eastAsia"/>
              </w:rPr>
              <w:t>蔬菜类</w:t>
            </w:r>
          </w:p>
        </w:tc>
        <w:tc>
          <w:tcPr>
            <w:tcW w:w="3682" w:type="dxa"/>
            <w:tcBorders>
              <w:top w:val="single" w:color="auto" w:sz="4" w:space="0"/>
              <w:left w:val="single" w:color="auto" w:sz="4" w:space="0"/>
              <w:bottom w:val="single" w:color="auto" w:sz="4" w:space="0"/>
              <w:right w:val="single" w:color="auto" w:sz="4" w:space="0"/>
            </w:tcBorders>
          </w:tcPr>
          <w:p w14:paraId="64050793">
            <w:pPr>
              <w:pStyle w:val="56"/>
              <w:ind w:firstLine="0" w:firstLineChars="0"/>
            </w:pPr>
            <w:r>
              <w:rPr>
                <w:rFonts w:hint="eastAsia"/>
              </w:rPr>
              <w:t>350g～400g</w:t>
            </w:r>
          </w:p>
        </w:tc>
        <w:tc>
          <w:tcPr>
            <w:tcW w:w="4241" w:type="dxa"/>
            <w:tcBorders>
              <w:top w:val="single" w:color="auto" w:sz="4" w:space="0"/>
              <w:left w:val="single" w:color="auto" w:sz="4" w:space="0"/>
              <w:bottom w:val="single" w:color="auto" w:sz="4" w:space="0"/>
              <w:right w:val="single" w:color="auto" w:sz="8" w:space="0"/>
            </w:tcBorders>
          </w:tcPr>
          <w:p w14:paraId="30007D67">
            <w:pPr>
              <w:pStyle w:val="56"/>
              <w:ind w:firstLine="0" w:firstLineChars="0"/>
            </w:pPr>
            <w:r>
              <w:rPr>
                <w:rFonts w:hint="eastAsia"/>
              </w:rPr>
              <w:t>300g～500g</w:t>
            </w:r>
          </w:p>
        </w:tc>
      </w:tr>
      <w:tr w14:paraId="30DE6B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73520883">
            <w:pPr>
              <w:pStyle w:val="56"/>
              <w:ind w:firstLine="0" w:firstLineChars="0"/>
              <w:jc w:val="center"/>
            </w:pPr>
            <w:r>
              <w:rPr>
                <w:rFonts w:hint="eastAsia"/>
              </w:rPr>
              <w:t>水果</w:t>
            </w:r>
          </w:p>
        </w:tc>
        <w:tc>
          <w:tcPr>
            <w:tcW w:w="3682" w:type="dxa"/>
            <w:tcBorders>
              <w:top w:val="single" w:color="auto" w:sz="4" w:space="0"/>
              <w:left w:val="single" w:color="auto" w:sz="4" w:space="0"/>
              <w:bottom w:val="single" w:color="auto" w:sz="4" w:space="0"/>
              <w:right w:val="single" w:color="auto" w:sz="4" w:space="0"/>
            </w:tcBorders>
          </w:tcPr>
          <w:p w14:paraId="2D1D873F">
            <w:pPr>
              <w:pStyle w:val="56"/>
              <w:ind w:firstLine="0" w:firstLineChars="0"/>
            </w:pPr>
            <w:r>
              <w:rPr>
                <w:rFonts w:hint="eastAsia"/>
              </w:rPr>
              <w:t>100g～200g</w:t>
            </w:r>
          </w:p>
        </w:tc>
        <w:tc>
          <w:tcPr>
            <w:tcW w:w="4241" w:type="dxa"/>
            <w:tcBorders>
              <w:top w:val="single" w:color="auto" w:sz="4" w:space="0"/>
              <w:left w:val="single" w:color="auto" w:sz="4" w:space="0"/>
              <w:bottom w:val="single" w:color="auto" w:sz="4" w:space="0"/>
              <w:right w:val="single" w:color="auto" w:sz="8" w:space="0"/>
            </w:tcBorders>
          </w:tcPr>
          <w:p w14:paraId="60DA46E3">
            <w:pPr>
              <w:pStyle w:val="56"/>
              <w:ind w:firstLine="0" w:firstLineChars="0"/>
            </w:pPr>
            <w:r>
              <w:rPr>
                <w:rFonts w:hint="eastAsia"/>
              </w:rPr>
              <w:t>200g～350g</w:t>
            </w:r>
          </w:p>
        </w:tc>
      </w:tr>
      <w:tr w14:paraId="6EEB8E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4" w:space="0"/>
              <w:right w:val="single" w:color="auto" w:sz="4" w:space="0"/>
            </w:tcBorders>
          </w:tcPr>
          <w:p w14:paraId="5FDC478F">
            <w:pPr>
              <w:pStyle w:val="56"/>
              <w:ind w:firstLine="0" w:firstLineChars="0"/>
              <w:jc w:val="center"/>
            </w:pPr>
            <w:r>
              <w:rPr>
                <w:rFonts w:hint="eastAsia"/>
              </w:rPr>
              <w:t>烹调油</w:t>
            </w:r>
          </w:p>
        </w:tc>
        <w:tc>
          <w:tcPr>
            <w:tcW w:w="7923" w:type="dxa"/>
            <w:gridSpan w:val="2"/>
            <w:tcBorders>
              <w:top w:val="single" w:color="auto" w:sz="4" w:space="0"/>
              <w:left w:val="single" w:color="auto" w:sz="4" w:space="0"/>
              <w:bottom w:val="single" w:color="auto" w:sz="4" w:space="0"/>
              <w:right w:val="single" w:color="auto" w:sz="8" w:space="0"/>
            </w:tcBorders>
          </w:tcPr>
          <w:p w14:paraId="20B23016">
            <w:pPr>
              <w:pStyle w:val="56"/>
              <w:ind w:firstLine="0" w:firstLineChars="0"/>
            </w:pPr>
            <w:r>
              <w:rPr>
                <w:rFonts w:hint="eastAsia"/>
              </w:rPr>
              <w:t>20g～25g</w:t>
            </w:r>
          </w:p>
        </w:tc>
      </w:tr>
      <w:tr w14:paraId="452DDC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1411" w:type="dxa"/>
            <w:tcBorders>
              <w:top w:val="single" w:color="auto" w:sz="4" w:space="0"/>
              <w:left w:val="single" w:color="auto" w:sz="8" w:space="0"/>
              <w:bottom w:val="single" w:color="auto" w:sz="8" w:space="0"/>
              <w:right w:val="single" w:color="auto" w:sz="4" w:space="0"/>
            </w:tcBorders>
          </w:tcPr>
          <w:p w14:paraId="5DC62AB9">
            <w:pPr>
              <w:pStyle w:val="56"/>
              <w:ind w:firstLine="0" w:firstLineChars="0"/>
              <w:jc w:val="center"/>
            </w:pPr>
            <w:r>
              <w:rPr>
                <w:rFonts w:hint="eastAsia"/>
              </w:rPr>
              <w:t>食盐</w:t>
            </w:r>
          </w:p>
        </w:tc>
        <w:tc>
          <w:tcPr>
            <w:tcW w:w="7923" w:type="dxa"/>
            <w:gridSpan w:val="2"/>
            <w:tcBorders>
              <w:top w:val="single" w:color="auto" w:sz="4" w:space="0"/>
              <w:left w:val="single" w:color="auto" w:sz="4" w:space="0"/>
              <w:bottom w:val="single" w:color="auto" w:sz="8" w:space="0"/>
              <w:right w:val="single" w:color="auto" w:sz="8" w:space="0"/>
            </w:tcBorders>
          </w:tcPr>
          <w:p w14:paraId="1661E8D4">
            <w:pPr>
              <w:pStyle w:val="56"/>
              <w:ind w:firstLine="0" w:firstLineChars="0"/>
            </w:pPr>
            <w:r>
              <w:rPr>
                <w:rFonts w:hint="eastAsia"/>
              </w:rPr>
              <w:t>≤ 5.0g（折合酱油≤ 25克）</w:t>
            </w:r>
          </w:p>
        </w:tc>
      </w:tr>
    </w:tbl>
    <w:p w14:paraId="4B625D6E">
      <w:pPr>
        <w:pStyle w:val="78"/>
        <w:spacing w:before="120" w:after="120"/>
      </w:pPr>
      <w:bookmarkStart w:id="98" w:name="_Toc188608973"/>
      <w:r>
        <w:rPr>
          <w:rFonts w:hint="eastAsia"/>
        </w:rPr>
        <w:t>以营养素为基础的营养配餐要求应符合表A.2的要求。</w:t>
      </w:r>
      <w:bookmarkEnd w:id="98"/>
    </w:p>
    <w:p w14:paraId="3BAC97BD">
      <w:pPr>
        <w:pStyle w:val="77"/>
        <w:spacing w:before="120" w:after="120"/>
      </w:pPr>
      <w:r>
        <w:rPr>
          <w:rFonts w:hint="eastAsia"/>
        </w:rPr>
        <w:t>老年人营养配餐中营养素摄入量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1869"/>
        <w:gridCol w:w="1869"/>
        <w:gridCol w:w="1869"/>
        <w:gridCol w:w="1869"/>
      </w:tblGrid>
      <w:tr w14:paraId="326D6B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vMerge w:val="restart"/>
            <w:tcBorders>
              <w:top w:val="single" w:color="auto" w:sz="8" w:space="0"/>
              <w:left w:val="single" w:color="auto" w:sz="8" w:space="0"/>
              <w:bottom w:val="single" w:color="auto" w:sz="4" w:space="0"/>
              <w:right w:val="single" w:color="auto" w:sz="4" w:space="0"/>
            </w:tcBorders>
            <w:vAlign w:val="center"/>
          </w:tcPr>
          <w:p w14:paraId="3C7A8BEF">
            <w:pPr>
              <w:pStyle w:val="56"/>
              <w:ind w:firstLine="0" w:firstLineChars="0"/>
              <w:jc w:val="center"/>
            </w:pPr>
            <w:r>
              <w:rPr>
                <w:rFonts w:hint="eastAsia"/>
              </w:rPr>
              <w:t>营养素</w:t>
            </w:r>
          </w:p>
        </w:tc>
        <w:tc>
          <w:tcPr>
            <w:tcW w:w="3738" w:type="dxa"/>
            <w:gridSpan w:val="2"/>
            <w:tcBorders>
              <w:top w:val="single" w:color="auto" w:sz="8" w:space="0"/>
              <w:left w:val="single" w:color="auto" w:sz="4" w:space="0"/>
              <w:bottom w:val="single" w:color="auto" w:sz="4" w:space="0"/>
              <w:right w:val="single" w:color="auto" w:sz="4" w:space="0"/>
            </w:tcBorders>
            <w:vAlign w:val="center"/>
          </w:tcPr>
          <w:p w14:paraId="44571BA7">
            <w:pPr>
              <w:pStyle w:val="56"/>
              <w:ind w:firstLine="0" w:firstLineChars="0"/>
              <w:jc w:val="center"/>
            </w:pPr>
            <w:r>
              <w:rPr>
                <w:rFonts w:hint="eastAsia"/>
              </w:rPr>
              <w:t>全天营养素范围</w:t>
            </w:r>
          </w:p>
        </w:tc>
        <w:tc>
          <w:tcPr>
            <w:tcW w:w="3738" w:type="dxa"/>
            <w:gridSpan w:val="2"/>
            <w:tcBorders>
              <w:top w:val="single" w:color="auto" w:sz="8" w:space="0"/>
              <w:left w:val="single" w:color="auto" w:sz="4" w:space="0"/>
              <w:bottom w:val="single" w:color="auto" w:sz="4" w:space="0"/>
              <w:right w:val="single" w:color="auto" w:sz="8" w:space="0"/>
            </w:tcBorders>
            <w:vAlign w:val="center"/>
          </w:tcPr>
          <w:p w14:paraId="5CCCA89D">
            <w:pPr>
              <w:pStyle w:val="56"/>
              <w:ind w:firstLine="0" w:firstLineChars="0"/>
              <w:jc w:val="center"/>
            </w:pPr>
            <w:r>
              <w:rPr>
                <w:rFonts w:hint="eastAsia"/>
              </w:rPr>
              <w:t>午餐营养素范围（&gt;40%)</w:t>
            </w:r>
          </w:p>
        </w:tc>
      </w:tr>
      <w:tr w14:paraId="3A418C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auto" w:sz="8" w:space="0"/>
              <w:left w:val="single" w:color="auto" w:sz="8" w:space="0"/>
              <w:bottom w:val="single" w:color="auto" w:sz="4" w:space="0"/>
              <w:right w:val="single" w:color="auto" w:sz="4" w:space="0"/>
            </w:tcBorders>
            <w:vAlign w:val="center"/>
          </w:tcPr>
          <w:p w14:paraId="2ACD4601">
            <w:pPr>
              <w:pStyle w:val="56"/>
              <w:ind w:firstLine="420"/>
              <w:jc w:val="center"/>
            </w:pPr>
          </w:p>
        </w:tc>
        <w:tc>
          <w:tcPr>
            <w:tcW w:w="1869" w:type="dxa"/>
            <w:tcBorders>
              <w:top w:val="single" w:color="auto" w:sz="4" w:space="0"/>
              <w:left w:val="single" w:color="auto" w:sz="4" w:space="0"/>
              <w:bottom w:val="single" w:color="auto" w:sz="8" w:space="0"/>
              <w:right w:val="single" w:color="auto" w:sz="4" w:space="0"/>
            </w:tcBorders>
            <w:vAlign w:val="center"/>
          </w:tcPr>
          <w:p w14:paraId="2003667D">
            <w:pPr>
              <w:pStyle w:val="56"/>
              <w:ind w:firstLine="0" w:firstLineChars="0"/>
              <w:jc w:val="center"/>
            </w:pPr>
            <w:r>
              <w:rPr>
                <w:rFonts w:hint="eastAsia"/>
              </w:rPr>
              <w:t>60周岁～79周岁</w:t>
            </w:r>
          </w:p>
        </w:tc>
        <w:tc>
          <w:tcPr>
            <w:tcW w:w="1869" w:type="dxa"/>
            <w:tcBorders>
              <w:top w:val="single" w:color="auto" w:sz="4" w:space="0"/>
              <w:left w:val="single" w:color="auto" w:sz="4" w:space="0"/>
              <w:bottom w:val="single" w:color="auto" w:sz="8" w:space="0"/>
              <w:right w:val="single" w:color="auto" w:sz="4" w:space="0"/>
            </w:tcBorders>
            <w:vAlign w:val="center"/>
          </w:tcPr>
          <w:p w14:paraId="3D7F7FE2">
            <w:pPr>
              <w:pStyle w:val="56"/>
              <w:ind w:firstLine="0" w:firstLineChars="0"/>
              <w:jc w:val="center"/>
            </w:pPr>
            <w:r>
              <w:rPr>
                <w:rFonts w:hint="eastAsia"/>
              </w:rPr>
              <w:t>80周岁及以上</w:t>
            </w:r>
          </w:p>
        </w:tc>
        <w:tc>
          <w:tcPr>
            <w:tcW w:w="1869" w:type="dxa"/>
            <w:tcBorders>
              <w:top w:val="single" w:color="auto" w:sz="4" w:space="0"/>
              <w:left w:val="single" w:color="auto" w:sz="4" w:space="0"/>
              <w:bottom w:val="single" w:color="auto" w:sz="8" w:space="0"/>
              <w:right w:val="single" w:color="auto" w:sz="4" w:space="0"/>
            </w:tcBorders>
            <w:vAlign w:val="center"/>
          </w:tcPr>
          <w:p w14:paraId="5F59DCF6">
            <w:pPr>
              <w:pStyle w:val="56"/>
              <w:ind w:firstLine="0" w:firstLineChars="0"/>
              <w:jc w:val="center"/>
            </w:pPr>
            <w:r>
              <w:rPr>
                <w:rFonts w:hint="eastAsia"/>
              </w:rPr>
              <w:t>60周岁～79周岁</w:t>
            </w:r>
          </w:p>
        </w:tc>
        <w:tc>
          <w:tcPr>
            <w:tcW w:w="1869" w:type="dxa"/>
            <w:tcBorders>
              <w:top w:val="single" w:color="auto" w:sz="4" w:space="0"/>
              <w:left w:val="single" w:color="auto" w:sz="4" w:space="0"/>
              <w:bottom w:val="single" w:color="auto" w:sz="8" w:space="0"/>
              <w:right w:val="single" w:color="auto" w:sz="8" w:space="0"/>
            </w:tcBorders>
            <w:vAlign w:val="center"/>
          </w:tcPr>
          <w:p w14:paraId="157EBDBC">
            <w:pPr>
              <w:pStyle w:val="56"/>
              <w:ind w:firstLine="0" w:firstLineChars="0"/>
              <w:jc w:val="center"/>
            </w:pPr>
            <w:r>
              <w:rPr>
                <w:rFonts w:hint="eastAsia"/>
              </w:rPr>
              <w:t>80周岁及以上</w:t>
            </w:r>
          </w:p>
        </w:tc>
      </w:tr>
      <w:tr w14:paraId="1B76A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8" w:space="0"/>
              <w:left w:val="single" w:color="auto" w:sz="8" w:space="0"/>
              <w:bottom w:val="single" w:color="auto" w:sz="4" w:space="0"/>
              <w:right w:val="single" w:color="auto" w:sz="4" w:space="0"/>
            </w:tcBorders>
            <w:vAlign w:val="center"/>
          </w:tcPr>
          <w:p w14:paraId="7FAA3FC7">
            <w:pPr>
              <w:pStyle w:val="56"/>
              <w:ind w:firstLine="0" w:firstLineChars="0"/>
              <w:jc w:val="center"/>
            </w:pPr>
            <w:r>
              <w:rPr>
                <w:rFonts w:hint="eastAsia"/>
              </w:rPr>
              <w:t>能量（kJ / kcal）</w:t>
            </w:r>
          </w:p>
        </w:tc>
        <w:tc>
          <w:tcPr>
            <w:tcW w:w="1869" w:type="dxa"/>
            <w:tcBorders>
              <w:top w:val="single" w:color="auto" w:sz="8" w:space="0"/>
              <w:left w:val="single" w:color="auto" w:sz="4" w:space="0"/>
              <w:bottom w:val="single" w:color="auto" w:sz="4" w:space="0"/>
              <w:right w:val="single" w:color="auto" w:sz="4" w:space="0"/>
            </w:tcBorders>
            <w:vAlign w:val="center"/>
          </w:tcPr>
          <w:p w14:paraId="415DBB6A">
            <w:pPr>
              <w:pStyle w:val="56"/>
              <w:ind w:firstLine="0" w:firstLineChars="0"/>
              <w:jc w:val="center"/>
            </w:pPr>
            <w:r>
              <w:rPr>
                <w:rFonts w:hint="eastAsia"/>
              </w:rPr>
              <w:t>7100～8500 / 1700～2000</w:t>
            </w:r>
          </w:p>
        </w:tc>
        <w:tc>
          <w:tcPr>
            <w:tcW w:w="1869" w:type="dxa"/>
            <w:tcBorders>
              <w:top w:val="single" w:color="auto" w:sz="8" w:space="0"/>
              <w:left w:val="single" w:color="auto" w:sz="4" w:space="0"/>
              <w:bottom w:val="single" w:color="auto" w:sz="4" w:space="0"/>
              <w:right w:val="single" w:color="auto" w:sz="4" w:space="0"/>
            </w:tcBorders>
            <w:vAlign w:val="center"/>
          </w:tcPr>
          <w:p w14:paraId="43EBB0BE">
            <w:pPr>
              <w:pStyle w:val="56"/>
              <w:ind w:firstLine="0" w:firstLineChars="0"/>
              <w:jc w:val="center"/>
            </w:pPr>
            <w:r>
              <w:rPr>
                <w:rFonts w:hint="eastAsia"/>
              </w:rPr>
              <w:t>6280～9200 / 1500～2200</w:t>
            </w:r>
          </w:p>
        </w:tc>
        <w:tc>
          <w:tcPr>
            <w:tcW w:w="1869" w:type="dxa"/>
            <w:tcBorders>
              <w:top w:val="single" w:color="auto" w:sz="8" w:space="0"/>
              <w:left w:val="single" w:color="auto" w:sz="4" w:space="0"/>
              <w:bottom w:val="single" w:color="auto" w:sz="4" w:space="0"/>
              <w:right w:val="single" w:color="auto" w:sz="4" w:space="0"/>
            </w:tcBorders>
            <w:vAlign w:val="center"/>
          </w:tcPr>
          <w:p w14:paraId="43E83DB1">
            <w:pPr>
              <w:pStyle w:val="56"/>
              <w:ind w:firstLine="0" w:firstLineChars="0"/>
              <w:jc w:val="center"/>
            </w:pPr>
            <w:r>
              <w:rPr>
                <w:rFonts w:hint="eastAsia"/>
              </w:rPr>
              <w:t>2840～3400 / 680～800</w:t>
            </w:r>
          </w:p>
        </w:tc>
        <w:tc>
          <w:tcPr>
            <w:tcW w:w="1869" w:type="dxa"/>
            <w:tcBorders>
              <w:top w:val="single" w:color="auto" w:sz="8" w:space="0"/>
              <w:left w:val="single" w:color="auto" w:sz="4" w:space="0"/>
              <w:bottom w:val="single" w:color="auto" w:sz="4" w:space="0"/>
              <w:right w:val="single" w:color="auto" w:sz="8" w:space="0"/>
            </w:tcBorders>
            <w:vAlign w:val="center"/>
          </w:tcPr>
          <w:p w14:paraId="3F9392E1">
            <w:pPr>
              <w:pStyle w:val="56"/>
              <w:ind w:firstLine="0" w:firstLineChars="0"/>
              <w:jc w:val="center"/>
            </w:pPr>
            <w:r>
              <w:rPr>
                <w:rFonts w:hint="eastAsia"/>
              </w:rPr>
              <w:t>2600～3700 / 600～900</w:t>
            </w:r>
          </w:p>
        </w:tc>
      </w:tr>
      <w:tr w14:paraId="0C5259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328893ED">
            <w:pPr>
              <w:pStyle w:val="56"/>
              <w:ind w:firstLine="0" w:firstLineChars="0"/>
              <w:jc w:val="center"/>
            </w:pPr>
            <w:r>
              <w:rPr>
                <w:rFonts w:hint="eastAsia"/>
              </w:rPr>
              <w:t>蛋白质（g）</w:t>
            </w:r>
          </w:p>
        </w:tc>
        <w:tc>
          <w:tcPr>
            <w:tcW w:w="1869" w:type="dxa"/>
            <w:tcBorders>
              <w:top w:val="single" w:color="auto" w:sz="4" w:space="0"/>
              <w:left w:val="single" w:color="auto" w:sz="4" w:space="0"/>
              <w:bottom w:val="single" w:color="auto" w:sz="4" w:space="0"/>
              <w:right w:val="single" w:color="auto" w:sz="4" w:space="0"/>
            </w:tcBorders>
            <w:vAlign w:val="center"/>
          </w:tcPr>
          <w:p w14:paraId="3C9FC3AA">
            <w:pPr>
              <w:pStyle w:val="56"/>
              <w:ind w:firstLine="0" w:firstLineChars="0"/>
              <w:jc w:val="center"/>
            </w:pPr>
            <w:r>
              <w:rPr>
                <w:rFonts w:hint="eastAsia"/>
              </w:rPr>
              <w:t>62～72</w:t>
            </w:r>
          </w:p>
        </w:tc>
        <w:tc>
          <w:tcPr>
            <w:tcW w:w="1869" w:type="dxa"/>
            <w:tcBorders>
              <w:top w:val="single" w:color="auto" w:sz="4" w:space="0"/>
              <w:left w:val="single" w:color="auto" w:sz="4" w:space="0"/>
              <w:bottom w:val="single" w:color="auto" w:sz="4" w:space="0"/>
              <w:right w:val="single" w:color="auto" w:sz="4" w:space="0"/>
            </w:tcBorders>
            <w:vAlign w:val="center"/>
          </w:tcPr>
          <w:p w14:paraId="58221F0F">
            <w:pPr>
              <w:pStyle w:val="56"/>
              <w:ind w:firstLine="0" w:firstLineChars="0"/>
              <w:jc w:val="center"/>
            </w:pPr>
            <w:r>
              <w:rPr>
                <w:rFonts w:hint="eastAsia"/>
              </w:rPr>
              <w:t>62～72</w:t>
            </w:r>
          </w:p>
        </w:tc>
        <w:tc>
          <w:tcPr>
            <w:tcW w:w="1869" w:type="dxa"/>
            <w:tcBorders>
              <w:top w:val="single" w:color="auto" w:sz="4" w:space="0"/>
              <w:left w:val="single" w:color="auto" w:sz="4" w:space="0"/>
              <w:bottom w:val="single" w:color="auto" w:sz="4" w:space="0"/>
              <w:right w:val="single" w:color="auto" w:sz="4" w:space="0"/>
            </w:tcBorders>
            <w:vAlign w:val="center"/>
          </w:tcPr>
          <w:p w14:paraId="300E552C">
            <w:pPr>
              <w:pStyle w:val="56"/>
              <w:ind w:firstLine="0" w:firstLineChars="0"/>
              <w:jc w:val="center"/>
            </w:pPr>
            <w:r>
              <w:rPr>
                <w:rFonts w:hint="eastAsia"/>
              </w:rPr>
              <w:t>25～29</w:t>
            </w:r>
          </w:p>
        </w:tc>
        <w:tc>
          <w:tcPr>
            <w:tcW w:w="1869" w:type="dxa"/>
            <w:tcBorders>
              <w:top w:val="single" w:color="auto" w:sz="4" w:space="0"/>
              <w:left w:val="single" w:color="auto" w:sz="4" w:space="0"/>
              <w:bottom w:val="single" w:color="auto" w:sz="4" w:space="0"/>
              <w:right w:val="single" w:color="auto" w:sz="8" w:space="0"/>
            </w:tcBorders>
            <w:vAlign w:val="center"/>
          </w:tcPr>
          <w:p w14:paraId="30E640D8">
            <w:pPr>
              <w:pStyle w:val="56"/>
              <w:ind w:firstLine="0" w:firstLineChars="0"/>
              <w:jc w:val="center"/>
            </w:pPr>
            <w:r>
              <w:rPr>
                <w:rFonts w:hint="eastAsia"/>
              </w:rPr>
              <w:t>25～29</w:t>
            </w:r>
          </w:p>
        </w:tc>
      </w:tr>
      <w:tr w14:paraId="4631F8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4E3B15C8">
            <w:pPr>
              <w:pStyle w:val="56"/>
              <w:ind w:firstLine="0" w:firstLineChars="0"/>
              <w:jc w:val="center"/>
            </w:pPr>
            <w:r>
              <w:rPr>
                <w:rFonts w:hint="eastAsia"/>
              </w:rPr>
              <w:t>脂肪供能比（%E）</w:t>
            </w:r>
          </w:p>
        </w:tc>
        <w:tc>
          <w:tcPr>
            <w:tcW w:w="1869" w:type="dxa"/>
            <w:tcBorders>
              <w:top w:val="single" w:color="auto" w:sz="4" w:space="0"/>
              <w:left w:val="single" w:color="auto" w:sz="4" w:space="0"/>
              <w:bottom w:val="single" w:color="auto" w:sz="4" w:space="0"/>
              <w:right w:val="single" w:color="auto" w:sz="4" w:space="0"/>
            </w:tcBorders>
            <w:vAlign w:val="center"/>
          </w:tcPr>
          <w:p w14:paraId="4BBF810F">
            <w:pPr>
              <w:pStyle w:val="56"/>
              <w:ind w:firstLine="0" w:firstLineChars="0"/>
              <w:jc w:val="center"/>
            </w:pPr>
            <w:r>
              <w:rPr>
                <w:rFonts w:hint="eastAsia"/>
              </w:rPr>
              <w:t>20～30</w:t>
            </w:r>
          </w:p>
        </w:tc>
        <w:tc>
          <w:tcPr>
            <w:tcW w:w="1869" w:type="dxa"/>
            <w:tcBorders>
              <w:top w:val="single" w:color="auto" w:sz="4" w:space="0"/>
              <w:left w:val="single" w:color="auto" w:sz="4" w:space="0"/>
              <w:bottom w:val="single" w:color="auto" w:sz="4" w:space="0"/>
              <w:right w:val="single" w:color="auto" w:sz="4" w:space="0"/>
            </w:tcBorders>
            <w:vAlign w:val="center"/>
          </w:tcPr>
          <w:p w14:paraId="0CC6E967">
            <w:pPr>
              <w:pStyle w:val="56"/>
              <w:ind w:firstLine="0" w:firstLineChars="0"/>
              <w:jc w:val="center"/>
            </w:pPr>
            <w:r>
              <w:rPr>
                <w:rFonts w:hint="eastAsia"/>
              </w:rPr>
              <w:t>20～30</w:t>
            </w:r>
          </w:p>
        </w:tc>
        <w:tc>
          <w:tcPr>
            <w:tcW w:w="1869" w:type="dxa"/>
            <w:tcBorders>
              <w:top w:val="single" w:color="auto" w:sz="4" w:space="0"/>
              <w:left w:val="single" w:color="auto" w:sz="4" w:space="0"/>
              <w:bottom w:val="single" w:color="auto" w:sz="4" w:space="0"/>
              <w:right w:val="single" w:color="auto" w:sz="4" w:space="0"/>
            </w:tcBorders>
            <w:vAlign w:val="center"/>
          </w:tcPr>
          <w:p w14:paraId="45F4DCCC">
            <w:pPr>
              <w:pStyle w:val="56"/>
              <w:ind w:firstLine="0" w:firstLineChars="0"/>
              <w:jc w:val="center"/>
            </w:pPr>
            <w:r>
              <w:rPr>
                <w:rFonts w:hint="eastAsia"/>
              </w:rPr>
              <w:t>≤30</w:t>
            </w:r>
          </w:p>
        </w:tc>
        <w:tc>
          <w:tcPr>
            <w:tcW w:w="1869" w:type="dxa"/>
            <w:tcBorders>
              <w:top w:val="single" w:color="auto" w:sz="4" w:space="0"/>
              <w:left w:val="single" w:color="auto" w:sz="4" w:space="0"/>
              <w:bottom w:val="single" w:color="auto" w:sz="4" w:space="0"/>
              <w:right w:val="single" w:color="auto" w:sz="8" w:space="0"/>
            </w:tcBorders>
            <w:vAlign w:val="center"/>
          </w:tcPr>
          <w:p w14:paraId="5DC769C8">
            <w:pPr>
              <w:pStyle w:val="56"/>
              <w:ind w:firstLine="0" w:firstLineChars="0"/>
              <w:jc w:val="center"/>
            </w:pPr>
            <w:r>
              <w:rPr>
                <w:rFonts w:hint="eastAsia"/>
              </w:rPr>
              <w:t>≤30</w:t>
            </w:r>
          </w:p>
        </w:tc>
      </w:tr>
      <w:tr w14:paraId="3C8125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060A73A6">
            <w:pPr>
              <w:pStyle w:val="56"/>
              <w:ind w:firstLine="0" w:firstLineChars="0"/>
              <w:jc w:val="center"/>
            </w:pPr>
            <w:r>
              <w:rPr>
                <w:rFonts w:hint="eastAsia"/>
              </w:rPr>
              <w:t>饱和脂肪酸（%E）</w:t>
            </w:r>
          </w:p>
        </w:tc>
        <w:tc>
          <w:tcPr>
            <w:tcW w:w="1869" w:type="dxa"/>
            <w:tcBorders>
              <w:top w:val="single" w:color="auto" w:sz="4" w:space="0"/>
              <w:left w:val="single" w:color="auto" w:sz="4" w:space="0"/>
              <w:bottom w:val="single" w:color="auto" w:sz="4" w:space="0"/>
              <w:right w:val="single" w:color="auto" w:sz="4" w:space="0"/>
            </w:tcBorders>
            <w:vAlign w:val="center"/>
          </w:tcPr>
          <w:p w14:paraId="5A035B9A">
            <w:pPr>
              <w:pStyle w:val="56"/>
              <w:ind w:firstLine="0" w:firstLineChars="0"/>
              <w:jc w:val="center"/>
            </w:pPr>
            <w:r>
              <w:rPr>
                <w:rFonts w:hint="eastAsia"/>
              </w:rPr>
              <w:t>&lt;10%</w:t>
            </w:r>
          </w:p>
        </w:tc>
        <w:tc>
          <w:tcPr>
            <w:tcW w:w="1869" w:type="dxa"/>
            <w:tcBorders>
              <w:top w:val="single" w:color="auto" w:sz="4" w:space="0"/>
              <w:left w:val="single" w:color="auto" w:sz="4" w:space="0"/>
              <w:bottom w:val="single" w:color="auto" w:sz="4" w:space="0"/>
              <w:right w:val="single" w:color="auto" w:sz="4" w:space="0"/>
            </w:tcBorders>
            <w:vAlign w:val="center"/>
          </w:tcPr>
          <w:p w14:paraId="4DDE1AE8">
            <w:pPr>
              <w:pStyle w:val="56"/>
              <w:ind w:firstLine="0" w:firstLineChars="0"/>
              <w:jc w:val="center"/>
            </w:pPr>
            <w:r>
              <w:rPr>
                <w:rFonts w:hint="eastAsia"/>
              </w:rPr>
              <w:t>&lt;10%</w:t>
            </w:r>
          </w:p>
        </w:tc>
        <w:tc>
          <w:tcPr>
            <w:tcW w:w="1869" w:type="dxa"/>
            <w:tcBorders>
              <w:top w:val="single" w:color="auto" w:sz="4" w:space="0"/>
              <w:left w:val="single" w:color="auto" w:sz="4" w:space="0"/>
              <w:bottom w:val="single" w:color="auto" w:sz="4" w:space="0"/>
              <w:right w:val="single" w:color="auto" w:sz="4" w:space="0"/>
            </w:tcBorders>
            <w:vAlign w:val="center"/>
          </w:tcPr>
          <w:p w14:paraId="5CBB08B3">
            <w:pPr>
              <w:pStyle w:val="56"/>
              <w:ind w:firstLine="0" w:firstLineChars="0"/>
              <w:jc w:val="center"/>
            </w:pPr>
            <w:r>
              <w:rPr>
                <w:rFonts w:hint="eastAsia"/>
              </w:rPr>
              <w:t>&lt;10%</w:t>
            </w:r>
          </w:p>
        </w:tc>
        <w:tc>
          <w:tcPr>
            <w:tcW w:w="1869" w:type="dxa"/>
            <w:tcBorders>
              <w:top w:val="single" w:color="auto" w:sz="4" w:space="0"/>
              <w:left w:val="single" w:color="auto" w:sz="4" w:space="0"/>
              <w:bottom w:val="single" w:color="auto" w:sz="4" w:space="0"/>
              <w:right w:val="single" w:color="auto" w:sz="8" w:space="0"/>
            </w:tcBorders>
            <w:vAlign w:val="center"/>
          </w:tcPr>
          <w:p w14:paraId="0E49B3BD">
            <w:pPr>
              <w:pStyle w:val="56"/>
              <w:ind w:firstLine="0" w:firstLineChars="0"/>
              <w:jc w:val="center"/>
            </w:pPr>
            <w:r>
              <w:rPr>
                <w:rFonts w:hint="eastAsia"/>
              </w:rPr>
              <w:t>&lt;10%</w:t>
            </w:r>
          </w:p>
        </w:tc>
      </w:tr>
      <w:tr w14:paraId="0529F1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4176C022">
            <w:pPr>
              <w:pStyle w:val="56"/>
              <w:ind w:firstLine="0" w:firstLineChars="0"/>
              <w:jc w:val="center"/>
            </w:pPr>
            <w:r>
              <w:rPr>
                <w:rFonts w:hint="eastAsia"/>
              </w:rPr>
              <w:t>维生素A（μg RAE）</w:t>
            </w:r>
          </w:p>
        </w:tc>
        <w:tc>
          <w:tcPr>
            <w:tcW w:w="1869" w:type="dxa"/>
            <w:tcBorders>
              <w:top w:val="single" w:color="auto" w:sz="4" w:space="0"/>
              <w:left w:val="single" w:color="auto" w:sz="4" w:space="0"/>
              <w:bottom w:val="single" w:color="auto" w:sz="4" w:space="0"/>
              <w:right w:val="single" w:color="auto" w:sz="4" w:space="0"/>
            </w:tcBorders>
            <w:vAlign w:val="center"/>
          </w:tcPr>
          <w:p w14:paraId="03B5A77B">
            <w:pPr>
              <w:pStyle w:val="56"/>
              <w:ind w:firstLine="0" w:firstLineChars="0"/>
              <w:jc w:val="center"/>
            </w:pPr>
            <w:r>
              <w:rPr>
                <w:rFonts w:hint="eastAsia"/>
              </w:rPr>
              <w:t>660</w:t>
            </w:r>
          </w:p>
        </w:tc>
        <w:tc>
          <w:tcPr>
            <w:tcW w:w="1869" w:type="dxa"/>
            <w:tcBorders>
              <w:top w:val="single" w:color="auto" w:sz="4" w:space="0"/>
              <w:left w:val="single" w:color="auto" w:sz="4" w:space="0"/>
              <w:bottom w:val="single" w:color="auto" w:sz="4" w:space="0"/>
              <w:right w:val="single" w:color="auto" w:sz="4" w:space="0"/>
            </w:tcBorders>
            <w:vAlign w:val="center"/>
          </w:tcPr>
          <w:p w14:paraId="6AE6C5F7">
            <w:pPr>
              <w:pStyle w:val="56"/>
              <w:ind w:firstLine="0" w:firstLineChars="0"/>
              <w:jc w:val="center"/>
            </w:pPr>
            <w:r>
              <w:rPr>
                <w:rFonts w:hint="eastAsia"/>
              </w:rPr>
              <w:t>600～710</w:t>
            </w:r>
          </w:p>
        </w:tc>
        <w:tc>
          <w:tcPr>
            <w:tcW w:w="1869" w:type="dxa"/>
            <w:tcBorders>
              <w:top w:val="single" w:color="auto" w:sz="4" w:space="0"/>
              <w:left w:val="single" w:color="auto" w:sz="4" w:space="0"/>
              <w:bottom w:val="single" w:color="auto" w:sz="4" w:space="0"/>
              <w:right w:val="single" w:color="auto" w:sz="4" w:space="0"/>
            </w:tcBorders>
            <w:vAlign w:val="center"/>
          </w:tcPr>
          <w:p w14:paraId="32457BFC">
            <w:pPr>
              <w:pStyle w:val="56"/>
              <w:ind w:firstLine="0" w:firstLineChars="0"/>
              <w:jc w:val="center"/>
            </w:pPr>
            <w:r>
              <w:rPr>
                <w:rFonts w:hint="eastAsia"/>
              </w:rPr>
              <w:t>&gt;264</w:t>
            </w:r>
          </w:p>
        </w:tc>
        <w:tc>
          <w:tcPr>
            <w:tcW w:w="1869" w:type="dxa"/>
            <w:tcBorders>
              <w:top w:val="single" w:color="auto" w:sz="4" w:space="0"/>
              <w:left w:val="single" w:color="auto" w:sz="4" w:space="0"/>
              <w:bottom w:val="single" w:color="auto" w:sz="4" w:space="0"/>
              <w:right w:val="single" w:color="auto" w:sz="8" w:space="0"/>
            </w:tcBorders>
            <w:vAlign w:val="center"/>
          </w:tcPr>
          <w:p w14:paraId="2EB231B6">
            <w:pPr>
              <w:pStyle w:val="56"/>
              <w:ind w:firstLine="0" w:firstLineChars="0"/>
              <w:jc w:val="center"/>
            </w:pPr>
            <w:r>
              <w:rPr>
                <w:rFonts w:hint="eastAsia"/>
              </w:rPr>
              <w:t>&gt;240</w:t>
            </w:r>
          </w:p>
        </w:tc>
      </w:tr>
      <w:tr w14:paraId="5ED685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35295C87">
            <w:pPr>
              <w:pStyle w:val="56"/>
              <w:ind w:firstLine="0" w:firstLineChars="0"/>
              <w:jc w:val="center"/>
            </w:pPr>
            <w:r>
              <w:rPr>
                <w:rFonts w:hint="eastAsia"/>
              </w:rPr>
              <w:t>维生素C（mg）</w:t>
            </w:r>
          </w:p>
        </w:tc>
        <w:tc>
          <w:tcPr>
            <w:tcW w:w="1869" w:type="dxa"/>
            <w:tcBorders>
              <w:top w:val="single" w:color="auto" w:sz="4" w:space="0"/>
              <w:left w:val="single" w:color="auto" w:sz="4" w:space="0"/>
              <w:bottom w:val="single" w:color="auto" w:sz="4" w:space="0"/>
              <w:right w:val="single" w:color="auto" w:sz="4" w:space="0"/>
            </w:tcBorders>
            <w:vAlign w:val="center"/>
          </w:tcPr>
          <w:p w14:paraId="0ECF895A">
            <w:pPr>
              <w:pStyle w:val="56"/>
              <w:ind w:firstLine="0" w:firstLineChars="0"/>
              <w:jc w:val="center"/>
            </w:pPr>
            <w:r>
              <w:rPr>
                <w:rFonts w:hint="eastAsia"/>
              </w:rPr>
              <w:t>100</w:t>
            </w:r>
          </w:p>
        </w:tc>
        <w:tc>
          <w:tcPr>
            <w:tcW w:w="1869" w:type="dxa"/>
            <w:tcBorders>
              <w:top w:val="single" w:color="auto" w:sz="4" w:space="0"/>
              <w:left w:val="single" w:color="auto" w:sz="4" w:space="0"/>
              <w:bottom w:val="single" w:color="auto" w:sz="4" w:space="0"/>
              <w:right w:val="single" w:color="auto" w:sz="4" w:space="0"/>
            </w:tcBorders>
            <w:vAlign w:val="center"/>
          </w:tcPr>
          <w:p w14:paraId="4AD50129">
            <w:pPr>
              <w:pStyle w:val="56"/>
              <w:ind w:firstLine="0" w:firstLineChars="0"/>
              <w:jc w:val="center"/>
            </w:pPr>
            <w:r>
              <w:rPr>
                <w:rFonts w:hint="eastAsia"/>
              </w:rPr>
              <w:t>100</w:t>
            </w:r>
          </w:p>
        </w:tc>
        <w:tc>
          <w:tcPr>
            <w:tcW w:w="1869" w:type="dxa"/>
            <w:tcBorders>
              <w:top w:val="single" w:color="auto" w:sz="4" w:space="0"/>
              <w:left w:val="single" w:color="auto" w:sz="4" w:space="0"/>
              <w:bottom w:val="single" w:color="auto" w:sz="4" w:space="0"/>
              <w:right w:val="single" w:color="auto" w:sz="4" w:space="0"/>
            </w:tcBorders>
            <w:vAlign w:val="center"/>
          </w:tcPr>
          <w:p w14:paraId="689A55F6">
            <w:pPr>
              <w:pStyle w:val="56"/>
              <w:ind w:firstLine="0" w:firstLineChars="0"/>
              <w:jc w:val="center"/>
            </w:pPr>
            <w:r>
              <w:rPr>
                <w:rFonts w:hint="eastAsia"/>
              </w:rPr>
              <w:t>&gt;40</w:t>
            </w:r>
          </w:p>
        </w:tc>
        <w:tc>
          <w:tcPr>
            <w:tcW w:w="1869" w:type="dxa"/>
            <w:tcBorders>
              <w:top w:val="single" w:color="auto" w:sz="4" w:space="0"/>
              <w:left w:val="single" w:color="auto" w:sz="4" w:space="0"/>
              <w:bottom w:val="single" w:color="auto" w:sz="4" w:space="0"/>
              <w:right w:val="single" w:color="auto" w:sz="8" w:space="0"/>
            </w:tcBorders>
            <w:vAlign w:val="center"/>
          </w:tcPr>
          <w:p w14:paraId="03E0B6EE">
            <w:pPr>
              <w:pStyle w:val="56"/>
              <w:ind w:firstLine="0" w:firstLineChars="0"/>
              <w:jc w:val="center"/>
            </w:pPr>
            <w:r>
              <w:rPr>
                <w:rFonts w:hint="eastAsia"/>
              </w:rPr>
              <w:t>&gt;40</w:t>
            </w:r>
          </w:p>
        </w:tc>
      </w:tr>
      <w:tr w14:paraId="48EFF7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66DBC6A8">
            <w:pPr>
              <w:pStyle w:val="56"/>
              <w:ind w:firstLine="0" w:firstLineChars="0"/>
              <w:jc w:val="center"/>
            </w:pPr>
            <w:r>
              <w:rPr>
                <w:rFonts w:hint="eastAsia"/>
              </w:rPr>
              <w:t>维生素E（mg）</w:t>
            </w:r>
          </w:p>
        </w:tc>
        <w:tc>
          <w:tcPr>
            <w:tcW w:w="1869" w:type="dxa"/>
            <w:tcBorders>
              <w:top w:val="single" w:color="auto" w:sz="4" w:space="0"/>
              <w:left w:val="single" w:color="auto" w:sz="4" w:space="0"/>
              <w:bottom w:val="single" w:color="auto" w:sz="4" w:space="0"/>
              <w:right w:val="single" w:color="auto" w:sz="4" w:space="0"/>
            </w:tcBorders>
            <w:vAlign w:val="center"/>
          </w:tcPr>
          <w:p w14:paraId="18610FC6">
            <w:pPr>
              <w:pStyle w:val="56"/>
              <w:ind w:firstLine="0" w:firstLineChars="0"/>
              <w:jc w:val="center"/>
            </w:pPr>
            <w:r>
              <w:rPr>
                <w:rFonts w:hint="eastAsia"/>
              </w:rPr>
              <w:t>14</w:t>
            </w:r>
          </w:p>
        </w:tc>
        <w:tc>
          <w:tcPr>
            <w:tcW w:w="1869" w:type="dxa"/>
            <w:tcBorders>
              <w:top w:val="single" w:color="auto" w:sz="4" w:space="0"/>
              <w:left w:val="single" w:color="auto" w:sz="4" w:space="0"/>
              <w:bottom w:val="single" w:color="auto" w:sz="4" w:space="0"/>
              <w:right w:val="single" w:color="auto" w:sz="4" w:space="0"/>
            </w:tcBorders>
            <w:vAlign w:val="center"/>
          </w:tcPr>
          <w:p w14:paraId="5EA6D241">
            <w:pPr>
              <w:pStyle w:val="56"/>
              <w:ind w:firstLine="0" w:firstLineChars="0"/>
              <w:jc w:val="center"/>
            </w:pPr>
            <w:r>
              <w:rPr>
                <w:rFonts w:hint="eastAsia"/>
              </w:rPr>
              <w:t>14</w:t>
            </w:r>
          </w:p>
        </w:tc>
        <w:tc>
          <w:tcPr>
            <w:tcW w:w="1869" w:type="dxa"/>
            <w:tcBorders>
              <w:top w:val="single" w:color="auto" w:sz="4" w:space="0"/>
              <w:left w:val="single" w:color="auto" w:sz="4" w:space="0"/>
              <w:bottom w:val="single" w:color="auto" w:sz="4" w:space="0"/>
              <w:right w:val="single" w:color="auto" w:sz="4" w:space="0"/>
            </w:tcBorders>
            <w:vAlign w:val="center"/>
          </w:tcPr>
          <w:p w14:paraId="40DCF1B6">
            <w:pPr>
              <w:pStyle w:val="56"/>
              <w:ind w:firstLine="0" w:firstLineChars="0"/>
              <w:jc w:val="center"/>
            </w:pPr>
            <w:r>
              <w:rPr>
                <w:rFonts w:hint="eastAsia"/>
              </w:rPr>
              <w:t>&gt;5.6</w:t>
            </w:r>
          </w:p>
        </w:tc>
        <w:tc>
          <w:tcPr>
            <w:tcW w:w="1869" w:type="dxa"/>
            <w:tcBorders>
              <w:top w:val="single" w:color="auto" w:sz="4" w:space="0"/>
              <w:left w:val="single" w:color="auto" w:sz="4" w:space="0"/>
              <w:bottom w:val="single" w:color="auto" w:sz="4" w:space="0"/>
              <w:right w:val="single" w:color="auto" w:sz="8" w:space="0"/>
            </w:tcBorders>
            <w:vAlign w:val="center"/>
          </w:tcPr>
          <w:p w14:paraId="7731B4BF">
            <w:pPr>
              <w:pStyle w:val="56"/>
              <w:ind w:firstLine="0" w:firstLineChars="0"/>
              <w:jc w:val="center"/>
            </w:pPr>
            <w:r>
              <w:rPr>
                <w:rFonts w:hint="eastAsia"/>
              </w:rPr>
              <w:t>&gt;5.6</w:t>
            </w:r>
          </w:p>
        </w:tc>
      </w:tr>
      <w:tr w14:paraId="3C0DBE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38EC3F04">
            <w:pPr>
              <w:pStyle w:val="56"/>
              <w:ind w:firstLine="0" w:firstLineChars="0"/>
              <w:jc w:val="center"/>
            </w:pPr>
            <w:r>
              <w:rPr>
                <w:rFonts w:hint="eastAsia"/>
              </w:rPr>
              <w:t>钾（mg）</w:t>
            </w:r>
          </w:p>
        </w:tc>
        <w:tc>
          <w:tcPr>
            <w:tcW w:w="1869" w:type="dxa"/>
            <w:tcBorders>
              <w:top w:val="single" w:color="auto" w:sz="4" w:space="0"/>
              <w:left w:val="single" w:color="auto" w:sz="4" w:space="0"/>
              <w:bottom w:val="single" w:color="auto" w:sz="4" w:space="0"/>
              <w:right w:val="single" w:color="auto" w:sz="4" w:space="0"/>
            </w:tcBorders>
            <w:vAlign w:val="center"/>
          </w:tcPr>
          <w:p w14:paraId="5A3A5937">
            <w:pPr>
              <w:pStyle w:val="56"/>
              <w:ind w:firstLine="0" w:firstLineChars="0"/>
              <w:jc w:val="center"/>
            </w:pPr>
            <w:r>
              <w:rPr>
                <w:rFonts w:hint="eastAsia"/>
              </w:rPr>
              <w:t>2000</w:t>
            </w:r>
          </w:p>
        </w:tc>
        <w:tc>
          <w:tcPr>
            <w:tcW w:w="1869" w:type="dxa"/>
            <w:tcBorders>
              <w:top w:val="single" w:color="auto" w:sz="4" w:space="0"/>
              <w:left w:val="single" w:color="auto" w:sz="4" w:space="0"/>
              <w:bottom w:val="single" w:color="auto" w:sz="4" w:space="0"/>
              <w:right w:val="single" w:color="auto" w:sz="4" w:space="0"/>
            </w:tcBorders>
            <w:vAlign w:val="center"/>
          </w:tcPr>
          <w:p w14:paraId="0B7D67E1">
            <w:pPr>
              <w:pStyle w:val="56"/>
              <w:ind w:firstLine="0" w:firstLineChars="0"/>
              <w:jc w:val="center"/>
            </w:pPr>
            <w:r>
              <w:rPr>
                <w:rFonts w:hint="eastAsia"/>
              </w:rPr>
              <w:t>2000</w:t>
            </w:r>
          </w:p>
        </w:tc>
        <w:tc>
          <w:tcPr>
            <w:tcW w:w="1869" w:type="dxa"/>
            <w:tcBorders>
              <w:top w:val="single" w:color="auto" w:sz="4" w:space="0"/>
              <w:left w:val="single" w:color="auto" w:sz="4" w:space="0"/>
              <w:bottom w:val="single" w:color="auto" w:sz="4" w:space="0"/>
              <w:right w:val="single" w:color="auto" w:sz="4" w:space="0"/>
            </w:tcBorders>
            <w:vAlign w:val="center"/>
          </w:tcPr>
          <w:p w14:paraId="6506CE7F">
            <w:pPr>
              <w:pStyle w:val="56"/>
              <w:ind w:firstLine="0" w:firstLineChars="0"/>
              <w:jc w:val="center"/>
            </w:pPr>
            <w:r>
              <w:rPr>
                <w:rFonts w:hint="eastAsia"/>
              </w:rPr>
              <w:t>&gt;800</w:t>
            </w:r>
          </w:p>
        </w:tc>
        <w:tc>
          <w:tcPr>
            <w:tcW w:w="1869" w:type="dxa"/>
            <w:tcBorders>
              <w:top w:val="single" w:color="auto" w:sz="4" w:space="0"/>
              <w:left w:val="single" w:color="auto" w:sz="4" w:space="0"/>
              <w:bottom w:val="single" w:color="auto" w:sz="4" w:space="0"/>
              <w:right w:val="single" w:color="auto" w:sz="8" w:space="0"/>
            </w:tcBorders>
            <w:vAlign w:val="center"/>
          </w:tcPr>
          <w:p w14:paraId="512CBAF9">
            <w:pPr>
              <w:pStyle w:val="56"/>
              <w:ind w:firstLine="0" w:firstLineChars="0"/>
              <w:jc w:val="center"/>
            </w:pPr>
            <w:r>
              <w:rPr>
                <w:rFonts w:hint="eastAsia"/>
              </w:rPr>
              <w:t>&gt;800</w:t>
            </w:r>
          </w:p>
        </w:tc>
      </w:tr>
      <w:tr w14:paraId="10D46F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764B1DC9">
            <w:pPr>
              <w:pStyle w:val="56"/>
              <w:ind w:firstLine="0" w:firstLineChars="0"/>
              <w:jc w:val="center"/>
            </w:pPr>
            <w:r>
              <w:rPr>
                <w:rFonts w:hint="eastAsia"/>
              </w:rPr>
              <w:t>钠（mg）</w:t>
            </w:r>
          </w:p>
        </w:tc>
        <w:tc>
          <w:tcPr>
            <w:tcW w:w="1869" w:type="dxa"/>
            <w:tcBorders>
              <w:top w:val="single" w:color="auto" w:sz="4" w:space="0"/>
              <w:left w:val="single" w:color="auto" w:sz="4" w:space="0"/>
              <w:bottom w:val="single" w:color="auto" w:sz="4" w:space="0"/>
              <w:right w:val="single" w:color="auto" w:sz="4" w:space="0"/>
            </w:tcBorders>
            <w:vAlign w:val="center"/>
          </w:tcPr>
          <w:p w14:paraId="3AC2AB98">
            <w:pPr>
              <w:pStyle w:val="56"/>
              <w:ind w:firstLine="0" w:firstLineChars="0"/>
              <w:jc w:val="center"/>
            </w:pPr>
            <w:r>
              <w:rPr>
                <w:rFonts w:hint="eastAsia"/>
              </w:rPr>
              <w:t>1400</w:t>
            </w:r>
          </w:p>
        </w:tc>
        <w:tc>
          <w:tcPr>
            <w:tcW w:w="1869" w:type="dxa"/>
            <w:tcBorders>
              <w:top w:val="single" w:color="auto" w:sz="4" w:space="0"/>
              <w:left w:val="single" w:color="auto" w:sz="4" w:space="0"/>
              <w:bottom w:val="single" w:color="auto" w:sz="4" w:space="0"/>
              <w:right w:val="single" w:color="auto" w:sz="4" w:space="0"/>
            </w:tcBorders>
            <w:vAlign w:val="center"/>
          </w:tcPr>
          <w:p w14:paraId="593DBE8F">
            <w:pPr>
              <w:pStyle w:val="56"/>
              <w:ind w:firstLine="0" w:firstLineChars="0"/>
              <w:jc w:val="center"/>
            </w:pPr>
            <w:r>
              <w:rPr>
                <w:rFonts w:hint="eastAsia"/>
              </w:rPr>
              <w:t>1400</w:t>
            </w:r>
          </w:p>
        </w:tc>
        <w:tc>
          <w:tcPr>
            <w:tcW w:w="1869" w:type="dxa"/>
            <w:tcBorders>
              <w:top w:val="single" w:color="auto" w:sz="4" w:space="0"/>
              <w:left w:val="single" w:color="auto" w:sz="4" w:space="0"/>
              <w:bottom w:val="single" w:color="auto" w:sz="4" w:space="0"/>
              <w:right w:val="single" w:color="auto" w:sz="4" w:space="0"/>
            </w:tcBorders>
            <w:vAlign w:val="center"/>
          </w:tcPr>
          <w:p w14:paraId="30C453B5">
            <w:pPr>
              <w:pStyle w:val="56"/>
              <w:ind w:firstLine="0" w:firstLineChars="0"/>
              <w:jc w:val="center"/>
            </w:pPr>
            <w:r>
              <w:rPr>
                <w:rFonts w:hint="eastAsia"/>
              </w:rPr>
              <w:t>≤600</w:t>
            </w:r>
          </w:p>
        </w:tc>
        <w:tc>
          <w:tcPr>
            <w:tcW w:w="1869" w:type="dxa"/>
            <w:tcBorders>
              <w:top w:val="single" w:color="auto" w:sz="4" w:space="0"/>
              <w:left w:val="single" w:color="auto" w:sz="4" w:space="0"/>
              <w:bottom w:val="single" w:color="auto" w:sz="4" w:space="0"/>
              <w:right w:val="single" w:color="auto" w:sz="8" w:space="0"/>
            </w:tcBorders>
            <w:vAlign w:val="center"/>
          </w:tcPr>
          <w:p w14:paraId="76CC25D6">
            <w:pPr>
              <w:pStyle w:val="56"/>
              <w:ind w:firstLine="0" w:firstLineChars="0"/>
              <w:jc w:val="center"/>
            </w:pPr>
            <w:r>
              <w:rPr>
                <w:rFonts w:hint="eastAsia"/>
              </w:rPr>
              <w:t>≤600</w:t>
            </w:r>
          </w:p>
        </w:tc>
      </w:tr>
      <w:tr w14:paraId="41070A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40D35090">
            <w:pPr>
              <w:pStyle w:val="56"/>
              <w:ind w:firstLine="0" w:firstLineChars="0"/>
              <w:jc w:val="center"/>
            </w:pPr>
            <w:r>
              <w:rPr>
                <w:rFonts w:hint="eastAsia"/>
              </w:rPr>
              <w:t>钙（mg）</w:t>
            </w:r>
          </w:p>
        </w:tc>
        <w:tc>
          <w:tcPr>
            <w:tcW w:w="1869" w:type="dxa"/>
            <w:tcBorders>
              <w:top w:val="single" w:color="auto" w:sz="4" w:space="0"/>
              <w:left w:val="single" w:color="auto" w:sz="4" w:space="0"/>
              <w:bottom w:val="single" w:color="auto" w:sz="4" w:space="0"/>
              <w:right w:val="single" w:color="auto" w:sz="4" w:space="0"/>
            </w:tcBorders>
            <w:vAlign w:val="center"/>
          </w:tcPr>
          <w:p w14:paraId="05C68CC4">
            <w:pPr>
              <w:pStyle w:val="56"/>
              <w:ind w:firstLine="0" w:firstLineChars="0"/>
              <w:jc w:val="center"/>
            </w:pPr>
            <w:r>
              <w:rPr>
                <w:rFonts w:hint="eastAsia"/>
              </w:rPr>
              <w:t>800</w:t>
            </w:r>
          </w:p>
        </w:tc>
        <w:tc>
          <w:tcPr>
            <w:tcW w:w="1869" w:type="dxa"/>
            <w:tcBorders>
              <w:top w:val="single" w:color="auto" w:sz="4" w:space="0"/>
              <w:left w:val="single" w:color="auto" w:sz="4" w:space="0"/>
              <w:bottom w:val="single" w:color="auto" w:sz="4" w:space="0"/>
              <w:right w:val="single" w:color="auto" w:sz="4" w:space="0"/>
            </w:tcBorders>
            <w:vAlign w:val="center"/>
          </w:tcPr>
          <w:p w14:paraId="2D12F69F">
            <w:pPr>
              <w:pStyle w:val="56"/>
              <w:ind w:firstLine="0" w:firstLineChars="0"/>
              <w:jc w:val="center"/>
            </w:pPr>
            <w:r>
              <w:rPr>
                <w:rFonts w:hint="eastAsia"/>
              </w:rPr>
              <w:t>800</w:t>
            </w:r>
          </w:p>
        </w:tc>
        <w:tc>
          <w:tcPr>
            <w:tcW w:w="1869" w:type="dxa"/>
            <w:tcBorders>
              <w:top w:val="single" w:color="auto" w:sz="4" w:space="0"/>
              <w:left w:val="single" w:color="auto" w:sz="4" w:space="0"/>
              <w:bottom w:val="single" w:color="auto" w:sz="4" w:space="0"/>
              <w:right w:val="single" w:color="auto" w:sz="4" w:space="0"/>
            </w:tcBorders>
            <w:vAlign w:val="center"/>
          </w:tcPr>
          <w:p w14:paraId="4B8C0D2D">
            <w:pPr>
              <w:pStyle w:val="56"/>
              <w:ind w:firstLine="0" w:firstLineChars="0"/>
              <w:jc w:val="center"/>
            </w:pPr>
            <w:r>
              <w:rPr>
                <w:rFonts w:hint="eastAsia"/>
              </w:rPr>
              <w:t>&gt;320</w:t>
            </w:r>
          </w:p>
        </w:tc>
        <w:tc>
          <w:tcPr>
            <w:tcW w:w="1869" w:type="dxa"/>
            <w:tcBorders>
              <w:top w:val="single" w:color="auto" w:sz="4" w:space="0"/>
              <w:left w:val="single" w:color="auto" w:sz="4" w:space="0"/>
              <w:bottom w:val="single" w:color="auto" w:sz="4" w:space="0"/>
              <w:right w:val="single" w:color="auto" w:sz="8" w:space="0"/>
            </w:tcBorders>
            <w:vAlign w:val="center"/>
          </w:tcPr>
          <w:p w14:paraId="56E241E6">
            <w:pPr>
              <w:pStyle w:val="56"/>
              <w:ind w:firstLine="0" w:firstLineChars="0"/>
              <w:jc w:val="center"/>
            </w:pPr>
            <w:r>
              <w:rPr>
                <w:rFonts w:hint="eastAsia"/>
              </w:rPr>
              <w:t>&gt;400</w:t>
            </w:r>
          </w:p>
        </w:tc>
      </w:tr>
      <w:tr w14:paraId="4910DA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462A59DE">
            <w:pPr>
              <w:pStyle w:val="56"/>
              <w:ind w:firstLine="0" w:firstLineChars="0"/>
              <w:jc w:val="center"/>
            </w:pPr>
            <w:r>
              <w:rPr>
                <w:rFonts w:hint="eastAsia"/>
              </w:rPr>
              <w:t>镁（mg）</w:t>
            </w:r>
          </w:p>
        </w:tc>
        <w:tc>
          <w:tcPr>
            <w:tcW w:w="1869" w:type="dxa"/>
            <w:tcBorders>
              <w:top w:val="single" w:color="auto" w:sz="4" w:space="0"/>
              <w:left w:val="single" w:color="auto" w:sz="4" w:space="0"/>
              <w:bottom w:val="single" w:color="auto" w:sz="4" w:space="0"/>
              <w:right w:val="single" w:color="auto" w:sz="4" w:space="0"/>
            </w:tcBorders>
            <w:vAlign w:val="center"/>
          </w:tcPr>
          <w:p w14:paraId="61C6682C">
            <w:pPr>
              <w:pStyle w:val="56"/>
              <w:ind w:firstLine="0" w:firstLineChars="0"/>
              <w:jc w:val="center"/>
            </w:pPr>
            <w:r>
              <w:rPr>
                <w:rFonts w:hint="eastAsia"/>
              </w:rPr>
              <w:t>310</w:t>
            </w:r>
          </w:p>
        </w:tc>
        <w:tc>
          <w:tcPr>
            <w:tcW w:w="1869" w:type="dxa"/>
            <w:tcBorders>
              <w:top w:val="single" w:color="auto" w:sz="4" w:space="0"/>
              <w:left w:val="single" w:color="auto" w:sz="4" w:space="0"/>
              <w:bottom w:val="single" w:color="auto" w:sz="4" w:space="0"/>
              <w:right w:val="single" w:color="auto" w:sz="4" w:space="0"/>
            </w:tcBorders>
            <w:vAlign w:val="center"/>
          </w:tcPr>
          <w:p w14:paraId="1397479D">
            <w:pPr>
              <w:pStyle w:val="56"/>
              <w:ind w:firstLine="0" w:firstLineChars="0"/>
              <w:jc w:val="center"/>
            </w:pPr>
            <w:r>
              <w:rPr>
                <w:rFonts w:hint="eastAsia"/>
              </w:rPr>
              <w:t>300</w:t>
            </w:r>
          </w:p>
        </w:tc>
        <w:tc>
          <w:tcPr>
            <w:tcW w:w="1869" w:type="dxa"/>
            <w:tcBorders>
              <w:top w:val="single" w:color="auto" w:sz="4" w:space="0"/>
              <w:left w:val="single" w:color="auto" w:sz="4" w:space="0"/>
              <w:bottom w:val="single" w:color="auto" w:sz="4" w:space="0"/>
              <w:right w:val="single" w:color="auto" w:sz="4" w:space="0"/>
            </w:tcBorders>
            <w:vAlign w:val="center"/>
          </w:tcPr>
          <w:p w14:paraId="2DA30D88">
            <w:pPr>
              <w:pStyle w:val="56"/>
              <w:ind w:firstLine="0" w:firstLineChars="0"/>
              <w:jc w:val="center"/>
            </w:pPr>
            <w:r>
              <w:rPr>
                <w:rFonts w:hint="eastAsia"/>
              </w:rPr>
              <w:t>&gt;124</w:t>
            </w:r>
          </w:p>
        </w:tc>
        <w:tc>
          <w:tcPr>
            <w:tcW w:w="1869" w:type="dxa"/>
            <w:tcBorders>
              <w:top w:val="single" w:color="auto" w:sz="4" w:space="0"/>
              <w:left w:val="single" w:color="auto" w:sz="4" w:space="0"/>
              <w:bottom w:val="single" w:color="auto" w:sz="4" w:space="0"/>
              <w:right w:val="single" w:color="auto" w:sz="8" w:space="0"/>
            </w:tcBorders>
            <w:vAlign w:val="center"/>
          </w:tcPr>
          <w:p w14:paraId="634AD66C">
            <w:pPr>
              <w:pStyle w:val="56"/>
              <w:ind w:firstLine="0" w:firstLineChars="0"/>
              <w:jc w:val="center"/>
            </w:pPr>
            <w:r>
              <w:rPr>
                <w:rFonts w:hint="eastAsia"/>
              </w:rPr>
              <w:t>&gt;120</w:t>
            </w:r>
          </w:p>
        </w:tc>
      </w:tr>
      <w:tr w14:paraId="12DD3A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4" w:space="0"/>
              <w:right w:val="single" w:color="auto" w:sz="4" w:space="0"/>
            </w:tcBorders>
            <w:vAlign w:val="center"/>
          </w:tcPr>
          <w:p w14:paraId="268934DB">
            <w:pPr>
              <w:pStyle w:val="56"/>
              <w:ind w:firstLine="0" w:firstLineChars="0"/>
              <w:jc w:val="center"/>
            </w:pPr>
            <w:r>
              <w:rPr>
                <w:rFonts w:hint="eastAsia"/>
              </w:rPr>
              <w:t>铁（mg）</w:t>
            </w:r>
          </w:p>
        </w:tc>
        <w:tc>
          <w:tcPr>
            <w:tcW w:w="1869" w:type="dxa"/>
            <w:tcBorders>
              <w:top w:val="single" w:color="auto" w:sz="4" w:space="0"/>
              <w:left w:val="single" w:color="auto" w:sz="4" w:space="0"/>
              <w:bottom w:val="single" w:color="auto" w:sz="4" w:space="0"/>
              <w:right w:val="single" w:color="auto" w:sz="4" w:space="0"/>
            </w:tcBorders>
            <w:vAlign w:val="center"/>
          </w:tcPr>
          <w:p w14:paraId="78BD8820">
            <w:pPr>
              <w:pStyle w:val="56"/>
              <w:ind w:firstLine="0" w:firstLineChars="0"/>
              <w:jc w:val="center"/>
            </w:pPr>
            <w:r>
              <w:rPr>
                <w:rFonts w:hint="eastAsia"/>
              </w:rPr>
              <w:t>11</w:t>
            </w:r>
          </w:p>
        </w:tc>
        <w:tc>
          <w:tcPr>
            <w:tcW w:w="1869" w:type="dxa"/>
            <w:tcBorders>
              <w:top w:val="single" w:color="auto" w:sz="4" w:space="0"/>
              <w:left w:val="single" w:color="auto" w:sz="4" w:space="0"/>
              <w:bottom w:val="single" w:color="auto" w:sz="4" w:space="0"/>
              <w:right w:val="single" w:color="auto" w:sz="4" w:space="0"/>
            </w:tcBorders>
            <w:vAlign w:val="center"/>
          </w:tcPr>
          <w:p w14:paraId="1A1C3A46">
            <w:pPr>
              <w:pStyle w:val="56"/>
              <w:ind w:firstLine="0" w:firstLineChars="0"/>
              <w:jc w:val="center"/>
            </w:pPr>
            <w:r>
              <w:rPr>
                <w:rFonts w:hint="eastAsia"/>
              </w:rPr>
              <w:t>10～12</w:t>
            </w:r>
          </w:p>
        </w:tc>
        <w:tc>
          <w:tcPr>
            <w:tcW w:w="1869" w:type="dxa"/>
            <w:tcBorders>
              <w:top w:val="single" w:color="auto" w:sz="4" w:space="0"/>
              <w:left w:val="single" w:color="auto" w:sz="4" w:space="0"/>
              <w:bottom w:val="single" w:color="auto" w:sz="4" w:space="0"/>
              <w:right w:val="single" w:color="auto" w:sz="4" w:space="0"/>
            </w:tcBorders>
            <w:vAlign w:val="center"/>
          </w:tcPr>
          <w:p w14:paraId="47F452A4">
            <w:pPr>
              <w:pStyle w:val="56"/>
              <w:ind w:firstLine="0" w:firstLineChars="0"/>
              <w:jc w:val="center"/>
            </w:pPr>
            <w:r>
              <w:rPr>
                <w:rFonts w:hint="eastAsia"/>
              </w:rPr>
              <w:t>&gt;4.4</w:t>
            </w:r>
          </w:p>
        </w:tc>
        <w:tc>
          <w:tcPr>
            <w:tcW w:w="1869" w:type="dxa"/>
            <w:tcBorders>
              <w:top w:val="single" w:color="auto" w:sz="4" w:space="0"/>
              <w:left w:val="single" w:color="auto" w:sz="4" w:space="0"/>
              <w:bottom w:val="single" w:color="auto" w:sz="4" w:space="0"/>
              <w:right w:val="single" w:color="auto" w:sz="8" w:space="0"/>
            </w:tcBorders>
            <w:vAlign w:val="center"/>
          </w:tcPr>
          <w:p w14:paraId="031334CC">
            <w:pPr>
              <w:pStyle w:val="56"/>
              <w:ind w:firstLine="0" w:firstLineChars="0"/>
              <w:jc w:val="center"/>
            </w:pPr>
            <w:r>
              <w:rPr>
                <w:rFonts w:hint="eastAsia"/>
              </w:rPr>
              <w:t>&gt;4</w:t>
            </w:r>
          </w:p>
        </w:tc>
      </w:tr>
      <w:tr w14:paraId="10DB60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868" w:type="dxa"/>
            <w:tcBorders>
              <w:top w:val="single" w:color="auto" w:sz="4" w:space="0"/>
              <w:left w:val="single" w:color="auto" w:sz="8" w:space="0"/>
              <w:bottom w:val="single" w:color="auto" w:sz="8" w:space="0"/>
              <w:right w:val="single" w:color="auto" w:sz="4" w:space="0"/>
            </w:tcBorders>
            <w:vAlign w:val="center"/>
          </w:tcPr>
          <w:p w14:paraId="4C0994B7">
            <w:pPr>
              <w:pStyle w:val="56"/>
              <w:ind w:firstLine="0" w:firstLineChars="0"/>
              <w:jc w:val="center"/>
            </w:pPr>
            <w:r>
              <w:rPr>
                <w:rFonts w:hint="eastAsia"/>
              </w:rPr>
              <w:t>膳食纤维（g）</w:t>
            </w:r>
          </w:p>
        </w:tc>
        <w:tc>
          <w:tcPr>
            <w:tcW w:w="1869" w:type="dxa"/>
            <w:tcBorders>
              <w:top w:val="single" w:color="auto" w:sz="4" w:space="0"/>
              <w:left w:val="single" w:color="auto" w:sz="4" w:space="0"/>
              <w:bottom w:val="single" w:color="auto" w:sz="8" w:space="0"/>
              <w:right w:val="single" w:color="auto" w:sz="4" w:space="0"/>
            </w:tcBorders>
            <w:vAlign w:val="center"/>
          </w:tcPr>
          <w:p w14:paraId="269B0899">
            <w:pPr>
              <w:pStyle w:val="56"/>
              <w:ind w:firstLine="0" w:firstLineChars="0"/>
              <w:jc w:val="center"/>
            </w:pPr>
            <w:r>
              <w:rPr>
                <w:rFonts w:hint="eastAsia"/>
              </w:rPr>
              <w:t>25～30</w:t>
            </w:r>
          </w:p>
        </w:tc>
        <w:tc>
          <w:tcPr>
            <w:tcW w:w="1869" w:type="dxa"/>
            <w:tcBorders>
              <w:top w:val="single" w:color="auto" w:sz="4" w:space="0"/>
              <w:left w:val="single" w:color="auto" w:sz="4" w:space="0"/>
              <w:bottom w:val="single" w:color="auto" w:sz="8" w:space="0"/>
              <w:right w:val="single" w:color="auto" w:sz="4" w:space="0"/>
            </w:tcBorders>
            <w:vAlign w:val="center"/>
          </w:tcPr>
          <w:p w14:paraId="24A5A070">
            <w:pPr>
              <w:pStyle w:val="56"/>
              <w:ind w:firstLine="0" w:firstLineChars="0"/>
              <w:jc w:val="center"/>
            </w:pPr>
            <w:r>
              <w:rPr>
                <w:rFonts w:hint="eastAsia"/>
              </w:rPr>
              <w:t>25～30</w:t>
            </w:r>
          </w:p>
        </w:tc>
        <w:tc>
          <w:tcPr>
            <w:tcW w:w="1869" w:type="dxa"/>
            <w:tcBorders>
              <w:top w:val="single" w:color="auto" w:sz="4" w:space="0"/>
              <w:left w:val="single" w:color="auto" w:sz="4" w:space="0"/>
              <w:bottom w:val="single" w:color="auto" w:sz="8" w:space="0"/>
              <w:right w:val="single" w:color="auto" w:sz="4" w:space="0"/>
            </w:tcBorders>
            <w:vAlign w:val="center"/>
          </w:tcPr>
          <w:p w14:paraId="0108ADC7">
            <w:pPr>
              <w:pStyle w:val="56"/>
              <w:ind w:firstLine="0" w:firstLineChars="0"/>
              <w:jc w:val="center"/>
            </w:pPr>
            <w:r>
              <w:rPr>
                <w:rFonts w:hint="eastAsia"/>
              </w:rPr>
              <w:t>&gt;10</w:t>
            </w:r>
          </w:p>
        </w:tc>
        <w:tc>
          <w:tcPr>
            <w:tcW w:w="1869" w:type="dxa"/>
            <w:tcBorders>
              <w:top w:val="single" w:color="auto" w:sz="4" w:space="0"/>
              <w:left w:val="single" w:color="auto" w:sz="4" w:space="0"/>
              <w:bottom w:val="single" w:color="auto" w:sz="8" w:space="0"/>
              <w:right w:val="single" w:color="auto" w:sz="8" w:space="0"/>
            </w:tcBorders>
            <w:vAlign w:val="center"/>
          </w:tcPr>
          <w:p w14:paraId="44FF4A8A">
            <w:pPr>
              <w:pStyle w:val="56"/>
              <w:ind w:firstLine="0" w:firstLineChars="0"/>
              <w:jc w:val="center"/>
            </w:pPr>
            <w:r>
              <w:rPr>
                <w:rFonts w:hint="eastAsia"/>
              </w:rPr>
              <w:t>&gt;10</w:t>
            </w:r>
          </w:p>
        </w:tc>
      </w:tr>
      <w:bookmarkEnd w:id="94"/>
    </w:tbl>
    <w:p w14:paraId="0A4A1597">
      <w:pPr>
        <w:pStyle w:val="56"/>
        <w:ind w:firstLine="0" w:firstLineChars="0"/>
        <w:sectPr>
          <w:pgSz w:w="11906" w:h="16838"/>
          <w:pgMar w:top="1928" w:right="1134" w:bottom="1134" w:left="1134" w:header="1418" w:footer="1134" w:gutter="284"/>
          <w:cols w:space="425" w:num="1"/>
          <w:formProt w:val="0"/>
          <w:docGrid w:linePitch="312" w:charSpace="0"/>
        </w:sectPr>
      </w:pPr>
      <w:bookmarkStart w:id="99" w:name="BookMark6"/>
    </w:p>
    <w:p w14:paraId="29FD4FAE">
      <w:pPr>
        <w:pStyle w:val="63"/>
        <w:spacing w:after="120"/>
      </w:pPr>
      <w:bookmarkStart w:id="100" w:name="_Toc188608987"/>
      <w:bookmarkStart w:id="101" w:name="_Toc188608974"/>
      <w:r>
        <w:rPr>
          <w:rFonts w:hint="eastAsia"/>
          <w:spacing w:val="105"/>
        </w:rPr>
        <w:t>参考文</w:t>
      </w:r>
      <w:r>
        <w:rPr>
          <w:rFonts w:hint="eastAsia"/>
        </w:rPr>
        <w:t>献</w:t>
      </w:r>
      <w:bookmarkEnd w:id="100"/>
      <w:bookmarkEnd w:id="101"/>
    </w:p>
    <w:p w14:paraId="7751A0F1">
      <w:pPr>
        <w:pStyle w:val="56"/>
        <w:ind w:firstLine="420"/>
      </w:pPr>
      <w:r>
        <w:rPr>
          <w:rFonts w:hint="eastAsia"/>
        </w:rPr>
        <w:t>【1】《中国居民膳食指南2022版》</w:t>
      </w:r>
    </w:p>
    <w:p w14:paraId="5C780C51">
      <w:pPr>
        <w:pStyle w:val="56"/>
        <w:ind w:firstLine="420"/>
      </w:pPr>
      <w:r>
        <w:rPr>
          <w:rFonts w:hint="eastAsia"/>
        </w:rPr>
        <w:t>【2】《中国老年人膳食指南（2022）》</w:t>
      </w:r>
    </w:p>
    <w:p w14:paraId="0C2882CB">
      <w:pPr>
        <w:pStyle w:val="56"/>
        <w:ind w:firstLine="420"/>
      </w:pPr>
      <w:r>
        <w:rPr>
          <w:rFonts w:hint="eastAsia"/>
        </w:rPr>
        <w:t>【3】DB34/T 4458-2023《老年助餐服务膳食配制指南》</w:t>
      </w:r>
    </w:p>
    <w:bookmarkEnd w:id="99"/>
    <w:p w14:paraId="0B771862">
      <w:pPr>
        <w:pStyle w:val="56"/>
        <w:ind w:firstLine="0" w:firstLineChars="0"/>
        <w:jc w:val="center"/>
      </w:pPr>
      <w:bookmarkStart w:id="102" w:name="BookMark8"/>
      <w:r>
        <w:rPr>
          <w:rFonts w:hint="eastAsia"/>
        </w:rPr>
        <w:drawing>
          <wp:inline distT="0" distB="0" distL="0" distR="0">
            <wp:extent cx="1485900" cy="317500"/>
            <wp:effectExtent l="0" t="0" r="0" b="6350"/>
            <wp:docPr id="1413288083" name="图片 25"/>
            <wp:cNvGraphicFramePr/>
            <a:graphic xmlns:a="http://schemas.openxmlformats.org/drawingml/2006/main">
              <a:graphicData uri="http://schemas.openxmlformats.org/drawingml/2006/picture">
                <pic:pic xmlns:pic="http://schemas.openxmlformats.org/drawingml/2006/picture">
                  <pic:nvPicPr>
                    <pic:cNvPr id="1413288083" name="图片 25"/>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8D03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BED9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ACAB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AEFBB">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E92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D7C8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E3DD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243A6">
    <w:pPr>
      <w:pStyle w:val="61"/>
      <w:rPr>
        <w:rFonts w:hint="eastAsia"/>
      </w:rPr>
    </w:pPr>
    <w:r>
      <w:fldChar w:fldCharType="begin"/>
    </w:r>
    <w:r>
      <w:instrText xml:space="preserve"> STYLEREF  标准文件_文件编号  \* MERGEFORMAT </w:instrText>
    </w:r>
    <w:r>
      <w:fldChar w:fldCharType="separate"/>
    </w:r>
    <w:r>
      <w:t>T/CCA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514C64">
    <w:pPr>
      <w:pStyle w:val="18"/>
      <w:jc w:val="right"/>
    </w:pPr>
    <w:r>
      <w:fldChar w:fldCharType="begin"/>
    </w:r>
    <w:r>
      <w:instrText xml:space="preserve"> STYLEREF  标准文件_文件编号  \* MERGEFORMAT </w:instrText>
    </w:r>
    <w:r>
      <w:fldChar w:fldCharType="separate"/>
    </w:r>
    <w:r>
      <w:t>T/CCA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7645591"/>
    <w:multiLevelType w:val="multilevel"/>
    <w:tmpl w:val="27645591"/>
    <w:lvl w:ilvl="0" w:tentative="0">
      <w:start w:val="1"/>
      <w:numFmt w:val="none"/>
      <w:suff w:val="nothing"/>
      <w:lvlText w:val="%1示例："/>
      <w:lvlJc w:val="left"/>
      <w:pPr>
        <w:ind w:left="0" w:firstLine="363"/>
      </w:pPr>
      <w:rPr>
        <w:rFonts w:hint="eastAsia" w:ascii="黑体" w:hAnsi="黑体" w:eastAsia="黑体"/>
        <w:b w:val="0"/>
        <w:i w:val="0"/>
        <w:sz w:val="18"/>
        <w:szCs w:val="18"/>
      </w:rPr>
    </w:lvl>
    <w:lvl w:ilvl="1" w:tentative="0">
      <w:start w:val="1"/>
      <w:numFmt w:val="lowerLetter"/>
      <w:lvlText w:val="%2)"/>
      <w:lvlJc w:val="left"/>
      <w:pPr>
        <w:tabs>
          <w:tab w:val="left" w:pos="363"/>
        </w:tabs>
        <w:ind w:left="0" w:firstLine="363"/>
      </w:pPr>
      <w:rPr>
        <w:rFonts w:hint="eastAsia" w:ascii="宋体" w:hAnsi="宋体" w:eastAsia="宋体"/>
      </w:rPr>
    </w:lvl>
    <w:lvl w:ilvl="2" w:tentative="0">
      <w:start w:val="1"/>
      <w:numFmt w:val="lowerRoman"/>
      <w:lvlText w:val="%3."/>
      <w:lvlJc w:val="right"/>
      <w:pPr>
        <w:tabs>
          <w:tab w:val="left" w:pos="363"/>
        </w:tabs>
        <w:ind w:left="0" w:firstLine="363"/>
      </w:pPr>
      <w:rPr>
        <w:rFonts w:hint="eastAsia" w:ascii="宋体" w:hAnsi="宋体" w:eastAsia="宋体"/>
      </w:rPr>
    </w:lvl>
    <w:lvl w:ilvl="3" w:tentative="0">
      <w:start w:val="1"/>
      <w:numFmt w:val="decimal"/>
      <w:lvlText w:val="%4."/>
      <w:lvlJc w:val="left"/>
      <w:pPr>
        <w:tabs>
          <w:tab w:val="left" w:pos="363"/>
        </w:tabs>
        <w:ind w:left="0" w:firstLine="363"/>
      </w:pPr>
      <w:rPr>
        <w:rFonts w:hint="eastAsia" w:ascii="宋体" w:hAnsi="宋体" w:eastAsia="宋体"/>
      </w:rPr>
    </w:lvl>
    <w:lvl w:ilvl="4" w:tentative="0">
      <w:start w:val="1"/>
      <w:numFmt w:val="lowerLetter"/>
      <w:lvlText w:val="%5)"/>
      <w:lvlJc w:val="left"/>
      <w:pPr>
        <w:tabs>
          <w:tab w:val="left" w:pos="363"/>
        </w:tabs>
        <w:ind w:left="0" w:firstLine="363"/>
      </w:pPr>
      <w:rPr>
        <w:rFonts w:hint="eastAsia" w:ascii="宋体" w:hAnsi="宋体" w:eastAsia="宋体"/>
      </w:rPr>
    </w:lvl>
    <w:lvl w:ilvl="5" w:tentative="0">
      <w:start w:val="1"/>
      <w:numFmt w:val="lowerRoman"/>
      <w:lvlText w:val="%6."/>
      <w:lvlJc w:val="right"/>
      <w:pPr>
        <w:tabs>
          <w:tab w:val="left" w:pos="363"/>
        </w:tabs>
        <w:ind w:left="0" w:firstLine="363"/>
      </w:pPr>
      <w:rPr>
        <w:rFonts w:hint="eastAsia" w:ascii="宋体" w:hAnsi="宋体" w:eastAsia="宋体"/>
      </w:rPr>
    </w:lvl>
    <w:lvl w:ilvl="6" w:tentative="0">
      <w:start w:val="1"/>
      <w:numFmt w:val="decimal"/>
      <w:lvlText w:val="%7."/>
      <w:lvlJc w:val="left"/>
      <w:pPr>
        <w:tabs>
          <w:tab w:val="left" w:pos="363"/>
        </w:tabs>
        <w:ind w:left="0" w:firstLine="363"/>
      </w:pPr>
      <w:rPr>
        <w:rFonts w:hint="eastAsia" w:ascii="宋体" w:hAnsi="宋体" w:eastAsia="宋体"/>
      </w:rPr>
    </w:lvl>
    <w:lvl w:ilvl="7" w:tentative="0">
      <w:start w:val="1"/>
      <w:numFmt w:val="lowerLetter"/>
      <w:lvlText w:val="%8)"/>
      <w:lvlJc w:val="left"/>
      <w:pPr>
        <w:tabs>
          <w:tab w:val="left" w:pos="363"/>
        </w:tabs>
        <w:ind w:left="0" w:firstLine="363"/>
      </w:pPr>
      <w:rPr>
        <w:rFonts w:hint="eastAsia" w:ascii="宋体" w:hAnsi="宋体" w:eastAsia="宋体"/>
      </w:rPr>
    </w:lvl>
    <w:lvl w:ilvl="8" w:tentative="0">
      <w:start w:val="1"/>
      <w:numFmt w:val="lowerRoman"/>
      <w:lvlText w:val="%9."/>
      <w:lvlJc w:val="right"/>
      <w:pPr>
        <w:tabs>
          <w:tab w:val="left" w:pos="363"/>
        </w:tabs>
        <w:ind w:left="0" w:firstLine="363"/>
      </w:pPr>
      <w:rPr>
        <w:rFonts w:hint="eastAsia" w:ascii="宋体" w:hAnsi="宋体" w:eastAsia="宋体"/>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7246981"/>
    <w:multiLevelType w:val="multilevel"/>
    <w:tmpl w:val="77246981"/>
    <w:lvl w:ilvl="0" w:tentative="0">
      <w:start w:val="1"/>
      <w:numFmt w:val="none"/>
      <w:suff w:val="nothing"/>
      <w:lvlText w:val="%1示例："/>
      <w:lvlJc w:val="left"/>
      <w:pPr>
        <w:ind w:left="0" w:firstLine="363"/>
      </w:pPr>
      <w:rPr>
        <w:rFonts w:hint="eastAsia" w:ascii="黑体" w:hAnsi="黑体" w:eastAsia="黑体"/>
        <w:b w:val="0"/>
        <w:i w:val="0"/>
        <w:sz w:val="18"/>
        <w:szCs w:val="18"/>
      </w:rPr>
    </w:lvl>
    <w:lvl w:ilvl="1" w:tentative="0">
      <w:start w:val="1"/>
      <w:numFmt w:val="lowerLetter"/>
      <w:lvlText w:val="%2)"/>
      <w:lvlJc w:val="left"/>
      <w:pPr>
        <w:tabs>
          <w:tab w:val="left" w:pos="363"/>
        </w:tabs>
        <w:ind w:left="0" w:firstLine="363"/>
      </w:pPr>
      <w:rPr>
        <w:rFonts w:hint="eastAsia" w:ascii="宋体" w:hAnsi="宋体" w:eastAsia="宋体"/>
      </w:rPr>
    </w:lvl>
    <w:lvl w:ilvl="2" w:tentative="0">
      <w:start w:val="1"/>
      <w:numFmt w:val="lowerRoman"/>
      <w:lvlText w:val="%3."/>
      <w:lvlJc w:val="right"/>
      <w:pPr>
        <w:tabs>
          <w:tab w:val="left" w:pos="363"/>
        </w:tabs>
        <w:ind w:left="0" w:firstLine="363"/>
      </w:pPr>
      <w:rPr>
        <w:rFonts w:hint="eastAsia" w:ascii="宋体" w:hAnsi="宋体" w:eastAsia="宋体"/>
      </w:rPr>
    </w:lvl>
    <w:lvl w:ilvl="3" w:tentative="0">
      <w:start w:val="1"/>
      <w:numFmt w:val="decimal"/>
      <w:lvlText w:val="%4."/>
      <w:lvlJc w:val="left"/>
      <w:pPr>
        <w:tabs>
          <w:tab w:val="left" w:pos="363"/>
        </w:tabs>
        <w:ind w:left="0" w:firstLine="363"/>
      </w:pPr>
      <w:rPr>
        <w:rFonts w:hint="eastAsia" w:ascii="宋体" w:hAnsi="宋体" w:eastAsia="宋体"/>
      </w:rPr>
    </w:lvl>
    <w:lvl w:ilvl="4" w:tentative="0">
      <w:start w:val="1"/>
      <w:numFmt w:val="lowerLetter"/>
      <w:lvlText w:val="%5)"/>
      <w:lvlJc w:val="left"/>
      <w:pPr>
        <w:tabs>
          <w:tab w:val="left" w:pos="363"/>
        </w:tabs>
        <w:ind w:left="0" w:firstLine="363"/>
      </w:pPr>
      <w:rPr>
        <w:rFonts w:hint="eastAsia" w:ascii="宋体" w:hAnsi="宋体" w:eastAsia="宋体"/>
      </w:rPr>
    </w:lvl>
    <w:lvl w:ilvl="5" w:tentative="0">
      <w:start w:val="1"/>
      <w:numFmt w:val="lowerRoman"/>
      <w:lvlText w:val="%6."/>
      <w:lvlJc w:val="right"/>
      <w:pPr>
        <w:tabs>
          <w:tab w:val="left" w:pos="363"/>
        </w:tabs>
        <w:ind w:left="0" w:firstLine="363"/>
      </w:pPr>
      <w:rPr>
        <w:rFonts w:hint="eastAsia" w:ascii="宋体" w:hAnsi="宋体" w:eastAsia="宋体"/>
      </w:rPr>
    </w:lvl>
    <w:lvl w:ilvl="6" w:tentative="0">
      <w:start w:val="1"/>
      <w:numFmt w:val="decimal"/>
      <w:lvlText w:val="%7."/>
      <w:lvlJc w:val="left"/>
      <w:pPr>
        <w:tabs>
          <w:tab w:val="left" w:pos="363"/>
        </w:tabs>
        <w:ind w:left="0" w:firstLine="363"/>
      </w:pPr>
      <w:rPr>
        <w:rFonts w:hint="eastAsia" w:ascii="宋体" w:hAnsi="宋体" w:eastAsia="宋体"/>
      </w:rPr>
    </w:lvl>
    <w:lvl w:ilvl="7" w:tentative="0">
      <w:start w:val="1"/>
      <w:numFmt w:val="lowerLetter"/>
      <w:lvlText w:val="%8)"/>
      <w:lvlJc w:val="left"/>
      <w:pPr>
        <w:tabs>
          <w:tab w:val="left" w:pos="363"/>
        </w:tabs>
        <w:ind w:left="0" w:firstLine="363"/>
      </w:pPr>
      <w:rPr>
        <w:rFonts w:hint="eastAsia" w:ascii="宋体" w:hAnsi="宋体" w:eastAsia="宋体"/>
      </w:rPr>
    </w:lvl>
    <w:lvl w:ilvl="8" w:tentative="0">
      <w:start w:val="1"/>
      <w:numFmt w:val="lowerRoman"/>
      <w:lvlText w:val="%9."/>
      <w:lvlJc w:val="right"/>
      <w:pPr>
        <w:tabs>
          <w:tab w:val="left" w:pos="363"/>
        </w:tabs>
        <w:ind w:left="0" w:firstLine="363"/>
      </w:pPr>
      <w:rPr>
        <w:rFonts w:hint="eastAsia" w:ascii="宋体" w:hAnsi="宋体" w:eastAsia="宋体"/>
      </w:r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1"/>
  <w:bordersDoNotSurroundFooter w:val="1"/>
  <w:attachedTemplate r:id="rId1"/>
  <w:documentProtection w:edit="forms" w:enforcement="1" w:cryptProviderType="rsaAES" w:cryptAlgorithmClass="hash" w:cryptAlgorithmType="typeAny" w:cryptAlgorithmSid="14" w:cryptSpinCount="100000" w:hash="r2ejJOMMC/9E9mFMQtEqMCH7LvI8jR+rjqhIxFlhB9JGUCM85Uism4goPc16xLLONGbzc5KcElv46erw+AXoZA==" w:salt="FplSfkH2Asqc3X2r4hvPn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81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867"/>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179EE"/>
    <w:rsid w:val="00124E4F"/>
    <w:rsid w:val="001260B7"/>
    <w:rsid w:val="001265CB"/>
    <w:rsid w:val="00130F3C"/>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383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497"/>
    <w:rsid w:val="003A4AA7"/>
    <w:rsid w:val="003A4ACB"/>
    <w:rsid w:val="003B09AD"/>
    <w:rsid w:val="003B1F18"/>
    <w:rsid w:val="003B5BF0"/>
    <w:rsid w:val="003B60BF"/>
    <w:rsid w:val="003B6BE3"/>
    <w:rsid w:val="003C010C"/>
    <w:rsid w:val="003C0A6C"/>
    <w:rsid w:val="003C14F8"/>
    <w:rsid w:val="003C2813"/>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1A87"/>
    <w:rsid w:val="004028B1"/>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57D5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91B"/>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C6F"/>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644"/>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41A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E23"/>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036"/>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370"/>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5B73"/>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EDD"/>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6F3"/>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6D1"/>
    <w:rsid w:val="00C7287F"/>
    <w:rsid w:val="00C80CB8"/>
    <w:rsid w:val="00C819F8"/>
    <w:rsid w:val="00C8248C"/>
    <w:rsid w:val="00C84E33"/>
    <w:rsid w:val="00C85A1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B4F"/>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8EC"/>
    <w:rsid w:val="00DA64F8"/>
    <w:rsid w:val="00DA6C15"/>
    <w:rsid w:val="00DB0258"/>
    <w:rsid w:val="00DB38EE"/>
    <w:rsid w:val="00DB498B"/>
    <w:rsid w:val="00DB66CA"/>
    <w:rsid w:val="00DB6BCA"/>
    <w:rsid w:val="00DB6F54"/>
    <w:rsid w:val="00DB73F7"/>
    <w:rsid w:val="00DC0321"/>
    <w:rsid w:val="00DC202F"/>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77FDE"/>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94D0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CA7A7923D474AC0BA372C9DD9F0960E"/>
        <w:style w:val=""/>
        <w:category>
          <w:name w:val="常规"/>
          <w:gallery w:val="placeholder"/>
        </w:category>
        <w:types>
          <w:type w:val="bbPlcHdr"/>
        </w:types>
        <w:behaviors>
          <w:behavior w:val="content"/>
        </w:behaviors>
        <w:description w:val=""/>
        <w:guid w:val="{81DC6F27-4A98-4833-B829-B1E240FB63DB}"/>
      </w:docPartPr>
      <w:docPartBody>
        <w:p w14:paraId="516D470D">
          <w:pPr>
            <w:pStyle w:val="5"/>
            <w:rPr>
              <w:rFonts w:hint="eastAsia"/>
            </w:rPr>
          </w:pPr>
          <w:r>
            <w:rPr>
              <w:rStyle w:val="4"/>
              <w:rFonts w:hint="eastAsia"/>
            </w:rPr>
            <w:t>单击或点击此处输入文字。</w:t>
          </w:r>
        </w:p>
      </w:docPartBody>
    </w:docPart>
    <w:docPart>
      <w:docPartPr>
        <w:name w:val="89269AEEB4C44E738C4F57B006AD5542"/>
        <w:style w:val=""/>
        <w:category>
          <w:name w:val="常规"/>
          <w:gallery w:val="placeholder"/>
        </w:category>
        <w:types>
          <w:type w:val="bbPlcHdr"/>
        </w:types>
        <w:behaviors>
          <w:behavior w:val="content"/>
        </w:behaviors>
        <w:description w:val=""/>
        <w:guid w:val="{E679914C-81B8-476B-BA4B-10CBEBB5B100}"/>
      </w:docPartPr>
      <w:docPartBody>
        <w:p w14:paraId="1C2304E0">
          <w:pPr>
            <w:pStyle w:val="6"/>
            <w:rPr>
              <w:rFonts w:hint="eastAsia"/>
            </w:rPr>
          </w:pPr>
          <w:r>
            <w:rPr>
              <w:rStyle w:val="4"/>
              <w:rFonts w:hint="eastAsia"/>
            </w:rPr>
            <w:t>选择一项。</w:t>
          </w:r>
        </w:p>
      </w:docPartBody>
    </w:docPart>
    <w:docPart>
      <w:docPartPr>
        <w:name w:val="56FB82223C674E67AA30D486A96EB546"/>
        <w:style w:val=""/>
        <w:category>
          <w:name w:val="常规"/>
          <w:gallery w:val="placeholder"/>
        </w:category>
        <w:types>
          <w:type w:val="bbPlcHdr"/>
        </w:types>
        <w:behaviors>
          <w:behavior w:val="content"/>
        </w:behaviors>
        <w:description w:val=""/>
        <w:guid w:val="{E0BFC289-B100-4C47-A131-27EFF454FEF1}"/>
      </w:docPartPr>
      <w:docPartBody>
        <w:p w14:paraId="1CC4496C">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F6D"/>
    <w:rsid w:val="0009755D"/>
    <w:rsid w:val="001179EE"/>
    <w:rsid w:val="001A5347"/>
    <w:rsid w:val="004F3F6D"/>
    <w:rsid w:val="00766644"/>
    <w:rsid w:val="00855A62"/>
    <w:rsid w:val="00DC2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CA7A7923D474AC0BA372C9DD9F0960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9269AEEB4C44E738C4F57B006AD554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6FB82223C674E67AA30D486A96EB54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4299</Words>
  <Characters>4828</Characters>
  <Lines>49</Lines>
  <Paragraphs>13</Paragraphs>
  <TotalTime>2</TotalTime>
  <ScaleCrop>false</ScaleCrop>
  <LinksUpToDate>false</LinksUpToDate>
  <CharactersWithSpaces>4974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2025-01-24T01:13:00Z</dcterms:created>
  <dc:creator>Xiaoli Song</dc:creator>
  <dc:description>&lt;config cover="true" show_menu="true" version="1.0.0" doctype="SDKXY"&gt;_x000d_
&lt;/config&gt;</dc:description>
  <cp:lastModifiedBy>Eva</cp:lastModifiedBy>
  <cp:lastPrinted>2021-02-02T08:22:00Z</cp:lastPrinted>
  <dcterms:modified xsi:type="dcterms:W3CDTF">2025-01-24T07:57:49Z</dcterms:modified>
  <dc:title>团体标准</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eyJoZGlkIjoiNjgzOWU0MDhlN2ExZGZiMjYzNGFiOTIwZDI4OTkxYjUiLCJ1c2VySWQiOiIyMTAwNDYyNDEifQ==</vt:lpwstr>
  </property>
  <property fmtid="{D5CDD505-2E9C-101B-9397-08002B2CF9AE}" pid="15" name="KSOProductBuildVer">
    <vt:lpwstr>2052-12.1.0.19770</vt:lpwstr>
  </property>
  <property fmtid="{D5CDD505-2E9C-101B-9397-08002B2CF9AE}" pid="16" name="ICV">
    <vt:lpwstr>A752042AF67E428DA8429A0732B4610E_12</vt:lpwstr>
  </property>
</Properties>
</file>