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F4698D">
      <w:pPr>
        <w:pStyle w:val="86"/>
        <w:framePr w:wrap="around"/>
      </w:pPr>
      <w:r>
        <w:rPr>
          <w:rFonts w:ascii="Times New Roman"/>
        </w:rPr>
        <w:t>ICS</w:t>
      </w:r>
      <w:r>
        <w:rPr>
          <w:rFonts w:hint="eastAsia" w:ascii="MS Mincho" w:hAnsi="MS Mincho" w:eastAsia="MS Mincho" w:cs="MS Mincho"/>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t>     </w:t>
      </w:r>
      <w:r>
        <w:fldChar w:fldCharType="end"/>
      </w:r>
      <w:bookmarkEnd w:id="0"/>
    </w:p>
    <w:p w14:paraId="3D8E53D9">
      <w:pPr>
        <w:pStyle w:val="86"/>
        <w:framePr w:wrap="around"/>
      </w:pPr>
      <w:bookmarkStart w:id="1" w:name="WXFLH"/>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点击此处添加中国标准文献分类号</w:t>
      </w:r>
      <w:r>
        <w:fldChar w:fldCharType="end"/>
      </w:r>
      <w:bookmarkEnd w:id="1"/>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14:paraId="26AC26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noWrap/>
          </w:tcPr>
          <w:p w14:paraId="6CC08E0A">
            <w:pPr>
              <w:pStyle w:val="86"/>
              <w:framePr w:wrap="around"/>
            </w:pPr>
            <w: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4"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a:effectLst/>
                            </wps:spPr>
                            <wps:bodyPr wrap="square" upright="1"/>
                          </wps:wsp>
                        </a:graphicData>
                      </a:graphic>
                    </wp:anchor>
                  </w:drawing>
                </mc:Choice>
                <mc:Fallback>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Miu&#10;L+zVAAAABwEAAA8AAAAAAAAAAQAgAAAAIgAAAGRycy9kb3ducmV2LnhtbFBLAQIUABQAAAAIAIdO&#10;4kCbSbXqtAEAAHUDAAAOAAAAAAAAAAEAIAAAACQBAABkcnMvZTJvRG9jLnhtbFBLBQYAAAAABgAG&#10;AFkBAABKBQAAAAA=&#10;">
                      <v:fill on="t" focussize="0,0"/>
                      <v:stroke on="f"/>
                      <v:imagedata o:title=""/>
                      <o:lock v:ext="edit" aspectratio="f"/>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14:paraId="335847A6">
      <w:pPr>
        <w:pStyle w:val="83"/>
        <w:framePr w:wrap="around"/>
      </w:pPr>
      <w:r>
        <w:t>DB</w:t>
      </w:r>
      <w:bookmarkStart w:id="3" w:name="c3"/>
      <w:r>
        <w:fldChar w:fldCharType="begin">
          <w:ffData>
            <w:name w:val="c3"/>
            <w:enabled/>
            <w:calcOnExit w:val="0"/>
            <w:entryMacro w:val="ShowHelp16"/>
            <w:textInput>
              <w:maxLength w:val="2"/>
            </w:textInput>
          </w:ffData>
        </w:fldChar>
      </w:r>
      <w:r>
        <w:instrText xml:space="preserve"> FORMTEXT </w:instrText>
      </w:r>
      <w:r>
        <w:fldChar w:fldCharType="separate"/>
      </w:r>
      <w:r>
        <w:t>  </w:t>
      </w:r>
      <w:r>
        <w:fldChar w:fldCharType="end"/>
      </w:r>
      <w:bookmarkEnd w:id="3"/>
    </w:p>
    <w:p w14:paraId="4BDD4793">
      <w:pPr>
        <w:pStyle w:val="89"/>
        <w:framePr w:wrap="around"/>
      </w:pPr>
      <w:bookmarkStart w:id="4" w:name="c4"/>
      <w:r>
        <w:fldChar w:fldCharType="begin">
          <w:ffData>
            <w:name w:val="c4"/>
            <w:enabled/>
            <w:calcOnExit w:val="0"/>
            <w:entryMacro w:val="showhelp12"/>
            <w:textInput/>
          </w:ffData>
        </w:fldChar>
      </w:r>
      <w:r>
        <w:instrText xml:space="preserve"> FORMTEXT </w:instrText>
      </w:r>
      <w:r>
        <w:fldChar w:fldCharType="separate"/>
      </w:r>
      <w:r>
        <w:rPr>
          <w:rFonts w:hint="eastAsia"/>
        </w:rPr>
        <w:t>河北省</w:t>
      </w:r>
      <w:r>
        <w:fldChar w:fldCharType="end"/>
      </w:r>
      <w:bookmarkEnd w:id="4"/>
      <w:r>
        <w:rPr>
          <w:rFonts w:hint="eastAsia"/>
        </w:rPr>
        <w:t>地方标准</w:t>
      </w:r>
    </w:p>
    <w:p w14:paraId="7FBBC42D">
      <w:pPr>
        <w:pStyle w:val="118"/>
        <w:framePr w:wrap="around"/>
      </w:pPr>
      <w:r>
        <w:rPr>
          <w:rFonts w:ascii="Times New Roman"/>
        </w:rPr>
        <w:t xml:space="preserve">DB </w:t>
      </w:r>
      <w:bookmarkStart w:id="5" w:name="StdNo0"/>
      <w:r>
        <w:fldChar w:fldCharType="begin">
          <w:ffData>
            <w:name w:val="StdNo0"/>
            <w:enabled/>
            <w:calcOnExit w:val="0"/>
            <w:textInput>
              <w:default w:val="XX"/>
              <w:maxLength w:val="2"/>
            </w:textInput>
          </w:ffData>
        </w:fldChar>
      </w:r>
      <w:r>
        <w:instrText xml:space="preserve"> FORMTEXT </w:instrText>
      </w:r>
      <w:r>
        <w:fldChar w:fldCharType="separate"/>
      </w:r>
      <w:r>
        <w:t>XX</w:t>
      </w:r>
      <w:r>
        <w:fldChar w:fldCharType="end"/>
      </w:r>
      <w:bookmarkEnd w:id="5"/>
      <w:r>
        <w:t xml:space="preserve">/ </w:t>
      </w:r>
      <w:bookmarkStart w:id="6" w:name="StdNo1"/>
      <w:r>
        <w:fldChar w:fldCharType="begin">
          <w:ffData>
            <w:name w:val="StdNo1"/>
            <w:enabled/>
            <w:calcOnExit w:val="0"/>
            <w:textInput>
              <w:default w:val="XXXXX"/>
            </w:textInput>
          </w:ffData>
        </w:fldChar>
      </w:r>
      <w:r>
        <w:instrText xml:space="preserve"> FORMTEXT </w:instrText>
      </w:r>
      <w:r>
        <w:fldChar w:fldCharType="separate"/>
      </w:r>
      <w:r>
        <w:t>XXXXX</w:t>
      </w:r>
      <w:r>
        <w:fldChar w:fldCharType="end"/>
      </w:r>
      <w:bookmarkEnd w:id="6"/>
      <w:r>
        <w:t>—</w:t>
      </w:r>
      <w:bookmarkStart w:id="7"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7"/>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0CE9F5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noWrap/>
          </w:tcPr>
          <w:p w14:paraId="12206585">
            <w:pPr>
              <w:pStyle w:val="68"/>
              <w:framePr w:wrap="around"/>
            </w:pPr>
            <w:bookmarkStart w:id="8" w:name="DT"/>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8"/>
          </w:p>
        </w:tc>
      </w:tr>
    </w:tbl>
    <w:p w14:paraId="24A0428B">
      <w:pPr>
        <w:pStyle w:val="118"/>
        <w:framePr w:wrap="around"/>
      </w:pPr>
    </w:p>
    <w:p w14:paraId="3F4BB780">
      <w:pPr>
        <w:pStyle w:val="118"/>
        <w:framePr w:wrap="around"/>
      </w:pPr>
    </w:p>
    <w:p w14:paraId="6D33446A">
      <w:pPr>
        <w:pStyle w:val="49"/>
        <w:framePr w:wrap="around"/>
      </w:pPr>
      <w:bookmarkStart w:id="9" w:name="StdName"/>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rPr>
        <w:t>旱碱麦</w:t>
      </w:r>
      <w:r>
        <w:rPr>
          <w:rFonts w:hint="eastAsia"/>
          <w:lang w:eastAsia="zh-CN"/>
        </w:rPr>
        <w:t>绿色</w:t>
      </w:r>
      <w:r>
        <w:rPr>
          <w:rFonts w:hint="eastAsia"/>
        </w:rPr>
        <w:t>生产技术规程</w:t>
      </w:r>
      <w:r>
        <w:fldChar w:fldCharType="end"/>
      </w:r>
      <w:bookmarkEnd w:id="9"/>
    </w:p>
    <w:p w14:paraId="29081DBC">
      <w:pPr>
        <w:pStyle w:val="61"/>
        <w:framePr w:wrap="around"/>
      </w:pPr>
      <w:bookmarkStart w:id="10" w:name="StdEnglishName"/>
      <w:r>
        <w:fldChar w:fldCharType="begin">
          <w:ffData>
            <w:name w:val="StdEnglishName"/>
            <w:enabled/>
            <w:calcOnExit w:val="0"/>
            <w:textInput>
              <w:default w:val="点击此处添加标准英文译名"/>
            </w:textInput>
          </w:ffData>
        </w:fldChar>
      </w:r>
      <w:r>
        <w:instrText xml:space="preserve"> FORMTEXT </w:instrText>
      </w:r>
      <w:r>
        <w:fldChar w:fldCharType="separate"/>
      </w:r>
      <w:r>
        <w:t>     </w:t>
      </w:r>
      <w:r>
        <w:fldChar w:fldCharType="end"/>
      </w:r>
      <w:bookmarkEnd w:id="10"/>
    </w:p>
    <w:p w14:paraId="5255A2E1">
      <w:pPr>
        <w:pStyle w:val="60"/>
        <w:framePr w:wrap="around"/>
      </w:pPr>
      <w:bookmarkStart w:id="11" w:name="YZBS"/>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rPr>
        <w:t>点击此处添加与国际标准一致性程度的标识</w:t>
      </w:r>
      <w:r>
        <w:fldChar w:fldCharType="end"/>
      </w:r>
      <w:bookmarkEnd w:id="11"/>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07808E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tcPr>
          <w:p w14:paraId="586C8933">
            <w:pPr>
              <w:pStyle w:val="59"/>
              <w:framePr w:wrap="around"/>
            </w:pPr>
            <w: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4281805</wp:posOffset>
                      </wp:positionV>
                      <wp:extent cx="1905000" cy="254000"/>
                      <wp:effectExtent l="0" t="0" r="0" b="12700"/>
                      <wp:wrapNone/>
                      <wp:docPr id="3"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a:effectLst/>
                            </wps:spPr>
                            <wps:bodyPr wrap="square" upright="1"/>
                          </wps:wsp>
                        </a:graphicData>
                      </a:graphic>
                    </wp:anchor>
                  </w:drawing>
                </mc:Choice>
                <mc:Fallback>
                  <w:pict>
                    <v:rect id="RQ" o:spid="_x0000_s1026" o:spt="1" style="position:absolute;left:0pt;margin-left:173.3pt;margin-top:337.15pt;height:20pt;width:150pt;z-index:-251655168;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39f34NcA&#10;AAALAQAADwAAAAAAAAABACAAAAAiAAAAZHJzL2Rvd25yZXYueG1sUEsBAhQAFAAAAAgAh07iQCRf&#10;A0uuAQAAdQMAAA4AAAAAAAAAAQAgAAAAJgEAAGRycy9lMm9Eb2MueG1sUEsFBgAAAAAGAAYAWQEA&#10;AEYFAAAAAA==&#10;">
                      <v:fill on="t" focussize="0,0"/>
                      <v:stroke on="f"/>
                      <v:imagedata o:title=""/>
                      <o:lock v:ext="edit" aspectratio="f"/>
                      <w10:anchorlock/>
                    </v:rect>
                  </w:pict>
                </mc:Fallback>
              </mc:AlternateConten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2" w:name="LB"/>
            <w:r>
              <w:instrText xml:space="preserve"> FORMDROPDOWN </w:instrText>
            </w:r>
            <w:r>
              <w:fldChar w:fldCharType="separate"/>
            </w:r>
            <w:r>
              <w:fldChar w:fldCharType="end"/>
            </w:r>
            <w:bookmarkEnd w:id="12"/>
          </w:p>
        </w:tc>
      </w:tr>
      <w:tr w14:paraId="136C2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tcPr>
          <w:p w14:paraId="784FA685">
            <w:pPr>
              <w:pStyle w:val="58"/>
              <w:framePr w:wrap="around"/>
            </w:pPr>
            <w:bookmarkStart w:id="13" w:name="WCRQ"/>
            <w:r>
              <w:fldChar w:fldCharType="begin">
                <w:ffData>
                  <w:name w:val="WCRQ"/>
                  <w:enabled/>
                  <w:calcOnExit w:val="0"/>
                  <w:textInput/>
                </w:ffData>
              </w:fldChar>
            </w:r>
            <w:r>
              <w:instrText xml:space="preserve"> FORMTEXT </w:instrText>
            </w:r>
            <w:r>
              <w:fldChar w:fldCharType="separate"/>
            </w:r>
            <w:r>
              <w:t>     </w:t>
            </w:r>
            <w:r>
              <w:fldChar w:fldCharType="end"/>
            </w:r>
            <w:bookmarkEnd w:id="13"/>
          </w:p>
        </w:tc>
      </w:tr>
    </w:tbl>
    <w:p w14:paraId="0E81690F">
      <w:pPr>
        <w:pStyle w:val="75"/>
        <w:framePr w:wrap="around"/>
      </w:pPr>
      <w:bookmarkStart w:id="14" w:name="FY"/>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rPr>
          <w:rFonts w:ascii="黑体"/>
        </w:rPr>
        <w:t>-</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ascii="黑体"/>
        </w:rPr>
        <w:t>-</w:t>
      </w:r>
      <w:bookmarkStart w:id="15"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r>
        <mc:AlternateContent>
          <mc:Choice Requires="wps">
            <w:drawing>
              <wp:anchor distT="0" distB="0" distL="114300" distR="114300" simplePos="0" relativeHeight="251663360" behindDoc="0" locked="1" layoutInCell="1" allowOverlap="1">
                <wp:simplePos x="0" y="0"/>
                <wp:positionH relativeFrom="column">
                  <wp:posOffset>-635</wp:posOffset>
                </wp:positionH>
                <wp:positionV relativeFrom="page">
                  <wp:posOffset>9251950</wp:posOffset>
                </wp:positionV>
                <wp:extent cx="6120130" cy="0"/>
                <wp:effectExtent l="0" t="4445" r="0" b="5080"/>
                <wp:wrapNone/>
                <wp:docPr id="5"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10" o:spid="_x0000_s1026" o:spt="20" style="position:absolute;left:0pt;margin-left:-0.05pt;margin-top:728.5pt;height:0pt;width:481.9pt;mso-position-vertical-relative:page;z-index:251663360;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Ydr&#10;PNYAAAALAQAADwAAAAAAAAABACAAAAAiAAAAZHJzL2Rvd25yZXYueG1sUEsBAhQAFAAAAAgAh07i&#10;QO+lZmrrAQAA6gMAAA4AAAAAAAAAAQAgAAAAJQEAAGRycy9lMm9Eb2MueG1sUEsFBgAAAAAGAAYA&#10;WQEAAIIFAAAAAA==&#10;">
                <v:fill on="f" focussize="0,0"/>
                <v:stroke color="#000000" joinstyle="round"/>
                <v:imagedata o:title=""/>
                <o:lock v:ext="edit" aspectratio="f"/>
                <w10:anchorlock/>
              </v:line>
            </w:pict>
          </mc:Fallback>
        </mc:AlternateContent>
      </w:r>
    </w:p>
    <w:p w14:paraId="38608E26">
      <w:pPr>
        <w:pStyle w:val="119"/>
        <w:framePr w:wrap="around"/>
      </w:pPr>
      <w:bookmarkStart w:id="16" w:name="SY"/>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rPr>
          <w:rFonts w:ascii="黑体"/>
        </w:rPr>
        <w:t>-</w:t>
      </w:r>
      <w:bookmarkStart w:id="17"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ascii="黑体"/>
        </w:rPr>
        <w:t>-</w:t>
      </w:r>
      <w:bookmarkStart w:id="18"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74F124D8">
      <w:pPr>
        <w:pStyle w:val="104"/>
        <w:framePr w:wrap="around"/>
      </w:pPr>
      <w:bookmarkStart w:id="19" w:name="fm"/>
      <w:r>
        <w:rPr>
          <w:w w:val="100"/>
        </w:rPr>
        <mc:AlternateContent>
          <mc:Choice Requires="wps">
            <w:drawing>
              <wp:anchor distT="0" distB="0" distL="114300" distR="114300" simplePos="0" relativeHeight="251660288" behindDoc="1" locked="0" layoutInCell="1" allowOverlap="1">
                <wp:simplePos x="0" y="0"/>
                <wp:positionH relativeFrom="column">
                  <wp:posOffset>1810385</wp:posOffset>
                </wp:positionH>
                <wp:positionV relativeFrom="paragraph">
                  <wp:posOffset>-3942715</wp:posOffset>
                </wp:positionV>
                <wp:extent cx="1270000" cy="304800"/>
                <wp:effectExtent l="0" t="0" r="6350" b="0"/>
                <wp:wrapNone/>
                <wp:docPr id="2"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a:effectLst/>
                      </wps:spPr>
                      <wps:bodyPr wrap="square" upright="1"/>
                    </wps:wsp>
                  </a:graphicData>
                </a:graphic>
              </wp:anchor>
            </w:drawing>
          </mc:Choice>
          <mc:Fallback>
            <w:pict>
              <v:rect id="LB" o:spid="_x0000_s1026" o:spt="1" style="position:absolute;left:0pt;margin-left:142.55pt;margin-top:-310.45pt;height:24pt;width:100pt;z-index:-251656192;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Pm17tbZ&#10;AAAADQEAAA8AAAAAAAAAAQAgAAAAIgAAAGRycy9kb3ducmV2LnhtbFBLAQIUABQAAAAIAIdO4kDR&#10;wSXSrQEAAHUDAAAOAAAAAAAAAAEAIAAAACgBAABkcnMvZTJvRG9jLnhtbFBLBQYAAAAABgAGAFkB&#10;AABHBQAAAAA=&#10;">
                <v:fill on="t" focussize="0,0"/>
                <v:stroke on="f"/>
                <v:imagedata o:title=""/>
                <o:lock v:ext="edit" aspectratio="f"/>
              </v:rect>
            </w:pict>
          </mc:Fallback>
        </mc:AlternateContent>
      </w:r>
      <w:r>
        <w:rPr>
          <w:w w:val="100"/>
        </w:rPr>
        <mc:AlternateContent>
          <mc:Choice Requires="wps">
            <w:drawing>
              <wp:anchor distT="0" distB="0" distL="114300" distR="114300" simplePos="0" relativeHeight="251659264"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a:effectLst/>
                      </wps:spPr>
                      <wps:bodyPr wrap="square" upright="1"/>
                    </wps:wsp>
                  </a:graphicData>
                </a:graphic>
              </wp:anchor>
            </w:drawing>
          </mc:Choice>
          <mc:Fallback>
            <w:pict>
              <v:rect id="DT" o:spid="_x0000_s1026" o:spt="1" style="position:absolute;left:0pt;margin-left:347.55pt;margin-top:-585.45pt;height:18pt;width:90pt;z-index:-251657216;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fyYoR&#10;2gAAAA8BAAAPAAAAAAAAAAEAIAAAACIAAABkcnMvZG93bnJldi54bWxQSwECFAAUAAAACACHTuJA&#10;9UY0560BAAB1AwAADgAAAAAAAAABACAAAAApAQAAZHJzL2Uyb0RvYy54bWxQSwUGAAAAAAYABgBZ&#10;AQAASAUAAAAA&#10;">
                <v:fill on="t" focussize="0,0"/>
                <v:stroke on="f"/>
                <v:imagedata o:title=""/>
                <o:lock v:ext="edit" aspectratio="f"/>
              </v:rect>
            </w:pict>
          </mc:Fallback>
        </mc:AlternateContent>
      </w:r>
      <w:r>
        <w:rPr>
          <w:w w:val="100"/>
        </w:rPr>
        <mc:AlternateContent>
          <mc:Choice Requires="wps">
            <w:drawing>
              <wp:anchor distT="0" distB="0" distL="114300" distR="114300" simplePos="0" relativeHeight="251664384" behindDoc="0" locked="0" layoutInCell="1" allowOverlap="1">
                <wp:simplePos x="0" y="0"/>
                <wp:positionH relativeFrom="column">
                  <wp:posOffset>-464820</wp:posOffset>
                </wp:positionH>
                <wp:positionV relativeFrom="paragraph">
                  <wp:posOffset>-7021195</wp:posOffset>
                </wp:positionV>
                <wp:extent cx="6120130" cy="0"/>
                <wp:effectExtent l="0" t="4445" r="0" b="5080"/>
                <wp:wrapNone/>
                <wp:docPr id="6"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11" o:spid="_x0000_s1026" o:spt="20" style="position:absolute;left:0pt;margin-left:-36.6pt;margin-top:-552.85pt;height:0pt;width:481.9pt;z-index:251664384;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OyWRoNgAAAAPAQAADwAAAAAAAAABACAAAAAiAAAAZHJzL2Rvd25yZXYueG1sUEsBAhQAFAAAAAgA&#10;h07iQFLRpObsAQAA6gMAAA4AAAAAAAAAAQAgAAAAJwEAAGRycy9lMm9Eb2MueG1sUEsFBgAAAAAG&#10;AAYAWQEAAIUFAAAAAA==&#10;">
                <v:fill on="f" focussize="0,0"/>
                <v:stroke color="#000000" joinstyle="round"/>
                <v:imagedata o:title=""/>
                <o:lock v:ext="edit" aspectratio="f"/>
              </v:line>
            </w:pict>
          </mc:Fallback>
        </mc:AlternateContent>
      </w:r>
      <w:r>
        <w:fldChar w:fldCharType="begin">
          <w:ffData>
            <w:name w:val="fm"/>
            <w:enabled/>
            <w:calcOnExit w:val="0"/>
            <w:textInput/>
          </w:ffData>
        </w:fldChar>
      </w:r>
      <w:r>
        <w:instrText xml:space="preserve"> FORMTEXT </w:instrText>
      </w:r>
      <w:r>
        <w:fldChar w:fldCharType="separate"/>
      </w:r>
      <w:r>
        <w:rPr>
          <w:rFonts w:hint="eastAsia"/>
        </w:rPr>
        <w:t>河北省市场监督管理局</w:t>
      </w:r>
      <w:r>
        <w:fldChar w:fldCharType="end"/>
      </w:r>
      <w:bookmarkEnd w:id="19"/>
      <w:r>
        <w:t>   </w:t>
      </w:r>
      <w:r>
        <w:rPr>
          <w:rStyle w:val="133"/>
          <w:rFonts w:hint="eastAsia"/>
        </w:rPr>
        <w:t>发布</w:t>
      </w:r>
    </w:p>
    <w:p w14:paraId="330C6F85">
      <w:pPr>
        <w:pStyle w:val="22"/>
        <w:sectPr>
          <w:pgSz w:w="11906" w:h="16838"/>
          <w:pgMar w:top="567" w:right="850" w:bottom="1134" w:left="1418" w:header="0" w:footer="0" w:gutter="0"/>
          <w:pgNumType w:start="1"/>
          <w:cols w:space="720" w:num="1"/>
          <w:docGrid w:type="lines" w:linePitch="312" w:charSpace="0"/>
        </w:sectPr>
      </w:pPr>
    </w:p>
    <w:p w14:paraId="0D5AA8E9">
      <w:pPr>
        <w:pStyle w:val="92"/>
      </w:pPr>
      <w:r>
        <w:rPr>
          <w:rFonts w:hint="eastAsia"/>
        </w:rPr>
        <w:t>前</w:t>
      </w:r>
      <w:bookmarkStart w:id="20" w:name="BKQY"/>
      <w:r>
        <w:t>  </w:t>
      </w:r>
      <w:r>
        <w:rPr>
          <w:rFonts w:hint="eastAsia"/>
        </w:rPr>
        <w:t>言</w:t>
      </w:r>
      <w:bookmarkEnd w:id="20"/>
    </w:p>
    <w:p w14:paraId="6ACFAC05">
      <w:pPr>
        <w:pStyle w:val="22"/>
        <w:rPr>
          <w:szCs w:val="22"/>
        </w:rPr>
      </w:pPr>
      <w:r>
        <w:rPr>
          <w:rFonts w:hint="eastAsia"/>
        </w:rPr>
        <w:t>本文件按照GB/T 1.1-2020《标准化工作导则 第1部分：标准化文件的结构和起草规则》的规定起草。</w:t>
      </w:r>
    </w:p>
    <w:p w14:paraId="4B93ED56">
      <w:pPr>
        <w:widowControl/>
        <w:tabs>
          <w:tab w:val="center" w:pos="4201"/>
          <w:tab w:val="right" w:leader="dot" w:pos="9298"/>
        </w:tabs>
        <w:autoSpaceDE w:val="0"/>
        <w:autoSpaceDN w:val="0"/>
        <w:ind w:firstLine="420" w:firstLineChars="200"/>
        <w:rPr>
          <w:rFonts w:ascii="宋体"/>
          <w:kern w:val="0"/>
          <w:szCs w:val="20"/>
        </w:rPr>
      </w:pPr>
      <w:r>
        <w:rPr>
          <w:rFonts w:hint="eastAsia" w:ascii="宋体"/>
          <w:kern w:val="0"/>
          <w:szCs w:val="20"/>
        </w:rPr>
        <w:t>本文件由河北省农业农村厅提出。</w:t>
      </w:r>
    </w:p>
    <w:p w14:paraId="2EE633B3">
      <w:pPr>
        <w:widowControl/>
        <w:tabs>
          <w:tab w:val="center" w:pos="4201"/>
          <w:tab w:val="right" w:leader="dot" w:pos="9298"/>
        </w:tabs>
        <w:autoSpaceDE w:val="0"/>
        <w:autoSpaceDN w:val="0"/>
        <w:ind w:firstLine="420" w:firstLineChars="200"/>
        <w:rPr>
          <w:rFonts w:ascii="宋体"/>
          <w:kern w:val="0"/>
          <w:szCs w:val="20"/>
        </w:rPr>
      </w:pPr>
      <w:r>
        <w:rPr>
          <w:rFonts w:hint="eastAsia" w:ascii="宋体"/>
          <w:kern w:val="0"/>
          <w:szCs w:val="20"/>
        </w:rPr>
        <w:t>本文件起草单位：沧州市农林科学院、</w:t>
      </w:r>
      <w:r>
        <w:rPr>
          <w:rFonts w:hint="eastAsia" w:ascii="宋体"/>
          <w:kern w:val="0"/>
          <w:szCs w:val="20"/>
          <w:lang w:eastAsia="zh-CN"/>
        </w:rPr>
        <w:t>沧县建丰农机</w:t>
      </w:r>
      <w:r>
        <w:rPr>
          <w:rFonts w:hint="eastAsia" w:ascii="宋体" w:hAnsi="Times New Roman" w:eastAsia="宋体" w:cs="Times New Roman"/>
          <w:kern w:val="0"/>
          <w:szCs w:val="20"/>
          <w:lang w:val="en-US" w:eastAsia="zh-CN"/>
        </w:rPr>
        <w:t>专业合作社</w:t>
      </w:r>
      <w:r>
        <w:rPr>
          <w:rFonts w:hint="eastAsia" w:ascii="宋体" w:hAnsi="Times New Roman" w:eastAsia="宋体" w:cs="Times New Roman"/>
          <w:kern w:val="0"/>
          <w:szCs w:val="20"/>
          <w:lang w:eastAsia="zh-CN"/>
        </w:rPr>
        <w:t>。</w:t>
      </w:r>
    </w:p>
    <w:p w14:paraId="45B5B77C">
      <w:pPr>
        <w:widowControl/>
        <w:tabs>
          <w:tab w:val="center" w:pos="4201"/>
          <w:tab w:val="right" w:leader="dot" w:pos="9298"/>
        </w:tabs>
        <w:autoSpaceDE w:val="0"/>
        <w:autoSpaceDN w:val="0"/>
        <w:ind w:firstLine="420" w:firstLineChars="200"/>
        <w:rPr>
          <w:rFonts w:hint="default" w:ascii="宋体" w:eastAsia="宋体"/>
          <w:kern w:val="0"/>
          <w:szCs w:val="20"/>
          <w:lang w:val="en-US" w:eastAsia="zh-CN"/>
        </w:rPr>
      </w:pPr>
      <w:r>
        <w:rPr>
          <w:rFonts w:hint="eastAsia" w:ascii="宋体"/>
          <w:kern w:val="0"/>
          <w:szCs w:val="20"/>
        </w:rPr>
        <w:t>本文件主要起草人：肖宇、张明军、卢相义、滕霄、冯珺珩、牛翠云、徐婧、张承礼、刘博、高建海、曹志涛。</w:t>
      </w:r>
    </w:p>
    <w:p w14:paraId="4C17E5EC">
      <w:pPr>
        <w:widowControl/>
        <w:tabs>
          <w:tab w:val="center" w:pos="4201"/>
          <w:tab w:val="right" w:leader="dot" w:pos="9298"/>
        </w:tabs>
        <w:autoSpaceDE w:val="0"/>
        <w:autoSpaceDN w:val="0"/>
        <w:ind w:firstLine="420" w:firstLineChars="200"/>
        <w:rPr>
          <w:rFonts w:hint="eastAsia" w:ascii="宋体"/>
          <w:kern w:val="0"/>
          <w:szCs w:val="20"/>
        </w:rPr>
      </w:pPr>
    </w:p>
    <w:p w14:paraId="60B09ED1">
      <w:pPr>
        <w:widowControl/>
        <w:tabs>
          <w:tab w:val="center" w:pos="4201"/>
          <w:tab w:val="right" w:leader="dot" w:pos="9298"/>
        </w:tabs>
        <w:autoSpaceDE w:val="0"/>
        <w:autoSpaceDN w:val="0"/>
        <w:ind w:firstLine="420" w:firstLineChars="200"/>
        <w:rPr>
          <w:rFonts w:hint="eastAsia" w:ascii="宋体"/>
          <w:kern w:val="0"/>
          <w:szCs w:val="20"/>
        </w:rPr>
      </w:pPr>
    </w:p>
    <w:p w14:paraId="62AB39AC">
      <w:pPr>
        <w:widowControl/>
        <w:tabs>
          <w:tab w:val="center" w:pos="4201"/>
          <w:tab w:val="right" w:leader="dot" w:pos="9298"/>
        </w:tabs>
        <w:autoSpaceDE w:val="0"/>
        <w:autoSpaceDN w:val="0"/>
        <w:ind w:firstLine="420" w:firstLineChars="200"/>
        <w:rPr>
          <w:rFonts w:hint="eastAsia" w:ascii="宋体"/>
          <w:kern w:val="0"/>
          <w:szCs w:val="20"/>
        </w:rPr>
        <w:sectPr>
          <w:headerReference r:id="rId3" w:type="default"/>
          <w:footerReference r:id="rId4" w:type="default"/>
          <w:pgSz w:w="11906" w:h="16838"/>
          <w:pgMar w:top="567" w:right="1134" w:bottom="1134" w:left="1418" w:header="1418" w:footer="1134" w:gutter="0"/>
          <w:pgNumType w:fmt="upperRoman" w:start="1"/>
          <w:cols w:space="720" w:num="1"/>
          <w:formProt w:val="0"/>
          <w:docGrid w:type="lines" w:linePitch="312" w:charSpace="0"/>
        </w:sectPr>
      </w:pPr>
    </w:p>
    <w:p w14:paraId="25864982">
      <w:pPr>
        <w:pStyle w:val="115"/>
      </w:pPr>
      <w:bookmarkStart w:id="21" w:name="StandardName"/>
      <w:r>
        <w:rPr>
          <w:rFonts w:hint="eastAsia"/>
        </w:rPr>
        <w:t>旱碱麦</w:t>
      </w:r>
      <w:r>
        <w:rPr>
          <w:rFonts w:hint="eastAsia"/>
          <w:lang w:val="en-US" w:eastAsia="zh-CN"/>
        </w:rPr>
        <w:t>绿色</w:t>
      </w:r>
      <w:r>
        <w:rPr>
          <w:rFonts w:hint="eastAsia"/>
        </w:rPr>
        <w:t>生产技术规程</w:t>
      </w:r>
      <w:bookmarkEnd w:id="21"/>
    </w:p>
    <w:p w14:paraId="5C6A729A">
      <w:pPr>
        <w:pStyle w:val="47"/>
        <w:keepNext w:val="0"/>
        <w:keepLines w:val="0"/>
        <w:pageBreakBefore w:val="0"/>
        <w:kinsoku/>
        <w:wordWrap/>
        <w:overflowPunct/>
        <w:topLinePunct w:val="0"/>
        <w:bidi w:val="0"/>
        <w:spacing w:beforeLines="0" w:afterLines="0" w:line="440" w:lineRule="exact"/>
        <w:ind w:left="0"/>
        <w:textAlignment w:val="auto"/>
      </w:pPr>
      <w:r>
        <w:rPr>
          <w:rFonts w:hint="eastAsia"/>
        </w:rPr>
        <w:t xml:space="preserve">范围      </w:t>
      </w:r>
    </w:p>
    <w:p w14:paraId="6EBB8215">
      <w:pPr>
        <w:keepNext w:val="0"/>
        <w:keepLines w:val="0"/>
        <w:pageBreakBefore w:val="0"/>
        <w:kinsoku/>
        <w:wordWrap/>
        <w:overflowPunct/>
        <w:topLinePunct w:val="0"/>
        <w:bidi w:val="0"/>
        <w:spacing w:line="440" w:lineRule="exact"/>
        <w:ind w:left="0" w:firstLine="411" w:firstLineChars="196"/>
        <w:textAlignment w:val="auto"/>
        <w:rPr>
          <w:rFonts w:ascii="宋体" w:hAnsi="宋体"/>
          <w:szCs w:val="21"/>
        </w:rPr>
      </w:pPr>
      <w:r>
        <w:rPr>
          <w:rFonts w:hint="eastAsia" w:ascii="宋体" w:hAnsi="宋体"/>
          <w:kern w:val="0"/>
          <w:szCs w:val="21"/>
        </w:rPr>
        <w:t>本文件规定了</w:t>
      </w:r>
      <w:r>
        <w:rPr>
          <w:rFonts w:hint="eastAsia"/>
        </w:rPr>
        <w:t>旱碱麦</w:t>
      </w:r>
      <w:r>
        <w:rPr>
          <w:rFonts w:hint="eastAsia"/>
          <w:lang w:val="en-US" w:eastAsia="zh-CN"/>
        </w:rPr>
        <w:t>绿色</w:t>
      </w:r>
      <w:r>
        <w:rPr>
          <w:rFonts w:hint="eastAsia"/>
        </w:rPr>
        <w:t>生产技术的术语和定义、播前准备、品种选择及种子处理、播种、冬前管理、春季管理、中后期管理及收获等</w:t>
      </w:r>
      <w:r>
        <w:rPr>
          <w:rFonts w:hint="eastAsia" w:ascii="宋体" w:hAnsi="宋体"/>
          <w:kern w:val="0"/>
          <w:szCs w:val="21"/>
        </w:rPr>
        <w:t>。</w:t>
      </w:r>
    </w:p>
    <w:p w14:paraId="5A283ED7">
      <w:pPr>
        <w:pStyle w:val="22"/>
        <w:keepNext w:val="0"/>
        <w:keepLines w:val="0"/>
        <w:pageBreakBefore w:val="0"/>
        <w:kinsoku/>
        <w:wordWrap/>
        <w:overflowPunct/>
        <w:topLinePunct w:val="0"/>
        <w:bidi w:val="0"/>
        <w:spacing w:line="440" w:lineRule="exact"/>
        <w:ind w:left="0"/>
        <w:textAlignment w:val="auto"/>
        <w:rPr>
          <w:color w:val="FF0000"/>
        </w:rPr>
      </w:pPr>
      <w:r>
        <w:rPr>
          <w:rFonts w:hint="eastAsia" w:hAnsi="宋体"/>
          <w:szCs w:val="21"/>
        </w:rPr>
        <w:t>本文件</w:t>
      </w:r>
      <w:r>
        <w:rPr>
          <w:rFonts w:hint="eastAsia"/>
        </w:rPr>
        <w:t>适用于河北省</w:t>
      </w:r>
      <w:r>
        <w:rPr>
          <w:rFonts w:hint="eastAsia"/>
          <w:lang w:val="en-US" w:eastAsia="zh-CN"/>
        </w:rPr>
        <w:t>滨海低平原区旱碱麦绿色</w:t>
      </w:r>
      <w:r>
        <w:rPr>
          <w:rFonts w:hint="eastAsia"/>
        </w:rPr>
        <w:t>生产。</w:t>
      </w:r>
    </w:p>
    <w:p w14:paraId="3F9AD72B">
      <w:pPr>
        <w:pStyle w:val="47"/>
        <w:keepNext w:val="0"/>
        <w:keepLines w:val="0"/>
        <w:pageBreakBefore w:val="0"/>
        <w:kinsoku/>
        <w:wordWrap/>
        <w:overflowPunct/>
        <w:topLinePunct w:val="0"/>
        <w:bidi w:val="0"/>
        <w:spacing w:beforeLines="0" w:afterLines="0" w:line="440" w:lineRule="exact"/>
        <w:ind w:left="0"/>
        <w:textAlignment w:val="auto"/>
      </w:pPr>
      <w:r>
        <w:rPr>
          <w:rFonts w:hint="eastAsia"/>
        </w:rPr>
        <w:t xml:space="preserve">规范性引用文件     </w:t>
      </w:r>
    </w:p>
    <w:p w14:paraId="3B72BAEE">
      <w:pPr>
        <w:pStyle w:val="22"/>
        <w:keepNext w:val="0"/>
        <w:keepLines w:val="0"/>
        <w:pageBreakBefore w:val="0"/>
        <w:kinsoku/>
        <w:wordWrap/>
        <w:overflowPunct/>
        <w:topLinePunct w:val="0"/>
        <w:bidi w:val="0"/>
        <w:spacing w:line="440" w:lineRule="exact"/>
        <w:ind w:left="0"/>
        <w:textAlignment w:val="auto"/>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4532E50">
      <w:pPr>
        <w:pStyle w:val="22"/>
        <w:keepNext w:val="0"/>
        <w:keepLines w:val="0"/>
        <w:pageBreakBefore w:val="0"/>
        <w:kinsoku/>
        <w:wordWrap/>
        <w:overflowPunct/>
        <w:topLinePunct w:val="0"/>
        <w:bidi w:val="0"/>
        <w:spacing w:line="440" w:lineRule="exact"/>
        <w:ind w:left="0"/>
        <w:textAlignment w:val="auto"/>
        <w:rPr>
          <w:rFonts w:hint="eastAsia"/>
        </w:rPr>
      </w:pPr>
      <w:r>
        <w:t xml:space="preserve">GB 4404.1 </w:t>
      </w:r>
      <w:r>
        <w:rPr>
          <w:rFonts w:hint="eastAsia"/>
        </w:rPr>
        <w:t>粮食作物种子</w:t>
      </w:r>
      <w:r>
        <w:t xml:space="preserve"> </w:t>
      </w:r>
      <w:r>
        <w:rPr>
          <w:rFonts w:hint="eastAsia"/>
        </w:rPr>
        <w:t>第</w:t>
      </w:r>
      <w:r>
        <w:t>1</w:t>
      </w:r>
      <w:r>
        <w:rPr>
          <w:rFonts w:hint="eastAsia"/>
        </w:rPr>
        <w:t>部分</w:t>
      </w:r>
      <w:r>
        <w:t>:</w:t>
      </w:r>
      <w:r>
        <w:rPr>
          <w:rFonts w:hint="eastAsia"/>
        </w:rPr>
        <w:t>禾谷类</w:t>
      </w:r>
    </w:p>
    <w:p w14:paraId="48EBCD0B">
      <w:pPr>
        <w:pStyle w:val="22"/>
        <w:keepNext w:val="0"/>
        <w:keepLines w:val="0"/>
        <w:pageBreakBefore w:val="0"/>
        <w:kinsoku/>
        <w:wordWrap/>
        <w:overflowPunct/>
        <w:topLinePunct w:val="0"/>
        <w:bidi w:val="0"/>
        <w:spacing w:line="440" w:lineRule="exact"/>
        <w:ind w:left="0"/>
        <w:textAlignment w:val="auto"/>
        <w:rPr>
          <w:rFonts w:hint="eastAsia" w:ascii="宋体" w:hAnsi="Times New Roman" w:eastAsia="宋体" w:cs="Times New Roman"/>
        </w:rPr>
      </w:pPr>
      <w:r>
        <w:rPr>
          <w:rFonts w:hint="eastAsia" w:ascii="宋体" w:hAnsi="Times New Roman" w:eastAsia="宋体" w:cs="Times New Roman"/>
        </w:rPr>
        <w:t>GB/T</w:t>
      </w:r>
      <w:r>
        <w:rPr>
          <w:rFonts w:hint="eastAsia" w:ascii="宋体" w:hAnsi="Times New Roman" w:eastAsia="宋体" w:cs="Times New Roman"/>
          <w:lang w:val="en-US" w:eastAsia="zh-CN"/>
        </w:rPr>
        <w:t xml:space="preserve"> </w:t>
      </w:r>
      <w:r>
        <w:rPr>
          <w:rFonts w:hint="eastAsia" w:ascii="宋体" w:hAnsi="Times New Roman" w:eastAsia="宋体" w:cs="Times New Roman"/>
        </w:rPr>
        <w:t>15671</w:t>
      </w:r>
      <w:r>
        <w:rPr>
          <w:rFonts w:hint="eastAsia" w:ascii="宋体" w:hAnsi="Times New Roman" w:eastAsia="宋体" w:cs="Times New Roman"/>
          <w:lang w:val="en-US" w:eastAsia="zh-CN"/>
        </w:rPr>
        <w:t xml:space="preserve"> </w:t>
      </w:r>
      <w:r>
        <w:rPr>
          <w:rFonts w:hint="eastAsia" w:ascii="宋体" w:hAnsi="Times New Roman" w:eastAsia="宋体" w:cs="Times New Roman"/>
        </w:rPr>
        <w:t>农作物薄膜包衣种子技术条件</w:t>
      </w:r>
    </w:p>
    <w:p w14:paraId="51184D9A">
      <w:pPr>
        <w:pStyle w:val="22"/>
        <w:keepNext w:val="0"/>
        <w:keepLines w:val="0"/>
        <w:pageBreakBefore w:val="0"/>
        <w:kinsoku/>
        <w:wordWrap/>
        <w:overflowPunct/>
        <w:topLinePunct w:val="0"/>
        <w:bidi w:val="0"/>
        <w:spacing w:line="440" w:lineRule="exact"/>
        <w:ind w:left="0"/>
        <w:textAlignment w:val="auto"/>
        <w:rPr>
          <w:rFonts w:ascii="宋体" w:hAnsi="Times New Roman" w:eastAsia="宋体" w:cs="Times New Roman"/>
        </w:rPr>
      </w:pPr>
      <w:r>
        <w:rPr>
          <w:rFonts w:hint="eastAsia" w:ascii="宋体" w:hAnsi="Times New Roman" w:eastAsia="宋体" w:cs="Times New Roman"/>
        </w:rPr>
        <w:t>NY/T</w:t>
      </w:r>
      <w:r>
        <w:rPr>
          <w:rFonts w:hint="eastAsia" w:ascii="宋体" w:hAnsi="Times New Roman" w:eastAsia="宋体" w:cs="Times New Roman"/>
          <w:lang w:val="en-US" w:eastAsia="zh-CN"/>
        </w:rPr>
        <w:t xml:space="preserve"> </w:t>
      </w:r>
      <w:r>
        <w:rPr>
          <w:rFonts w:hint="eastAsia" w:ascii="宋体" w:hAnsi="Times New Roman" w:eastAsia="宋体" w:cs="Times New Roman"/>
        </w:rPr>
        <w:t>391</w:t>
      </w:r>
      <w:r>
        <w:rPr>
          <w:rFonts w:hint="eastAsia" w:ascii="宋体" w:hAnsi="Times New Roman" w:eastAsia="宋体" w:cs="Times New Roman"/>
          <w:lang w:val="en-US" w:eastAsia="zh-CN"/>
        </w:rPr>
        <w:t xml:space="preserve"> </w:t>
      </w:r>
      <w:r>
        <w:rPr>
          <w:rFonts w:hint="eastAsia" w:ascii="宋体" w:hAnsi="Times New Roman" w:eastAsia="宋体" w:cs="Times New Roman"/>
        </w:rPr>
        <w:t>绿色食品产地环境质量标准</w:t>
      </w:r>
    </w:p>
    <w:p w14:paraId="7C313AEA">
      <w:pPr>
        <w:pStyle w:val="22"/>
        <w:keepNext w:val="0"/>
        <w:keepLines w:val="0"/>
        <w:pageBreakBefore w:val="0"/>
        <w:kinsoku/>
        <w:wordWrap/>
        <w:overflowPunct/>
        <w:topLinePunct w:val="0"/>
        <w:bidi w:val="0"/>
        <w:spacing w:line="440" w:lineRule="exact"/>
        <w:ind w:left="0"/>
        <w:textAlignment w:val="auto"/>
        <w:rPr>
          <w:rFonts w:ascii="宋体" w:hAnsi="Times New Roman" w:eastAsia="宋体" w:cs="Times New Roman"/>
        </w:rPr>
      </w:pPr>
      <w:r>
        <w:rPr>
          <w:rFonts w:hint="eastAsia" w:ascii="宋体" w:hAnsi="Times New Roman" w:eastAsia="宋体" w:cs="Times New Roman"/>
        </w:rPr>
        <w:t>NY/T</w:t>
      </w:r>
      <w:r>
        <w:rPr>
          <w:rFonts w:hint="eastAsia" w:ascii="宋体" w:hAnsi="Times New Roman" w:eastAsia="宋体" w:cs="Times New Roman"/>
          <w:lang w:val="en-US" w:eastAsia="zh-CN"/>
        </w:rPr>
        <w:t xml:space="preserve"> </w:t>
      </w:r>
      <w:r>
        <w:rPr>
          <w:rFonts w:hint="eastAsia" w:ascii="宋体" w:hAnsi="Times New Roman" w:eastAsia="宋体" w:cs="Times New Roman"/>
        </w:rPr>
        <w:t>393</w:t>
      </w:r>
      <w:r>
        <w:rPr>
          <w:rFonts w:hint="eastAsia" w:ascii="宋体" w:hAnsi="Times New Roman" w:eastAsia="宋体" w:cs="Times New Roman"/>
          <w:lang w:val="en-US" w:eastAsia="zh-CN"/>
        </w:rPr>
        <w:t xml:space="preserve"> </w:t>
      </w:r>
      <w:r>
        <w:rPr>
          <w:rFonts w:hint="eastAsia" w:ascii="宋体" w:hAnsi="Times New Roman" w:eastAsia="宋体" w:cs="Times New Roman"/>
        </w:rPr>
        <w:t>绿色食品的农药使用准则</w:t>
      </w:r>
    </w:p>
    <w:p w14:paraId="2A76712C">
      <w:pPr>
        <w:pStyle w:val="22"/>
        <w:keepNext w:val="0"/>
        <w:keepLines w:val="0"/>
        <w:pageBreakBefore w:val="0"/>
        <w:kinsoku/>
        <w:wordWrap/>
        <w:overflowPunct/>
        <w:topLinePunct w:val="0"/>
        <w:bidi w:val="0"/>
        <w:spacing w:line="440" w:lineRule="exact"/>
        <w:ind w:left="0"/>
        <w:textAlignment w:val="auto"/>
        <w:rPr>
          <w:rFonts w:hint="eastAsia" w:ascii="宋体" w:hAnsi="Times New Roman" w:eastAsia="宋体" w:cs="Times New Roman"/>
        </w:rPr>
      </w:pPr>
      <w:r>
        <w:rPr>
          <w:rFonts w:hint="eastAsia" w:ascii="宋体" w:hAnsi="Times New Roman" w:eastAsia="宋体" w:cs="Times New Roman"/>
        </w:rPr>
        <w:t>NY/T</w:t>
      </w:r>
      <w:r>
        <w:rPr>
          <w:rFonts w:hint="eastAsia" w:ascii="宋体" w:hAnsi="Times New Roman" w:eastAsia="宋体" w:cs="Times New Roman"/>
          <w:lang w:val="en-US" w:eastAsia="zh-CN"/>
        </w:rPr>
        <w:t xml:space="preserve"> </w:t>
      </w:r>
      <w:r>
        <w:rPr>
          <w:rFonts w:hint="eastAsia" w:ascii="宋体" w:hAnsi="Times New Roman" w:eastAsia="宋体" w:cs="Times New Roman"/>
        </w:rPr>
        <w:t>394</w:t>
      </w:r>
      <w:r>
        <w:rPr>
          <w:rFonts w:hint="eastAsia" w:ascii="宋体" w:hAnsi="Times New Roman" w:eastAsia="宋体" w:cs="Times New Roman"/>
          <w:lang w:val="en-US" w:eastAsia="zh-CN"/>
        </w:rPr>
        <w:t xml:space="preserve"> </w:t>
      </w:r>
      <w:r>
        <w:rPr>
          <w:rFonts w:hint="eastAsia" w:ascii="宋体" w:hAnsi="Times New Roman" w:eastAsia="宋体" w:cs="Times New Roman"/>
        </w:rPr>
        <w:t>绿色食品的肥料使用准则</w:t>
      </w:r>
    </w:p>
    <w:p w14:paraId="66D313C0">
      <w:pPr>
        <w:pStyle w:val="22"/>
        <w:keepNext w:val="0"/>
        <w:keepLines w:val="0"/>
        <w:pageBreakBefore w:val="0"/>
        <w:kinsoku/>
        <w:wordWrap/>
        <w:overflowPunct/>
        <w:topLinePunct w:val="0"/>
        <w:bidi w:val="0"/>
        <w:spacing w:line="440" w:lineRule="exact"/>
        <w:ind w:left="0"/>
        <w:textAlignment w:val="auto"/>
        <w:rPr>
          <w:rFonts w:hint="default" w:ascii="宋体" w:hAnsi="Times New Roman" w:eastAsia="宋体" w:cs="Times New Roman"/>
          <w:lang w:val="en-US"/>
        </w:rPr>
      </w:pPr>
      <w:r>
        <w:rPr>
          <w:rFonts w:hint="eastAsia" w:ascii="宋体" w:hAnsi="Times New Roman" w:eastAsia="宋体" w:cs="Times New Roman"/>
          <w:lang w:val="en-US" w:eastAsia="zh-CN"/>
        </w:rPr>
        <w:fldChar w:fldCharType="begin"/>
      </w:r>
      <w:r>
        <w:rPr>
          <w:rFonts w:hint="eastAsia" w:ascii="宋体" w:hAnsi="Times New Roman" w:eastAsia="宋体" w:cs="Times New Roman"/>
          <w:lang w:val="en-US" w:eastAsia="zh-CN"/>
        </w:rPr>
        <w:instrText xml:space="preserve"> HYPERLINK "javascript:void(0);" </w:instrText>
      </w:r>
      <w:r>
        <w:rPr>
          <w:rFonts w:hint="eastAsia" w:ascii="宋体" w:hAnsi="Times New Roman" w:eastAsia="宋体" w:cs="Times New Roman"/>
          <w:lang w:val="en-US" w:eastAsia="zh-CN"/>
        </w:rPr>
        <w:fldChar w:fldCharType="separate"/>
      </w:r>
      <w:r>
        <w:rPr>
          <w:rFonts w:hint="default" w:ascii="宋体" w:hAnsi="Times New Roman" w:eastAsia="宋体" w:cs="Times New Roman"/>
        </w:rPr>
        <w:t>NY/T 658</w:t>
      </w:r>
      <w:r>
        <w:rPr>
          <w:rFonts w:hint="default" w:ascii="宋体" w:hAnsi="Times New Roman" w:eastAsia="宋体" w:cs="Times New Roman"/>
          <w:lang w:val="en-US" w:eastAsia="zh-CN"/>
        </w:rPr>
        <w:fldChar w:fldCharType="end"/>
      </w:r>
      <w:r>
        <w:rPr>
          <w:rFonts w:hint="eastAsia" w:ascii="宋体" w:hAnsi="Times New Roman" w:eastAsia="宋体" w:cs="Times New Roman"/>
          <w:lang w:val="en-US" w:eastAsia="zh-CN"/>
        </w:rPr>
        <w:t xml:space="preserve"> </w:t>
      </w:r>
      <w:r>
        <w:rPr>
          <w:rFonts w:hint="default" w:ascii="宋体" w:hAnsi="Times New Roman" w:eastAsia="宋体" w:cs="Times New Roman"/>
          <w:lang w:val="en-US" w:eastAsia="zh-CN"/>
        </w:rPr>
        <w:fldChar w:fldCharType="begin"/>
      </w:r>
      <w:r>
        <w:rPr>
          <w:rFonts w:hint="default" w:ascii="宋体" w:hAnsi="Times New Roman" w:eastAsia="宋体" w:cs="Times New Roman"/>
          <w:lang w:val="en-US" w:eastAsia="zh-CN"/>
        </w:rPr>
        <w:instrText xml:space="preserve"> HYPERLINK "https://www.bzsb.info/searchStandard.do" </w:instrText>
      </w:r>
      <w:r>
        <w:rPr>
          <w:rFonts w:hint="default" w:ascii="宋体" w:hAnsi="Times New Roman" w:eastAsia="宋体" w:cs="Times New Roman"/>
          <w:lang w:val="en-US" w:eastAsia="zh-CN"/>
        </w:rPr>
        <w:fldChar w:fldCharType="separate"/>
      </w:r>
      <w:r>
        <w:rPr>
          <w:rFonts w:hint="default" w:ascii="宋体" w:hAnsi="Times New Roman" w:eastAsia="宋体" w:cs="Times New Roman"/>
        </w:rPr>
        <w:t>绿色食品 包装通用准则</w:t>
      </w:r>
      <w:r>
        <w:rPr>
          <w:rFonts w:hint="default" w:ascii="宋体" w:hAnsi="Times New Roman" w:eastAsia="宋体" w:cs="Times New Roman"/>
          <w:lang w:val="en-US" w:eastAsia="zh-CN"/>
        </w:rPr>
        <w:fldChar w:fldCharType="end"/>
      </w:r>
    </w:p>
    <w:p w14:paraId="0919B3CA">
      <w:pPr>
        <w:pStyle w:val="22"/>
        <w:keepNext w:val="0"/>
        <w:keepLines w:val="0"/>
        <w:pageBreakBefore w:val="0"/>
        <w:kinsoku/>
        <w:wordWrap/>
        <w:overflowPunct/>
        <w:topLinePunct w:val="0"/>
        <w:bidi w:val="0"/>
        <w:spacing w:line="440" w:lineRule="exact"/>
        <w:ind w:left="0"/>
        <w:textAlignment w:val="auto"/>
        <w:rPr>
          <w:rFonts w:hint="eastAsia" w:ascii="宋体" w:hAnsi="Times New Roman" w:eastAsia="宋体" w:cs="Times New Roman"/>
        </w:rPr>
      </w:pPr>
      <w:r>
        <w:rPr>
          <w:rFonts w:hint="eastAsia" w:ascii="宋体" w:hAnsi="Times New Roman" w:eastAsia="宋体" w:cs="Times New Roman"/>
        </w:rPr>
        <w:t>NY/T 1056 绿色食品 贮藏运输准则</w:t>
      </w:r>
    </w:p>
    <w:p w14:paraId="68920341">
      <w:pPr>
        <w:pStyle w:val="22"/>
        <w:keepNext w:val="0"/>
        <w:keepLines w:val="0"/>
        <w:pageBreakBefore w:val="0"/>
        <w:kinsoku/>
        <w:wordWrap/>
        <w:overflowPunct/>
        <w:topLinePunct w:val="0"/>
        <w:bidi w:val="0"/>
        <w:spacing w:line="440" w:lineRule="exact"/>
        <w:ind w:left="0"/>
        <w:textAlignment w:val="auto"/>
        <w:rPr>
          <w:rFonts w:hint="eastAsia" w:ascii="宋体" w:hAnsi="Times New Roman" w:eastAsia="宋体" w:cs="Times New Roman"/>
        </w:rPr>
      </w:pPr>
      <w:bookmarkStart w:id="22" w:name="OLE_LINK4"/>
      <w:r>
        <w:rPr>
          <w:rFonts w:hint="eastAsia" w:ascii="宋体" w:hAnsi="Times New Roman" w:eastAsia="宋体" w:cs="Times New Roman"/>
        </w:rPr>
        <w:t>NT/T 499 旋耕机 作业质量</w:t>
      </w:r>
    </w:p>
    <w:bookmarkEnd w:id="22"/>
    <w:p w14:paraId="474F7CF4">
      <w:pPr>
        <w:pStyle w:val="22"/>
        <w:keepNext w:val="0"/>
        <w:keepLines w:val="0"/>
        <w:pageBreakBefore w:val="0"/>
        <w:kinsoku/>
        <w:wordWrap/>
        <w:overflowPunct/>
        <w:topLinePunct w:val="0"/>
        <w:bidi w:val="0"/>
        <w:spacing w:line="440" w:lineRule="exact"/>
        <w:ind w:left="0"/>
        <w:textAlignment w:val="auto"/>
        <w:rPr>
          <w:rFonts w:hint="default" w:ascii="宋体" w:hAnsi="Times New Roman" w:eastAsia="宋体" w:cs="Times New Roman"/>
          <w:lang w:val="en-US"/>
        </w:rPr>
      </w:pPr>
      <w:r>
        <w:rPr>
          <w:rFonts w:hint="eastAsia" w:ascii="宋体" w:hAnsi="Times New Roman" w:eastAsia="宋体" w:cs="Times New Roman"/>
          <w:lang w:val="en-US" w:eastAsia="zh-CN"/>
        </w:rPr>
        <w:t>DB13/T 1478 土壤深松机械作业技术规范</w:t>
      </w:r>
    </w:p>
    <w:p w14:paraId="53DF5B45">
      <w:pPr>
        <w:pStyle w:val="22"/>
        <w:keepNext w:val="0"/>
        <w:keepLines w:val="0"/>
        <w:pageBreakBefore w:val="0"/>
        <w:kinsoku/>
        <w:wordWrap/>
        <w:overflowPunct/>
        <w:topLinePunct w:val="0"/>
        <w:bidi w:val="0"/>
        <w:spacing w:line="440" w:lineRule="exact"/>
        <w:ind w:left="0"/>
        <w:textAlignment w:val="auto"/>
        <w:rPr>
          <w:rFonts w:hint="eastAsia" w:ascii="宋体" w:hAnsi="Times New Roman" w:eastAsia="宋体" w:cs="Times New Roman"/>
        </w:rPr>
      </w:pPr>
      <w:r>
        <w:rPr>
          <w:rFonts w:hint="eastAsia" w:ascii="宋体" w:hAnsi="Times New Roman" w:eastAsia="宋体" w:cs="Times New Roman"/>
        </w:rPr>
        <w:t>DB13/T 2366 冬小麦播后镇压技术规程</w:t>
      </w:r>
    </w:p>
    <w:p w14:paraId="3620F27F">
      <w:pPr>
        <w:pStyle w:val="47"/>
        <w:keepNext w:val="0"/>
        <w:keepLines w:val="0"/>
        <w:pageBreakBefore w:val="0"/>
        <w:kinsoku/>
        <w:wordWrap/>
        <w:overflowPunct/>
        <w:topLinePunct w:val="0"/>
        <w:bidi w:val="0"/>
        <w:spacing w:beforeLines="0" w:afterLines="0" w:line="440" w:lineRule="exact"/>
        <w:ind w:left="0"/>
        <w:textAlignment w:val="auto"/>
      </w:pPr>
      <w:r>
        <w:rPr>
          <w:rFonts w:hint="eastAsia"/>
          <w:lang w:val="en-US" w:eastAsia="zh-CN"/>
        </w:rPr>
        <w:t>术语定义</w:t>
      </w:r>
    </w:p>
    <w:p w14:paraId="490941DC">
      <w:pPr>
        <w:pStyle w:val="41"/>
        <w:keepNext w:val="0"/>
        <w:keepLines w:val="0"/>
        <w:pageBreakBefore w:val="0"/>
        <w:kinsoku/>
        <w:wordWrap/>
        <w:overflowPunct/>
        <w:topLinePunct w:val="0"/>
        <w:bidi w:val="0"/>
        <w:adjustRightInd w:val="0"/>
        <w:snapToGrid w:val="0"/>
        <w:spacing w:beforeLines="0" w:afterLines="0" w:line="440" w:lineRule="exact"/>
        <w:ind w:left="0" w:hanging="420" w:hangingChars="200"/>
        <w:textAlignment w:val="auto"/>
        <w:rPr>
          <w:rFonts w:hint="eastAsia" w:ascii="Times New Roman"/>
          <w:lang w:val="en-US" w:eastAsia="zh-CN"/>
        </w:rPr>
      </w:pPr>
    </w:p>
    <w:p w14:paraId="20C9F9A8">
      <w:pPr>
        <w:pStyle w:val="41"/>
        <w:keepNext w:val="0"/>
        <w:keepLines w:val="0"/>
        <w:pageBreakBefore w:val="0"/>
        <w:widowControl/>
        <w:numPr>
          <w:ilvl w:val="1"/>
          <w:numId w:val="0"/>
        </w:numPr>
        <w:kinsoku/>
        <w:wordWrap/>
        <w:overflowPunct/>
        <w:topLinePunct w:val="0"/>
        <w:bidi w:val="0"/>
        <w:adjustRightInd w:val="0"/>
        <w:snapToGrid w:val="0"/>
        <w:spacing w:beforeLines="0" w:afterLines="0" w:line="360" w:lineRule="auto"/>
        <w:ind w:leftChars="-200" w:firstLine="840" w:firstLineChars="400"/>
        <w:textAlignment w:val="auto"/>
        <w:rPr>
          <w:rFonts w:hint="eastAsia" w:ascii="Times New Roman"/>
          <w:color w:val="auto"/>
          <w:lang w:val="en-US" w:eastAsia="zh-CN"/>
        </w:rPr>
      </w:pPr>
      <w:r>
        <w:rPr>
          <w:rFonts w:hint="eastAsia" w:ascii="Times New Roman"/>
          <w:color w:val="auto"/>
          <w:lang w:val="en-US" w:eastAsia="zh-CN"/>
        </w:rPr>
        <w:t>旱碱麦绿色生产</w:t>
      </w:r>
    </w:p>
    <w:p w14:paraId="21DAA637">
      <w:pPr>
        <w:pStyle w:val="22"/>
        <w:keepNext w:val="0"/>
        <w:keepLines w:val="0"/>
        <w:pageBreakBefore w:val="0"/>
        <w:widowControl/>
        <w:kinsoku/>
        <w:wordWrap/>
        <w:overflowPunct/>
        <w:topLinePunct w:val="0"/>
        <w:bidi w:val="0"/>
        <w:spacing w:line="360" w:lineRule="auto"/>
        <w:textAlignment w:val="auto"/>
        <w:rPr>
          <w:rFonts w:hint="default" w:ascii="Arial" w:hAnsi="Arial" w:cs="Arial"/>
          <w:i w:val="0"/>
          <w:iCs w:val="0"/>
          <w:caps w:val="0"/>
          <w:color w:val="auto"/>
          <w:spacing w:val="0"/>
          <w:sz w:val="19"/>
          <w:szCs w:val="19"/>
          <w:shd w:val="clear" w:fill="FFFFFF"/>
          <w:lang w:val="en-US" w:eastAsia="zh-CN"/>
        </w:rPr>
      </w:pPr>
      <w:r>
        <w:rPr>
          <w:rFonts w:hint="default" w:ascii="Arial" w:hAnsi="Arial" w:cs="Arial"/>
          <w:i w:val="0"/>
          <w:iCs w:val="0"/>
          <w:caps w:val="0"/>
          <w:color w:val="auto"/>
          <w:spacing w:val="0"/>
          <w:sz w:val="19"/>
          <w:szCs w:val="19"/>
          <w:shd w:val="clear" w:fill="FFFFFF"/>
          <w:lang w:val="en-US" w:eastAsia="zh-CN"/>
        </w:rPr>
        <w:t>以确保农业生产安全、农产品质量安全和生态环境安全为目标，以减少化学</w:t>
      </w:r>
      <w:r>
        <w:rPr>
          <w:rFonts w:hint="eastAsia" w:ascii="Arial" w:hAnsi="Arial" w:cs="Arial"/>
          <w:i w:val="0"/>
          <w:iCs w:val="0"/>
          <w:caps w:val="0"/>
          <w:color w:val="auto"/>
          <w:spacing w:val="0"/>
          <w:sz w:val="19"/>
          <w:szCs w:val="19"/>
          <w:shd w:val="clear" w:fill="FFFFFF"/>
          <w:lang w:val="en-US" w:eastAsia="zh-CN"/>
        </w:rPr>
        <w:t>化肥</w:t>
      </w:r>
      <w:r>
        <w:rPr>
          <w:rFonts w:hint="default" w:ascii="Arial" w:hAnsi="Arial" w:cs="Arial"/>
          <w:i w:val="0"/>
          <w:iCs w:val="0"/>
          <w:caps w:val="0"/>
          <w:color w:val="auto"/>
          <w:spacing w:val="0"/>
          <w:sz w:val="19"/>
          <w:szCs w:val="19"/>
          <w:shd w:val="clear" w:fill="FFFFFF"/>
          <w:lang w:val="en-US" w:eastAsia="zh-CN"/>
        </w:rPr>
        <w:t>农药使用为目的，</w:t>
      </w:r>
      <w:r>
        <w:rPr>
          <w:rFonts w:hint="eastAsia" w:ascii="Arial" w:hAnsi="Arial" w:cs="Arial"/>
          <w:i w:val="0"/>
          <w:iCs w:val="0"/>
          <w:caps w:val="0"/>
          <w:color w:val="auto"/>
          <w:spacing w:val="0"/>
          <w:sz w:val="19"/>
          <w:szCs w:val="19"/>
          <w:shd w:val="clear" w:fill="FFFFFF"/>
          <w:lang w:val="en-US" w:eastAsia="zh-CN"/>
        </w:rPr>
        <w:t>通过</w:t>
      </w:r>
      <w:r>
        <w:rPr>
          <w:rFonts w:hint="eastAsia" w:ascii="Arial" w:hAnsi="Arial" w:eastAsia="宋体" w:cs="Arial"/>
          <w:i w:val="0"/>
          <w:iCs w:val="0"/>
          <w:caps w:val="0"/>
          <w:color w:val="auto"/>
          <w:spacing w:val="0"/>
          <w:sz w:val="21"/>
          <w:szCs w:val="21"/>
          <w:shd w:val="clear" w:fill="FFFFFF"/>
          <w:lang w:val="en-US" w:eastAsia="zh-CN"/>
        </w:rPr>
        <w:t>良种选用、合理施肥、综合防控、科学管理等技术</w:t>
      </w:r>
      <w:r>
        <w:rPr>
          <w:rFonts w:hint="default" w:ascii="Arial" w:hAnsi="Arial" w:cs="Arial"/>
          <w:i w:val="0"/>
          <w:iCs w:val="0"/>
          <w:caps w:val="0"/>
          <w:color w:val="auto"/>
          <w:spacing w:val="0"/>
          <w:sz w:val="19"/>
          <w:szCs w:val="19"/>
          <w:shd w:val="clear" w:fill="FFFFFF"/>
          <w:lang w:val="en-US" w:eastAsia="zh-CN"/>
        </w:rPr>
        <w:t>措施</w:t>
      </w:r>
      <w:r>
        <w:rPr>
          <w:rFonts w:hint="eastAsia" w:ascii="Arial" w:hAnsi="Arial" w:cs="Arial"/>
          <w:i w:val="0"/>
          <w:iCs w:val="0"/>
          <w:caps w:val="0"/>
          <w:color w:val="auto"/>
          <w:spacing w:val="0"/>
          <w:sz w:val="19"/>
          <w:szCs w:val="19"/>
          <w:shd w:val="clear" w:fill="FFFFFF"/>
          <w:lang w:val="en-US" w:eastAsia="zh-CN"/>
        </w:rPr>
        <w:t>进行旱碱麦生产</w:t>
      </w:r>
      <w:r>
        <w:rPr>
          <w:rFonts w:hint="default" w:ascii="Arial" w:hAnsi="Arial" w:cs="Arial"/>
          <w:i w:val="0"/>
          <w:iCs w:val="0"/>
          <w:caps w:val="0"/>
          <w:color w:val="auto"/>
          <w:spacing w:val="0"/>
          <w:sz w:val="19"/>
          <w:szCs w:val="19"/>
          <w:shd w:val="clear" w:fill="FFFFFF"/>
          <w:lang w:val="en-US" w:eastAsia="zh-CN"/>
        </w:rPr>
        <w:t>。</w:t>
      </w:r>
    </w:p>
    <w:p w14:paraId="41AFFF02">
      <w:pPr>
        <w:pStyle w:val="47"/>
        <w:keepNext w:val="0"/>
        <w:keepLines w:val="0"/>
        <w:pageBreakBefore w:val="0"/>
        <w:kinsoku/>
        <w:wordWrap/>
        <w:overflowPunct/>
        <w:topLinePunct w:val="0"/>
        <w:bidi w:val="0"/>
        <w:spacing w:beforeLines="0" w:afterLines="0" w:line="440" w:lineRule="exact"/>
        <w:ind w:left="0"/>
        <w:textAlignment w:val="auto"/>
      </w:pPr>
      <w:r>
        <w:rPr>
          <w:rFonts w:hint="eastAsia"/>
          <w:lang w:val="en-US" w:eastAsia="zh-CN"/>
        </w:rPr>
        <w:t>产地环境</w:t>
      </w:r>
    </w:p>
    <w:p w14:paraId="7BE8901E">
      <w:pPr>
        <w:pStyle w:val="41"/>
        <w:keepNext w:val="0"/>
        <w:keepLines w:val="0"/>
        <w:pageBreakBefore w:val="0"/>
        <w:kinsoku/>
        <w:wordWrap/>
        <w:overflowPunct/>
        <w:topLinePunct w:val="0"/>
        <w:bidi w:val="0"/>
        <w:adjustRightInd w:val="0"/>
        <w:snapToGrid w:val="0"/>
        <w:spacing w:beforeLines="0" w:afterLines="0" w:line="440" w:lineRule="exact"/>
        <w:ind w:left="0" w:hanging="420" w:hangingChars="200"/>
        <w:textAlignment w:val="auto"/>
        <w:rPr>
          <w:rFonts w:ascii="Times New Roman"/>
        </w:rPr>
      </w:pPr>
      <w:r>
        <w:rPr>
          <w:rFonts w:hint="eastAsia" w:ascii="Times New Roman"/>
          <w:lang w:val="en-US" w:eastAsia="zh-CN"/>
        </w:rPr>
        <w:t>环境要求</w:t>
      </w:r>
    </w:p>
    <w:p w14:paraId="30BFAF55">
      <w:pPr>
        <w:pStyle w:val="47"/>
        <w:keepNext w:val="0"/>
        <w:keepLines w:val="0"/>
        <w:pageBreakBefore w:val="0"/>
        <w:numPr>
          <w:ilvl w:val="0"/>
          <w:numId w:val="0"/>
        </w:numPr>
        <w:kinsoku/>
        <w:wordWrap/>
        <w:overflowPunct/>
        <w:topLinePunct w:val="0"/>
        <w:bidi w:val="0"/>
        <w:spacing w:beforeLines="0" w:afterLines="0" w:line="440" w:lineRule="exact"/>
        <w:ind w:left="0" w:leftChars="0" w:firstLine="420" w:firstLineChars="200"/>
        <w:textAlignment w:val="auto"/>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应符合NY/T 391的要求。</w:t>
      </w:r>
    </w:p>
    <w:p w14:paraId="520E2825">
      <w:pPr>
        <w:pStyle w:val="41"/>
        <w:keepNext w:val="0"/>
        <w:keepLines w:val="0"/>
        <w:pageBreakBefore w:val="0"/>
        <w:kinsoku/>
        <w:wordWrap/>
        <w:overflowPunct/>
        <w:topLinePunct w:val="0"/>
        <w:bidi w:val="0"/>
        <w:adjustRightInd w:val="0"/>
        <w:snapToGrid w:val="0"/>
        <w:spacing w:beforeLines="0" w:afterLines="0" w:line="440" w:lineRule="exact"/>
        <w:ind w:left="0" w:hanging="420" w:hangingChars="200"/>
        <w:textAlignment w:val="auto"/>
        <w:rPr>
          <w:rFonts w:ascii="Times New Roman"/>
        </w:rPr>
      </w:pPr>
      <w:r>
        <w:rPr>
          <w:rFonts w:hint="eastAsia" w:ascii="Times New Roman"/>
          <w:lang w:val="en-US" w:eastAsia="zh-CN"/>
        </w:rPr>
        <w:t>土壤环境</w:t>
      </w:r>
    </w:p>
    <w:p w14:paraId="18934D1A">
      <w:pPr>
        <w:pStyle w:val="22"/>
        <w:keepNext w:val="0"/>
        <w:keepLines w:val="0"/>
        <w:pageBreakBefore w:val="0"/>
        <w:kinsoku/>
        <w:wordWrap/>
        <w:overflowPunct/>
        <w:topLinePunct w:val="0"/>
        <w:bidi w:val="0"/>
        <w:spacing w:line="440" w:lineRule="exact"/>
        <w:ind w:left="0"/>
        <w:textAlignment w:val="auto"/>
        <w:rPr>
          <w:rFonts w:hint="eastAsia" w:eastAsia="宋体"/>
          <w:color w:val="1F497D" w:themeColor="text2"/>
          <w:szCs w:val="21"/>
          <w:lang w:eastAsia="zh-CN"/>
          <w14:textFill>
            <w14:solidFill>
              <w14:schemeClr w14:val="tx2"/>
            </w14:solidFill>
          </w14:textFill>
        </w:rPr>
      </w:pPr>
      <w:r>
        <w:rPr>
          <w:rFonts w:hint="eastAsia"/>
          <w:szCs w:val="21"/>
        </w:rPr>
        <w:t>土层</w:t>
      </w:r>
      <w:r>
        <w:rPr>
          <w:rFonts w:hint="eastAsia"/>
          <w:szCs w:val="21"/>
          <w:lang w:val="en-US" w:eastAsia="zh-CN"/>
        </w:rPr>
        <w:t>平整</w:t>
      </w:r>
      <w:r>
        <w:rPr>
          <w:rFonts w:hint="eastAsia"/>
          <w:szCs w:val="21"/>
        </w:rPr>
        <w:t>、</w:t>
      </w:r>
      <w:r>
        <w:rPr>
          <w:rFonts w:hint="eastAsia"/>
          <w:szCs w:val="21"/>
          <w:lang w:val="en-US" w:eastAsia="zh-CN"/>
        </w:rPr>
        <w:t>质地均匀</w:t>
      </w:r>
      <w:r>
        <w:rPr>
          <w:rFonts w:hint="eastAsia"/>
          <w:szCs w:val="21"/>
        </w:rPr>
        <w:t>，</w:t>
      </w:r>
      <w:r>
        <w:rPr>
          <w:szCs w:val="21"/>
        </w:rPr>
        <w:t>pH</w:t>
      </w:r>
      <w:r>
        <w:rPr>
          <w:rFonts w:hint="eastAsia"/>
          <w:szCs w:val="21"/>
        </w:rPr>
        <w:t>为</w:t>
      </w:r>
      <w:r>
        <w:rPr>
          <w:rFonts w:hint="eastAsia"/>
          <w:szCs w:val="21"/>
          <w:lang w:val="en-US" w:eastAsia="zh-CN"/>
        </w:rPr>
        <w:t>7</w:t>
      </w:r>
      <w:r>
        <w:rPr>
          <w:rFonts w:hint="eastAsia"/>
          <w:szCs w:val="21"/>
        </w:rPr>
        <w:t>～</w:t>
      </w:r>
      <w:r>
        <w:rPr>
          <w:rFonts w:hint="eastAsia"/>
          <w:szCs w:val="21"/>
          <w:lang w:val="en-US" w:eastAsia="zh-CN"/>
        </w:rPr>
        <w:t>9，土壤含盐量0.1</w:t>
      </w:r>
      <w:r>
        <w:rPr>
          <w:rFonts w:hint="eastAsia"/>
          <w:szCs w:val="21"/>
        </w:rPr>
        <w:t>～</w:t>
      </w:r>
      <w:r>
        <w:rPr>
          <w:rFonts w:hint="eastAsia"/>
          <w:szCs w:val="21"/>
          <w:lang w:val="en-US" w:eastAsia="zh-CN"/>
        </w:rPr>
        <w:t>0.4%</w:t>
      </w:r>
      <w:r>
        <w:rPr>
          <w:rFonts w:hint="eastAsia"/>
          <w:szCs w:val="21"/>
        </w:rPr>
        <w:t>。</w:t>
      </w:r>
    </w:p>
    <w:p w14:paraId="5DC76606">
      <w:pPr>
        <w:pStyle w:val="47"/>
        <w:keepNext w:val="0"/>
        <w:keepLines w:val="0"/>
        <w:pageBreakBefore w:val="0"/>
        <w:kinsoku/>
        <w:wordWrap/>
        <w:overflowPunct/>
        <w:topLinePunct w:val="0"/>
        <w:bidi w:val="0"/>
        <w:spacing w:beforeLines="0" w:afterLines="0" w:line="440" w:lineRule="exact"/>
        <w:ind w:left="0"/>
        <w:textAlignment w:val="auto"/>
        <w:rPr>
          <w:rFonts w:hint="eastAsia" w:hAnsi="Times New Roman" w:cs="Times New Roman"/>
          <w:lang w:val="en-US" w:eastAsia="zh-CN"/>
        </w:rPr>
      </w:pPr>
      <w:r>
        <w:rPr>
          <w:rFonts w:hint="eastAsia" w:hAnsi="Times New Roman" w:cs="Times New Roman"/>
          <w:lang w:val="en-US" w:eastAsia="zh-CN"/>
        </w:rPr>
        <w:t>品种选择</w:t>
      </w:r>
    </w:p>
    <w:p w14:paraId="6F35CC5A">
      <w:pPr>
        <w:pStyle w:val="41"/>
        <w:keepNext w:val="0"/>
        <w:keepLines w:val="0"/>
        <w:pageBreakBefore w:val="0"/>
        <w:kinsoku/>
        <w:wordWrap/>
        <w:overflowPunct/>
        <w:topLinePunct w:val="0"/>
        <w:bidi w:val="0"/>
        <w:adjustRightInd w:val="0"/>
        <w:snapToGrid w:val="0"/>
        <w:spacing w:beforeLines="0" w:afterLines="0" w:line="440" w:lineRule="exact"/>
        <w:ind w:left="0" w:hanging="420" w:hanging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选种原则</w:t>
      </w:r>
    </w:p>
    <w:p w14:paraId="6DDABAB5">
      <w:pPr>
        <w:pStyle w:val="22"/>
        <w:keepNext w:val="0"/>
        <w:keepLines w:val="0"/>
        <w:pageBreakBefore w:val="0"/>
        <w:widowControl/>
        <w:kinsoku/>
        <w:wordWrap/>
        <w:overflowPunct/>
        <w:topLinePunct w:val="0"/>
        <w:bidi w:val="0"/>
        <w:spacing w:line="440" w:lineRule="exact"/>
        <w:ind w:left="0"/>
        <w:textAlignment w:val="auto"/>
        <w:rPr>
          <w:rFonts w:hint="eastAsia" w:ascii="Times New Roman"/>
          <w:lang w:val="en-US" w:eastAsia="zh-CN"/>
        </w:rPr>
      </w:pPr>
      <w:r>
        <w:rPr>
          <w:rFonts w:hint="eastAsia" w:ascii="Times New Roman"/>
          <w:lang w:val="en-US" w:eastAsia="zh-CN"/>
        </w:rPr>
        <w:t>选用通过全国或河北省农作物品种审定委员会审定，且适宜旱碱麦产区种植的优质、抗病性强、抗旱耐盐碱的冬小麦品种。如沧麦6002、捷麦19、沧麦6005等，种子质量应符合 GB 4404.1 的规定，要达到种子分级二级标准以上。</w:t>
      </w:r>
    </w:p>
    <w:p w14:paraId="7B2EB55D">
      <w:pPr>
        <w:pStyle w:val="41"/>
        <w:keepNext w:val="0"/>
        <w:keepLines w:val="0"/>
        <w:pageBreakBefore w:val="0"/>
        <w:widowControl/>
        <w:kinsoku/>
        <w:wordWrap/>
        <w:overflowPunct/>
        <w:topLinePunct w:val="0"/>
        <w:bidi w:val="0"/>
        <w:adjustRightInd w:val="0"/>
        <w:snapToGrid w:val="0"/>
        <w:spacing w:beforeLines="0" w:afterLines="0" w:line="440" w:lineRule="exact"/>
        <w:ind w:left="0" w:hanging="420" w:hangingChars="20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种子处理</w:t>
      </w:r>
    </w:p>
    <w:p w14:paraId="1A1FCC1C">
      <w:pPr>
        <w:pStyle w:val="22"/>
        <w:keepNext w:val="0"/>
        <w:keepLines w:val="0"/>
        <w:pageBreakBefore w:val="0"/>
        <w:widowControl/>
        <w:kinsoku/>
        <w:wordWrap/>
        <w:overflowPunct/>
        <w:topLinePunct w:val="0"/>
        <w:bidi w:val="0"/>
        <w:adjustRightInd w:val="0"/>
        <w:snapToGrid w:val="0"/>
        <w:spacing w:line="440" w:lineRule="exact"/>
        <w:textAlignment w:val="auto"/>
        <w:rPr>
          <w:rFonts w:hint="default" w:ascii="Times New Roman" w:eastAsia="宋体"/>
          <w:lang w:val="en-US" w:eastAsia="zh-CN"/>
        </w:rPr>
      </w:pPr>
      <w:bookmarkStart w:id="23" w:name="OLE_LINK3"/>
      <w:r>
        <w:rPr>
          <w:rFonts w:hint="eastAsia" w:ascii="Times New Roman"/>
        </w:rPr>
        <w:t>针对当地主要地下害虫及土传病害，选用高效低毒的农药包衣或拌种，</w:t>
      </w:r>
      <w:r>
        <w:rPr>
          <w:rFonts w:hint="eastAsia" w:cs="Times New Roman"/>
          <w:lang w:val="en-US" w:eastAsia="zh-CN"/>
        </w:rPr>
        <w:t>推荐微生物菌剂拌种。</w:t>
      </w:r>
      <w:r>
        <w:rPr>
          <w:rFonts w:hint="eastAsia" w:ascii="Times New Roman"/>
        </w:rPr>
        <w:t>种子包衣质量应符合GB/T 15671规定</w:t>
      </w:r>
      <w:r>
        <w:rPr>
          <w:rFonts w:hint="eastAsia" w:ascii="Times New Roman"/>
          <w:lang w:eastAsia="zh-CN"/>
        </w:rPr>
        <w:t>，</w:t>
      </w:r>
      <w:r>
        <w:rPr>
          <w:rFonts w:hint="eastAsia" w:ascii="Times New Roman"/>
          <w:lang w:val="en-US" w:eastAsia="zh-CN"/>
        </w:rPr>
        <w:t>拌种或包衣药剂的选择应符合</w:t>
      </w:r>
      <w:r>
        <w:rPr>
          <w:rFonts w:hint="eastAsia" w:ascii="宋体" w:hAnsi="Times New Roman" w:eastAsia="宋体" w:cs="Times New Roman"/>
        </w:rPr>
        <w:t>NY/T</w:t>
      </w:r>
      <w:r>
        <w:rPr>
          <w:rFonts w:hint="eastAsia" w:ascii="宋体" w:hAnsi="Times New Roman" w:eastAsia="宋体" w:cs="Times New Roman"/>
          <w:lang w:val="en-US" w:eastAsia="zh-CN"/>
        </w:rPr>
        <w:t xml:space="preserve"> </w:t>
      </w:r>
      <w:r>
        <w:rPr>
          <w:rFonts w:hint="eastAsia" w:ascii="宋体" w:hAnsi="Times New Roman" w:eastAsia="宋体" w:cs="Times New Roman"/>
        </w:rPr>
        <w:t>393</w:t>
      </w:r>
      <w:r>
        <w:rPr>
          <w:rFonts w:hint="eastAsia" w:ascii="宋体" w:hAnsi="Times New Roman" w:eastAsia="宋体" w:cs="Times New Roman"/>
          <w:lang w:val="en-US" w:eastAsia="zh-CN"/>
        </w:rPr>
        <w:t>中的规定。</w:t>
      </w:r>
    </w:p>
    <w:bookmarkEnd w:id="23"/>
    <w:p w14:paraId="33AADE05">
      <w:pPr>
        <w:pStyle w:val="47"/>
        <w:keepNext w:val="0"/>
        <w:keepLines w:val="0"/>
        <w:pageBreakBefore w:val="0"/>
        <w:kinsoku/>
        <w:wordWrap/>
        <w:overflowPunct/>
        <w:topLinePunct w:val="0"/>
        <w:bidi w:val="0"/>
        <w:spacing w:beforeLines="0" w:afterLines="0" w:line="440" w:lineRule="exact"/>
        <w:ind w:left="0"/>
        <w:textAlignment w:val="auto"/>
        <w:rPr>
          <w:rFonts w:hint="eastAsia" w:hAnsi="Times New Roman" w:cs="Times New Roman"/>
          <w:lang w:val="en-US" w:eastAsia="zh-CN"/>
        </w:rPr>
      </w:pPr>
      <w:r>
        <w:rPr>
          <w:rFonts w:hint="eastAsia" w:hAnsi="Times New Roman" w:cs="Times New Roman"/>
          <w:lang w:val="en-US" w:eastAsia="zh-CN"/>
        </w:rPr>
        <w:t>整地施肥</w:t>
      </w:r>
    </w:p>
    <w:p w14:paraId="04DF56D8">
      <w:pPr>
        <w:pStyle w:val="41"/>
        <w:keepNext w:val="0"/>
        <w:keepLines w:val="0"/>
        <w:pageBreakBefore w:val="0"/>
        <w:widowControl/>
        <w:kinsoku/>
        <w:wordWrap/>
        <w:overflowPunct/>
        <w:topLinePunct w:val="0"/>
        <w:bidi w:val="0"/>
        <w:adjustRightInd w:val="0"/>
        <w:snapToGrid w:val="0"/>
        <w:spacing w:beforeLines="0" w:afterLines="0" w:line="440" w:lineRule="exact"/>
        <w:ind w:left="0" w:hanging="420" w:hangingChars="20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施肥</w:t>
      </w:r>
    </w:p>
    <w:p w14:paraId="465824AD">
      <w:pPr>
        <w:keepNext w:val="0"/>
        <w:keepLines w:val="0"/>
        <w:pageBreakBefore w:val="0"/>
        <w:kinsoku/>
        <w:wordWrap/>
        <w:overflowPunct/>
        <w:topLinePunct w:val="0"/>
        <w:bidi w:val="0"/>
        <w:spacing w:line="440" w:lineRule="exact"/>
        <w:ind w:firstLine="420" w:firstLineChars="200"/>
        <w:textAlignment w:val="auto"/>
        <w:rPr>
          <w:rFonts w:hint="default" w:eastAsia="宋体"/>
          <w:color w:val="auto"/>
          <w:lang w:val="en-US" w:eastAsia="zh-CN"/>
        </w:rPr>
      </w:pPr>
      <w:r>
        <w:rPr>
          <w:rFonts w:hint="eastAsia"/>
          <w:color w:val="auto"/>
          <w:sz w:val="21"/>
          <w:lang w:val="en-US" w:eastAsia="zh-CN"/>
        </w:rPr>
        <w:t>尽量</w:t>
      </w:r>
      <w:r>
        <w:rPr>
          <w:rFonts w:hint="eastAsia" w:ascii="Times New Roman" w:hAnsi="Times New Roman" w:eastAsia="Times New Roman"/>
          <w:color w:val="auto"/>
          <w:sz w:val="21"/>
        </w:rPr>
        <w:t>采用测土配方施肥，以有机肥为主，控施化肥。施用肥料应符合NY/T394的规定。</w:t>
      </w:r>
      <w:r>
        <w:rPr>
          <w:rFonts w:hint="eastAsia"/>
          <w:color w:val="auto"/>
          <w:sz w:val="21"/>
          <w:lang w:val="en-US" w:eastAsia="zh-CN"/>
        </w:rPr>
        <w:t>无测土配方施肥条件的，</w:t>
      </w:r>
      <w:r>
        <w:rPr>
          <w:rFonts w:hint="eastAsia"/>
          <w:color w:val="auto"/>
          <w:szCs w:val="21"/>
        </w:rPr>
        <w:t>根据土壤肥力状况，每亩施用腐熟有机肥</w:t>
      </w:r>
      <w:r>
        <w:rPr>
          <w:rFonts w:hint="eastAsia"/>
          <w:color w:val="auto"/>
          <w:szCs w:val="21"/>
          <w:lang w:val="en-US" w:eastAsia="zh-CN"/>
        </w:rPr>
        <w:t>1500</w:t>
      </w:r>
      <w:r>
        <w:rPr>
          <w:rFonts w:hint="eastAsia"/>
          <w:color w:val="auto"/>
          <w:szCs w:val="21"/>
        </w:rPr>
        <w:t>kg～</w:t>
      </w:r>
      <w:r>
        <w:rPr>
          <w:rFonts w:hint="eastAsia"/>
          <w:color w:val="auto"/>
          <w:szCs w:val="21"/>
          <w:lang w:val="en-US" w:eastAsia="zh-CN"/>
        </w:rPr>
        <w:t>2500kg</w:t>
      </w:r>
      <w:r>
        <w:rPr>
          <w:rFonts w:hint="eastAsia"/>
          <w:color w:val="auto"/>
          <w:szCs w:val="21"/>
        </w:rPr>
        <w:t>，</w:t>
      </w:r>
      <w:r>
        <w:rPr>
          <w:rFonts w:hint="eastAsia"/>
          <w:color w:val="auto"/>
          <w:szCs w:val="21"/>
          <w:lang w:val="en-US" w:eastAsia="zh-CN"/>
        </w:rPr>
        <w:t>纯氮6</w:t>
      </w:r>
      <w:r>
        <w:rPr>
          <w:color w:val="auto"/>
          <w:szCs w:val="21"/>
        </w:rPr>
        <w:t>kg</w:t>
      </w:r>
      <w:r>
        <w:rPr>
          <w:rFonts w:hint="eastAsia"/>
          <w:color w:val="auto"/>
          <w:szCs w:val="21"/>
        </w:rPr>
        <w:t>～</w:t>
      </w:r>
      <w:r>
        <w:rPr>
          <w:rFonts w:hint="eastAsia"/>
          <w:color w:val="auto"/>
          <w:szCs w:val="21"/>
          <w:lang w:val="en-US" w:eastAsia="zh-CN"/>
        </w:rPr>
        <w:t>8</w:t>
      </w:r>
      <w:r>
        <w:rPr>
          <w:color w:val="auto"/>
          <w:szCs w:val="21"/>
        </w:rPr>
        <w:t>kg</w:t>
      </w:r>
      <w:r>
        <w:rPr>
          <w:rFonts w:hint="eastAsia"/>
          <w:color w:val="auto"/>
          <w:szCs w:val="21"/>
        </w:rPr>
        <w:t>，</w:t>
      </w:r>
      <w:r>
        <w:rPr>
          <w:rFonts w:hint="eastAsia"/>
          <w:color w:val="auto"/>
          <w:szCs w:val="21"/>
          <w:lang w:val="en-US" w:eastAsia="zh-CN"/>
        </w:rPr>
        <w:t>五氧化二磷4</w:t>
      </w:r>
      <w:r>
        <w:rPr>
          <w:color w:val="auto"/>
          <w:szCs w:val="21"/>
        </w:rPr>
        <w:t>kg</w:t>
      </w:r>
      <w:r>
        <w:rPr>
          <w:rFonts w:hint="eastAsia"/>
          <w:color w:val="auto"/>
          <w:szCs w:val="21"/>
        </w:rPr>
        <w:t>～</w:t>
      </w:r>
      <w:r>
        <w:rPr>
          <w:rFonts w:hint="eastAsia"/>
          <w:color w:val="auto"/>
          <w:szCs w:val="21"/>
          <w:lang w:val="en-US" w:eastAsia="zh-CN"/>
        </w:rPr>
        <w:t>5</w:t>
      </w:r>
      <w:r>
        <w:rPr>
          <w:color w:val="auto"/>
          <w:szCs w:val="21"/>
        </w:rPr>
        <w:t>kg</w:t>
      </w:r>
      <w:r>
        <w:rPr>
          <w:rFonts w:hint="eastAsia"/>
          <w:color w:val="auto"/>
          <w:szCs w:val="21"/>
        </w:rPr>
        <w:t>，</w:t>
      </w:r>
      <w:r>
        <w:rPr>
          <w:rFonts w:hint="eastAsia"/>
          <w:color w:val="auto"/>
          <w:szCs w:val="21"/>
          <w:lang w:val="en-US" w:eastAsia="zh-CN"/>
        </w:rPr>
        <w:t>氧化钾2</w:t>
      </w:r>
      <w:r>
        <w:rPr>
          <w:color w:val="auto"/>
          <w:szCs w:val="21"/>
        </w:rPr>
        <w:t>kg</w:t>
      </w:r>
      <w:r>
        <w:rPr>
          <w:rFonts w:hint="eastAsia"/>
          <w:color w:val="auto"/>
          <w:szCs w:val="21"/>
        </w:rPr>
        <w:t>～</w:t>
      </w:r>
      <w:r>
        <w:rPr>
          <w:rFonts w:hint="eastAsia"/>
          <w:color w:val="auto"/>
          <w:szCs w:val="21"/>
          <w:lang w:val="en-US" w:eastAsia="zh-CN"/>
        </w:rPr>
        <w:t>3</w:t>
      </w:r>
      <w:r>
        <w:rPr>
          <w:color w:val="auto"/>
          <w:szCs w:val="21"/>
        </w:rPr>
        <w:t>kg</w:t>
      </w:r>
      <w:r>
        <w:rPr>
          <w:rFonts w:hint="eastAsia"/>
          <w:color w:val="auto"/>
          <w:szCs w:val="21"/>
        </w:rPr>
        <w:t>。磷钾肥作基肥，整地时全部施入，氮肥总量的</w:t>
      </w:r>
      <w:r>
        <w:rPr>
          <w:rFonts w:hint="eastAsia"/>
          <w:color w:val="auto"/>
          <w:szCs w:val="21"/>
          <w:lang w:val="en-US" w:eastAsia="zh-CN"/>
        </w:rPr>
        <w:t>60%</w:t>
      </w:r>
      <w:r>
        <w:rPr>
          <w:rFonts w:hint="eastAsia"/>
          <w:color w:val="auto"/>
          <w:szCs w:val="21"/>
        </w:rPr>
        <w:t>作基肥，氮肥总量的</w:t>
      </w:r>
      <w:r>
        <w:rPr>
          <w:rFonts w:hint="eastAsia"/>
          <w:color w:val="auto"/>
          <w:szCs w:val="21"/>
          <w:lang w:val="en-US" w:eastAsia="zh-CN"/>
        </w:rPr>
        <w:t>40%春季追肥</w:t>
      </w:r>
      <w:r>
        <w:rPr>
          <w:rFonts w:hint="eastAsia"/>
          <w:color w:val="auto"/>
          <w:szCs w:val="21"/>
        </w:rPr>
        <w:t>。</w:t>
      </w:r>
    </w:p>
    <w:p w14:paraId="5E9AC4DC">
      <w:pPr>
        <w:pStyle w:val="41"/>
        <w:keepNext w:val="0"/>
        <w:keepLines w:val="0"/>
        <w:pageBreakBefore w:val="0"/>
        <w:kinsoku/>
        <w:wordWrap/>
        <w:overflowPunct/>
        <w:topLinePunct w:val="0"/>
        <w:bidi w:val="0"/>
        <w:adjustRightInd w:val="0"/>
        <w:snapToGrid w:val="0"/>
        <w:spacing w:beforeLines="0" w:afterLines="0" w:line="440" w:lineRule="exact"/>
        <w:ind w:left="420" w:hanging="420" w:hangingChars="200"/>
        <w:textAlignment w:val="auto"/>
        <w:rPr>
          <w:rFonts w:ascii="Times New Roman"/>
        </w:rPr>
      </w:pPr>
      <w:r>
        <w:rPr>
          <w:rFonts w:hint="eastAsia" w:ascii="Times New Roman"/>
        </w:rPr>
        <w:t>精细整地</w:t>
      </w:r>
    </w:p>
    <w:p w14:paraId="041D31E2">
      <w:pPr>
        <w:pStyle w:val="22"/>
        <w:keepNext w:val="0"/>
        <w:keepLines w:val="0"/>
        <w:pageBreakBefore w:val="0"/>
        <w:widowControl/>
        <w:kinsoku/>
        <w:wordWrap/>
        <w:overflowPunct/>
        <w:topLinePunct w:val="0"/>
        <w:bidi w:val="0"/>
        <w:adjustRightInd w:val="0"/>
        <w:snapToGrid w:val="0"/>
        <w:spacing w:line="440" w:lineRule="exact"/>
        <w:ind w:left="0"/>
        <w:textAlignment w:val="auto"/>
        <w:rPr>
          <w:rFonts w:hint="eastAsia" w:eastAsia="宋体"/>
          <w:szCs w:val="21"/>
          <w:lang w:eastAsia="zh-CN"/>
        </w:rPr>
      </w:pPr>
      <w:r>
        <w:rPr>
          <w:rFonts w:hint="eastAsia" w:ascii="Times New Roman"/>
          <w:lang w:val="en-US" w:eastAsia="zh-CN"/>
        </w:rPr>
        <w:t>结合施底肥，采取深松加</w:t>
      </w:r>
      <w:r>
        <w:rPr>
          <w:rFonts w:hint="eastAsia" w:ascii="Times New Roman"/>
        </w:rPr>
        <w:t>旋耕</w:t>
      </w:r>
      <w:r>
        <w:rPr>
          <w:rFonts w:hint="eastAsia" w:ascii="Times New Roman"/>
          <w:lang w:val="en-US" w:eastAsia="zh-CN"/>
        </w:rPr>
        <w:t>的方式整地</w:t>
      </w:r>
      <w:r>
        <w:rPr>
          <w:rFonts w:hint="eastAsia" w:ascii="Times New Roman"/>
        </w:rPr>
        <w:t>，</w:t>
      </w:r>
      <w:r>
        <w:rPr>
          <w:rFonts w:hint="eastAsia" w:ascii="Times New Roman"/>
          <w:lang w:val="en-US" w:eastAsia="zh-CN"/>
        </w:rPr>
        <w:t>深松深度应穿透犁底层，作业质量应符合DB13/T 1478中的规定。旋耕深度不少于15cm，</w:t>
      </w:r>
      <w:r>
        <w:rPr>
          <w:rFonts w:hint="eastAsia" w:ascii="Times New Roman"/>
        </w:rPr>
        <w:t>作业质量应符合N</w:t>
      </w:r>
      <w:r>
        <w:rPr>
          <w:rFonts w:ascii="Times New Roman"/>
        </w:rPr>
        <w:t>Y</w:t>
      </w:r>
      <w:r>
        <w:rPr>
          <w:rFonts w:hint="eastAsia" w:ascii="Times New Roman"/>
        </w:rPr>
        <w:t>/T</w:t>
      </w:r>
      <w:r>
        <w:rPr>
          <w:rFonts w:ascii="Times New Roman"/>
        </w:rPr>
        <w:t xml:space="preserve"> </w:t>
      </w:r>
      <w:r>
        <w:rPr>
          <w:rFonts w:hint="eastAsia" w:ascii="Times New Roman"/>
        </w:rPr>
        <w:t>499中的规定</w:t>
      </w:r>
      <w:r>
        <w:rPr>
          <w:rFonts w:hint="eastAsia" w:ascii="Times New Roman"/>
          <w:lang w:eastAsia="zh-CN"/>
        </w:rPr>
        <w:t>。</w:t>
      </w:r>
      <w:r>
        <w:rPr>
          <w:rFonts w:hint="eastAsia"/>
          <w:szCs w:val="21"/>
        </w:rPr>
        <w:t>要达到上虚下实，地面平整，表土无大土块，耙层无大坷垃</w:t>
      </w:r>
      <w:r>
        <w:rPr>
          <w:rFonts w:hint="eastAsia"/>
          <w:szCs w:val="21"/>
          <w:lang w:eastAsia="zh-CN"/>
        </w:rPr>
        <w:t>。</w:t>
      </w:r>
    </w:p>
    <w:p w14:paraId="7E42A0E2">
      <w:pPr>
        <w:pStyle w:val="47"/>
        <w:keepNext w:val="0"/>
        <w:keepLines w:val="0"/>
        <w:pageBreakBefore w:val="0"/>
        <w:widowControl/>
        <w:kinsoku/>
        <w:wordWrap/>
        <w:overflowPunct/>
        <w:topLinePunct w:val="0"/>
        <w:bidi w:val="0"/>
        <w:spacing w:beforeLines="0" w:afterLines="0" w:line="440" w:lineRule="exact"/>
        <w:ind w:left="0"/>
        <w:textAlignment w:val="auto"/>
      </w:pPr>
      <w:r>
        <w:rPr>
          <w:rFonts w:hint="eastAsia"/>
        </w:rPr>
        <w:t>播种</w:t>
      </w:r>
    </w:p>
    <w:p w14:paraId="009C04D4">
      <w:pPr>
        <w:pStyle w:val="41"/>
        <w:keepNext w:val="0"/>
        <w:keepLines w:val="0"/>
        <w:pageBreakBefore w:val="0"/>
        <w:widowControl/>
        <w:kinsoku/>
        <w:wordWrap/>
        <w:overflowPunct/>
        <w:topLinePunct w:val="0"/>
        <w:bidi w:val="0"/>
        <w:adjustRightInd w:val="0"/>
        <w:snapToGrid w:val="0"/>
        <w:spacing w:beforeLines="0" w:afterLines="0" w:line="440" w:lineRule="exact"/>
        <w:ind w:left="0" w:hanging="420" w:hangingChars="200"/>
        <w:textAlignment w:val="auto"/>
        <w:rPr>
          <w:rFonts w:ascii="Times New Roman"/>
        </w:rPr>
      </w:pPr>
      <w:r>
        <w:rPr>
          <w:rFonts w:hint="eastAsia" w:ascii="Times New Roman"/>
        </w:rPr>
        <w:t>播期</w:t>
      </w:r>
    </w:p>
    <w:p w14:paraId="0A26E25C">
      <w:pPr>
        <w:pStyle w:val="22"/>
        <w:keepNext w:val="0"/>
        <w:keepLines w:val="0"/>
        <w:pageBreakBefore w:val="0"/>
        <w:widowControl/>
        <w:kinsoku/>
        <w:wordWrap/>
        <w:overflowPunct/>
        <w:topLinePunct w:val="0"/>
        <w:bidi w:val="0"/>
        <w:adjustRightInd w:val="0"/>
        <w:snapToGrid w:val="0"/>
        <w:spacing w:line="440" w:lineRule="exact"/>
        <w:ind w:left="0"/>
        <w:textAlignment w:val="auto"/>
        <w:rPr>
          <w:rFonts w:ascii="Times New Roman"/>
        </w:rPr>
      </w:pPr>
      <w:r>
        <w:rPr>
          <w:rFonts w:hint="eastAsia" w:ascii="Times New Roman"/>
          <w:lang w:val="en-US" w:eastAsia="zh-CN"/>
        </w:rPr>
        <w:t>适播期</w:t>
      </w:r>
      <w:r>
        <w:rPr>
          <w:rFonts w:hint="eastAsia" w:ascii="Times New Roman"/>
        </w:rPr>
        <w:t>为</w:t>
      </w:r>
      <w:r>
        <w:rPr>
          <w:rFonts w:hint="eastAsia" w:ascii="Times New Roman"/>
          <w:lang w:val="en-US" w:eastAsia="zh-CN"/>
        </w:rPr>
        <w:t>10</w:t>
      </w:r>
      <w:r>
        <w:rPr>
          <w:rFonts w:hint="eastAsia" w:ascii="Times New Roman"/>
        </w:rPr>
        <w:t>月</w:t>
      </w:r>
      <w:r>
        <w:rPr>
          <w:rFonts w:hint="eastAsia" w:ascii="Times New Roman"/>
          <w:lang w:val="en-US" w:eastAsia="zh-CN"/>
        </w:rPr>
        <w:t>1</w:t>
      </w:r>
      <w:r>
        <w:rPr>
          <w:rFonts w:hint="eastAsia" w:ascii="Times New Roman"/>
        </w:rPr>
        <w:t>日～10月</w:t>
      </w:r>
      <w:r>
        <w:rPr>
          <w:rFonts w:hint="eastAsia" w:ascii="Times New Roman"/>
          <w:lang w:val="en-US" w:eastAsia="zh-CN"/>
        </w:rPr>
        <w:t>15</w:t>
      </w:r>
      <w:r>
        <w:rPr>
          <w:rFonts w:hint="eastAsia" w:ascii="Times New Roman"/>
        </w:rPr>
        <w:t>日</w:t>
      </w:r>
      <w:r>
        <w:rPr>
          <w:rFonts w:hint="eastAsia" w:ascii="Times New Roman"/>
          <w:lang w:eastAsia="zh-CN"/>
        </w:rPr>
        <w:t>，</w:t>
      </w:r>
      <w:r>
        <w:rPr>
          <w:rFonts w:hint="eastAsia" w:ascii="Times New Roman"/>
          <w:lang w:val="en-US" w:eastAsia="zh-CN"/>
        </w:rPr>
        <w:t>一般不晚于11月中旬</w:t>
      </w:r>
      <w:r>
        <w:rPr>
          <w:rFonts w:hint="eastAsia" w:ascii="Times New Roman"/>
        </w:rPr>
        <w:t>。</w:t>
      </w:r>
    </w:p>
    <w:p w14:paraId="1D6949E8">
      <w:pPr>
        <w:pStyle w:val="41"/>
        <w:keepNext w:val="0"/>
        <w:keepLines w:val="0"/>
        <w:pageBreakBefore w:val="0"/>
        <w:widowControl/>
        <w:kinsoku/>
        <w:wordWrap/>
        <w:overflowPunct/>
        <w:topLinePunct w:val="0"/>
        <w:bidi w:val="0"/>
        <w:adjustRightInd w:val="0"/>
        <w:snapToGrid w:val="0"/>
        <w:spacing w:beforeLines="0" w:afterLines="0" w:line="440" w:lineRule="exact"/>
        <w:ind w:left="0" w:hanging="420" w:hangingChars="200"/>
        <w:textAlignment w:val="auto"/>
        <w:rPr>
          <w:rFonts w:ascii="Times New Roman"/>
        </w:rPr>
      </w:pPr>
      <w:r>
        <w:rPr>
          <w:rFonts w:hint="eastAsia" w:ascii="Times New Roman"/>
        </w:rPr>
        <w:t>播量</w:t>
      </w:r>
    </w:p>
    <w:p w14:paraId="2E590ACE">
      <w:pPr>
        <w:pStyle w:val="22"/>
        <w:keepNext w:val="0"/>
        <w:keepLines w:val="0"/>
        <w:pageBreakBefore w:val="0"/>
        <w:widowControl/>
        <w:kinsoku/>
        <w:wordWrap/>
        <w:overflowPunct/>
        <w:topLinePunct w:val="0"/>
        <w:bidi w:val="0"/>
        <w:adjustRightInd w:val="0"/>
        <w:snapToGrid w:val="0"/>
        <w:spacing w:line="440" w:lineRule="exact"/>
        <w:ind w:left="0"/>
        <w:textAlignment w:val="auto"/>
        <w:rPr>
          <w:rFonts w:ascii="Times New Roman"/>
        </w:rPr>
      </w:pPr>
      <w:r>
        <w:rPr>
          <w:rFonts w:hint="eastAsia" w:ascii="Times New Roman"/>
        </w:rPr>
        <w:t>最佳播期内，亩播量12.5kg，每推迟1d，播量增加0.5kg，最大亩播量不超过22.5kg。</w:t>
      </w:r>
    </w:p>
    <w:p w14:paraId="36F6B461">
      <w:pPr>
        <w:pStyle w:val="41"/>
        <w:keepNext w:val="0"/>
        <w:keepLines w:val="0"/>
        <w:pageBreakBefore w:val="0"/>
        <w:widowControl/>
        <w:kinsoku/>
        <w:wordWrap/>
        <w:overflowPunct/>
        <w:topLinePunct w:val="0"/>
        <w:bidi w:val="0"/>
        <w:adjustRightInd w:val="0"/>
        <w:snapToGrid w:val="0"/>
        <w:spacing w:beforeLines="0" w:afterLines="0" w:line="440" w:lineRule="exact"/>
        <w:ind w:left="0" w:hanging="420" w:hangingChars="200"/>
        <w:textAlignment w:val="auto"/>
        <w:rPr>
          <w:rFonts w:ascii="Times New Roman"/>
        </w:rPr>
      </w:pPr>
      <w:r>
        <w:rPr>
          <w:rFonts w:hint="eastAsia" w:ascii="Times New Roman"/>
        </w:rPr>
        <w:t>播种要求</w:t>
      </w:r>
    </w:p>
    <w:p w14:paraId="0127892F">
      <w:pPr>
        <w:pStyle w:val="22"/>
        <w:keepNext w:val="0"/>
        <w:keepLines w:val="0"/>
        <w:pageBreakBefore w:val="0"/>
        <w:widowControl/>
        <w:kinsoku/>
        <w:wordWrap/>
        <w:overflowPunct/>
        <w:topLinePunct w:val="0"/>
        <w:bidi w:val="0"/>
        <w:adjustRightInd w:val="0"/>
        <w:snapToGrid w:val="0"/>
        <w:spacing w:line="440" w:lineRule="exact"/>
        <w:ind w:left="0"/>
        <w:textAlignment w:val="auto"/>
        <w:rPr>
          <w:rFonts w:hint="default" w:ascii="Times New Roman" w:eastAsia="宋体"/>
          <w:color w:val="000000"/>
          <w:lang w:val="en-US" w:eastAsia="zh-CN"/>
        </w:rPr>
      </w:pPr>
      <w:r>
        <w:rPr>
          <w:rFonts w:hint="eastAsia"/>
          <w:szCs w:val="21"/>
        </w:rPr>
        <w:t>适播期内耕层（0cm～20cm）土壤相对含水量65%～75%时即可播种</w:t>
      </w:r>
      <w:r>
        <w:rPr>
          <w:rFonts w:hint="eastAsia" w:ascii="Times New Roman"/>
          <w:color w:val="000000"/>
        </w:rPr>
        <w:t>。条播，</w:t>
      </w:r>
      <w:r>
        <w:rPr>
          <w:rFonts w:hint="eastAsia" w:ascii="Times New Roman"/>
        </w:rPr>
        <w:t>行距15cm</w:t>
      </w:r>
      <w:r>
        <w:rPr>
          <w:rFonts w:hint="eastAsia" w:hAnsi="宋体"/>
          <w:bCs/>
          <w:color w:val="000000"/>
          <w:sz w:val="18"/>
          <w:szCs w:val="18"/>
        </w:rPr>
        <w:t>～</w:t>
      </w:r>
      <w:r>
        <w:rPr>
          <w:rFonts w:hint="eastAsia" w:ascii="Times New Roman"/>
        </w:rPr>
        <w:t>20cm，播深3cm</w:t>
      </w:r>
      <w:r>
        <w:rPr>
          <w:rFonts w:hint="eastAsia" w:hAnsi="宋体"/>
          <w:bCs/>
          <w:color w:val="000000"/>
          <w:sz w:val="18"/>
          <w:szCs w:val="18"/>
        </w:rPr>
        <w:t>～</w:t>
      </w:r>
      <w:r>
        <w:rPr>
          <w:rFonts w:hint="eastAsia" w:ascii="Times New Roman"/>
        </w:rPr>
        <w:t>5cm，</w:t>
      </w:r>
      <w:r>
        <w:rPr>
          <w:rFonts w:hint="eastAsia" w:ascii="Times New Roman"/>
          <w:color w:val="000000"/>
        </w:rPr>
        <w:t>深浅一致</w:t>
      </w:r>
      <w:r>
        <w:rPr>
          <w:rFonts w:hint="eastAsia" w:ascii="Times New Roman"/>
          <w:color w:val="000000"/>
          <w:lang w:eastAsia="zh-CN"/>
        </w:rPr>
        <w:t>。</w:t>
      </w:r>
      <w:r>
        <w:rPr>
          <w:rFonts w:hint="eastAsia" w:ascii="Times New Roman"/>
          <w:color w:val="000000"/>
          <w:lang w:val="en-US" w:eastAsia="zh-CN"/>
        </w:rPr>
        <w:t>或采用起垄沟播方式。</w:t>
      </w:r>
    </w:p>
    <w:p w14:paraId="3460C51A">
      <w:pPr>
        <w:pStyle w:val="41"/>
        <w:keepNext w:val="0"/>
        <w:keepLines w:val="0"/>
        <w:pageBreakBefore w:val="0"/>
        <w:widowControl/>
        <w:kinsoku/>
        <w:wordWrap/>
        <w:overflowPunct/>
        <w:topLinePunct w:val="0"/>
        <w:bidi w:val="0"/>
        <w:adjustRightInd w:val="0"/>
        <w:snapToGrid w:val="0"/>
        <w:spacing w:beforeLines="0" w:afterLines="0" w:line="440" w:lineRule="exact"/>
        <w:ind w:left="0" w:hanging="420" w:hangingChars="200"/>
        <w:textAlignment w:val="auto"/>
        <w:rPr>
          <w:rFonts w:ascii="Times New Roman"/>
        </w:rPr>
      </w:pPr>
      <w:r>
        <w:rPr>
          <w:rFonts w:hint="eastAsia" w:ascii="Times New Roman"/>
        </w:rPr>
        <w:t>播后镇压</w:t>
      </w:r>
    </w:p>
    <w:p w14:paraId="0EFFD5E1">
      <w:pPr>
        <w:pStyle w:val="22"/>
        <w:keepNext w:val="0"/>
        <w:keepLines w:val="0"/>
        <w:pageBreakBefore w:val="0"/>
        <w:widowControl/>
        <w:kinsoku/>
        <w:wordWrap/>
        <w:overflowPunct/>
        <w:topLinePunct w:val="0"/>
        <w:bidi w:val="0"/>
        <w:adjustRightInd w:val="0"/>
        <w:snapToGrid w:val="0"/>
        <w:spacing w:line="440" w:lineRule="exact"/>
        <w:ind w:left="0"/>
        <w:textAlignment w:val="auto"/>
        <w:rPr>
          <w:rFonts w:ascii="Times New Roman"/>
        </w:rPr>
      </w:pPr>
      <w:r>
        <w:rPr>
          <w:rFonts w:hint="eastAsia" w:ascii="Times New Roman"/>
        </w:rPr>
        <w:t>播后按照</w:t>
      </w:r>
      <w:r>
        <w:rPr>
          <w:rFonts w:ascii="Times New Roman"/>
        </w:rPr>
        <w:t>DB13/T 2366</w:t>
      </w:r>
      <w:r>
        <w:rPr>
          <w:rFonts w:hint="eastAsia" w:ascii="Times New Roman"/>
        </w:rPr>
        <w:t>中的规定机械镇压。</w:t>
      </w:r>
    </w:p>
    <w:p w14:paraId="76E676E4">
      <w:pPr>
        <w:pStyle w:val="47"/>
        <w:keepNext w:val="0"/>
        <w:keepLines w:val="0"/>
        <w:pageBreakBefore w:val="0"/>
        <w:widowControl/>
        <w:kinsoku/>
        <w:wordWrap/>
        <w:overflowPunct/>
        <w:topLinePunct w:val="0"/>
        <w:bidi w:val="0"/>
        <w:adjustRightInd w:val="0"/>
        <w:snapToGrid w:val="0"/>
        <w:spacing w:beforeLines="0" w:afterLines="0" w:line="440" w:lineRule="exact"/>
        <w:ind w:left="0"/>
        <w:textAlignment w:val="auto"/>
        <w:rPr>
          <w:rFonts w:ascii="Times New Roman"/>
        </w:rPr>
      </w:pPr>
      <w:r>
        <w:rPr>
          <w:rFonts w:hint="eastAsia" w:ascii="Times New Roman"/>
          <w:lang w:val="en-US" w:eastAsia="zh-CN"/>
        </w:rPr>
        <w:t>冬前镇压</w:t>
      </w:r>
    </w:p>
    <w:p w14:paraId="3012E0B8">
      <w:pPr>
        <w:pStyle w:val="22"/>
        <w:keepNext w:val="0"/>
        <w:keepLines w:val="0"/>
        <w:pageBreakBefore w:val="0"/>
        <w:widowControl/>
        <w:kinsoku/>
        <w:wordWrap/>
        <w:overflowPunct/>
        <w:topLinePunct w:val="0"/>
        <w:bidi w:val="0"/>
        <w:adjustRightInd w:val="0"/>
        <w:snapToGrid w:val="0"/>
        <w:spacing w:line="440" w:lineRule="exact"/>
        <w:ind w:left="0"/>
        <w:textAlignment w:val="auto"/>
        <w:rPr>
          <w:rFonts w:ascii="Times New Roman"/>
        </w:rPr>
      </w:pPr>
      <w:r>
        <w:rPr>
          <w:rFonts w:hint="eastAsia" w:ascii="Times New Roman"/>
        </w:rPr>
        <w:t>按照</w:t>
      </w:r>
      <w:r>
        <w:rPr>
          <w:rFonts w:ascii="Times New Roman"/>
        </w:rPr>
        <w:t>DB13/T 2366</w:t>
      </w:r>
      <w:r>
        <w:rPr>
          <w:rFonts w:hint="eastAsia" w:ascii="Times New Roman"/>
        </w:rPr>
        <w:t>中的规定</w:t>
      </w:r>
      <w:r>
        <w:rPr>
          <w:rFonts w:hint="eastAsia" w:ascii="Times New Roman"/>
          <w:lang w:eastAsia="zh-CN"/>
        </w:rPr>
        <w:t>，</w:t>
      </w:r>
      <w:r>
        <w:rPr>
          <w:rFonts w:hint="eastAsia" w:ascii="Times New Roman"/>
        </w:rPr>
        <w:t>麦田在上冻前进行冬前镇压。</w:t>
      </w:r>
    </w:p>
    <w:p w14:paraId="5454913C">
      <w:pPr>
        <w:pStyle w:val="47"/>
        <w:keepNext w:val="0"/>
        <w:keepLines w:val="0"/>
        <w:pageBreakBefore w:val="0"/>
        <w:widowControl/>
        <w:kinsoku/>
        <w:wordWrap/>
        <w:overflowPunct/>
        <w:topLinePunct w:val="0"/>
        <w:bidi w:val="0"/>
        <w:adjustRightInd w:val="0"/>
        <w:snapToGrid w:val="0"/>
        <w:spacing w:beforeLines="0" w:afterLines="0" w:line="440" w:lineRule="exact"/>
        <w:ind w:left="0"/>
        <w:textAlignment w:val="auto"/>
        <w:rPr>
          <w:rFonts w:ascii="Times New Roman"/>
        </w:rPr>
      </w:pPr>
      <w:r>
        <w:rPr>
          <w:rFonts w:hint="eastAsia" w:ascii="Times New Roman"/>
        </w:rPr>
        <w:t>春季管理</w:t>
      </w:r>
    </w:p>
    <w:p w14:paraId="25AD0B9C">
      <w:pPr>
        <w:pStyle w:val="41"/>
        <w:keepNext w:val="0"/>
        <w:keepLines w:val="0"/>
        <w:pageBreakBefore w:val="0"/>
        <w:widowControl/>
        <w:kinsoku/>
        <w:wordWrap/>
        <w:overflowPunct/>
        <w:topLinePunct w:val="0"/>
        <w:bidi w:val="0"/>
        <w:adjustRightInd w:val="0"/>
        <w:snapToGrid w:val="0"/>
        <w:spacing w:beforeLines="0" w:afterLines="0" w:line="440" w:lineRule="exact"/>
        <w:ind w:left="0" w:hanging="420" w:hangingChars="200"/>
        <w:textAlignment w:val="auto"/>
        <w:rPr>
          <w:rFonts w:ascii="Times New Roman"/>
        </w:rPr>
      </w:pPr>
      <w:r>
        <w:rPr>
          <w:rFonts w:hint="eastAsia" w:ascii="Times New Roman"/>
        </w:rPr>
        <w:t>锄划镇压</w:t>
      </w:r>
    </w:p>
    <w:p w14:paraId="3264F5C0">
      <w:pPr>
        <w:pStyle w:val="22"/>
        <w:keepNext w:val="0"/>
        <w:keepLines w:val="0"/>
        <w:pageBreakBefore w:val="0"/>
        <w:widowControl/>
        <w:kinsoku/>
        <w:wordWrap/>
        <w:overflowPunct/>
        <w:topLinePunct w:val="0"/>
        <w:bidi w:val="0"/>
        <w:spacing w:line="440" w:lineRule="exact"/>
        <w:ind w:left="0"/>
        <w:textAlignment w:val="auto"/>
      </w:pPr>
      <w:r>
        <w:rPr>
          <w:rFonts w:hint="eastAsia"/>
        </w:rPr>
        <w:t>返青前进行麦田锄划和镇压。</w:t>
      </w:r>
    </w:p>
    <w:p w14:paraId="594C2076">
      <w:pPr>
        <w:pStyle w:val="41"/>
        <w:keepNext w:val="0"/>
        <w:keepLines w:val="0"/>
        <w:pageBreakBefore w:val="0"/>
        <w:widowControl/>
        <w:kinsoku/>
        <w:wordWrap/>
        <w:overflowPunct/>
        <w:topLinePunct w:val="0"/>
        <w:bidi w:val="0"/>
        <w:adjustRightInd w:val="0"/>
        <w:snapToGrid w:val="0"/>
        <w:spacing w:beforeLines="0" w:afterLines="0" w:line="440" w:lineRule="exact"/>
        <w:ind w:left="0" w:hanging="420" w:hangingChars="200"/>
        <w:textAlignment w:val="auto"/>
        <w:rPr>
          <w:rFonts w:ascii="Times New Roman"/>
        </w:rPr>
      </w:pPr>
      <w:r>
        <w:rPr>
          <w:rFonts w:hint="eastAsia" w:ascii="Times New Roman"/>
        </w:rPr>
        <w:t>追肥</w:t>
      </w:r>
    </w:p>
    <w:p w14:paraId="1E9346B7">
      <w:pPr>
        <w:pStyle w:val="22"/>
        <w:keepNext w:val="0"/>
        <w:keepLines w:val="0"/>
        <w:pageBreakBefore w:val="0"/>
        <w:widowControl/>
        <w:kinsoku/>
        <w:wordWrap/>
        <w:overflowPunct/>
        <w:topLinePunct w:val="0"/>
        <w:bidi w:val="0"/>
        <w:adjustRightInd w:val="0"/>
        <w:snapToGrid w:val="0"/>
        <w:spacing w:line="440" w:lineRule="exact"/>
        <w:ind w:left="0"/>
        <w:textAlignment w:val="auto"/>
        <w:rPr>
          <w:rFonts w:hint="eastAsia" w:ascii="Times New Roman"/>
          <w:lang w:val="en-US" w:eastAsia="zh-CN"/>
        </w:rPr>
      </w:pPr>
      <w:r>
        <w:rPr>
          <w:rFonts w:hint="eastAsia" w:ascii="Times New Roman"/>
        </w:rPr>
        <w:t>返青前顶凌追肥</w:t>
      </w:r>
      <w:r>
        <w:rPr>
          <w:rFonts w:hint="eastAsia" w:ascii="Times New Roman"/>
          <w:lang w:eastAsia="zh-CN"/>
        </w:rPr>
        <w:t>。</w:t>
      </w:r>
      <w:r>
        <w:rPr>
          <w:rFonts w:hint="eastAsia" w:ascii="Times New Roman"/>
          <w:lang w:val="en-US" w:eastAsia="zh-CN"/>
        </w:rPr>
        <w:t>如</w:t>
      </w:r>
      <w:r>
        <w:rPr>
          <w:rFonts w:hint="eastAsia" w:ascii="Times New Roman"/>
        </w:rPr>
        <w:t>春季干旱无法趁墒追肥</w:t>
      </w:r>
      <w:r>
        <w:rPr>
          <w:rFonts w:hint="eastAsia" w:ascii="Times New Roman"/>
          <w:lang w:eastAsia="zh-CN"/>
        </w:rPr>
        <w:t>，</w:t>
      </w:r>
      <w:r>
        <w:rPr>
          <w:rFonts w:hint="eastAsia" w:ascii="Times New Roman"/>
          <w:lang w:val="en-US" w:eastAsia="zh-CN"/>
        </w:rPr>
        <w:t>利用追肥机肥料水溶追施。</w:t>
      </w:r>
    </w:p>
    <w:p w14:paraId="300E9FC8">
      <w:pPr>
        <w:pStyle w:val="41"/>
        <w:keepNext w:val="0"/>
        <w:keepLines w:val="0"/>
        <w:pageBreakBefore w:val="0"/>
        <w:widowControl/>
        <w:kinsoku/>
        <w:wordWrap/>
        <w:overflowPunct/>
        <w:topLinePunct w:val="0"/>
        <w:bidi w:val="0"/>
        <w:adjustRightInd w:val="0"/>
        <w:snapToGrid w:val="0"/>
        <w:spacing w:beforeLines="0" w:afterLines="0" w:line="440" w:lineRule="exact"/>
        <w:ind w:left="0" w:hanging="420" w:hangingChars="200"/>
        <w:textAlignment w:val="auto"/>
        <w:rPr>
          <w:rFonts w:hint="default" w:ascii="Times New Roman"/>
          <w:lang w:val="en-US" w:eastAsia="zh-CN"/>
        </w:rPr>
      </w:pPr>
      <w:r>
        <w:rPr>
          <w:rFonts w:hint="eastAsia" w:ascii="Times New Roman"/>
          <w:lang w:val="en-US" w:eastAsia="zh-CN"/>
        </w:rPr>
        <w:t>春季除草</w:t>
      </w:r>
    </w:p>
    <w:p w14:paraId="454C0022">
      <w:pPr>
        <w:pStyle w:val="47"/>
        <w:keepNext w:val="0"/>
        <w:keepLines w:val="0"/>
        <w:pageBreakBefore w:val="0"/>
        <w:widowControl/>
        <w:kinsoku/>
        <w:wordWrap/>
        <w:overflowPunct/>
        <w:topLinePunct w:val="0"/>
        <w:bidi w:val="0"/>
        <w:adjustRightInd w:val="0"/>
        <w:snapToGrid w:val="0"/>
        <w:spacing w:beforeLines="0" w:afterLines="0" w:line="440" w:lineRule="exact"/>
        <w:ind w:left="0"/>
        <w:textAlignment w:val="auto"/>
        <w:rPr>
          <w:rFonts w:hint="eastAsia" w:ascii="Times New Roman" w:hAnsi="Times New Roman" w:cs="Times New Roman"/>
        </w:rPr>
      </w:pPr>
      <w:r>
        <w:rPr>
          <w:rFonts w:hint="eastAsia" w:ascii="Times New Roman" w:hAnsi="Times New Roman" w:cs="Times New Roman"/>
          <w:lang w:val="en-US" w:eastAsia="zh-CN"/>
        </w:rPr>
        <w:t>一喷</w:t>
      </w:r>
      <w:r>
        <w:rPr>
          <w:rFonts w:hint="eastAsia" w:ascii="Times New Roman" w:cs="Times New Roman"/>
          <w:lang w:val="en-US" w:eastAsia="zh-CN"/>
        </w:rPr>
        <w:t>三</w:t>
      </w:r>
      <w:r>
        <w:rPr>
          <w:rFonts w:hint="eastAsia" w:ascii="Times New Roman" w:hAnsi="Times New Roman" w:cs="Times New Roman"/>
          <w:lang w:val="en-US" w:eastAsia="zh-CN"/>
        </w:rPr>
        <w:t>防</w:t>
      </w:r>
    </w:p>
    <w:p w14:paraId="2AB7AE91">
      <w:pPr>
        <w:pStyle w:val="22"/>
        <w:keepNext w:val="0"/>
        <w:keepLines w:val="0"/>
        <w:pageBreakBefore w:val="0"/>
        <w:kinsoku/>
        <w:wordWrap/>
        <w:overflowPunct/>
        <w:topLinePunct w:val="0"/>
        <w:bidi w:val="0"/>
        <w:adjustRightInd w:val="0"/>
        <w:snapToGrid w:val="0"/>
        <w:spacing w:line="360" w:lineRule="auto"/>
        <w:textAlignment w:val="auto"/>
        <w:rPr>
          <w:rFonts w:hint="eastAsia" w:ascii="Times New Roman" w:eastAsia="宋体"/>
          <w:color w:val="auto"/>
          <w:lang w:eastAsia="zh-CN"/>
        </w:rPr>
      </w:pPr>
      <w:r>
        <w:rPr>
          <w:rFonts w:hint="eastAsia" w:ascii="Times New Roman"/>
        </w:rPr>
        <w:t>根据病虫害发生情况及气候条件，选用适宜的杀虫剂、杀菌剂和植物生长调节剂，在小麦抽穗前和开花后，应叶面喷</w:t>
      </w:r>
      <w:r>
        <w:rPr>
          <w:rFonts w:hint="eastAsia" w:ascii="Times New Roman"/>
          <w:color w:val="auto"/>
        </w:rPr>
        <w:t>施各</w:t>
      </w:r>
      <w:r>
        <w:rPr>
          <w:rFonts w:hint="eastAsia" w:ascii="Times New Roman"/>
          <w:color w:val="auto"/>
          <w:lang w:val="en-US" w:eastAsia="zh-CN"/>
        </w:rPr>
        <w:t>1</w:t>
      </w:r>
      <w:r>
        <w:rPr>
          <w:rFonts w:hint="eastAsia" w:ascii="Times New Roman"/>
          <w:color w:val="auto"/>
        </w:rPr>
        <w:t>次</w:t>
      </w:r>
      <w:r>
        <w:rPr>
          <w:rFonts w:hint="eastAsia" w:ascii="Times New Roman"/>
        </w:rPr>
        <w:t>。</w:t>
      </w:r>
      <w:r>
        <w:rPr>
          <w:rFonts w:hint="eastAsia"/>
          <w:sz w:val="21"/>
          <w:lang w:val="en-US" w:eastAsia="zh-CN"/>
        </w:rPr>
        <w:t>药剂</w:t>
      </w:r>
      <w:r>
        <w:rPr>
          <w:rFonts w:hint="eastAsia" w:ascii="Times New Roman" w:hAnsi="Times New Roman" w:eastAsia="Times New Roman"/>
          <w:sz w:val="21"/>
        </w:rPr>
        <w:t>的使用应符合NY/T 393的规定</w:t>
      </w:r>
      <w:r>
        <w:rPr>
          <w:rFonts w:hint="eastAsia" w:ascii="Times New Roman" w:hAnsi="Times New Roman"/>
          <w:sz w:val="21"/>
          <w:lang w:eastAsia="zh-CN"/>
        </w:rPr>
        <w:t>，</w:t>
      </w:r>
      <w:r>
        <w:rPr>
          <w:rFonts w:hint="eastAsia" w:ascii="Times New Roman"/>
        </w:rPr>
        <w:t>药剂应现配现用，小麦收获前2</w:t>
      </w:r>
      <w:r>
        <w:rPr>
          <w:rFonts w:hint="eastAsia" w:ascii="Times New Roman"/>
          <w:lang w:val="en-US" w:eastAsia="zh-CN"/>
        </w:rPr>
        <w:t>0</w:t>
      </w:r>
      <w:r>
        <w:rPr>
          <w:rFonts w:ascii="Times New Roman"/>
        </w:rPr>
        <w:t xml:space="preserve"> </w:t>
      </w:r>
      <w:r>
        <w:rPr>
          <w:rFonts w:hint="eastAsia" w:ascii="Times New Roman"/>
        </w:rPr>
        <w:t>d内不应用药。</w:t>
      </w:r>
    </w:p>
    <w:p w14:paraId="2E92782E">
      <w:pPr>
        <w:pStyle w:val="47"/>
        <w:keepNext w:val="0"/>
        <w:keepLines w:val="0"/>
        <w:pageBreakBefore w:val="0"/>
        <w:widowControl/>
        <w:kinsoku/>
        <w:wordWrap/>
        <w:overflowPunct/>
        <w:topLinePunct w:val="0"/>
        <w:bidi w:val="0"/>
        <w:adjustRightInd w:val="0"/>
        <w:snapToGrid w:val="0"/>
        <w:spacing w:beforeLines="0" w:afterLines="0" w:line="440" w:lineRule="exact"/>
        <w:ind w:left="0"/>
        <w:textAlignment w:val="auto"/>
        <w:rPr>
          <w:rFonts w:hint="eastAsia" w:ascii="Times New Roman" w:hAnsi="Times New Roman" w:cs="Times New Roman"/>
        </w:rPr>
      </w:pPr>
      <w:r>
        <w:rPr>
          <w:rFonts w:hint="eastAsia" w:ascii="Times New Roman" w:hAnsi="Times New Roman" w:cs="Times New Roman"/>
        </w:rPr>
        <w:t>病虫</w:t>
      </w:r>
      <w:r>
        <w:rPr>
          <w:rFonts w:hint="eastAsia" w:ascii="Times New Roman" w:hAnsi="Times New Roman" w:cs="Times New Roman"/>
          <w:lang w:val="en-US" w:eastAsia="zh-CN"/>
        </w:rPr>
        <w:t>草</w:t>
      </w:r>
      <w:r>
        <w:rPr>
          <w:rFonts w:hint="eastAsia" w:ascii="Times New Roman" w:hAnsi="Times New Roman" w:cs="Times New Roman"/>
        </w:rPr>
        <w:t>害防治</w:t>
      </w:r>
    </w:p>
    <w:p w14:paraId="336E2629">
      <w:pPr>
        <w:pStyle w:val="41"/>
        <w:keepNext w:val="0"/>
        <w:keepLines w:val="0"/>
        <w:pageBreakBefore w:val="0"/>
        <w:widowControl/>
        <w:kinsoku/>
        <w:wordWrap/>
        <w:overflowPunct/>
        <w:topLinePunct w:val="0"/>
        <w:bidi w:val="0"/>
        <w:adjustRightInd w:val="0"/>
        <w:snapToGrid w:val="0"/>
        <w:spacing w:beforeLines="0" w:afterLines="0" w:line="440" w:lineRule="exact"/>
        <w:ind w:left="0" w:hanging="420" w:hangingChars="200"/>
        <w:textAlignment w:val="auto"/>
        <w:rPr>
          <w:rFonts w:hint="eastAsia" w:ascii="Times New Roman" w:hAnsi="Times New Roman" w:cs="Times New Roman"/>
        </w:rPr>
      </w:pPr>
      <w:r>
        <w:rPr>
          <w:rFonts w:hint="eastAsia" w:ascii="Times New Roman" w:hAnsi="Times New Roman" w:cs="Times New Roman"/>
        </w:rPr>
        <w:t>防治原则</w:t>
      </w:r>
    </w:p>
    <w:p w14:paraId="271EE45B">
      <w:pPr>
        <w:keepNext w:val="0"/>
        <w:keepLines w:val="0"/>
        <w:pageBreakBefore w:val="0"/>
        <w:kinsoku/>
        <w:wordWrap/>
        <w:overflowPunct/>
        <w:topLinePunct w:val="0"/>
        <w:bidi w:val="0"/>
        <w:spacing w:line="440" w:lineRule="exact"/>
        <w:ind w:firstLine="420" w:firstLineChars="200"/>
        <w:textAlignment w:val="auto"/>
      </w:pPr>
      <w:r>
        <w:rPr>
          <w:rFonts w:hint="eastAsia" w:ascii="Times New Roman" w:hAnsi="Times New Roman" w:eastAsia="Times New Roman"/>
          <w:sz w:val="21"/>
        </w:rPr>
        <w:t>坚持预防为主，综合防治，以农业措施、物理措施和生物措施为主，化学防治为辅，强化病虫草害的测报。</w:t>
      </w:r>
    </w:p>
    <w:p w14:paraId="1497AF72">
      <w:pPr>
        <w:pStyle w:val="41"/>
        <w:keepNext w:val="0"/>
        <w:keepLines w:val="0"/>
        <w:pageBreakBefore w:val="0"/>
        <w:widowControl/>
        <w:kinsoku/>
        <w:wordWrap/>
        <w:overflowPunct/>
        <w:topLinePunct w:val="0"/>
        <w:bidi w:val="0"/>
        <w:adjustRightInd w:val="0"/>
        <w:snapToGrid w:val="0"/>
        <w:spacing w:beforeLines="0" w:afterLines="0" w:line="440" w:lineRule="exact"/>
        <w:ind w:left="0" w:hanging="420" w:hangingChars="200"/>
        <w:textAlignment w:val="auto"/>
        <w:rPr>
          <w:rFonts w:hint="eastAsia" w:ascii="Times New Roman" w:hAnsi="Times New Roman" w:cs="Times New Roman"/>
        </w:rPr>
      </w:pPr>
      <w:r>
        <w:rPr>
          <w:rFonts w:hint="eastAsia" w:ascii="Times New Roman" w:hAnsi="Times New Roman" w:cs="Times New Roman"/>
        </w:rPr>
        <w:t>农业防治措施</w:t>
      </w:r>
    </w:p>
    <w:p w14:paraId="60C91B15">
      <w:pPr>
        <w:keepNext w:val="0"/>
        <w:keepLines w:val="0"/>
        <w:pageBreakBefore w:val="0"/>
        <w:kinsoku/>
        <w:wordWrap/>
        <w:overflowPunct/>
        <w:topLinePunct w:val="0"/>
        <w:bidi w:val="0"/>
        <w:spacing w:line="440" w:lineRule="exact"/>
        <w:ind w:firstLine="420" w:firstLineChars="200"/>
        <w:textAlignment w:val="auto"/>
      </w:pPr>
      <w:r>
        <w:rPr>
          <w:rFonts w:hint="eastAsia" w:ascii="Times New Roman" w:hAnsi="Times New Roman" w:eastAsia="Times New Roman"/>
          <w:sz w:val="21"/>
        </w:rPr>
        <w:t>选用丰产抗病性好的小麦品种，轮作换茬，适期播种，合理施肥，培育壮苗，以压低病原菌及虫口数量，减少初侵染源，同时增强小麦的抗病虫能力。小麦出苗后，在二叶一心至三叶时，及时进行人工除草。春季在土壤化冻2cm时及时划锄松土，防治田间杂草。</w:t>
      </w:r>
    </w:p>
    <w:p w14:paraId="642E0568">
      <w:pPr>
        <w:pStyle w:val="41"/>
        <w:keepNext w:val="0"/>
        <w:keepLines w:val="0"/>
        <w:pageBreakBefore w:val="0"/>
        <w:widowControl/>
        <w:kinsoku/>
        <w:wordWrap/>
        <w:overflowPunct/>
        <w:topLinePunct w:val="0"/>
        <w:bidi w:val="0"/>
        <w:adjustRightInd w:val="0"/>
        <w:snapToGrid w:val="0"/>
        <w:spacing w:beforeLines="0" w:afterLines="0" w:line="440" w:lineRule="exact"/>
        <w:ind w:left="0" w:hanging="420" w:hangingChars="200"/>
        <w:textAlignment w:val="auto"/>
        <w:rPr>
          <w:rFonts w:hint="eastAsia" w:ascii="Times New Roman" w:hAnsi="Times New Roman" w:cs="Times New Roman"/>
        </w:rPr>
      </w:pPr>
      <w:r>
        <w:rPr>
          <w:rFonts w:hint="eastAsia" w:ascii="Times New Roman" w:hAnsi="Times New Roman" w:cs="Times New Roman"/>
        </w:rPr>
        <w:t>物理防治措施</w:t>
      </w:r>
    </w:p>
    <w:p w14:paraId="15408053">
      <w:pPr>
        <w:keepNext w:val="0"/>
        <w:keepLines w:val="0"/>
        <w:pageBreakBefore w:val="0"/>
        <w:kinsoku/>
        <w:wordWrap/>
        <w:overflowPunct/>
        <w:topLinePunct w:val="0"/>
        <w:bidi w:val="0"/>
        <w:spacing w:line="440" w:lineRule="exact"/>
        <w:ind w:firstLine="420" w:firstLineChars="200"/>
        <w:textAlignment w:val="auto"/>
        <w:rPr>
          <w:rFonts w:hint="eastAsia" w:ascii="Times New Roman" w:hAnsi="Times New Roman" w:eastAsia="Times New Roman" w:cs="Times New Roman"/>
          <w:sz w:val="21"/>
        </w:rPr>
      </w:pPr>
      <w:r>
        <w:rPr>
          <w:rFonts w:hint="eastAsia" w:ascii="Times New Roman" w:hAnsi="Times New Roman" w:eastAsia="Times New Roman" w:cs="Times New Roman"/>
          <w:sz w:val="21"/>
        </w:rPr>
        <w:t>采用太阳能杀虫灯、黄板等诱杀害虫。每公顷设置一盏杀虫灯，诱杀粘虫成虫；每亩悬挂黄板20片左右，悬挂高度超过植株 15 cm～20 cm 处。</w:t>
      </w:r>
    </w:p>
    <w:p w14:paraId="7DDA602D">
      <w:pPr>
        <w:pStyle w:val="41"/>
        <w:keepNext w:val="0"/>
        <w:keepLines w:val="0"/>
        <w:pageBreakBefore w:val="0"/>
        <w:widowControl/>
        <w:kinsoku/>
        <w:wordWrap/>
        <w:overflowPunct/>
        <w:topLinePunct w:val="0"/>
        <w:bidi w:val="0"/>
        <w:adjustRightInd w:val="0"/>
        <w:snapToGrid w:val="0"/>
        <w:spacing w:beforeLines="0" w:afterLines="0" w:line="440" w:lineRule="exact"/>
        <w:ind w:left="0" w:hanging="420" w:hangingChars="20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生物防治措施</w:t>
      </w:r>
    </w:p>
    <w:p w14:paraId="4793B1A6">
      <w:pPr>
        <w:keepNext w:val="0"/>
        <w:keepLines w:val="0"/>
        <w:pageBreakBefore w:val="0"/>
        <w:kinsoku/>
        <w:wordWrap/>
        <w:overflowPunct/>
        <w:topLinePunct w:val="0"/>
        <w:bidi w:val="0"/>
        <w:spacing w:line="440" w:lineRule="exact"/>
        <w:ind w:firstLine="420" w:firstLineChars="200"/>
        <w:textAlignment w:val="auto"/>
      </w:pPr>
      <w:r>
        <w:rPr>
          <w:rFonts w:hint="eastAsia" w:ascii="Times New Roman" w:hAnsi="Times New Roman" w:eastAsia="Times New Roman"/>
          <w:sz w:val="21"/>
        </w:rPr>
        <w:t>保护利用麦田自然天敌，选用植物源农药等生物农药防治病虫害。在小麦开花和灌浆期释放食蚜蝇、瓢虫等防治蚜虫。</w:t>
      </w:r>
    </w:p>
    <w:p w14:paraId="23B46687">
      <w:pPr>
        <w:pStyle w:val="41"/>
        <w:keepNext w:val="0"/>
        <w:keepLines w:val="0"/>
        <w:pageBreakBefore w:val="0"/>
        <w:widowControl/>
        <w:kinsoku/>
        <w:wordWrap/>
        <w:overflowPunct/>
        <w:topLinePunct w:val="0"/>
        <w:bidi w:val="0"/>
        <w:adjustRightInd w:val="0"/>
        <w:snapToGrid w:val="0"/>
        <w:spacing w:beforeLines="0" w:afterLines="0" w:line="440" w:lineRule="exact"/>
        <w:ind w:left="0" w:hanging="420" w:hanging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化学防治措施</w:t>
      </w:r>
    </w:p>
    <w:p w14:paraId="012CA29F">
      <w:pPr>
        <w:keepNext w:val="0"/>
        <w:keepLines w:val="0"/>
        <w:pageBreakBefore w:val="0"/>
        <w:kinsoku/>
        <w:wordWrap/>
        <w:overflowPunct/>
        <w:topLinePunct w:val="0"/>
        <w:bidi w:val="0"/>
        <w:spacing w:line="440" w:lineRule="exact"/>
        <w:ind w:firstLine="420" w:firstLineChars="200"/>
        <w:textAlignment w:val="auto"/>
        <w:rPr>
          <w:color w:val="auto"/>
        </w:rPr>
      </w:pPr>
      <w:r>
        <w:rPr>
          <w:rFonts w:hint="eastAsia"/>
          <w:color w:val="auto"/>
          <w:sz w:val="21"/>
          <w:lang w:val="en-US" w:eastAsia="zh-CN"/>
        </w:rPr>
        <w:t>根据病虫草害发生</w:t>
      </w:r>
      <w:r>
        <w:rPr>
          <w:rFonts w:hint="eastAsia"/>
          <w:color w:val="auto"/>
          <w:sz w:val="21"/>
          <w:u w:val="none"/>
          <w:lang w:val="en-US" w:eastAsia="zh-CN"/>
        </w:rPr>
        <w:t>严重时</w:t>
      </w:r>
      <w:r>
        <w:rPr>
          <w:rFonts w:hint="eastAsia"/>
          <w:color w:val="auto"/>
          <w:sz w:val="21"/>
          <w:lang w:val="en-US" w:eastAsia="zh-CN"/>
        </w:rPr>
        <w:t>，选用低毒</w:t>
      </w:r>
      <w:r>
        <w:rPr>
          <w:rFonts w:hint="eastAsia" w:ascii="Times New Roman" w:hAnsi="Times New Roman" w:eastAsia="Times New Roman"/>
          <w:color w:val="auto"/>
          <w:sz w:val="21"/>
        </w:rPr>
        <w:t>农药</w:t>
      </w:r>
      <w:r>
        <w:rPr>
          <w:rFonts w:hint="eastAsia"/>
          <w:color w:val="auto"/>
          <w:sz w:val="21"/>
          <w:lang w:eastAsia="zh-CN"/>
        </w:rPr>
        <w:t>，</w:t>
      </w:r>
      <w:r>
        <w:rPr>
          <w:rFonts w:hint="eastAsia"/>
          <w:color w:val="auto"/>
          <w:sz w:val="21"/>
          <w:lang w:val="en-US" w:eastAsia="zh-CN"/>
        </w:rPr>
        <w:t>农药</w:t>
      </w:r>
      <w:r>
        <w:rPr>
          <w:rFonts w:hint="eastAsia" w:ascii="Times New Roman" w:hAnsi="Times New Roman" w:eastAsia="Times New Roman"/>
          <w:color w:val="auto"/>
          <w:sz w:val="21"/>
        </w:rPr>
        <w:t>的使用应符合NY/T 393的规定。具体化学防治方案参见附录A</w:t>
      </w:r>
      <w:r>
        <w:rPr>
          <w:rFonts w:hint="eastAsia"/>
          <w:color w:val="auto"/>
          <w:sz w:val="21"/>
          <w:lang w:eastAsia="zh-CN"/>
        </w:rPr>
        <w:t>，</w:t>
      </w:r>
      <w:r>
        <w:rPr>
          <w:rFonts w:hint="eastAsia"/>
          <w:color w:val="auto"/>
          <w:sz w:val="21"/>
          <w:lang w:val="en-US" w:eastAsia="zh-CN"/>
        </w:rPr>
        <w:t>可结合一喷三防进行</w:t>
      </w:r>
      <w:r>
        <w:rPr>
          <w:rFonts w:hint="eastAsia" w:ascii="Times New Roman" w:hAnsi="Times New Roman" w:eastAsia="Times New Roman"/>
          <w:color w:val="auto"/>
          <w:sz w:val="21"/>
        </w:rPr>
        <w:t>。</w:t>
      </w:r>
    </w:p>
    <w:p w14:paraId="100F0B32">
      <w:pPr>
        <w:pStyle w:val="47"/>
        <w:keepNext w:val="0"/>
        <w:keepLines w:val="0"/>
        <w:pageBreakBefore w:val="0"/>
        <w:widowControl/>
        <w:kinsoku/>
        <w:wordWrap/>
        <w:overflowPunct/>
        <w:topLinePunct w:val="0"/>
        <w:bidi w:val="0"/>
        <w:adjustRightInd w:val="0"/>
        <w:snapToGrid w:val="0"/>
        <w:spacing w:beforeLines="0" w:afterLines="0" w:line="440" w:lineRule="exact"/>
        <w:ind w:left="0"/>
        <w:textAlignment w:val="auto"/>
        <w:rPr>
          <w:rFonts w:ascii="Times New Roman"/>
        </w:rPr>
      </w:pPr>
      <w:r>
        <w:rPr>
          <w:rFonts w:hint="eastAsia" w:ascii="Times New Roman"/>
        </w:rPr>
        <w:t>收获</w:t>
      </w:r>
    </w:p>
    <w:p w14:paraId="563FA8B0">
      <w:pPr>
        <w:spacing w:line="360" w:lineRule="auto"/>
        <w:ind w:firstLine="420" w:firstLineChars="200"/>
        <w:rPr>
          <w:rFonts w:hint="eastAsia" w:ascii="Times New Roman" w:hAnsi="Times New Roman" w:eastAsia="Times New Roman"/>
          <w:sz w:val="21"/>
        </w:rPr>
      </w:pPr>
      <w:r>
        <w:rPr>
          <w:rFonts w:hint="eastAsia" w:ascii="Times New Roman"/>
        </w:rPr>
        <w:t>于蜡熟末期至完熟期及时收获。</w:t>
      </w:r>
      <w:r>
        <w:rPr>
          <w:rFonts w:hint="eastAsia" w:ascii="Times New Roman" w:hAnsi="Times New Roman" w:eastAsia="Times New Roman"/>
          <w:sz w:val="21"/>
        </w:rPr>
        <w:t>收获后，应适时晾晒</w:t>
      </w:r>
      <w:r>
        <w:rPr>
          <w:rFonts w:hint="eastAsia" w:ascii="Times New Roman" w:hAnsi="Times New Roman"/>
          <w:sz w:val="21"/>
          <w:lang w:val="en-US" w:eastAsia="zh-CN"/>
        </w:rPr>
        <w:t>或烘干</w:t>
      </w:r>
      <w:r>
        <w:rPr>
          <w:rFonts w:hint="eastAsia" w:ascii="Times New Roman" w:hAnsi="Times New Roman" w:eastAsia="Times New Roman"/>
          <w:sz w:val="21"/>
        </w:rPr>
        <w:t>，使籽粒含水量降到13％以下，保证安全贮藏。</w:t>
      </w:r>
    </w:p>
    <w:p w14:paraId="3891D134">
      <w:pPr>
        <w:pStyle w:val="47"/>
        <w:keepNext w:val="0"/>
        <w:keepLines w:val="0"/>
        <w:pageBreakBefore w:val="0"/>
        <w:widowControl/>
        <w:kinsoku/>
        <w:wordWrap/>
        <w:overflowPunct/>
        <w:topLinePunct w:val="0"/>
        <w:bidi w:val="0"/>
        <w:adjustRightInd w:val="0"/>
        <w:snapToGrid w:val="0"/>
        <w:spacing w:beforeLines="0" w:afterLines="0" w:line="440" w:lineRule="exact"/>
        <w:ind w:left="0"/>
        <w:textAlignment w:val="auto"/>
        <w:rPr>
          <w:rFonts w:hint="eastAsia" w:ascii="Times New Roman"/>
        </w:rPr>
      </w:pPr>
      <w:r>
        <w:rPr>
          <w:rFonts w:hint="eastAsia" w:ascii="Times New Roman"/>
        </w:rPr>
        <w:t>建立生产技术档案</w:t>
      </w:r>
    </w:p>
    <w:p w14:paraId="405CB1CA">
      <w:pPr>
        <w:spacing w:line="360" w:lineRule="auto"/>
        <w:ind w:firstLine="420" w:firstLineChars="200"/>
        <w:rPr>
          <w:rFonts w:hint="eastAsia" w:ascii="Times New Roman" w:hAnsi="Times New Roman" w:eastAsia="Times New Roman"/>
          <w:sz w:val="21"/>
        </w:rPr>
      </w:pPr>
      <w:r>
        <w:rPr>
          <w:rFonts w:hint="eastAsia" w:ascii="Times New Roman" w:hAnsi="Times New Roman" w:eastAsia="Times New Roman"/>
          <w:sz w:val="21"/>
        </w:rPr>
        <w:t>应详细记录产地环境、生产技术、生产资料使用病虫害防治和收获等各环节所采取的具体措施，并保存2年以上。</w:t>
      </w:r>
    </w:p>
    <w:p w14:paraId="2C6B7A01">
      <w:pPr>
        <w:pStyle w:val="47"/>
        <w:keepNext w:val="0"/>
        <w:keepLines w:val="0"/>
        <w:pageBreakBefore w:val="0"/>
        <w:widowControl/>
        <w:kinsoku/>
        <w:wordWrap/>
        <w:overflowPunct/>
        <w:topLinePunct w:val="0"/>
        <w:bidi w:val="0"/>
        <w:adjustRightInd w:val="0"/>
        <w:snapToGrid w:val="0"/>
        <w:spacing w:beforeLines="0" w:afterLines="0" w:line="440" w:lineRule="exact"/>
        <w:ind w:left="0"/>
        <w:textAlignment w:val="auto"/>
        <w:rPr>
          <w:rFonts w:hint="eastAsia" w:ascii="Times New Roman" w:hAnsi="Times New Roman" w:cs="Times New Roman"/>
        </w:rPr>
      </w:pPr>
      <w:r>
        <w:rPr>
          <w:rFonts w:hint="eastAsia" w:ascii="Times New Roman" w:hAnsi="Times New Roman" w:cs="Times New Roman"/>
        </w:rPr>
        <w:t>生产废弃物处理</w:t>
      </w:r>
    </w:p>
    <w:p w14:paraId="7F85A318">
      <w:pPr>
        <w:spacing w:line="360" w:lineRule="auto"/>
        <w:ind w:firstLine="420" w:firstLineChars="200"/>
        <w:rPr>
          <w:rFonts w:hint="eastAsia" w:ascii="Times New Roman" w:hAnsi="Times New Roman" w:eastAsia="Times New Roman"/>
          <w:sz w:val="21"/>
        </w:rPr>
      </w:pPr>
      <w:r>
        <w:rPr>
          <w:rFonts w:hint="eastAsia" w:ascii="Times New Roman" w:hAnsi="Times New Roman" w:eastAsia="Times New Roman"/>
          <w:sz w:val="21"/>
        </w:rPr>
        <w:t>除草剂、杀菌剂、杀虫剂、种衣剂以及包衣种子的包装物不得重复使用，使用后应深埋或集中处理，且不能引起环境污染。秸秆要求粉碎还田，将小麦秸秆切碎均匀抛撒到田间，秸秆切碎后的长度8cm~10cm，漏切率小于2%。</w:t>
      </w:r>
    </w:p>
    <w:p w14:paraId="3C83A9DD">
      <w:pPr>
        <w:pStyle w:val="47"/>
        <w:keepNext w:val="0"/>
        <w:keepLines w:val="0"/>
        <w:pageBreakBefore w:val="0"/>
        <w:widowControl/>
        <w:kinsoku/>
        <w:wordWrap/>
        <w:overflowPunct/>
        <w:topLinePunct w:val="0"/>
        <w:bidi w:val="0"/>
        <w:adjustRightInd w:val="0"/>
        <w:snapToGrid w:val="0"/>
        <w:spacing w:beforeLines="0" w:afterLines="0" w:line="440" w:lineRule="exact"/>
        <w:ind w:left="0"/>
        <w:textAlignment w:val="auto"/>
        <w:rPr>
          <w:rFonts w:hint="eastAsia" w:ascii="Times New Roman" w:hAnsi="Times New Roman" w:cs="Times New Roman"/>
        </w:rPr>
      </w:pPr>
      <w:r>
        <w:rPr>
          <w:rFonts w:hint="eastAsia" w:ascii="Times New Roman" w:hAnsi="Times New Roman" w:cs="Times New Roman"/>
        </w:rPr>
        <w:t>贮藏</w:t>
      </w:r>
    </w:p>
    <w:p w14:paraId="3060F0A8">
      <w:pPr>
        <w:spacing w:line="360" w:lineRule="auto"/>
        <w:ind w:firstLine="420" w:firstLineChars="200"/>
      </w:pPr>
      <w:r>
        <w:rPr>
          <w:rFonts w:hint="eastAsia"/>
          <w:sz w:val="21"/>
          <w:lang w:val="en-US" w:eastAsia="zh-CN"/>
        </w:rPr>
        <w:t>贮藏条件应</w:t>
      </w:r>
      <w:r>
        <w:rPr>
          <w:rFonts w:hint="eastAsia" w:ascii="Times New Roman" w:hAnsi="Times New Roman" w:eastAsia="Times New Roman"/>
          <w:sz w:val="21"/>
        </w:rPr>
        <w:t>符合</w:t>
      </w:r>
      <w:bookmarkStart w:id="24" w:name="OLE_LINK1"/>
      <w:r>
        <w:rPr>
          <w:rFonts w:hint="eastAsia" w:ascii="Times New Roman" w:hAnsi="Times New Roman" w:eastAsia="Times New Roman"/>
          <w:sz w:val="21"/>
        </w:rPr>
        <w:t>NY/T 1056</w:t>
      </w:r>
      <w:bookmarkEnd w:id="24"/>
      <w:r>
        <w:rPr>
          <w:rFonts w:hint="eastAsia" w:ascii="Times New Roman" w:hAnsi="Times New Roman" w:eastAsia="Times New Roman"/>
          <w:sz w:val="21"/>
        </w:rPr>
        <w:t>要求。</w:t>
      </w:r>
    </w:p>
    <w:p w14:paraId="618160EF">
      <w:pPr>
        <w:pStyle w:val="47"/>
        <w:keepNext w:val="0"/>
        <w:keepLines w:val="0"/>
        <w:pageBreakBefore w:val="0"/>
        <w:widowControl/>
        <w:kinsoku/>
        <w:wordWrap/>
        <w:overflowPunct/>
        <w:topLinePunct w:val="0"/>
        <w:bidi w:val="0"/>
        <w:adjustRightInd w:val="0"/>
        <w:snapToGrid w:val="0"/>
        <w:spacing w:beforeLines="0" w:afterLines="0" w:line="440" w:lineRule="exact"/>
        <w:ind w:left="0"/>
        <w:textAlignment w:val="auto"/>
        <w:rPr>
          <w:rFonts w:hint="eastAsia" w:ascii="Times New Roman" w:hAnsi="Times New Roman" w:cs="Times New Roman"/>
        </w:rPr>
      </w:pPr>
      <w:r>
        <w:rPr>
          <w:rFonts w:hint="eastAsia" w:ascii="Times New Roman" w:hAnsi="Times New Roman" w:cs="Times New Roman"/>
        </w:rPr>
        <w:t>包装与运输</w:t>
      </w:r>
    </w:p>
    <w:p w14:paraId="5D7C5838">
      <w:pPr>
        <w:spacing w:line="360" w:lineRule="auto"/>
        <w:ind w:firstLine="420" w:firstLineChars="200"/>
      </w:pPr>
      <w:r>
        <w:rPr>
          <w:rFonts w:hint="eastAsia" w:ascii="Times New Roman" w:hAnsi="Times New Roman" w:eastAsia="Times New Roman"/>
          <w:sz w:val="21"/>
        </w:rPr>
        <w:t>所用包装材料或容器应采用单一材质的材料，方便回收或可生物降解的材料，符合</w:t>
      </w:r>
      <w:bookmarkStart w:id="25" w:name="OLE_LINK2"/>
      <w:r>
        <w:rPr>
          <w:rFonts w:hint="eastAsia" w:ascii="Times New Roman" w:hAnsi="Times New Roman" w:eastAsia="Times New Roman"/>
          <w:sz w:val="21"/>
        </w:rPr>
        <w:t>NY/T 658</w:t>
      </w:r>
      <w:bookmarkEnd w:id="25"/>
      <w:r>
        <w:rPr>
          <w:rFonts w:hint="eastAsia" w:ascii="Times New Roman" w:hAnsi="Times New Roman" w:eastAsia="Times New Roman"/>
          <w:sz w:val="21"/>
        </w:rPr>
        <w:t>的规定。在运输过程中禁止与其他有毒有害、易污染环境等物质一起运输，以防污染。</w:t>
      </w:r>
    </w:p>
    <w:p w14:paraId="16CFD0C1">
      <w:pPr>
        <w:pStyle w:val="22"/>
        <w:keepNext w:val="0"/>
        <w:keepLines w:val="0"/>
        <w:pageBreakBefore w:val="0"/>
        <w:widowControl/>
        <w:kinsoku/>
        <w:wordWrap/>
        <w:overflowPunct/>
        <w:topLinePunct w:val="0"/>
        <w:bidi w:val="0"/>
        <w:adjustRightInd w:val="0"/>
        <w:snapToGrid w:val="0"/>
        <w:spacing w:line="440" w:lineRule="exact"/>
        <w:ind w:left="0"/>
        <w:textAlignment w:val="auto"/>
        <w:rPr>
          <w:rFonts w:hint="eastAsia" w:ascii="Times New Roman"/>
        </w:rPr>
      </w:pPr>
    </w:p>
    <w:p w14:paraId="02B9CEC1">
      <w:pPr>
        <w:pStyle w:val="51"/>
        <w:keepNext w:val="0"/>
        <w:keepLines w:val="0"/>
        <w:pageBreakBefore w:val="0"/>
        <w:framePr w:wrap="around"/>
        <w:kinsoku/>
        <w:wordWrap/>
        <w:overflowPunct/>
        <w:topLinePunct w:val="0"/>
        <w:bidi w:val="0"/>
        <w:spacing w:line="360" w:lineRule="auto"/>
        <w:textAlignment w:val="auto"/>
      </w:pPr>
      <w:r>
        <w:t>_________________________________</w:t>
      </w:r>
    </w:p>
    <w:p w14:paraId="7E19E3B4">
      <w:pPr>
        <w:pStyle w:val="22"/>
        <w:keepNext w:val="0"/>
        <w:keepLines w:val="0"/>
        <w:pageBreakBefore w:val="0"/>
        <w:kinsoku/>
        <w:wordWrap/>
        <w:overflowPunct/>
        <w:topLinePunct w:val="0"/>
        <w:bidi w:val="0"/>
        <w:spacing w:line="360" w:lineRule="auto"/>
        <w:textAlignment w:val="auto"/>
        <w:rPr>
          <w:color w:val="FF0000"/>
        </w:rPr>
      </w:pPr>
    </w:p>
    <w:p w14:paraId="54E8805F">
      <w:pPr>
        <w:pStyle w:val="22"/>
        <w:keepNext w:val="0"/>
        <w:keepLines w:val="0"/>
        <w:pageBreakBefore w:val="0"/>
        <w:kinsoku/>
        <w:wordWrap/>
        <w:overflowPunct/>
        <w:topLinePunct w:val="0"/>
        <w:bidi w:val="0"/>
        <w:spacing w:line="360" w:lineRule="auto"/>
        <w:textAlignment w:val="auto"/>
      </w:pPr>
    </w:p>
    <w:p w14:paraId="65D44168">
      <w:pPr>
        <w:pStyle w:val="22"/>
        <w:keepNext w:val="0"/>
        <w:keepLines w:val="0"/>
        <w:pageBreakBefore w:val="0"/>
        <w:kinsoku/>
        <w:wordWrap/>
        <w:overflowPunct/>
        <w:topLinePunct w:val="0"/>
        <w:bidi w:val="0"/>
        <w:spacing w:line="360" w:lineRule="auto"/>
        <w:textAlignment w:val="auto"/>
      </w:pPr>
      <w:bookmarkStart w:id="26" w:name="_GoBack"/>
      <w:bookmarkEnd w:id="26"/>
    </w:p>
    <w:p w14:paraId="5612A761">
      <w:pPr>
        <w:pStyle w:val="22"/>
        <w:keepNext w:val="0"/>
        <w:keepLines w:val="0"/>
        <w:pageBreakBefore w:val="0"/>
        <w:kinsoku/>
        <w:wordWrap/>
        <w:overflowPunct/>
        <w:topLinePunct w:val="0"/>
        <w:bidi w:val="0"/>
        <w:spacing w:line="360" w:lineRule="auto"/>
        <w:textAlignment w:val="auto"/>
      </w:pPr>
    </w:p>
    <w:p w14:paraId="038F3253">
      <w:pPr>
        <w:pStyle w:val="22"/>
        <w:keepNext w:val="0"/>
        <w:keepLines w:val="0"/>
        <w:pageBreakBefore w:val="0"/>
        <w:kinsoku/>
        <w:wordWrap/>
        <w:overflowPunct/>
        <w:topLinePunct w:val="0"/>
        <w:bidi w:val="0"/>
        <w:spacing w:line="360" w:lineRule="auto"/>
        <w:textAlignment w:val="auto"/>
      </w:pPr>
    </w:p>
    <w:p w14:paraId="1383F8D0">
      <w:pPr>
        <w:pStyle w:val="22"/>
        <w:keepNext w:val="0"/>
        <w:keepLines w:val="0"/>
        <w:pageBreakBefore w:val="0"/>
        <w:kinsoku/>
        <w:wordWrap/>
        <w:overflowPunct/>
        <w:topLinePunct w:val="0"/>
        <w:bidi w:val="0"/>
        <w:spacing w:line="360" w:lineRule="auto"/>
        <w:textAlignment w:val="auto"/>
      </w:pPr>
    </w:p>
    <w:p w14:paraId="32C70048">
      <w:pPr>
        <w:pStyle w:val="22"/>
        <w:keepNext w:val="0"/>
        <w:keepLines w:val="0"/>
        <w:pageBreakBefore w:val="0"/>
        <w:kinsoku/>
        <w:wordWrap/>
        <w:overflowPunct/>
        <w:topLinePunct w:val="0"/>
        <w:bidi w:val="0"/>
        <w:spacing w:line="360" w:lineRule="auto"/>
        <w:textAlignment w:val="auto"/>
      </w:pPr>
    </w:p>
    <w:p w14:paraId="279968E9">
      <w:pPr>
        <w:pStyle w:val="22"/>
        <w:keepNext w:val="0"/>
        <w:keepLines w:val="0"/>
        <w:pageBreakBefore w:val="0"/>
        <w:kinsoku/>
        <w:wordWrap/>
        <w:overflowPunct/>
        <w:topLinePunct w:val="0"/>
        <w:bidi w:val="0"/>
        <w:spacing w:line="360" w:lineRule="auto"/>
        <w:textAlignment w:val="auto"/>
      </w:pPr>
    </w:p>
    <w:p w14:paraId="0A32F760">
      <w:pPr>
        <w:pStyle w:val="22"/>
        <w:keepNext w:val="0"/>
        <w:keepLines w:val="0"/>
        <w:pageBreakBefore w:val="0"/>
        <w:kinsoku/>
        <w:wordWrap/>
        <w:overflowPunct/>
        <w:topLinePunct w:val="0"/>
        <w:bidi w:val="0"/>
        <w:spacing w:line="360" w:lineRule="auto"/>
        <w:textAlignment w:val="auto"/>
      </w:pPr>
    </w:p>
    <w:p w14:paraId="02F1E0B3">
      <w:pPr>
        <w:pStyle w:val="22"/>
        <w:keepNext w:val="0"/>
        <w:keepLines w:val="0"/>
        <w:pageBreakBefore w:val="0"/>
        <w:kinsoku/>
        <w:wordWrap/>
        <w:overflowPunct/>
        <w:topLinePunct w:val="0"/>
        <w:bidi w:val="0"/>
        <w:spacing w:line="360" w:lineRule="auto"/>
        <w:textAlignment w:val="auto"/>
      </w:pPr>
    </w:p>
    <w:p w14:paraId="5F74AFF4">
      <w:pPr>
        <w:pStyle w:val="22"/>
        <w:keepNext w:val="0"/>
        <w:keepLines w:val="0"/>
        <w:pageBreakBefore w:val="0"/>
        <w:kinsoku/>
        <w:wordWrap/>
        <w:overflowPunct/>
        <w:topLinePunct w:val="0"/>
        <w:bidi w:val="0"/>
        <w:spacing w:line="360" w:lineRule="auto"/>
        <w:textAlignment w:val="auto"/>
      </w:pPr>
    </w:p>
    <w:p w14:paraId="3DBD57C3">
      <w:pPr>
        <w:pStyle w:val="22"/>
        <w:keepNext w:val="0"/>
        <w:keepLines w:val="0"/>
        <w:pageBreakBefore w:val="0"/>
        <w:kinsoku/>
        <w:wordWrap/>
        <w:overflowPunct/>
        <w:topLinePunct w:val="0"/>
        <w:bidi w:val="0"/>
        <w:spacing w:line="360" w:lineRule="auto"/>
        <w:textAlignment w:val="auto"/>
      </w:pPr>
    </w:p>
    <w:p w14:paraId="134E0B27">
      <w:pPr>
        <w:pStyle w:val="22"/>
        <w:keepNext w:val="0"/>
        <w:keepLines w:val="0"/>
        <w:pageBreakBefore w:val="0"/>
        <w:kinsoku/>
        <w:wordWrap/>
        <w:overflowPunct/>
        <w:topLinePunct w:val="0"/>
        <w:bidi w:val="0"/>
        <w:spacing w:line="360" w:lineRule="auto"/>
        <w:textAlignment w:val="auto"/>
      </w:pPr>
    </w:p>
    <w:p w14:paraId="7D8E61D7">
      <w:pPr>
        <w:pStyle w:val="22"/>
        <w:keepNext w:val="0"/>
        <w:keepLines w:val="0"/>
        <w:pageBreakBefore w:val="0"/>
        <w:kinsoku/>
        <w:wordWrap/>
        <w:overflowPunct/>
        <w:topLinePunct w:val="0"/>
        <w:bidi w:val="0"/>
        <w:spacing w:line="360" w:lineRule="auto"/>
        <w:textAlignment w:val="auto"/>
      </w:pPr>
    </w:p>
    <w:p w14:paraId="3546C9B8">
      <w:pPr>
        <w:spacing w:line="360" w:lineRule="auto"/>
        <w:ind w:firstLine="420" w:firstLineChars="200"/>
        <w:jc w:val="center"/>
        <w:rPr>
          <w:rFonts w:hint="eastAsia" w:ascii="黑体" w:hAnsi="黑体" w:eastAsia="黑体"/>
          <w:sz w:val="21"/>
        </w:rPr>
      </w:pPr>
      <w:r>
        <w:rPr>
          <w:rFonts w:hint="eastAsia" w:ascii="黑体" w:hAnsi="黑体" w:eastAsia="黑体"/>
          <w:sz w:val="21"/>
        </w:rPr>
        <w:t>附  录  A</w:t>
      </w:r>
    </w:p>
    <w:p w14:paraId="0F28DE1A">
      <w:pPr>
        <w:spacing w:line="360" w:lineRule="auto"/>
        <w:ind w:firstLine="420" w:firstLineChars="200"/>
        <w:jc w:val="center"/>
        <w:rPr>
          <w:rFonts w:hint="eastAsia" w:ascii="黑体" w:hAnsi="黑体" w:eastAsia="黑体"/>
          <w:sz w:val="21"/>
          <w:lang w:eastAsia="zh-CN"/>
        </w:rPr>
      </w:pPr>
      <w:r>
        <w:rPr>
          <w:rFonts w:hint="eastAsia" w:ascii="黑体" w:hAnsi="黑体" w:eastAsia="黑体"/>
          <w:sz w:val="21"/>
          <w:lang w:eastAsia="zh-CN"/>
        </w:rPr>
        <w:t>（</w:t>
      </w:r>
      <w:r>
        <w:rPr>
          <w:rFonts w:hint="eastAsia" w:ascii="黑体" w:hAnsi="黑体" w:eastAsia="黑体"/>
          <w:sz w:val="21"/>
          <w:lang w:val="en-US" w:eastAsia="zh-CN"/>
        </w:rPr>
        <w:t>资料性</w:t>
      </w:r>
      <w:r>
        <w:rPr>
          <w:rFonts w:hint="eastAsia" w:ascii="黑体" w:hAnsi="黑体" w:eastAsia="黑体"/>
          <w:sz w:val="21"/>
          <w:lang w:eastAsia="zh-CN"/>
        </w:rPr>
        <w:t>）</w:t>
      </w:r>
    </w:p>
    <w:p w14:paraId="661B57D8">
      <w:pPr>
        <w:spacing w:line="240" w:lineRule="auto"/>
        <w:jc w:val="center"/>
      </w:pPr>
      <w:r>
        <w:rPr>
          <w:rFonts w:hint="eastAsia" w:ascii="黑体" w:hAnsi="黑体" w:eastAsia="黑体"/>
          <w:sz w:val="21"/>
        </w:rPr>
        <w:t>主要病虫草害化学防治方案</w:t>
      </w:r>
    </w:p>
    <w:p w14:paraId="3F8D3C3F">
      <w:pPr>
        <w:spacing w:line="240" w:lineRule="auto"/>
        <w:jc w:val="center"/>
      </w:pPr>
    </w:p>
    <w:tbl>
      <w:tblPr>
        <w:tblStyle w:val="30"/>
        <w:tblW w:w="8522" w:type="dxa"/>
        <w:jc w:val="center"/>
        <w:tblLayout w:type="autofit"/>
        <w:tblCellMar>
          <w:top w:w="0" w:type="dxa"/>
          <w:left w:w="108" w:type="dxa"/>
          <w:bottom w:w="0" w:type="dxa"/>
          <w:right w:w="108" w:type="dxa"/>
        </w:tblCellMar>
      </w:tblPr>
      <w:tblGrid>
        <w:gridCol w:w="1753"/>
        <w:gridCol w:w="1349"/>
        <w:gridCol w:w="2038"/>
        <w:gridCol w:w="1394"/>
        <w:gridCol w:w="873"/>
        <w:gridCol w:w="1115"/>
      </w:tblGrid>
      <w:tr w14:paraId="7E084F5C">
        <w:trPr>
          <w:jc w:val="center"/>
        </w:trPr>
        <w:tc>
          <w:tcPr>
            <w:tcW w:w="1753" w:type="dxa"/>
            <w:tcBorders>
              <w:top w:val="single" w:color="000000" w:sz="6" w:space="0"/>
              <w:left w:val="single" w:color="000000" w:sz="6" w:space="0"/>
              <w:bottom w:val="single" w:color="000000" w:sz="6" w:space="0"/>
              <w:right w:val="single" w:color="000000" w:sz="6" w:space="0"/>
            </w:tcBorders>
            <w:vAlign w:val="center"/>
          </w:tcPr>
          <w:p w14:paraId="146FDDB3">
            <w:pPr>
              <w:spacing w:line="240" w:lineRule="auto"/>
              <w:jc w:val="center"/>
            </w:pPr>
            <w:r>
              <w:rPr>
                <w:rFonts w:hint="eastAsia" w:ascii="宋体" w:hAnsi="宋体" w:eastAsia="宋体"/>
                <w:color w:val="000000"/>
                <w:sz w:val="18"/>
              </w:rPr>
              <w:t>防治对象</w:t>
            </w:r>
          </w:p>
        </w:tc>
        <w:tc>
          <w:tcPr>
            <w:tcW w:w="1349" w:type="dxa"/>
            <w:tcBorders>
              <w:top w:val="single" w:color="000000" w:sz="6" w:space="0"/>
              <w:left w:val="nil"/>
              <w:bottom w:val="single" w:color="000000" w:sz="6" w:space="0"/>
              <w:right w:val="single" w:color="000000" w:sz="6" w:space="0"/>
            </w:tcBorders>
            <w:vAlign w:val="center"/>
          </w:tcPr>
          <w:p w14:paraId="06165B7D">
            <w:pPr>
              <w:spacing w:line="240" w:lineRule="auto"/>
              <w:jc w:val="center"/>
            </w:pPr>
            <w:r>
              <w:rPr>
                <w:rFonts w:hint="eastAsia" w:ascii="宋体" w:hAnsi="宋体" w:eastAsia="宋体"/>
                <w:color w:val="000000"/>
                <w:sz w:val="18"/>
              </w:rPr>
              <w:t>防治时期</w:t>
            </w:r>
          </w:p>
        </w:tc>
        <w:tc>
          <w:tcPr>
            <w:tcW w:w="2038" w:type="dxa"/>
            <w:tcBorders>
              <w:top w:val="single" w:color="000000" w:sz="6" w:space="0"/>
              <w:left w:val="nil"/>
              <w:bottom w:val="single" w:color="000000" w:sz="6" w:space="0"/>
              <w:right w:val="single" w:color="000000" w:sz="6" w:space="0"/>
            </w:tcBorders>
            <w:vAlign w:val="center"/>
          </w:tcPr>
          <w:p w14:paraId="60A43BB8">
            <w:pPr>
              <w:spacing w:line="240" w:lineRule="auto"/>
              <w:jc w:val="center"/>
            </w:pPr>
            <w:r>
              <w:rPr>
                <w:rFonts w:hint="eastAsia" w:ascii="宋体" w:hAnsi="宋体" w:eastAsia="宋体"/>
                <w:color w:val="000000"/>
                <w:sz w:val="18"/>
              </w:rPr>
              <w:t>农药名称</w:t>
            </w:r>
          </w:p>
        </w:tc>
        <w:tc>
          <w:tcPr>
            <w:tcW w:w="1394" w:type="dxa"/>
            <w:tcBorders>
              <w:top w:val="single" w:color="000000" w:sz="6" w:space="0"/>
              <w:left w:val="nil"/>
              <w:bottom w:val="single" w:color="000000" w:sz="6" w:space="0"/>
              <w:right w:val="single" w:color="000000" w:sz="6" w:space="0"/>
            </w:tcBorders>
            <w:vAlign w:val="center"/>
          </w:tcPr>
          <w:p w14:paraId="4659D74D">
            <w:pPr>
              <w:spacing w:line="240" w:lineRule="auto"/>
              <w:jc w:val="center"/>
            </w:pPr>
            <w:r>
              <w:rPr>
                <w:rFonts w:hint="eastAsia" w:ascii="宋体" w:hAnsi="宋体" w:eastAsia="宋体"/>
                <w:color w:val="000000"/>
                <w:sz w:val="18"/>
              </w:rPr>
              <w:t>使用剂量</w:t>
            </w:r>
          </w:p>
          <w:p w14:paraId="24470C85">
            <w:pPr>
              <w:spacing w:line="240" w:lineRule="auto"/>
              <w:jc w:val="center"/>
            </w:pPr>
            <w:r>
              <w:rPr>
                <w:rFonts w:hint="eastAsia" w:ascii="宋体" w:hAnsi="宋体" w:eastAsia="宋体"/>
                <w:color w:val="000000"/>
                <w:sz w:val="18"/>
              </w:rPr>
              <w:t>ml(g)/亩</w:t>
            </w:r>
          </w:p>
        </w:tc>
        <w:tc>
          <w:tcPr>
            <w:tcW w:w="873" w:type="dxa"/>
            <w:tcBorders>
              <w:top w:val="single" w:color="000000" w:sz="6" w:space="0"/>
              <w:left w:val="nil"/>
              <w:bottom w:val="single" w:color="000000" w:sz="6" w:space="0"/>
              <w:right w:val="single" w:color="000000" w:sz="6" w:space="0"/>
            </w:tcBorders>
            <w:vAlign w:val="center"/>
          </w:tcPr>
          <w:p w14:paraId="7097C7E3">
            <w:pPr>
              <w:spacing w:line="240" w:lineRule="auto"/>
              <w:jc w:val="center"/>
            </w:pPr>
            <w:r>
              <w:rPr>
                <w:rFonts w:hint="eastAsia" w:ascii="宋体" w:hAnsi="宋体" w:eastAsia="宋体"/>
                <w:color w:val="000000"/>
                <w:sz w:val="18"/>
              </w:rPr>
              <w:t>施药方法</w:t>
            </w:r>
          </w:p>
        </w:tc>
        <w:tc>
          <w:tcPr>
            <w:tcW w:w="1115" w:type="dxa"/>
            <w:tcBorders>
              <w:top w:val="single" w:color="000000" w:sz="6" w:space="0"/>
              <w:left w:val="nil"/>
              <w:bottom w:val="single" w:color="000000" w:sz="6" w:space="0"/>
              <w:right w:val="single" w:color="000000" w:sz="6" w:space="0"/>
            </w:tcBorders>
            <w:vAlign w:val="center"/>
          </w:tcPr>
          <w:p w14:paraId="134180AC">
            <w:pPr>
              <w:spacing w:line="240" w:lineRule="auto"/>
              <w:jc w:val="center"/>
            </w:pPr>
            <w:r>
              <w:rPr>
                <w:rFonts w:hint="eastAsia" w:ascii="宋体" w:hAnsi="宋体" w:eastAsia="宋体"/>
                <w:color w:val="000000"/>
                <w:sz w:val="18"/>
              </w:rPr>
              <w:t>安全间隔期</w:t>
            </w:r>
          </w:p>
          <w:p w14:paraId="690B0733">
            <w:pPr>
              <w:spacing w:line="240" w:lineRule="auto"/>
              <w:jc w:val="center"/>
            </w:pPr>
            <w:r>
              <w:rPr>
                <w:rFonts w:hint="eastAsia" w:ascii="宋体" w:hAnsi="宋体" w:eastAsia="宋体"/>
                <w:color w:val="000000"/>
                <w:sz w:val="18"/>
              </w:rPr>
              <w:t>天数</w:t>
            </w:r>
          </w:p>
        </w:tc>
      </w:tr>
      <w:tr w14:paraId="0D4C0552">
        <w:tblPrEx>
          <w:tblCellMar>
            <w:top w:w="0" w:type="dxa"/>
            <w:left w:w="108" w:type="dxa"/>
            <w:bottom w:w="0" w:type="dxa"/>
            <w:right w:w="108" w:type="dxa"/>
          </w:tblCellMar>
        </w:tblPrEx>
        <w:trPr>
          <w:jc w:val="center"/>
        </w:trPr>
        <w:tc>
          <w:tcPr>
            <w:tcW w:w="1753" w:type="dxa"/>
            <w:vMerge w:val="restart"/>
            <w:tcBorders>
              <w:top w:val="nil"/>
              <w:left w:val="single" w:color="000000" w:sz="6" w:space="0"/>
              <w:bottom w:val="single" w:color="000000" w:sz="6" w:space="0"/>
              <w:right w:val="single" w:color="000000" w:sz="6" w:space="0"/>
            </w:tcBorders>
            <w:vAlign w:val="center"/>
          </w:tcPr>
          <w:p w14:paraId="2196561C">
            <w:pPr>
              <w:spacing w:line="240" w:lineRule="auto"/>
              <w:jc w:val="center"/>
            </w:pPr>
            <w:r>
              <w:rPr>
                <w:rFonts w:hint="eastAsia" w:ascii="宋体" w:hAnsi="宋体" w:eastAsia="宋体"/>
                <w:color w:val="000000"/>
                <w:sz w:val="18"/>
              </w:rPr>
              <w:t>白粉病和条锈病</w:t>
            </w:r>
          </w:p>
        </w:tc>
        <w:tc>
          <w:tcPr>
            <w:tcW w:w="1349" w:type="dxa"/>
            <w:vMerge w:val="restart"/>
            <w:tcBorders>
              <w:top w:val="nil"/>
              <w:left w:val="nil"/>
              <w:bottom w:val="single" w:color="000000" w:sz="6" w:space="0"/>
              <w:right w:val="single" w:color="000000" w:sz="6" w:space="0"/>
            </w:tcBorders>
            <w:vAlign w:val="center"/>
          </w:tcPr>
          <w:p w14:paraId="33B8657F">
            <w:pPr>
              <w:spacing w:line="240" w:lineRule="auto"/>
              <w:jc w:val="center"/>
            </w:pPr>
            <w:r>
              <w:rPr>
                <w:rFonts w:hint="eastAsia" w:ascii="宋体" w:hAnsi="宋体" w:eastAsia="宋体"/>
                <w:color w:val="000000"/>
                <w:sz w:val="18"/>
              </w:rPr>
              <w:t>拔节至灌浆期</w:t>
            </w:r>
          </w:p>
        </w:tc>
        <w:tc>
          <w:tcPr>
            <w:tcW w:w="2038" w:type="dxa"/>
            <w:tcBorders>
              <w:top w:val="nil"/>
              <w:left w:val="nil"/>
              <w:bottom w:val="single" w:color="000000" w:sz="6" w:space="0"/>
              <w:right w:val="single" w:color="000000" w:sz="6" w:space="0"/>
            </w:tcBorders>
            <w:vAlign w:val="center"/>
          </w:tcPr>
          <w:p w14:paraId="74E424CB">
            <w:pPr>
              <w:spacing w:line="240" w:lineRule="auto"/>
              <w:jc w:val="center"/>
            </w:pPr>
            <w:r>
              <w:rPr>
                <w:rFonts w:hint="eastAsia" w:ascii="宋体" w:hAnsi="宋体" w:eastAsia="宋体"/>
                <w:color w:val="000000"/>
                <w:sz w:val="18"/>
              </w:rPr>
              <w:t>25％丙环唑乳油</w:t>
            </w:r>
          </w:p>
        </w:tc>
        <w:tc>
          <w:tcPr>
            <w:tcW w:w="1394" w:type="dxa"/>
            <w:tcBorders>
              <w:top w:val="nil"/>
              <w:left w:val="nil"/>
              <w:bottom w:val="single" w:color="000000" w:sz="6" w:space="0"/>
              <w:right w:val="single" w:color="000000" w:sz="6" w:space="0"/>
            </w:tcBorders>
            <w:vAlign w:val="center"/>
          </w:tcPr>
          <w:p w14:paraId="04CB40AA">
            <w:pPr>
              <w:spacing w:line="240" w:lineRule="auto"/>
              <w:jc w:val="center"/>
            </w:pPr>
            <w:r>
              <w:rPr>
                <w:rFonts w:hint="eastAsia" w:ascii="宋体" w:hAnsi="宋体" w:eastAsia="宋体"/>
                <w:color w:val="000000"/>
                <w:sz w:val="18"/>
              </w:rPr>
              <w:t>30ml～35ml</w:t>
            </w:r>
          </w:p>
        </w:tc>
        <w:tc>
          <w:tcPr>
            <w:tcW w:w="873" w:type="dxa"/>
            <w:tcBorders>
              <w:top w:val="nil"/>
              <w:left w:val="nil"/>
              <w:bottom w:val="single" w:color="000000" w:sz="6" w:space="0"/>
              <w:right w:val="single" w:color="000000" w:sz="6" w:space="0"/>
            </w:tcBorders>
            <w:vAlign w:val="center"/>
          </w:tcPr>
          <w:p w14:paraId="1A495FB4">
            <w:pPr>
              <w:spacing w:line="240" w:lineRule="auto"/>
              <w:jc w:val="center"/>
            </w:pPr>
            <w:r>
              <w:rPr>
                <w:rFonts w:hint="eastAsia" w:ascii="宋体" w:hAnsi="宋体" w:eastAsia="宋体"/>
                <w:color w:val="000000"/>
                <w:sz w:val="18"/>
              </w:rPr>
              <w:t>喷雾</w:t>
            </w:r>
          </w:p>
        </w:tc>
        <w:tc>
          <w:tcPr>
            <w:tcW w:w="1115" w:type="dxa"/>
            <w:tcBorders>
              <w:top w:val="nil"/>
              <w:left w:val="nil"/>
              <w:bottom w:val="single" w:color="000000" w:sz="6" w:space="0"/>
              <w:right w:val="single" w:color="000000" w:sz="6" w:space="0"/>
            </w:tcBorders>
            <w:vAlign w:val="center"/>
          </w:tcPr>
          <w:p w14:paraId="5AE6CCA2">
            <w:pPr>
              <w:spacing w:line="240" w:lineRule="auto"/>
              <w:jc w:val="center"/>
            </w:pPr>
            <w:r>
              <w:rPr>
                <w:rFonts w:hint="eastAsia" w:ascii="宋体" w:hAnsi="宋体" w:eastAsia="宋体"/>
                <w:color w:val="000000"/>
                <w:sz w:val="18"/>
              </w:rPr>
              <w:t>42</w:t>
            </w:r>
          </w:p>
        </w:tc>
      </w:tr>
      <w:tr w14:paraId="0895054A">
        <w:tblPrEx>
          <w:tblCellMar>
            <w:top w:w="0" w:type="dxa"/>
            <w:left w:w="108" w:type="dxa"/>
            <w:bottom w:w="0" w:type="dxa"/>
            <w:right w:w="108" w:type="dxa"/>
          </w:tblCellMar>
        </w:tblPrEx>
        <w:trPr>
          <w:jc w:val="center"/>
        </w:trPr>
        <w:tc>
          <w:tcPr>
            <w:tcW w:w="1753" w:type="dxa"/>
            <w:vMerge w:val="continue"/>
            <w:tcBorders>
              <w:top w:val="nil"/>
              <w:left w:val="single" w:color="000000" w:sz="6" w:space="0"/>
              <w:bottom w:val="single" w:color="000000" w:sz="6" w:space="0"/>
              <w:right w:val="single" w:color="000000" w:sz="6" w:space="0"/>
            </w:tcBorders>
            <w:vAlign w:val="center"/>
          </w:tcPr>
          <w:p w14:paraId="273C73C9"/>
        </w:tc>
        <w:tc>
          <w:tcPr>
            <w:tcW w:w="1349" w:type="dxa"/>
            <w:vMerge w:val="continue"/>
            <w:tcBorders>
              <w:top w:val="nil"/>
              <w:left w:val="nil"/>
              <w:bottom w:val="single" w:color="000000" w:sz="6" w:space="0"/>
              <w:right w:val="single" w:color="000000" w:sz="6" w:space="0"/>
            </w:tcBorders>
            <w:vAlign w:val="center"/>
          </w:tcPr>
          <w:p w14:paraId="51FA30F2"/>
        </w:tc>
        <w:tc>
          <w:tcPr>
            <w:tcW w:w="2038" w:type="dxa"/>
            <w:tcBorders>
              <w:top w:val="nil"/>
              <w:left w:val="single" w:color="000000" w:sz="6" w:space="0"/>
              <w:bottom w:val="single" w:color="000000" w:sz="6" w:space="0"/>
              <w:right w:val="single" w:color="000000" w:sz="6" w:space="0"/>
            </w:tcBorders>
            <w:vAlign w:val="center"/>
          </w:tcPr>
          <w:p w14:paraId="219F4BA3">
            <w:pPr>
              <w:spacing w:line="240" w:lineRule="auto"/>
              <w:jc w:val="center"/>
            </w:pPr>
            <w:r>
              <w:rPr>
                <w:rFonts w:hint="eastAsia" w:ascii="宋体" w:hAnsi="宋体" w:eastAsia="宋体"/>
                <w:color w:val="000000"/>
                <w:sz w:val="18"/>
              </w:rPr>
              <w:t>20％三唑酮乳油</w:t>
            </w:r>
          </w:p>
        </w:tc>
        <w:tc>
          <w:tcPr>
            <w:tcW w:w="1394" w:type="dxa"/>
            <w:tcBorders>
              <w:top w:val="nil"/>
              <w:left w:val="nil"/>
              <w:bottom w:val="single" w:color="000000" w:sz="6" w:space="0"/>
              <w:right w:val="single" w:color="000000" w:sz="6" w:space="0"/>
            </w:tcBorders>
            <w:vAlign w:val="center"/>
          </w:tcPr>
          <w:p w14:paraId="35BF2ED1">
            <w:pPr>
              <w:spacing w:line="240" w:lineRule="auto"/>
              <w:jc w:val="center"/>
            </w:pPr>
            <w:r>
              <w:rPr>
                <w:rFonts w:hint="eastAsia" w:ascii="宋体" w:hAnsi="宋体" w:eastAsia="宋体"/>
                <w:color w:val="000000"/>
                <w:sz w:val="18"/>
              </w:rPr>
              <w:t>45ml～60ml</w:t>
            </w:r>
          </w:p>
        </w:tc>
        <w:tc>
          <w:tcPr>
            <w:tcW w:w="873" w:type="dxa"/>
            <w:tcBorders>
              <w:top w:val="nil"/>
              <w:left w:val="nil"/>
              <w:bottom w:val="single" w:color="000000" w:sz="6" w:space="0"/>
              <w:right w:val="single" w:color="000000" w:sz="6" w:space="0"/>
            </w:tcBorders>
            <w:vAlign w:val="center"/>
          </w:tcPr>
          <w:p w14:paraId="48CDC6D8">
            <w:pPr>
              <w:spacing w:line="240" w:lineRule="auto"/>
              <w:jc w:val="center"/>
            </w:pPr>
            <w:r>
              <w:rPr>
                <w:rFonts w:hint="eastAsia" w:ascii="宋体" w:hAnsi="宋体" w:eastAsia="宋体"/>
                <w:color w:val="000000"/>
                <w:sz w:val="18"/>
              </w:rPr>
              <w:t>喷雾</w:t>
            </w:r>
          </w:p>
        </w:tc>
        <w:tc>
          <w:tcPr>
            <w:tcW w:w="1115" w:type="dxa"/>
            <w:tcBorders>
              <w:top w:val="nil"/>
              <w:left w:val="nil"/>
              <w:bottom w:val="single" w:color="000000" w:sz="6" w:space="0"/>
              <w:right w:val="single" w:color="000000" w:sz="6" w:space="0"/>
            </w:tcBorders>
            <w:vAlign w:val="center"/>
          </w:tcPr>
          <w:p w14:paraId="273ECB30">
            <w:pPr>
              <w:spacing w:line="240" w:lineRule="auto"/>
              <w:jc w:val="center"/>
            </w:pPr>
            <w:r>
              <w:rPr>
                <w:rFonts w:hint="eastAsia" w:ascii="宋体" w:hAnsi="宋体" w:eastAsia="宋体"/>
                <w:color w:val="000000"/>
                <w:sz w:val="18"/>
              </w:rPr>
              <w:t>20</w:t>
            </w:r>
          </w:p>
        </w:tc>
      </w:tr>
      <w:tr w14:paraId="60008823">
        <w:trPr>
          <w:jc w:val="center"/>
        </w:trPr>
        <w:tc>
          <w:tcPr>
            <w:tcW w:w="1753" w:type="dxa"/>
            <w:tcBorders>
              <w:top w:val="nil"/>
              <w:left w:val="single" w:color="000000" w:sz="6" w:space="0"/>
              <w:bottom w:val="single" w:color="000000" w:sz="6" w:space="0"/>
              <w:right w:val="single" w:color="000000" w:sz="6" w:space="0"/>
            </w:tcBorders>
            <w:vAlign w:val="center"/>
          </w:tcPr>
          <w:p w14:paraId="22D8A57C">
            <w:pPr>
              <w:spacing w:line="240" w:lineRule="auto"/>
              <w:jc w:val="center"/>
            </w:pPr>
            <w:r>
              <w:rPr>
                <w:rFonts w:hint="eastAsia" w:ascii="宋体" w:hAnsi="宋体" w:eastAsia="宋体"/>
                <w:color w:val="000000"/>
                <w:sz w:val="18"/>
              </w:rPr>
              <w:t>赤霉病</w:t>
            </w:r>
          </w:p>
        </w:tc>
        <w:tc>
          <w:tcPr>
            <w:tcW w:w="1349" w:type="dxa"/>
            <w:tcBorders>
              <w:top w:val="nil"/>
              <w:left w:val="nil"/>
              <w:bottom w:val="single" w:color="000000" w:sz="6" w:space="0"/>
              <w:right w:val="single" w:color="000000" w:sz="6" w:space="0"/>
            </w:tcBorders>
            <w:vAlign w:val="center"/>
          </w:tcPr>
          <w:p w14:paraId="246143BC">
            <w:pPr>
              <w:spacing w:line="240" w:lineRule="auto"/>
              <w:jc w:val="center"/>
            </w:pPr>
            <w:r>
              <w:rPr>
                <w:rFonts w:hint="eastAsia" w:ascii="宋体" w:hAnsi="宋体" w:eastAsia="宋体"/>
                <w:color w:val="000000"/>
                <w:sz w:val="18"/>
              </w:rPr>
              <w:t>齐穗至盛花期</w:t>
            </w:r>
          </w:p>
        </w:tc>
        <w:tc>
          <w:tcPr>
            <w:tcW w:w="2038" w:type="dxa"/>
            <w:tcBorders>
              <w:top w:val="nil"/>
              <w:left w:val="nil"/>
              <w:bottom w:val="single" w:color="000000" w:sz="6" w:space="0"/>
              <w:right w:val="single" w:color="000000" w:sz="6" w:space="0"/>
            </w:tcBorders>
            <w:vAlign w:val="center"/>
          </w:tcPr>
          <w:p w14:paraId="64A66755">
            <w:pPr>
              <w:spacing w:line="240" w:lineRule="auto"/>
              <w:jc w:val="center"/>
            </w:pPr>
            <w:r>
              <w:rPr>
                <w:rFonts w:hint="eastAsia" w:ascii="宋体" w:hAnsi="宋体" w:eastAsia="宋体"/>
                <w:color w:val="000000"/>
                <w:sz w:val="18"/>
              </w:rPr>
              <w:t>50％多菌灵可湿性粉剂</w:t>
            </w:r>
          </w:p>
        </w:tc>
        <w:tc>
          <w:tcPr>
            <w:tcW w:w="1394" w:type="dxa"/>
            <w:tcBorders>
              <w:top w:val="nil"/>
              <w:left w:val="nil"/>
              <w:bottom w:val="single" w:color="000000" w:sz="6" w:space="0"/>
              <w:right w:val="single" w:color="000000" w:sz="6" w:space="0"/>
            </w:tcBorders>
            <w:vAlign w:val="center"/>
          </w:tcPr>
          <w:p w14:paraId="05E63377">
            <w:pPr>
              <w:spacing w:line="240" w:lineRule="auto"/>
              <w:jc w:val="center"/>
            </w:pPr>
            <w:r>
              <w:rPr>
                <w:rFonts w:hint="eastAsia" w:ascii="宋体" w:hAnsi="宋体" w:eastAsia="宋体"/>
                <w:color w:val="000000"/>
                <w:sz w:val="18"/>
              </w:rPr>
              <w:t>100g～150g</w:t>
            </w:r>
          </w:p>
        </w:tc>
        <w:tc>
          <w:tcPr>
            <w:tcW w:w="873" w:type="dxa"/>
            <w:tcBorders>
              <w:top w:val="nil"/>
              <w:left w:val="nil"/>
              <w:bottom w:val="single" w:color="000000" w:sz="6" w:space="0"/>
              <w:right w:val="single" w:color="000000" w:sz="6" w:space="0"/>
            </w:tcBorders>
            <w:vAlign w:val="center"/>
          </w:tcPr>
          <w:p w14:paraId="221FBBE5">
            <w:pPr>
              <w:spacing w:line="240" w:lineRule="auto"/>
              <w:jc w:val="center"/>
            </w:pPr>
            <w:r>
              <w:rPr>
                <w:rFonts w:hint="eastAsia" w:ascii="宋体" w:hAnsi="宋体" w:eastAsia="宋体"/>
                <w:color w:val="000000"/>
                <w:sz w:val="18"/>
              </w:rPr>
              <w:t>喷雾</w:t>
            </w:r>
          </w:p>
        </w:tc>
        <w:tc>
          <w:tcPr>
            <w:tcW w:w="1115" w:type="dxa"/>
            <w:tcBorders>
              <w:top w:val="nil"/>
              <w:left w:val="nil"/>
              <w:bottom w:val="single" w:color="000000" w:sz="6" w:space="0"/>
              <w:right w:val="single" w:color="000000" w:sz="6" w:space="0"/>
            </w:tcBorders>
            <w:vAlign w:val="center"/>
          </w:tcPr>
          <w:p w14:paraId="19B2A87E">
            <w:pPr>
              <w:spacing w:line="240" w:lineRule="auto"/>
              <w:jc w:val="center"/>
            </w:pPr>
            <w:r>
              <w:rPr>
                <w:rFonts w:hint="eastAsia" w:ascii="宋体" w:hAnsi="宋体" w:eastAsia="宋体"/>
                <w:color w:val="000000"/>
                <w:sz w:val="18"/>
              </w:rPr>
              <w:t>20</w:t>
            </w:r>
          </w:p>
        </w:tc>
      </w:tr>
      <w:tr w14:paraId="134D4D18">
        <w:tblPrEx>
          <w:tblCellMar>
            <w:top w:w="0" w:type="dxa"/>
            <w:left w:w="108" w:type="dxa"/>
            <w:bottom w:w="0" w:type="dxa"/>
            <w:right w:w="108" w:type="dxa"/>
          </w:tblCellMar>
        </w:tblPrEx>
        <w:trPr>
          <w:jc w:val="center"/>
        </w:trPr>
        <w:tc>
          <w:tcPr>
            <w:tcW w:w="1753" w:type="dxa"/>
            <w:vMerge w:val="restart"/>
            <w:tcBorders>
              <w:top w:val="nil"/>
              <w:left w:val="single" w:color="000000" w:sz="6" w:space="0"/>
              <w:bottom w:val="single" w:color="000000" w:sz="6" w:space="0"/>
              <w:right w:val="single" w:color="000000" w:sz="6" w:space="0"/>
            </w:tcBorders>
            <w:vAlign w:val="center"/>
          </w:tcPr>
          <w:p w14:paraId="6DE348A5">
            <w:pPr>
              <w:spacing w:line="240" w:lineRule="auto"/>
              <w:jc w:val="center"/>
            </w:pPr>
            <w:r>
              <w:rPr>
                <w:rFonts w:hint="eastAsia" w:ascii="宋体" w:hAnsi="宋体" w:eastAsia="宋体"/>
                <w:color w:val="000000"/>
                <w:sz w:val="18"/>
              </w:rPr>
              <w:t>蚜虫</w:t>
            </w:r>
          </w:p>
        </w:tc>
        <w:tc>
          <w:tcPr>
            <w:tcW w:w="1349" w:type="dxa"/>
            <w:vMerge w:val="restart"/>
            <w:tcBorders>
              <w:top w:val="nil"/>
              <w:left w:val="nil"/>
              <w:bottom w:val="single" w:color="000000" w:sz="6" w:space="0"/>
              <w:right w:val="single" w:color="000000" w:sz="6" w:space="0"/>
            </w:tcBorders>
            <w:vAlign w:val="center"/>
          </w:tcPr>
          <w:p w14:paraId="2E06E95B">
            <w:pPr>
              <w:spacing w:line="240" w:lineRule="auto"/>
              <w:jc w:val="center"/>
            </w:pPr>
            <w:r>
              <w:rPr>
                <w:rFonts w:hint="eastAsia" w:ascii="宋体" w:hAnsi="宋体" w:eastAsia="宋体"/>
                <w:color w:val="000000"/>
                <w:sz w:val="18"/>
              </w:rPr>
              <w:t>发生期</w:t>
            </w:r>
          </w:p>
        </w:tc>
        <w:tc>
          <w:tcPr>
            <w:tcW w:w="2038" w:type="dxa"/>
            <w:tcBorders>
              <w:top w:val="nil"/>
              <w:left w:val="nil"/>
              <w:bottom w:val="single" w:color="000000" w:sz="6" w:space="0"/>
              <w:right w:val="single" w:color="000000" w:sz="6" w:space="0"/>
            </w:tcBorders>
            <w:vAlign w:val="center"/>
          </w:tcPr>
          <w:p w14:paraId="6EA033D8">
            <w:pPr>
              <w:spacing w:line="240" w:lineRule="auto"/>
              <w:jc w:val="center"/>
            </w:pPr>
            <w:r>
              <w:rPr>
                <w:rFonts w:hint="eastAsia" w:ascii="宋体" w:hAnsi="宋体" w:eastAsia="宋体"/>
                <w:color w:val="000000"/>
                <w:sz w:val="18"/>
              </w:rPr>
              <w:t>10％吡虫啉可湿性粉剂</w:t>
            </w:r>
          </w:p>
        </w:tc>
        <w:tc>
          <w:tcPr>
            <w:tcW w:w="1394" w:type="dxa"/>
            <w:tcBorders>
              <w:top w:val="nil"/>
              <w:left w:val="nil"/>
              <w:bottom w:val="single" w:color="000000" w:sz="6" w:space="0"/>
              <w:right w:val="single" w:color="000000" w:sz="6" w:space="0"/>
            </w:tcBorders>
            <w:vAlign w:val="center"/>
          </w:tcPr>
          <w:p w14:paraId="5C53CCCB">
            <w:pPr>
              <w:spacing w:line="240" w:lineRule="auto"/>
              <w:jc w:val="center"/>
            </w:pPr>
            <w:r>
              <w:rPr>
                <w:rFonts w:hint="eastAsia" w:ascii="宋体" w:hAnsi="宋体" w:eastAsia="宋体"/>
                <w:color w:val="000000"/>
                <w:sz w:val="18"/>
              </w:rPr>
              <w:t>10g～20g</w:t>
            </w:r>
          </w:p>
        </w:tc>
        <w:tc>
          <w:tcPr>
            <w:tcW w:w="873" w:type="dxa"/>
            <w:tcBorders>
              <w:top w:val="nil"/>
              <w:left w:val="nil"/>
              <w:bottom w:val="single" w:color="000000" w:sz="6" w:space="0"/>
              <w:right w:val="single" w:color="000000" w:sz="6" w:space="0"/>
            </w:tcBorders>
            <w:vAlign w:val="center"/>
          </w:tcPr>
          <w:p w14:paraId="4381819F">
            <w:pPr>
              <w:spacing w:line="240" w:lineRule="auto"/>
              <w:jc w:val="center"/>
            </w:pPr>
            <w:r>
              <w:rPr>
                <w:rFonts w:hint="eastAsia" w:ascii="宋体" w:hAnsi="宋体" w:eastAsia="宋体"/>
                <w:color w:val="000000"/>
                <w:sz w:val="18"/>
              </w:rPr>
              <w:t>喷雾</w:t>
            </w:r>
          </w:p>
        </w:tc>
        <w:tc>
          <w:tcPr>
            <w:tcW w:w="1115" w:type="dxa"/>
            <w:tcBorders>
              <w:top w:val="nil"/>
              <w:left w:val="nil"/>
              <w:bottom w:val="single" w:color="000000" w:sz="6" w:space="0"/>
              <w:right w:val="single" w:color="000000" w:sz="6" w:space="0"/>
            </w:tcBorders>
            <w:vAlign w:val="center"/>
          </w:tcPr>
          <w:p w14:paraId="2236D4D0">
            <w:pPr>
              <w:spacing w:line="240" w:lineRule="auto"/>
              <w:jc w:val="center"/>
            </w:pPr>
            <w:r>
              <w:rPr>
                <w:rFonts w:hint="eastAsia" w:ascii="宋体" w:hAnsi="宋体" w:eastAsia="宋体"/>
                <w:color w:val="000000"/>
                <w:sz w:val="18"/>
              </w:rPr>
              <w:t>20</w:t>
            </w:r>
          </w:p>
        </w:tc>
      </w:tr>
      <w:tr w14:paraId="314698D4">
        <w:tblPrEx>
          <w:tblCellMar>
            <w:top w:w="0" w:type="dxa"/>
            <w:left w:w="108" w:type="dxa"/>
            <w:bottom w:w="0" w:type="dxa"/>
            <w:right w:w="108" w:type="dxa"/>
          </w:tblCellMar>
        </w:tblPrEx>
        <w:trPr>
          <w:jc w:val="center"/>
        </w:trPr>
        <w:tc>
          <w:tcPr>
            <w:tcW w:w="1753" w:type="dxa"/>
            <w:vMerge w:val="continue"/>
            <w:tcBorders>
              <w:top w:val="nil"/>
              <w:left w:val="single" w:color="000000" w:sz="6" w:space="0"/>
              <w:bottom w:val="single" w:color="000000" w:sz="6" w:space="0"/>
              <w:right w:val="single" w:color="000000" w:sz="6" w:space="0"/>
            </w:tcBorders>
            <w:vAlign w:val="center"/>
          </w:tcPr>
          <w:p w14:paraId="35B90396"/>
        </w:tc>
        <w:tc>
          <w:tcPr>
            <w:tcW w:w="1349" w:type="dxa"/>
            <w:vMerge w:val="continue"/>
            <w:tcBorders>
              <w:top w:val="nil"/>
              <w:left w:val="nil"/>
              <w:bottom w:val="single" w:color="000000" w:sz="6" w:space="0"/>
              <w:right w:val="single" w:color="000000" w:sz="6" w:space="0"/>
            </w:tcBorders>
            <w:vAlign w:val="center"/>
          </w:tcPr>
          <w:p w14:paraId="1C5328C0"/>
        </w:tc>
        <w:tc>
          <w:tcPr>
            <w:tcW w:w="2038" w:type="dxa"/>
            <w:tcBorders>
              <w:top w:val="nil"/>
              <w:left w:val="single" w:color="000000" w:sz="6" w:space="0"/>
              <w:bottom w:val="single" w:color="000000" w:sz="6" w:space="0"/>
              <w:right w:val="single" w:color="000000" w:sz="6" w:space="0"/>
            </w:tcBorders>
            <w:vAlign w:val="center"/>
          </w:tcPr>
          <w:p w14:paraId="24386A1C">
            <w:pPr>
              <w:spacing w:line="240" w:lineRule="auto"/>
              <w:jc w:val="center"/>
            </w:pPr>
            <w:r>
              <w:rPr>
                <w:rFonts w:hint="eastAsia" w:ascii="宋体" w:hAnsi="宋体" w:eastAsia="宋体"/>
                <w:color w:val="000000"/>
                <w:sz w:val="18"/>
              </w:rPr>
              <w:t>50％抗蚜威可湿性粉剂</w:t>
            </w:r>
          </w:p>
        </w:tc>
        <w:tc>
          <w:tcPr>
            <w:tcW w:w="1394" w:type="dxa"/>
            <w:tcBorders>
              <w:top w:val="nil"/>
              <w:left w:val="nil"/>
              <w:bottom w:val="single" w:color="000000" w:sz="6" w:space="0"/>
              <w:right w:val="single" w:color="000000" w:sz="6" w:space="0"/>
            </w:tcBorders>
            <w:vAlign w:val="center"/>
          </w:tcPr>
          <w:p w14:paraId="2ACFF9B6">
            <w:pPr>
              <w:spacing w:line="240" w:lineRule="auto"/>
              <w:jc w:val="center"/>
            </w:pPr>
            <w:r>
              <w:rPr>
                <w:rFonts w:hint="eastAsia" w:ascii="宋体" w:hAnsi="宋体" w:eastAsia="宋体"/>
                <w:color w:val="000000"/>
                <w:sz w:val="18"/>
              </w:rPr>
              <w:t>15g～20g</w:t>
            </w:r>
          </w:p>
        </w:tc>
        <w:tc>
          <w:tcPr>
            <w:tcW w:w="873" w:type="dxa"/>
            <w:tcBorders>
              <w:top w:val="nil"/>
              <w:left w:val="nil"/>
              <w:bottom w:val="single" w:color="000000" w:sz="6" w:space="0"/>
              <w:right w:val="single" w:color="000000" w:sz="6" w:space="0"/>
            </w:tcBorders>
            <w:vAlign w:val="center"/>
          </w:tcPr>
          <w:p w14:paraId="73A45DEB">
            <w:pPr>
              <w:spacing w:line="240" w:lineRule="auto"/>
              <w:jc w:val="center"/>
            </w:pPr>
            <w:r>
              <w:rPr>
                <w:rFonts w:hint="eastAsia" w:ascii="宋体" w:hAnsi="宋体" w:eastAsia="宋体"/>
                <w:color w:val="000000"/>
                <w:sz w:val="18"/>
              </w:rPr>
              <w:t>喷雾</w:t>
            </w:r>
          </w:p>
        </w:tc>
        <w:tc>
          <w:tcPr>
            <w:tcW w:w="1115" w:type="dxa"/>
            <w:tcBorders>
              <w:top w:val="nil"/>
              <w:left w:val="nil"/>
              <w:bottom w:val="single" w:color="000000" w:sz="6" w:space="0"/>
              <w:right w:val="single" w:color="000000" w:sz="6" w:space="0"/>
            </w:tcBorders>
            <w:vAlign w:val="center"/>
          </w:tcPr>
          <w:p w14:paraId="7E07D77A">
            <w:pPr>
              <w:spacing w:line="240" w:lineRule="auto"/>
              <w:jc w:val="center"/>
            </w:pPr>
            <w:r>
              <w:rPr>
                <w:rFonts w:hint="eastAsia" w:ascii="宋体" w:hAnsi="宋体" w:eastAsia="宋体"/>
                <w:color w:val="000000"/>
                <w:sz w:val="18"/>
              </w:rPr>
              <w:t>14</w:t>
            </w:r>
          </w:p>
        </w:tc>
      </w:tr>
      <w:tr w14:paraId="3E2EDBCB">
        <w:tblPrEx>
          <w:tblCellMar>
            <w:top w:w="0" w:type="dxa"/>
            <w:left w:w="108" w:type="dxa"/>
            <w:bottom w:w="0" w:type="dxa"/>
            <w:right w:w="108" w:type="dxa"/>
          </w:tblCellMar>
        </w:tblPrEx>
        <w:trPr>
          <w:jc w:val="center"/>
        </w:trPr>
        <w:tc>
          <w:tcPr>
            <w:tcW w:w="1753" w:type="dxa"/>
            <w:tcBorders>
              <w:top w:val="nil"/>
              <w:left w:val="single" w:color="000000" w:sz="6" w:space="0"/>
              <w:bottom w:val="single" w:color="000000" w:sz="6" w:space="0"/>
              <w:right w:val="single" w:color="000000" w:sz="6" w:space="0"/>
            </w:tcBorders>
            <w:vAlign w:val="center"/>
          </w:tcPr>
          <w:p w14:paraId="29BBD403">
            <w:pPr>
              <w:spacing w:line="240" w:lineRule="auto"/>
              <w:jc w:val="center"/>
            </w:pPr>
            <w:r>
              <w:rPr>
                <w:rFonts w:hint="eastAsia" w:ascii="宋体" w:hAnsi="宋体" w:eastAsia="宋体"/>
                <w:color w:val="000000"/>
                <w:sz w:val="18"/>
              </w:rPr>
              <w:t>红蜘蛛</w:t>
            </w:r>
          </w:p>
        </w:tc>
        <w:tc>
          <w:tcPr>
            <w:tcW w:w="1349" w:type="dxa"/>
            <w:tcBorders>
              <w:top w:val="nil"/>
              <w:left w:val="nil"/>
              <w:bottom w:val="single" w:color="000000" w:sz="6" w:space="0"/>
              <w:right w:val="single" w:color="000000" w:sz="6" w:space="0"/>
            </w:tcBorders>
            <w:vAlign w:val="center"/>
          </w:tcPr>
          <w:p w14:paraId="7A568F28">
            <w:pPr>
              <w:spacing w:line="240" w:lineRule="auto"/>
              <w:jc w:val="center"/>
            </w:pPr>
            <w:r>
              <w:rPr>
                <w:rFonts w:hint="eastAsia" w:ascii="宋体" w:hAnsi="宋体" w:eastAsia="宋体"/>
                <w:color w:val="000000"/>
                <w:sz w:val="18"/>
              </w:rPr>
              <w:t>初发期</w:t>
            </w:r>
          </w:p>
        </w:tc>
        <w:tc>
          <w:tcPr>
            <w:tcW w:w="2038" w:type="dxa"/>
            <w:tcBorders>
              <w:top w:val="nil"/>
              <w:left w:val="nil"/>
              <w:bottom w:val="single" w:color="000000" w:sz="6" w:space="0"/>
              <w:right w:val="single" w:color="000000" w:sz="6" w:space="0"/>
            </w:tcBorders>
            <w:vAlign w:val="center"/>
          </w:tcPr>
          <w:p w14:paraId="1A2D5958">
            <w:pPr>
              <w:spacing w:line="240" w:lineRule="auto"/>
              <w:jc w:val="center"/>
            </w:pPr>
            <w:r>
              <w:rPr>
                <w:rFonts w:hint="eastAsia" w:ascii="宋体" w:hAnsi="宋体" w:eastAsia="宋体"/>
                <w:color w:val="000000"/>
                <w:sz w:val="18"/>
              </w:rPr>
              <w:t>4%联苯菊酯微乳剂</w:t>
            </w:r>
          </w:p>
        </w:tc>
        <w:tc>
          <w:tcPr>
            <w:tcW w:w="1394" w:type="dxa"/>
            <w:tcBorders>
              <w:top w:val="nil"/>
              <w:left w:val="nil"/>
              <w:bottom w:val="single" w:color="000000" w:sz="6" w:space="0"/>
              <w:right w:val="single" w:color="000000" w:sz="6" w:space="0"/>
            </w:tcBorders>
            <w:vAlign w:val="center"/>
          </w:tcPr>
          <w:p w14:paraId="30FAC64B">
            <w:pPr>
              <w:spacing w:line="240" w:lineRule="auto"/>
              <w:jc w:val="center"/>
            </w:pPr>
            <w:r>
              <w:rPr>
                <w:rFonts w:hint="eastAsia" w:ascii="宋体" w:hAnsi="宋体" w:eastAsia="宋体"/>
                <w:color w:val="000000"/>
                <w:sz w:val="18"/>
              </w:rPr>
              <w:t>30ml～50ml</w:t>
            </w:r>
          </w:p>
        </w:tc>
        <w:tc>
          <w:tcPr>
            <w:tcW w:w="873" w:type="dxa"/>
            <w:tcBorders>
              <w:top w:val="nil"/>
              <w:left w:val="nil"/>
              <w:bottom w:val="single" w:color="000000" w:sz="6" w:space="0"/>
              <w:right w:val="single" w:color="000000" w:sz="6" w:space="0"/>
            </w:tcBorders>
            <w:vAlign w:val="center"/>
          </w:tcPr>
          <w:p w14:paraId="69C7561F">
            <w:pPr>
              <w:spacing w:line="240" w:lineRule="auto"/>
              <w:jc w:val="center"/>
            </w:pPr>
            <w:r>
              <w:rPr>
                <w:rFonts w:hint="eastAsia" w:ascii="宋体" w:hAnsi="宋体" w:eastAsia="宋体"/>
                <w:color w:val="000000"/>
                <w:sz w:val="18"/>
              </w:rPr>
              <w:t>喷雾</w:t>
            </w:r>
          </w:p>
        </w:tc>
        <w:tc>
          <w:tcPr>
            <w:tcW w:w="1115" w:type="dxa"/>
            <w:tcBorders>
              <w:top w:val="nil"/>
              <w:left w:val="nil"/>
              <w:bottom w:val="single" w:color="000000" w:sz="6" w:space="0"/>
              <w:right w:val="single" w:color="000000" w:sz="6" w:space="0"/>
            </w:tcBorders>
            <w:vAlign w:val="center"/>
          </w:tcPr>
          <w:p w14:paraId="786C2FDC">
            <w:pPr>
              <w:spacing w:line="240" w:lineRule="auto"/>
              <w:jc w:val="center"/>
            </w:pPr>
            <w:r>
              <w:rPr>
                <w:rFonts w:hint="eastAsia" w:ascii="宋体" w:hAnsi="宋体" w:eastAsia="宋体"/>
                <w:color w:val="000000"/>
                <w:sz w:val="18"/>
              </w:rPr>
              <w:t>15</w:t>
            </w:r>
          </w:p>
        </w:tc>
      </w:tr>
      <w:tr w14:paraId="633316C3">
        <w:tblPrEx>
          <w:tblCellMar>
            <w:top w:w="0" w:type="dxa"/>
            <w:left w:w="108" w:type="dxa"/>
            <w:bottom w:w="0" w:type="dxa"/>
            <w:right w:w="108" w:type="dxa"/>
          </w:tblCellMar>
        </w:tblPrEx>
        <w:trPr>
          <w:jc w:val="center"/>
        </w:trPr>
        <w:tc>
          <w:tcPr>
            <w:tcW w:w="1753" w:type="dxa"/>
            <w:tcBorders>
              <w:top w:val="nil"/>
              <w:left w:val="single" w:color="000000" w:sz="6" w:space="0"/>
              <w:bottom w:val="single" w:color="000000" w:sz="6" w:space="0"/>
              <w:right w:val="single" w:color="000000" w:sz="6" w:space="0"/>
            </w:tcBorders>
            <w:vAlign w:val="center"/>
          </w:tcPr>
          <w:p w14:paraId="4241A013">
            <w:pPr>
              <w:spacing w:line="240" w:lineRule="auto"/>
              <w:jc w:val="center"/>
            </w:pPr>
            <w:r>
              <w:rPr>
                <w:rFonts w:hint="eastAsia" w:ascii="宋体" w:hAnsi="宋体" w:eastAsia="宋体"/>
                <w:color w:val="000000"/>
                <w:sz w:val="18"/>
              </w:rPr>
              <w:t>娘蒿、荠菜等阔叶杂草</w:t>
            </w:r>
          </w:p>
        </w:tc>
        <w:tc>
          <w:tcPr>
            <w:tcW w:w="1349" w:type="dxa"/>
            <w:tcBorders>
              <w:top w:val="nil"/>
              <w:left w:val="nil"/>
              <w:bottom w:val="single" w:color="000000" w:sz="6" w:space="0"/>
              <w:right w:val="single" w:color="000000" w:sz="6" w:space="0"/>
            </w:tcBorders>
            <w:vAlign w:val="center"/>
          </w:tcPr>
          <w:p w14:paraId="1A9E0613">
            <w:pPr>
              <w:spacing w:line="240" w:lineRule="auto"/>
              <w:jc w:val="center"/>
              <w:rPr>
                <w:rFonts w:hint="default" w:eastAsia="宋体"/>
                <w:lang w:val="en-US" w:eastAsia="zh-CN"/>
              </w:rPr>
            </w:pPr>
            <w:r>
              <w:rPr>
                <w:rFonts w:hint="eastAsia" w:ascii="宋体" w:hAnsi="宋体" w:eastAsia="宋体"/>
                <w:color w:val="000000"/>
                <w:sz w:val="18"/>
                <w:lang w:val="en-US" w:eastAsia="zh-CN"/>
              </w:rPr>
              <w:t>返青至拔节前</w:t>
            </w:r>
          </w:p>
        </w:tc>
        <w:tc>
          <w:tcPr>
            <w:tcW w:w="2038" w:type="dxa"/>
            <w:tcBorders>
              <w:top w:val="nil"/>
              <w:left w:val="nil"/>
              <w:bottom w:val="single" w:color="000000" w:sz="6" w:space="0"/>
              <w:right w:val="single" w:color="000000" w:sz="6" w:space="0"/>
            </w:tcBorders>
            <w:vAlign w:val="center"/>
          </w:tcPr>
          <w:p w14:paraId="5D9335CD">
            <w:pPr>
              <w:spacing w:line="240" w:lineRule="auto"/>
              <w:jc w:val="center"/>
            </w:pPr>
            <w:r>
              <w:rPr>
                <w:rFonts w:hint="eastAsia" w:ascii="宋体" w:hAnsi="宋体" w:eastAsia="宋体"/>
                <w:color w:val="000000"/>
                <w:sz w:val="18"/>
              </w:rPr>
              <w:t>85% 2甲4氯钠可溶性剂</w:t>
            </w:r>
          </w:p>
        </w:tc>
        <w:tc>
          <w:tcPr>
            <w:tcW w:w="1394" w:type="dxa"/>
            <w:tcBorders>
              <w:top w:val="nil"/>
              <w:left w:val="nil"/>
              <w:bottom w:val="single" w:color="000000" w:sz="6" w:space="0"/>
              <w:right w:val="single" w:color="000000" w:sz="6" w:space="0"/>
            </w:tcBorders>
            <w:vAlign w:val="center"/>
          </w:tcPr>
          <w:p w14:paraId="33CFDDA2">
            <w:pPr>
              <w:spacing w:line="240" w:lineRule="auto"/>
              <w:jc w:val="center"/>
            </w:pPr>
            <w:r>
              <w:rPr>
                <w:rFonts w:hint="eastAsia" w:ascii="宋体" w:hAnsi="宋体" w:eastAsia="宋体"/>
                <w:color w:val="000000"/>
                <w:sz w:val="18"/>
              </w:rPr>
              <w:t>70g～905g</w:t>
            </w:r>
          </w:p>
        </w:tc>
        <w:tc>
          <w:tcPr>
            <w:tcW w:w="873" w:type="dxa"/>
            <w:tcBorders>
              <w:top w:val="nil"/>
              <w:left w:val="nil"/>
              <w:bottom w:val="single" w:color="000000" w:sz="6" w:space="0"/>
              <w:right w:val="single" w:color="000000" w:sz="6" w:space="0"/>
            </w:tcBorders>
            <w:vAlign w:val="center"/>
          </w:tcPr>
          <w:p w14:paraId="32EE79E8">
            <w:pPr>
              <w:spacing w:line="240" w:lineRule="auto"/>
              <w:jc w:val="center"/>
            </w:pPr>
            <w:r>
              <w:rPr>
                <w:rFonts w:hint="eastAsia" w:ascii="宋体" w:hAnsi="宋体" w:eastAsia="宋体"/>
                <w:color w:val="000000"/>
                <w:sz w:val="18"/>
              </w:rPr>
              <w:t>喷雾</w:t>
            </w:r>
          </w:p>
        </w:tc>
        <w:tc>
          <w:tcPr>
            <w:tcW w:w="1115" w:type="dxa"/>
            <w:tcBorders>
              <w:top w:val="nil"/>
              <w:left w:val="nil"/>
              <w:bottom w:val="single" w:color="000000" w:sz="6" w:space="0"/>
              <w:right w:val="single" w:color="000000" w:sz="6" w:space="0"/>
            </w:tcBorders>
            <w:vAlign w:val="center"/>
          </w:tcPr>
          <w:p w14:paraId="6E6E2E41">
            <w:pPr>
              <w:spacing w:line="240" w:lineRule="auto"/>
              <w:jc w:val="center"/>
            </w:pPr>
            <w:r>
              <w:rPr>
                <w:rFonts w:hint="eastAsia" w:ascii="宋体" w:hAnsi="宋体" w:eastAsia="宋体"/>
                <w:color w:val="000000"/>
                <w:sz w:val="18"/>
              </w:rPr>
              <w:t>30</w:t>
            </w:r>
          </w:p>
        </w:tc>
      </w:tr>
      <w:tr w14:paraId="60159460">
        <w:tblPrEx>
          <w:tblCellMar>
            <w:top w:w="0" w:type="dxa"/>
            <w:left w:w="108" w:type="dxa"/>
            <w:bottom w:w="0" w:type="dxa"/>
            <w:right w:w="108" w:type="dxa"/>
          </w:tblCellMar>
        </w:tblPrEx>
        <w:trPr>
          <w:jc w:val="center"/>
        </w:trPr>
        <w:tc>
          <w:tcPr>
            <w:tcW w:w="1753" w:type="dxa"/>
            <w:tcBorders>
              <w:top w:val="nil"/>
              <w:left w:val="single" w:color="000000" w:sz="6" w:space="0"/>
              <w:bottom w:val="single" w:color="000000" w:sz="6" w:space="0"/>
              <w:right w:val="single" w:color="000000" w:sz="6" w:space="0"/>
            </w:tcBorders>
            <w:vAlign w:val="center"/>
          </w:tcPr>
          <w:p w14:paraId="35C7E22E">
            <w:pPr>
              <w:spacing w:line="240" w:lineRule="auto"/>
              <w:jc w:val="center"/>
            </w:pPr>
            <w:r>
              <w:rPr>
                <w:rFonts w:hint="eastAsia" w:ascii="宋体" w:hAnsi="宋体" w:eastAsia="宋体"/>
                <w:color w:val="000000"/>
                <w:sz w:val="18"/>
              </w:rPr>
              <w:t>看麦娘、节节麦等禾本科杂草</w:t>
            </w:r>
          </w:p>
        </w:tc>
        <w:tc>
          <w:tcPr>
            <w:tcW w:w="1349" w:type="dxa"/>
            <w:tcBorders>
              <w:top w:val="nil"/>
              <w:left w:val="nil"/>
              <w:bottom w:val="single" w:color="000000" w:sz="6" w:space="0"/>
              <w:right w:val="single" w:color="000000" w:sz="6" w:space="0"/>
            </w:tcBorders>
            <w:vAlign w:val="center"/>
          </w:tcPr>
          <w:p w14:paraId="608BB99C">
            <w:pPr>
              <w:spacing w:line="240" w:lineRule="auto"/>
              <w:jc w:val="center"/>
            </w:pPr>
            <w:r>
              <w:rPr>
                <w:rFonts w:hint="eastAsia" w:ascii="宋体" w:hAnsi="宋体" w:eastAsia="宋体"/>
                <w:color w:val="000000"/>
                <w:sz w:val="18"/>
              </w:rPr>
              <w:t>禾本科杂草2～4叶期</w:t>
            </w:r>
          </w:p>
        </w:tc>
        <w:tc>
          <w:tcPr>
            <w:tcW w:w="2038" w:type="dxa"/>
            <w:tcBorders>
              <w:top w:val="nil"/>
              <w:left w:val="nil"/>
              <w:bottom w:val="single" w:color="000000" w:sz="6" w:space="0"/>
              <w:right w:val="single" w:color="000000" w:sz="6" w:space="0"/>
            </w:tcBorders>
            <w:vAlign w:val="center"/>
          </w:tcPr>
          <w:p w14:paraId="666BB56C">
            <w:pPr>
              <w:spacing w:line="240" w:lineRule="auto"/>
              <w:jc w:val="center"/>
            </w:pPr>
            <w:r>
              <w:rPr>
                <w:rFonts w:hint="eastAsia" w:ascii="宋体" w:hAnsi="宋体" w:eastAsia="宋体"/>
                <w:color w:val="000000"/>
                <w:sz w:val="18"/>
              </w:rPr>
              <w:t>36%禾草灵乳油</w:t>
            </w:r>
          </w:p>
        </w:tc>
        <w:tc>
          <w:tcPr>
            <w:tcW w:w="1394" w:type="dxa"/>
            <w:tcBorders>
              <w:top w:val="nil"/>
              <w:left w:val="nil"/>
              <w:bottom w:val="single" w:color="000000" w:sz="6" w:space="0"/>
              <w:right w:val="single" w:color="000000" w:sz="6" w:space="0"/>
            </w:tcBorders>
            <w:vAlign w:val="center"/>
          </w:tcPr>
          <w:p w14:paraId="3E660622">
            <w:pPr>
              <w:spacing w:line="240" w:lineRule="auto"/>
              <w:jc w:val="center"/>
            </w:pPr>
            <w:r>
              <w:rPr>
                <w:rFonts w:hint="eastAsia" w:ascii="宋体" w:hAnsi="宋体" w:eastAsia="宋体"/>
                <w:color w:val="000000"/>
                <w:sz w:val="18"/>
              </w:rPr>
              <w:t>180ml～200ml</w:t>
            </w:r>
          </w:p>
        </w:tc>
        <w:tc>
          <w:tcPr>
            <w:tcW w:w="873" w:type="dxa"/>
            <w:tcBorders>
              <w:top w:val="nil"/>
              <w:left w:val="nil"/>
              <w:bottom w:val="single" w:color="000000" w:sz="6" w:space="0"/>
              <w:right w:val="single" w:color="000000" w:sz="6" w:space="0"/>
            </w:tcBorders>
            <w:vAlign w:val="center"/>
          </w:tcPr>
          <w:p w14:paraId="536C91F0">
            <w:pPr>
              <w:spacing w:line="240" w:lineRule="auto"/>
              <w:jc w:val="center"/>
            </w:pPr>
            <w:r>
              <w:rPr>
                <w:rFonts w:hint="eastAsia" w:ascii="宋体" w:hAnsi="宋体" w:eastAsia="宋体"/>
                <w:color w:val="000000"/>
                <w:sz w:val="18"/>
              </w:rPr>
              <w:t>喷雾</w:t>
            </w:r>
          </w:p>
        </w:tc>
        <w:tc>
          <w:tcPr>
            <w:tcW w:w="1115" w:type="dxa"/>
            <w:tcBorders>
              <w:top w:val="nil"/>
              <w:left w:val="nil"/>
              <w:bottom w:val="single" w:color="000000" w:sz="6" w:space="0"/>
              <w:right w:val="single" w:color="000000" w:sz="6" w:space="0"/>
            </w:tcBorders>
            <w:vAlign w:val="center"/>
          </w:tcPr>
          <w:p w14:paraId="64D8937B">
            <w:pPr>
              <w:spacing w:line="240" w:lineRule="auto"/>
              <w:jc w:val="center"/>
            </w:pPr>
            <w:r>
              <w:rPr>
                <w:rFonts w:hint="eastAsia" w:ascii="宋体" w:hAnsi="宋体" w:eastAsia="宋体"/>
                <w:color w:val="000000"/>
                <w:sz w:val="18"/>
              </w:rPr>
              <w:t>30</w:t>
            </w:r>
          </w:p>
        </w:tc>
      </w:tr>
      <w:tr w14:paraId="03CFFA5D">
        <w:tblPrEx>
          <w:tblCellMar>
            <w:top w:w="0" w:type="dxa"/>
            <w:left w:w="108" w:type="dxa"/>
            <w:bottom w:w="0" w:type="dxa"/>
            <w:right w:w="108" w:type="dxa"/>
          </w:tblCellMar>
        </w:tblPrEx>
        <w:trPr>
          <w:jc w:val="center"/>
        </w:trPr>
        <w:tc>
          <w:tcPr>
            <w:tcW w:w="8522" w:type="dxa"/>
            <w:gridSpan w:val="6"/>
            <w:tcBorders>
              <w:top w:val="nil"/>
              <w:left w:val="single" w:color="000000" w:sz="6" w:space="0"/>
              <w:bottom w:val="single" w:color="000000" w:sz="6" w:space="0"/>
              <w:right w:val="single" w:color="000000" w:sz="6" w:space="0"/>
            </w:tcBorders>
            <w:vAlign w:val="center"/>
          </w:tcPr>
          <w:p w14:paraId="6ACDB7DC">
            <w:pPr>
              <w:spacing w:line="240" w:lineRule="auto"/>
              <w:jc w:val="both"/>
            </w:pPr>
            <w:r>
              <w:rPr>
                <w:rFonts w:hint="eastAsia" w:ascii="黑体" w:hAnsi="黑体" w:eastAsia="黑体"/>
                <w:color w:val="000000"/>
                <w:sz w:val="18"/>
              </w:rPr>
              <w:t>注：</w:t>
            </w:r>
            <w:r>
              <w:rPr>
                <w:rFonts w:hint="eastAsia" w:ascii="宋体" w:hAnsi="宋体" w:eastAsia="宋体"/>
                <w:color w:val="000000"/>
                <w:sz w:val="18"/>
              </w:rPr>
              <w:t>农药使用以最新版本NY/T 393的规定为准。</w:t>
            </w:r>
          </w:p>
        </w:tc>
      </w:tr>
    </w:tbl>
    <w:p w14:paraId="46C3AA02">
      <w:pPr>
        <w:pStyle w:val="22"/>
        <w:keepNext w:val="0"/>
        <w:keepLines w:val="0"/>
        <w:pageBreakBefore w:val="0"/>
        <w:kinsoku/>
        <w:wordWrap/>
        <w:overflowPunct/>
        <w:topLinePunct w:val="0"/>
        <w:bidi w:val="0"/>
        <w:spacing w:line="360" w:lineRule="auto"/>
        <w:textAlignment w:val="auto"/>
      </w:pPr>
    </w:p>
    <w:sectPr>
      <w:pgSz w:w="11906" w:h="16838"/>
      <w:pgMar w:top="567" w:right="1134" w:bottom="1134" w:left="1418" w:header="1418" w:footer="1134" w:gutter="0"/>
      <w:pgNumType w:start="1"/>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C6767">
    <w:pPr>
      <w:pStyle w:val="50"/>
    </w:pPr>
    <w:r>
      <w:fldChar w:fldCharType="begin"/>
    </w:r>
    <w:r>
      <w:instrText xml:space="preserve"> PAGE  \* MERGEFORMAT </w:instrText>
    </w:r>
    <w:r>
      <w:fldChar w:fldCharType="separate"/>
    </w:r>
    <w:r>
      <w:t>3</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B02ED">
    <w:pPr>
      <w:pStyle w:val="116"/>
    </w:pPr>
    <w:r>
      <w:t>DB/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106"/>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82"/>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70"/>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129"/>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123"/>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1"/>
        </w:tabs>
        <w:ind w:left="1174" w:hanging="630"/>
      </w:pPr>
      <w:rPr>
        <w:rFonts w:hint="eastAsia"/>
        <w:vertAlign w:val="baseline"/>
      </w:rPr>
    </w:lvl>
    <w:lvl w:ilvl="2" w:tentative="0">
      <w:start w:val="1"/>
      <w:numFmt w:val="lowerRoman"/>
      <w:lvlText w:val="%3."/>
      <w:lvlJc w:val="right"/>
      <w:pPr>
        <w:tabs>
          <w:tab w:val="left" w:pos="181"/>
        </w:tabs>
        <w:ind w:left="1174" w:hanging="630"/>
      </w:pPr>
      <w:rPr>
        <w:rFonts w:hint="eastAsia"/>
        <w:vertAlign w:val="baseline"/>
      </w:rPr>
    </w:lvl>
    <w:lvl w:ilvl="3" w:tentative="0">
      <w:start w:val="1"/>
      <w:numFmt w:val="decimal"/>
      <w:lvlText w:val="%4."/>
      <w:lvlJc w:val="left"/>
      <w:pPr>
        <w:tabs>
          <w:tab w:val="left" w:pos="181"/>
        </w:tabs>
        <w:ind w:left="1174" w:hanging="630"/>
      </w:pPr>
      <w:rPr>
        <w:rFonts w:hint="eastAsia"/>
        <w:vertAlign w:val="baseline"/>
      </w:rPr>
    </w:lvl>
    <w:lvl w:ilvl="4" w:tentative="0">
      <w:start w:val="1"/>
      <w:numFmt w:val="lowerLetter"/>
      <w:lvlText w:val="%5)"/>
      <w:lvlJc w:val="left"/>
      <w:pPr>
        <w:tabs>
          <w:tab w:val="left" w:pos="181"/>
        </w:tabs>
        <w:ind w:left="1174" w:hanging="630"/>
      </w:pPr>
      <w:rPr>
        <w:rFonts w:hint="eastAsia"/>
        <w:vertAlign w:val="baseline"/>
      </w:rPr>
    </w:lvl>
    <w:lvl w:ilvl="5" w:tentative="0">
      <w:start w:val="1"/>
      <w:numFmt w:val="lowerRoman"/>
      <w:lvlText w:val="%6."/>
      <w:lvlJc w:val="right"/>
      <w:pPr>
        <w:tabs>
          <w:tab w:val="left" w:pos="181"/>
        </w:tabs>
        <w:ind w:left="1174" w:hanging="630"/>
      </w:pPr>
      <w:rPr>
        <w:rFonts w:hint="eastAsia"/>
        <w:vertAlign w:val="baseline"/>
      </w:rPr>
    </w:lvl>
    <w:lvl w:ilvl="6" w:tentative="0">
      <w:start w:val="1"/>
      <w:numFmt w:val="decimal"/>
      <w:lvlText w:val="%7."/>
      <w:lvlJc w:val="left"/>
      <w:pPr>
        <w:tabs>
          <w:tab w:val="left" w:pos="181"/>
        </w:tabs>
        <w:ind w:left="1174" w:hanging="630"/>
      </w:pPr>
      <w:rPr>
        <w:rFonts w:hint="eastAsia"/>
        <w:vertAlign w:val="baseline"/>
      </w:rPr>
    </w:lvl>
    <w:lvl w:ilvl="7" w:tentative="0">
      <w:start w:val="1"/>
      <w:numFmt w:val="lowerLetter"/>
      <w:lvlText w:val="%8)"/>
      <w:lvlJc w:val="left"/>
      <w:pPr>
        <w:tabs>
          <w:tab w:val="left" w:pos="181"/>
        </w:tabs>
        <w:ind w:left="1174" w:hanging="630"/>
      </w:pPr>
      <w:rPr>
        <w:rFonts w:hint="eastAsia"/>
        <w:vertAlign w:val="baseline"/>
      </w:rPr>
    </w:lvl>
    <w:lvl w:ilvl="8" w:tentative="0">
      <w:start w:val="1"/>
      <w:numFmt w:val="lowerRoman"/>
      <w:lvlText w:val="%9."/>
      <w:lvlJc w:val="right"/>
      <w:pPr>
        <w:tabs>
          <w:tab w:val="left" w:pos="181"/>
        </w:tabs>
        <w:ind w:left="1174" w:hanging="630"/>
      </w:pPr>
      <w:rPr>
        <w:rFonts w:hint="eastAsia"/>
        <w:vertAlign w:val="baseline"/>
      </w:rPr>
    </w:lvl>
  </w:abstractNum>
  <w:abstractNum w:abstractNumId="5">
    <w:nsid w:val="1FC91163"/>
    <w:multiLevelType w:val="multilevel"/>
    <w:tmpl w:val="1FC91163"/>
    <w:lvl w:ilvl="0" w:tentative="0">
      <w:start w:val="1"/>
      <w:numFmt w:val="decimal"/>
      <w:pStyle w:val="47"/>
      <w:suff w:val="nothing"/>
      <w:lvlText w:val="%1　"/>
      <w:lvlJc w:val="left"/>
      <w:pPr>
        <w:ind w:left="0" w:firstLine="0"/>
      </w:pPr>
      <w:rPr>
        <w:rFonts w:hint="eastAsia" w:ascii="黑体" w:hAnsi="Times New Roman" w:eastAsia="黑体"/>
        <w:b w:val="0"/>
        <w:i w:val="0"/>
        <w:color w:val="auto"/>
        <w:sz w:val="21"/>
        <w:szCs w:val="21"/>
      </w:rPr>
    </w:lvl>
    <w:lvl w:ilvl="1" w:tentative="0">
      <w:start w:val="1"/>
      <w:numFmt w:val="decimal"/>
      <w:pStyle w:val="41"/>
      <w:suff w:val="nothing"/>
      <w:lvlText w:val="%1.%2　"/>
      <w:lvlJc w:val="left"/>
      <w:pPr>
        <w:ind w:left="1275"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40"/>
      <w:suff w:val="nothing"/>
      <w:lvlText w:val="%1.%2.%3　"/>
      <w:lvlJc w:val="left"/>
      <w:pPr>
        <w:ind w:left="993" w:firstLine="0"/>
      </w:pPr>
      <w:rPr>
        <w:rFonts w:hint="eastAsia" w:ascii="黑体" w:hAnsi="Times New Roman" w:eastAsia="黑体"/>
        <w:b w:val="0"/>
        <w:i w:val="0"/>
        <w:sz w:val="21"/>
      </w:rPr>
    </w:lvl>
    <w:lvl w:ilvl="3" w:tentative="0">
      <w:start w:val="1"/>
      <w:numFmt w:val="decimal"/>
      <w:pStyle w:val="39"/>
      <w:suff w:val="nothing"/>
      <w:lvlText w:val="%1.%2.%3.%4　"/>
      <w:lvlJc w:val="left"/>
      <w:pPr>
        <w:ind w:left="0" w:firstLine="0"/>
      </w:pPr>
      <w:rPr>
        <w:rFonts w:hint="eastAsia" w:ascii="黑体" w:hAnsi="Times New Roman" w:eastAsia="黑体"/>
        <w:b w:val="0"/>
        <w:i w:val="0"/>
        <w:sz w:val="21"/>
      </w:rPr>
    </w:lvl>
    <w:lvl w:ilvl="4" w:tentative="0">
      <w:start w:val="1"/>
      <w:numFmt w:val="decimal"/>
      <w:pStyle w:val="54"/>
      <w:suff w:val="nothing"/>
      <w:lvlText w:val="%1.%2.%3.%4.%5　"/>
      <w:lvlJc w:val="left"/>
      <w:pPr>
        <w:ind w:left="0" w:firstLine="0"/>
      </w:pPr>
      <w:rPr>
        <w:rFonts w:hint="eastAsia" w:ascii="黑体" w:hAnsi="Times New Roman" w:eastAsia="黑体"/>
        <w:b w:val="0"/>
        <w:i w:val="0"/>
        <w:sz w:val="21"/>
      </w:rPr>
    </w:lvl>
    <w:lvl w:ilvl="5" w:tentative="0">
      <w:start w:val="1"/>
      <w:numFmt w:val="decimal"/>
      <w:pStyle w:val="53"/>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0">
      <w:start w:val="1"/>
      <w:numFmt w:val="upperLetter"/>
      <w:pStyle w:val="108"/>
      <w:suff w:val="space"/>
      <w:lvlText w:val="%1"/>
      <w:lvlJc w:val="left"/>
      <w:pPr>
        <w:ind w:left="623" w:hanging="425"/>
      </w:pPr>
      <w:rPr>
        <w:rFonts w:hint="eastAsia"/>
      </w:rPr>
    </w:lvl>
    <w:lvl w:ilvl="1" w:tentative="0">
      <w:start w:val="1"/>
      <w:numFmt w:val="decimal"/>
      <w:pStyle w:val="94"/>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120"/>
      <w:suff w:val="nothing"/>
      <w:lvlText w:val="%1——"/>
      <w:lvlJc w:val="left"/>
      <w:pPr>
        <w:ind w:left="833" w:hanging="408"/>
      </w:pPr>
      <w:rPr>
        <w:rFonts w:hint="eastAsia"/>
      </w:rPr>
    </w:lvl>
    <w:lvl w:ilvl="1" w:tentative="0">
      <w:start w:val="1"/>
      <w:numFmt w:val="bullet"/>
      <w:pStyle w:val="107"/>
      <w:lvlText w:val=""/>
      <w:lvlJc w:val="left"/>
      <w:pPr>
        <w:tabs>
          <w:tab w:val="left" w:pos="760"/>
        </w:tabs>
        <w:ind w:left="1264" w:hanging="413"/>
      </w:pPr>
      <w:rPr>
        <w:rFonts w:hint="default" w:ascii="Symbol" w:hAnsi="Symbol"/>
        <w:color w:val="auto"/>
      </w:rPr>
    </w:lvl>
    <w:lvl w:ilvl="2" w:tentative="0">
      <w:start w:val="1"/>
      <w:numFmt w:val="bullet"/>
      <w:pStyle w:val="7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0">
      <w:start w:val="1"/>
      <w:numFmt w:val="decimal"/>
      <w:pStyle w:val="23"/>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0">
      <w:start w:val="1"/>
      <w:numFmt w:val="lowerLetter"/>
      <w:pStyle w:val="81"/>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122"/>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52"/>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0">
    <w:nsid w:val="4B733A5F"/>
    <w:multiLevelType w:val="multilevel"/>
    <w:tmpl w:val="4B733A5F"/>
    <w:lvl w:ilvl="0" w:tentative="0">
      <w:start w:val="1"/>
      <w:numFmt w:val="decimal"/>
      <w:pStyle w:val="46"/>
      <w:suff w:val="nothing"/>
      <w:lvlText w:val="示例%1："/>
      <w:lvlJc w:val="left"/>
      <w:pPr>
        <w:ind w:left="0" w:firstLine="363"/>
      </w:pPr>
      <w:rPr>
        <w:rFonts w:hint="eastAsia" w:ascii="黑体" w:eastAsia="黑体"/>
        <w:b w:val="0"/>
        <w:i w:val="0"/>
        <w:sz w:val="18"/>
        <w:szCs w:val="18"/>
        <w:vertAlign w:val="baseline"/>
      </w:rPr>
    </w:lvl>
    <w:lvl w:ilvl="1" w:tentative="0">
      <w:start w:val="1"/>
      <w:numFmt w:val="lowerLetter"/>
      <w:lvlText w:val="%2)"/>
      <w:lvlJc w:val="left"/>
      <w:pPr>
        <w:ind w:left="0" w:firstLine="0"/>
      </w:pPr>
      <w:rPr>
        <w:rFonts w:hint="eastAsia"/>
        <w:vertAlign w:val="baseline"/>
      </w:rPr>
    </w:lvl>
    <w:lvl w:ilvl="2" w:tentative="0">
      <w:start w:val="1"/>
      <w:numFmt w:val="lowerRoman"/>
      <w:lvlText w:val="%3."/>
      <w:lvlJc w:val="right"/>
      <w:pPr>
        <w:ind w:left="839" w:hanging="442"/>
      </w:pPr>
      <w:rPr>
        <w:rFonts w:hint="eastAsia"/>
        <w:vertAlign w:val="baseline"/>
      </w:rPr>
    </w:lvl>
    <w:lvl w:ilvl="3" w:tentative="0">
      <w:start w:val="1"/>
      <w:numFmt w:val="decimal"/>
      <w:lvlText w:val="%4."/>
      <w:lvlJc w:val="left"/>
      <w:pPr>
        <w:ind w:left="839" w:hanging="442"/>
      </w:pPr>
      <w:rPr>
        <w:rFonts w:hint="eastAsia"/>
        <w:vertAlign w:val="baseline"/>
      </w:rPr>
    </w:lvl>
    <w:lvl w:ilvl="4" w:tentative="0">
      <w:start w:val="1"/>
      <w:numFmt w:val="lowerLetter"/>
      <w:lvlText w:val="%5)"/>
      <w:lvlJc w:val="left"/>
      <w:pPr>
        <w:ind w:left="839" w:hanging="442"/>
      </w:pPr>
      <w:rPr>
        <w:rFonts w:hint="eastAsia"/>
        <w:vertAlign w:val="baseline"/>
      </w:rPr>
    </w:lvl>
    <w:lvl w:ilvl="5" w:tentative="0">
      <w:start w:val="1"/>
      <w:numFmt w:val="lowerRoman"/>
      <w:lvlText w:val="%6."/>
      <w:lvlJc w:val="right"/>
      <w:pPr>
        <w:ind w:left="839" w:hanging="442"/>
      </w:pPr>
      <w:rPr>
        <w:rFonts w:hint="eastAsia"/>
        <w:vertAlign w:val="baseline"/>
      </w:rPr>
    </w:lvl>
    <w:lvl w:ilvl="6" w:tentative="0">
      <w:start w:val="1"/>
      <w:numFmt w:val="decimal"/>
      <w:lvlText w:val="%7."/>
      <w:lvlJc w:val="left"/>
      <w:pPr>
        <w:ind w:left="839" w:hanging="442"/>
      </w:pPr>
      <w:rPr>
        <w:rFonts w:hint="eastAsia"/>
        <w:vertAlign w:val="baseline"/>
      </w:rPr>
    </w:lvl>
    <w:lvl w:ilvl="7" w:tentative="0">
      <w:start w:val="1"/>
      <w:numFmt w:val="lowerLetter"/>
      <w:lvlText w:val="%8)"/>
      <w:lvlJc w:val="left"/>
      <w:pPr>
        <w:ind w:left="839" w:hanging="442"/>
      </w:pPr>
      <w:rPr>
        <w:rFonts w:hint="eastAsia"/>
        <w:vertAlign w:val="baseline"/>
      </w:rPr>
    </w:lvl>
    <w:lvl w:ilvl="8" w:tentative="0">
      <w:start w:val="1"/>
      <w:numFmt w:val="lowerRoman"/>
      <w:lvlText w:val="%9."/>
      <w:lvlJc w:val="right"/>
      <w:pPr>
        <w:ind w:left="839" w:hanging="442"/>
      </w:pPr>
      <w:rPr>
        <w:rFonts w:hint="eastAsia"/>
        <w:vertAlign w:val="baseline"/>
      </w:rPr>
    </w:lvl>
  </w:abstractNum>
  <w:abstractNum w:abstractNumId="11">
    <w:nsid w:val="557C2AF5"/>
    <w:multiLevelType w:val="multilevel"/>
    <w:tmpl w:val="557C2AF5"/>
    <w:lvl w:ilvl="0" w:tentative="0">
      <w:start w:val="1"/>
      <w:numFmt w:val="decimal"/>
      <w:pStyle w:val="7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60B55DC2"/>
    <w:multiLevelType w:val="multilevel"/>
    <w:tmpl w:val="60B55DC2"/>
    <w:lvl w:ilvl="0" w:tentative="0">
      <w:start w:val="1"/>
      <w:numFmt w:val="upperLetter"/>
      <w:pStyle w:val="100"/>
      <w:lvlText w:val="%1"/>
      <w:lvlJc w:val="left"/>
      <w:pPr>
        <w:tabs>
          <w:tab w:val="left" w:pos="0"/>
        </w:tabs>
        <w:ind w:left="0" w:hanging="425"/>
      </w:pPr>
      <w:rPr>
        <w:rFonts w:hint="eastAsia"/>
      </w:rPr>
    </w:lvl>
    <w:lvl w:ilvl="1" w:tentative="0">
      <w:start w:val="1"/>
      <w:numFmt w:val="decimal"/>
      <w:pStyle w:val="90"/>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3">
    <w:nsid w:val="646260FA"/>
    <w:multiLevelType w:val="multilevel"/>
    <w:tmpl w:val="646260FA"/>
    <w:lvl w:ilvl="0" w:tentative="0">
      <w:start w:val="1"/>
      <w:numFmt w:val="decimal"/>
      <w:pStyle w:val="85"/>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57D3FBC"/>
    <w:multiLevelType w:val="multilevel"/>
    <w:tmpl w:val="657D3FBC"/>
    <w:lvl w:ilvl="0" w:tentative="0">
      <w:start w:val="1"/>
      <w:numFmt w:val="upperLetter"/>
      <w:pStyle w:val="111"/>
      <w:suff w:val="nothing"/>
      <w:lvlText w:val="附　录　%1"/>
      <w:lvlJc w:val="left"/>
      <w:pPr>
        <w:ind w:left="3675" w:firstLine="0"/>
      </w:pPr>
      <w:rPr>
        <w:rFonts w:hint="eastAsia" w:ascii="黑体" w:hAnsi="Times New Roman" w:eastAsia="黑体"/>
        <w:b w:val="0"/>
        <w:i w:val="0"/>
        <w:spacing w:val="0"/>
        <w:w w:val="100"/>
        <w:sz w:val="21"/>
      </w:rPr>
    </w:lvl>
    <w:lvl w:ilvl="1" w:tentative="0">
      <w:start w:val="1"/>
      <w:numFmt w:val="decimal"/>
      <w:pStyle w:val="56"/>
      <w:suff w:val="nothing"/>
      <w:lvlText w:val="%1.%2　"/>
      <w:lvlJc w:val="left"/>
      <w:pPr>
        <w:ind w:left="3675" w:firstLine="0"/>
      </w:pPr>
      <w:rPr>
        <w:rFonts w:hint="eastAsia" w:ascii="黑体" w:hAnsi="Times New Roman" w:eastAsia="黑体"/>
        <w:b w:val="0"/>
        <w:i w:val="0"/>
        <w:snapToGrid/>
        <w:spacing w:val="0"/>
        <w:w w:val="100"/>
        <w:kern w:val="21"/>
        <w:sz w:val="21"/>
      </w:rPr>
    </w:lvl>
    <w:lvl w:ilvl="2" w:tentative="0">
      <w:start w:val="1"/>
      <w:numFmt w:val="decimal"/>
      <w:pStyle w:val="55"/>
      <w:suff w:val="nothing"/>
      <w:lvlText w:val="%1.%2.%3　"/>
      <w:lvlJc w:val="left"/>
      <w:pPr>
        <w:ind w:left="3675" w:firstLine="0"/>
      </w:pPr>
      <w:rPr>
        <w:rFonts w:hint="eastAsia" w:ascii="黑体" w:hAnsi="Times New Roman" w:eastAsia="黑体"/>
        <w:b w:val="0"/>
        <w:i w:val="0"/>
        <w:sz w:val="21"/>
      </w:rPr>
    </w:lvl>
    <w:lvl w:ilvl="3" w:tentative="0">
      <w:start w:val="1"/>
      <w:numFmt w:val="decimal"/>
      <w:pStyle w:val="42"/>
      <w:suff w:val="nothing"/>
      <w:lvlText w:val="%1.%2.%3.%4　"/>
      <w:lvlJc w:val="left"/>
      <w:pPr>
        <w:ind w:left="3675" w:firstLine="0"/>
      </w:pPr>
      <w:rPr>
        <w:rFonts w:hint="eastAsia" w:ascii="黑体" w:hAnsi="Times New Roman" w:eastAsia="黑体"/>
        <w:b w:val="0"/>
        <w:i w:val="0"/>
        <w:sz w:val="21"/>
      </w:rPr>
    </w:lvl>
    <w:lvl w:ilvl="4" w:tentative="0">
      <w:start w:val="1"/>
      <w:numFmt w:val="decimal"/>
      <w:pStyle w:val="45"/>
      <w:suff w:val="nothing"/>
      <w:lvlText w:val="%1.%2.%3.%4.%5　"/>
      <w:lvlJc w:val="left"/>
      <w:pPr>
        <w:ind w:left="3675" w:firstLine="0"/>
      </w:pPr>
      <w:rPr>
        <w:rFonts w:hint="eastAsia" w:ascii="黑体" w:hAnsi="Times New Roman" w:eastAsia="黑体"/>
        <w:b w:val="0"/>
        <w:i w:val="0"/>
        <w:sz w:val="21"/>
      </w:rPr>
    </w:lvl>
    <w:lvl w:ilvl="5" w:tentative="0">
      <w:start w:val="1"/>
      <w:numFmt w:val="decimal"/>
      <w:pStyle w:val="44"/>
      <w:suff w:val="nothing"/>
      <w:lvlText w:val="%1.%2.%3.%4.%5.%6　"/>
      <w:lvlJc w:val="left"/>
      <w:pPr>
        <w:ind w:left="3675" w:firstLine="0"/>
      </w:pPr>
      <w:rPr>
        <w:rFonts w:hint="eastAsia" w:ascii="黑体" w:hAnsi="Times New Roman" w:eastAsia="黑体"/>
        <w:b w:val="0"/>
        <w:i w:val="0"/>
        <w:sz w:val="21"/>
      </w:rPr>
    </w:lvl>
    <w:lvl w:ilvl="6" w:tentative="0">
      <w:start w:val="1"/>
      <w:numFmt w:val="decimal"/>
      <w:pStyle w:val="65"/>
      <w:suff w:val="nothing"/>
      <w:lvlText w:val="%1.%2.%3.%4.%5.%6.%7　"/>
      <w:lvlJc w:val="left"/>
      <w:pPr>
        <w:ind w:left="3675" w:firstLine="0"/>
      </w:pPr>
      <w:rPr>
        <w:rFonts w:hint="eastAsia" w:ascii="黑体" w:hAnsi="Times New Roman" w:eastAsia="黑体"/>
        <w:b w:val="0"/>
        <w:i w:val="0"/>
        <w:sz w:val="21"/>
      </w:rPr>
    </w:lvl>
    <w:lvl w:ilvl="7" w:tentative="0">
      <w:start w:val="1"/>
      <w:numFmt w:val="decimal"/>
      <w:lvlText w:val="%1.%2.%3.%4.%5.%6.%7.%8"/>
      <w:lvlJc w:val="left"/>
      <w:pPr>
        <w:tabs>
          <w:tab w:val="left" w:pos="8069"/>
        </w:tabs>
        <w:ind w:left="8069" w:hanging="1418"/>
      </w:pPr>
      <w:rPr>
        <w:rFonts w:hint="eastAsia"/>
      </w:rPr>
    </w:lvl>
    <w:lvl w:ilvl="8" w:tentative="0">
      <w:start w:val="1"/>
      <w:numFmt w:val="decimal"/>
      <w:lvlText w:val="%1.%2.%3.%4.%5.%6.%7.%8.%9"/>
      <w:lvlJc w:val="left"/>
      <w:pPr>
        <w:tabs>
          <w:tab w:val="left" w:pos="8777"/>
        </w:tabs>
        <w:ind w:left="8777" w:hanging="1700"/>
      </w:pPr>
      <w:rPr>
        <w:rFonts w:hint="eastAsia"/>
      </w:rPr>
    </w:lvl>
  </w:abstractNum>
  <w:abstractNum w:abstractNumId="15">
    <w:nsid w:val="6D6C07CD"/>
    <w:multiLevelType w:val="multilevel"/>
    <w:tmpl w:val="6D6C07CD"/>
    <w:lvl w:ilvl="0" w:tentative="0">
      <w:start w:val="1"/>
      <w:numFmt w:val="lowerLetter"/>
      <w:pStyle w:val="72"/>
      <w:lvlText w:val="%1)"/>
      <w:lvlJc w:val="left"/>
      <w:pPr>
        <w:tabs>
          <w:tab w:val="left" w:pos="839"/>
        </w:tabs>
        <w:ind w:left="839" w:hanging="419"/>
      </w:pPr>
      <w:rPr>
        <w:rFonts w:hint="eastAsia" w:ascii="宋体" w:eastAsia="宋体"/>
        <w:b w:val="0"/>
        <w:i w:val="0"/>
        <w:sz w:val="21"/>
      </w:rPr>
    </w:lvl>
    <w:lvl w:ilvl="1" w:tentative="0">
      <w:start w:val="1"/>
      <w:numFmt w:val="decimal"/>
      <w:pStyle w:val="38"/>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6">
    <w:nsid w:val="6DBF04F4"/>
    <w:multiLevelType w:val="multilevel"/>
    <w:tmpl w:val="6DBF04F4"/>
    <w:lvl w:ilvl="0" w:tentative="0">
      <w:start w:val="1"/>
      <w:numFmt w:val="none"/>
      <w:pStyle w:val="78"/>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8"/>
  </w:num>
  <w:num w:numId="2">
    <w:abstractNumId w:val="15"/>
  </w:num>
  <w:num w:numId="3">
    <w:abstractNumId w:val="5"/>
  </w:num>
  <w:num w:numId="4">
    <w:abstractNumId w:val="14"/>
  </w:num>
  <w:num w:numId="5">
    <w:abstractNumId w:val="10"/>
  </w:num>
  <w:num w:numId="6">
    <w:abstractNumId w:val="9"/>
  </w:num>
  <w:num w:numId="7">
    <w:abstractNumId w:val="2"/>
  </w:num>
  <w:num w:numId="8">
    <w:abstractNumId w:val="7"/>
  </w:num>
  <w:num w:numId="9">
    <w:abstractNumId w:val="11"/>
  </w:num>
  <w:num w:numId="10">
    <w:abstractNumId w:val="16"/>
  </w:num>
  <w:num w:numId="11">
    <w:abstractNumId w:val="1"/>
  </w:num>
  <w:num w:numId="12">
    <w:abstractNumId w:val="13"/>
  </w:num>
  <w:num w:numId="13">
    <w:abstractNumId w:val="12"/>
  </w:num>
  <w:num w:numId="14">
    <w:abstractNumId w:val="6"/>
  </w:num>
  <w:num w:numId="15">
    <w:abstractNumId w:val="0"/>
  </w:num>
  <w:num w:numId="16">
    <w:abstractNumId w:val="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dit="forms" w:enforcement="1"/>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BiNGJkNGYzYmM1ZWQxMzkwZjEwMWY1MjczYWJiMzQifQ=="/>
  </w:docVars>
  <w:rsids>
    <w:rsidRoot w:val="00035925"/>
    <w:rsid w:val="00000244"/>
    <w:rsid w:val="0000185F"/>
    <w:rsid w:val="000039A3"/>
    <w:rsid w:val="0000586F"/>
    <w:rsid w:val="000065A7"/>
    <w:rsid w:val="00011916"/>
    <w:rsid w:val="0001304E"/>
    <w:rsid w:val="00013D86"/>
    <w:rsid w:val="00013E02"/>
    <w:rsid w:val="00014F3A"/>
    <w:rsid w:val="00016379"/>
    <w:rsid w:val="0002143C"/>
    <w:rsid w:val="0002549C"/>
    <w:rsid w:val="00025A65"/>
    <w:rsid w:val="00026C31"/>
    <w:rsid w:val="00027280"/>
    <w:rsid w:val="000279D3"/>
    <w:rsid w:val="00030FEC"/>
    <w:rsid w:val="00031C7E"/>
    <w:rsid w:val="000320A7"/>
    <w:rsid w:val="000330B0"/>
    <w:rsid w:val="00035925"/>
    <w:rsid w:val="00037164"/>
    <w:rsid w:val="00042F79"/>
    <w:rsid w:val="00046DEF"/>
    <w:rsid w:val="00047B77"/>
    <w:rsid w:val="00053CF7"/>
    <w:rsid w:val="00064692"/>
    <w:rsid w:val="00065741"/>
    <w:rsid w:val="00067CDF"/>
    <w:rsid w:val="00067D1F"/>
    <w:rsid w:val="00074FBE"/>
    <w:rsid w:val="000757A2"/>
    <w:rsid w:val="000777CB"/>
    <w:rsid w:val="00080021"/>
    <w:rsid w:val="00083564"/>
    <w:rsid w:val="00083A09"/>
    <w:rsid w:val="00084CAD"/>
    <w:rsid w:val="00085C3A"/>
    <w:rsid w:val="00086590"/>
    <w:rsid w:val="0009005E"/>
    <w:rsid w:val="00092857"/>
    <w:rsid w:val="000A20A9"/>
    <w:rsid w:val="000A48B1"/>
    <w:rsid w:val="000A7E83"/>
    <w:rsid w:val="000B154B"/>
    <w:rsid w:val="000B3143"/>
    <w:rsid w:val="000C033F"/>
    <w:rsid w:val="000C4C62"/>
    <w:rsid w:val="000C6B05"/>
    <w:rsid w:val="000C6DD6"/>
    <w:rsid w:val="000C73D4"/>
    <w:rsid w:val="000D0084"/>
    <w:rsid w:val="000D02A2"/>
    <w:rsid w:val="000D3409"/>
    <w:rsid w:val="000D34D1"/>
    <w:rsid w:val="000D3D4C"/>
    <w:rsid w:val="000D4F51"/>
    <w:rsid w:val="000D60B5"/>
    <w:rsid w:val="000D718B"/>
    <w:rsid w:val="000D7A0A"/>
    <w:rsid w:val="000E0C46"/>
    <w:rsid w:val="000E4321"/>
    <w:rsid w:val="000E47BB"/>
    <w:rsid w:val="000E77B4"/>
    <w:rsid w:val="000F030C"/>
    <w:rsid w:val="000F129C"/>
    <w:rsid w:val="000F45CF"/>
    <w:rsid w:val="000F7252"/>
    <w:rsid w:val="001029DC"/>
    <w:rsid w:val="001056DE"/>
    <w:rsid w:val="00110D51"/>
    <w:rsid w:val="001124C0"/>
    <w:rsid w:val="001147BA"/>
    <w:rsid w:val="00115B45"/>
    <w:rsid w:val="00116B5D"/>
    <w:rsid w:val="001223AA"/>
    <w:rsid w:val="001228A1"/>
    <w:rsid w:val="00123488"/>
    <w:rsid w:val="001245DA"/>
    <w:rsid w:val="0013175F"/>
    <w:rsid w:val="00135B86"/>
    <w:rsid w:val="00136D6D"/>
    <w:rsid w:val="00143B72"/>
    <w:rsid w:val="001506BF"/>
    <w:rsid w:val="00151142"/>
    <w:rsid w:val="001512B4"/>
    <w:rsid w:val="0015204A"/>
    <w:rsid w:val="0015449B"/>
    <w:rsid w:val="00155B88"/>
    <w:rsid w:val="001620A5"/>
    <w:rsid w:val="00164E53"/>
    <w:rsid w:val="0016538C"/>
    <w:rsid w:val="0016699D"/>
    <w:rsid w:val="00172539"/>
    <w:rsid w:val="001731C7"/>
    <w:rsid w:val="00175159"/>
    <w:rsid w:val="00176208"/>
    <w:rsid w:val="00176464"/>
    <w:rsid w:val="0018211B"/>
    <w:rsid w:val="001840D3"/>
    <w:rsid w:val="00184DEC"/>
    <w:rsid w:val="001878C7"/>
    <w:rsid w:val="00187952"/>
    <w:rsid w:val="00187A6C"/>
    <w:rsid w:val="001900F8"/>
    <w:rsid w:val="00191258"/>
    <w:rsid w:val="00192680"/>
    <w:rsid w:val="00193037"/>
    <w:rsid w:val="0019340C"/>
    <w:rsid w:val="00193A2C"/>
    <w:rsid w:val="001A288E"/>
    <w:rsid w:val="001A47D2"/>
    <w:rsid w:val="001B1413"/>
    <w:rsid w:val="001B1F80"/>
    <w:rsid w:val="001B26BE"/>
    <w:rsid w:val="001B49C8"/>
    <w:rsid w:val="001B63E0"/>
    <w:rsid w:val="001B63FD"/>
    <w:rsid w:val="001B6DC2"/>
    <w:rsid w:val="001B7A6E"/>
    <w:rsid w:val="001C149C"/>
    <w:rsid w:val="001C21AC"/>
    <w:rsid w:val="001C35F7"/>
    <w:rsid w:val="001C47BA"/>
    <w:rsid w:val="001C59EA"/>
    <w:rsid w:val="001C5D4C"/>
    <w:rsid w:val="001C62A7"/>
    <w:rsid w:val="001D406C"/>
    <w:rsid w:val="001D41EE"/>
    <w:rsid w:val="001D74BA"/>
    <w:rsid w:val="001E0380"/>
    <w:rsid w:val="001E13B1"/>
    <w:rsid w:val="001F1B7C"/>
    <w:rsid w:val="001F3A19"/>
    <w:rsid w:val="001F74C0"/>
    <w:rsid w:val="00203620"/>
    <w:rsid w:val="00205C44"/>
    <w:rsid w:val="00215C5F"/>
    <w:rsid w:val="002176B0"/>
    <w:rsid w:val="00223773"/>
    <w:rsid w:val="00224DDC"/>
    <w:rsid w:val="00233D80"/>
    <w:rsid w:val="0023434B"/>
    <w:rsid w:val="00234467"/>
    <w:rsid w:val="00237D8D"/>
    <w:rsid w:val="00241DA2"/>
    <w:rsid w:val="00246BD9"/>
    <w:rsid w:val="00247FEE"/>
    <w:rsid w:val="00250E7D"/>
    <w:rsid w:val="002565D5"/>
    <w:rsid w:val="002622C0"/>
    <w:rsid w:val="00264802"/>
    <w:rsid w:val="00265C90"/>
    <w:rsid w:val="002724E0"/>
    <w:rsid w:val="002740DA"/>
    <w:rsid w:val="002778AE"/>
    <w:rsid w:val="002804CD"/>
    <w:rsid w:val="00281C32"/>
    <w:rsid w:val="00281EB8"/>
    <w:rsid w:val="00281FF3"/>
    <w:rsid w:val="0028267D"/>
    <w:rsid w:val="0028269A"/>
    <w:rsid w:val="002832BD"/>
    <w:rsid w:val="00283590"/>
    <w:rsid w:val="00286973"/>
    <w:rsid w:val="00290AA9"/>
    <w:rsid w:val="00293BCE"/>
    <w:rsid w:val="002940C3"/>
    <w:rsid w:val="002949D6"/>
    <w:rsid w:val="00294E70"/>
    <w:rsid w:val="00295F83"/>
    <w:rsid w:val="002A17EE"/>
    <w:rsid w:val="002A183A"/>
    <w:rsid w:val="002A1924"/>
    <w:rsid w:val="002A7420"/>
    <w:rsid w:val="002B0624"/>
    <w:rsid w:val="002B0F12"/>
    <w:rsid w:val="002B1308"/>
    <w:rsid w:val="002B4554"/>
    <w:rsid w:val="002B7B7E"/>
    <w:rsid w:val="002C1B7D"/>
    <w:rsid w:val="002C26B9"/>
    <w:rsid w:val="002C349D"/>
    <w:rsid w:val="002C60E2"/>
    <w:rsid w:val="002C6765"/>
    <w:rsid w:val="002C72D8"/>
    <w:rsid w:val="002D11FA"/>
    <w:rsid w:val="002D51CE"/>
    <w:rsid w:val="002D5F68"/>
    <w:rsid w:val="002E0DDF"/>
    <w:rsid w:val="002E0EF0"/>
    <w:rsid w:val="002E0FCB"/>
    <w:rsid w:val="002E2906"/>
    <w:rsid w:val="002E5635"/>
    <w:rsid w:val="002E64C3"/>
    <w:rsid w:val="002E6A2C"/>
    <w:rsid w:val="002F1D8C"/>
    <w:rsid w:val="002F21DA"/>
    <w:rsid w:val="002F5A7F"/>
    <w:rsid w:val="002F5C95"/>
    <w:rsid w:val="002F6BDB"/>
    <w:rsid w:val="00301D51"/>
    <w:rsid w:val="00301F39"/>
    <w:rsid w:val="00303CE0"/>
    <w:rsid w:val="00305E17"/>
    <w:rsid w:val="003068AF"/>
    <w:rsid w:val="00307E5F"/>
    <w:rsid w:val="0031629B"/>
    <w:rsid w:val="00316545"/>
    <w:rsid w:val="00321A74"/>
    <w:rsid w:val="00322291"/>
    <w:rsid w:val="00322EFF"/>
    <w:rsid w:val="00325926"/>
    <w:rsid w:val="00327A8A"/>
    <w:rsid w:val="00336610"/>
    <w:rsid w:val="00343A66"/>
    <w:rsid w:val="00343AD2"/>
    <w:rsid w:val="00343F73"/>
    <w:rsid w:val="00345060"/>
    <w:rsid w:val="003456E9"/>
    <w:rsid w:val="003505D6"/>
    <w:rsid w:val="00351B0C"/>
    <w:rsid w:val="0035202F"/>
    <w:rsid w:val="00352C6A"/>
    <w:rsid w:val="0035323B"/>
    <w:rsid w:val="00356050"/>
    <w:rsid w:val="003609D2"/>
    <w:rsid w:val="00361D1E"/>
    <w:rsid w:val="00363232"/>
    <w:rsid w:val="00363F22"/>
    <w:rsid w:val="0036506C"/>
    <w:rsid w:val="0036597B"/>
    <w:rsid w:val="0037025C"/>
    <w:rsid w:val="0037275A"/>
    <w:rsid w:val="00375564"/>
    <w:rsid w:val="00376403"/>
    <w:rsid w:val="003772D4"/>
    <w:rsid w:val="00383191"/>
    <w:rsid w:val="003847D8"/>
    <w:rsid w:val="00386DED"/>
    <w:rsid w:val="00386F28"/>
    <w:rsid w:val="003912E7"/>
    <w:rsid w:val="003913B4"/>
    <w:rsid w:val="003920F9"/>
    <w:rsid w:val="00392366"/>
    <w:rsid w:val="003924C7"/>
    <w:rsid w:val="00393947"/>
    <w:rsid w:val="003A2275"/>
    <w:rsid w:val="003A2EB1"/>
    <w:rsid w:val="003A6A4F"/>
    <w:rsid w:val="003A7088"/>
    <w:rsid w:val="003A79F5"/>
    <w:rsid w:val="003B00DF"/>
    <w:rsid w:val="003B1275"/>
    <w:rsid w:val="003B1778"/>
    <w:rsid w:val="003B6370"/>
    <w:rsid w:val="003B7CB5"/>
    <w:rsid w:val="003C11CB"/>
    <w:rsid w:val="003C1F9D"/>
    <w:rsid w:val="003C759D"/>
    <w:rsid w:val="003C75F3"/>
    <w:rsid w:val="003C78A3"/>
    <w:rsid w:val="003D0194"/>
    <w:rsid w:val="003D1B4C"/>
    <w:rsid w:val="003D2160"/>
    <w:rsid w:val="003E1867"/>
    <w:rsid w:val="003E5729"/>
    <w:rsid w:val="003E7494"/>
    <w:rsid w:val="003F21AC"/>
    <w:rsid w:val="003F4EE0"/>
    <w:rsid w:val="00402153"/>
    <w:rsid w:val="00402AA8"/>
    <w:rsid w:val="00402FC1"/>
    <w:rsid w:val="00404613"/>
    <w:rsid w:val="0041155D"/>
    <w:rsid w:val="004202C3"/>
    <w:rsid w:val="00425082"/>
    <w:rsid w:val="00431DEB"/>
    <w:rsid w:val="0043472C"/>
    <w:rsid w:val="00436126"/>
    <w:rsid w:val="00442CCC"/>
    <w:rsid w:val="0044351A"/>
    <w:rsid w:val="00445719"/>
    <w:rsid w:val="00446B29"/>
    <w:rsid w:val="00450695"/>
    <w:rsid w:val="00451346"/>
    <w:rsid w:val="00453F9A"/>
    <w:rsid w:val="004572D4"/>
    <w:rsid w:val="00460DE8"/>
    <w:rsid w:val="00464CB4"/>
    <w:rsid w:val="00464DB4"/>
    <w:rsid w:val="004706BD"/>
    <w:rsid w:val="00471E91"/>
    <w:rsid w:val="00474675"/>
    <w:rsid w:val="0047470C"/>
    <w:rsid w:val="0047733C"/>
    <w:rsid w:val="00480D4E"/>
    <w:rsid w:val="00483D35"/>
    <w:rsid w:val="00484293"/>
    <w:rsid w:val="00484454"/>
    <w:rsid w:val="00484929"/>
    <w:rsid w:val="00484E6D"/>
    <w:rsid w:val="00494281"/>
    <w:rsid w:val="004A027A"/>
    <w:rsid w:val="004A1F8E"/>
    <w:rsid w:val="004A35F9"/>
    <w:rsid w:val="004B0CEA"/>
    <w:rsid w:val="004B24C1"/>
    <w:rsid w:val="004B31A7"/>
    <w:rsid w:val="004B37B5"/>
    <w:rsid w:val="004B4480"/>
    <w:rsid w:val="004B5AF3"/>
    <w:rsid w:val="004C0F9F"/>
    <w:rsid w:val="004C1BAE"/>
    <w:rsid w:val="004C292F"/>
    <w:rsid w:val="004C4F96"/>
    <w:rsid w:val="004D111E"/>
    <w:rsid w:val="004D2580"/>
    <w:rsid w:val="004D4CC4"/>
    <w:rsid w:val="004D79A3"/>
    <w:rsid w:val="004F1633"/>
    <w:rsid w:val="004F3AB5"/>
    <w:rsid w:val="004F5D3B"/>
    <w:rsid w:val="00506BF9"/>
    <w:rsid w:val="00510280"/>
    <w:rsid w:val="005105E9"/>
    <w:rsid w:val="00513D73"/>
    <w:rsid w:val="00514A43"/>
    <w:rsid w:val="005153FB"/>
    <w:rsid w:val="00516E01"/>
    <w:rsid w:val="005174E5"/>
    <w:rsid w:val="00522393"/>
    <w:rsid w:val="00522620"/>
    <w:rsid w:val="005232CB"/>
    <w:rsid w:val="00525656"/>
    <w:rsid w:val="00526A62"/>
    <w:rsid w:val="00534C02"/>
    <w:rsid w:val="0053599C"/>
    <w:rsid w:val="005365D8"/>
    <w:rsid w:val="00537B8F"/>
    <w:rsid w:val="00540B75"/>
    <w:rsid w:val="00542213"/>
    <w:rsid w:val="0054264B"/>
    <w:rsid w:val="00543786"/>
    <w:rsid w:val="00543B8F"/>
    <w:rsid w:val="005533D7"/>
    <w:rsid w:val="00555C96"/>
    <w:rsid w:val="00555FEE"/>
    <w:rsid w:val="00560780"/>
    <w:rsid w:val="005664CD"/>
    <w:rsid w:val="0056711D"/>
    <w:rsid w:val="005703DE"/>
    <w:rsid w:val="00574A3C"/>
    <w:rsid w:val="0057540A"/>
    <w:rsid w:val="0058464E"/>
    <w:rsid w:val="00592656"/>
    <w:rsid w:val="0059536A"/>
    <w:rsid w:val="0059780C"/>
    <w:rsid w:val="005A01CB"/>
    <w:rsid w:val="005A4785"/>
    <w:rsid w:val="005A58FF"/>
    <w:rsid w:val="005A5EAF"/>
    <w:rsid w:val="005A64C0"/>
    <w:rsid w:val="005B1024"/>
    <w:rsid w:val="005B36C7"/>
    <w:rsid w:val="005B3C11"/>
    <w:rsid w:val="005B3FAC"/>
    <w:rsid w:val="005C00A6"/>
    <w:rsid w:val="005C1C28"/>
    <w:rsid w:val="005C3A5E"/>
    <w:rsid w:val="005C653D"/>
    <w:rsid w:val="005C6DB5"/>
    <w:rsid w:val="005D0792"/>
    <w:rsid w:val="005D6F76"/>
    <w:rsid w:val="005E19E7"/>
    <w:rsid w:val="005E290D"/>
    <w:rsid w:val="005E2EEB"/>
    <w:rsid w:val="0060585C"/>
    <w:rsid w:val="00606CD3"/>
    <w:rsid w:val="0061068D"/>
    <w:rsid w:val="00613DB1"/>
    <w:rsid w:val="00613F96"/>
    <w:rsid w:val="0061716C"/>
    <w:rsid w:val="00620680"/>
    <w:rsid w:val="00620ABF"/>
    <w:rsid w:val="006243A1"/>
    <w:rsid w:val="00630638"/>
    <w:rsid w:val="00632E56"/>
    <w:rsid w:val="00633003"/>
    <w:rsid w:val="00635B77"/>
    <w:rsid w:val="00635CBA"/>
    <w:rsid w:val="00637905"/>
    <w:rsid w:val="0064338B"/>
    <w:rsid w:val="0064511D"/>
    <w:rsid w:val="00646542"/>
    <w:rsid w:val="006504F4"/>
    <w:rsid w:val="0065066E"/>
    <w:rsid w:val="00653323"/>
    <w:rsid w:val="00654BC9"/>
    <w:rsid w:val="006552FD"/>
    <w:rsid w:val="00657820"/>
    <w:rsid w:val="00657EDB"/>
    <w:rsid w:val="006619C9"/>
    <w:rsid w:val="00661C18"/>
    <w:rsid w:val="00663AF3"/>
    <w:rsid w:val="00666B6C"/>
    <w:rsid w:val="00671309"/>
    <w:rsid w:val="00675D5B"/>
    <w:rsid w:val="00682682"/>
    <w:rsid w:val="00682702"/>
    <w:rsid w:val="00685A4A"/>
    <w:rsid w:val="006919A3"/>
    <w:rsid w:val="00692368"/>
    <w:rsid w:val="00693D65"/>
    <w:rsid w:val="006940C3"/>
    <w:rsid w:val="006A2EBC"/>
    <w:rsid w:val="006A5EA0"/>
    <w:rsid w:val="006A6EF0"/>
    <w:rsid w:val="006A783B"/>
    <w:rsid w:val="006A7B33"/>
    <w:rsid w:val="006B4E13"/>
    <w:rsid w:val="006B4F56"/>
    <w:rsid w:val="006B75DD"/>
    <w:rsid w:val="006C02DE"/>
    <w:rsid w:val="006C67E0"/>
    <w:rsid w:val="006C7ABA"/>
    <w:rsid w:val="006D0D60"/>
    <w:rsid w:val="006D1122"/>
    <w:rsid w:val="006D3C00"/>
    <w:rsid w:val="006D3CFF"/>
    <w:rsid w:val="006D6EEC"/>
    <w:rsid w:val="006E00D9"/>
    <w:rsid w:val="006E1090"/>
    <w:rsid w:val="006E3642"/>
    <w:rsid w:val="006E3675"/>
    <w:rsid w:val="006E4A7F"/>
    <w:rsid w:val="006F18D1"/>
    <w:rsid w:val="006F7D4B"/>
    <w:rsid w:val="00700564"/>
    <w:rsid w:val="0070280E"/>
    <w:rsid w:val="00704DF6"/>
    <w:rsid w:val="0070651C"/>
    <w:rsid w:val="007075CC"/>
    <w:rsid w:val="007132A3"/>
    <w:rsid w:val="00714A04"/>
    <w:rsid w:val="00716421"/>
    <w:rsid w:val="00722CCA"/>
    <w:rsid w:val="00723975"/>
    <w:rsid w:val="00724EFB"/>
    <w:rsid w:val="007261CC"/>
    <w:rsid w:val="00730600"/>
    <w:rsid w:val="00736672"/>
    <w:rsid w:val="00736D45"/>
    <w:rsid w:val="00737BEF"/>
    <w:rsid w:val="007419C3"/>
    <w:rsid w:val="007467A7"/>
    <w:rsid w:val="007469DD"/>
    <w:rsid w:val="0074741B"/>
    <w:rsid w:val="0074759E"/>
    <w:rsid w:val="007478EA"/>
    <w:rsid w:val="00752943"/>
    <w:rsid w:val="0075415C"/>
    <w:rsid w:val="00757A97"/>
    <w:rsid w:val="0076109D"/>
    <w:rsid w:val="00763502"/>
    <w:rsid w:val="007711BC"/>
    <w:rsid w:val="007729EF"/>
    <w:rsid w:val="00773922"/>
    <w:rsid w:val="00773E3A"/>
    <w:rsid w:val="0077495F"/>
    <w:rsid w:val="007763B5"/>
    <w:rsid w:val="00776ADF"/>
    <w:rsid w:val="007827FC"/>
    <w:rsid w:val="007865EB"/>
    <w:rsid w:val="00790AE1"/>
    <w:rsid w:val="007911A4"/>
    <w:rsid w:val="007913AB"/>
    <w:rsid w:val="007914F7"/>
    <w:rsid w:val="0079342D"/>
    <w:rsid w:val="00795C91"/>
    <w:rsid w:val="00795E40"/>
    <w:rsid w:val="007A09FF"/>
    <w:rsid w:val="007A1803"/>
    <w:rsid w:val="007A2589"/>
    <w:rsid w:val="007A53BE"/>
    <w:rsid w:val="007A5DFF"/>
    <w:rsid w:val="007B1625"/>
    <w:rsid w:val="007B206C"/>
    <w:rsid w:val="007B706E"/>
    <w:rsid w:val="007B71EB"/>
    <w:rsid w:val="007C21E5"/>
    <w:rsid w:val="007C6205"/>
    <w:rsid w:val="007C686A"/>
    <w:rsid w:val="007C728E"/>
    <w:rsid w:val="007D2C53"/>
    <w:rsid w:val="007D3D60"/>
    <w:rsid w:val="007E1980"/>
    <w:rsid w:val="007E285E"/>
    <w:rsid w:val="007E34AA"/>
    <w:rsid w:val="007E4B76"/>
    <w:rsid w:val="007E4C24"/>
    <w:rsid w:val="007E5EA8"/>
    <w:rsid w:val="007E7D81"/>
    <w:rsid w:val="007F0CF1"/>
    <w:rsid w:val="007F12A5"/>
    <w:rsid w:val="007F2847"/>
    <w:rsid w:val="007F45F3"/>
    <w:rsid w:val="007F4CF1"/>
    <w:rsid w:val="007F5F19"/>
    <w:rsid w:val="007F758D"/>
    <w:rsid w:val="007F7D52"/>
    <w:rsid w:val="00805CE3"/>
    <w:rsid w:val="0080654C"/>
    <w:rsid w:val="008071C6"/>
    <w:rsid w:val="00810979"/>
    <w:rsid w:val="0081232C"/>
    <w:rsid w:val="00817A00"/>
    <w:rsid w:val="008217F9"/>
    <w:rsid w:val="0083062F"/>
    <w:rsid w:val="00835DB3"/>
    <w:rsid w:val="0083617B"/>
    <w:rsid w:val="00836D3A"/>
    <w:rsid w:val="008371BD"/>
    <w:rsid w:val="00841015"/>
    <w:rsid w:val="0084507D"/>
    <w:rsid w:val="008504A8"/>
    <w:rsid w:val="0085136F"/>
    <w:rsid w:val="00852417"/>
    <w:rsid w:val="0085282E"/>
    <w:rsid w:val="00852AC4"/>
    <w:rsid w:val="00853113"/>
    <w:rsid w:val="00854711"/>
    <w:rsid w:val="0085476A"/>
    <w:rsid w:val="008550C9"/>
    <w:rsid w:val="008553F9"/>
    <w:rsid w:val="008555D9"/>
    <w:rsid w:val="00857588"/>
    <w:rsid w:val="0086754B"/>
    <w:rsid w:val="0087198C"/>
    <w:rsid w:val="00871EE7"/>
    <w:rsid w:val="00872C1F"/>
    <w:rsid w:val="00873B42"/>
    <w:rsid w:val="008751DF"/>
    <w:rsid w:val="008759C8"/>
    <w:rsid w:val="00880114"/>
    <w:rsid w:val="00883A6D"/>
    <w:rsid w:val="008856D8"/>
    <w:rsid w:val="00890367"/>
    <w:rsid w:val="00892E82"/>
    <w:rsid w:val="008933FB"/>
    <w:rsid w:val="00893D63"/>
    <w:rsid w:val="00894232"/>
    <w:rsid w:val="008972EB"/>
    <w:rsid w:val="008C1B58"/>
    <w:rsid w:val="008C39AE"/>
    <w:rsid w:val="008C4CE6"/>
    <w:rsid w:val="008C590D"/>
    <w:rsid w:val="008C797B"/>
    <w:rsid w:val="008D499C"/>
    <w:rsid w:val="008E010D"/>
    <w:rsid w:val="008E031B"/>
    <w:rsid w:val="008E073C"/>
    <w:rsid w:val="008E2A64"/>
    <w:rsid w:val="008E2C7F"/>
    <w:rsid w:val="008E3C04"/>
    <w:rsid w:val="008E7029"/>
    <w:rsid w:val="008E7729"/>
    <w:rsid w:val="008E7EF6"/>
    <w:rsid w:val="008F1D73"/>
    <w:rsid w:val="008F1F98"/>
    <w:rsid w:val="008F3939"/>
    <w:rsid w:val="008F3CDD"/>
    <w:rsid w:val="008F6758"/>
    <w:rsid w:val="009040DD"/>
    <w:rsid w:val="00905B47"/>
    <w:rsid w:val="00905F65"/>
    <w:rsid w:val="0091019D"/>
    <w:rsid w:val="0091331C"/>
    <w:rsid w:val="00917F20"/>
    <w:rsid w:val="00921F14"/>
    <w:rsid w:val="009279DE"/>
    <w:rsid w:val="00930116"/>
    <w:rsid w:val="00933ED3"/>
    <w:rsid w:val="00937101"/>
    <w:rsid w:val="0094212C"/>
    <w:rsid w:val="00945CFB"/>
    <w:rsid w:val="00946669"/>
    <w:rsid w:val="00954689"/>
    <w:rsid w:val="00955768"/>
    <w:rsid w:val="009617C9"/>
    <w:rsid w:val="00961C93"/>
    <w:rsid w:val="00965324"/>
    <w:rsid w:val="0097091E"/>
    <w:rsid w:val="009760D3"/>
    <w:rsid w:val="00977132"/>
    <w:rsid w:val="00981A4B"/>
    <w:rsid w:val="00982501"/>
    <w:rsid w:val="0098465F"/>
    <w:rsid w:val="009877D3"/>
    <w:rsid w:val="009919A4"/>
    <w:rsid w:val="0099211C"/>
    <w:rsid w:val="0099278C"/>
    <w:rsid w:val="00994E8F"/>
    <w:rsid w:val="009951DC"/>
    <w:rsid w:val="009959BB"/>
    <w:rsid w:val="00997158"/>
    <w:rsid w:val="009A3A7C"/>
    <w:rsid w:val="009A531D"/>
    <w:rsid w:val="009A54E2"/>
    <w:rsid w:val="009A5985"/>
    <w:rsid w:val="009B04F0"/>
    <w:rsid w:val="009B0F41"/>
    <w:rsid w:val="009B2ADB"/>
    <w:rsid w:val="009B44F0"/>
    <w:rsid w:val="009B603A"/>
    <w:rsid w:val="009B609C"/>
    <w:rsid w:val="009B7112"/>
    <w:rsid w:val="009B7AB2"/>
    <w:rsid w:val="009C0280"/>
    <w:rsid w:val="009C2D0E"/>
    <w:rsid w:val="009C3DAC"/>
    <w:rsid w:val="009C414C"/>
    <w:rsid w:val="009C42E0"/>
    <w:rsid w:val="009C6871"/>
    <w:rsid w:val="009D5362"/>
    <w:rsid w:val="009E1224"/>
    <w:rsid w:val="009E1415"/>
    <w:rsid w:val="009E16D9"/>
    <w:rsid w:val="009E3D13"/>
    <w:rsid w:val="009E5439"/>
    <w:rsid w:val="009E6116"/>
    <w:rsid w:val="009E7A6A"/>
    <w:rsid w:val="009F4A0F"/>
    <w:rsid w:val="00A02E43"/>
    <w:rsid w:val="00A065F9"/>
    <w:rsid w:val="00A07F34"/>
    <w:rsid w:val="00A12919"/>
    <w:rsid w:val="00A1439B"/>
    <w:rsid w:val="00A20D4F"/>
    <w:rsid w:val="00A21C48"/>
    <w:rsid w:val="00A21FE7"/>
    <w:rsid w:val="00A22154"/>
    <w:rsid w:val="00A227E2"/>
    <w:rsid w:val="00A22F57"/>
    <w:rsid w:val="00A25C38"/>
    <w:rsid w:val="00A342F4"/>
    <w:rsid w:val="00A35A28"/>
    <w:rsid w:val="00A36BBE"/>
    <w:rsid w:val="00A377A3"/>
    <w:rsid w:val="00A401B7"/>
    <w:rsid w:val="00A4307A"/>
    <w:rsid w:val="00A464E8"/>
    <w:rsid w:val="00A47EBB"/>
    <w:rsid w:val="00A51CDD"/>
    <w:rsid w:val="00A61E88"/>
    <w:rsid w:val="00A6415B"/>
    <w:rsid w:val="00A6615D"/>
    <w:rsid w:val="00A66FC4"/>
    <w:rsid w:val="00A6730D"/>
    <w:rsid w:val="00A67678"/>
    <w:rsid w:val="00A67720"/>
    <w:rsid w:val="00A71625"/>
    <w:rsid w:val="00A71B9B"/>
    <w:rsid w:val="00A751C7"/>
    <w:rsid w:val="00A76EAC"/>
    <w:rsid w:val="00A77C30"/>
    <w:rsid w:val="00A8213A"/>
    <w:rsid w:val="00A87844"/>
    <w:rsid w:val="00A917FC"/>
    <w:rsid w:val="00A920B4"/>
    <w:rsid w:val="00A94EB2"/>
    <w:rsid w:val="00A95BCC"/>
    <w:rsid w:val="00AA038C"/>
    <w:rsid w:val="00AA16C9"/>
    <w:rsid w:val="00AA7A09"/>
    <w:rsid w:val="00AB07F3"/>
    <w:rsid w:val="00AB3B50"/>
    <w:rsid w:val="00AB4E22"/>
    <w:rsid w:val="00AB5CF4"/>
    <w:rsid w:val="00AB688A"/>
    <w:rsid w:val="00AB6CE4"/>
    <w:rsid w:val="00AB7EBE"/>
    <w:rsid w:val="00AC05B1"/>
    <w:rsid w:val="00AC44D4"/>
    <w:rsid w:val="00AC682F"/>
    <w:rsid w:val="00AD1688"/>
    <w:rsid w:val="00AD356C"/>
    <w:rsid w:val="00AD48ED"/>
    <w:rsid w:val="00AD4CB7"/>
    <w:rsid w:val="00AD5029"/>
    <w:rsid w:val="00AE08D6"/>
    <w:rsid w:val="00AE2914"/>
    <w:rsid w:val="00AE2D55"/>
    <w:rsid w:val="00AE406A"/>
    <w:rsid w:val="00AE4B29"/>
    <w:rsid w:val="00AE5068"/>
    <w:rsid w:val="00AE6D15"/>
    <w:rsid w:val="00AF58D2"/>
    <w:rsid w:val="00B00CB2"/>
    <w:rsid w:val="00B03933"/>
    <w:rsid w:val="00B04182"/>
    <w:rsid w:val="00B07AE3"/>
    <w:rsid w:val="00B11430"/>
    <w:rsid w:val="00B17E7D"/>
    <w:rsid w:val="00B217C0"/>
    <w:rsid w:val="00B26FC9"/>
    <w:rsid w:val="00B30C14"/>
    <w:rsid w:val="00B353EB"/>
    <w:rsid w:val="00B42602"/>
    <w:rsid w:val="00B439C4"/>
    <w:rsid w:val="00B43D37"/>
    <w:rsid w:val="00B443E2"/>
    <w:rsid w:val="00B44D92"/>
    <w:rsid w:val="00B4535E"/>
    <w:rsid w:val="00B4584D"/>
    <w:rsid w:val="00B46E85"/>
    <w:rsid w:val="00B50816"/>
    <w:rsid w:val="00B52A8C"/>
    <w:rsid w:val="00B636A8"/>
    <w:rsid w:val="00B65DFE"/>
    <w:rsid w:val="00B6628E"/>
    <w:rsid w:val="00B663B6"/>
    <w:rsid w:val="00B665C6"/>
    <w:rsid w:val="00B74926"/>
    <w:rsid w:val="00B805AF"/>
    <w:rsid w:val="00B82939"/>
    <w:rsid w:val="00B83AFF"/>
    <w:rsid w:val="00B85A00"/>
    <w:rsid w:val="00B869EC"/>
    <w:rsid w:val="00B91D8E"/>
    <w:rsid w:val="00B932F7"/>
    <w:rsid w:val="00B9397A"/>
    <w:rsid w:val="00B9633D"/>
    <w:rsid w:val="00BA1FC1"/>
    <w:rsid w:val="00BA2EBE"/>
    <w:rsid w:val="00BA5104"/>
    <w:rsid w:val="00BA62F4"/>
    <w:rsid w:val="00BB0F28"/>
    <w:rsid w:val="00BB1AF8"/>
    <w:rsid w:val="00BB458A"/>
    <w:rsid w:val="00BB6FE6"/>
    <w:rsid w:val="00BC5675"/>
    <w:rsid w:val="00BC699E"/>
    <w:rsid w:val="00BD00D3"/>
    <w:rsid w:val="00BD1659"/>
    <w:rsid w:val="00BD3AA9"/>
    <w:rsid w:val="00BD3F28"/>
    <w:rsid w:val="00BD4A18"/>
    <w:rsid w:val="00BD6DB2"/>
    <w:rsid w:val="00BE0404"/>
    <w:rsid w:val="00BE11CF"/>
    <w:rsid w:val="00BE21AB"/>
    <w:rsid w:val="00BE55CB"/>
    <w:rsid w:val="00BE5694"/>
    <w:rsid w:val="00BE576A"/>
    <w:rsid w:val="00BF0924"/>
    <w:rsid w:val="00BF148D"/>
    <w:rsid w:val="00BF617A"/>
    <w:rsid w:val="00C0379D"/>
    <w:rsid w:val="00C03931"/>
    <w:rsid w:val="00C0523D"/>
    <w:rsid w:val="00C05FE3"/>
    <w:rsid w:val="00C07820"/>
    <w:rsid w:val="00C078D0"/>
    <w:rsid w:val="00C07BCB"/>
    <w:rsid w:val="00C106FF"/>
    <w:rsid w:val="00C1477A"/>
    <w:rsid w:val="00C15072"/>
    <w:rsid w:val="00C20F1E"/>
    <w:rsid w:val="00C21146"/>
    <w:rsid w:val="00C2136D"/>
    <w:rsid w:val="00C214EE"/>
    <w:rsid w:val="00C23086"/>
    <w:rsid w:val="00C2314B"/>
    <w:rsid w:val="00C24971"/>
    <w:rsid w:val="00C25923"/>
    <w:rsid w:val="00C26BE5"/>
    <w:rsid w:val="00C26E4D"/>
    <w:rsid w:val="00C27909"/>
    <w:rsid w:val="00C27B03"/>
    <w:rsid w:val="00C314E1"/>
    <w:rsid w:val="00C33D63"/>
    <w:rsid w:val="00C34397"/>
    <w:rsid w:val="00C34645"/>
    <w:rsid w:val="00C36FE7"/>
    <w:rsid w:val="00C3729A"/>
    <w:rsid w:val="00C4095D"/>
    <w:rsid w:val="00C40FDE"/>
    <w:rsid w:val="00C4110B"/>
    <w:rsid w:val="00C458F4"/>
    <w:rsid w:val="00C45F6F"/>
    <w:rsid w:val="00C46E18"/>
    <w:rsid w:val="00C5436E"/>
    <w:rsid w:val="00C569FD"/>
    <w:rsid w:val="00C57B44"/>
    <w:rsid w:val="00C601D2"/>
    <w:rsid w:val="00C64114"/>
    <w:rsid w:val="00C65BCC"/>
    <w:rsid w:val="00C66970"/>
    <w:rsid w:val="00C67633"/>
    <w:rsid w:val="00C6799C"/>
    <w:rsid w:val="00C751A2"/>
    <w:rsid w:val="00C77AE3"/>
    <w:rsid w:val="00C83E5D"/>
    <w:rsid w:val="00C8691C"/>
    <w:rsid w:val="00C93CD8"/>
    <w:rsid w:val="00CA168A"/>
    <w:rsid w:val="00CA357E"/>
    <w:rsid w:val="00CA44F9"/>
    <w:rsid w:val="00CA4A69"/>
    <w:rsid w:val="00CB0A1F"/>
    <w:rsid w:val="00CB6464"/>
    <w:rsid w:val="00CC3E0C"/>
    <w:rsid w:val="00CC49E3"/>
    <w:rsid w:val="00CC58D3"/>
    <w:rsid w:val="00CC784D"/>
    <w:rsid w:val="00CE226D"/>
    <w:rsid w:val="00CE44C7"/>
    <w:rsid w:val="00CE5828"/>
    <w:rsid w:val="00CF4917"/>
    <w:rsid w:val="00CF5F05"/>
    <w:rsid w:val="00CF75E1"/>
    <w:rsid w:val="00D0031B"/>
    <w:rsid w:val="00D02360"/>
    <w:rsid w:val="00D0337B"/>
    <w:rsid w:val="00D07865"/>
    <w:rsid w:val="00D079B2"/>
    <w:rsid w:val="00D07F97"/>
    <w:rsid w:val="00D10E66"/>
    <w:rsid w:val="00D114E9"/>
    <w:rsid w:val="00D16271"/>
    <w:rsid w:val="00D237E6"/>
    <w:rsid w:val="00D24703"/>
    <w:rsid w:val="00D279A5"/>
    <w:rsid w:val="00D30F99"/>
    <w:rsid w:val="00D3469E"/>
    <w:rsid w:val="00D359A3"/>
    <w:rsid w:val="00D370C8"/>
    <w:rsid w:val="00D429C6"/>
    <w:rsid w:val="00D47748"/>
    <w:rsid w:val="00D52B2B"/>
    <w:rsid w:val="00D54CC3"/>
    <w:rsid w:val="00D57E9C"/>
    <w:rsid w:val="00D57F33"/>
    <w:rsid w:val="00D603D3"/>
    <w:rsid w:val="00D6041A"/>
    <w:rsid w:val="00D6273F"/>
    <w:rsid w:val="00D633EB"/>
    <w:rsid w:val="00D642B4"/>
    <w:rsid w:val="00D6540C"/>
    <w:rsid w:val="00D6772F"/>
    <w:rsid w:val="00D82FF7"/>
    <w:rsid w:val="00D847FE"/>
    <w:rsid w:val="00D90563"/>
    <w:rsid w:val="00D93968"/>
    <w:rsid w:val="00D942D3"/>
    <w:rsid w:val="00D964EA"/>
    <w:rsid w:val="00D966D0"/>
    <w:rsid w:val="00D97E61"/>
    <w:rsid w:val="00DA0C59"/>
    <w:rsid w:val="00DA30C2"/>
    <w:rsid w:val="00DA3991"/>
    <w:rsid w:val="00DA5AA9"/>
    <w:rsid w:val="00DB500F"/>
    <w:rsid w:val="00DB7E6C"/>
    <w:rsid w:val="00DC10A1"/>
    <w:rsid w:val="00DC4003"/>
    <w:rsid w:val="00DC6F15"/>
    <w:rsid w:val="00DD33EE"/>
    <w:rsid w:val="00DD5A29"/>
    <w:rsid w:val="00DD5D9D"/>
    <w:rsid w:val="00DE32D7"/>
    <w:rsid w:val="00DE35CB"/>
    <w:rsid w:val="00DE58F9"/>
    <w:rsid w:val="00DE61ED"/>
    <w:rsid w:val="00DE6370"/>
    <w:rsid w:val="00DF0B47"/>
    <w:rsid w:val="00DF21E9"/>
    <w:rsid w:val="00DF261A"/>
    <w:rsid w:val="00E00290"/>
    <w:rsid w:val="00E00F14"/>
    <w:rsid w:val="00E04F08"/>
    <w:rsid w:val="00E06386"/>
    <w:rsid w:val="00E14B67"/>
    <w:rsid w:val="00E21D76"/>
    <w:rsid w:val="00E24EB4"/>
    <w:rsid w:val="00E27C29"/>
    <w:rsid w:val="00E320ED"/>
    <w:rsid w:val="00E32C52"/>
    <w:rsid w:val="00E33AFB"/>
    <w:rsid w:val="00E34218"/>
    <w:rsid w:val="00E35CB1"/>
    <w:rsid w:val="00E35ED9"/>
    <w:rsid w:val="00E414D6"/>
    <w:rsid w:val="00E42DBB"/>
    <w:rsid w:val="00E44DD0"/>
    <w:rsid w:val="00E46282"/>
    <w:rsid w:val="00E518DA"/>
    <w:rsid w:val="00E52096"/>
    <w:rsid w:val="00E5216E"/>
    <w:rsid w:val="00E5336F"/>
    <w:rsid w:val="00E55CDB"/>
    <w:rsid w:val="00E63C01"/>
    <w:rsid w:val="00E66965"/>
    <w:rsid w:val="00E672DA"/>
    <w:rsid w:val="00E75346"/>
    <w:rsid w:val="00E82344"/>
    <w:rsid w:val="00E83FFB"/>
    <w:rsid w:val="00E84C82"/>
    <w:rsid w:val="00E84D64"/>
    <w:rsid w:val="00E87408"/>
    <w:rsid w:val="00E900E2"/>
    <w:rsid w:val="00E914C4"/>
    <w:rsid w:val="00E92D4B"/>
    <w:rsid w:val="00E934F5"/>
    <w:rsid w:val="00E96961"/>
    <w:rsid w:val="00E9750F"/>
    <w:rsid w:val="00EA72EC"/>
    <w:rsid w:val="00EB11CB"/>
    <w:rsid w:val="00EB232F"/>
    <w:rsid w:val="00EB275A"/>
    <w:rsid w:val="00EB4CB1"/>
    <w:rsid w:val="00EB6650"/>
    <w:rsid w:val="00EB786A"/>
    <w:rsid w:val="00EB7EE5"/>
    <w:rsid w:val="00EC1578"/>
    <w:rsid w:val="00EC1C72"/>
    <w:rsid w:val="00EC3CC9"/>
    <w:rsid w:val="00EC680A"/>
    <w:rsid w:val="00ED159D"/>
    <w:rsid w:val="00ED18CD"/>
    <w:rsid w:val="00ED2E8E"/>
    <w:rsid w:val="00ED546F"/>
    <w:rsid w:val="00EE17EB"/>
    <w:rsid w:val="00EE2BED"/>
    <w:rsid w:val="00EE374B"/>
    <w:rsid w:val="00EE4973"/>
    <w:rsid w:val="00EE58F7"/>
    <w:rsid w:val="00EE7C41"/>
    <w:rsid w:val="00EF1042"/>
    <w:rsid w:val="00EF1ECF"/>
    <w:rsid w:val="00EF717E"/>
    <w:rsid w:val="00F02812"/>
    <w:rsid w:val="00F05789"/>
    <w:rsid w:val="00F06FF5"/>
    <w:rsid w:val="00F1064F"/>
    <w:rsid w:val="00F11BB5"/>
    <w:rsid w:val="00F13CC1"/>
    <w:rsid w:val="00F1417B"/>
    <w:rsid w:val="00F146FF"/>
    <w:rsid w:val="00F232A5"/>
    <w:rsid w:val="00F25DB3"/>
    <w:rsid w:val="00F34B99"/>
    <w:rsid w:val="00F36877"/>
    <w:rsid w:val="00F37FF0"/>
    <w:rsid w:val="00F446A1"/>
    <w:rsid w:val="00F50ED2"/>
    <w:rsid w:val="00F525AE"/>
    <w:rsid w:val="00F5273C"/>
    <w:rsid w:val="00F52917"/>
    <w:rsid w:val="00F52DAB"/>
    <w:rsid w:val="00F543F0"/>
    <w:rsid w:val="00F5695B"/>
    <w:rsid w:val="00F60153"/>
    <w:rsid w:val="00F61A86"/>
    <w:rsid w:val="00F623DB"/>
    <w:rsid w:val="00F62BD7"/>
    <w:rsid w:val="00F67E96"/>
    <w:rsid w:val="00F71D81"/>
    <w:rsid w:val="00F71F36"/>
    <w:rsid w:val="00F7485E"/>
    <w:rsid w:val="00F7773E"/>
    <w:rsid w:val="00F815CA"/>
    <w:rsid w:val="00F81D29"/>
    <w:rsid w:val="00F82F20"/>
    <w:rsid w:val="00F83FF0"/>
    <w:rsid w:val="00F85A87"/>
    <w:rsid w:val="00F85D16"/>
    <w:rsid w:val="00F91C4D"/>
    <w:rsid w:val="00F92FD9"/>
    <w:rsid w:val="00F96EF0"/>
    <w:rsid w:val="00FA6684"/>
    <w:rsid w:val="00FA731E"/>
    <w:rsid w:val="00FB20C0"/>
    <w:rsid w:val="00FB2B38"/>
    <w:rsid w:val="00FC1235"/>
    <w:rsid w:val="00FC2A50"/>
    <w:rsid w:val="00FC4B94"/>
    <w:rsid w:val="00FC6358"/>
    <w:rsid w:val="00FC6E13"/>
    <w:rsid w:val="00FC74BB"/>
    <w:rsid w:val="00FD320D"/>
    <w:rsid w:val="00FD4861"/>
    <w:rsid w:val="00FE11DC"/>
    <w:rsid w:val="00FE1768"/>
    <w:rsid w:val="00FE23DE"/>
    <w:rsid w:val="00FE3904"/>
    <w:rsid w:val="00FE3FE7"/>
    <w:rsid w:val="00FE466F"/>
    <w:rsid w:val="00FF3ADB"/>
    <w:rsid w:val="00FF5075"/>
    <w:rsid w:val="00FF645B"/>
    <w:rsid w:val="054F700C"/>
    <w:rsid w:val="055B51F1"/>
    <w:rsid w:val="08C41CDE"/>
    <w:rsid w:val="09CD3803"/>
    <w:rsid w:val="0A304668"/>
    <w:rsid w:val="0B3A6F48"/>
    <w:rsid w:val="0C4A7332"/>
    <w:rsid w:val="0EEA33F9"/>
    <w:rsid w:val="117F0993"/>
    <w:rsid w:val="158C0C3F"/>
    <w:rsid w:val="15BF900C"/>
    <w:rsid w:val="15EF7407"/>
    <w:rsid w:val="20006818"/>
    <w:rsid w:val="4A087310"/>
    <w:rsid w:val="4A1E7F8A"/>
    <w:rsid w:val="4DF24358"/>
    <w:rsid w:val="4EFE2E8D"/>
    <w:rsid w:val="55EE0C0B"/>
    <w:rsid w:val="597060C4"/>
    <w:rsid w:val="5E1F5630"/>
    <w:rsid w:val="616F4D35"/>
    <w:rsid w:val="69B01B97"/>
    <w:rsid w:val="6DDF29D8"/>
    <w:rsid w:val="6E26605F"/>
    <w:rsid w:val="723A7BAE"/>
    <w:rsid w:val="72503B13"/>
    <w:rsid w:val="725D6F93"/>
    <w:rsid w:val="78B4669B"/>
    <w:rsid w:val="7A323780"/>
    <w:rsid w:val="7FE0122B"/>
    <w:rsid w:val="7FFD8BD5"/>
    <w:rsid w:val="F7FAF22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9"/>
    <w:pPr>
      <w:keepNext/>
      <w:keepLines/>
      <w:spacing w:before="200"/>
      <w:outlineLvl w:val="2"/>
    </w:pPr>
    <w:rPr>
      <w:rFonts w:asciiTheme="majorHAnsi" w:hAnsiTheme="majorHAnsi" w:eastAsiaTheme="majorEastAsia" w:cstheme="majorBidi"/>
      <w:b/>
      <w:bCs/>
      <w:color w:val="000000"/>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semiHidden/>
    <w:qFormat/>
    <w:uiPriority w:val="0"/>
    <w:pPr>
      <w:tabs>
        <w:tab w:val="right" w:leader="dot" w:pos="9241"/>
      </w:tabs>
      <w:ind w:firstLine="500" w:firstLineChars="500"/>
      <w:jc w:val="left"/>
    </w:pPr>
    <w:rPr>
      <w:rFonts w:ascii="宋体"/>
      <w:szCs w:val="21"/>
    </w:rPr>
  </w:style>
  <w:style w:type="paragraph" w:styleId="4">
    <w:name w:val="index 8"/>
    <w:basedOn w:val="1"/>
    <w:next w:val="1"/>
    <w:qFormat/>
    <w:uiPriority w:val="0"/>
    <w:pPr>
      <w:ind w:left="1680" w:hanging="210"/>
      <w:jc w:val="left"/>
    </w:pPr>
    <w:rPr>
      <w:rFonts w:ascii="Calibri" w:hAnsi="Calibri"/>
      <w:sz w:val="20"/>
      <w:szCs w:val="20"/>
    </w:rPr>
  </w:style>
  <w:style w:type="paragraph" w:styleId="5">
    <w:name w:val="caption"/>
    <w:basedOn w:val="1"/>
    <w:next w:val="1"/>
    <w:qFormat/>
    <w:uiPriority w:val="0"/>
    <w:pPr>
      <w:spacing w:before="152" w:after="160"/>
    </w:pPr>
    <w:rPr>
      <w:rFonts w:ascii="Arial" w:hAnsi="Arial" w:eastAsia="黑体" w:cs="Arial"/>
      <w:sz w:val="20"/>
      <w:szCs w:val="20"/>
    </w:rPr>
  </w:style>
  <w:style w:type="paragraph" w:styleId="6">
    <w:name w:val="index 5"/>
    <w:basedOn w:val="1"/>
    <w:next w:val="1"/>
    <w:qFormat/>
    <w:uiPriority w:val="0"/>
    <w:pPr>
      <w:ind w:left="1050" w:hanging="210"/>
      <w:jc w:val="left"/>
    </w:pPr>
    <w:rPr>
      <w:rFonts w:ascii="Calibri" w:hAnsi="Calibri"/>
      <w:sz w:val="20"/>
      <w:szCs w:val="20"/>
    </w:rPr>
  </w:style>
  <w:style w:type="paragraph" w:styleId="7">
    <w:name w:val="Document Map"/>
    <w:basedOn w:val="1"/>
    <w:semiHidden/>
    <w:qFormat/>
    <w:uiPriority w:val="0"/>
    <w:pPr>
      <w:shd w:val="clear" w:color="auto" w:fill="000080"/>
    </w:pPr>
  </w:style>
  <w:style w:type="paragraph" w:styleId="8">
    <w:name w:val="index 6"/>
    <w:basedOn w:val="1"/>
    <w:next w:val="1"/>
    <w:qFormat/>
    <w:uiPriority w:val="0"/>
    <w:pPr>
      <w:ind w:left="1260" w:hanging="210"/>
      <w:jc w:val="left"/>
    </w:pPr>
    <w:rPr>
      <w:rFonts w:ascii="Calibri" w:hAnsi="Calibri"/>
      <w:sz w:val="20"/>
      <w:szCs w:val="20"/>
    </w:rPr>
  </w:style>
  <w:style w:type="paragraph" w:styleId="9">
    <w:name w:val="index 4"/>
    <w:basedOn w:val="1"/>
    <w:next w:val="1"/>
    <w:qFormat/>
    <w:uiPriority w:val="0"/>
    <w:pPr>
      <w:ind w:left="840" w:hanging="210"/>
      <w:jc w:val="left"/>
    </w:pPr>
    <w:rPr>
      <w:rFonts w:ascii="Calibri" w:hAnsi="Calibri"/>
      <w:sz w:val="20"/>
      <w:szCs w:val="20"/>
    </w:rPr>
  </w:style>
  <w:style w:type="paragraph" w:styleId="10">
    <w:name w:val="toc 5"/>
    <w:basedOn w:val="1"/>
    <w:next w:val="1"/>
    <w:semiHidden/>
    <w:qFormat/>
    <w:uiPriority w:val="0"/>
    <w:pPr>
      <w:tabs>
        <w:tab w:val="right" w:leader="dot" w:pos="9241"/>
      </w:tabs>
      <w:ind w:firstLine="300" w:firstLineChars="300"/>
      <w:jc w:val="left"/>
    </w:pPr>
    <w:rPr>
      <w:rFonts w:ascii="宋体"/>
      <w:szCs w:val="21"/>
    </w:rPr>
  </w:style>
  <w:style w:type="paragraph" w:styleId="11">
    <w:name w:val="toc 3"/>
    <w:basedOn w:val="1"/>
    <w:next w:val="1"/>
    <w:semiHidden/>
    <w:qFormat/>
    <w:uiPriority w:val="0"/>
    <w:pPr>
      <w:tabs>
        <w:tab w:val="right" w:leader="dot" w:pos="9241"/>
      </w:tabs>
      <w:ind w:firstLine="100" w:firstLineChars="100"/>
      <w:jc w:val="left"/>
    </w:pPr>
    <w:rPr>
      <w:rFonts w:ascii="宋体"/>
      <w:szCs w:val="21"/>
    </w:rPr>
  </w:style>
  <w:style w:type="paragraph" w:styleId="12">
    <w:name w:val="toc 8"/>
    <w:basedOn w:val="1"/>
    <w:next w:val="1"/>
    <w:semiHidden/>
    <w:qFormat/>
    <w:uiPriority w:val="0"/>
    <w:pPr>
      <w:tabs>
        <w:tab w:val="right" w:leader="dot" w:pos="9241"/>
      </w:tabs>
      <w:ind w:firstLine="607" w:firstLineChars="600"/>
      <w:jc w:val="left"/>
    </w:pPr>
    <w:rPr>
      <w:rFonts w:ascii="宋体"/>
      <w:szCs w:val="21"/>
    </w:rPr>
  </w:style>
  <w:style w:type="paragraph" w:styleId="13">
    <w:name w:val="index 3"/>
    <w:basedOn w:val="1"/>
    <w:next w:val="1"/>
    <w:qFormat/>
    <w:uiPriority w:val="0"/>
    <w:pPr>
      <w:ind w:left="630" w:hanging="210"/>
      <w:jc w:val="left"/>
    </w:pPr>
    <w:rPr>
      <w:rFonts w:ascii="Calibri" w:hAnsi="Calibri"/>
      <w:sz w:val="20"/>
      <w:szCs w:val="20"/>
    </w:rPr>
  </w:style>
  <w:style w:type="paragraph" w:styleId="14">
    <w:name w:val="endnote text"/>
    <w:basedOn w:val="1"/>
    <w:semiHidden/>
    <w:qFormat/>
    <w:uiPriority w:val="0"/>
    <w:pPr>
      <w:snapToGrid w:val="0"/>
      <w:jc w:val="left"/>
    </w:pPr>
  </w:style>
  <w:style w:type="paragraph" w:styleId="15">
    <w:name w:val="Balloon Text"/>
    <w:basedOn w:val="1"/>
    <w:semiHidden/>
    <w:qFormat/>
    <w:uiPriority w:val="0"/>
    <w:rPr>
      <w:sz w:val="18"/>
      <w:szCs w:val="18"/>
    </w:rPr>
  </w:style>
  <w:style w:type="paragraph" w:styleId="16">
    <w:name w:val="footer"/>
    <w:basedOn w:val="1"/>
    <w:qFormat/>
    <w:uiPriority w:val="0"/>
    <w:pPr>
      <w:snapToGrid w:val="0"/>
      <w:ind w:right="210" w:rightChars="100"/>
      <w:jc w:val="right"/>
    </w:pPr>
    <w:rPr>
      <w:sz w:val="18"/>
      <w:szCs w:val="18"/>
    </w:rPr>
  </w:style>
  <w:style w:type="paragraph" w:styleId="17">
    <w:name w:val="header"/>
    <w:basedOn w:val="1"/>
    <w:qFormat/>
    <w:uiPriority w:val="0"/>
    <w:pPr>
      <w:snapToGrid w:val="0"/>
      <w:jc w:val="left"/>
    </w:pPr>
    <w:rPr>
      <w:sz w:val="18"/>
      <w:szCs w:val="18"/>
    </w:rPr>
  </w:style>
  <w:style w:type="paragraph" w:styleId="18">
    <w:name w:val="toc 1"/>
    <w:basedOn w:val="1"/>
    <w:next w:val="1"/>
    <w:semiHidden/>
    <w:qFormat/>
    <w:uiPriority w:val="0"/>
    <w:pPr>
      <w:tabs>
        <w:tab w:val="right" w:leader="dot" w:pos="9242"/>
      </w:tabs>
      <w:spacing w:beforeLines="25" w:afterLines="25"/>
      <w:jc w:val="left"/>
    </w:pPr>
    <w:rPr>
      <w:rFonts w:ascii="宋体"/>
      <w:szCs w:val="21"/>
    </w:rPr>
  </w:style>
  <w:style w:type="paragraph" w:styleId="19">
    <w:name w:val="toc 4"/>
    <w:basedOn w:val="1"/>
    <w:next w:val="1"/>
    <w:semiHidden/>
    <w:qFormat/>
    <w:uiPriority w:val="0"/>
    <w:pPr>
      <w:tabs>
        <w:tab w:val="right" w:leader="dot" w:pos="9241"/>
      </w:tabs>
      <w:ind w:firstLine="200" w:firstLineChars="200"/>
      <w:jc w:val="left"/>
    </w:pPr>
    <w:rPr>
      <w:rFonts w:ascii="宋体"/>
      <w:szCs w:val="21"/>
    </w:rPr>
  </w:style>
  <w:style w:type="paragraph" w:styleId="20">
    <w:name w:val="index heading"/>
    <w:basedOn w:val="1"/>
    <w:next w:val="21"/>
    <w:qFormat/>
    <w:uiPriority w:val="0"/>
    <w:pPr>
      <w:spacing w:before="120" w:after="120"/>
      <w:jc w:val="center"/>
    </w:pPr>
    <w:rPr>
      <w:rFonts w:ascii="Calibri" w:hAnsi="Calibri"/>
      <w:b/>
      <w:bCs/>
      <w:iCs/>
      <w:szCs w:val="20"/>
    </w:rPr>
  </w:style>
  <w:style w:type="paragraph" w:styleId="21">
    <w:name w:val="index 1"/>
    <w:basedOn w:val="1"/>
    <w:next w:val="22"/>
    <w:qFormat/>
    <w:uiPriority w:val="0"/>
    <w:pPr>
      <w:tabs>
        <w:tab w:val="right" w:leader="dot" w:pos="9299"/>
      </w:tabs>
      <w:jc w:val="left"/>
    </w:pPr>
    <w:rPr>
      <w:rFonts w:ascii="宋体"/>
      <w:szCs w:val="21"/>
    </w:rPr>
  </w:style>
  <w:style w:type="paragraph" w:customStyle="1" w:styleId="22">
    <w:name w:val="段"/>
    <w:link w:val="135"/>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3">
    <w:name w:val="footnote text"/>
    <w:basedOn w:val="1"/>
    <w:qFormat/>
    <w:uiPriority w:val="0"/>
    <w:pPr>
      <w:numPr>
        <w:ilvl w:val="0"/>
        <w:numId w:val="1"/>
      </w:numPr>
      <w:snapToGrid w:val="0"/>
      <w:jc w:val="left"/>
    </w:pPr>
    <w:rPr>
      <w:rFonts w:ascii="宋体"/>
      <w:sz w:val="18"/>
      <w:szCs w:val="18"/>
    </w:rPr>
  </w:style>
  <w:style w:type="paragraph" w:styleId="24">
    <w:name w:val="toc 6"/>
    <w:basedOn w:val="1"/>
    <w:next w:val="1"/>
    <w:semiHidden/>
    <w:qFormat/>
    <w:uiPriority w:val="0"/>
    <w:pPr>
      <w:tabs>
        <w:tab w:val="right" w:leader="dot" w:pos="9241"/>
      </w:tabs>
      <w:ind w:firstLine="400" w:firstLineChars="400"/>
      <w:jc w:val="left"/>
    </w:pPr>
    <w:rPr>
      <w:rFonts w:ascii="宋体"/>
      <w:szCs w:val="21"/>
    </w:rPr>
  </w:style>
  <w:style w:type="paragraph" w:styleId="25">
    <w:name w:val="index 7"/>
    <w:basedOn w:val="1"/>
    <w:next w:val="1"/>
    <w:qFormat/>
    <w:uiPriority w:val="0"/>
    <w:pPr>
      <w:ind w:left="1470" w:hanging="210"/>
      <w:jc w:val="left"/>
    </w:pPr>
    <w:rPr>
      <w:rFonts w:ascii="Calibri" w:hAnsi="Calibri"/>
      <w:sz w:val="20"/>
      <w:szCs w:val="20"/>
    </w:rPr>
  </w:style>
  <w:style w:type="paragraph" w:styleId="26">
    <w:name w:val="index 9"/>
    <w:basedOn w:val="1"/>
    <w:next w:val="1"/>
    <w:qFormat/>
    <w:uiPriority w:val="0"/>
    <w:pPr>
      <w:ind w:left="1890" w:hanging="210"/>
      <w:jc w:val="left"/>
    </w:pPr>
    <w:rPr>
      <w:rFonts w:ascii="Calibri" w:hAnsi="Calibri"/>
      <w:sz w:val="20"/>
      <w:szCs w:val="20"/>
    </w:rPr>
  </w:style>
  <w:style w:type="paragraph" w:styleId="27">
    <w:name w:val="toc 2"/>
    <w:basedOn w:val="1"/>
    <w:next w:val="1"/>
    <w:semiHidden/>
    <w:qFormat/>
    <w:uiPriority w:val="0"/>
    <w:pPr>
      <w:tabs>
        <w:tab w:val="right" w:leader="dot" w:pos="9242"/>
      </w:tabs>
    </w:pPr>
    <w:rPr>
      <w:rFonts w:ascii="宋体"/>
      <w:szCs w:val="21"/>
    </w:rPr>
  </w:style>
  <w:style w:type="paragraph" w:styleId="28">
    <w:name w:val="toc 9"/>
    <w:basedOn w:val="1"/>
    <w:next w:val="1"/>
    <w:semiHidden/>
    <w:qFormat/>
    <w:uiPriority w:val="0"/>
    <w:pPr>
      <w:ind w:left="1470"/>
      <w:jc w:val="left"/>
    </w:pPr>
    <w:rPr>
      <w:sz w:val="20"/>
      <w:szCs w:val="20"/>
    </w:rPr>
  </w:style>
  <w:style w:type="paragraph" w:styleId="29">
    <w:name w:val="index 2"/>
    <w:basedOn w:val="1"/>
    <w:next w:val="1"/>
    <w:qFormat/>
    <w:uiPriority w:val="0"/>
    <w:pPr>
      <w:ind w:left="420" w:hanging="210"/>
      <w:jc w:val="left"/>
    </w:pPr>
    <w:rPr>
      <w:rFonts w:ascii="Calibri" w:hAnsi="Calibri"/>
      <w:sz w:val="20"/>
      <w:szCs w:val="20"/>
    </w:rPr>
  </w:style>
  <w:style w:type="table" w:styleId="31">
    <w:name w:val="Table Grid"/>
    <w:basedOn w:val="30"/>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3">
    <w:name w:val="endnote reference"/>
    <w:basedOn w:val="32"/>
    <w:semiHidden/>
    <w:qFormat/>
    <w:uiPriority w:val="0"/>
    <w:rPr>
      <w:vertAlign w:val="superscript"/>
    </w:rPr>
  </w:style>
  <w:style w:type="character" w:styleId="34">
    <w:name w:val="page number"/>
    <w:basedOn w:val="32"/>
    <w:qFormat/>
    <w:uiPriority w:val="0"/>
    <w:rPr>
      <w:rFonts w:ascii="Times New Roman" w:hAnsi="Times New Roman" w:eastAsia="宋体"/>
      <w:sz w:val="18"/>
    </w:rPr>
  </w:style>
  <w:style w:type="character" w:styleId="35">
    <w:name w:val="FollowedHyperlink"/>
    <w:basedOn w:val="32"/>
    <w:qFormat/>
    <w:uiPriority w:val="0"/>
    <w:rPr>
      <w:color w:val="800080"/>
      <w:u w:val="single"/>
    </w:rPr>
  </w:style>
  <w:style w:type="character" w:styleId="36">
    <w:name w:val="Hyperlink"/>
    <w:basedOn w:val="32"/>
    <w:qFormat/>
    <w:uiPriority w:val="0"/>
    <w:rPr>
      <w:color w:val="0000FF"/>
      <w:spacing w:val="0"/>
      <w:w w:val="100"/>
      <w:szCs w:val="21"/>
      <w:u w:val="single"/>
    </w:rPr>
  </w:style>
  <w:style w:type="character" w:styleId="37">
    <w:name w:val="footnote reference"/>
    <w:basedOn w:val="32"/>
    <w:semiHidden/>
    <w:qFormat/>
    <w:uiPriority w:val="0"/>
    <w:rPr>
      <w:vertAlign w:val="superscript"/>
    </w:rPr>
  </w:style>
  <w:style w:type="paragraph" w:customStyle="1" w:styleId="38">
    <w:name w:val="附录数字编号列项（二级）"/>
    <w:qFormat/>
    <w:uiPriority w:val="0"/>
    <w:pPr>
      <w:numPr>
        <w:ilvl w:val="1"/>
        <w:numId w:val="2"/>
      </w:numPr>
    </w:pPr>
    <w:rPr>
      <w:rFonts w:ascii="宋体" w:hAnsi="Times New Roman" w:eastAsia="宋体" w:cs="Times New Roman"/>
      <w:sz w:val="21"/>
      <w:lang w:val="en-US" w:eastAsia="zh-CN" w:bidi="ar-SA"/>
    </w:rPr>
  </w:style>
  <w:style w:type="paragraph" w:customStyle="1" w:styleId="39">
    <w:name w:val="三级条标题"/>
    <w:basedOn w:val="40"/>
    <w:next w:val="22"/>
    <w:qFormat/>
    <w:uiPriority w:val="0"/>
    <w:pPr>
      <w:numPr>
        <w:ilvl w:val="3"/>
      </w:numPr>
      <w:outlineLvl w:val="4"/>
    </w:pPr>
  </w:style>
  <w:style w:type="paragraph" w:customStyle="1" w:styleId="40">
    <w:name w:val="二级条标题"/>
    <w:basedOn w:val="41"/>
    <w:next w:val="22"/>
    <w:qFormat/>
    <w:uiPriority w:val="99"/>
    <w:pPr>
      <w:numPr>
        <w:ilvl w:val="2"/>
      </w:numPr>
      <w:spacing w:before="50" w:after="50"/>
      <w:ind w:left="735"/>
      <w:outlineLvl w:val="3"/>
    </w:pPr>
  </w:style>
  <w:style w:type="paragraph" w:customStyle="1" w:styleId="41">
    <w:name w:val="一级条标题"/>
    <w:next w:val="22"/>
    <w:link w:val="136"/>
    <w:qFormat/>
    <w:uiPriority w:val="99"/>
    <w:pPr>
      <w:numPr>
        <w:ilvl w:val="1"/>
        <w:numId w:val="3"/>
      </w:numPr>
      <w:spacing w:beforeLines="50" w:afterLines="50"/>
      <w:outlineLvl w:val="2"/>
    </w:pPr>
    <w:rPr>
      <w:rFonts w:ascii="黑体" w:hAnsi="Times New Roman" w:eastAsia="黑体" w:cs="Times New Roman"/>
      <w:sz w:val="21"/>
      <w:szCs w:val="21"/>
      <w:lang w:val="en-US" w:eastAsia="zh-CN" w:bidi="ar-SA"/>
    </w:rPr>
  </w:style>
  <w:style w:type="paragraph" w:customStyle="1" w:styleId="42">
    <w:name w:val="附录二级条标题"/>
    <w:basedOn w:val="1"/>
    <w:next w:val="22"/>
    <w:qFormat/>
    <w:uiPriority w:val="0"/>
    <w:pPr>
      <w:widowControl/>
      <w:numPr>
        <w:ilvl w:val="3"/>
        <w:numId w:val="4"/>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43">
    <w:name w:val="附录四级无"/>
    <w:basedOn w:val="44"/>
    <w:qFormat/>
    <w:uiPriority w:val="0"/>
    <w:pPr>
      <w:tabs>
        <w:tab w:val="left" w:pos="360"/>
      </w:tabs>
      <w:spacing w:beforeLines="0" w:afterLines="0"/>
    </w:pPr>
    <w:rPr>
      <w:rFonts w:ascii="宋体" w:eastAsia="宋体"/>
      <w:szCs w:val="21"/>
    </w:rPr>
  </w:style>
  <w:style w:type="paragraph" w:customStyle="1" w:styleId="44">
    <w:name w:val="附录四级条标题"/>
    <w:basedOn w:val="45"/>
    <w:next w:val="22"/>
    <w:qFormat/>
    <w:uiPriority w:val="0"/>
    <w:pPr>
      <w:numPr>
        <w:ilvl w:val="5"/>
      </w:numPr>
      <w:tabs>
        <w:tab w:val="left" w:pos="360"/>
      </w:tabs>
      <w:outlineLvl w:val="5"/>
    </w:pPr>
  </w:style>
  <w:style w:type="paragraph" w:customStyle="1" w:styleId="45">
    <w:name w:val="附录三级条标题"/>
    <w:basedOn w:val="42"/>
    <w:next w:val="22"/>
    <w:qFormat/>
    <w:uiPriority w:val="0"/>
    <w:pPr>
      <w:numPr>
        <w:ilvl w:val="4"/>
      </w:numPr>
      <w:outlineLvl w:val="4"/>
    </w:pPr>
  </w:style>
  <w:style w:type="paragraph" w:customStyle="1" w:styleId="46">
    <w:name w:val="示例×："/>
    <w:basedOn w:val="47"/>
    <w:qFormat/>
    <w:uiPriority w:val="0"/>
    <w:pPr>
      <w:numPr>
        <w:numId w:val="5"/>
      </w:numPr>
      <w:spacing w:beforeLines="0" w:afterLines="0"/>
      <w:outlineLvl w:val="9"/>
    </w:pPr>
    <w:rPr>
      <w:rFonts w:ascii="宋体" w:eastAsia="宋体"/>
      <w:sz w:val="18"/>
      <w:szCs w:val="18"/>
    </w:rPr>
  </w:style>
  <w:style w:type="paragraph" w:customStyle="1" w:styleId="47">
    <w:name w:val="章标题"/>
    <w:next w:val="22"/>
    <w:qFormat/>
    <w:uiPriority w:val="99"/>
    <w:pPr>
      <w:numPr>
        <w:ilvl w:val="0"/>
        <w:numId w:val="3"/>
      </w:numPr>
      <w:spacing w:beforeLines="100" w:afterLines="100"/>
      <w:ind w:left="567"/>
      <w:jc w:val="both"/>
      <w:outlineLvl w:val="1"/>
    </w:pPr>
    <w:rPr>
      <w:rFonts w:ascii="黑体" w:hAnsi="Times New Roman" w:eastAsia="黑体" w:cs="Times New Roman"/>
      <w:sz w:val="21"/>
      <w:lang w:val="en-US" w:eastAsia="zh-CN" w:bidi="ar-SA"/>
    </w:rPr>
  </w:style>
  <w:style w:type="paragraph" w:customStyle="1" w:styleId="48">
    <w:name w:val="封面标准名称2"/>
    <w:basedOn w:val="49"/>
    <w:qFormat/>
    <w:uiPriority w:val="0"/>
    <w:pPr>
      <w:framePr w:wrap="around" w:y="4469"/>
      <w:spacing w:beforeLines="630"/>
    </w:pPr>
  </w:style>
  <w:style w:type="paragraph" w:customStyle="1" w:styleId="49">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50">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1">
    <w:name w:val="终结线"/>
    <w:basedOn w:val="1"/>
    <w:qFormat/>
    <w:uiPriority w:val="0"/>
    <w:pPr>
      <w:framePr w:hSpace="181" w:vSpace="181" w:wrap="around" w:vAnchor="text" w:hAnchor="margin" w:xAlign="center" w:y="285"/>
    </w:pPr>
  </w:style>
  <w:style w:type="paragraph" w:customStyle="1" w:styleId="52">
    <w:name w:val="编号列项（三级）"/>
    <w:qFormat/>
    <w:uiPriority w:val="0"/>
    <w:pPr>
      <w:numPr>
        <w:ilvl w:val="2"/>
        <w:numId w:val="6"/>
      </w:numPr>
    </w:pPr>
    <w:rPr>
      <w:rFonts w:ascii="宋体" w:hAnsi="Times New Roman" w:eastAsia="宋体" w:cs="Times New Roman"/>
      <w:sz w:val="21"/>
      <w:lang w:val="en-US" w:eastAsia="zh-CN" w:bidi="ar-SA"/>
    </w:rPr>
  </w:style>
  <w:style w:type="paragraph" w:customStyle="1" w:styleId="53">
    <w:name w:val="五级条标题"/>
    <w:basedOn w:val="54"/>
    <w:next w:val="22"/>
    <w:qFormat/>
    <w:uiPriority w:val="0"/>
    <w:pPr>
      <w:numPr>
        <w:ilvl w:val="5"/>
      </w:numPr>
      <w:outlineLvl w:val="6"/>
    </w:pPr>
  </w:style>
  <w:style w:type="paragraph" w:customStyle="1" w:styleId="54">
    <w:name w:val="四级条标题"/>
    <w:basedOn w:val="39"/>
    <w:next w:val="22"/>
    <w:qFormat/>
    <w:uiPriority w:val="0"/>
    <w:pPr>
      <w:numPr>
        <w:ilvl w:val="4"/>
      </w:numPr>
      <w:outlineLvl w:val="5"/>
    </w:pPr>
  </w:style>
  <w:style w:type="paragraph" w:customStyle="1" w:styleId="55">
    <w:name w:val="附录一级条标题"/>
    <w:basedOn w:val="56"/>
    <w:next w:val="22"/>
    <w:qFormat/>
    <w:uiPriority w:val="0"/>
    <w:pPr>
      <w:numPr>
        <w:ilvl w:val="2"/>
      </w:numPr>
      <w:tabs>
        <w:tab w:val="left" w:pos="360"/>
      </w:tabs>
      <w:autoSpaceDN w:val="0"/>
      <w:spacing w:beforeLines="50" w:afterLines="50"/>
      <w:outlineLvl w:val="2"/>
    </w:pPr>
  </w:style>
  <w:style w:type="paragraph" w:customStyle="1" w:styleId="56">
    <w:name w:val="附录章标题"/>
    <w:next w:val="22"/>
    <w:qFormat/>
    <w:uiPriority w:val="0"/>
    <w:pPr>
      <w:numPr>
        <w:ilvl w:val="1"/>
        <w:numId w:val="4"/>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57">
    <w:name w:val="封面标准文稿编辑信息2"/>
    <w:basedOn w:val="58"/>
    <w:qFormat/>
    <w:uiPriority w:val="0"/>
    <w:pPr>
      <w:framePr w:wrap="around" w:y="4469"/>
    </w:pPr>
  </w:style>
  <w:style w:type="paragraph" w:customStyle="1" w:styleId="58">
    <w:name w:val="封面标准文稿编辑信息"/>
    <w:basedOn w:val="59"/>
    <w:qFormat/>
    <w:uiPriority w:val="0"/>
    <w:pPr>
      <w:framePr w:wrap="around"/>
      <w:spacing w:before="180" w:line="180" w:lineRule="exact"/>
    </w:pPr>
    <w:rPr>
      <w:sz w:val="21"/>
    </w:rPr>
  </w:style>
  <w:style w:type="paragraph" w:customStyle="1" w:styleId="59">
    <w:name w:val="封面标准文稿类别"/>
    <w:basedOn w:val="60"/>
    <w:qFormat/>
    <w:uiPriority w:val="0"/>
    <w:pPr>
      <w:framePr w:wrap="around"/>
      <w:spacing w:after="160" w:line="240" w:lineRule="auto"/>
    </w:pPr>
    <w:rPr>
      <w:sz w:val="24"/>
    </w:rPr>
  </w:style>
  <w:style w:type="paragraph" w:customStyle="1" w:styleId="60">
    <w:name w:val="封面一致性程度标识"/>
    <w:basedOn w:val="61"/>
    <w:qFormat/>
    <w:uiPriority w:val="0"/>
    <w:pPr>
      <w:framePr w:wrap="around"/>
      <w:spacing w:before="440"/>
    </w:pPr>
    <w:rPr>
      <w:rFonts w:ascii="宋体" w:eastAsia="宋体"/>
    </w:rPr>
  </w:style>
  <w:style w:type="paragraph" w:customStyle="1" w:styleId="61">
    <w:name w:val="封面标准英文名称"/>
    <w:basedOn w:val="49"/>
    <w:qFormat/>
    <w:uiPriority w:val="0"/>
    <w:pPr>
      <w:framePr w:wrap="around"/>
      <w:spacing w:before="370" w:line="400" w:lineRule="exact"/>
    </w:pPr>
    <w:rPr>
      <w:rFonts w:ascii="Times New Roman"/>
      <w:sz w:val="28"/>
      <w:szCs w:val="28"/>
    </w:rPr>
  </w:style>
  <w:style w:type="paragraph" w:customStyle="1" w:styleId="62">
    <w:name w:val="发布部门"/>
    <w:next w:val="22"/>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63">
    <w:name w:val="参考文献"/>
    <w:basedOn w:val="1"/>
    <w:next w:val="2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64">
    <w:name w:val="附录五级无"/>
    <w:basedOn w:val="65"/>
    <w:qFormat/>
    <w:uiPriority w:val="0"/>
    <w:pPr>
      <w:tabs>
        <w:tab w:val="left" w:pos="360"/>
      </w:tabs>
      <w:spacing w:beforeLines="0" w:afterLines="0"/>
    </w:pPr>
    <w:rPr>
      <w:rFonts w:ascii="宋体" w:eastAsia="宋体"/>
      <w:szCs w:val="21"/>
    </w:rPr>
  </w:style>
  <w:style w:type="paragraph" w:customStyle="1" w:styleId="65">
    <w:name w:val="附录五级条标题"/>
    <w:basedOn w:val="44"/>
    <w:next w:val="22"/>
    <w:qFormat/>
    <w:uiPriority w:val="0"/>
    <w:pPr>
      <w:numPr>
        <w:ilvl w:val="6"/>
      </w:numPr>
      <w:outlineLvl w:val="6"/>
    </w:pPr>
  </w:style>
  <w:style w:type="paragraph" w:customStyle="1" w:styleId="66">
    <w:name w:val="一级无"/>
    <w:basedOn w:val="41"/>
    <w:qFormat/>
    <w:uiPriority w:val="0"/>
    <w:pPr>
      <w:spacing w:beforeLines="0" w:afterLines="0"/>
    </w:pPr>
    <w:rPr>
      <w:rFonts w:ascii="宋体" w:eastAsia="宋体"/>
    </w:rPr>
  </w:style>
  <w:style w:type="paragraph" w:customStyle="1" w:styleId="67">
    <w:name w:val="五级无"/>
    <w:basedOn w:val="53"/>
    <w:qFormat/>
    <w:uiPriority w:val="0"/>
    <w:pPr>
      <w:spacing w:beforeLines="0" w:afterLines="0"/>
    </w:pPr>
    <w:rPr>
      <w:rFonts w:ascii="宋体" w:eastAsia="宋体"/>
    </w:rPr>
  </w:style>
  <w:style w:type="paragraph" w:customStyle="1" w:styleId="68">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69">
    <w:name w:val="封面标准英文名称2"/>
    <w:basedOn w:val="61"/>
    <w:qFormat/>
    <w:uiPriority w:val="0"/>
    <w:pPr>
      <w:framePr w:wrap="around" w:y="4469"/>
    </w:pPr>
  </w:style>
  <w:style w:type="paragraph" w:customStyle="1" w:styleId="70">
    <w:name w:val="示例"/>
    <w:next w:val="71"/>
    <w:qFormat/>
    <w:uiPriority w:val="0"/>
    <w:pPr>
      <w:widowControl w:val="0"/>
      <w:numPr>
        <w:ilvl w:val="0"/>
        <w:numId w:val="7"/>
      </w:numPr>
      <w:jc w:val="both"/>
    </w:pPr>
    <w:rPr>
      <w:rFonts w:ascii="宋体" w:hAnsi="Times New Roman" w:eastAsia="宋体" w:cs="Times New Roman"/>
      <w:sz w:val="18"/>
      <w:szCs w:val="18"/>
      <w:lang w:val="en-US" w:eastAsia="zh-CN" w:bidi="ar-SA"/>
    </w:rPr>
  </w:style>
  <w:style w:type="paragraph" w:customStyle="1" w:styleId="71">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72">
    <w:name w:val="附录字母编号列项（一级）"/>
    <w:qFormat/>
    <w:uiPriority w:val="0"/>
    <w:pPr>
      <w:numPr>
        <w:ilvl w:val="0"/>
        <w:numId w:val="2"/>
      </w:numPr>
    </w:pPr>
    <w:rPr>
      <w:rFonts w:ascii="宋体" w:hAnsi="Times New Roman" w:eastAsia="宋体" w:cs="Times New Roman"/>
      <w:sz w:val="21"/>
      <w:lang w:val="en-US" w:eastAsia="zh-CN" w:bidi="ar-SA"/>
    </w:rPr>
  </w:style>
  <w:style w:type="paragraph" w:customStyle="1" w:styleId="73">
    <w:name w:val="列项◆（三级）"/>
    <w:basedOn w:val="1"/>
    <w:qFormat/>
    <w:uiPriority w:val="0"/>
    <w:pPr>
      <w:numPr>
        <w:ilvl w:val="2"/>
        <w:numId w:val="8"/>
      </w:numPr>
    </w:pPr>
    <w:rPr>
      <w:rFonts w:ascii="宋体"/>
      <w:szCs w:val="21"/>
    </w:rPr>
  </w:style>
  <w:style w:type="paragraph" w:customStyle="1" w:styleId="74">
    <w:name w:val="正文图标题"/>
    <w:next w:val="22"/>
    <w:qFormat/>
    <w:uiPriority w:val="0"/>
    <w:pPr>
      <w:numPr>
        <w:ilvl w:val="0"/>
        <w:numId w:val="9"/>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75">
    <w:name w:val="其他发布日期"/>
    <w:basedOn w:val="76"/>
    <w:qFormat/>
    <w:uiPriority w:val="0"/>
    <w:pPr>
      <w:framePr w:wrap="around" w:vAnchor="page" w:hAnchor="text" w:x="1419"/>
    </w:pPr>
  </w:style>
  <w:style w:type="paragraph" w:customStyle="1" w:styleId="76">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7">
    <w:name w:val="注：（正文）"/>
    <w:basedOn w:val="78"/>
    <w:next w:val="22"/>
    <w:qFormat/>
    <w:uiPriority w:val="0"/>
  </w:style>
  <w:style w:type="paragraph" w:customStyle="1" w:styleId="78">
    <w:name w:val="注："/>
    <w:next w:val="22"/>
    <w:qFormat/>
    <w:uiPriority w:val="0"/>
    <w:pPr>
      <w:widowControl w:val="0"/>
      <w:numPr>
        <w:ilvl w:val="0"/>
        <w:numId w:val="10"/>
      </w:numPr>
      <w:autoSpaceDE w:val="0"/>
      <w:autoSpaceDN w:val="0"/>
      <w:jc w:val="both"/>
    </w:pPr>
    <w:rPr>
      <w:rFonts w:ascii="宋体" w:hAnsi="Times New Roman" w:eastAsia="宋体" w:cs="Times New Roman"/>
      <w:sz w:val="18"/>
      <w:szCs w:val="18"/>
      <w:lang w:val="en-US" w:eastAsia="zh-CN" w:bidi="ar-SA"/>
    </w:rPr>
  </w:style>
  <w:style w:type="paragraph" w:customStyle="1" w:styleId="79">
    <w:name w:val="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0">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81">
    <w:name w:val="字母编号列项（一级）"/>
    <w:qFormat/>
    <w:uiPriority w:val="0"/>
    <w:pPr>
      <w:numPr>
        <w:ilvl w:val="0"/>
        <w:numId w:val="6"/>
      </w:numPr>
      <w:jc w:val="both"/>
    </w:pPr>
    <w:rPr>
      <w:rFonts w:ascii="宋体" w:hAnsi="Times New Roman" w:eastAsia="宋体" w:cs="Times New Roman"/>
      <w:sz w:val="21"/>
      <w:lang w:val="en-US" w:eastAsia="zh-CN" w:bidi="ar-SA"/>
    </w:rPr>
  </w:style>
  <w:style w:type="paragraph" w:customStyle="1" w:styleId="82">
    <w:name w:val="首示例"/>
    <w:next w:val="22"/>
    <w:link w:val="132"/>
    <w:qFormat/>
    <w:uiPriority w:val="0"/>
    <w:pPr>
      <w:numPr>
        <w:ilvl w:val="0"/>
        <w:numId w:val="11"/>
      </w:numPr>
      <w:tabs>
        <w:tab w:val="left" w:pos="360"/>
      </w:tabs>
      <w:ind w:firstLine="0"/>
    </w:pPr>
    <w:rPr>
      <w:rFonts w:ascii="宋体" w:hAnsi="宋体" w:eastAsia="宋体" w:cs="Times New Roman"/>
      <w:kern w:val="2"/>
      <w:sz w:val="18"/>
      <w:szCs w:val="18"/>
      <w:lang w:val="en-US" w:eastAsia="zh-CN" w:bidi="ar-SA"/>
    </w:rPr>
  </w:style>
  <w:style w:type="paragraph" w:customStyle="1" w:styleId="83">
    <w:name w:val="其他标准标志"/>
    <w:basedOn w:val="84"/>
    <w:qFormat/>
    <w:uiPriority w:val="0"/>
    <w:pPr>
      <w:framePr w:w="6101" w:wrap="around" w:vAnchor="page" w:hAnchor="page" w:x="4673" w:y="942"/>
    </w:pPr>
    <w:rPr>
      <w:w w:val="130"/>
    </w:rPr>
  </w:style>
  <w:style w:type="paragraph" w:customStyle="1" w:styleId="84">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85">
    <w:name w:val="正文表标题"/>
    <w:next w:val="22"/>
    <w:qFormat/>
    <w:uiPriority w:val="0"/>
    <w:pPr>
      <w:numPr>
        <w:ilvl w:val="0"/>
        <w:numId w:val="12"/>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86">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87">
    <w:name w:val="附录公式编号制表符"/>
    <w:basedOn w:val="1"/>
    <w:next w:val="22"/>
    <w:qFormat/>
    <w:uiPriority w:val="0"/>
    <w:pPr>
      <w:widowControl/>
      <w:tabs>
        <w:tab w:val="center" w:pos="4201"/>
        <w:tab w:val="right" w:leader="dot" w:pos="9298"/>
      </w:tabs>
      <w:autoSpaceDE w:val="0"/>
      <w:autoSpaceDN w:val="0"/>
    </w:pPr>
    <w:rPr>
      <w:rFonts w:ascii="宋体"/>
      <w:kern w:val="0"/>
      <w:szCs w:val="20"/>
    </w:rPr>
  </w:style>
  <w:style w:type="paragraph" w:customStyle="1" w:styleId="88">
    <w:name w:val="封面正文"/>
    <w:qFormat/>
    <w:uiPriority w:val="0"/>
    <w:pPr>
      <w:jc w:val="both"/>
    </w:pPr>
    <w:rPr>
      <w:rFonts w:ascii="Times New Roman" w:hAnsi="Times New Roman" w:eastAsia="宋体" w:cs="Times New Roman"/>
      <w:lang w:val="en-US" w:eastAsia="zh-CN" w:bidi="ar-SA"/>
    </w:rPr>
  </w:style>
  <w:style w:type="paragraph" w:customStyle="1" w:styleId="89">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90">
    <w:name w:val="附录表标题"/>
    <w:basedOn w:val="1"/>
    <w:next w:val="22"/>
    <w:qFormat/>
    <w:uiPriority w:val="0"/>
    <w:pPr>
      <w:numPr>
        <w:ilvl w:val="1"/>
        <w:numId w:val="13"/>
      </w:numPr>
      <w:tabs>
        <w:tab w:val="left" w:pos="180"/>
      </w:tabs>
      <w:spacing w:beforeLines="50" w:afterLines="50"/>
      <w:ind w:left="0" w:firstLine="0"/>
      <w:jc w:val="center"/>
    </w:pPr>
    <w:rPr>
      <w:rFonts w:ascii="黑体" w:eastAsia="黑体"/>
      <w:szCs w:val="21"/>
    </w:rPr>
  </w:style>
  <w:style w:type="paragraph" w:customStyle="1" w:styleId="91">
    <w:name w:val="四级无"/>
    <w:basedOn w:val="54"/>
    <w:qFormat/>
    <w:uiPriority w:val="0"/>
    <w:pPr>
      <w:spacing w:beforeLines="0" w:afterLines="0"/>
    </w:pPr>
    <w:rPr>
      <w:rFonts w:ascii="宋体" w:eastAsia="宋体"/>
    </w:rPr>
  </w:style>
  <w:style w:type="paragraph" w:customStyle="1" w:styleId="92">
    <w:name w:val="前言、引言标题"/>
    <w:next w:val="22"/>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93">
    <w:name w:val="图的脚注"/>
    <w:next w:val="22"/>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94">
    <w:name w:val="附录图标题"/>
    <w:basedOn w:val="1"/>
    <w:next w:val="22"/>
    <w:qFormat/>
    <w:uiPriority w:val="0"/>
    <w:pPr>
      <w:numPr>
        <w:ilvl w:val="1"/>
        <w:numId w:val="14"/>
      </w:numPr>
      <w:tabs>
        <w:tab w:val="left" w:pos="363"/>
      </w:tabs>
      <w:spacing w:beforeLines="50" w:afterLines="50"/>
      <w:ind w:left="0" w:firstLine="0"/>
      <w:jc w:val="center"/>
    </w:pPr>
    <w:rPr>
      <w:rFonts w:ascii="黑体" w:eastAsia="黑体"/>
      <w:szCs w:val="21"/>
    </w:rPr>
  </w:style>
  <w:style w:type="paragraph" w:customStyle="1" w:styleId="95">
    <w:name w:val="示例后文字"/>
    <w:basedOn w:val="22"/>
    <w:next w:val="22"/>
    <w:qFormat/>
    <w:uiPriority w:val="0"/>
    <w:pPr>
      <w:ind w:firstLine="360"/>
    </w:pPr>
    <w:rPr>
      <w:sz w:val="18"/>
    </w:rPr>
  </w:style>
  <w:style w:type="paragraph" w:customStyle="1" w:styleId="96">
    <w:name w:val="附录三级无"/>
    <w:basedOn w:val="45"/>
    <w:qFormat/>
    <w:uiPriority w:val="0"/>
    <w:pPr>
      <w:tabs>
        <w:tab w:val="clear" w:pos="360"/>
      </w:tabs>
      <w:spacing w:beforeLines="0" w:afterLines="0"/>
    </w:pPr>
    <w:rPr>
      <w:rFonts w:ascii="宋体" w:eastAsia="宋体"/>
      <w:szCs w:val="21"/>
    </w:rPr>
  </w:style>
  <w:style w:type="paragraph" w:customStyle="1" w:styleId="97">
    <w:name w:val="三级无"/>
    <w:basedOn w:val="39"/>
    <w:qFormat/>
    <w:uiPriority w:val="0"/>
    <w:pPr>
      <w:spacing w:beforeLines="0" w:afterLines="0"/>
    </w:pPr>
    <w:rPr>
      <w:rFonts w:ascii="宋体" w:eastAsia="宋体"/>
    </w:rPr>
  </w:style>
  <w:style w:type="paragraph" w:customStyle="1" w:styleId="98">
    <w:name w:val="实施日期"/>
    <w:basedOn w:val="76"/>
    <w:qFormat/>
    <w:uiPriority w:val="0"/>
    <w:pPr>
      <w:framePr w:wrap="around" w:vAnchor="page" w:hAnchor="text"/>
      <w:jc w:val="right"/>
    </w:pPr>
  </w:style>
  <w:style w:type="paragraph" w:customStyle="1" w:styleId="99">
    <w:name w:val="图标脚注说明"/>
    <w:basedOn w:val="22"/>
    <w:qFormat/>
    <w:uiPriority w:val="0"/>
    <w:pPr>
      <w:ind w:left="840" w:hanging="420" w:firstLineChars="0"/>
    </w:pPr>
    <w:rPr>
      <w:sz w:val="18"/>
      <w:szCs w:val="18"/>
    </w:rPr>
  </w:style>
  <w:style w:type="paragraph" w:customStyle="1" w:styleId="100">
    <w:name w:val="附录表标号"/>
    <w:basedOn w:val="1"/>
    <w:next w:val="22"/>
    <w:qFormat/>
    <w:uiPriority w:val="0"/>
    <w:pPr>
      <w:numPr>
        <w:ilvl w:val="0"/>
        <w:numId w:val="13"/>
      </w:numPr>
      <w:tabs>
        <w:tab w:val="clear" w:pos="0"/>
      </w:tabs>
      <w:spacing w:line="14" w:lineRule="exact"/>
      <w:ind w:left="811" w:hanging="448"/>
      <w:jc w:val="center"/>
      <w:outlineLvl w:val="0"/>
    </w:pPr>
    <w:rPr>
      <w:color w:val="FFFFFF"/>
    </w:rPr>
  </w:style>
  <w:style w:type="paragraph" w:customStyle="1" w:styleId="101">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2">
    <w:name w:val="附录一级无"/>
    <w:basedOn w:val="55"/>
    <w:qFormat/>
    <w:uiPriority w:val="0"/>
    <w:pPr>
      <w:tabs>
        <w:tab w:val="clear" w:pos="360"/>
      </w:tabs>
      <w:spacing w:beforeLines="0" w:afterLines="0"/>
    </w:pPr>
    <w:rPr>
      <w:rFonts w:ascii="宋体" w:eastAsia="宋体"/>
      <w:szCs w:val="21"/>
    </w:rPr>
  </w:style>
  <w:style w:type="paragraph" w:customStyle="1" w:styleId="10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4">
    <w:name w:val="其他发布部门"/>
    <w:basedOn w:val="62"/>
    <w:qFormat/>
    <w:uiPriority w:val="0"/>
    <w:pPr>
      <w:framePr w:wrap="around" w:y="15310"/>
      <w:spacing w:line="0" w:lineRule="atLeast"/>
    </w:pPr>
    <w:rPr>
      <w:rFonts w:ascii="黑体" w:eastAsia="黑体"/>
      <w:b w:val="0"/>
    </w:rPr>
  </w:style>
  <w:style w:type="paragraph" w:customStyle="1" w:styleId="105">
    <w:name w:val="标准书眉一"/>
    <w:qFormat/>
    <w:uiPriority w:val="0"/>
    <w:pPr>
      <w:jc w:val="both"/>
    </w:pPr>
    <w:rPr>
      <w:rFonts w:ascii="Times New Roman" w:hAnsi="Times New Roman" w:eastAsia="宋体" w:cs="Times New Roman"/>
      <w:lang w:val="en-US" w:eastAsia="zh-CN" w:bidi="ar-SA"/>
    </w:rPr>
  </w:style>
  <w:style w:type="paragraph" w:customStyle="1" w:styleId="106">
    <w:name w:val="注×："/>
    <w:qFormat/>
    <w:uiPriority w:val="0"/>
    <w:pPr>
      <w:widowControl w:val="0"/>
      <w:numPr>
        <w:ilvl w:val="0"/>
        <w:numId w:val="15"/>
      </w:numPr>
      <w:autoSpaceDE w:val="0"/>
      <w:autoSpaceDN w:val="0"/>
      <w:jc w:val="both"/>
    </w:pPr>
    <w:rPr>
      <w:rFonts w:ascii="宋体" w:hAnsi="Times New Roman" w:eastAsia="宋体" w:cs="Times New Roman"/>
      <w:sz w:val="18"/>
      <w:szCs w:val="18"/>
      <w:lang w:val="en-US" w:eastAsia="zh-CN" w:bidi="ar-SA"/>
    </w:rPr>
  </w:style>
  <w:style w:type="paragraph" w:customStyle="1" w:styleId="107">
    <w:name w:val="列项●（二级）"/>
    <w:qFormat/>
    <w:uiPriority w:val="0"/>
    <w:pPr>
      <w:numPr>
        <w:ilvl w:val="1"/>
        <w:numId w:val="8"/>
      </w:numPr>
      <w:tabs>
        <w:tab w:val="left" w:pos="840"/>
      </w:tabs>
      <w:jc w:val="both"/>
    </w:pPr>
    <w:rPr>
      <w:rFonts w:ascii="宋体" w:hAnsi="Times New Roman" w:eastAsia="宋体" w:cs="Times New Roman"/>
      <w:sz w:val="21"/>
      <w:lang w:val="en-US" w:eastAsia="zh-CN" w:bidi="ar-SA"/>
    </w:rPr>
  </w:style>
  <w:style w:type="paragraph" w:customStyle="1" w:styleId="108">
    <w:name w:val="附录图标号"/>
    <w:basedOn w:val="1"/>
    <w:qFormat/>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10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10">
    <w:name w:val="条文脚注"/>
    <w:basedOn w:val="23"/>
    <w:qFormat/>
    <w:uiPriority w:val="0"/>
    <w:pPr>
      <w:numPr>
        <w:numId w:val="0"/>
      </w:numPr>
      <w:jc w:val="both"/>
    </w:pPr>
  </w:style>
  <w:style w:type="paragraph" w:customStyle="1" w:styleId="111">
    <w:name w:val="附录标识"/>
    <w:basedOn w:val="1"/>
    <w:next w:val="22"/>
    <w:qFormat/>
    <w:uiPriority w:val="0"/>
    <w:pPr>
      <w:keepNext/>
      <w:widowControl/>
      <w:numPr>
        <w:ilvl w:val="0"/>
        <w:numId w:val="4"/>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12">
    <w:name w:val="二级无"/>
    <w:basedOn w:val="40"/>
    <w:qFormat/>
    <w:uiPriority w:val="0"/>
    <w:pPr>
      <w:spacing w:beforeLines="0" w:afterLines="0"/>
      <w:ind w:left="0"/>
    </w:pPr>
    <w:rPr>
      <w:rFonts w:ascii="宋体" w:eastAsia="宋体"/>
    </w:rPr>
  </w:style>
  <w:style w:type="paragraph" w:customStyle="1" w:styleId="113">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114">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15">
    <w:name w:val="目次、标准名称标题"/>
    <w:basedOn w:val="1"/>
    <w:next w:val="22"/>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16">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17">
    <w:name w:val="标准书眉_偶数页"/>
    <w:basedOn w:val="116"/>
    <w:next w:val="1"/>
    <w:qFormat/>
    <w:uiPriority w:val="0"/>
    <w:pPr>
      <w:jc w:val="left"/>
    </w:pPr>
  </w:style>
  <w:style w:type="paragraph" w:customStyle="1" w:styleId="118">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19">
    <w:name w:val="其他实施日期"/>
    <w:basedOn w:val="98"/>
    <w:qFormat/>
    <w:uiPriority w:val="0"/>
    <w:pPr>
      <w:framePr w:wrap="around"/>
    </w:pPr>
  </w:style>
  <w:style w:type="paragraph" w:customStyle="1" w:styleId="120">
    <w:name w:val="列项——（一级）"/>
    <w:qFormat/>
    <w:uiPriority w:val="0"/>
    <w:pPr>
      <w:widowControl w:val="0"/>
      <w:numPr>
        <w:ilvl w:val="0"/>
        <w:numId w:val="8"/>
      </w:numPr>
      <w:jc w:val="both"/>
    </w:pPr>
    <w:rPr>
      <w:rFonts w:ascii="宋体" w:hAnsi="Times New Roman" w:eastAsia="宋体" w:cs="Times New Roman"/>
      <w:sz w:val="21"/>
      <w:lang w:val="en-US" w:eastAsia="zh-CN" w:bidi="ar-SA"/>
    </w:rPr>
  </w:style>
  <w:style w:type="paragraph" w:customStyle="1" w:styleId="121">
    <w:name w:val="附录公式"/>
    <w:basedOn w:val="22"/>
    <w:next w:val="22"/>
    <w:link w:val="134"/>
    <w:qFormat/>
    <w:uiPriority w:val="0"/>
  </w:style>
  <w:style w:type="paragraph" w:customStyle="1" w:styleId="122">
    <w:name w:val="数字编号列项（二级）"/>
    <w:qFormat/>
    <w:uiPriority w:val="0"/>
    <w:pPr>
      <w:numPr>
        <w:ilvl w:val="1"/>
        <w:numId w:val="6"/>
      </w:numPr>
      <w:jc w:val="both"/>
    </w:pPr>
    <w:rPr>
      <w:rFonts w:ascii="宋体" w:hAnsi="Times New Roman" w:eastAsia="宋体" w:cs="Times New Roman"/>
      <w:sz w:val="21"/>
      <w:lang w:val="en-US" w:eastAsia="zh-CN" w:bidi="ar-SA"/>
    </w:rPr>
  </w:style>
  <w:style w:type="paragraph" w:customStyle="1" w:styleId="123">
    <w:name w:val="注×：（正文）"/>
    <w:qFormat/>
    <w:uiPriority w:val="0"/>
    <w:pPr>
      <w:numPr>
        <w:ilvl w:val="0"/>
        <w:numId w:val="16"/>
      </w:numPr>
      <w:jc w:val="both"/>
    </w:pPr>
    <w:rPr>
      <w:rFonts w:ascii="宋体" w:hAnsi="Times New Roman" w:eastAsia="宋体" w:cs="Times New Roman"/>
      <w:sz w:val="18"/>
      <w:szCs w:val="18"/>
      <w:lang w:val="en-US" w:eastAsia="zh-CN" w:bidi="ar-SA"/>
    </w:rPr>
  </w:style>
  <w:style w:type="paragraph" w:styleId="124">
    <w:name w:val="List Paragraph"/>
    <w:basedOn w:val="1"/>
    <w:qFormat/>
    <w:uiPriority w:val="0"/>
    <w:pPr>
      <w:ind w:firstLine="420" w:firstLineChars="200"/>
    </w:pPr>
    <w:rPr>
      <w:rFonts w:ascii="Calibri" w:hAnsi="Calibri"/>
      <w:szCs w:val="22"/>
    </w:rPr>
  </w:style>
  <w:style w:type="paragraph" w:customStyle="1" w:styleId="125">
    <w:name w:val="参考文献、索引标题"/>
    <w:basedOn w:val="1"/>
    <w:next w:val="2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26">
    <w:name w:val="附录标题"/>
    <w:basedOn w:val="22"/>
    <w:next w:val="22"/>
    <w:qFormat/>
    <w:uiPriority w:val="0"/>
    <w:pPr>
      <w:ind w:firstLine="0" w:firstLineChars="0"/>
      <w:jc w:val="center"/>
    </w:pPr>
    <w:rPr>
      <w:rFonts w:ascii="黑体" w:eastAsia="黑体"/>
    </w:rPr>
  </w:style>
  <w:style w:type="paragraph" w:customStyle="1" w:styleId="127">
    <w:name w:val="附录二级无"/>
    <w:basedOn w:val="42"/>
    <w:qFormat/>
    <w:uiPriority w:val="0"/>
    <w:pPr>
      <w:tabs>
        <w:tab w:val="clear" w:pos="360"/>
      </w:tabs>
      <w:spacing w:beforeLines="0" w:afterLines="0"/>
    </w:pPr>
    <w:rPr>
      <w:rFonts w:ascii="宋体" w:eastAsia="宋体"/>
      <w:szCs w:val="21"/>
    </w:rPr>
  </w:style>
  <w:style w:type="paragraph" w:customStyle="1" w:styleId="128">
    <w:name w:val="正文公式编号制表符"/>
    <w:basedOn w:val="22"/>
    <w:next w:val="22"/>
    <w:qFormat/>
    <w:uiPriority w:val="0"/>
    <w:pPr>
      <w:ind w:firstLine="0" w:firstLineChars="0"/>
    </w:pPr>
  </w:style>
  <w:style w:type="paragraph" w:customStyle="1" w:styleId="129">
    <w:name w:val="图表脚注说明"/>
    <w:basedOn w:val="1"/>
    <w:qFormat/>
    <w:uiPriority w:val="0"/>
    <w:pPr>
      <w:numPr>
        <w:ilvl w:val="0"/>
        <w:numId w:val="17"/>
      </w:numPr>
    </w:pPr>
    <w:rPr>
      <w:rFonts w:ascii="宋体"/>
      <w:sz w:val="18"/>
      <w:szCs w:val="18"/>
    </w:rPr>
  </w:style>
  <w:style w:type="paragraph" w:customStyle="1" w:styleId="130">
    <w:name w:val="封面一致性程度标识2"/>
    <w:basedOn w:val="60"/>
    <w:qFormat/>
    <w:uiPriority w:val="0"/>
    <w:pPr>
      <w:framePr w:wrap="around" w:y="4469"/>
    </w:pPr>
  </w:style>
  <w:style w:type="paragraph" w:customStyle="1" w:styleId="131">
    <w:name w:val="封面标准文稿类别2"/>
    <w:basedOn w:val="59"/>
    <w:qFormat/>
    <w:uiPriority w:val="0"/>
    <w:pPr>
      <w:framePr w:wrap="around" w:y="4469"/>
    </w:pPr>
  </w:style>
  <w:style w:type="character" w:customStyle="1" w:styleId="132">
    <w:name w:val="首示例 Char"/>
    <w:basedOn w:val="32"/>
    <w:link w:val="82"/>
    <w:qFormat/>
    <w:uiPriority w:val="0"/>
    <w:rPr>
      <w:rFonts w:ascii="宋体" w:hAnsi="宋体"/>
      <w:kern w:val="2"/>
      <w:sz w:val="18"/>
      <w:szCs w:val="18"/>
      <w:lang w:val="en-US" w:eastAsia="zh-CN" w:bidi="ar-SA"/>
    </w:rPr>
  </w:style>
  <w:style w:type="character" w:customStyle="1" w:styleId="133">
    <w:name w:val="发布"/>
    <w:basedOn w:val="32"/>
    <w:qFormat/>
    <w:uiPriority w:val="0"/>
    <w:rPr>
      <w:rFonts w:ascii="黑体" w:eastAsia="黑体"/>
      <w:spacing w:val="85"/>
      <w:w w:val="100"/>
      <w:position w:val="3"/>
      <w:sz w:val="28"/>
      <w:szCs w:val="28"/>
    </w:rPr>
  </w:style>
  <w:style w:type="character" w:customStyle="1" w:styleId="134">
    <w:name w:val="附录公式 Char"/>
    <w:basedOn w:val="135"/>
    <w:link w:val="121"/>
    <w:qFormat/>
    <w:uiPriority w:val="0"/>
    <w:rPr>
      <w:rFonts w:ascii="宋体"/>
      <w:sz w:val="21"/>
      <w:lang w:val="en-US" w:eastAsia="zh-CN" w:bidi="ar-SA"/>
    </w:rPr>
  </w:style>
  <w:style w:type="character" w:customStyle="1" w:styleId="135">
    <w:name w:val="段 Char"/>
    <w:basedOn w:val="32"/>
    <w:link w:val="22"/>
    <w:qFormat/>
    <w:uiPriority w:val="99"/>
    <w:rPr>
      <w:rFonts w:ascii="宋体"/>
      <w:sz w:val="21"/>
      <w:lang w:val="en-US" w:eastAsia="zh-CN" w:bidi="ar-SA"/>
    </w:rPr>
  </w:style>
  <w:style w:type="character" w:customStyle="1" w:styleId="136">
    <w:name w:val="一级条标题 Char"/>
    <w:basedOn w:val="32"/>
    <w:link w:val="41"/>
    <w:qFormat/>
    <w:uiPriority w:val="99"/>
    <w:rPr>
      <w:rFonts w:ascii="黑体" w:eastAsia="黑体"/>
      <w:sz w:val="21"/>
      <w:szCs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zle</Company>
  <Pages>7</Pages>
  <Words>2338</Words>
  <Characters>2747</Characters>
  <Lines>15</Lines>
  <Paragraphs>4</Paragraphs>
  <TotalTime>15</TotalTime>
  <ScaleCrop>false</ScaleCrop>
  <LinksUpToDate>false</LinksUpToDate>
  <CharactersWithSpaces>2811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2021-07-13T16:51:00Z</dcterms:created>
  <dc:creator>CNIS</dc:creator>
  <cp:lastModifiedBy>四季流转</cp:lastModifiedBy>
  <cp:lastPrinted>2022-05-27T09:45:00Z</cp:lastPrinted>
  <dcterms:modified xsi:type="dcterms:W3CDTF">2025-01-24T01:09:32Z</dcterms:modified>
  <dc:title>标准名称</dc:title>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29C879649EF34A63876F7EBB50C9B8E3_13</vt:lpwstr>
  </property>
</Properties>
</file>