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44983">
      <w:pPr>
        <w:keepNext w:val="0"/>
        <w:keepLines w:val="0"/>
        <w:pageBreakBefore w:val="0"/>
        <w:widowControl w:val="0"/>
        <w:kinsoku/>
        <w:wordWrap w:val="0"/>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广东省地方标准《预制菜感官评价规范</w:t>
      </w:r>
    </w:p>
    <w:p w14:paraId="4E285432">
      <w:pPr>
        <w:keepNext w:val="0"/>
        <w:keepLines w:val="0"/>
        <w:pageBreakBefore w:val="0"/>
        <w:widowControl w:val="0"/>
        <w:kinsoku/>
        <w:wordWrap w:val="0"/>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（送审稿）》编制说明</w:t>
      </w:r>
    </w:p>
    <w:p w14:paraId="5E49F626">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黑体"/>
          <w:b w:val="0"/>
          <w:bCs w:val="0"/>
          <w:sz w:val="32"/>
          <w:szCs w:val="32"/>
          <w:highlight w:val="none"/>
          <w:lang w:val="en-US" w:eastAsia="zh-CN"/>
        </w:rPr>
      </w:pPr>
    </w:p>
    <w:p w14:paraId="065E9393">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一、工作简况</w:t>
      </w:r>
    </w:p>
    <w:p w14:paraId="072719C9">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（一）任务来源</w:t>
      </w:r>
    </w:p>
    <w:p w14:paraId="056DEF11">
      <w:pPr>
        <w:pStyle w:val="6"/>
        <w:keepNext w:val="0"/>
        <w:keepLines w:val="0"/>
        <w:pageBreakBefore w:val="0"/>
        <w:widowControl w:val="0"/>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val="0"/>
          <w:bCs w:val="0"/>
          <w:sz w:val="32"/>
          <w:szCs w:val="32"/>
          <w:highlight w:val="none"/>
          <w:lang w:val="en-US" w:eastAsia="zh-CN"/>
        </w:rPr>
        <w:t>根据《广东省市场监督管理局关于批准下达预制菜地方标准制定计划项目的通告》（2022年第146号），为进一步落实我省关于加快推进广东预制菜产业高质量发展的工作部署，建立健全预制菜标准体系，《预制菜感官评价规范》列入了预制菜地方标准制定计划。</w:t>
      </w:r>
    </w:p>
    <w:p w14:paraId="6C118E2A">
      <w:pPr>
        <w:pStyle w:val="6"/>
        <w:keepNext w:val="0"/>
        <w:keepLines w:val="0"/>
        <w:pageBreakBefore w:val="0"/>
        <w:widowControl w:val="0"/>
        <w:numPr>
          <w:ilvl w:val="-1"/>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楷体" w:hAnsi="楷体" w:eastAsia="楷体" w:cs="楷体"/>
          <w:b w:val="0"/>
          <w:bCs w:val="0"/>
          <w:kern w:val="2"/>
          <w:sz w:val="32"/>
          <w:szCs w:val="32"/>
          <w:highlight w:val="none"/>
          <w:lang w:val="en-US" w:eastAsia="zh-CN" w:bidi="ar-SA"/>
        </w:rPr>
      </w:pPr>
      <w:r>
        <w:rPr>
          <w:rFonts w:hint="eastAsia" w:ascii="楷体" w:hAnsi="楷体" w:eastAsia="楷体" w:cs="楷体"/>
          <w:b w:val="0"/>
          <w:bCs w:val="0"/>
          <w:kern w:val="2"/>
          <w:sz w:val="32"/>
          <w:szCs w:val="32"/>
          <w:highlight w:val="none"/>
          <w:lang w:val="en-US" w:eastAsia="zh-CN" w:bidi="ar-SA"/>
        </w:rPr>
        <w:t>（二）简要起草过程</w:t>
      </w:r>
    </w:p>
    <w:p w14:paraId="4C78EA0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2022年9月，标准正式立项</w:t>
      </w:r>
      <w:r>
        <w:rPr>
          <w:rFonts w:hint="eastAsia" w:ascii="仿宋" w:hAnsi="仿宋" w:eastAsia="仿宋" w:cs="仿宋"/>
          <w:b w:val="0"/>
          <w:bCs w:val="0"/>
          <w:sz w:val="32"/>
          <w:szCs w:val="32"/>
          <w:highlight w:val="none"/>
          <w:lang w:val="en-US" w:eastAsia="zh-CN"/>
        </w:rPr>
        <w:t>；</w:t>
      </w:r>
    </w:p>
    <w:p w14:paraId="178DD11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2022年10-11月，查询收集预制菜相关标准及文献等资料，完成标准比对；</w:t>
      </w:r>
    </w:p>
    <w:p w14:paraId="3C1DBEE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2022年12月-2023年3月，完成标准草案；</w:t>
      </w:r>
    </w:p>
    <w:p w14:paraId="4BE5B0F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2023年4月，召集起草组召开内部讨论会，围绕标准草案开展研讨；</w:t>
      </w:r>
    </w:p>
    <w:p w14:paraId="365B706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2023年5月-2024年2月，根据标准草案开展预制菜感官品评实验，涵盖预制菜盐焗鸡、冻熟虾、酸菜鱼、小龙虾、牛肉丸、宫保鸡丁、豉汁蒸排骨、胡椒猪肚鸡、白切鸡等样品；</w:t>
      </w:r>
    </w:p>
    <w:p w14:paraId="61D0D21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2024年3月，市场监管总局联合教育部、工业和信息化部、农业农村部、商务部、国家卫生健康委印发《关于加强预制菜食品安全监管 促进产业高质量发展的通知》，首次在国家层面明确预制菜范围，对预制菜原辅料、预加工工艺等进行界定。起草组对相关标准文本内容进行了及时的更新与修正，对感官品评实验样品是否属于预制菜进行重新梳理，明确实验样品属于国家最新定义的预制菜的范畴；</w:t>
      </w:r>
    </w:p>
    <w:p w14:paraId="06ADF45D">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2024年3月-2024年6月，根据感官品评实验结果，对标准文本进行修改完善；</w:t>
      </w:r>
    </w:p>
    <w:p w14:paraId="2D54051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2024年7月-2024年10月，形成标准文本和编制说明征求意见稿。</w:t>
      </w:r>
    </w:p>
    <w:p w14:paraId="2950137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default" w:ascii="仿宋" w:hAnsi="仿宋" w:cs="仿宋" w:eastAsiaTheme="minorEastAsia"/>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2024年11月-2024年12月，在广东省食品检验所官网进行为期30天的公开征求意见，同时向各参编单位定向征求意见。</w:t>
      </w:r>
    </w:p>
    <w:p w14:paraId="504E577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560" w:firstLineChars="200"/>
        <w:textAlignment w:val="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二、立项必要性、拟解决的问题</w:t>
      </w:r>
    </w:p>
    <w:p w14:paraId="2C6D566B">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预制菜是以一种或多种食用农产品及其制品为原料，使用或不使用调味料等辅</w:t>
      </w:r>
      <w:bookmarkStart w:id="0" w:name="_GoBack"/>
      <w:bookmarkEnd w:id="0"/>
      <w:r>
        <w:rPr>
          <w:rFonts w:hint="eastAsia" w:ascii="仿宋" w:hAnsi="仿宋" w:eastAsia="仿宋" w:cs="仿宋"/>
          <w:b w:val="0"/>
          <w:bCs w:val="0"/>
          <w:sz w:val="32"/>
          <w:szCs w:val="32"/>
          <w:highlight w:val="none"/>
          <w:lang w:val="en-US" w:eastAsia="zh-CN"/>
        </w:rPr>
        <w:t>料，不添加防腐剂，经工业化预加工（如搅拌、腌制、滚揉、成型、炒、炸、烤、煮、蒸等）制成，配以或不配以调味料包，符合产品标签标明的贮存、运输及销售条件，加热或熟制后方可食用的预包装菜肴，不包括主食类食品，如速冻面米食品、方便食品、盒饭、盖浇饭、馒头、糕点、肉夹馍、面包、汉堡、三明治、披萨等。预制菜具备便捷、新鲜、健康等特点，丰富的菜品选择能够符合全国不同地区人群的口味，逐渐成为家庭及餐饮业所喜爱的产品。随着生活节奏加快，速食消费的发展，懒人经济、独身经济等兴起，再加上近几年新冠肺炎疫情的影响，预制菜产业迅猛发展，据行业报告显示，2023年预制菜市场规模已达到5165亿元，同比增长23.1%。今年市场规模有望突破5600亿元，预计到2026年或达到万亿级别。</w:t>
      </w:r>
    </w:p>
    <w:p w14:paraId="1C6AF4E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b w:val="0"/>
          <w:bCs w:val="0"/>
          <w:sz w:val="32"/>
          <w:szCs w:val="32"/>
          <w:highlight w:val="none"/>
          <w:lang w:val="en-US" w:eastAsia="zh-CN"/>
        </w:rPr>
      </w:pPr>
      <w:r>
        <w:rPr>
          <w:rFonts w:hint="default" w:ascii="仿宋" w:hAnsi="仿宋" w:eastAsia="仿宋" w:cs="仿宋"/>
          <w:b w:val="0"/>
          <w:bCs w:val="0"/>
          <w:sz w:val="32"/>
          <w:szCs w:val="32"/>
          <w:highlight w:val="none"/>
          <w:lang w:val="en-US" w:eastAsia="zh-CN"/>
        </w:rPr>
        <w:t>广东是预制菜的生产和消费大省，面对新业态食品发展的需求，2022年3月25日，广东省政府印发《加快推进广东预制菜产业高质量发展十条措施》(以下简称《预制菜十条》),这是我国首个省级预制菜产业政策，从研发、质量安全监管、产业集群、冷链仓储等多方面对产业发展提出指引。全省掀起预制菜发展热潮，各地市高度重视、高位布局，出台预制菜相关政策，积极创建预制菜产业园或预制菜产业联盟，推动产业更好更快发展。有关数据显示，广东预制菜产业指数排名全国榜首、企业数量排名全国第</w:t>
      </w:r>
      <w:r>
        <w:rPr>
          <w:rFonts w:hint="eastAsia" w:ascii="仿宋" w:hAnsi="仿宋" w:eastAsia="仿宋" w:cs="仿宋"/>
          <w:b w:val="0"/>
          <w:bCs w:val="0"/>
          <w:sz w:val="32"/>
          <w:szCs w:val="32"/>
          <w:highlight w:val="none"/>
          <w:lang w:val="en-US" w:eastAsia="zh-CN"/>
        </w:rPr>
        <w:t>五</w:t>
      </w:r>
      <w:r>
        <w:rPr>
          <w:rFonts w:hint="default" w:ascii="仿宋" w:hAnsi="仿宋" w:eastAsia="仿宋" w:cs="仿宋"/>
          <w:b w:val="0"/>
          <w:bCs w:val="0"/>
          <w:sz w:val="32"/>
          <w:szCs w:val="32"/>
          <w:highlight w:val="none"/>
          <w:lang w:val="en-US" w:eastAsia="zh-CN"/>
        </w:rPr>
        <w:t>。广东预制菜品类丰富，包括</w:t>
      </w:r>
      <w:r>
        <w:rPr>
          <w:rFonts w:hint="eastAsia" w:ascii="仿宋" w:hAnsi="仿宋" w:eastAsia="仿宋" w:cs="仿宋"/>
          <w:b w:val="0"/>
          <w:bCs w:val="0"/>
          <w:sz w:val="32"/>
          <w:szCs w:val="32"/>
          <w:highlight w:val="none"/>
          <w:lang w:val="en-US" w:eastAsia="zh-CN"/>
        </w:rPr>
        <w:t>盐焗</w:t>
      </w:r>
      <w:r>
        <w:rPr>
          <w:rFonts w:hint="default" w:ascii="仿宋" w:hAnsi="仿宋" w:eastAsia="仿宋" w:cs="仿宋"/>
          <w:b w:val="0"/>
          <w:bCs w:val="0"/>
          <w:sz w:val="32"/>
          <w:szCs w:val="32"/>
          <w:highlight w:val="none"/>
          <w:lang w:val="en-US" w:eastAsia="zh-CN"/>
        </w:rPr>
        <w:t>鸡、豉油鸡、咕噜肉、白灼虾等粤式预制菜和小龙虾、酸菜鱼、烤鱼等单品销量较高的特色预制菜。为构建预制菜质量安全监管规范体系，迫切需要出台与《预制菜十条》要求相配套的基础通用标准。</w:t>
      </w:r>
    </w:p>
    <w:p w14:paraId="432DD9D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b w:val="0"/>
          <w:bCs w:val="0"/>
          <w:sz w:val="32"/>
          <w:szCs w:val="32"/>
          <w:highlight w:val="none"/>
          <w:lang w:val="en-US" w:eastAsia="zh-CN"/>
        </w:rPr>
      </w:pPr>
      <w:r>
        <w:rPr>
          <w:rFonts w:hint="default" w:ascii="仿宋" w:hAnsi="仿宋" w:eastAsia="仿宋" w:cs="仿宋"/>
          <w:b w:val="0"/>
          <w:bCs w:val="0"/>
          <w:sz w:val="32"/>
          <w:szCs w:val="32"/>
          <w:highlight w:val="none"/>
          <w:lang w:val="en-US" w:eastAsia="zh-CN"/>
        </w:rPr>
        <w:t>随着消费观念的转变，消费者在食物的购买上更加科学理性，更愿意为安全、营养、健康、真实以及感官愉悦的食品买单。我国预制菜渗透率与美国和日本仍有较大差距，国内预制菜渗透率仅10%-15%,而美国、日本预制菜渗透率已达60%以上，目前限制预制菜产业发展的主要问题之一是感官评价。预制菜作为一种标准化生产的菜肴，感官最能够直观地评价预制菜的品质情况。有关数据显示，预制菜消费者认为预制菜行业需要改进的问题中，预制菜的口味还原程度(感官指标)占比61.8%,是最主要的问题。与西餐相比，中餐在工业化生产过程中会遇到一些问题。西餐烹饪方式相对比较简便，很多品种都有一套可量化、精准化的烹饪体系，只要按照食谱控制好温度、时间长短、成熟度、调料比例，烹饪出一顿美味佳肴不是问题。但是，中餐烹饪对口感和食材新鲜度、烹饪过程要求较高，特别是像粤菜这种口味清淡的菜品对食材新鲜度的要求更高。中餐分为川、湘、粤、闽、苏、浙、徽、鲁八大菜系，厨艺又分为蒸、炸、煮、炖、炒、炮、烧、爆。因此，中餐标准化面临极大挑战，工业化生产后的预制菜感官很难和现炒相比，如何还原中式预制菜的传统味道和“镬气”,是制约国内预制菜发展的一大痛点。运用感官分析方法，以人的感觉(视觉、听觉、嗅觉、味觉、触觉)为基础</w:t>
      </w:r>
      <w:r>
        <w:rPr>
          <w:rFonts w:hint="eastAsia" w:ascii="仿宋" w:hAnsi="仿宋" w:eastAsia="仿宋" w:cs="仿宋"/>
          <w:b w:val="0"/>
          <w:bCs w:val="0"/>
          <w:sz w:val="32"/>
          <w:szCs w:val="32"/>
          <w:highlight w:val="none"/>
          <w:lang w:val="en-US" w:eastAsia="zh-CN"/>
        </w:rPr>
        <w:t>，</w:t>
      </w:r>
      <w:r>
        <w:rPr>
          <w:rFonts w:hint="default" w:ascii="仿宋" w:hAnsi="仿宋" w:eastAsia="仿宋" w:cs="仿宋"/>
          <w:b w:val="0"/>
          <w:bCs w:val="0"/>
          <w:sz w:val="32"/>
          <w:szCs w:val="32"/>
          <w:highlight w:val="none"/>
          <w:lang w:val="en-US" w:eastAsia="zh-CN"/>
        </w:rPr>
        <w:t>用科学试验和统计方法来评价预制菜感官品质质量，建立科学的预制菜感官评价规范，是引领预制菜产业高质量发展的核心及关键，从而引导国内预制菜生产标准化、市场规范化，提高产品质量和信任度，推动国内预制菜与国际市场接轨。</w:t>
      </w:r>
    </w:p>
    <w:p w14:paraId="5BE137A3">
      <w:pPr>
        <w:pStyle w:val="6"/>
        <w:keepNext/>
        <w:keepLines w:val="0"/>
        <w:pageBreakBefore w:val="0"/>
        <w:widowControl w:val="0"/>
        <w:numPr>
          <w:ilvl w:val="0"/>
          <w:numId w:val="0"/>
        </w:numPr>
        <w:kinsoku/>
        <w:wordWrap w:val="0"/>
        <w:overflowPunct/>
        <w:topLinePunct w:val="0"/>
        <w:autoSpaceDE/>
        <w:autoSpaceDN/>
        <w:bidi w:val="0"/>
        <w:adjustRightInd/>
        <w:snapToGrid/>
        <w:spacing w:line="590" w:lineRule="exact"/>
        <w:ind w:left="0" w:leftChars="0" w:firstLine="638" w:firstLineChars="228"/>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三、与我国有关法律、法规和标准情况的说明</w:t>
      </w:r>
    </w:p>
    <w:p w14:paraId="2D8107D5">
      <w:pPr>
        <w:pStyle w:val="6"/>
        <w:keepNext/>
        <w:keepLines w:val="0"/>
        <w:pageBreakBefore w:val="0"/>
        <w:widowControl w:val="0"/>
        <w:numPr>
          <w:ilvl w:val="0"/>
          <w:numId w:val="0"/>
        </w:numPr>
        <w:kinsoku/>
        <w:wordWrap w:val="0"/>
        <w:overflowPunct/>
        <w:topLinePunct w:val="0"/>
        <w:autoSpaceDE/>
        <w:autoSpaceDN/>
        <w:bidi w:val="0"/>
        <w:adjustRightInd/>
        <w:snapToGrid/>
        <w:spacing w:line="590" w:lineRule="exact"/>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（一）相关标准收集情况</w:t>
      </w:r>
    </w:p>
    <w:p w14:paraId="7A9880D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1.国家标准：GB/T 37062-2018《水产品感官评价指南》、GB/T 15682-2008《粮油检验稻谷、大米蒸煮食用品质感官评价方法》、GB/T 22210-2008《肉与肉制品感官评定规范》、GB/T 23776-2018《茶叶感官评审方法》、GB/T 25005-2010《感官分析方便面感官评价方法》、GB/T 10220-2012《感官分析方法学总论》、GB/T 10221-2011《感官分析术语》，GB/T 29605-2013《感官分析食品感官质量控制导则》、GB/T 15549-1995《感官分析方法学检测和识别气味方面评价员的入门和培训》、</w:t>
      </w:r>
      <w:r>
        <w:rPr>
          <w:rFonts w:hint="eastAsia" w:ascii="仿宋" w:hAnsi="仿宋" w:eastAsia="仿宋" w:cs="仿宋"/>
          <w:sz w:val="32"/>
          <w:szCs w:val="32"/>
          <w:highlight w:val="none"/>
          <w:lang w:val="en-US" w:eastAsia="zh-CN"/>
        </w:rPr>
        <w:t>GB/T 29604《感官分析建立感官特性参比样的一般导则》、</w:t>
      </w:r>
      <w:r>
        <w:rPr>
          <w:rFonts w:hint="eastAsia" w:ascii="仿宋" w:hAnsi="仿宋" w:eastAsia="仿宋" w:cs="仿宋"/>
          <w:b w:val="0"/>
          <w:bCs w:val="0"/>
          <w:sz w:val="32"/>
          <w:szCs w:val="32"/>
          <w:highlight w:val="none"/>
          <w:lang w:val="en-US" w:eastAsia="zh-CN"/>
        </w:rPr>
        <w:t>GB/T 16291.1-2012《感官分析选拔、培训与管理评价员一般导则第1部分：优选评价员》、GB/T 16291.2-2010《感官分析选拔、培训和管理评价员一般导则第2部分：专家评价员》、GB/T 16861-1997《感官分析通用多元分析方法鉴定和选择用于建立感官剖面的描述词》、GB/T 33404-2016《白酒感官品评导则》等；</w:t>
      </w:r>
    </w:p>
    <w:p w14:paraId="168D4EB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2.地方标准：DB51/T 1026-2010《四川省农产品地理标志产品感官品质鉴评规范》、DB4502/T 0017-2022《柳州螺蛳粉感官风味评价方法》等；</w:t>
      </w:r>
    </w:p>
    <w:p w14:paraId="38BA7A2D">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3.行业标准：NY/T 2792-2015《蜂产品感官评价方法》、NY/T 3837-2021《稻米食味感官评价方法》、RHB 103-2004《酸牛乳感官质量评鉴细则》等；</w:t>
      </w:r>
    </w:p>
    <w:p w14:paraId="6834FC0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4.团体标准：T/CCOA 17-2020《粮油食品感官检验规范》等；</w:t>
      </w:r>
    </w:p>
    <w:p w14:paraId="39CED65B">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5.国际标准：CNAS-GL014:2018《感官检验领域实验室认可技术指南》等。</w:t>
      </w:r>
    </w:p>
    <w:p w14:paraId="7720DD1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（二）标准中规范性引用文件</w:t>
      </w:r>
    </w:p>
    <w:p w14:paraId="7AA1EA0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rtl w:val="0"/>
          <w:lang w:val="en-US" w:eastAsia="zh-CN"/>
        </w:rPr>
      </w:pPr>
      <w:r>
        <w:rPr>
          <w:rFonts w:hint="eastAsia" w:ascii="仿宋" w:hAnsi="仿宋" w:eastAsia="仿宋" w:cs="仿宋"/>
          <w:b w:val="0"/>
          <w:bCs w:val="0"/>
          <w:sz w:val="32"/>
          <w:szCs w:val="32"/>
          <w:highlight w:val="none"/>
          <w:rtl w:val="0"/>
          <w:lang w:val="en-US" w:eastAsia="zh-CN"/>
        </w:rPr>
        <w:t>GB/T 10220感官分析方法学总论</w:t>
      </w:r>
    </w:p>
    <w:p w14:paraId="7A35645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GB/T 10221感官分析术语</w:t>
      </w:r>
    </w:p>
    <w:p w14:paraId="46E2F00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rtl w:val="0"/>
          <w:lang w:val="en-US" w:eastAsia="zh-CN"/>
        </w:rPr>
      </w:pPr>
      <w:r>
        <w:rPr>
          <w:rFonts w:hint="eastAsia" w:ascii="仿宋" w:hAnsi="仿宋" w:eastAsia="仿宋" w:cs="仿宋"/>
          <w:b w:val="0"/>
          <w:bCs w:val="0"/>
          <w:sz w:val="32"/>
          <w:szCs w:val="32"/>
          <w:highlight w:val="none"/>
          <w:lang w:val="en-US" w:eastAsia="zh-CN"/>
        </w:rPr>
        <w:t>GB/T 29605感官分析食品感官质量控制导则</w:t>
      </w:r>
    </w:p>
    <w:p w14:paraId="7370C82D">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rtl w:val="0"/>
          <w:lang w:val="en-US" w:eastAsia="zh-CN"/>
        </w:rPr>
      </w:pPr>
      <w:r>
        <w:rPr>
          <w:rFonts w:hint="eastAsia" w:ascii="仿宋" w:hAnsi="仿宋" w:eastAsia="仿宋" w:cs="仿宋"/>
          <w:b w:val="0"/>
          <w:bCs w:val="0"/>
          <w:sz w:val="32"/>
          <w:szCs w:val="32"/>
          <w:highlight w:val="none"/>
          <w:rtl w:val="0"/>
          <w:lang w:val="en-US" w:eastAsia="zh-CN"/>
        </w:rPr>
        <w:t>GB/T 13868感官分析建立感官分析实验室的一般导则</w:t>
      </w:r>
    </w:p>
    <w:p w14:paraId="18C518B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rtl w:val="0"/>
          <w:lang w:val="en-US" w:eastAsia="zh-CN"/>
        </w:rPr>
      </w:pPr>
      <w:r>
        <w:rPr>
          <w:rFonts w:hint="eastAsia" w:ascii="仿宋" w:hAnsi="仿宋" w:eastAsia="仿宋" w:cs="仿宋"/>
          <w:b w:val="0"/>
          <w:bCs w:val="0"/>
          <w:sz w:val="32"/>
          <w:szCs w:val="32"/>
          <w:highlight w:val="none"/>
          <w:rtl w:val="0"/>
          <w:lang w:val="en-US" w:eastAsia="zh-CN"/>
        </w:rPr>
        <w:t>GB/T 15549感官分析方法学检测和识别气味方面评价员的入门和培训</w:t>
      </w:r>
    </w:p>
    <w:p w14:paraId="2183D63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GB/T 16291.1感官分析选拔、培训与管理评价员一般导则第1部分：优选评价员</w:t>
      </w:r>
    </w:p>
    <w:p w14:paraId="5A1258F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GB/T 16291.2感官分析选拔、培训和管理评价员一般导则第2部分：专家评价员</w:t>
      </w:r>
    </w:p>
    <w:p w14:paraId="25A99C0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b w:val="0"/>
          <w:bCs w:val="0"/>
          <w:sz w:val="32"/>
          <w:szCs w:val="32"/>
          <w:highlight w:val="none"/>
          <w:rtl w:val="0"/>
          <w:lang w:val="en-US" w:eastAsia="zh-CN"/>
        </w:rPr>
      </w:pPr>
      <w:r>
        <w:rPr>
          <w:rFonts w:hint="eastAsia" w:ascii="仿宋" w:hAnsi="仿宋" w:eastAsia="仿宋" w:cs="仿宋"/>
          <w:b w:val="0"/>
          <w:bCs w:val="0"/>
          <w:sz w:val="32"/>
          <w:szCs w:val="32"/>
          <w:highlight w:val="none"/>
          <w:rtl w:val="0"/>
          <w:lang w:val="en-US" w:eastAsia="zh-CN"/>
        </w:rPr>
        <w:t>GB</w:t>
      </w:r>
      <w:r>
        <w:rPr>
          <w:rFonts w:hint="eastAsia" w:ascii="仿宋" w:hAnsi="仿宋" w:eastAsia="仿宋" w:cs="仿宋"/>
          <w:b w:val="0"/>
          <w:bCs w:val="0"/>
          <w:sz w:val="32"/>
          <w:szCs w:val="32"/>
          <w:highlight w:val="none"/>
          <w:lang w:val="en-US" w:eastAsia="zh-CN"/>
        </w:rPr>
        <w:t xml:space="preserve">/T </w:t>
      </w:r>
      <w:r>
        <w:rPr>
          <w:rFonts w:hint="eastAsia" w:ascii="仿宋" w:hAnsi="仿宋" w:eastAsia="仿宋" w:cs="仿宋"/>
          <w:b w:val="0"/>
          <w:bCs w:val="0"/>
          <w:sz w:val="32"/>
          <w:szCs w:val="32"/>
          <w:highlight w:val="none"/>
          <w:rtl w:val="0"/>
          <w:lang w:val="en-US" w:eastAsia="zh-CN"/>
        </w:rPr>
        <w:t>16861感官分析通用多元分析方法鉴定和选择用于建立感官剖面的描述词</w:t>
      </w:r>
    </w:p>
    <w:p w14:paraId="078B1BB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四、标准编制原则</w:t>
      </w:r>
    </w:p>
    <w:p w14:paraId="0BCFB09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参照</w:t>
      </w:r>
      <w:r>
        <w:rPr>
          <w:rFonts w:hint="eastAsia" w:ascii="仿宋" w:hAnsi="仿宋" w:eastAsia="仿宋" w:cs="仿宋"/>
          <w:sz w:val="32"/>
          <w:szCs w:val="32"/>
          <w:highlight w:val="none"/>
          <w:lang w:val="en-US" w:eastAsia="zh-CN"/>
        </w:rPr>
        <w:t>GB/T 1.1-2020《标准化工作导则第1部分：标准化文件的结构和起草规则》</w:t>
      </w:r>
      <w:r>
        <w:rPr>
          <w:rFonts w:hint="eastAsia" w:ascii="仿宋" w:hAnsi="仿宋" w:eastAsia="仿宋" w:cs="仿宋"/>
          <w:sz w:val="32"/>
          <w:szCs w:val="32"/>
          <w:highlight w:val="none"/>
          <w:lang w:val="en-US" w:eastAsia="zh-CN"/>
        </w:rPr>
        <w:t>进行编写，深入调查研究，保证标准起草工作的科学性、规范性和可操作性。</w:t>
      </w:r>
    </w:p>
    <w:p w14:paraId="0D02187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w:t>
      </w:r>
      <w:r>
        <w:rPr>
          <w:rFonts w:hint="default" w:ascii="楷体" w:hAnsi="楷体" w:eastAsia="楷体" w:cs="楷体"/>
          <w:sz w:val="32"/>
          <w:szCs w:val="32"/>
          <w:highlight w:val="none"/>
          <w:lang w:val="en-US" w:eastAsia="zh-CN"/>
        </w:rPr>
        <w:t>一）促进行业健康发展的原则</w:t>
      </w:r>
    </w:p>
    <w:p w14:paraId="4B54371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本标准内容依据广东省内预制菜产品</w:t>
      </w:r>
      <w:r>
        <w:rPr>
          <w:rFonts w:hint="eastAsia" w:ascii="仿宋" w:hAnsi="仿宋" w:eastAsia="仿宋" w:cs="仿宋"/>
          <w:sz w:val="32"/>
          <w:szCs w:val="32"/>
          <w:highlight w:val="none"/>
          <w:lang w:val="en-US" w:eastAsia="zh-CN"/>
        </w:rPr>
        <w:t>感官实验</w:t>
      </w:r>
      <w:r>
        <w:rPr>
          <w:rFonts w:hint="default" w:ascii="仿宋" w:hAnsi="仿宋" w:eastAsia="仿宋" w:cs="仿宋"/>
          <w:sz w:val="32"/>
          <w:szCs w:val="32"/>
          <w:highlight w:val="none"/>
          <w:lang w:val="en-US" w:eastAsia="zh-CN"/>
        </w:rPr>
        <w:t>情况进行编制，对进一步规范预制菜的</w:t>
      </w:r>
      <w:r>
        <w:rPr>
          <w:rFonts w:hint="eastAsia" w:ascii="仿宋" w:hAnsi="仿宋" w:eastAsia="仿宋" w:cs="仿宋"/>
          <w:sz w:val="32"/>
          <w:szCs w:val="32"/>
          <w:highlight w:val="none"/>
          <w:lang w:val="en-US" w:eastAsia="zh-CN"/>
        </w:rPr>
        <w:t>感官评价</w:t>
      </w:r>
      <w:r>
        <w:rPr>
          <w:rFonts w:hint="default" w:ascii="仿宋" w:hAnsi="仿宋" w:eastAsia="仿宋" w:cs="仿宋"/>
          <w:sz w:val="32"/>
          <w:szCs w:val="32"/>
          <w:highlight w:val="none"/>
          <w:lang w:val="en-US" w:eastAsia="zh-CN"/>
        </w:rPr>
        <w:t>，促进预制菜产业持续健康发展具有重要意义。</w:t>
      </w:r>
    </w:p>
    <w:p w14:paraId="73B28F9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楷体" w:hAnsi="楷体" w:eastAsia="楷体" w:cs="楷体"/>
          <w:sz w:val="32"/>
          <w:szCs w:val="32"/>
          <w:highlight w:val="none"/>
          <w:lang w:val="en-US" w:eastAsia="zh-CN"/>
        </w:rPr>
      </w:pPr>
      <w:r>
        <w:rPr>
          <w:rFonts w:hint="default" w:ascii="楷体" w:hAnsi="楷体" w:eastAsia="楷体" w:cs="楷体"/>
          <w:sz w:val="32"/>
          <w:szCs w:val="32"/>
          <w:highlight w:val="none"/>
          <w:lang w:val="en-US" w:eastAsia="zh-CN"/>
        </w:rPr>
        <w:t>（二）以科学为依据的原则</w:t>
      </w:r>
    </w:p>
    <w:p w14:paraId="7ACE606A">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本标准制定过程遵从以科学为依据的原则，结合广东省预制菜</w:t>
      </w:r>
      <w:r>
        <w:rPr>
          <w:rFonts w:hint="eastAsia" w:ascii="仿宋" w:hAnsi="仿宋" w:eastAsia="仿宋" w:cs="仿宋"/>
          <w:sz w:val="32"/>
          <w:szCs w:val="32"/>
          <w:highlight w:val="none"/>
          <w:lang w:val="en-US" w:eastAsia="zh-CN"/>
        </w:rPr>
        <w:t>产品</w:t>
      </w:r>
      <w:r>
        <w:rPr>
          <w:rFonts w:hint="default" w:ascii="仿宋" w:hAnsi="仿宋" w:eastAsia="仿宋" w:cs="仿宋"/>
          <w:sz w:val="32"/>
          <w:szCs w:val="32"/>
          <w:highlight w:val="none"/>
          <w:lang w:val="en-US" w:eastAsia="zh-CN"/>
        </w:rPr>
        <w:t>实际</w:t>
      </w:r>
      <w:r>
        <w:rPr>
          <w:rFonts w:hint="eastAsia" w:ascii="仿宋" w:hAnsi="仿宋" w:eastAsia="仿宋" w:cs="仿宋"/>
          <w:sz w:val="32"/>
          <w:szCs w:val="32"/>
          <w:highlight w:val="none"/>
          <w:lang w:val="en-US" w:eastAsia="zh-CN"/>
        </w:rPr>
        <w:t>感官评价实验</w:t>
      </w:r>
      <w:r>
        <w:rPr>
          <w:rFonts w:hint="default" w:ascii="仿宋" w:hAnsi="仿宋" w:eastAsia="仿宋" w:cs="仿宋"/>
          <w:sz w:val="32"/>
          <w:szCs w:val="32"/>
          <w:highlight w:val="none"/>
          <w:lang w:val="en-US" w:eastAsia="zh-CN"/>
        </w:rPr>
        <w:t>，指标内容的设定合理、实用，为预制菜监督管理提供了依据。</w:t>
      </w:r>
    </w:p>
    <w:p w14:paraId="15E0D95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楷体" w:hAnsi="楷体" w:eastAsia="楷体" w:cs="楷体"/>
          <w:sz w:val="32"/>
          <w:szCs w:val="32"/>
          <w:highlight w:val="none"/>
          <w:lang w:val="en-US" w:eastAsia="zh-CN"/>
        </w:rPr>
      </w:pPr>
      <w:r>
        <w:rPr>
          <w:rFonts w:hint="default" w:ascii="楷体" w:hAnsi="楷体" w:eastAsia="楷体" w:cs="楷体"/>
          <w:sz w:val="32"/>
          <w:szCs w:val="32"/>
          <w:highlight w:val="none"/>
          <w:lang w:val="en-US" w:eastAsia="zh-CN"/>
        </w:rPr>
        <w:t>（三）与国内标准协调一致原则</w:t>
      </w:r>
    </w:p>
    <w:p w14:paraId="46D4F32B">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在标准制订过程中，起草组参照</w:t>
      </w:r>
      <w:r>
        <w:rPr>
          <w:rFonts w:hint="eastAsia" w:ascii="仿宋" w:hAnsi="仿宋" w:eastAsia="仿宋" w:cs="仿宋"/>
          <w:sz w:val="32"/>
          <w:szCs w:val="32"/>
          <w:highlight w:val="none"/>
          <w:lang w:val="en-US" w:eastAsia="zh-CN"/>
        </w:rPr>
        <w:t>推荐性</w:t>
      </w:r>
      <w:r>
        <w:rPr>
          <w:rFonts w:hint="default" w:ascii="仿宋" w:hAnsi="仿宋" w:eastAsia="仿宋" w:cs="仿宋"/>
          <w:sz w:val="32"/>
          <w:szCs w:val="32"/>
          <w:highlight w:val="none"/>
          <w:lang w:val="en-US" w:eastAsia="zh-CN"/>
        </w:rPr>
        <w:t>国家标准的编写原则进行编写，仔细查阅了国内的相关标准，根据本省的实际情况，确定了标准的框架结构和各项技术指标要求。</w:t>
      </w:r>
    </w:p>
    <w:p w14:paraId="62A56DE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五、主要技术内容及其确定依据</w:t>
      </w:r>
    </w:p>
    <w:p w14:paraId="08C40E8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（一）标准适用范围</w:t>
      </w:r>
    </w:p>
    <w:p w14:paraId="32DC702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bidi="ar-SA"/>
        </w:rPr>
        <w:t>参考其他推荐性国家标准和地方标准的格式，提出适用范围为</w:t>
      </w:r>
      <w:r>
        <w:rPr>
          <w:rFonts w:hint="eastAsia" w:ascii="仿宋" w:hAnsi="仿宋" w:eastAsia="仿宋" w:cs="仿宋"/>
          <w:sz w:val="32"/>
          <w:szCs w:val="32"/>
          <w:highlight w:val="none"/>
          <w:lang w:val="en-US" w:eastAsia="zh-CN"/>
        </w:rPr>
        <w:t>预制菜感官评价，不适用于主食类食品、净菜类食品、即食类食品和中央厨房制作的菜肴的感官评价。标准中对预制菜术语定义、感官评价的方法原理、一般要求、评价步骤、结果的分析与表达等方面作出规定。</w:t>
      </w:r>
    </w:p>
    <w:p w14:paraId="177896EA">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（二）术语和定义</w:t>
      </w:r>
    </w:p>
    <w:p w14:paraId="496F5584">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1.预制菜</w:t>
      </w:r>
    </w:p>
    <w:p w14:paraId="0387374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关于加强预制菜食品安全监管促进产业高质量发展的通知》（国市监食生发〔2024〕27号），本标准将预制菜定义为“以一种或多种食用农产品及其制品为原料，使用或不使用调味料等辅料，不添加防腐剂，经工业化预加工（如搅拌、腌制、滚揉、成型、炒、炸、烤、煮、蒸等）制成，配以或不配以调味料包，加热或熟制后方可食用的预包装菜肴产品。”</w:t>
      </w:r>
    </w:p>
    <w:p w14:paraId="7F8F227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2.外观</w:t>
      </w:r>
    </w:p>
    <w:p w14:paraId="589F87A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56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10221《感官分析术语》对外观的定义，本标准将外观定义为“预制菜的所有可见特性”。</w:t>
      </w:r>
    </w:p>
    <w:p w14:paraId="3F2F2DC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3.气味</w:t>
      </w:r>
    </w:p>
    <w:p w14:paraId="6AB67BC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56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10221《感官分析术语》对气味的定义，本标准将气味定义为“嗅闻某些挥发性物质是，嗅觉器官所感受到的感官特性”。</w:t>
      </w:r>
    </w:p>
    <w:p w14:paraId="59C38E1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4.质地</w:t>
      </w:r>
    </w:p>
    <w:p w14:paraId="5B630ED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10221《感官分析术语》对质地的定义，本标准将质地定义为“（在口中）从咬第一口到最后吞咽过程中，由动觉和体觉感受器，以及在适当条件下视觉及听觉感受器感知到的所有机械的、几何的、（产品）表面的和主体的产品特性”。</w:t>
      </w:r>
    </w:p>
    <w:p w14:paraId="03568B84">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5.滋味</w:t>
      </w:r>
    </w:p>
    <w:p w14:paraId="3C0A67B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10221《感官分析术语》对滋味的定义，本标准将滋味定义为“某些可溶性物质刺激下，味觉器官感知到的感觉”。</w:t>
      </w:r>
    </w:p>
    <w:p w14:paraId="0C2FD16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6.口味还原度</w:t>
      </w:r>
    </w:p>
    <w:p w14:paraId="40C52E6E">
      <w:pPr>
        <w:pStyle w:val="12"/>
        <w:keepLines w:val="0"/>
        <w:pageBreakBefore w:val="0"/>
        <w:kinsoku/>
        <w:overflowPunct/>
        <w:topLinePunct w:val="0"/>
        <w:bidi w:val="0"/>
        <w:adjustRightInd/>
        <w:snapToGrid/>
        <w:spacing w:line="590" w:lineRule="exact"/>
        <w:ind w:firstLine="420"/>
        <w:textAlignment w:val="auto"/>
        <w:rPr>
          <w:rFonts w:hint="default"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本标准将口味还原度定义为“预制菜产品经加热或熟制后其气味、质地和滋味还原现制菜肴的程度。”</w:t>
      </w:r>
    </w:p>
    <w:p w14:paraId="1B057823">
      <w:pPr>
        <w:pStyle w:val="12"/>
        <w:keepLines w:val="0"/>
        <w:pageBreakBefore w:val="0"/>
        <w:numPr>
          <w:ilvl w:val="-1"/>
          <w:numId w:val="0"/>
        </w:numPr>
        <w:kinsoku/>
        <w:overflowPunct/>
        <w:topLinePunct w:val="0"/>
        <w:bidi w:val="0"/>
        <w:adjustRightInd/>
        <w:snapToGrid/>
        <w:spacing w:line="590" w:lineRule="exact"/>
        <w:ind w:firstLine="64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7.参比样/明参比样</w:t>
      </w:r>
    </w:p>
    <w:p w14:paraId="25DA297F">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kern w:val="2"/>
          <w:sz w:val="32"/>
          <w:szCs w:val="32"/>
          <w:highlight w:val="none"/>
          <w:lang w:val="en-US" w:eastAsia="zh-CN"/>
        </w:rPr>
        <w:t>参考NY/T 3837《稻米食味感官评价方法》，本标准将参比样/明参比样定义为“已知感官综合评分，作为比对参考的预制菜产品。”</w:t>
      </w:r>
    </w:p>
    <w:p w14:paraId="5EFECEBC">
      <w:pPr>
        <w:pStyle w:val="12"/>
        <w:keepLines w:val="0"/>
        <w:pageBreakBefore w:val="0"/>
        <w:numPr>
          <w:ilvl w:val="-1"/>
          <w:numId w:val="0"/>
        </w:numPr>
        <w:kinsoku/>
        <w:overflowPunct/>
        <w:topLinePunct w:val="0"/>
        <w:bidi w:val="0"/>
        <w:adjustRightInd/>
        <w:snapToGrid/>
        <w:spacing w:line="240" w:lineRule="auto"/>
        <w:ind w:firstLine="64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kern w:val="2"/>
          <w:sz w:val="32"/>
          <w:szCs w:val="32"/>
          <w:highlight w:val="none"/>
          <w:lang w:val="en-US" w:eastAsia="zh-CN"/>
        </w:rPr>
        <w:t>8.暗参比样</w:t>
      </w:r>
    </w:p>
    <w:p w14:paraId="050D01EC">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kern w:val="2"/>
          <w:sz w:val="32"/>
          <w:szCs w:val="32"/>
          <w:highlight w:val="none"/>
          <w:lang w:val="en-US" w:eastAsia="zh-CN"/>
        </w:rPr>
        <w:t>参考NY/T 3837《稻米食味感官评价方法》，本标准将暗参比样定义为“已知感官综合评分，用于对感官评价员个人评价结果进行筛选的样品，暗参比样与明参比样为同一款预制菜产品。”</w:t>
      </w:r>
    </w:p>
    <w:p w14:paraId="3E780871">
      <w:pPr>
        <w:pStyle w:val="12"/>
        <w:keepLines w:val="0"/>
        <w:pageBreakBefore w:val="0"/>
        <w:kinsoku/>
        <w:overflowPunct/>
        <w:topLinePunct w:val="0"/>
        <w:bidi w:val="0"/>
        <w:adjustRightInd/>
        <w:snapToGrid/>
        <w:spacing w:line="240" w:lineRule="auto"/>
        <w:ind w:firstLine="420"/>
        <w:textAlignment w:val="auto"/>
        <w:rPr>
          <w:rFonts w:hint="default" w:ascii="仿宋" w:hAnsi="仿宋" w:eastAsia="仿宋" w:cs="仿宋"/>
          <w:kern w:val="2"/>
          <w:sz w:val="32"/>
          <w:szCs w:val="32"/>
          <w:highlight w:val="none"/>
          <w:lang w:val="en-US" w:eastAsia="zh-CN"/>
        </w:rPr>
      </w:pPr>
      <w:r>
        <w:rPr>
          <w:rFonts w:hint="eastAsia" w:ascii="仿宋" w:hAnsi="仿宋" w:eastAsia="仿宋" w:cs="仿宋"/>
          <w:kern w:val="2"/>
          <w:sz w:val="32"/>
          <w:szCs w:val="32"/>
          <w:highlight w:val="none"/>
          <w:lang w:val="en-US" w:eastAsia="zh-CN"/>
        </w:rPr>
        <w:t>9.待评价样</w:t>
      </w:r>
    </w:p>
    <w:p w14:paraId="435AC764">
      <w:pPr>
        <w:pStyle w:val="12"/>
        <w:keepLines w:val="0"/>
        <w:pageBreakBefore w:val="0"/>
        <w:numPr>
          <w:ilvl w:val="-1"/>
          <w:numId w:val="0"/>
        </w:numPr>
        <w:kinsoku/>
        <w:overflowPunct/>
        <w:topLinePunct w:val="0"/>
        <w:bidi w:val="0"/>
        <w:adjustRightInd/>
        <w:snapToGrid/>
        <w:spacing w:line="240" w:lineRule="auto"/>
        <w:ind w:firstLine="640"/>
        <w:textAlignment w:val="auto"/>
        <w:rPr>
          <w:rFonts w:hint="default"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本标准将待评价样定义为“未知感官综合评分，需要由感官评价小组完成感官评价的预制菜产品。”</w:t>
      </w:r>
    </w:p>
    <w:p w14:paraId="0551D7AD">
      <w:pPr>
        <w:pStyle w:val="12"/>
        <w:keepLines w:val="0"/>
        <w:pageBreakBefore w:val="0"/>
        <w:numPr>
          <w:ilvl w:val="-1"/>
          <w:numId w:val="0"/>
        </w:numPr>
        <w:kinsoku/>
        <w:overflowPunct/>
        <w:topLinePunct w:val="0"/>
        <w:bidi w:val="0"/>
        <w:adjustRightInd/>
        <w:snapToGrid/>
        <w:spacing w:line="240" w:lineRule="auto"/>
        <w:ind w:firstLine="64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10.感官评价员</w:t>
      </w:r>
    </w:p>
    <w:p w14:paraId="01F333E2">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本标准中感官评价员的定义来源于GB/T 10221《</w:t>
      </w:r>
      <w:r>
        <w:rPr>
          <w:rFonts w:hint="eastAsia" w:ascii="仿宋" w:hAnsi="仿宋" w:eastAsia="仿宋" w:cs="仿宋"/>
          <w:i w:val="0"/>
          <w:iCs w:val="0"/>
          <w:caps w:val="0"/>
          <w:color w:val="auto"/>
          <w:spacing w:val="0"/>
          <w:kern w:val="2"/>
          <w:sz w:val="32"/>
          <w:szCs w:val="32"/>
          <w:highlight w:val="none"/>
          <w:shd w:val="clear" w:fill="auto"/>
        </w:rPr>
        <w:t xml:space="preserve">感官分析 </w:t>
      </w:r>
      <w:r>
        <w:rPr>
          <w:rFonts w:hint="eastAsia" w:ascii="仿宋" w:hAnsi="仿宋" w:eastAsia="仿宋" w:cs="仿宋"/>
          <w:i w:val="0"/>
          <w:iCs w:val="0"/>
          <w:caps w:val="0"/>
          <w:spacing w:val="0"/>
          <w:kern w:val="2"/>
          <w:sz w:val="32"/>
          <w:szCs w:val="32"/>
          <w:highlight w:val="none"/>
          <w:shd w:val="clear"/>
          <w:lang w:val="en-US" w:eastAsia="zh-CN"/>
        </w:rPr>
        <w:t xml:space="preserve"> </w:t>
      </w:r>
      <w:r>
        <w:rPr>
          <w:rFonts w:hint="eastAsia" w:ascii="仿宋" w:hAnsi="仿宋" w:eastAsia="仿宋" w:cs="仿宋"/>
          <w:i w:val="0"/>
          <w:iCs w:val="0"/>
          <w:caps w:val="0"/>
          <w:color w:val="auto"/>
          <w:spacing w:val="0"/>
          <w:kern w:val="2"/>
          <w:sz w:val="32"/>
          <w:szCs w:val="32"/>
          <w:highlight w:val="none"/>
          <w:shd w:val="clear" w:fill="auto"/>
        </w:rPr>
        <w:t>术语</w:t>
      </w:r>
      <w:r>
        <w:rPr>
          <w:rFonts w:hint="eastAsia" w:ascii="仿宋" w:hAnsi="仿宋" w:eastAsia="仿宋" w:cs="仿宋"/>
          <w:kern w:val="2"/>
          <w:sz w:val="32"/>
          <w:szCs w:val="32"/>
          <w:highlight w:val="none"/>
          <w:lang w:val="en-US" w:eastAsia="zh-CN" w:bidi="ar-SA"/>
        </w:rPr>
        <w:t>》，为“</w:t>
      </w:r>
      <w:r>
        <w:rPr>
          <w:rFonts w:hint="eastAsia" w:ascii="仿宋" w:hAnsi="仿宋" w:eastAsia="仿宋" w:cs="仿宋"/>
          <w:kern w:val="2"/>
          <w:sz w:val="32"/>
          <w:szCs w:val="32"/>
          <w:highlight w:val="none"/>
          <w:lang w:val="en-US" w:eastAsia="zh-CN"/>
        </w:rPr>
        <w:t>参加感官测试的人员</w:t>
      </w:r>
      <w:r>
        <w:rPr>
          <w:rFonts w:hint="eastAsia" w:ascii="仿宋" w:hAnsi="仿宋" w:eastAsia="仿宋" w:cs="仿宋"/>
          <w:kern w:val="2"/>
          <w:sz w:val="32"/>
          <w:szCs w:val="32"/>
          <w:highlight w:val="none"/>
          <w:lang w:val="en-US" w:eastAsia="zh-CN" w:bidi="ar-SA"/>
        </w:rPr>
        <w:t>”。</w:t>
      </w:r>
    </w:p>
    <w:p w14:paraId="765F423C">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11.优选评价员</w:t>
      </w:r>
    </w:p>
    <w:p w14:paraId="6B023D57">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本标准中优选评价员的定义来源于GB/T 10221《</w:t>
      </w:r>
      <w:r>
        <w:rPr>
          <w:rFonts w:hint="eastAsia" w:ascii="仿宋" w:hAnsi="仿宋" w:eastAsia="仿宋" w:cs="仿宋"/>
          <w:i w:val="0"/>
          <w:iCs w:val="0"/>
          <w:caps w:val="0"/>
          <w:color w:val="auto"/>
          <w:spacing w:val="0"/>
          <w:kern w:val="2"/>
          <w:sz w:val="32"/>
          <w:szCs w:val="32"/>
          <w:highlight w:val="none"/>
          <w:shd w:val="clear" w:fill="auto"/>
        </w:rPr>
        <w:t xml:space="preserve">感官分析 </w:t>
      </w:r>
      <w:r>
        <w:rPr>
          <w:rFonts w:hint="eastAsia" w:ascii="仿宋" w:hAnsi="仿宋" w:eastAsia="仿宋" w:cs="仿宋"/>
          <w:i w:val="0"/>
          <w:iCs w:val="0"/>
          <w:caps w:val="0"/>
          <w:spacing w:val="0"/>
          <w:kern w:val="2"/>
          <w:sz w:val="32"/>
          <w:szCs w:val="32"/>
          <w:highlight w:val="none"/>
          <w:shd w:val="clear"/>
          <w:lang w:val="en-US" w:eastAsia="zh-CN"/>
        </w:rPr>
        <w:t xml:space="preserve"> </w:t>
      </w:r>
      <w:r>
        <w:rPr>
          <w:rFonts w:hint="eastAsia" w:ascii="仿宋" w:hAnsi="仿宋" w:eastAsia="仿宋" w:cs="仿宋"/>
          <w:i w:val="0"/>
          <w:iCs w:val="0"/>
          <w:caps w:val="0"/>
          <w:color w:val="auto"/>
          <w:spacing w:val="0"/>
          <w:kern w:val="2"/>
          <w:sz w:val="32"/>
          <w:szCs w:val="32"/>
          <w:highlight w:val="none"/>
          <w:shd w:val="clear" w:fill="auto"/>
        </w:rPr>
        <w:t>术语</w:t>
      </w:r>
      <w:r>
        <w:rPr>
          <w:rFonts w:hint="eastAsia" w:ascii="仿宋" w:hAnsi="仿宋" w:eastAsia="仿宋" w:cs="仿宋"/>
          <w:kern w:val="2"/>
          <w:sz w:val="32"/>
          <w:szCs w:val="32"/>
          <w:highlight w:val="none"/>
          <w:lang w:val="en-US" w:eastAsia="zh-CN" w:bidi="ar-SA"/>
        </w:rPr>
        <w:t>》，为“</w:t>
      </w:r>
      <w:r>
        <w:rPr>
          <w:rFonts w:hint="eastAsia" w:ascii="仿宋" w:hAnsi="仿宋" w:eastAsia="仿宋" w:cs="仿宋"/>
          <w:kern w:val="2"/>
          <w:sz w:val="32"/>
          <w:szCs w:val="32"/>
          <w:highlight w:val="none"/>
          <w:lang w:val="en-US" w:eastAsia="zh-CN"/>
        </w:rPr>
        <w:t>挑选出的具有进行感官测试能力的评价员</w:t>
      </w:r>
      <w:r>
        <w:rPr>
          <w:rFonts w:hint="eastAsia" w:ascii="仿宋" w:hAnsi="仿宋" w:eastAsia="仿宋" w:cs="仿宋"/>
          <w:kern w:val="2"/>
          <w:sz w:val="32"/>
          <w:szCs w:val="32"/>
          <w:highlight w:val="none"/>
          <w:lang w:val="en-US" w:eastAsia="zh-CN" w:bidi="ar-SA"/>
        </w:rPr>
        <w:t>”。</w:t>
      </w:r>
    </w:p>
    <w:p w14:paraId="2A6451D6">
      <w:pPr>
        <w:pStyle w:val="12"/>
        <w:keepLines w:val="0"/>
        <w:pageBreakBefore w:val="0"/>
        <w:kinsoku/>
        <w:overflowPunct/>
        <w:topLinePunct w:val="0"/>
        <w:bidi w:val="0"/>
        <w:adjustRightInd/>
        <w:snapToGrid/>
        <w:spacing w:line="240" w:lineRule="auto"/>
        <w:ind w:firstLine="420"/>
        <w:textAlignment w:val="auto"/>
        <w:rPr>
          <w:rFonts w:hint="default"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12.专家评价员</w:t>
      </w:r>
    </w:p>
    <w:p w14:paraId="686F65FA">
      <w:pPr>
        <w:pStyle w:val="12"/>
        <w:keepLines w:val="0"/>
        <w:pageBreakBefore w:val="0"/>
        <w:kinsoku/>
        <w:overflowPunct/>
        <w:topLinePunct w:val="0"/>
        <w:bidi w:val="0"/>
        <w:adjustRightInd/>
        <w:snapToGrid/>
        <w:spacing w:line="240" w:lineRule="auto"/>
        <w:ind w:firstLine="42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本标准中专家评价员的定义来源于GB/T 10221《</w:t>
      </w:r>
      <w:r>
        <w:rPr>
          <w:rFonts w:hint="eastAsia" w:ascii="仿宋" w:hAnsi="仿宋" w:eastAsia="仿宋" w:cs="仿宋"/>
          <w:i w:val="0"/>
          <w:iCs w:val="0"/>
          <w:caps w:val="0"/>
          <w:color w:val="auto"/>
          <w:spacing w:val="0"/>
          <w:kern w:val="2"/>
          <w:sz w:val="32"/>
          <w:szCs w:val="32"/>
          <w:highlight w:val="none"/>
          <w:shd w:val="clear" w:fill="auto"/>
        </w:rPr>
        <w:t xml:space="preserve">感官分析 </w:t>
      </w:r>
      <w:r>
        <w:rPr>
          <w:rFonts w:hint="eastAsia" w:ascii="仿宋" w:hAnsi="仿宋" w:eastAsia="仿宋" w:cs="仿宋"/>
          <w:i w:val="0"/>
          <w:iCs w:val="0"/>
          <w:caps w:val="0"/>
          <w:spacing w:val="0"/>
          <w:kern w:val="2"/>
          <w:sz w:val="32"/>
          <w:szCs w:val="32"/>
          <w:highlight w:val="none"/>
          <w:shd w:val="clear"/>
          <w:lang w:val="en-US" w:eastAsia="zh-CN"/>
        </w:rPr>
        <w:t xml:space="preserve"> </w:t>
      </w:r>
      <w:r>
        <w:rPr>
          <w:rFonts w:hint="eastAsia" w:ascii="仿宋" w:hAnsi="仿宋" w:eastAsia="仿宋" w:cs="仿宋"/>
          <w:i w:val="0"/>
          <w:iCs w:val="0"/>
          <w:caps w:val="0"/>
          <w:color w:val="auto"/>
          <w:spacing w:val="0"/>
          <w:kern w:val="2"/>
          <w:sz w:val="32"/>
          <w:szCs w:val="32"/>
          <w:highlight w:val="none"/>
          <w:shd w:val="clear" w:fill="auto"/>
        </w:rPr>
        <w:t>术语</w:t>
      </w:r>
      <w:r>
        <w:rPr>
          <w:rFonts w:hint="eastAsia" w:ascii="仿宋" w:hAnsi="仿宋" w:eastAsia="仿宋" w:cs="仿宋"/>
          <w:kern w:val="2"/>
          <w:sz w:val="32"/>
          <w:szCs w:val="32"/>
          <w:highlight w:val="none"/>
          <w:lang w:val="en-US" w:eastAsia="zh-CN" w:bidi="ar-SA"/>
        </w:rPr>
        <w:t>》，为“</w:t>
      </w:r>
      <w:r>
        <w:rPr>
          <w:rFonts w:hint="eastAsia" w:ascii="仿宋" w:hAnsi="仿宋" w:eastAsia="仿宋" w:cs="仿宋"/>
          <w:kern w:val="2"/>
          <w:sz w:val="32"/>
          <w:szCs w:val="32"/>
          <w:highlight w:val="none"/>
          <w:lang w:val="en-US" w:eastAsia="zh-CN"/>
        </w:rPr>
        <w:t>具有被证实的感官敏感性且经过相当多的感官测试培训和实践，能够对某类产品做出一致的、可重复的感官评价的优选评价员</w:t>
      </w:r>
      <w:r>
        <w:rPr>
          <w:rFonts w:hint="eastAsia" w:ascii="仿宋" w:hAnsi="仿宋" w:eastAsia="仿宋" w:cs="仿宋"/>
          <w:kern w:val="2"/>
          <w:sz w:val="32"/>
          <w:szCs w:val="32"/>
          <w:highlight w:val="none"/>
          <w:lang w:val="en-US" w:eastAsia="zh-CN" w:bidi="ar-SA"/>
        </w:rPr>
        <w:t>”。</w:t>
      </w:r>
    </w:p>
    <w:p w14:paraId="7D451EB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（三）方法原理</w:t>
      </w:r>
    </w:p>
    <w:p w14:paraId="3178EB0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通过参考GB/T 15682《粮油检验稻谷、大米蒸煮使用品质感官评价方法》，本标准将方法原理设置为“取一定量的预制菜样品，按照产品标签标识描述的方法完成烹饪，由感官评价员按外观、口味还原度（气味、质地和滋味）的顺序对预制菜进行评价，综合评分为各项得分之和。采用描述性检验法对明参比样进行感官评价，采用差别检验法分别评价暗参比样和待评价样与明参比样之间的差异程度”。</w:t>
      </w:r>
    </w:p>
    <w:p w14:paraId="0743FF5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（四）一般要求</w:t>
      </w:r>
    </w:p>
    <w:p w14:paraId="4E106C6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1.感官评价员</w:t>
      </w:r>
    </w:p>
    <w:p w14:paraId="347D9BD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（1）参考GB/T 37062《水产品感官评价指南》和GB/T 25005《感官分析方便面感官评价方法》，本标准要求感官评价员应符合 GB/T 10220 、GB/T 15549、GB/T 16291.1 和 GB/T 16291.2 的要求，并接受感官评价方法描述性检验法、差别检验法的培训和预制菜产品对应现制菜肴相关知识的培训。</w:t>
      </w:r>
    </w:p>
    <w:p w14:paraId="114468E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（2）参考GB/T 15682《粮油检验稻谷、大米蒸煮使用品质感官评价方法》,本标准要求感官评价员在评价前 1 h 内可以喝水，但应避免进食、吸烟、喝饮料等可能影响感官评价结果的行为。评价员在评价期间具有正常的生理状态，饥饿感适中，不使用化妆品或其他有明显气味的用品。评价员在对不同样品进行评价前应用温开水漱口，漱去口中的残留物。</w:t>
      </w:r>
    </w:p>
    <w:p w14:paraId="20199C6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（3）参考GB/T 22210《肉与肉制品感官评定规范》，本标准要求在感官评定的过程中，评价员应独自打分，禁止相互交换意见。</w:t>
      </w:r>
    </w:p>
    <w:p w14:paraId="60F4787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2.评价小组</w:t>
      </w:r>
    </w:p>
    <w:p w14:paraId="5F0A658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25005《感官分析方便面感官评价方法》，本标准要求每次感官评价应由8位及以上的专家评价员或优选评价员组成评价小组承担，其中参比样的评价小组需包括不少于3位专家评价员。</w:t>
      </w:r>
    </w:p>
    <w:p w14:paraId="49824BA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3.评价环境</w:t>
      </w:r>
    </w:p>
    <w:p w14:paraId="67905D1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25005《感官分析方便面感官评价方法》，本标准要求预制菜感官评价应在符合GB/T 13868规定的感官分析实验室中进行。</w:t>
      </w:r>
    </w:p>
    <w:p w14:paraId="3DAD7D9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4.评价器具</w:t>
      </w:r>
    </w:p>
    <w:p w14:paraId="3496B2E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25005《感官分析方便面感官评价方法》，本标准要求“应按照产品标签标识描述的食用方法选择合适的烹饪器具。应选择白色、无味、尺寸适宜的容器盛放样品。应同时配备保温设备，保证评价过程中样品的温度适宜。”</w:t>
      </w:r>
    </w:p>
    <w:p w14:paraId="1E3D351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5.评价时间</w:t>
      </w:r>
    </w:p>
    <w:p w14:paraId="163DB4EA">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25005《感官分析方便面感官评价方法》，本标准要求评价时间宜安排在 9:00</w:t>
      </w:r>
      <w:r>
        <w:rPr>
          <w:rFonts w:hint="eastAsia" w:ascii="微软雅黑" w:hAnsi="微软雅黑" w:eastAsia="微软雅黑" w:cs="微软雅黑"/>
          <w:highlight w:val="none"/>
          <w:lang w:val="en-US" w:eastAsia="zh-CN"/>
        </w:rPr>
        <w:t>~</w:t>
      </w:r>
      <w:r>
        <w:rPr>
          <w:rFonts w:hint="eastAsia" w:ascii="仿宋" w:hAnsi="仿宋" w:eastAsia="仿宋" w:cs="仿宋"/>
          <w:sz w:val="32"/>
          <w:szCs w:val="32"/>
          <w:highlight w:val="none"/>
          <w:lang w:val="en-US" w:eastAsia="zh-CN"/>
        </w:rPr>
        <w:t>10:00、15:00</w:t>
      </w:r>
      <w:r>
        <w:rPr>
          <w:rFonts w:hint="eastAsia" w:ascii="微软雅黑" w:hAnsi="微软雅黑" w:eastAsia="微软雅黑" w:cs="微软雅黑"/>
          <w:highlight w:val="none"/>
          <w:lang w:val="en-US" w:eastAsia="zh-CN"/>
        </w:rPr>
        <w:t>~</w:t>
      </w:r>
      <w:r>
        <w:rPr>
          <w:rFonts w:hint="eastAsia" w:ascii="仿宋" w:hAnsi="仿宋" w:eastAsia="仿宋" w:cs="仿宋"/>
          <w:sz w:val="32"/>
          <w:szCs w:val="32"/>
          <w:highlight w:val="none"/>
          <w:lang w:val="en-US" w:eastAsia="zh-CN"/>
        </w:rPr>
        <w:t>16:00。</w:t>
      </w:r>
    </w:p>
    <w:p w14:paraId="7DC89B9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6.评价样品</w:t>
      </w:r>
    </w:p>
    <w:p w14:paraId="58AA6E9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本标准要求评价样品应符合产品明示标准。</w:t>
      </w:r>
    </w:p>
    <w:p w14:paraId="0031911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（五）评价步骤</w:t>
      </w:r>
    </w:p>
    <w:p w14:paraId="0B45762C">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1.感官描述词选用</w:t>
      </w:r>
    </w:p>
    <w:p w14:paraId="1826A98D">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16861《感官分析通用多元分析方法鉴定和选择用于建立感官剖面的描述词》，本标准设置，应选择不少于8位专家评价员或优选评价员，以小组讨论的形式建立感官描述词，描述词的建立应符合GB/T 16861的规定。</w:t>
      </w:r>
    </w:p>
    <w:p w14:paraId="1DC5655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2.参比样选择</w:t>
      </w:r>
    </w:p>
    <w:p w14:paraId="43BDE63A">
      <w:pPr>
        <w:pStyle w:val="12"/>
        <w:keepNext w:val="0"/>
        <w:keepLines w:val="0"/>
        <w:pageBreakBefore w:val="0"/>
        <w:widowControl w:val="0"/>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29604《感官分析建立感官特性参比样的一般导则》中参比样的基本原则，本标准规定参比样的选择过程为“</w:t>
      </w:r>
      <w:r>
        <w:rPr>
          <w:rFonts w:hint="eastAsia" w:ascii="仿宋" w:hAnsi="仿宋" w:eastAsia="仿宋" w:cs="仿宋"/>
          <w:color w:val="auto"/>
          <w:sz w:val="32"/>
          <w:szCs w:val="32"/>
          <w:highlight w:val="none"/>
          <w:lang w:val="en-US" w:eastAsia="zh-CN"/>
        </w:rPr>
        <w:t>选取同类型预制菜产品 3</w:t>
      </w:r>
      <w:r>
        <w:rPr>
          <w:rFonts w:hint="eastAsia" w:ascii="仿宋" w:hAnsi="仿宋" w:eastAsia="仿宋" w:cs="仿宋"/>
          <w:sz w:val="32"/>
          <w:szCs w:val="32"/>
          <w:highlight w:val="none"/>
          <w:lang w:val="en-US" w:eastAsia="zh-CN"/>
        </w:rPr>
        <w:t>~</w:t>
      </w:r>
      <w:r>
        <w:rPr>
          <w:rFonts w:hint="eastAsia" w:ascii="仿宋" w:hAnsi="仿宋" w:eastAsia="仿宋" w:cs="仿宋"/>
          <w:color w:val="auto"/>
          <w:sz w:val="32"/>
          <w:szCs w:val="32"/>
          <w:highlight w:val="none"/>
          <w:lang w:val="en-US" w:eastAsia="zh-CN"/>
        </w:rPr>
        <w:t>5 款，按 6.3 的规定完成样品制备</w:t>
      </w:r>
      <w:r>
        <w:rPr>
          <w:rFonts w:hint="eastAsia" w:ascii="仿宋" w:hAnsi="仿宋" w:eastAsia="仿宋" w:cs="仿宋"/>
          <w:sz w:val="32"/>
          <w:szCs w:val="32"/>
          <w:highlight w:val="none"/>
          <w:lang w:val="en-US" w:eastAsia="zh-CN"/>
        </w:rPr>
        <w:t xml:space="preserve">，由感官评价员按照 6.5 的规定进行 </w:t>
      </w:r>
      <w:r>
        <w:rPr>
          <w:rFonts w:hint="eastAsia" w:ascii="仿宋" w:hAnsi="仿宋" w:eastAsia="仿宋" w:cs="仿宋"/>
          <w:color w:val="auto"/>
          <w:sz w:val="32"/>
          <w:szCs w:val="32"/>
          <w:highlight w:val="none"/>
          <w:lang w:val="en-US" w:eastAsia="zh-CN"/>
        </w:rPr>
        <w:t>2</w:t>
      </w:r>
      <w:r>
        <w:rPr>
          <w:rFonts w:hint="eastAsia" w:ascii="仿宋" w:hAnsi="仿宋" w:eastAsia="仿宋" w:cs="仿宋"/>
          <w:sz w:val="32"/>
          <w:szCs w:val="32"/>
          <w:highlight w:val="none"/>
          <w:lang w:val="en-US" w:eastAsia="zh-CN"/>
        </w:rPr>
        <w:t>~3</w:t>
      </w:r>
      <w:r>
        <w:rPr>
          <w:rFonts w:hint="eastAsia" w:ascii="仿宋" w:hAnsi="仿宋" w:eastAsia="仿宋" w:cs="仿宋"/>
          <w:color w:val="auto"/>
          <w:sz w:val="32"/>
          <w:szCs w:val="32"/>
          <w:highlight w:val="none"/>
          <w:lang w:val="en-US" w:eastAsia="zh-CN"/>
        </w:rPr>
        <w:t xml:space="preserve"> 次评价，按照 7.1.1 的规定进行数据处理后，选择综合评分在 65</w:t>
      </w:r>
      <w:r>
        <w:rPr>
          <w:rFonts w:hint="eastAsia" w:ascii="仿宋" w:hAnsi="仿宋" w:eastAsia="仿宋" w:cs="仿宋"/>
          <w:sz w:val="32"/>
          <w:szCs w:val="32"/>
          <w:highlight w:val="none"/>
          <w:lang w:val="en-US" w:eastAsia="zh-CN"/>
        </w:rPr>
        <w:t>~75</w:t>
      </w:r>
      <w:r>
        <w:rPr>
          <w:rFonts w:hint="eastAsia" w:ascii="仿宋" w:hAnsi="仿宋" w:eastAsia="仿宋" w:cs="仿宋"/>
          <w:color w:val="auto"/>
          <w:sz w:val="32"/>
          <w:szCs w:val="32"/>
          <w:highlight w:val="none"/>
          <w:lang w:val="en-US" w:eastAsia="zh-CN"/>
        </w:rPr>
        <w:t xml:space="preserve"> 分的一款产品，作为该类型预制菜的参比样</w:t>
      </w:r>
      <w:r>
        <w:rPr>
          <w:rFonts w:hint="eastAsia" w:ascii="仿宋" w:hAnsi="仿宋" w:eastAsia="仿宋" w:cs="仿宋"/>
          <w:sz w:val="32"/>
          <w:szCs w:val="32"/>
          <w:highlight w:val="none"/>
          <w:lang w:val="en-US" w:eastAsia="zh-CN"/>
        </w:rPr>
        <w:t>”。</w:t>
      </w:r>
    </w:p>
    <w:p w14:paraId="55AB45C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3.样品制备</w:t>
      </w:r>
    </w:p>
    <w:p w14:paraId="51A8058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了充分还原预制菜产品加热或熟制后的外观、气味、质地和滋味，减少人为因素影响、提高数据的一致性和可比性、增强数据的可靠性和有效性，本标准设置样品应按照产品标签标识描述的食用方法进行加热或熟制。</w:t>
      </w:r>
    </w:p>
    <w:p w14:paraId="71A62E3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4.样品提供</w:t>
      </w:r>
    </w:p>
    <w:p w14:paraId="7AB975E7">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25005《感官分析方便面感官评价方法》和GB/T 22210《肉与肉制品感官评定规范》，本标准设置，每次评价的样品包括1个明参比样、1个暗参比样和3个待评价样。提供样品应保持完整性并用三位数字随机编码，不宜使用喜爱、忌讳或容易记忆的数字。同一轮次评价中每个样品的编码应不同，评价员之间的编码也宜不同。</w:t>
      </w:r>
    </w:p>
    <w:p w14:paraId="5C03800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5.参比样感官评价</w:t>
      </w:r>
    </w:p>
    <w:p w14:paraId="5CD1482C">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本标准设置，参比样感官评价按照外观、口味还原度（气味、质地和滋味）的顺序对参比样进行评分，评分规则和记录表格式见附录A。</w:t>
      </w:r>
    </w:p>
    <w:p w14:paraId="724A7A4C">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6.暗参比样和待评价样感官评价</w:t>
      </w:r>
    </w:p>
    <w:p w14:paraId="02B86B6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本标准设置，暗参比样和待评价样感官评价按照外观、口味还原度（气味、质地和滋味）的顺序对样品进行评分，评分规则和记录表格式见附录B。</w:t>
      </w:r>
    </w:p>
    <w:p w14:paraId="236F175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（六）结果的分析与表达</w:t>
      </w:r>
    </w:p>
    <w:p w14:paraId="624B597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1.数据处理</w:t>
      </w:r>
    </w:p>
    <w:p w14:paraId="4B2C25FB">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（1）明参比样</w:t>
      </w:r>
    </w:p>
    <w:p w14:paraId="1F99B0B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56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参考GB/T 23776《茶叶感官评审方法》，本标准设置，综合评分为外观、口味还原度（气味、质地、滋味）得分之和。在所有感官评价员综合评分结果中去除一个最高分和一个最低分，其余分数相加的总和除以其人数，并四舍五入取整数后，即为明参比样的综合评分。参比样感官评价的数据处理，最初为参考GB/T 15682 《粮油检验 稻谷、大米蒸煮食用品质感官评价方法》设置的“根据每个感官评价员的综合评分结果计算平均值，个别感官评价员品评误差大者（超过平均值 10 分以上）可舍弃，舍弃后重新计算平均值。最后以综合评分的平均值作为参比样感官评价的结果，计算结果取整数”。但在后续进行预制菜感官实验以验证方法可行性的过程中，出现了个别评价员无法彻底排除个人主观因素导致给参比样打分偏高或偏低，但又不符合舍弃异常值的标准，从而影响产品最终输出分数的情况。在广泛查阅了各类食品的感官评价标准并经过深入研究和对比分析后，最终参考GB/T 23776《茶叶感官评审方法》中的去极值法作为数据处理方法。去极值可在一定程度上去除个人主观因素带来的影响，进一步提升产品的最终输出分值的客观性和准确性，为预制菜产品的品质评估提供更加科学的依据。</w:t>
      </w:r>
    </w:p>
    <w:p w14:paraId="7C36DBEC">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（2）暗参比样和待评价样</w:t>
      </w:r>
    </w:p>
    <w:p w14:paraId="33E22C20">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参考NY/T 3837《稻米食味感官评价方法》和GB/T 23776《茶叶感官评审方法》，本标准设置，通过比较法对暗参比样和待评价样进行评分，</w:t>
      </w:r>
      <w:r>
        <w:rPr>
          <w:rFonts w:hint="eastAsia" w:ascii="仿宋" w:hAnsi="仿宋" w:eastAsia="仿宋" w:cs="仿宋"/>
          <w:sz w:val="32"/>
          <w:szCs w:val="32"/>
          <w:highlight w:val="none"/>
          <w:lang w:val="en-US" w:eastAsia="zh-CN" w:bidi="ar-SA"/>
        </w:rPr>
        <w:t>“低”“较低”“稍低”“相当”“稍高”“较高”“高”的分值分别为：与明参比样比较 - 30、- 20、-10、0、+ 10、+ 20、+ 30分。综合评分 = 明参比样综合评分 + 外观分值 × 10% + 气味分值 × 30% + 质地分值 × 30% + 滋味分值 × 30%。</w:t>
      </w:r>
      <w:r>
        <w:rPr>
          <w:rFonts w:hint="eastAsia" w:ascii="仿宋" w:hAnsi="仿宋" w:eastAsia="仿宋" w:cs="仿宋"/>
          <w:sz w:val="32"/>
          <w:szCs w:val="32"/>
          <w:highlight w:val="none"/>
          <w:lang w:val="en-US" w:eastAsia="zh-CN"/>
        </w:rPr>
        <w:t>个别评价员的暗参比样分值与明参比样综合评分相差 ≥ 5 分时，舍弃该感官评价员的结果。在其余感官评价员综合评分结果中去除一个最高分和一个最低分后，将综合评分结果的总和除以其人数，并四舍五入取整数，所得分数即为感官评价的最终结果。</w:t>
      </w:r>
    </w:p>
    <w:p w14:paraId="611E6DE4">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2.结果表达</w:t>
      </w:r>
    </w:p>
    <w:p w14:paraId="47614054">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（1）本标准设置，感官评价等级按照从高到低划分为三级：高（综合评分＞80分）、中（60分≤综合评分≤80分）、低（综合评分＜60分）。</w:t>
      </w:r>
    </w:p>
    <w:p w14:paraId="0123ABF6">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bidi="ar-SA"/>
        </w:rPr>
      </w:pPr>
      <w:r>
        <w:rPr>
          <w:rFonts w:hint="eastAsia" w:ascii="仿宋" w:hAnsi="仿宋" w:eastAsia="仿宋" w:cs="仿宋"/>
          <w:sz w:val="32"/>
          <w:szCs w:val="32"/>
          <w:highlight w:val="none"/>
          <w:lang w:val="en-US" w:eastAsia="zh-CN"/>
        </w:rPr>
        <w:t>（2）本标准参考T/GBAS 29《大米品质感官评价》，设置</w:t>
      </w:r>
      <w:r>
        <w:rPr>
          <w:rFonts w:hint="eastAsia" w:ascii="仿宋" w:hAnsi="仿宋" w:eastAsia="仿宋" w:cs="仿宋"/>
          <w:sz w:val="32"/>
          <w:szCs w:val="32"/>
          <w:highlight w:val="none"/>
          <w:lang w:val="en-US" w:eastAsia="zh-CN" w:bidi="ar-SA"/>
        </w:rPr>
        <w:t>同一个感官评价小组在每次品评中同时对 3 个不同批次的待评价样进行感官评价，以评价产品感官品质的一致性。若 3 个批次中任意 2 个批次综合评分结果的相对偏差在 20 % 以上，则认为该产品感官品质一致性较差，不可对该产品进行等级划分。</w:t>
      </w:r>
    </w:p>
    <w:p w14:paraId="1F9015C3">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default"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（七） 评价报告</w:t>
      </w:r>
    </w:p>
    <w:p w14:paraId="35AE8B3F">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sz w:val="32"/>
          <w:szCs w:val="32"/>
          <w:highlight w:val="none"/>
          <w:lang w:val="en-US" w:eastAsia="zh-CN"/>
        </w:rPr>
        <w:t>参考</w:t>
      </w:r>
      <w:r>
        <w:rPr>
          <w:rFonts w:hint="eastAsia" w:ascii="仿宋" w:hAnsi="仿宋" w:eastAsia="仿宋" w:cs="仿宋"/>
          <w:b w:val="0"/>
          <w:bCs w:val="0"/>
          <w:sz w:val="32"/>
          <w:szCs w:val="32"/>
          <w:highlight w:val="none"/>
          <w:lang w:val="en-US" w:eastAsia="zh-CN"/>
        </w:rPr>
        <w:t>GB/T 25005-2010《感官分析方便面感官评价方法》，本标准规定评价报告应包括以下内容：</w:t>
      </w:r>
    </w:p>
    <w:p w14:paraId="0E7F55D4">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评价目的；</w:t>
      </w:r>
    </w:p>
    <w:p w14:paraId="20F866A5">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有关样品的情况说明；</w:t>
      </w:r>
    </w:p>
    <w:p w14:paraId="31B1950F">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评价员人数及其资格水平；</w:t>
      </w:r>
    </w:p>
    <w:p w14:paraId="2514BB33">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评价结果及其统计解释；</w:t>
      </w:r>
    </w:p>
    <w:p w14:paraId="57612E1B">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注明根据本标准进行评价；</w:t>
      </w:r>
    </w:p>
    <w:p w14:paraId="4842826E">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如有与本标准不同的做法应予以说明；</w:t>
      </w:r>
    </w:p>
    <w:p w14:paraId="2B381BB6">
      <w:pPr>
        <w:pStyle w:val="13"/>
        <w:numPr>
          <w:ilvl w:val="0"/>
          <w:numId w:val="3"/>
        </w:numPr>
        <w:bidi w:val="0"/>
        <w:spacing w:before="0" w:beforeLines="0" w:after="0" w:afterLines="0"/>
        <w:ind w:left="0" w:leftChars="0"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评价负责人的姓名；</w:t>
      </w:r>
    </w:p>
    <w:p w14:paraId="04730017">
      <w:pPr>
        <w:pStyle w:val="13"/>
        <w:keepNext w:val="0"/>
        <w:keepLines w:val="0"/>
        <w:pageBreakBefore w:val="0"/>
        <w:widowControl w:val="0"/>
        <w:numPr>
          <w:ilvl w:val="0"/>
          <w:numId w:val="3"/>
        </w:numPr>
        <w:kinsoku/>
        <w:wordWrap w:val="0"/>
        <w:overflowPunct/>
        <w:topLinePunct w:val="0"/>
        <w:autoSpaceDE/>
        <w:autoSpaceDN/>
        <w:bidi w:val="0"/>
        <w:adjustRightInd/>
        <w:snapToGrid/>
        <w:spacing w:beforeLines="0" w:afterLines="0"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lang w:val="en-US" w:eastAsia="zh-CN" w:bidi="ar-SA"/>
        </w:rPr>
        <w:t>评价的日期和时间。</w:t>
      </w:r>
    </w:p>
    <w:p w14:paraId="5A7F87A8">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（八） 附录</w:t>
      </w:r>
    </w:p>
    <w:p w14:paraId="74B1591D">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 附录A</w:t>
      </w:r>
    </w:p>
    <w:p w14:paraId="5312A6E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本标准附录A预制菜明参比样感官评价评分规则和纪律表参考GB/T 15682《粮油检验 稻谷、大米蒸煮食用品质感官评价方法》中附录B参照样品感官评价评分规则和记录表设置。</w:t>
      </w:r>
    </w:p>
    <w:p w14:paraId="0B3315BE">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（1）预制菜感官评价指标及权重设置。根据预制菜消费者调查结果，</w:t>
      </w:r>
      <w:r>
        <w:rPr>
          <w:rFonts w:hint="default" w:ascii="仿宋" w:hAnsi="仿宋" w:eastAsia="仿宋" w:cs="仿宋"/>
          <w:b w:val="0"/>
          <w:bCs w:val="0"/>
          <w:sz w:val="32"/>
          <w:szCs w:val="32"/>
          <w:highlight w:val="none"/>
          <w:lang w:val="en-US" w:eastAsia="zh-CN"/>
        </w:rPr>
        <w:t>预制菜消费者认为预制菜行业需要改进的问题中，预制菜的口味还原程度是最主要的问题</w:t>
      </w:r>
      <w:r>
        <w:rPr>
          <w:rFonts w:hint="eastAsia" w:ascii="仿宋" w:hAnsi="仿宋" w:eastAsia="仿宋" w:cs="仿宋"/>
          <w:b w:val="0"/>
          <w:bCs w:val="0"/>
          <w:sz w:val="32"/>
          <w:szCs w:val="32"/>
          <w:highlight w:val="none"/>
          <w:lang w:val="en-US" w:eastAsia="zh-CN"/>
        </w:rPr>
        <w:t>。因此本标准将产品</w:t>
      </w:r>
      <w:r>
        <w:rPr>
          <w:rFonts w:hint="eastAsia" w:ascii="仿宋" w:hAnsi="仿宋" w:eastAsia="仿宋" w:cs="仿宋"/>
          <w:sz w:val="32"/>
          <w:szCs w:val="32"/>
          <w:highlight w:val="none"/>
          <w:lang w:val="en-US" w:eastAsia="zh-CN"/>
        </w:rPr>
        <w:t>综合评分中外观与口味还原度（气味、质地和滋味）的权重比</w:t>
      </w:r>
      <w:r>
        <w:rPr>
          <w:rFonts w:hint="eastAsia" w:ascii="仿宋" w:hAnsi="仿宋" w:eastAsia="仿宋" w:cs="仿宋"/>
          <w:b w:val="0"/>
          <w:bCs w:val="0"/>
          <w:sz w:val="32"/>
          <w:szCs w:val="32"/>
          <w:highlight w:val="none"/>
          <w:lang w:val="en-US" w:eastAsia="zh-CN"/>
        </w:rPr>
        <w:t>设置</w:t>
      </w:r>
      <w:r>
        <w:rPr>
          <w:rFonts w:hint="eastAsia" w:ascii="仿宋" w:hAnsi="仿宋" w:eastAsia="仿宋" w:cs="仿宋"/>
          <w:sz w:val="32"/>
          <w:szCs w:val="32"/>
          <w:highlight w:val="none"/>
          <w:lang w:val="en-US" w:eastAsia="zh-CN"/>
        </w:rPr>
        <w:t>为1:9，其中气味、质地、滋味之间的权重比为1:1:1，体现预制菜样品感官评定中口味还原度的重要性。</w:t>
      </w:r>
    </w:p>
    <w:p w14:paraId="6A7A11B1">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评价指标分值区间设置。记录表设立之初，气味、质地和滋味三项指标的分档区间为0-10分、11-20分、21-30分。但在验证预制菜感官品评实验可行性和科学性的过程中，部分品评员反映按照各项指标的分档区间打分，所得综合得分与心目中认为的等级不相符。因此起草组对表格中每项指标不同档的分值区间进行重新设置，根据产品最终输出等级的综合评分进行同比例缩放，最终各档分值确定为1-18分、19-24分、25-30分,解决了各指标输出等级与产品最终输出等级不匹配的问题。</w:t>
      </w:r>
    </w:p>
    <w:p w14:paraId="48B3CA85">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（3）感官描述词的选用和建立。表格中描述词应符合该预制菜现制菜肴的基本特性，能够充分体现出该现制菜肴的外观、气味、质地和滋味特征，以确保产品最终输出结果的准确性和合理性。</w:t>
      </w:r>
    </w:p>
    <w:p w14:paraId="173C173A">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本标准附录A预制菜明参比样感官评价评分规则和记录表具体设置和示例如下：</w:t>
      </w:r>
    </w:p>
    <w:p w14:paraId="4920682D">
      <w:pPr>
        <w:pStyle w:val="21"/>
        <w:pageBreakBefore w:val="0"/>
        <w:numPr>
          <w:ilvl w:val="1"/>
          <w:numId w:val="0"/>
        </w:numPr>
        <w:kinsoku/>
        <w:wordWrap w:val="0"/>
        <w:overflowPunct/>
        <w:topLinePunct w:val="0"/>
        <w:bidi w:val="0"/>
        <w:ind w:leftChars="0"/>
        <w:jc w:val="center"/>
        <w:rPr>
          <w:rFonts w:hint="eastAsia"/>
          <w:highlight w:val="none"/>
          <w:lang w:val="en-US" w:eastAsia="zh-CN"/>
        </w:rPr>
      </w:pPr>
      <w:r>
        <w:rPr>
          <w:rFonts w:hint="eastAsia"/>
          <w:highlight w:val="none"/>
          <w:lang w:val="en-US" w:eastAsia="zh-CN"/>
        </w:rPr>
        <w:t xml:space="preserve">表1 </w:t>
      </w:r>
      <w:r>
        <w:rPr>
          <w:rFonts w:hint="eastAsia"/>
          <w:highlight w:val="none"/>
          <w:lang w:val="en-US" w:eastAsia="zh-CN"/>
        </w:rPr>
        <w:t>预制菜感官评价评分规则和记录表（</w:t>
      </w:r>
      <w:r>
        <w:rPr>
          <w:rFonts w:hint="eastAsia" w:ascii="Times New Roman"/>
          <w:highlight w:val="none"/>
          <w:lang w:val="en-US" w:eastAsia="zh-CN"/>
        </w:rPr>
        <w:t>描述性检验法）</w:t>
      </w:r>
    </w:p>
    <w:p w14:paraId="0333B74B">
      <w:pPr>
        <w:pStyle w:val="12"/>
        <w:pageBreakBefore w:val="0"/>
        <w:kinsoku/>
        <w:wordWrap w:val="0"/>
        <w:overflowPunct/>
        <w:topLinePunct w:val="0"/>
        <w:bidi w:val="0"/>
        <w:ind w:left="0" w:leftChars="0" w:firstLine="0" w:firstLineChars="0"/>
        <w:rPr>
          <w:rFonts w:hint="default"/>
          <w:highlight w:val="none"/>
          <w:lang w:val="en-US" w:eastAsia="zh-CN"/>
        </w:rPr>
      </w:pP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709"/>
        <w:gridCol w:w="6018"/>
        <w:gridCol w:w="1115"/>
      </w:tblGrid>
      <w:tr w14:paraId="036C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blHeader/>
          <w:jc w:val="center"/>
        </w:trPr>
        <w:tc>
          <w:tcPr>
            <w:tcW w:w="814" w:type="pct"/>
            <w:gridSpan w:val="2"/>
            <w:vAlign w:val="center"/>
          </w:tcPr>
          <w:p w14:paraId="5B13D8C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指标</w:t>
            </w:r>
          </w:p>
          <w:p w14:paraId="704A39D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分值</w:t>
            </w:r>
          </w:p>
        </w:tc>
        <w:tc>
          <w:tcPr>
            <w:tcW w:w="3530" w:type="pct"/>
            <w:vAlign w:val="center"/>
          </w:tcPr>
          <w:p w14:paraId="306A18F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具体特性描述</w:t>
            </w:r>
          </w:p>
          <w:p w14:paraId="01FC081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分值</w:t>
            </w:r>
          </w:p>
        </w:tc>
        <w:tc>
          <w:tcPr>
            <w:tcW w:w="654" w:type="pct"/>
            <w:vAlign w:val="center"/>
          </w:tcPr>
          <w:p w14:paraId="2EF3900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default" w:ascii="宋体" w:hAnsi="Times New Roman" w:eastAsia="宋体" w:cs="Times New Roman"/>
                <w:kern w:val="0"/>
                <w:sz w:val="21"/>
                <w:szCs w:val="20"/>
                <w:highlight w:val="none"/>
                <w:lang w:val="en-US" w:eastAsia="zh-CN" w:bidi="ar-SA"/>
              </w:rPr>
              <w:t>评分值</w:t>
            </w:r>
          </w:p>
        </w:tc>
      </w:tr>
      <w:tr w14:paraId="33AC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restart"/>
            <w:vAlign w:val="center"/>
          </w:tcPr>
          <w:p w14:paraId="4BA4BC7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外观</w:t>
            </w:r>
          </w:p>
          <w:p w14:paraId="02B3C4B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10分</w:t>
            </w:r>
          </w:p>
        </w:tc>
        <w:tc>
          <w:tcPr>
            <w:tcW w:w="3530" w:type="pct"/>
            <w:vAlign w:val="center"/>
          </w:tcPr>
          <w:p w14:paraId="56EFC8A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9-10分:</w:t>
            </w:r>
            <w:r>
              <w:rPr>
                <w:rFonts w:hint="eastAsia" w:ascii="宋体" w:hAnsi="Times New Roman" w:cs="Times New Roman"/>
                <w:kern w:val="0"/>
                <w:sz w:val="21"/>
                <w:szCs w:val="20"/>
                <w:highlight w:val="none"/>
                <w:lang w:val="en-US" w:eastAsia="zh-CN" w:bidi="ar-SA"/>
              </w:rPr>
              <w:t>（描述词）</w:t>
            </w:r>
          </w:p>
        </w:tc>
        <w:tc>
          <w:tcPr>
            <w:tcW w:w="654" w:type="pct"/>
            <w:vMerge w:val="restart"/>
            <w:vAlign w:val="center"/>
          </w:tcPr>
          <w:p w14:paraId="11E4153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70AC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continue"/>
            <w:vAlign w:val="center"/>
          </w:tcPr>
          <w:p w14:paraId="77E819B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666E061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7-8分：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451D2D8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3E4B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continue"/>
            <w:vAlign w:val="center"/>
          </w:tcPr>
          <w:p w14:paraId="16A1733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07CE2CB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1-6分：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697ABDB9">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00D3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restart"/>
            <w:vAlign w:val="center"/>
          </w:tcPr>
          <w:p w14:paraId="7F1CB11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口味还原度</w:t>
            </w:r>
          </w:p>
          <w:p w14:paraId="6ED49B8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90分</w:t>
            </w:r>
          </w:p>
        </w:tc>
        <w:tc>
          <w:tcPr>
            <w:tcW w:w="416" w:type="pct"/>
            <w:vMerge w:val="restart"/>
            <w:vAlign w:val="center"/>
          </w:tcPr>
          <w:p w14:paraId="73273FA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气味</w:t>
            </w:r>
          </w:p>
          <w:p w14:paraId="2B1A812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5448C0D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w:t>
            </w:r>
            <w:r>
              <w:rPr>
                <w:rFonts w:hint="eastAsia" w:ascii="宋体" w:hAnsi="Times New Roman" w:cs="Times New Roman"/>
                <w:kern w:val="0"/>
                <w:sz w:val="21"/>
                <w:szCs w:val="20"/>
                <w:highlight w:val="none"/>
                <w:lang w:val="en-US" w:eastAsia="zh-CN" w:bidi="ar-SA"/>
              </w:rPr>
              <w:t>（描述词）</w:t>
            </w:r>
          </w:p>
        </w:tc>
        <w:tc>
          <w:tcPr>
            <w:tcW w:w="654" w:type="pct"/>
            <w:vMerge w:val="restart"/>
            <w:vAlign w:val="center"/>
          </w:tcPr>
          <w:p w14:paraId="74C447C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5E37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51491F2B">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610E71E8">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1979410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73E080FD">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5E10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0DB5FA95">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452862EF">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3BCF595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522902DF">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448D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642135C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c>
          <w:tcPr>
            <w:tcW w:w="416" w:type="pct"/>
            <w:vMerge w:val="restart"/>
            <w:vAlign w:val="center"/>
          </w:tcPr>
          <w:p w14:paraId="6D3B1B1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质地</w:t>
            </w:r>
          </w:p>
          <w:p w14:paraId="528BB39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4619C53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w:t>
            </w:r>
            <w:r>
              <w:rPr>
                <w:rFonts w:hint="eastAsia" w:ascii="宋体" w:hAnsi="Times New Roman" w:cs="Times New Roman"/>
                <w:kern w:val="0"/>
                <w:sz w:val="21"/>
                <w:szCs w:val="20"/>
                <w:highlight w:val="none"/>
                <w:lang w:val="en-US" w:eastAsia="zh-CN" w:bidi="ar-SA"/>
              </w:rPr>
              <w:t>（描述词）</w:t>
            </w:r>
          </w:p>
        </w:tc>
        <w:tc>
          <w:tcPr>
            <w:tcW w:w="654" w:type="pct"/>
            <w:vMerge w:val="restart"/>
            <w:vAlign w:val="center"/>
          </w:tcPr>
          <w:p w14:paraId="15AB4B9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40E0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2069B741">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12C90CCB">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406FA5A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2A967285">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6ECC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467CF39B">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0352137E">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3E18C15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59B3109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7E42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01DB1A6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c>
          <w:tcPr>
            <w:tcW w:w="416" w:type="pct"/>
            <w:vMerge w:val="restart"/>
            <w:vAlign w:val="center"/>
          </w:tcPr>
          <w:p w14:paraId="3F6479E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滋味</w:t>
            </w:r>
          </w:p>
          <w:p w14:paraId="59D7642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0B858F8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w:t>
            </w:r>
            <w:r>
              <w:rPr>
                <w:rFonts w:hint="eastAsia" w:ascii="宋体" w:hAnsi="Times New Roman" w:cs="Times New Roman"/>
                <w:kern w:val="0"/>
                <w:sz w:val="21"/>
                <w:szCs w:val="20"/>
                <w:highlight w:val="none"/>
                <w:lang w:val="en-US" w:eastAsia="zh-CN" w:bidi="ar-SA"/>
              </w:rPr>
              <w:t>（描述词）</w:t>
            </w:r>
          </w:p>
        </w:tc>
        <w:tc>
          <w:tcPr>
            <w:tcW w:w="654" w:type="pct"/>
            <w:vMerge w:val="restart"/>
            <w:vAlign w:val="center"/>
          </w:tcPr>
          <w:p w14:paraId="61198D7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710F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1B328E1E">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14E7F08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115DBC7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5E4E89FF">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61A8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4694EDCD">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6060899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2AD3E24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w:t>
            </w:r>
            <w:r>
              <w:rPr>
                <w:rFonts w:hint="eastAsia" w:ascii="宋体" w:hAnsi="Times New Roman" w:cs="Times New Roman"/>
                <w:kern w:val="0"/>
                <w:sz w:val="21"/>
                <w:szCs w:val="20"/>
                <w:highlight w:val="none"/>
                <w:lang w:val="en-US" w:eastAsia="zh-CN" w:bidi="ar-SA"/>
              </w:rPr>
              <w:t>（描述词）</w:t>
            </w:r>
          </w:p>
        </w:tc>
        <w:tc>
          <w:tcPr>
            <w:tcW w:w="654" w:type="pct"/>
            <w:vMerge w:val="continue"/>
            <w:vAlign w:val="center"/>
          </w:tcPr>
          <w:p w14:paraId="175DD023">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0A19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345" w:type="pct"/>
            <w:gridSpan w:val="3"/>
            <w:vAlign w:val="center"/>
          </w:tcPr>
          <w:p w14:paraId="3B72FBA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综合评分</w:t>
            </w:r>
          </w:p>
        </w:tc>
        <w:tc>
          <w:tcPr>
            <w:tcW w:w="654" w:type="pct"/>
            <w:vAlign w:val="center"/>
          </w:tcPr>
          <w:p w14:paraId="2C3C8D5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bl>
    <w:p w14:paraId="55C24C72">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default" w:ascii="仿宋" w:hAnsi="仿宋" w:eastAsia="仿宋" w:cs="仿宋"/>
          <w:sz w:val="32"/>
          <w:szCs w:val="32"/>
          <w:highlight w:val="none"/>
          <w:lang w:val="en-US" w:eastAsia="zh-CN"/>
        </w:rPr>
      </w:pPr>
    </w:p>
    <w:p w14:paraId="094E5241">
      <w:pPr>
        <w:pStyle w:val="21"/>
        <w:keepNext w:val="0"/>
        <w:keepLines w:val="0"/>
        <w:pageBreakBefore w:val="0"/>
        <w:widowControl w:val="0"/>
        <w:numPr>
          <w:ilvl w:val="1"/>
          <w:numId w:val="0"/>
        </w:numPr>
        <w:kinsoku/>
        <w:wordWrap w:val="0"/>
        <w:overflowPunct/>
        <w:topLinePunct w:val="0"/>
        <w:autoSpaceDE/>
        <w:autoSpaceDN/>
        <w:bidi w:val="0"/>
        <w:adjustRightInd w:val="0"/>
        <w:snapToGrid w:val="0"/>
        <w:ind w:leftChars="0"/>
        <w:jc w:val="center"/>
        <w:textAlignment w:val="baseline"/>
        <w:rPr>
          <w:rFonts w:hint="default"/>
          <w:highlight w:val="none"/>
          <w:lang w:val="en-US" w:eastAsia="zh-CN"/>
        </w:rPr>
      </w:pPr>
      <w:r>
        <w:rPr>
          <w:rFonts w:hint="eastAsia"/>
          <w:highlight w:val="none"/>
          <w:lang w:val="en-US" w:eastAsia="zh-CN"/>
        </w:rPr>
        <w:t xml:space="preserve">表2 </w:t>
      </w:r>
      <w:r>
        <w:rPr>
          <w:rFonts w:hint="eastAsia"/>
          <w:highlight w:val="none"/>
          <w:lang w:val="en-US" w:eastAsia="zh-CN"/>
        </w:rPr>
        <w:t>预制菜盐焗鸡感官评价评分规则和记录表（</w:t>
      </w:r>
      <w:r>
        <w:rPr>
          <w:rFonts w:hint="eastAsia" w:ascii="Times New Roman"/>
          <w:highlight w:val="none"/>
          <w:lang w:val="en-US" w:eastAsia="zh-CN"/>
        </w:rPr>
        <w:t>描述性检验法）</w:t>
      </w:r>
      <w:r>
        <w:rPr>
          <w:rFonts w:hint="eastAsia"/>
          <w:highlight w:val="none"/>
          <w:lang w:val="en-US" w:eastAsia="zh-CN"/>
        </w:rPr>
        <w:t>（示例）</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709"/>
        <w:gridCol w:w="6018"/>
        <w:gridCol w:w="1115"/>
      </w:tblGrid>
      <w:tr w14:paraId="2FBC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blHeader/>
          <w:jc w:val="center"/>
        </w:trPr>
        <w:tc>
          <w:tcPr>
            <w:tcW w:w="814" w:type="pct"/>
            <w:gridSpan w:val="2"/>
            <w:vAlign w:val="center"/>
          </w:tcPr>
          <w:p w14:paraId="523E601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指标</w:t>
            </w:r>
          </w:p>
          <w:p w14:paraId="7F4F985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分值</w:t>
            </w:r>
          </w:p>
        </w:tc>
        <w:tc>
          <w:tcPr>
            <w:tcW w:w="3530" w:type="pct"/>
            <w:vAlign w:val="center"/>
          </w:tcPr>
          <w:p w14:paraId="2744A4A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具体特性描述</w:t>
            </w:r>
          </w:p>
          <w:p w14:paraId="3158259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分值</w:t>
            </w:r>
          </w:p>
        </w:tc>
        <w:tc>
          <w:tcPr>
            <w:tcW w:w="654" w:type="pct"/>
            <w:vAlign w:val="center"/>
          </w:tcPr>
          <w:p w14:paraId="78A8D4B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default" w:ascii="宋体" w:hAnsi="Times New Roman" w:eastAsia="宋体" w:cs="Times New Roman"/>
                <w:kern w:val="0"/>
                <w:sz w:val="21"/>
                <w:szCs w:val="20"/>
                <w:highlight w:val="none"/>
                <w:lang w:val="en-US" w:eastAsia="zh-CN" w:bidi="ar-SA"/>
              </w:rPr>
              <w:t>评分值</w:t>
            </w:r>
          </w:p>
        </w:tc>
      </w:tr>
      <w:tr w14:paraId="5B4D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restart"/>
            <w:vAlign w:val="center"/>
          </w:tcPr>
          <w:p w14:paraId="57437D1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外观</w:t>
            </w:r>
          </w:p>
          <w:p w14:paraId="5D73C55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10分</w:t>
            </w:r>
          </w:p>
        </w:tc>
        <w:tc>
          <w:tcPr>
            <w:tcW w:w="3530" w:type="pct"/>
            <w:vAlign w:val="center"/>
          </w:tcPr>
          <w:p w14:paraId="159AC15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9-10分:外形完整，表皮呈金黄色，色泽均匀，有光泽；无肉眼可见异物</w:t>
            </w:r>
          </w:p>
        </w:tc>
        <w:tc>
          <w:tcPr>
            <w:tcW w:w="654" w:type="pct"/>
            <w:vMerge w:val="restart"/>
            <w:vAlign w:val="center"/>
          </w:tcPr>
          <w:p w14:paraId="1B2EC99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3B71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continue"/>
            <w:vAlign w:val="center"/>
          </w:tcPr>
          <w:p w14:paraId="58823B4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36F5F15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7-8分：外形较完整，表皮呈金黄色，色泽较均匀，稍有光泽；无肉眼可见异物</w:t>
            </w:r>
          </w:p>
        </w:tc>
        <w:tc>
          <w:tcPr>
            <w:tcW w:w="654" w:type="pct"/>
            <w:vMerge w:val="continue"/>
            <w:vAlign w:val="center"/>
          </w:tcPr>
          <w:p w14:paraId="6C2D4C3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787F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14" w:type="pct"/>
            <w:gridSpan w:val="2"/>
            <w:vMerge w:val="continue"/>
            <w:vAlign w:val="center"/>
          </w:tcPr>
          <w:p w14:paraId="2BD35972">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687E14B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1-6分： 外形不完整，表皮呈褐色发暗或白色，色泽不均匀，无光泽；有肉眼可见异物</w:t>
            </w:r>
          </w:p>
        </w:tc>
        <w:tc>
          <w:tcPr>
            <w:tcW w:w="654" w:type="pct"/>
            <w:vMerge w:val="continue"/>
            <w:vAlign w:val="center"/>
          </w:tcPr>
          <w:p w14:paraId="1DE7A7C8">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3F7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restart"/>
            <w:vAlign w:val="center"/>
          </w:tcPr>
          <w:p w14:paraId="10F559E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口味还原度</w:t>
            </w:r>
          </w:p>
          <w:p w14:paraId="7069E0B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90分</w:t>
            </w:r>
          </w:p>
        </w:tc>
        <w:tc>
          <w:tcPr>
            <w:tcW w:w="416" w:type="pct"/>
            <w:vMerge w:val="restart"/>
            <w:vAlign w:val="center"/>
          </w:tcPr>
          <w:p w14:paraId="354C13B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气味</w:t>
            </w:r>
          </w:p>
          <w:p w14:paraId="16B39ED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66E4332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25-30分：具有盐焗的咸鲜味，无异味</w:t>
            </w:r>
          </w:p>
        </w:tc>
        <w:tc>
          <w:tcPr>
            <w:tcW w:w="654" w:type="pct"/>
            <w:vMerge w:val="restart"/>
            <w:vAlign w:val="center"/>
          </w:tcPr>
          <w:p w14:paraId="5A0200D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1BC2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34298660">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79774823">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7B35B67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 稍具有盐焗的咸鲜味，无异味</w:t>
            </w:r>
          </w:p>
        </w:tc>
        <w:tc>
          <w:tcPr>
            <w:tcW w:w="654" w:type="pct"/>
            <w:vMerge w:val="continue"/>
            <w:vAlign w:val="center"/>
          </w:tcPr>
          <w:p w14:paraId="7DFF870E">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53E2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48C427FB">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1A0F0411">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5FC6CBB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1-18分：缺乏盐焗的咸鲜味，有异味</w:t>
            </w:r>
          </w:p>
        </w:tc>
        <w:tc>
          <w:tcPr>
            <w:tcW w:w="654" w:type="pct"/>
            <w:vMerge w:val="continue"/>
            <w:vAlign w:val="center"/>
          </w:tcPr>
          <w:p w14:paraId="442247A0">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2A9A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2834E08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c>
          <w:tcPr>
            <w:tcW w:w="416" w:type="pct"/>
            <w:vMerge w:val="restart"/>
            <w:vAlign w:val="center"/>
          </w:tcPr>
          <w:p w14:paraId="2ECF4FC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质地</w:t>
            </w:r>
          </w:p>
          <w:p w14:paraId="4CCB8A4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312DBA2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25-30分：鸡皮细嫩爽脆，肉质鲜嫩多汁，富有弹性</w:t>
            </w:r>
          </w:p>
        </w:tc>
        <w:tc>
          <w:tcPr>
            <w:tcW w:w="654" w:type="pct"/>
            <w:vMerge w:val="restart"/>
            <w:vAlign w:val="center"/>
          </w:tcPr>
          <w:p w14:paraId="627B7D6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5553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55602CED">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6ACBB86B">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345B25A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19-24分：鸡皮较细嫩爽脆，肉质较鲜嫩，有弹性</w:t>
            </w:r>
          </w:p>
        </w:tc>
        <w:tc>
          <w:tcPr>
            <w:tcW w:w="654" w:type="pct"/>
            <w:vMerge w:val="continue"/>
            <w:vAlign w:val="center"/>
          </w:tcPr>
          <w:p w14:paraId="7E797512">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18F5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98" w:type="pct"/>
            <w:vMerge w:val="continue"/>
            <w:vAlign w:val="center"/>
          </w:tcPr>
          <w:p w14:paraId="712ECD7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729FEF06">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1B89F24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1-18分：鸡皮较硬或软烂，肉质较柴，缺乏弹性</w:t>
            </w:r>
          </w:p>
        </w:tc>
        <w:tc>
          <w:tcPr>
            <w:tcW w:w="654" w:type="pct"/>
            <w:vMerge w:val="continue"/>
            <w:vAlign w:val="center"/>
          </w:tcPr>
          <w:p w14:paraId="604FB0B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1C2B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483AD63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c>
          <w:tcPr>
            <w:tcW w:w="416" w:type="pct"/>
            <w:vMerge w:val="restart"/>
            <w:vAlign w:val="center"/>
          </w:tcPr>
          <w:p w14:paraId="00656C6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滋味</w:t>
            </w:r>
          </w:p>
          <w:p w14:paraId="0249967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30分</w:t>
            </w:r>
          </w:p>
        </w:tc>
        <w:tc>
          <w:tcPr>
            <w:tcW w:w="3530" w:type="pct"/>
            <w:vAlign w:val="center"/>
          </w:tcPr>
          <w:p w14:paraId="44F8A66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25-30分：鸡肉鲜美，咸香入味，微咸</w:t>
            </w:r>
          </w:p>
        </w:tc>
        <w:tc>
          <w:tcPr>
            <w:tcW w:w="654" w:type="pct"/>
            <w:vMerge w:val="restart"/>
            <w:vAlign w:val="center"/>
          </w:tcPr>
          <w:p w14:paraId="74F3731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r w14:paraId="371A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6C11C3B0">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416" w:type="pct"/>
            <w:vMerge w:val="continue"/>
            <w:vAlign w:val="center"/>
          </w:tcPr>
          <w:p w14:paraId="2EC1DE3A">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highlight w:val="none"/>
              </w:rPr>
            </w:pPr>
          </w:p>
        </w:tc>
        <w:tc>
          <w:tcPr>
            <w:tcW w:w="3530" w:type="pct"/>
            <w:vAlign w:val="center"/>
          </w:tcPr>
          <w:p w14:paraId="27FFABA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19-24分：鸡肉较鲜美，咸香较入味，咸</w:t>
            </w:r>
          </w:p>
        </w:tc>
        <w:tc>
          <w:tcPr>
            <w:tcW w:w="654" w:type="pct"/>
            <w:vMerge w:val="continue"/>
            <w:vAlign w:val="center"/>
          </w:tcPr>
          <w:p w14:paraId="185470DF">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6CB33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398" w:type="pct"/>
            <w:vMerge w:val="continue"/>
            <w:vAlign w:val="center"/>
          </w:tcPr>
          <w:p w14:paraId="34FF8065">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416" w:type="pct"/>
            <w:vMerge w:val="continue"/>
            <w:vAlign w:val="center"/>
          </w:tcPr>
          <w:p w14:paraId="7F674FC4">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c>
          <w:tcPr>
            <w:tcW w:w="3530" w:type="pct"/>
            <w:vAlign w:val="center"/>
          </w:tcPr>
          <w:p w14:paraId="015DD49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1-18分：鸡肉无鸡味，过咸或无味</w:t>
            </w:r>
          </w:p>
        </w:tc>
        <w:tc>
          <w:tcPr>
            <w:tcW w:w="654" w:type="pct"/>
            <w:vMerge w:val="continue"/>
            <w:vAlign w:val="center"/>
          </w:tcPr>
          <w:p w14:paraId="0B3D439D">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Times New Roman" w:eastAsia="宋体" w:cs="Times New Roman"/>
                <w:kern w:val="0"/>
                <w:sz w:val="21"/>
                <w:szCs w:val="20"/>
                <w:highlight w:val="none"/>
                <w:lang w:val="en-US" w:eastAsia="zh-CN" w:bidi="ar-SA"/>
              </w:rPr>
            </w:pPr>
          </w:p>
        </w:tc>
      </w:tr>
      <w:tr w14:paraId="65F9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345" w:type="pct"/>
            <w:gridSpan w:val="3"/>
            <w:vAlign w:val="center"/>
          </w:tcPr>
          <w:p w14:paraId="4C18627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综合评分</w:t>
            </w:r>
          </w:p>
        </w:tc>
        <w:tc>
          <w:tcPr>
            <w:tcW w:w="654" w:type="pct"/>
            <w:vAlign w:val="center"/>
          </w:tcPr>
          <w:p w14:paraId="7FD9161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center"/>
              <w:textAlignment w:val="auto"/>
              <w:rPr>
                <w:rFonts w:hint="default" w:ascii="宋体" w:hAnsi="Times New Roman" w:eastAsia="宋体" w:cs="Times New Roman"/>
                <w:kern w:val="0"/>
                <w:sz w:val="21"/>
                <w:szCs w:val="20"/>
                <w:highlight w:val="none"/>
                <w:lang w:val="en-US" w:eastAsia="zh-CN" w:bidi="ar-SA"/>
              </w:rPr>
            </w:pPr>
          </w:p>
        </w:tc>
      </w:tr>
    </w:tbl>
    <w:p w14:paraId="1D95F684">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textAlignment w:val="auto"/>
        <w:rPr>
          <w:rFonts w:hint="default" w:ascii="仿宋" w:hAnsi="仿宋" w:eastAsia="仿宋" w:cs="仿宋"/>
          <w:sz w:val="32"/>
          <w:szCs w:val="32"/>
          <w:highlight w:val="none"/>
          <w:lang w:val="en-US" w:eastAsia="zh-CN"/>
        </w:rPr>
      </w:pPr>
    </w:p>
    <w:p w14:paraId="46F5B0B5">
      <w:pPr>
        <w:pStyle w:val="6"/>
        <w:keepNext w:val="0"/>
        <w:keepLines w:val="0"/>
        <w:pageBreakBefore w:val="0"/>
        <w:widowControl w:val="0"/>
        <w:numPr>
          <w:ilvl w:val="0"/>
          <w:numId w:val="4"/>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附录B</w:t>
      </w:r>
    </w:p>
    <w:p w14:paraId="20204B4B">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参考NY/T 3837 《稻米食味感官评价方法》附录B米饭感官评价评分原始记录表，本标准附录B预制菜样品感官评价评分规则和记录表设置和示例如下:</w:t>
      </w:r>
    </w:p>
    <w:p w14:paraId="713623B9">
      <w:pPr>
        <w:pStyle w:val="6"/>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highlight w:val="none"/>
          <w:lang w:val="en-US" w:eastAsia="zh-CN"/>
        </w:rPr>
      </w:pPr>
    </w:p>
    <w:p w14:paraId="6EDACC82">
      <w:pPr>
        <w:pStyle w:val="21"/>
        <w:keepNext/>
        <w:keepLines w:val="0"/>
        <w:pageBreakBefore w:val="0"/>
        <w:widowControl/>
        <w:numPr>
          <w:ilvl w:val="1"/>
          <w:numId w:val="0"/>
        </w:numPr>
        <w:kinsoku/>
        <w:wordWrap w:val="0"/>
        <w:overflowPunct/>
        <w:topLinePunct w:val="0"/>
        <w:autoSpaceDE/>
        <w:autoSpaceDN/>
        <w:bidi w:val="0"/>
        <w:adjustRightInd w:val="0"/>
        <w:snapToGrid w:val="0"/>
        <w:ind w:leftChars="0"/>
        <w:jc w:val="center"/>
        <w:textAlignment w:val="baseline"/>
        <w:rPr>
          <w:rFonts w:hint="eastAsia"/>
          <w:highlight w:val="none"/>
          <w:lang w:val="en-US" w:eastAsia="zh-CN"/>
        </w:rPr>
      </w:pPr>
      <w:r>
        <w:rPr>
          <w:rFonts w:hint="eastAsia"/>
          <w:highlight w:val="none"/>
          <w:lang w:val="en-US" w:eastAsia="zh-CN"/>
        </w:rPr>
        <w:t xml:space="preserve">表3 </w:t>
      </w:r>
      <w:r>
        <w:rPr>
          <w:rFonts w:hint="eastAsia"/>
          <w:highlight w:val="none"/>
          <w:lang w:val="en-US" w:eastAsia="zh-CN"/>
        </w:rPr>
        <w:t>预制菜感官评价评分规则和记录表（</w:t>
      </w:r>
      <w:r>
        <w:rPr>
          <w:rFonts w:hint="eastAsia" w:ascii="Times New Roman"/>
          <w:highlight w:val="none"/>
          <w:lang w:val="en-US" w:eastAsia="zh-CN"/>
        </w:rPr>
        <w:t>差别检验法）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407"/>
        <w:gridCol w:w="1633"/>
        <w:gridCol w:w="613"/>
        <w:gridCol w:w="614"/>
        <w:gridCol w:w="614"/>
        <w:gridCol w:w="614"/>
        <w:gridCol w:w="614"/>
        <w:gridCol w:w="614"/>
        <w:gridCol w:w="636"/>
      </w:tblGrid>
      <w:tr w14:paraId="4B8F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trPr>
        <w:tc>
          <w:tcPr>
            <w:tcW w:w="1507" w:type="pct"/>
            <w:gridSpan w:val="2"/>
            <w:vMerge w:val="restart"/>
            <w:vAlign w:val="center"/>
          </w:tcPr>
          <w:p w14:paraId="642E9E49">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项目</w:t>
            </w:r>
          </w:p>
        </w:tc>
        <w:tc>
          <w:tcPr>
            <w:tcW w:w="959" w:type="pct"/>
            <w:vMerge w:val="restart"/>
            <w:vAlign w:val="center"/>
          </w:tcPr>
          <w:p w14:paraId="48D49F76">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具体特性描述</w:t>
            </w:r>
          </w:p>
        </w:tc>
        <w:tc>
          <w:tcPr>
            <w:tcW w:w="2533" w:type="pct"/>
            <w:gridSpan w:val="7"/>
            <w:vAlign w:val="center"/>
          </w:tcPr>
          <w:p w14:paraId="6DD8A3F2">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与</w:t>
            </w:r>
            <w:r>
              <w:rPr>
                <w:rFonts w:hint="eastAsia" w:ascii="宋体" w:hAnsi="Times New Roman" w:cs="Times New Roman"/>
                <w:kern w:val="0"/>
                <w:sz w:val="21"/>
                <w:szCs w:val="20"/>
                <w:highlight w:val="none"/>
                <w:lang w:val="en-US" w:eastAsia="zh-CN" w:bidi="ar-SA"/>
              </w:rPr>
              <w:t>参比样</w:t>
            </w:r>
            <w:r>
              <w:rPr>
                <w:rFonts w:hint="eastAsia" w:ascii="宋体" w:hAnsi="Times New Roman" w:eastAsia="宋体" w:cs="Times New Roman"/>
                <w:kern w:val="0"/>
                <w:sz w:val="21"/>
                <w:szCs w:val="20"/>
                <w:highlight w:val="none"/>
                <w:lang w:val="en-US" w:eastAsia="zh-CN" w:bidi="ar-SA"/>
              </w:rPr>
              <w:t>比较</w:t>
            </w:r>
          </w:p>
        </w:tc>
      </w:tr>
      <w:tr w14:paraId="60F9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trPr>
        <w:tc>
          <w:tcPr>
            <w:tcW w:w="1507" w:type="pct"/>
            <w:gridSpan w:val="2"/>
            <w:vMerge w:val="continue"/>
            <w:vAlign w:val="center"/>
          </w:tcPr>
          <w:p w14:paraId="46856DA5">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959" w:type="pct"/>
            <w:vMerge w:val="continue"/>
            <w:vAlign w:val="center"/>
          </w:tcPr>
          <w:p w14:paraId="210E0B17">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2064422B">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低</w:t>
            </w:r>
          </w:p>
        </w:tc>
        <w:tc>
          <w:tcPr>
            <w:tcW w:w="360" w:type="pct"/>
            <w:vAlign w:val="center"/>
          </w:tcPr>
          <w:p w14:paraId="1B67837D">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较低</w:t>
            </w:r>
          </w:p>
        </w:tc>
        <w:tc>
          <w:tcPr>
            <w:tcW w:w="360" w:type="pct"/>
            <w:vAlign w:val="center"/>
          </w:tcPr>
          <w:p w14:paraId="1387479B">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稍低</w:t>
            </w:r>
          </w:p>
        </w:tc>
        <w:tc>
          <w:tcPr>
            <w:tcW w:w="360" w:type="pct"/>
            <w:vAlign w:val="center"/>
          </w:tcPr>
          <w:p w14:paraId="03AB0F3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相当</w:t>
            </w:r>
          </w:p>
        </w:tc>
        <w:tc>
          <w:tcPr>
            <w:tcW w:w="360" w:type="pct"/>
            <w:vAlign w:val="center"/>
          </w:tcPr>
          <w:p w14:paraId="1F69183B">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稍高</w:t>
            </w:r>
          </w:p>
        </w:tc>
        <w:tc>
          <w:tcPr>
            <w:tcW w:w="360" w:type="pct"/>
            <w:vAlign w:val="center"/>
          </w:tcPr>
          <w:p w14:paraId="059763F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较高</w:t>
            </w:r>
          </w:p>
        </w:tc>
        <w:tc>
          <w:tcPr>
            <w:tcW w:w="371" w:type="pct"/>
            <w:vAlign w:val="center"/>
          </w:tcPr>
          <w:p w14:paraId="4FC42096">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高</w:t>
            </w:r>
          </w:p>
        </w:tc>
      </w:tr>
      <w:tr w14:paraId="3C75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blHeader/>
        </w:trPr>
        <w:tc>
          <w:tcPr>
            <w:tcW w:w="1507" w:type="pct"/>
            <w:gridSpan w:val="2"/>
            <w:vMerge w:val="continue"/>
            <w:vAlign w:val="center"/>
          </w:tcPr>
          <w:p w14:paraId="0BFEB834">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959" w:type="pct"/>
            <w:vMerge w:val="continue"/>
            <w:vAlign w:val="center"/>
          </w:tcPr>
          <w:p w14:paraId="22D4BF4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285F6DED">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w:t>
            </w:r>
          </w:p>
        </w:tc>
        <w:tc>
          <w:tcPr>
            <w:tcW w:w="360" w:type="pct"/>
            <w:vAlign w:val="center"/>
          </w:tcPr>
          <w:p w14:paraId="5691BEB7">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w:t>
            </w:r>
          </w:p>
        </w:tc>
        <w:tc>
          <w:tcPr>
            <w:tcW w:w="360" w:type="pct"/>
            <w:vAlign w:val="center"/>
          </w:tcPr>
          <w:p w14:paraId="4C816C3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w:t>
            </w:r>
          </w:p>
        </w:tc>
        <w:tc>
          <w:tcPr>
            <w:tcW w:w="360" w:type="pct"/>
            <w:vAlign w:val="center"/>
          </w:tcPr>
          <w:p w14:paraId="73A9805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0</w:t>
            </w:r>
          </w:p>
        </w:tc>
        <w:tc>
          <w:tcPr>
            <w:tcW w:w="360" w:type="pct"/>
            <w:vAlign w:val="center"/>
          </w:tcPr>
          <w:p w14:paraId="67539CF8">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w:t>
            </w:r>
          </w:p>
        </w:tc>
        <w:tc>
          <w:tcPr>
            <w:tcW w:w="360" w:type="pct"/>
            <w:vAlign w:val="center"/>
          </w:tcPr>
          <w:p w14:paraId="06182754">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w:t>
            </w:r>
          </w:p>
        </w:tc>
        <w:tc>
          <w:tcPr>
            <w:tcW w:w="371" w:type="pct"/>
            <w:vAlign w:val="center"/>
          </w:tcPr>
          <w:p w14:paraId="76FA95FE">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w:t>
            </w:r>
          </w:p>
        </w:tc>
      </w:tr>
      <w:tr w14:paraId="4205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507" w:type="pct"/>
            <w:gridSpan w:val="2"/>
            <w:vAlign w:val="center"/>
          </w:tcPr>
          <w:p w14:paraId="76A9B83C">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外观</w:t>
            </w:r>
          </w:p>
          <w:p w14:paraId="301BE35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（权重10%）</w:t>
            </w:r>
          </w:p>
        </w:tc>
        <w:tc>
          <w:tcPr>
            <w:tcW w:w="959" w:type="pct"/>
            <w:vAlign w:val="center"/>
          </w:tcPr>
          <w:p w14:paraId="715CB19A">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（描述词）</w:t>
            </w:r>
          </w:p>
        </w:tc>
        <w:tc>
          <w:tcPr>
            <w:tcW w:w="360" w:type="pct"/>
            <w:vAlign w:val="center"/>
          </w:tcPr>
          <w:p w14:paraId="3667B0C8">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1E8A9688">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4B42D349">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p>
        </w:tc>
        <w:tc>
          <w:tcPr>
            <w:tcW w:w="360" w:type="pct"/>
            <w:vAlign w:val="center"/>
          </w:tcPr>
          <w:p w14:paraId="50AD0239">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B955F65">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4944EEE4">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71" w:type="pct"/>
            <w:vAlign w:val="center"/>
          </w:tcPr>
          <w:p w14:paraId="20326DA5">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r w14:paraId="459B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681" w:type="pct"/>
            <w:vMerge w:val="restart"/>
            <w:vAlign w:val="center"/>
          </w:tcPr>
          <w:p w14:paraId="278F7C4F">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口</w:t>
            </w:r>
            <w:r>
              <w:rPr>
                <w:rFonts w:hint="eastAsia" w:ascii="宋体" w:hAnsi="Times New Roman" w:eastAsia="宋体" w:cs="Times New Roman"/>
                <w:kern w:val="0"/>
                <w:sz w:val="21"/>
                <w:szCs w:val="20"/>
                <w:highlight w:val="none"/>
                <w:lang w:val="en-US" w:eastAsia="zh-CN" w:bidi="ar-SA"/>
              </w:rPr>
              <w:t>味还原度</w:t>
            </w:r>
          </w:p>
          <w:p w14:paraId="6D1FC1EF">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18"/>
                <w:szCs w:val="18"/>
                <w:highlight w:val="none"/>
                <w:lang w:val="en-US" w:eastAsia="zh-CN" w:bidi="ar-SA"/>
              </w:rPr>
              <w:t>（权重90%）</w:t>
            </w:r>
          </w:p>
        </w:tc>
        <w:tc>
          <w:tcPr>
            <w:tcW w:w="825" w:type="pct"/>
            <w:shd w:val="clear" w:color="auto" w:fill="auto"/>
            <w:vAlign w:val="center"/>
          </w:tcPr>
          <w:p w14:paraId="6734CDAC">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气味</w:t>
            </w:r>
          </w:p>
          <w:p w14:paraId="3D3B098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59" w:type="pct"/>
            <w:vAlign w:val="center"/>
          </w:tcPr>
          <w:p w14:paraId="5A8709D3">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（描述词）</w:t>
            </w:r>
          </w:p>
        </w:tc>
        <w:tc>
          <w:tcPr>
            <w:tcW w:w="360" w:type="pct"/>
            <w:vAlign w:val="center"/>
          </w:tcPr>
          <w:p w14:paraId="2E8F1BA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5C61BD7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A8AD425">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082E791">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13C9CEA1">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56ED38D9">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71" w:type="pct"/>
            <w:vAlign w:val="center"/>
          </w:tcPr>
          <w:p w14:paraId="17B2E1E8">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r w14:paraId="5BBC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81" w:type="pct"/>
            <w:vMerge w:val="continue"/>
            <w:vAlign w:val="center"/>
          </w:tcPr>
          <w:p w14:paraId="13A2667C">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825" w:type="pct"/>
            <w:shd w:val="clear" w:color="auto" w:fill="auto"/>
            <w:vAlign w:val="center"/>
          </w:tcPr>
          <w:p w14:paraId="29CC5E0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质地</w:t>
            </w:r>
          </w:p>
          <w:p w14:paraId="443E9A2C">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59" w:type="pct"/>
            <w:vAlign w:val="center"/>
          </w:tcPr>
          <w:p w14:paraId="7ED5040E">
            <w:pPr>
              <w:pageBreakBefore w:val="0"/>
              <w:kinsoku/>
              <w:wordWrap w:val="0"/>
              <w:overflowPunct/>
              <w:topLinePunct w:val="0"/>
              <w:bidi w:val="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（描述词）</w:t>
            </w:r>
          </w:p>
        </w:tc>
        <w:tc>
          <w:tcPr>
            <w:tcW w:w="360" w:type="pct"/>
            <w:vAlign w:val="center"/>
          </w:tcPr>
          <w:p w14:paraId="4A10FDB5">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720B818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5247DDD1">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7634DC7A">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2C8E318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DB5E7E2">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71" w:type="pct"/>
            <w:vAlign w:val="center"/>
          </w:tcPr>
          <w:p w14:paraId="3003FBC9">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r w14:paraId="5B8E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681" w:type="pct"/>
            <w:vMerge w:val="continue"/>
            <w:vAlign w:val="center"/>
          </w:tcPr>
          <w:p w14:paraId="24358229">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825" w:type="pct"/>
            <w:shd w:val="clear" w:color="auto" w:fill="auto"/>
            <w:vAlign w:val="center"/>
          </w:tcPr>
          <w:p w14:paraId="1996E5B0">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滋味</w:t>
            </w:r>
          </w:p>
          <w:p w14:paraId="1F6168D8">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59" w:type="pct"/>
            <w:vAlign w:val="center"/>
          </w:tcPr>
          <w:p w14:paraId="36E6315F">
            <w:pPr>
              <w:pageBreakBefore w:val="0"/>
              <w:kinsoku/>
              <w:wordWrap w:val="0"/>
              <w:overflowPunct/>
              <w:topLinePunct w:val="0"/>
              <w:bidi w:val="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（描述词）</w:t>
            </w:r>
          </w:p>
        </w:tc>
        <w:tc>
          <w:tcPr>
            <w:tcW w:w="360" w:type="pct"/>
            <w:vAlign w:val="center"/>
          </w:tcPr>
          <w:p w14:paraId="38E57C8B">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400248D">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p>
        </w:tc>
        <w:tc>
          <w:tcPr>
            <w:tcW w:w="360" w:type="pct"/>
            <w:vAlign w:val="center"/>
          </w:tcPr>
          <w:p w14:paraId="5C8B79AD">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D8ABC2D">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7743C751">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5FF28E96">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c>
          <w:tcPr>
            <w:tcW w:w="371" w:type="pct"/>
            <w:vAlign w:val="center"/>
          </w:tcPr>
          <w:p w14:paraId="5E2649C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r w14:paraId="751F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66" w:type="pct"/>
            <w:gridSpan w:val="3"/>
            <w:vAlign w:val="center"/>
          </w:tcPr>
          <w:p w14:paraId="07DC1DA9">
            <w:pPr>
              <w:pageBreakBefore w:val="0"/>
              <w:numPr>
                <w:ilvl w:val="0"/>
                <w:numId w:val="0"/>
              </w:numPr>
              <w:kinsoku/>
              <w:wordWrap w:val="0"/>
              <w:overflowPunct/>
              <w:topLinePunct w:val="0"/>
              <w:bidi w:val="0"/>
              <w:spacing w:line="240" w:lineRule="auto"/>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备注</w:t>
            </w:r>
          </w:p>
        </w:tc>
        <w:tc>
          <w:tcPr>
            <w:tcW w:w="2533" w:type="pct"/>
            <w:gridSpan w:val="7"/>
            <w:vAlign w:val="center"/>
          </w:tcPr>
          <w:p w14:paraId="088E968A">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r w14:paraId="7421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466" w:type="pct"/>
            <w:gridSpan w:val="3"/>
            <w:vAlign w:val="center"/>
          </w:tcPr>
          <w:p w14:paraId="0A361D86">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综合评分</w:t>
            </w:r>
          </w:p>
        </w:tc>
        <w:tc>
          <w:tcPr>
            <w:tcW w:w="2533" w:type="pct"/>
            <w:gridSpan w:val="7"/>
            <w:vAlign w:val="center"/>
          </w:tcPr>
          <w:p w14:paraId="3F8D316F">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p>
        </w:tc>
      </w:tr>
    </w:tbl>
    <w:p w14:paraId="52B58EA6">
      <w:pPr>
        <w:pStyle w:val="12"/>
        <w:rPr>
          <w:rFonts w:hint="eastAsia"/>
          <w:highlight w:val="none"/>
          <w:lang w:val="en-US" w:eastAsia="zh-CN"/>
        </w:rPr>
      </w:pPr>
    </w:p>
    <w:p w14:paraId="62E6256C">
      <w:pPr>
        <w:pStyle w:val="21"/>
        <w:keepNext/>
        <w:keepLines/>
        <w:pageBreakBefore w:val="0"/>
        <w:widowControl/>
        <w:numPr>
          <w:ilvl w:val="1"/>
          <w:numId w:val="0"/>
        </w:numPr>
        <w:kinsoku/>
        <w:wordWrap w:val="0"/>
        <w:overflowPunct/>
        <w:topLinePunct w:val="0"/>
        <w:autoSpaceDE/>
        <w:autoSpaceDN/>
        <w:bidi w:val="0"/>
        <w:adjustRightInd w:val="0"/>
        <w:snapToGrid w:val="0"/>
        <w:ind w:leftChars="0"/>
        <w:jc w:val="center"/>
        <w:textAlignment w:val="baseline"/>
        <w:rPr>
          <w:rFonts w:hint="default"/>
          <w:highlight w:val="none"/>
          <w:lang w:val="en-US" w:eastAsia="zh-CN"/>
        </w:rPr>
      </w:pPr>
      <w:r>
        <w:rPr>
          <w:rFonts w:hint="eastAsia"/>
          <w:highlight w:val="none"/>
          <w:lang w:val="en-US" w:eastAsia="zh-CN"/>
        </w:rPr>
        <w:t xml:space="preserve">表4 </w:t>
      </w:r>
      <w:r>
        <w:rPr>
          <w:rFonts w:hint="eastAsia"/>
          <w:highlight w:val="none"/>
          <w:lang w:val="en-US" w:eastAsia="zh-CN"/>
        </w:rPr>
        <w:t>预制菜盐焗鸡感官评价评分规则和记录表（</w:t>
      </w:r>
      <w:r>
        <w:rPr>
          <w:rFonts w:hint="eastAsia" w:ascii="Times New Roman"/>
          <w:highlight w:val="none"/>
          <w:lang w:val="en-US" w:eastAsia="zh-CN"/>
        </w:rPr>
        <w:t>差别检验法）</w:t>
      </w:r>
      <w:r>
        <w:rPr>
          <w:rFonts w:hint="eastAsia"/>
          <w:highlight w:val="none"/>
          <w:lang w:val="en-US" w:eastAsia="zh-CN"/>
        </w:rPr>
        <w:t>（示例）</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405"/>
        <w:gridCol w:w="1635"/>
        <w:gridCol w:w="612"/>
        <w:gridCol w:w="614"/>
        <w:gridCol w:w="614"/>
        <w:gridCol w:w="614"/>
        <w:gridCol w:w="614"/>
        <w:gridCol w:w="614"/>
        <w:gridCol w:w="639"/>
      </w:tblGrid>
      <w:tr w14:paraId="10B5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05" w:type="pct"/>
            <w:gridSpan w:val="2"/>
            <w:vMerge w:val="restart"/>
            <w:vAlign w:val="center"/>
          </w:tcPr>
          <w:p w14:paraId="22B0EB4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项目</w:t>
            </w:r>
          </w:p>
        </w:tc>
        <w:tc>
          <w:tcPr>
            <w:tcW w:w="960" w:type="pct"/>
            <w:vMerge w:val="restart"/>
            <w:vAlign w:val="center"/>
          </w:tcPr>
          <w:p w14:paraId="7FCF7DCC">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具体特性描述</w:t>
            </w:r>
          </w:p>
        </w:tc>
        <w:tc>
          <w:tcPr>
            <w:tcW w:w="2534" w:type="pct"/>
            <w:gridSpan w:val="7"/>
            <w:vAlign w:val="center"/>
          </w:tcPr>
          <w:p w14:paraId="1976AD5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与</w:t>
            </w:r>
            <w:r>
              <w:rPr>
                <w:rFonts w:hint="eastAsia" w:ascii="宋体" w:hAnsi="Times New Roman" w:cs="Times New Roman"/>
                <w:kern w:val="0"/>
                <w:sz w:val="21"/>
                <w:szCs w:val="20"/>
                <w:highlight w:val="none"/>
                <w:lang w:val="en-US" w:eastAsia="zh-CN" w:bidi="ar-SA"/>
              </w:rPr>
              <w:t>参比样</w:t>
            </w:r>
            <w:r>
              <w:rPr>
                <w:rFonts w:hint="eastAsia" w:ascii="宋体" w:hAnsi="Times New Roman" w:eastAsia="宋体" w:cs="Times New Roman"/>
                <w:kern w:val="0"/>
                <w:sz w:val="21"/>
                <w:szCs w:val="20"/>
                <w:highlight w:val="none"/>
                <w:lang w:val="en-US" w:eastAsia="zh-CN" w:bidi="ar-SA"/>
              </w:rPr>
              <w:t>比较</w:t>
            </w:r>
          </w:p>
        </w:tc>
      </w:tr>
      <w:tr w14:paraId="52F9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505" w:type="pct"/>
            <w:gridSpan w:val="2"/>
            <w:vMerge w:val="continue"/>
            <w:vAlign w:val="center"/>
          </w:tcPr>
          <w:p w14:paraId="3B1D95ED">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960" w:type="pct"/>
            <w:vMerge w:val="continue"/>
            <w:vAlign w:val="center"/>
          </w:tcPr>
          <w:p w14:paraId="45516017">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59" w:type="pct"/>
            <w:vAlign w:val="center"/>
          </w:tcPr>
          <w:p w14:paraId="7B68764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低</w:t>
            </w:r>
          </w:p>
        </w:tc>
        <w:tc>
          <w:tcPr>
            <w:tcW w:w="360" w:type="pct"/>
            <w:vAlign w:val="center"/>
          </w:tcPr>
          <w:p w14:paraId="470ACF8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较低</w:t>
            </w:r>
          </w:p>
        </w:tc>
        <w:tc>
          <w:tcPr>
            <w:tcW w:w="360" w:type="pct"/>
            <w:vAlign w:val="center"/>
          </w:tcPr>
          <w:p w14:paraId="1146463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稍低</w:t>
            </w:r>
          </w:p>
        </w:tc>
        <w:tc>
          <w:tcPr>
            <w:tcW w:w="360" w:type="pct"/>
            <w:vAlign w:val="center"/>
          </w:tcPr>
          <w:p w14:paraId="5D04E14F">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相当</w:t>
            </w:r>
          </w:p>
        </w:tc>
        <w:tc>
          <w:tcPr>
            <w:tcW w:w="360" w:type="pct"/>
            <w:vAlign w:val="center"/>
          </w:tcPr>
          <w:p w14:paraId="4FF18B8B">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稍高</w:t>
            </w:r>
          </w:p>
        </w:tc>
        <w:tc>
          <w:tcPr>
            <w:tcW w:w="360" w:type="pct"/>
            <w:vAlign w:val="center"/>
          </w:tcPr>
          <w:p w14:paraId="6929504E">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较高</w:t>
            </w:r>
          </w:p>
        </w:tc>
        <w:tc>
          <w:tcPr>
            <w:tcW w:w="372" w:type="pct"/>
            <w:vAlign w:val="center"/>
          </w:tcPr>
          <w:p w14:paraId="5473C26D">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高</w:t>
            </w:r>
          </w:p>
        </w:tc>
      </w:tr>
      <w:tr w14:paraId="7850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05" w:type="pct"/>
            <w:gridSpan w:val="2"/>
            <w:vMerge w:val="continue"/>
            <w:vAlign w:val="center"/>
          </w:tcPr>
          <w:p w14:paraId="695E6712">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960" w:type="pct"/>
            <w:vMerge w:val="continue"/>
            <w:vAlign w:val="center"/>
          </w:tcPr>
          <w:p w14:paraId="2136322E">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59" w:type="pct"/>
            <w:vAlign w:val="center"/>
          </w:tcPr>
          <w:p w14:paraId="212E3F31">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w:t>
            </w:r>
          </w:p>
        </w:tc>
        <w:tc>
          <w:tcPr>
            <w:tcW w:w="360" w:type="pct"/>
            <w:vAlign w:val="center"/>
          </w:tcPr>
          <w:p w14:paraId="1C81331E">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w:t>
            </w:r>
          </w:p>
        </w:tc>
        <w:tc>
          <w:tcPr>
            <w:tcW w:w="360" w:type="pct"/>
            <w:vAlign w:val="center"/>
          </w:tcPr>
          <w:p w14:paraId="4F6D3E2E">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w:t>
            </w:r>
          </w:p>
        </w:tc>
        <w:tc>
          <w:tcPr>
            <w:tcW w:w="360" w:type="pct"/>
            <w:vAlign w:val="center"/>
          </w:tcPr>
          <w:p w14:paraId="447254CC">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0</w:t>
            </w:r>
          </w:p>
        </w:tc>
        <w:tc>
          <w:tcPr>
            <w:tcW w:w="360" w:type="pct"/>
            <w:vAlign w:val="center"/>
          </w:tcPr>
          <w:p w14:paraId="0023697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+1</w:t>
            </w:r>
          </w:p>
        </w:tc>
        <w:tc>
          <w:tcPr>
            <w:tcW w:w="360" w:type="pct"/>
            <w:vAlign w:val="center"/>
          </w:tcPr>
          <w:p w14:paraId="6A277302">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+2</w:t>
            </w:r>
          </w:p>
        </w:tc>
        <w:tc>
          <w:tcPr>
            <w:tcW w:w="372" w:type="pct"/>
            <w:vAlign w:val="center"/>
          </w:tcPr>
          <w:p w14:paraId="37942D84">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+3</w:t>
            </w:r>
          </w:p>
        </w:tc>
      </w:tr>
      <w:tr w14:paraId="18AA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505" w:type="pct"/>
            <w:gridSpan w:val="2"/>
            <w:vAlign w:val="center"/>
          </w:tcPr>
          <w:p w14:paraId="0539A9DF">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外观</w:t>
            </w:r>
          </w:p>
          <w:p w14:paraId="03BB777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（权重10%）</w:t>
            </w:r>
          </w:p>
        </w:tc>
        <w:tc>
          <w:tcPr>
            <w:tcW w:w="960" w:type="pct"/>
            <w:vAlign w:val="center"/>
          </w:tcPr>
          <w:p w14:paraId="5F4A4D0A">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外形完整，表皮呈金黄色，色泽均匀，有光泽；无肉眼可见异物</w:t>
            </w:r>
          </w:p>
        </w:tc>
        <w:tc>
          <w:tcPr>
            <w:tcW w:w="359" w:type="pct"/>
            <w:vAlign w:val="center"/>
          </w:tcPr>
          <w:p w14:paraId="48AD8980">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48478B3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EB84A63">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p>
        </w:tc>
        <w:tc>
          <w:tcPr>
            <w:tcW w:w="360" w:type="pct"/>
            <w:vAlign w:val="center"/>
          </w:tcPr>
          <w:p w14:paraId="4D5C790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50AF32DD">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4D5503A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72" w:type="pct"/>
            <w:vAlign w:val="center"/>
          </w:tcPr>
          <w:p w14:paraId="44E2AB2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r w14:paraId="59C0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680" w:type="pct"/>
            <w:vMerge w:val="restart"/>
            <w:vAlign w:val="center"/>
          </w:tcPr>
          <w:p w14:paraId="6B8E0EDF">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cs="Times New Roman"/>
                <w:kern w:val="0"/>
                <w:sz w:val="21"/>
                <w:szCs w:val="20"/>
                <w:highlight w:val="none"/>
                <w:lang w:val="en-US" w:eastAsia="zh-CN" w:bidi="ar-SA"/>
              </w:rPr>
              <w:t>口</w:t>
            </w:r>
            <w:r>
              <w:rPr>
                <w:rFonts w:hint="eastAsia" w:ascii="宋体" w:hAnsi="Times New Roman" w:eastAsia="宋体" w:cs="Times New Roman"/>
                <w:kern w:val="0"/>
                <w:sz w:val="21"/>
                <w:szCs w:val="20"/>
                <w:highlight w:val="none"/>
                <w:lang w:val="en-US" w:eastAsia="zh-CN" w:bidi="ar-SA"/>
              </w:rPr>
              <w:t>味还原度</w:t>
            </w:r>
          </w:p>
          <w:p w14:paraId="23D82AF1">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（权重90%）</w:t>
            </w:r>
          </w:p>
        </w:tc>
        <w:tc>
          <w:tcPr>
            <w:tcW w:w="825" w:type="pct"/>
            <w:shd w:val="clear" w:color="auto" w:fill="auto"/>
            <w:vAlign w:val="center"/>
          </w:tcPr>
          <w:p w14:paraId="15A704E2">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气味</w:t>
            </w:r>
          </w:p>
          <w:p w14:paraId="0A26AFE0">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60" w:type="pct"/>
            <w:vAlign w:val="center"/>
          </w:tcPr>
          <w:p w14:paraId="7BBC93CE">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具有盐焗的咸鲜味，无异味</w:t>
            </w:r>
          </w:p>
        </w:tc>
        <w:tc>
          <w:tcPr>
            <w:tcW w:w="359" w:type="pct"/>
            <w:vAlign w:val="center"/>
          </w:tcPr>
          <w:p w14:paraId="69C4D7F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8C14ACA">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11F379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B80F5E6">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D6CCAB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64170224">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72" w:type="pct"/>
            <w:vAlign w:val="center"/>
          </w:tcPr>
          <w:p w14:paraId="2E4F3968">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r w14:paraId="4E05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680" w:type="pct"/>
            <w:vMerge w:val="continue"/>
            <w:vAlign w:val="center"/>
          </w:tcPr>
          <w:p w14:paraId="2F1F6B76">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825" w:type="pct"/>
            <w:shd w:val="clear" w:color="auto" w:fill="auto"/>
            <w:vAlign w:val="center"/>
          </w:tcPr>
          <w:p w14:paraId="7EA71C3E">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质地</w:t>
            </w:r>
          </w:p>
          <w:p w14:paraId="057673A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60" w:type="pct"/>
            <w:vAlign w:val="center"/>
          </w:tcPr>
          <w:p w14:paraId="4B4FA6F1">
            <w:pPr>
              <w:pageBreakBefore w:val="0"/>
              <w:kinsoku/>
              <w:wordWrap w:val="0"/>
              <w:overflowPunct/>
              <w:topLinePunct w:val="0"/>
              <w:bidi w:val="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鸡皮细嫩爽脆，肉质鲜嫩多汁，富有弹性</w:t>
            </w:r>
          </w:p>
        </w:tc>
        <w:tc>
          <w:tcPr>
            <w:tcW w:w="359" w:type="pct"/>
            <w:vAlign w:val="center"/>
          </w:tcPr>
          <w:p w14:paraId="3A5C2522">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F33DBD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6E6CAB0">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7D79AE8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1080A06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3DFF258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72" w:type="pct"/>
            <w:vAlign w:val="center"/>
          </w:tcPr>
          <w:p w14:paraId="21F002D8">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r w14:paraId="4677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680" w:type="pct"/>
            <w:vMerge w:val="continue"/>
            <w:vAlign w:val="center"/>
          </w:tcPr>
          <w:p w14:paraId="791A2031">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825" w:type="pct"/>
            <w:shd w:val="clear" w:color="auto" w:fill="auto"/>
            <w:vAlign w:val="center"/>
          </w:tcPr>
          <w:p w14:paraId="65F04DDD">
            <w:pPr>
              <w:pageBreakBefore w:val="0"/>
              <w:numPr>
                <w:ilvl w:val="0"/>
                <w:numId w:val="0"/>
              </w:numPr>
              <w:kinsoku/>
              <w:wordWrap w:val="0"/>
              <w:overflowPunct/>
              <w:topLinePunct w:val="0"/>
              <w:bidi w:val="0"/>
              <w:spacing w:line="240" w:lineRule="auto"/>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滋味</w:t>
            </w:r>
          </w:p>
          <w:p w14:paraId="571F44D6">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（权重30%）</w:t>
            </w:r>
          </w:p>
        </w:tc>
        <w:tc>
          <w:tcPr>
            <w:tcW w:w="960" w:type="pct"/>
            <w:vAlign w:val="center"/>
          </w:tcPr>
          <w:p w14:paraId="718E22B4">
            <w:pPr>
              <w:pageBreakBefore w:val="0"/>
              <w:kinsoku/>
              <w:wordWrap w:val="0"/>
              <w:overflowPunct/>
              <w:topLinePunct w:val="0"/>
              <w:bidi w:val="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鸡肉鲜美，咸香入味，微咸</w:t>
            </w:r>
          </w:p>
        </w:tc>
        <w:tc>
          <w:tcPr>
            <w:tcW w:w="359" w:type="pct"/>
            <w:vAlign w:val="center"/>
          </w:tcPr>
          <w:p w14:paraId="7752163B">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0B235B5B">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p>
        </w:tc>
        <w:tc>
          <w:tcPr>
            <w:tcW w:w="360" w:type="pct"/>
            <w:vAlign w:val="center"/>
          </w:tcPr>
          <w:p w14:paraId="5B79B3BB">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6E413199">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7EFA8EFE">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60" w:type="pct"/>
            <w:vAlign w:val="center"/>
          </w:tcPr>
          <w:p w14:paraId="13D40436">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c>
          <w:tcPr>
            <w:tcW w:w="372" w:type="pct"/>
            <w:vAlign w:val="center"/>
          </w:tcPr>
          <w:p w14:paraId="0E911D23">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r w14:paraId="2922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65" w:type="pct"/>
            <w:gridSpan w:val="3"/>
            <w:vAlign w:val="center"/>
          </w:tcPr>
          <w:p w14:paraId="65C97DE0">
            <w:pPr>
              <w:pageBreakBefore w:val="0"/>
              <w:numPr>
                <w:ilvl w:val="0"/>
                <w:numId w:val="0"/>
              </w:numPr>
              <w:kinsoku/>
              <w:wordWrap w:val="0"/>
              <w:overflowPunct/>
              <w:topLinePunct w:val="0"/>
              <w:bidi w:val="0"/>
              <w:spacing w:line="240" w:lineRule="auto"/>
              <w:ind w:left="0" w:leftChars="0" w:firstLine="0" w:firstLineChars="0"/>
              <w:jc w:val="center"/>
              <w:rPr>
                <w:rFonts w:hint="default"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备注</w:t>
            </w:r>
          </w:p>
        </w:tc>
        <w:tc>
          <w:tcPr>
            <w:tcW w:w="2534" w:type="pct"/>
            <w:gridSpan w:val="7"/>
            <w:vAlign w:val="center"/>
          </w:tcPr>
          <w:p w14:paraId="5A8076D6">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r w14:paraId="5C2F7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465" w:type="pct"/>
            <w:gridSpan w:val="3"/>
            <w:vAlign w:val="center"/>
          </w:tcPr>
          <w:p w14:paraId="6B808DEA">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r>
              <w:rPr>
                <w:rFonts w:hint="eastAsia" w:ascii="宋体" w:hAnsi="Times New Roman" w:eastAsia="宋体" w:cs="Times New Roman"/>
                <w:kern w:val="0"/>
                <w:sz w:val="21"/>
                <w:szCs w:val="20"/>
                <w:highlight w:val="none"/>
                <w:lang w:val="en-US" w:eastAsia="zh-CN" w:bidi="ar-SA"/>
              </w:rPr>
              <w:t>综合评分</w:t>
            </w:r>
          </w:p>
        </w:tc>
        <w:tc>
          <w:tcPr>
            <w:tcW w:w="2534" w:type="pct"/>
            <w:gridSpan w:val="7"/>
            <w:vAlign w:val="center"/>
          </w:tcPr>
          <w:p w14:paraId="42B5CF7D">
            <w:pPr>
              <w:pageBreakBefore w:val="0"/>
              <w:numPr>
                <w:ilvl w:val="0"/>
                <w:numId w:val="0"/>
              </w:numPr>
              <w:kinsoku/>
              <w:wordWrap w:val="0"/>
              <w:overflowPunct/>
              <w:topLinePunct w:val="0"/>
              <w:bidi w:val="0"/>
              <w:spacing w:line="240" w:lineRule="auto"/>
              <w:ind w:left="0" w:leftChars="0" w:firstLine="0" w:firstLineChars="0"/>
              <w:jc w:val="center"/>
              <w:rPr>
                <w:rFonts w:hint="eastAsia" w:ascii="宋体" w:hAnsi="Times New Roman" w:eastAsia="宋体" w:cs="Times New Roman"/>
                <w:kern w:val="0"/>
                <w:sz w:val="21"/>
                <w:szCs w:val="20"/>
                <w:highlight w:val="none"/>
                <w:lang w:val="en-US" w:eastAsia="zh-CN" w:bidi="ar-SA"/>
              </w:rPr>
            </w:pPr>
          </w:p>
        </w:tc>
      </w:tr>
    </w:tbl>
    <w:p w14:paraId="4609B46E">
      <w:pPr>
        <w:numPr>
          <w:ilvl w:val="-1"/>
          <w:numId w:val="0"/>
        </w:numPr>
        <w:spacing w:before="156" w:beforeLines="50" w:after="156" w:afterLines="50" w:line="576" w:lineRule="exact"/>
        <w:ind w:firstLine="0" w:firstLineChars="0"/>
        <w:rPr>
          <w:rFonts w:hint="eastAsia" w:ascii="黑体" w:hAnsi="黑体" w:eastAsia="黑体" w:cs="黑体"/>
          <w:sz w:val="32"/>
          <w:szCs w:val="32"/>
          <w:highlight w:val="none"/>
          <w:lang w:val="en-US" w:eastAsia="zh-CN"/>
        </w:rPr>
      </w:pPr>
    </w:p>
    <w:p w14:paraId="3D28A638">
      <w:pPr>
        <w:numPr>
          <w:ilvl w:val="0"/>
          <w:numId w:val="5"/>
        </w:numPr>
        <w:spacing w:before="156" w:beforeLines="50" w:after="156" w:afterLines="50" w:line="576" w:lineRule="exact"/>
        <w:ind w:firstLine="640" w:firstLineChars="200"/>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标准征求意见情况</w:t>
      </w:r>
    </w:p>
    <w:p w14:paraId="567D6607">
      <w:pPr>
        <w:numPr>
          <w:ilvl w:val="-1"/>
          <w:numId w:val="0"/>
        </w:numPr>
        <w:spacing w:before="156" w:beforeLines="50" w:after="156" w:afterLines="50" w:line="576" w:lineRule="exact"/>
        <w:ind w:firstLine="640" w:firstLineChars="200"/>
        <w:rPr>
          <w:rFonts w:hint="default" w:ascii="黑体" w:hAnsi="黑体" w:eastAsia="黑体" w:cs="黑体"/>
          <w:sz w:val="32"/>
          <w:szCs w:val="32"/>
          <w:highlight w:val="none"/>
          <w:lang w:val="en-US" w:eastAsia="zh-CN"/>
        </w:rPr>
      </w:pPr>
      <w:r>
        <w:rPr>
          <w:rFonts w:hint="eastAsia" w:ascii="仿宋" w:hAnsi="仿宋" w:eastAsia="仿宋" w:cs="仿宋"/>
          <w:b w:val="0"/>
          <w:bCs w:val="0"/>
          <w:sz w:val="32"/>
          <w:szCs w:val="32"/>
          <w:highlight w:val="none"/>
          <w:lang w:val="en-US" w:eastAsia="zh-CN"/>
        </w:rPr>
        <w:t>一是书面征求标准参编单位意见建议，二是于2024年11月-12月在广东省食品检验所官网进行为期30天的公开征求意见。以上共收到19家单位提出的87条意见建议，</w:t>
      </w:r>
      <w:r>
        <w:rPr>
          <w:rFonts w:hint="eastAsia" w:ascii="仿宋" w:hAnsi="仿宋" w:eastAsia="仿宋" w:cs="仿宋"/>
          <w:kern w:val="2"/>
          <w:sz w:val="32"/>
          <w:szCs w:val="32"/>
          <w:highlight w:val="none"/>
          <w:lang w:val="en-US" w:eastAsia="zh-CN" w:bidi="ar"/>
        </w:rPr>
        <w:t>经起草组研究和讨论，采纳60条，部分采纳3条，不采</w:t>
      </w:r>
      <w:r>
        <w:rPr>
          <w:rFonts w:hint="eastAsia" w:ascii="仿宋" w:hAnsi="仿宋" w:eastAsia="仿宋" w:cs="仿宋"/>
          <w:kern w:val="2"/>
          <w:sz w:val="32"/>
          <w:szCs w:val="32"/>
          <w:highlight w:val="none"/>
          <w:lang w:bidi="ar"/>
        </w:rPr>
        <w:t>纳</w:t>
      </w:r>
      <w:r>
        <w:rPr>
          <w:rFonts w:hint="eastAsia" w:ascii="仿宋" w:hAnsi="仿宋" w:eastAsia="仿宋" w:cs="仿宋"/>
          <w:kern w:val="2"/>
          <w:sz w:val="32"/>
          <w:szCs w:val="32"/>
          <w:highlight w:val="none"/>
          <w:lang w:val="en-US" w:eastAsia="zh-CN" w:bidi="ar"/>
        </w:rPr>
        <w:t>21</w:t>
      </w:r>
      <w:r>
        <w:rPr>
          <w:rFonts w:hint="eastAsia" w:ascii="仿宋" w:hAnsi="仿宋" w:eastAsia="仿宋" w:cs="仿宋"/>
          <w:kern w:val="2"/>
          <w:sz w:val="32"/>
          <w:szCs w:val="32"/>
          <w:highlight w:val="none"/>
          <w:lang w:bidi="ar"/>
        </w:rPr>
        <w:t>条</w:t>
      </w:r>
      <w:r>
        <w:rPr>
          <w:rFonts w:hint="eastAsia" w:ascii="仿宋" w:hAnsi="仿宋" w:eastAsia="仿宋" w:cs="仿宋"/>
          <w:kern w:val="2"/>
          <w:sz w:val="32"/>
          <w:szCs w:val="32"/>
          <w:highlight w:val="none"/>
          <w:lang w:eastAsia="zh-CN" w:bidi="ar"/>
        </w:rPr>
        <w:t>，</w:t>
      </w:r>
      <w:r>
        <w:rPr>
          <w:rFonts w:hint="eastAsia" w:ascii="仿宋" w:hAnsi="仿宋" w:eastAsia="仿宋" w:cs="仿宋"/>
          <w:kern w:val="2"/>
          <w:sz w:val="32"/>
          <w:szCs w:val="32"/>
          <w:highlight w:val="none"/>
          <w:lang w:val="en-US" w:eastAsia="zh-CN" w:bidi="ar"/>
        </w:rPr>
        <w:t>其余为无意见</w:t>
      </w:r>
      <w:r>
        <w:rPr>
          <w:rFonts w:hint="eastAsia" w:ascii="仿宋" w:hAnsi="仿宋" w:eastAsia="仿宋" w:cs="仿宋"/>
          <w:kern w:val="2"/>
          <w:sz w:val="32"/>
          <w:szCs w:val="32"/>
          <w:highlight w:val="none"/>
          <w:lang w:eastAsia="zh-CN" w:bidi="ar"/>
        </w:rPr>
        <w:t>，</w:t>
      </w:r>
      <w:r>
        <w:rPr>
          <w:rFonts w:hint="eastAsia" w:ascii="仿宋" w:hAnsi="仿宋" w:eastAsia="仿宋" w:cs="仿宋"/>
          <w:kern w:val="2"/>
          <w:sz w:val="32"/>
          <w:szCs w:val="32"/>
          <w:highlight w:val="none"/>
          <w:lang w:val="en-US" w:eastAsia="zh-CN" w:bidi="ar"/>
        </w:rPr>
        <w:t>形成</w:t>
      </w:r>
      <w:r>
        <w:rPr>
          <w:rFonts w:hint="eastAsia" w:ascii="仿宋" w:hAnsi="仿宋" w:eastAsia="仿宋" w:cs="仿宋"/>
          <w:kern w:val="2"/>
          <w:sz w:val="32"/>
          <w:szCs w:val="32"/>
          <w:highlight w:val="none"/>
          <w:lang w:bidi="ar"/>
        </w:rPr>
        <w:t>《征求意见汇总处理表》</w:t>
      </w:r>
      <w:r>
        <w:rPr>
          <w:rFonts w:hint="eastAsia" w:ascii="仿宋" w:hAnsi="仿宋" w:eastAsia="仿宋" w:cs="仿宋"/>
          <w:kern w:val="2"/>
          <w:sz w:val="32"/>
          <w:szCs w:val="32"/>
          <w:highlight w:val="none"/>
          <w:lang w:eastAsia="zh-CN" w:bidi="ar"/>
        </w:rPr>
        <w:t>。</w:t>
      </w:r>
      <w:r>
        <w:rPr>
          <w:rFonts w:hint="eastAsia" w:ascii="仿宋" w:hAnsi="仿宋" w:eastAsia="仿宋" w:cs="仿宋"/>
          <w:kern w:val="2"/>
          <w:sz w:val="32"/>
          <w:szCs w:val="32"/>
          <w:highlight w:val="none"/>
          <w:lang w:val="en-US" w:eastAsia="zh-CN" w:bidi="ar"/>
        </w:rPr>
        <w:t>根据征求意见结果，对标准进行修改完善，形成标准送审稿、编制说明和其他相关送审文件</w:t>
      </w:r>
      <w:r>
        <w:rPr>
          <w:rFonts w:hint="eastAsia" w:ascii="仿宋" w:hAnsi="仿宋" w:eastAsia="仿宋" w:cs="仿宋"/>
          <w:kern w:val="2"/>
          <w:sz w:val="32"/>
          <w:szCs w:val="32"/>
          <w:highlight w:val="none"/>
          <w:lang w:bidi="ar"/>
        </w:rPr>
        <w:t>。</w:t>
      </w:r>
    </w:p>
    <w:p w14:paraId="092E1843">
      <w:pPr>
        <w:spacing w:before="156" w:beforeLines="50" w:after="156" w:afterLines="50" w:line="576"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lang w:val="en-US" w:eastAsia="zh-CN"/>
        </w:rPr>
        <w:t>七、</w:t>
      </w:r>
      <w:r>
        <w:rPr>
          <w:rFonts w:hint="eastAsia" w:ascii="黑体" w:hAnsi="黑体" w:eastAsia="黑体" w:cs="黑体"/>
          <w:sz w:val="32"/>
          <w:szCs w:val="32"/>
          <w:highlight w:val="none"/>
        </w:rPr>
        <w:t>与现行法律法规、强制性标准等上位标准关系</w:t>
      </w:r>
    </w:p>
    <w:p w14:paraId="5A5D63A9">
      <w:pPr>
        <w:spacing w:line="576" w:lineRule="exact"/>
        <w:ind w:firstLine="640" w:firstLineChars="200"/>
        <w:jc w:val="left"/>
        <w:rPr>
          <w:rFonts w:ascii="仿宋_GB2312" w:hAnsi="仿宋_GB2312" w:eastAsia="仿宋_GB2312" w:cs="仿宋_GB2312"/>
          <w:sz w:val="32"/>
          <w:szCs w:val="32"/>
          <w:highlight w:val="none"/>
        </w:rPr>
      </w:pPr>
      <w:r>
        <w:rPr>
          <w:rFonts w:hint="default" w:ascii="仿宋_GB2312" w:hAnsi="仿宋_GB2312" w:eastAsia="仿宋_GB2312" w:cs="仿宋_GB2312"/>
          <w:kern w:val="2"/>
          <w:sz w:val="32"/>
          <w:szCs w:val="32"/>
          <w:highlight w:val="none"/>
          <w:lang w:val="en-US" w:eastAsia="zh-CN" w:bidi="ar-SA"/>
        </w:rPr>
        <w:t>本标准依据《食品安全法》《食品安全法实施条例》法律法规要求制定。与内地有关法律法规和其他标准相互协调，无矛盾抵触。</w:t>
      </w:r>
    </w:p>
    <w:p w14:paraId="4857E6D9">
      <w:pPr>
        <w:spacing w:before="156" w:beforeLines="50" w:after="156" w:afterLines="50" w:line="576"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lang w:val="en-US" w:eastAsia="zh-CN"/>
        </w:rPr>
        <w:t>八、</w:t>
      </w:r>
      <w:r>
        <w:rPr>
          <w:rFonts w:hint="eastAsia" w:ascii="黑体" w:hAnsi="黑体" w:eastAsia="黑体" w:cs="黑体"/>
          <w:sz w:val="32"/>
          <w:szCs w:val="32"/>
          <w:highlight w:val="none"/>
        </w:rPr>
        <w:t>其他应当说明的事项</w:t>
      </w:r>
    </w:p>
    <w:p w14:paraId="4695CCC9">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022ECB8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 w:hAnsi="仿宋" w:eastAsia="仿宋" w:cs="仿宋"/>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B8C4E2-789C-4277-B305-19BF6179C3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78E73E1-AAF6-4F4C-BE93-9F95FA431891}"/>
  </w:font>
  <w:font w:name="楷体">
    <w:panose1 w:val="02010609060101010101"/>
    <w:charset w:val="86"/>
    <w:family w:val="auto"/>
    <w:pitch w:val="default"/>
    <w:sig w:usb0="800002BF" w:usb1="38CF7CFA" w:usb2="00000016" w:usb3="00000000" w:csb0="00040001" w:csb1="00000000"/>
    <w:embedRegular r:id="rId3" w:fontKey="{E2011FAC-3C30-4655-8E4D-ACBADCFB53DA}"/>
  </w:font>
  <w:font w:name="仿宋">
    <w:panose1 w:val="02010609060101010101"/>
    <w:charset w:val="86"/>
    <w:family w:val="auto"/>
    <w:pitch w:val="default"/>
    <w:sig w:usb0="800002BF" w:usb1="38CF7CFA" w:usb2="00000016" w:usb3="00000000" w:csb0="00040001" w:csb1="00000000"/>
    <w:embedRegular r:id="rId4" w:fontKey="{EEB69851-559E-4C7B-95AC-D11776AD8D55}"/>
  </w:font>
  <w:font w:name="微软雅黑">
    <w:panose1 w:val="020B0503020204020204"/>
    <w:charset w:val="86"/>
    <w:family w:val="auto"/>
    <w:pitch w:val="default"/>
    <w:sig w:usb0="80000287" w:usb1="2ACF3C50" w:usb2="00000016" w:usb3="00000000" w:csb0="0004001F" w:csb1="00000000"/>
    <w:embedRegular r:id="rId5" w:fontKey="{9A3EB28B-05E4-4E07-BC69-D9A660922200}"/>
  </w:font>
  <w:font w:name="仿宋_GB2312">
    <w:panose1 w:val="02010609030101010101"/>
    <w:charset w:val="86"/>
    <w:family w:val="modern"/>
    <w:pitch w:val="default"/>
    <w:sig w:usb0="00000001" w:usb1="080E0000" w:usb2="00000000" w:usb3="00000000" w:csb0="00040000" w:csb1="00000000"/>
    <w:embedRegular r:id="rId6" w:fontKey="{72AB4BE2-0132-4E77-AA94-6EA98824126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56E029"/>
    <w:multiLevelType w:val="singleLevel"/>
    <w:tmpl w:val="B656E029"/>
    <w:lvl w:ilvl="0" w:tentative="0">
      <w:start w:val="1"/>
      <w:numFmt w:val="lowerLetter"/>
      <w:suff w:val="nothing"/>
      <w:lvlText w:val="%1）"/>
      <w:lvlJc w:val="left"/>
    </w:lvl>
  </w:abstractNum>
  <w:abstractNum w:abstractNumId="1">
    <w:nsid w:val="36509709"/>
    <w:multiLevelType w:val="multilevel"/>
    <w:tmpl w:val="36509709"/>
    <w:lvl w:ilvl="0" w:tentative="0">
      <w:start w:val="2"/>
      <w:numFmt w:val="upperLetter"/>
      <w:suff w:val="space"/>
      <w:lvlText w:val="%1"/>
      <w:lvlJc w:val="left"/>
      <w:pPr>
        <w:ind w:left="425" w:hanging="425"/>
      </w:pPr>
      <w:rPr>
        <w:rFonts w:hint="default" w:ascii="宋体" w:hAnsi="宋体" w:eastAsia="宋体" w:cs="宋体"/>
      </w:rPr>
    </w:lvl>
    <w:lvl w:ilvl="1" w:tentative="0">
      <w:start w:val="1"/>
      <w:numFmt w:val="decimal"/>
      <w:pStyle w:val="21"/>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46BAEB8F"/>
    <w:multiLevelType w:val="singleLevel"/>
    <w:tmpl w:val="46BAEB8F"/>
    <w:lvl w:ilvl="0" w:tentative="0">
      <w:start w:val="2"/>
      <w:numFmt w:val="decimal"/>
      <w:suff w:val="space"/>
      <w:lvlText w:val="%1."/>
      <w:lvlJc w:val="left"/>
    </w:lvl>
  </w:abstractNum>
  <w:abstractNum w:abstractNumId="3">
    <w:nsid w:val="4EAD3ACB"/>
    <w:multiLevelType w:val="singleLevel"/>
    <w:tmpl w:val="4EAD3ACB"/>
    <w:lvl w:ilvl="0" w:tentative="0">
      <w:start w:val="6"/>
      <w:numFmt w:val="chineseCounting"/>
      <w:suff w:val="nothing"/>
      <w:lvlText w:val="%1、"/>
      <w:lvlJc w:val="left"/>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pStyle w:val="14"/>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3ZmYxZGNhMDRmZmUyZWJmOTEyY2FhZDI0ZjU1YzcifQ=="/>
  </w:docVars>
  <w:rsids>
    <w:rsidRoot w:val="00000000"/>
    <w:rsid w:val="006934DE"/>
    <w:rsid w:val="04DD43CD"/>
    <w:rsid w:val="26E92BE5"/>
    <w:rsid w:val="298E29CC"/>
    <w:rsid w:val="2DC50453"/>
    <w:rsid w:val="36A4173E"/>
    <w:rsid w:val="37DB177B"/>
    <w:rsid w:val="41A50E76"/>
    <w:rsid w:val="433230F1"/>
    <w:rsid w:val="47CE025B"/>
    <w:rsid w:val="489977E9"/>
    <w:rsid w:val="4A1A1414"/>
    <w:rsid w:val="4B2B5C98"/>
    <w:rsid w:val="4C081A81"/>
    <w:rsid w:val="59C11EB6"/>
    <w:rsid w:val="5B1651F0"/>
    <w:rsid w:val="5F6C790B"/>
    <w:rsid w:val="60211658"/>
    <w:rsid w:val="68F31295"/>
    <w:rsid w:val="6933199D"/>
    <w:rsid w:val="6D60415E"/>
    <w:rsid w:val="6E761835"/>
    <w:rsid w:val="6F895736"/>
    <w:rsid w:val="752B7D99"/>
    <w:rsid w:val="79B41D2E"/>
    <w:rsid w:val="7A3E4A08"/>
    <w:rsid w:val="7C293B7E"/>
    <w:rsid w:val="7CCB0E7A"/>
    <w:rsid w:val="7EBE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0"/>
    <w:pPr>
      <w:tabs>
        <w:tab w:val="left" w:pos="562"/>
        <w:tab w:val="left" w:pos="3372"/>
        <w:tab w:val="left" w:pos="3653"/>
      </w:tabs>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文件_二级条标题"/>
    <w:next w:val="12"/>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
    <w:name w:val="标准文件_三级条标题"/>
    <w:basedOn w:val="13"/>
    <w:next w:val="12"/>
    <w:qFormat/>
    <w:uiPriority w:val="0"/>
    <w:pPr>
      <w:widowControl/>
      <w:numPr>
        <w:ilvl w:val="4"/>
      </w:numPr>
      <w:outlineLvl w:val="3"/>
    </w:pPr>
  </w:style>
  <w:style w:type="paragraph" w:customStyle="1" w:styleId="15">
    <w:name w:val="标准文件_术语条一"/>
    <w:basedOn w:val="16"/>
    <w:next w:val="12"/>
    <w:qFormat/>
    <w:uiPriority w:val="0"/>
  </w:style>
  <w:style w:type="paragraph" w:customStyle="1" w:styleId="16">
    <w:name w:val="标准文件_一级无标题"/>
    <w:basedOn w:val="17"/>
    <w:qFormat/>
    <w:uiPriority w:val="0"/>
    <w:pPr>
      <w:spacing w:before="0" w:beforeLines="0" w:after="0" w:afterLines="0"/>
      <w:outlineLvl w:val="9"/>
    </w:pPr>
    <w:rPr>
      <w:rFonts w:ascii="宋体" w:eastAsia="宋体"/>
    </w:rPr>
  </w:style>
  <w:style w:type="paragraph" w:customStyle="1" w:styleId="17">
    <w:name w:val="标准文件_一级条标题"/>
    <w:basedOn w:val="18"/>
    <w:next w:val="12"/>
    <w:qFormat/>
    <w:uiPriority w:val="0"/>
    <w:pPr>
      <w:numPr>
        <w:ilvl w:val="2"/>
      </w:numPr>
      <w:spacing w:before="50" w:beforeLines="50" w:after="50" w:afterLines="50"/>
      <w:outlineLvl w:val="1"/>
    </w:pPr>
  </w:style>
  <w:style w:type="paragraph" w:customStyle="1" w:styleId="18">
    <w:name w:val="标准文件_章标题"/>
    <w:next w:val="12"/>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9">
    <w:name w:val="Table Text"/>
    <w:basedOn w:val="1"/>
    <w:semiHidden/>
    <w:qFormat/>
    <w:uiPriority w:val="0"/>
    <w:rPr>
      <w:rFonts w:ascii="宋体" w:hAnsi="宋体" w:eastAsia="宋体" w:cs="宋体"/>
      <w:sz w:val="24"/>
      <w:szCs w:val="24"/>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标准文件_附录表标题"/>
    <w:next w:val="12"/>
    <w:qFormat/>
    <w:uiPriority w:val="0"/>
    <w:pPr>
      <w:numPr>
        <w:ilvl w:val="1"/>
        <w:numId w:val="2"/>
      </w:numPr>
      <w:adjustRightInd w:val="0"/>
      <w:snapToGrid w:val="0"/>
      <w:spacing w:before="50" w:beforeLines="50" w:after="50" w:afterLines="50"/>
      <w:ind w:firstLine="0"/>
      <w:jc w:val="center"/>
      <w:textAlignment w:val="baseline"/>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8193</Words>
  <Characters>9129</Characters>
  <Lines>0</Lines>
  <Paragraphs>0</Paragraphs>
  <TotalTime>0</TotalTime>
  <ScaleCrop>false</ScaleCrop>
  <LinksUpToDate>false</LinksUpToDate>
  <CharactersWithSpaces>9274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2024-10-31T01:08:00Z</dcterms:created>
  <dc:creator>HP</dc:creator>
  <cp:lastModifiedBy>食品工作组</cp:lastModifiedBy>
  <dcterms:modified xsi:type="dcterms:W3CDTF">2025-01-14T02:24:50Z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17B0252485CC4AE797B20042FF48641F_13</vt:lpwstr>
  </property>
  <property fmtid="{D5CDD505-2E9C-101B-9397-08002B2CF9AE}" pid="4" name="KSOTemplateDocerSaveRecord">
    <vt:lpwstr>eyJoZGlkIjoiMDE3ZmYxZGNhMDRmZmUyZWJmOTEyY2FhZDI0ZjU1YzciLCJ1c2VySWQiOiIzMzQ5MjUwMTMifQ==</vt:lpwstr>
  </property>
</Properties>
</file>