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rPr>
          <w:rFonts w:ascii="宋体" w:hAnsi="宋体"/>
          <w:spacing w:val="40"/>
          <w:sz w:val="32"/>
        </w:rPr>
      </w:pPr>
    </w:p>
    <w:p>
      <w:pPr>
        <w:spacing w:line="360" w:lineRule="auto"/>
        <w:jc w:val="center"/>
        <w:rPr>
          <w:rFonts w:ascii="宋体" w:hAnsi="宋体"/>
          <w:b/>
          <w:bCs w:val="0"/>
          <w:sz w:val="44"/>
          <w:szCs w:val="44"/>
        </w:rPr>
      </w:pPr>
      <w:r>
        <w:rPr>
          <w:rFonts w:hint="eastAsia" w:ascii="宋体" w:hAnsi="宋体"/>
          <w:b/>
          <w:bCs w:val="0"/>
          <w:sz w:val="44"/>
          <w:szCs w:val="44"/>
        </w:rPr>
        <w:t>建筑安全生产标准化示范工地</w:t>
      </w:r>
    </w:p>
    <w:p>
      <w:pPr>
        <w:spacing w:line="360" w:lineRule="auto"/>
        <w:jc w:val="center"/>
        <w:rPr>
          <w:rFonts w:ascii="宋体" w:hAnsi="宋体"/>
          <w:b/>
          <w:bCs w:val="0"/>
          <w:sz w:val="44"/>
          <w:szCs w:val="44"/>
        </w:rPr>
      </w:pPr>
      <w:r>
        <w:rPr>
          <w:rFonts w:hint="eastAsia" w:ascii="宋体" w:hAnsi="宋体"/>
          <w:b/>
          <w:bCs w:val="0"/>
          <w:sz w:val="44"/>
          <w:szCs w:val="44"/>
        </w:rPr>
        <w:t>评价标准</w:t>
      </w:r>
    </w:p>
    <w:p>
      <w:pPr>
        <w:spacing w:line="360" w:lineRule="auto"/>
        <w:jc w:val="center"/>
        <w:rPr>
          <w:rFonts w:hint="eastAsia" w:ascii="宋体" w:hAnsi="宋体" w:cs="宋体"/>
          <w:b/>
          <w:kern w:val="0"/>
          <w:sz w:val="36"/>
          <w:szCs w:val="36"/>
          <w:lang w:eastAsia="zh-CN"/>
        </w:rPr>
      </w:pPr>
    </w:p>
    <w:p>
      <w:pPr>
        <w:spacing w:line="360" w:lineRule="auto"/>
        <w:jc w:val="center"/>
        <w:rPr>
          <w:rFonts w:hint="eastAsia" w:ascii="宋体" w:hAnsi="宋体" w:eastAsia="宋体" w:cs="宋体"/>
          <w:b/>
          <w:kern w:val="0"/>
          <w:sz w:val="36"/>
          <w:szCs w:val="36"/>
          <w:lang w:eastAsia="zh-CN"/>
        </w:rPr>
      </w:pPr>
      <w:r>
        <w:rPr>
          <w:rFonts w:hint="eastAsia" w:ascii="宋体" w:hAnsi="宋体" w:cs="宋体"/>
          <w:b/>
          <w:kern w:val="0"/>
          <w:sz w:val="36"/>
          <w:szCs w:val="36"/>
          <w:lang w:eastAsia="zh-CN"/>
        </w:rPr>
        <w:t>（</w:t>
      </w:r>
      <w:r>
        <w:rPr>
          <w:rFonts w:hint="eastAsia" w:ascii="宋体" w:hAnsi="宋体" w:cs="宋体"/>
          <w:b/>
          <w:kern w:val="0"/>
          <w:sz w:val="36"/>
          <w:szCs w:val="36"/>
          <w:lang w:val="en-US" w:eastAsia="zh-CN"/>
        </w:rPr>
        <w:t>征求意见稿</w:t>
      </w:r>
      <w:r>
        <w:rPr>
          <w:rFonts w:hint="eastAsia" w:ascii="宋体" w:hAnsi="宋体" w:cs="宋体"/>
          <w:b/>
          <w:kern w:val="0"/>
          <w:sz w:val="36"/>
          <w:szCs w:val="36"/>
          <w:lang w:eastAsia="zh-CN"/>
        </w:rPr>
        <w:t>）</w:t>
      </w:r>
    </w:p>
    <w:p>
      <w:pPr>
        <w:spacing w:line="360" w:lineRule="auto"/>
        <w:jc w:val="center"/>
        <w:rPr>
          <w:rFonts w:ascii="宋体" w:hAnsi="宋体"/>
          <w:b/>
          <w:bCs w:val="0"/>
          <w:sz w:val="36"/>
        </w:rPr>
      </w:pPr>
    </w:p>
    <w:p>
      <w:pPr>
        <w:spacing w:line="360" w:lineRule="auto"/>
        <w:rPr>
          <w:rFonts w:ascii="宋体" w:hAnsi="宋体"/>
          <w:b/>
          <w:bCs w:val="0"/>
          <w:sz w:val="36"/>
        </w:rPr>
      </w:pPr>
    </w:p>
    <w:p>
      <w:pPr>
        <w:spacing w:line="360" w:lineRule="auto"/>
        <w:jc w:val="center"/>
        <w:rPr>
          <w:rFonts w:ascii="宋体" w:hAnsi="宋体"/>
          <w:b/>
          <w:bCs w:val="0"/>
          <w:sz w:val="36"/>
        </w:rPr>
      </w:pPr>
    </w:p>
    <w:p>
      <w:pPr>
        <w:spacing w:line="360" w:lineRule="auto"/>
        <w:jc w:val="center"/>
        <w:rPr>
          <w:rFonts w:ascii="宋体" w:hAnsi="宋体"/>
          <w:b/>
          <w:bCs w:val="0"/>
          <w:sz w:val="36"/>
        </w:rPr>
      </w:pPr>
    </w:p>
    <w:p>
      <w:pPr>
        <w:spacing w:line="360" w:lineRule="auto"/>
        <w:jc w:val="center"/>
        <w:rPr>
          <w:rFonts w:ascii="宋体" w:hAnsi="宋体"/>
          <w:b/>
          <w:bCs w:val="0"/>
          <w:sz w:val="36"/>
        </w:rPr>
      </w:pPr>
    </w:p>
    <w:p>
      <w:pPr>
        <w:spacing w:line="360" w:lineRule="auto"/>
        <w:jc w:val="center"/>
        <w:rPr>
          <w:rFonts w:ascii="宋体" w:hAnsi="宋体"/>
          <w:b/>
          <w:bCs w:val="0"/>
          <w:sz w:val="36"/>
        </w:rPr>
      </w:pPr>
    </w:p>
    <w:p>
      <w:pPr>
        <w:spacing w:line="360" w:lineRule="auto"/>
        <w:jc w:val="center"/>
        <w:rPr>
          <w:rFonts w:ascii="宋体" w:hAnsi="宋体"/>
          <w:b/>
          <w:bCs w:val="0"/>
          <w:sz w:val="36"/>
        </w:rPr>
      </w:pPr>
    </w:p>
    <w:p>
      <w:pPr>
        <w:spacing w:line="360" w:lineRule="auto"/>
        <w:rPr>
          <w:rFonts w:ascii="宋体" w:hAnsi="宋体"/>
          <w:b/>
          <w:bCs w:val="0"/>
          <w:sz w:val="36"/>
        </w:rPr>
      </w:pPr>
    </w:p>
    <w:p>
      <w:pPr>
        <w:spacing w:line="360" w:lineRule="auto"/>
        <w:rPr>
          <w:rFonts w:ascii="宋体" w:hAnsi="宋体"/>
          <w:b/>
          <w:bCs w:val="0"/>
          <w:sz w:val="36"/>
        </w:rPr>
      </w:pPr>
    </w:p>
    <w:p>
      <w:pPr>
        <w:spacing w:line="360" w:lineRule="auto"/>
        <w:rPr>
          <w:rFonts w:ascii="宋体" w:hAnsi="宋体"/>
          <w:b/>
          <w:bCs w:val="0"/>
          <w:sz w:val="36"/>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bookmarkStart w:id="0" w:name="_Toc375838808"/>
      <w:bookmarkStart w:id="1" w:name="_Toc375839191"/>
      <w:bookmarkStart w:id="2" w:name="_Toc375839275"/>
      <w:bookmarkStart w:id="3" w:name="_Toc372713299"/>
      <w:bookmarkStart w:id="4" w:name="_Toc377398625"/>
    </w:p>
    <w:p>
      <w:pPr>
        <w:tabs>
          <w:tab w:val="left" w:pos="210"/>
          <w:tab w:val="left" w:pos="927"/>
          <w:tab w:val="center" w:pos="4156"/>
          <w:tab w:val="center" w:pos="6979"/>
        </w:tabs>
        <w:autoSpaceDE w:val="0"/>
        <w:autoSpaceDN w:val="0"/>
        <w:adjustRightInd w:val="0"/>
        <w:spacing w:line="360" w:lineRule="auto"/>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sectPr>
          <w:headerReference r:id="rId3" w:type="default"/>
          <w:footerReference r:id="rId4" w:type="default"/>
          <w:footerReference r:id="rId5" w:type="even"/>
          <w:pgSz w:w="11906" w:h="16838"/>
          <w:pgMar w:top="1440" w:right="1646" w:bottom="1440" w:left="1800" w:header="851" w:footer="992" w:gutter="0"/>
          <w:pgNumType w:start="0"/>
          <w:cols w:space="720" w:num="1"/>
          <w:titlePg/>
          <w:docGrid w:type="lines" w:linePitch="312" w:charSpace="0"/>
        </w:sect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r>
        <w:rPr>
          <w:rFonts w:hint="eastAsia" w:ascii="宋体" w:hAnsi="宋体" w:cs="宋体"/>
          <w:b/>
          <w:kern w:val="0"/>
          <w:sz w:val="32"/>
          <w:szCs w:val="32"/>
        </w:rPr>
        <w:t>前  言</w:t>
      </w:r>
    </w:p>
    <w:p>
      <w:pPr>
        <w:tabs>
          <w:tab w:val="left" w:pos="210"/>
          <w:tab w:val="left" w:pos="927"/>
          <w:tab w:val="center" w:pos="4156"/>
          <w:tab w:val="center" w:pos="6979"/>
        </w:tabs>
        <w:autoSpaceDE w:val="0"/>
        <w:autoSpaceDN w:val="0"/>
        <w:adjustRightInd w:val="0"/>
        <w:spacing w:line="440" w:lineRule="exact"/>
        <w:ind w:firstLine="480" w:firstLineChars="200"/>
        <w:rPr>
          <w:rFonts w:ascii="宋体" w:hAnsi="宋体" w:cs="宋体"/>
          <w:kern w:val="0"/>
        </w:rPr>
      </w:pPr>
    </w:p>
    <w:p>
      <w:pPr>
        <w:tabs>
          <w:tab w:val="left" w:pos="210"/>
          <w:tab w:val="left" w:pos="927"/>
          <w:tab w:val="center" w:pos="4156"/>
          <w:tab w:val="center" w:pos="6979"/>
        </w:tabs>
        <w:autoSpaceDE w:val="0"/>
        <w:autoSpaceDN w:val="0"/>
        <w:adjustRightInd w:val="0"/>
        <w:spacing w:line="400" w:lineRule="exact"/>
        <w:ind w:firstLine="480" w:firstLineChars="200"/>
        <w:rPr>
          <w:rFonts w:ascii="宋体" w:hAnsi="宋体" w:cs="宋体"/>
          <w:kern w:val="0"/>
        </w:rPr>
      </w:pPr>
      <w:r>
        <w:rPr>
          <w:rFonts w:hint="eastAsia" w:ascii="宋体" w:hAnsi="宋体" w:cs="宋体"/>
          <w:kern w:val="0"/>
        </w:rPr>
        <w:t>根据</w:t>
      </w:r>
      <w:r>
        <w:rPr>
          <w:rFonts w:hint="eastAsia" w:ascii="宋体" w:hAnsi="宋体" w:cs="宋体"/>
        </w:rPr>
        <w:t>《安徽省市场监督管理局关于下达2023年第一批安徽省地方标准制修订计划的通知》（皖市监函〔2023〕414号）</w:t>
      </w:r>
      <w:r>
        <w:rPr>
          <w:rFonts w:hint="eastAsia" w:ascii="宋体" w:hAnsi="宋体" w:cs="宋体"/>
          <w:kern w:val="0"/>
        </w:rPr>
        <w:t>的要求，标准编制组在深入调查研究的基础上，认真总结以往的实践经验，并经过多次讨论和广泛征求意见的基础上，修订本标准。</w:t>
      </w:r>
    </w:p>
    <w:p>
      <w:pPr>
        <w:tabs>
          <w:tab w:val="left" w:pos="210"/>
          <w:tab w:val="left" w:pos="927"/>
          <w:tab w:val="center" w:pos="4156"/>
          <w:tab w:val="center" w:pos="6979"/>
        </w:tabs>
        <w:autoSpaceDE w:val="0"/>
        <w:autoSpaceDN w:val="0"/>
        <w:adjustRightInd w:val="0"/>
        <w:spacing w:line="400" w:lineRule="exact"/>
        <w:ind w:firstLine="480" w:firstLineChars="200"/>
        <w:rPr>
          <w:rFonts w:ascii="宋体" w:hAnsi="宋体" w:cs="宋体"/>
          <w:kern w:val="0"/>
        </w:rPr>
      </w:pPr>
      <w:r>
        <w:rPr>
          <w:rFonts w:hint="eastAsia" w:ascii="宋体" w:hAnsi="宋体" w:cs="宋体"/>
          <w:kern w:val="0"/>
        </w:rPr>
        <w:t>本标准主要内容包括：1.总则；2.术语；3.评价项目；4.评价方法；5.评价等级。</w:t>
      </w:r>
    </w:p>
    <w:p>
      <w:pPr>
        <w:tabs>
          <w:tab w:val="left" w:pos="210"/>
          <w:tab w:val="left" w:pos="927"/>
          <w:tab w:val="center" w:pos="4156"/>
          <w:tab w:val="center" w:pos="6979"/>
        </w:tabs>
        <w:autoSpaceDE w:val="0"/>
        <w:autoSpaceDN w:val="0"/>
        <w:adjustRightInd w:val="0"/>
        <w:spacing w:line="400" w:lineRule="exact"/>
        <w:ind w:firstLine="480" w:firstLineChars="200"/>
        <w:rPr>
          <w:rFonts w:ascii="宋体" w:hAnsi="宋体" w:cs="宋体"/>
          <w:kern w:val="0"/>
        </w:rPr>
      </w:pPr>
      <w:r>
        <w:rPr>
          <w:rFonts w:hint="eastAsia" w:ascii="宋体" w:hAnsi="宋体" w:cs="宋体"/>
          <w:kern w:val="0"/>
        </w:rPr>
        <w:t>本标准主要修订的主要内容是：1. 将原章节中的“检查评定项目”改为“评价项目”；2.删除了建设单位、监理单位、施工单位项目安全管理责任中的“项目”和“责任”，并将顺序进行了相应调整；3.将原检查评定项目中的“文明施工”和“扬尘防治”章节合并为“文明施工”，增加“脚手架及模板支架”章节，“登高架设设施”改为“高处作业”，并将其部分内容进行调整；4.根据评价项目的修改，将附录A汇总表和附录B检查评分表中的分项名称及分值进行了调整，同时将附录B“检查评分表</w:t>
      </w:r>
      <w:r>
        <w:rPr>
          <w:rFonts w:ascii="宋体" w:hAnsi="宋体" w:cs="宋体"/>
          <w:kern w:val="0"/>
        </w:rPr>
        <w:t>”</w:t>
      </w:r>
      <w:r>
        <w:rPr>
          <w:rFonts w:hint="eastAsia" w:ascii="宋体" w:hAnsi="宋体" w:cs="宋体"/>
          <w:kern w:val="0"/>
        </w:rPr>
        <w:t>修改为“分项评价表”；5.将评价等级的划分标准进行了调整。</w:t>
      </w:r>
    </w:p>
    <w:p>
      <w:pPr>
        <w:tabs>
          <w:tab w:val="left" w:pos="210"/>
          <w:tab w:val="left" w:pos="927"/>
          <w:tab w:val="center" w:pos="4156"/>
          <w:tab w:val="center" w:pos="6979"/>
        </w:tabs>
        <w:autoSpaceDE w:val="0"/>
        <w:autoSpaceDN w:val="0"/>
        <w:adjustRightInd w:val="0"/>
        <w:spacing w:line="400" w:lineRule="exact"/>
        <w:ind w:firstLine="480" w:firstLineChars="200"/>
        <w:rPr>
          <w:rFonts w:ascii="宋体" w:hAnsi="宋体" w:cs="宋体"/>
          <w:kern w:val="0"/>
        </w:rPr>
      </w:pPr>
      <w:r>
        <w:rPr>
          <w:rFonts w:hint="eastAsia" w:ascii="宋体" w:hAnsi="宋体" w:cs="宋体"/>
          <w:kern w:val="0"/>
        </w:rPr>
        <w:t>本标准由安徽省住房和城乡建设厅负责管理，由安徽省建设工程质量与安全协会负责具体技术内容的解释。在实施本标准过程中，若发现有需要修改或补充之处，请将意见或建议反馈至安徽省建设工程质量与安全协会（地址：安徽省合肥市包河区紫云路996号，邮政编码：230091），以供修订时参考。</w:t>
      </w:r>
    </w:p>
    <w:p>
      <w:pPr>
        <w:spacing w:line="400" w:lineRule="exact"/>
        <w:ind w:firstLine="480" w:firstLineChars="200"/>
        <w:rPr>
          <w:rFonts w:ascii="宋体" w:hAnsi="宋体" w:cs="宋体"/>
        </w:rPr>
      </w:pPr>
      <w:r>
        <w:rPr>
          <w:rFonts w:hint="eastAsia" w:ascii="宋体" w:hAnsi="宋体" w:cs="宋体"/>
          <w:kern w:val="0"/>
        </w:rPr>
        <w:t>本标准主编单位：</w:t>
      </w:r>
      <w:r>
        <w:rPr>
          <w:rFonts w:hint="eastAsia" w:ascii="宋体" w:hAnsi="宋体" w:cs="宋体"/>
        </w:rPr>
        <w:t>安徽省建设工程质量与安全协会</w:t>
      </w:r>
    </w:p>
    <w:p>
      <w:pPr>
        <w:spacing w:line="400" w:lineRule="exact"/>
        <w:ind w:firstLine="480" w:firstLineChars="200"/>
        <w:rPr>
          <w:rFonts w:ascii="宋体" w:hAnsi="宋体" w:cs="宋体"/>
        </w:rPr>
      </w:pPr>
      <w:r>
        <w:rPr>
          <w:rFonts w:hint="eastAsia" w:ascii="宋体" w:hAnsi="宋体" w:cs="宋体"/>
        </w:rPr>
        <w:t xml:space="preserve">                安徽建工集团控股有限公司 </w:t>
      </w:r>
    </w:p>
    <w:p>
      <w:pPr>
        <w:spacing w:line="400" w:lineRule="exact"/>
        <w:ind w:firstLine="2400" w:firstLineChars="1000"/>
        <w:rPr>
          <w:rFonts w:ascii="宋体" w:hAnsi="宋体" w:cs="宋体"/>
        </w:rPr>
      </w:pPr>
      <w:r>
        <w:rPr>
          <w:rFonts w:hint="eastAsia" w:ascii="宋体" w:hAnsi="宋体" w:cs="宋体"/>
        </w:rPr>
        <w:t>安徽水安建设集团股份有限公司</w:t>
      </w:r>
    </w:p>
    <w:p>
      <w:pPr>
        <w:tabs>
          <w:tab w:val="left" w:pos="210"/>
          <w:tab w:val="left" w:pos="426"/>
          <w:tab w:val="left" w:pos="927"/>
          <w:tab w:val="center" w:pos="4156"/>
          <w:tab w:val="center" w:pos="6979"/>
        </w:tabs>
        <w:autoSpaceDE w:val="0"/>
        <w:autoSpaceDN w:val="0"/>
        <w:adjustRightInd w:val="0"/>
        <w:spacing w:line="400" w:lineRule="exact"/>
        <w:ind w:firstLine="480" w:firstLineChars="200"/>
        <w:rPr>
          <w:rFonts w:ascii="宋体" w:hAnsi="宋体" w:cs="宋体"/>
          <w:kern w:val="0"/>
        </w:rPr>
      </w:pPr>
      <w:r>
        <w:rPr>
          <w:rFonts w:hint="eastAsia" w:ascii="宋体" w:hAnsi="宋体" w:cs="宋体"/>
          <w:kern w:val="0"/>
        </w:rPr>
        <w:t>本标准参编单位：合肥市建筑质量安全监督站</w:t>
      </w:r>
    </w:p>
    <w:p>
      <w:pPr>
        <w:tabs>
          <w:tab w:val="left" w:pos="210"/>
          <w:tab w:val="left" w:pos="426"/>
          <w:tab w:val="left" w:pos="927"/>
          <w:tab w:val="center" w:pos="4156"/>
          <w:tab w:val="center" w:pos="6979"/>
        </w:tabs>
        <w:autoSpaceDE w:val="0"/>
        <w:autoSpaceDN w:val="0"/>
        <w:adjustRightInd w:val="0"/>
        <w:spacing w:line="400" w:lineRule="exact"/>
        <w:ind w:firstLine="480" w:firstLineChars="200"/>
        <w:rPr>
          <w:rFonts w:ascii="宋体" w:hAnsi="宋体" w:cs="宋体"/>
          <w:kern w:val="0"/>
        </w:rPr>
      </w:pPr>
      <w:r>
        <w:rPr>
          <w:rFonts w:hint="eastAsia" w:ascii="宋体" w:hAnsi="宋体" w:cs="宋体"/>
          <w:kern w:val="0"/>
        </w:rPr>
        <w:t xml:space="preserve">                马鞍山市建设工程监督站</w:t>
      </w:r>
    </w:p>
    <w:p>
      <w:pPr>
        <w:tabs>
          <w:tab w:val="left" w:pos="210"/>
          <w:tab w:val="left" w:pos="426"/>
          <w:tab w:val="left" w:pos="927"/>
          <w:tab w:val="center" w:pos="4156"/>
          <w:tab w:val="center" w:pos="6979"/>
        </w:tabs>
        <w:autoSpaceDE w:val="0"/>
        <w:autoSpaceDN w:val="0"/>
        <w:adjustRightInd w:val="0"/>
        <w:spacing w:line="400" w:lineRule="exact"/>
        <w:ind w:firstLine="2400" w:firstLineChars="1000"/>
        <w:rPr>
          <w:rFonts w:ascii="宋体" w:hAnsi="宋体" w:cs="宋体"/>
          <w:kern w:val="0"/>
        </w:rPr>
      </w:pPr>
      <w:r>
        <w:rPr>
          <w:rFonts w:hint="eastAsia" w:ascii="宋体" w:hAnsi="宋体" w:cs="宋体"/>
          <w:kern w:val="0"/>
        </w:rPr>
        <w:t>芜湖市建筑工程管理处</w:t>
      </w:r>
    </w:p>
    <w:p>
      <w:pPr>
        <w:tabs>
          <w:tab w:val="left" w:pos="210"/>
          <w:tab w:val="left" w:pos="426"/>
          <w:tab w:val="left" w:pos="927"/>
          <w:tab w:val="center" w:pos="4156"/>
          <w:tab w:val="center" w:pos="6979"/>
        </w:tabs>
        <w:autoSpaceDE w:val="0"/>
        <w:autoSpaceDN w:val="0"/>
        <w:adjustRightInd w:val="0"/>
        <w:spacing w:line="400" w:lineRule="exact"/>
        <w:ind w:firstLine="2400" w:firstLineChars="1000"/>
        <w:rPr>
          <w:rFonts w:ascii="宋体" w:hAnsi="宋体" w:cs="宋体"/>
          <w:kern w:val="0"/>
        </w:rPr>
      </w:pPr>
      <w:r>
        <w:rPr>
          <w:rFonts w:hint="eastAsia" w:ascii="宋体" w:hAnsi="宋体" w:cs="宋体"/>
          <w:kern w:val="0"/>
        </w:rPr>
        <w:t>安徽地矿建设工程有限责任公司</w:t>
      </w:r>
    </w:p>
    <w:p>
      <w:pPr>
        <w:tabs>
          <w:tab w:val="left" w:pos="210"/>
          <w:tab w:val="left" w:pos="426"/>
          <w:tab w:val="left" w:pos="927"/>
          <w:tab w:val="center" w:pos="4156"/>
          <w:tab w:val="center" w:pos="6979"/>
        </w:tabs>
        <w:autoSpaceDE w:val="0"/>
        <w:autoSpaceDN w:val="0"/>
        <w:adjustRightInd w:val="0"/>
        <w:spacing w:line="400" w:lineRule="exact"/>
        <w:ind w:firstLine="480" w:firstLineChars="200"/>
        <w:rPr>
          <w:rFonts w:ascii="宋体" w:hAnsi="宋体" w:cs="宋体"/>
          <w:kern w:val="0"/>
        </w:rPr>
      </w:pPr>
      <w:r>
        <w:rPr>
          <w:rFonts w:hint="eastAsia" w:ascii="宋体" w:hAnsi="宋体" w:cs="宋体"/>
          <w:kern w:val="0"/>
        </w:rPr>
        <w:t xml:space="preserve">                安徽建工三建集团有限公司      </w:t>
      </w:r>
    </w:p>
    <w:p>
      <w:pPr>
        <w:tabs>
          <w:tab w:val="left" w:pos="210"/>
          <w:tab w:val="left" w:pos="426"/>
          <w:tab w:val="left" w:pos="927"/>
          <w:tab w:val="center" w:pos="4156"/>
          <w:tab w:val="center" w:pos="6979"/>
        </w:tabs>
        <w:autoSpaceDE w:val="0"/>
        <w:autoSpaceDN w:val="0"/>
        <w:adjustRightInd w:val="0"/>
        <w:spacing w:line="400" w:lineRule="exact"/>
        <w:ind w:firstLine="480" w:firstLineChars="200"/>
        <w:rPr>
          <w:rFonts w:ascii="宋体" w:hAnsi="宋体" w:cs="宋体"/>
          <w:kern w:val="0"/>
        </w:rPr>
      </w:pPr>
      <w:r>
        <w:rPr>
          <w:rFonts w:hint="eastAsia" w:ascii="宋体" w:hAnsi="宋体" w:cs="宋体"/>
          <w:kern w:val="0"/>
        </w:rPr>
        <w:t xml:space="preserve">                中国十七冶集团有限公司</w:t>
      </w:r>
    </w:p>
    <w:p>
      <w:pPr>
        <w:tabs>
          <w:tab w:val="left" w:pos="210"/>
          <w:tab w:val="left" w:pos="426"/>
          <w:tab w:val="left" w:pos="927"/>
          <w:tab w:val="center" w:pos="4156"/>
          <w:tab w:val="center" w:pos="6979"/>
        </w:tabs>
        <w:autoSpaceDE w:val="0"/>
        <w:autoSpaceDN w:val="0"/>
        <w:adjustRightInd w:val="0"/>
        <w:spacing w:line="400" w:lineRule="exact"/>
        <w:ind w:firstLine="480" w:firstLineChars="200"/>
        <w:rPr>
          <w:rFonts w:ascii="宋体" w:hAnsi="宋体" w:cs="宋体"/>
          <w:kern w:val="0"/>
        </w:rPr>
      </w:pPr>
      <w:r>
        <w:rPr>
          <w:rFonts w:hint="eastAsia" w:ascii="宋体" w:hAnsi="宋体" w:cs="宋体"/>
          <w:kern w:val="0"/>
        </w:rPr>
        <w:t xml:space="preserve">                中安华力建设集团有限公司 </w:t>
      </w:r>
    </w:p>
    <w:p>
      <w:pPr>
        <w:tabs>
          <w:tab w:val="left" w:pos="210"/>
          <w:tab w:val="left" w:pos="426"/>
          <w:tab w:val="left" w:pos="927"/>
          <w:tab w:val="center" w:pos="4156"/>
          <w:tab w:val="center" w:pos="6979"/>
        </w:tabs>
        <w:autoSpaceDE w:val="0"/>
        <w:autoSpaceDN w:val="0"/>
        <w:adjustRightInd w:val="0"/>
        <w:spacing w:line="400" w:lineRule="exact"/>
        <w:ind w:firstLine="2400" w:firstLineChars="1000"/>
        <w:rPr>
          <w:rFonts w:ascii="宋体" w:hAnsi="宋体" w:cs="宋体"/>
        </w:rPr>
      </w:pPr>
      <w:r>
        <w:rPr>
          <w:rFonts w:hint="eastAsia" w:ascii="宋体" w:hAnsi="宋体" w:cs="宋体"/>
          <w:kern w:val="0"/>
        </w:rPr>
        <w:t>安徽宏志建设集团有限公司</w:t>
      </w:r>
    </w:p>
    <w:p>
      <w:pPr>
        <w:tabs>
          <w:tab w:val="left" w:pos="1560"/>
        </w:tabs>
        <w:spacing w:line="400" w:lineRule="exact"/>
        <w:ind w:left="2074" w:leftChars="114" w:hanging="1800" w:hangingChars="750"/>
        <w:rPr>
          <w:rFonts w:ascii="宋体" w:hAnsi="宋体" w:cs="宋体"/>
        </w:rPr>
      </w:pPr>
      <w:r>
        <w:rPr>
          <w:rFonts w:hint="eastAsia" w:ascii="宋体" w:hAnsi="宋体" w:cs="宋体"/>
          <w:kern w:val="0"/>
        </w:rPr>
        <w:t>主要起草人：</w:t>
      </w:r>
      <w:r>
        <w:rPr>
          <w:rFonts w:hint="eastAsia" w:ascii="宋体" w:hAnsi="宋体" w:cs="宋体"/>
        </w:rPr>
        <w:t xml:space="preserve">王晓魁  迟育红  周  云  赵永生  徐  飞  章  超  江克勤 </w:t>
      </w:r>
    </w:p>
    <w:p>
      <w:pPr>
        <w:tabs>
          <w:tab w:val="left" w:pos="1560"/>
        </w:tabs>
        <w:spacing w:line="400" w:lineRule="exact"/>
        <w:ind w:left="2074" w:leftChars="714" w:hanging="360" w:hangingChars="150"/>
        <w:rPr>
          <w:rFonts w:ascii="宋体" w:hAnsi="宋体" w:cs="宋体"/>
        </w:rPr>
      </w:pPr>
      <w:r>
        <w:rPr>
          <w:rFonts w:hint="eastAsia" w:ascii="宋体" w:hAnsi="宋体" w:cs="宋体"/>
        </w:rPr>
        <w:t xml:space="preserve">赵礼俊  陈  峰  聂爱军  胡晓东  张  鑫  李  俊  许  辉  </w:t>
      </w:r>
    </w:p>
    <w:p>
      <w:pPr>
        <w:tabs>
          <w:tab w:val="left" w:pos="1560"/>
        </w:tabs>
        <w:spacing w:line="400" w:lineRule="exact"/>
        <w:ind w:firstLine="1680" w:firstLineChars="700"/>
        <w:rPr>
          <w:rFonts w:ascii="宋体" w:hAnsi="宋体" w:cs="宋体"/>
        </w:rPr>
      </w:pPr>
      <w:r>
        <w:rPr>
          <w:rFonts w:hint="eastAsia" w:ascii="宋体" w:hAnsi="宋体" w:cs="宋体"/>
        </w:rPr>
        <w:t xml:space="preserve">王  彭  魏  宁  胡晓峰  王齐武  王合明  聂鲁军  张  瑞   </w:t>
      </w:r>
    </w:p>
    <w:p>
      <w:pPr>
        <w:tabs>
          <w:tab w:val="left" w:pos="1560"/>
        </w:tabs>
        <w:spacing w:line="400" w:lineRule="exact"/>
        <w:ind w:firstLine="1680" w:firstLineChars="700"/>
        <w:rPr>
          <w:rFonts w:ascii="宋体" w:hAnsi="宋体" w:cs="宋体"/>
        </w:rPr>
      </w:pPr>
      <w:r>
        <w:rPr>
          <w:rFonts w:hint="eastAsia" w:ascii="宋体" w:hAnsi="宋体" w:cs="宋体"/>
        </w:rPr>
        <w:t>程东风  阚志远  康  力  韦道龙  熊祖稳  陈国福  朱纪泽</w:t>
      </w:r>
    </w:p>
    <w:p>
      <w:pPr>
        <w:tabs>
          <w:tab w:val="left" w:pos="1560"/>
        </w:tabs>
        <w:spacing w:line="400" w:lineRule="exact"/>
        <w:ind w:firstLine="240" w:firstLineChars="100"/>
        <w:jc w:val="left"/>
        <w:rPr>
          <w:rFonts w:ascii="宋体" w:hAnsi="宋体" w:cs="宋体"/>
        </w:rPr>
      </w:pPr>
      <w:r>
        <w:rPr>
          <w:rFonts w:hint="eastAsia" w:ascii="宋体" w:hAnsi="宋体" w:cs="宋体"/>
        </w:rPr>
        <w:t>审  查  人：</w:t>
      </w:r>
    </w:p>
    <w:p>
      <w:pPr>
        <w:tabs>
          <w:tab w:val="left" w:pos="1560"/>
        </w:tabs>
        <w:spacing w:line="400" w:lineRule="exact"/>
        <w:ind w:firstLine="240" w:firstLineChars="100"/>
        <w:jc w:val="left"/>
        <w:rPr>
          <w:rFonts w:ascii="宋体" w:hAnsi="宋体" w:cs="宋体"/>
        </w:rPr>
        <w:sectPr>
          <w:footerReference r:id="rId7" w:type="first"/>
          <w:footerReference r:id="rId6" w:type="default"/>
          <w:pgSz w:w="11906" w:h="16838"/>
          <w:pgMar w:top="1440" w:right="1646" w:bottom="1440" w:left="1800" w:header="851" w:footer="992" w:gutter="0"/>
          <w:pgNumType w:start="0"/>
          <w:cols w:space="720" w:num="1"/>
          <w:titlePg/>
          <w:docGrid w:type="lines" w:linePitch="312" w:charSpace="0"/>
        </w:sectPr>
      </w:pPr>
    </w:p>
    <w:p>
      <w:pPr>
        <w:jc w:val="center"/>
        <w:rPr>
          <w:bCs w:val="0"/>
          <w:sz w:val="28"/>
          <w:szCs w:val="28"/>
        </w:rPr>
      </w:pPr>
      <w:r>
        <w:rPr>
          <w:b/>
          <w:lang w:val="zh-CN"/>
        </w:rPr>
        <w:t>目</w:t>
      </w:r>
      <w:r>
        <w:rPr>
          <w:rFonts w:hint="eastAsia"/>
          <w:b/>
          <w:lang w:val="zh-CN"/>
        </w:rPr>
        <w:t xml:space="preserve">   </w:t>
      </w:r>
      <w:r>
        <w:rPr>
          <w:rFonts w:hint="eastAsia"/>
          <w:b/>
        </w:rPr>
        <w:t>次</w:t>
      </w:r>
    </w:p>
    <w:p>
      <w:pPr>
        <w:pStyle w:val="30"/>
        <w:rPr>
          <w:b/>
          <w:color w:val="auto"/>
        </w:rPr>
      </w:pPr>
    </w:p>
    <w:p>
      <w:pPr>
        <w:pStyle w:val="12"/>
        <w:tabs>
          <w:tab w:val="right" w:leader="dot" w:pos="8450"/>
        </w:tabs>
        <w:spacing w:line="360" w:lineRule="auto"/>
        <w:rPr>
          <w:rFonts w:ascii="宋体" w:hAnsi="宋体"/>
          <w:b w:val="0"/>
          <w:bCs w:val="0"/>
          <w:caps w:val="0"/>
          <w:sz w:val="24"/>
          <w:szCs w:val="24"/>
        </w:rPr>
      </w:pPr>
      <w:r>
        <w:rPr>
          <w:rFonts w:ascii="宋体" w:hAnsi="宋体"/>
          <w:b w:val="0"/>
          <w:sz w:val="24"/>
          <w:szCs w:val="24"/>
        </w:rPr>
        <w:fldChar w:fldCharType="begin"/>
      </w:r>
      <w:r>
        <w:rPr>
          <w:rFonts w:ascii="宋体" w:hAnsi="宋体"/>
          <w:b w:val="0"/>
          <w:sz w:val="24"/>
          <w:szCs w:val="24"/>
        </w:rPr>
        <w:instrText xml:space="preserve"> TOC \o "1-3" \h \z \u </w:instrText>
      </w:r>
      <w:r>
        <w:rPr>
          <w:rFonts w:ascii="宋体" w:hAnsi="宋体"/>
          <w:b w:val="0"/>
          <w:sz w:val="24"/>
          <w:szCs w:val="24"/>
        </w:rPr>
        <w:fldChar w:fldCharType="separate"/>
      </w:r>
      <w:r>
        <w:fldChar w:fldCharType="begin"/>
      </w:r>
      <w:r>
        <w:instrText xml:space="preserve"> HYPERLINK \l "_Toc437346454" </w:instrText>
      </w:r>
      <w:r>
        <w:fldChar w:fldCharType="separate"/>
      </w:r>
      <w:r>
        <w:rPr>
          <w:rStyle w:val="22"/>
          <w:rFonts w:ascii="宋体" w:hAnsi="宋体"/>
          <w:b w:val="0"/>
          <w:color w:val="auto"/>
          <w:sz w:val="24"/>
          <w:szCs w:val="24"/>
        </w:rPr>
        <w:t xml:space="preserve">1  </w:t>
      </w:r>
      <w:r>
        <w:rPr>
          <w:rStyle w:val="22"/>
          <w:rFonts w:hint="eastAsia" w:ascii="宋体" w:hAnsi="宋体"/>
          <w:b w:val="0"/>
          <w:color w:val="auto"/>
          <w:sz w:val="24"/>
          <w:szCs w:val="24"/>
        </w:rPr>
        <w:t>总则</w:t>
      </w:r>
      <w:r>
        <w:rPr>
          <w:rFonts w:ascii="宋体" w:hAnsi="宋体"/>
          <w:b w:val="0"/>
          <w:sz w:val="24"/>
          <w:szCs w:val="24"/>
        </w:rPr>
        <w:tab/>
      </w:r>
      <w:r>
        <w:rPr>
          <w:rFonts w:ascii="宋体" w:hAnsi="宋体"/>
          <w:b w:val="0"/>
          <w:sz w:val="24"/>
          <w:szCs w:val="24"/>
        </w:rPr>
        <w:fldChar w:fldCharType="begin"/>
      </w:r>
      <w:r>
        <w:rPr>
          <w:rFonts w:ascii="宋体" w:hAnsi="宋体"/>
          <w:b w:val="0"/>
          <w:sz w:val="24"/>
          <w:szCs w:val="24"/>
        </w:rPr>
        <w:instrText xml:space="preserve"> PAGEREF _Toc437346454 \h </w:instrText>
      </w:r>
      <w:r>
        <w:rPr>
          <w:rFonts w:ascii="宋体" w:hAnsi="宋体"/>
          <w:b w:val="0"/>
          <w:sz w:val="24"/>
          <w:szCs w:val="24"/>
        </w:rPr>
        <w:fldChar w:fldCharType="separate"/>
      </w:r>
      <w:r>
        <w:rPr>
          <w:rFonts w:ascii="宋体" w:hAnsi="宋体"/>
          <w:b w:val="0"/>
          <w:sz w:val="24"/>
          <w:szCs w:val="24"/>
        </w:rPr>
        <w:t>1</w:t>
      </w:r>
      <w:r>
        <w:rPr>
          <w:rFonts w:ascii="宋体" w:hAnsi="宋体"/>
          <w:b w:val="0"/>
          <w:sz w:val="24"/>
          <w:szCs w:val="24"/>
        </w:rPr>
        <w:fldChar w:fldCharType="end"/>
      </w:r>
      <w:r>
        <w:rPr>
          <w:rFonts w:ascii="宋体" w:hAnsi="宋体"/>
          <w:b w:val="0"/>
          <w:sz w:val="24"/>
          <w:szCs w:val="24"/>
        </w:rPr>
        <w:fldChar w:fldCharType="end"/>
      </w:r>
    </w:p>
    <w:p>
      <w:pPr>
        <w:pStyle w:val="12"/>
        <w:tabs>
          <w:tab w:val="right" w:leader="dot" w:pos="8450"/>
        </w:tabs>
        <w:spacing w:line="360" w:lineRule="auto"/>
        <w:rPr>
          <w:rFonts w:ascii="宋体" w:hAnsi="宋体"/>
          <w:b w:val="0"/>
          <w:bCs w:val="0"/>
          <w:caps w:val="0"/>
          <w:sz w:val="24"/>
          <w:szCs w:val="24"/>
        </w:rPr>
      </w:pPr>
      <w:r>
        <w:fldChar w:fldCharType="begin"/>
      </w:r>
      <w:r>
        <w:instrText xml:space="preserve"> HYPERLINK \l "_Toc437346455" </w:instrText>
      </w:r>
      <w:r>
        <w:fldChar w:fldCharType="separate"/>
      </w:r>
      <w:r>
        <w:rPr>
          <w:rStyle w:val="22"/>
          <w:rFonts w:ascii="宋体" w:hAnsi="宋体"/>
          <w:b w:val="0"/>
          <w:color w:val="auto"/>
          <w:sz w:val="24"/>
          <w:szCs w:val="24"/>
        </w:rPr>
        <w:t xml:space="preserve">2  </w:t>
      </w:r>
      <w:r>
        <w:rPr>
          <w:rStyle w:val="22"/>
          <w:rFonts w:hint="eastAsia" w:ascii="宋体" w:hAnsi="宋体"/>
          <w:b w:val="0"/>
          <w:color w:val="auto"/>
          <w:sz w:val="24"/>
          <w:szCs w:val="24"/>
        </w:rPr>
        <w:t>术语</w:t>
      </w:r>
      <w:r>
        <w:rPr>
          <w:rFonts w:ascii="宋体" w:hAnsi="宋体"/>
          <w:b w:val="0"/>
          <w:sz w:val="24"/>
          <w:szCs w:val="24"/>
        </w:rPr>
        <w:tab/>
      </w:r>
      <w:r>
        <w:rPr>
          <w:rFonts w:hint="eastAsia" w:ascii="宋体" w:hAnsi="宋体"/>
          <w:b w:val="0"/>
          <w:sz w:val="24"/>
          <w:szCs w:val="24"/>
        </w:rPr>
        <w:t>2</w:t>
      </w:r>
      <w:r>
        <w:rPr>
          <w:rFonts w:hint="eastAsia" w:ascii="宋体" w:hAnsi="宋体"/>
          <w:b w:val="0"/>
          <w:sz w:val="24"/>
          <w:szCs w:val="24"/>
        </w:rPr>
        <w:fldChar w:fldCharType="end"/>
      </w:r>
    </w:p>
    <w:p>
      <w:pPr>
        <w:pStyle w:val="12"/>
        <w:tabs>
          <w:tab w:val="right" w:leader="dot" w:pos="8450"/>
        </w:tabs>
        <w:spacing w:line="360" w:lineRule="auto"/>
        <w:rPr>
          <w:rFonts w:ascii="宋体" w:hAnsi="宋体"/>
          <w:b w:val="0"/>
          <w:bCs w:val="0"/>
          <w:caps w:val="0"/>
          <w:sz w:val="24"/>
          <w:szCs w:val="24"/>
        </w:rPr>
      </w:pPr>
      <w:r>
        <w:fldChar w:fldCharType="begin"/>
      </w:r>
      <w:r>
        <w:instrText xml:space="preserve"> HYPERLINK \l "_Toc437346456" </w:instrText>
      </w:r>
      <w:r>
        <w:fldChar w:fldCharType="separate"/>
      </w:r>
      <w:r>
        <w:rPr>
          <w:rStyle w:val="22"/>
          <w:rFonts w:ascii="宋体" w:hAnsi="宋体" w:cs="宋体"/>
          <w:b w:val="0"/>
          <w:color w:val="auto"/>
          <w:kern w:val="0"/>
          <w:sz w:val="24"/>
          <w:szCs w:val="24"/>
        </w:rPr>
        <w:t xml:space="preserve">3  </w:t>
      </w:r>
      <w:r>
        <w:rPr>
          <w:rStyle w:val="22"/>
          <w:rFonts w:hint="eastAsia" w:ascii="宋体" w:hAnsi="宋体" w:cs="宋体"/>
          <w:b w:val="0"/>
          <w:color w:val="auto"/>
          <w:kern w:val="0"/>
          <w:sz w:val="24"/>
          <w:szCs w:val="24"/>
        </w:rPr>
        <w:t>评价项目</w:t>
      </w:r>
      <w:r>
        <w:rPr>
          <w:rFonts w:ascii="宋体" w:hAnsi="宋体"/>
          <w:b w:val="0"/>
          <w:sz w:val="24"/>
          <w:szCs w:val="24"/>
        </w:rPr>
        <w:tab/>
      </w:r>
      <w:r>
        <w:rPr>
          <w:rFonts w:hint="eastAsia" w:ascii="宋体" w:hAnsi="宋体"/>
          <w:b w:val="0"/>
          <w:sz w:val="24"/>
          <w:szCs w:val="24"/>
        </w:rPr>
        <w:t>3</w:t>
      </w:r>
      <w:r>
        <w:rPr>
          <w:rFonts w:hint="eastAsia" w:ascii="宋体" w:hAnsi="宋体"/>
          <w:b w:val="0"/>
          <w:sz w:val="24"/>
          <w:szCs w:val="24"/>
        </w:rPr>
        <w:fldChar w:fldCharType="end"/>
      </w:r>
    </w:p>
    <w:p>
      <w:pPr>
        <w:pStyle w:val="13"/>
        <w:tabs>
          <w:tab w:val="right" w:leader="dot" w:pos="8450"/>
        </w:tabs>
        <w:spacing w:line="360" w:lineRule="auto"/>
        <w:ind w:left="0" w:firstLine="200" w:firstLineChars="100"/>
        <w:rPr>
          <w:rFonts w:ascii="宋体" w:hAnsi="宋体"/>
          <w:smallCaps w:val="0"/>
          <w:sz w:val="24"/>
          <w:szCs w:val="24"/>
        </w:rPr>
      </w:pPr>
      <w:r>
        <w:fldChar w:fldCharType="begin"/>
      </w:r>
      <w:r>
        <w:instrText xml:space="preserve"> HYPERLINK \l "_Toc437346457" </w:instrText>
      </w:r>
      <w:r>
        <w:fldChar w:fldCharType="separate"/>
      </w:r>
      <w:r>
        <w:rPr>
          <w:rStyle w:val="22"/>
          <w:rFonts w:ascii="宋体" w:hAnsi="宋体"/>
          <w:color w:val="auto"/>
          <w:sz w:val="24"/>
          <w:szCs w:val="24"/>
        </w:rPr>
        <w:t xml:space="preserve">3.1  </w:t>
      </w:r>
      <w:r>
        <w:rPr>
          <w:rStyle w:val="22"/>
          <w:rFonts w:hint="eastAsia" w:ascii="宋体" w:hAnsi="宋体"/>
          <w:color w:val="auto"/>
          <w:sz w:val="24"/>
          <w:szCs w:val="24"/>
        </w:rPr>
        <w:t>建设单位安全管理</w:t>
      </w:r>
      <w:r>
        <w:rPr>
          <w:rFonts w:ascii="宋体" w:hAnsi="宋体"/>
          <w:sz w:val="24"/>
          <w:szCs w:val="24"/>
        </w:rPr>
        <w:tab/>
      </w:r>
      <w:r>
        <w:rPr>
          <w:rFonts w:hint="eastAsia" w:ascii="宋体" w:hAnsi="宋体"/>
          <w:sz w:val="24"/>
          <w:szCs w:val="24"/>
        </w:rPr>
        <w:t>3</w:t>
      </w:r>
      <w:r>
        <w:rPr>
          <w:rFonts w:hint="eastAsia" w:ascii="宋体" w:hAnsi="宋体"/>
          <w:sz w:val="24"/>
          <w:szCs w:val="24"/>
        </w:rPr>
        <w:fldChar w:fldCharType="end"/>
      </w:r>
    </w:p>
    <w:p>
      <w:pPr>
        <w:pStyle w:val="13"/>
        <w:tabs>
          <w:tab w:val="right" w:leader="dot" w:pos="8450"/>
        </w:tabs>
        <w:spacing w:line="360" w:lineRule="auto"/>
        <w:rPr>
          <w:rFonts w:ascii="宋体" w:hAnsi="宋体"/>
          <w:smallCaps w:val="0"/>
          <w:sz w:val="24"/>
          <w:szCs w:val="24"/>
        </w:rPr>
      </w:pPr>
      <w:r>
        <w:fldChar w:fldCharType="begin"/>
      </w:r>
      <w:r>
        <w:instrText xml:space="preserve"> HYPERLINK \l "_Toc437346458" </w:instrText>
      </w:r>
      <w:r>
        <w:fldChar w:fldCharType="separate"/>
      </w:r>
      <w:r>
        <w:rPr>
          <w:rStyle w:val="22"/>
          <w:rFonts w:ascii="宋体" w:hAnsi="宋体"/>
          <w:color w:val="auto"/>
          <w:sz w:val="24"/>
          <w:szCs w:val="24"/>
        </w:rPr>
        <w:t xml:space="preserve">3.2  </w:t>
      </w:r>
      <w:r>
        <w:rPr>
          <w:rStyle w:val="22"/>
          <w:rFonts w:hint="eastAsia" w:ascii="宋体" w:hAnsi="宋体"/>
          <w:color w:val="auto"/>
          <w:sz w:val="24"/>
          <w:szCs w:val="24"/>
        </w:rPr>
        <w:t>监理单位安全管理</w:t>
      </w:r>
      <w:r>
        <w:rPr>
          <w:rFonts w:ascii="宋体" w:hAnsi="宋体"/>
          <w:sz w:val="24"/>
          <w:szCs w:val="24"/>
        </w:rPr>
        <w:tab/>
      </w:r>
      <w:r>
        <w:rPr>
          <w:rFonts w:hint="eastAsia" w:ascii="宋体" w:hAnsi="宋体"/>
          <w:sz w:val="24"/>
          <w:szCs w:val="24"/>
        </w:rPr>
        <w:t>4</w:t>
      </w:r>
      <w:r>
        <w:rPr>
          <w:rFonts w:hint="eastAsia" w:ascii="宋体" w:hAnsi="宋体"/>
          <w:sz w:val="24"/>
          <w:szCs w:val="24"/>
        </w:rPr>
        <w:fldChar w:fldCharType="end"/>
      </w:r>
    </w:p>
    <w:p>
      <w:pPr>
        <w:pStyle w:val="13"/>
        <w:tabs>
          <w:tab w:val="right" w:leader="dot" w:pos="8450"/>
        </w:tabs>
        <w:spacing w:line="360" w:lineRule="auto"/>
        <w:rPr>
          <w:rFonts w:ascii="宋体" w:hAnsi="宋体"/>
          <w:smallCaps w:val="0"/>
          <w:sz w:val="24"/>
          <w:szCs w:val="24"/>
        </w:rPr>
      </w:pPr>
      <w:r>
        <w:fldChar w:fldCharType="begin"/>
      </w:r>
      <w:r>
        <w:instrText xml:space="preserve"> HYPERLINK \l "_Toc437346459" </w:instrText>
      </w:r>
      <w:r>
        <w:fldChar w:fldCharType="separate"/>
      </w:r>
      <w:r>
        <w:rPr>
          <w:rStyle w:val="22"/>
          <w:rFonts w:ascii="宋体" w:hAnsi="宋体"/>
          <w:color w:val="auto"/>
          <w:sz w:val="24"/>
          <w:szCs w:val="24"/>
        </w:rPr>
        <w:t xml:space="preserve">3.3  </w:t>
      </w:r>
      <w:r>
        <w:rPr>
          <w:rStyle w:val="22"/>
          <w:rFonts w:hint="eastAsia" w:ascii="宋体" w:hAnsi="宋体"/>
          <w:color w:val="auto"/>
          <w:sz w:val="24"/>
          <w:szCs w:val="24"/>
        </w:rPr>
        <w:t>施工单位安全管理</w:t>
      </w:r>
      <w:r>
        <w:rPr>
          <w:rFonts w:ascii="宋体" w:hAnsi="宋体"/>
          <w:sz w:val="24"/>
          <w:szCs w:val="24"/>
        </w:rPr>
        <w:tab/>
      </w:r>
      <w:r>
        <w:rPr>
          <w:rFonts w:hint="eastAsia" w:ascii="宋体" w:hAnsi="宋体"/>
          <w:sz w:val="24"/>
          <w:szCs w:val="24"/>
        </w:rPr>
        <w:t>5</w:t>
      </w:r>
      <w:r>
        <w:rPr>
          <w:rFonts w:hint="eastAsia" w:ascii="宋体" w:hAnsi="宋体"/>
          <w:sz w:val="24"/>
          <w:szCs w:val="24"/>
        </w:rPr>
        <w:fldChar w:fldCharType="end"/>
      </w:r>
    </w:p>
    <w:p>
      <w:pPr>
        <w:pStyle w:val="13"/>
        <w:tabs>
          <w:tab w:val="right" w:leader="dot" w:pos="8450"/>
        </w:tabs>
        <w:spacing w:line="360" w:lineRule="auto"/>
        <w:rPr>
          <w:rFonts w:ascii="宋体" w:hAnsi="宋体"/>
          <w:smallCaps w:val="0"/>
          <w:sz w:val="24"/>
          <w:szCs w:val="24"/>
        </w:rPr>
      </w:pPr>
      <w:r>
        <w:fldChar w:fldCharType="begin"/>
      </w:r>
      <w:r>
        <w:instrText xml:space="preserve"> HYPERLINK \l "_Toc437346460" </w:instrText>
      </w:r>
      <w:r>
        <w:fldChar w:fldCharType="separate"/>
      </w:r>
      <w:r>
        <w:rPr>
          <w:rStyle w:val="22"/>
          <w:rFonts w:ascii="宋体" w:hAnsi="宋体"/>
          <w:color w:val="auto"/>
          <w:sz w:val="24"/>
          <w:szCs w:val="24"/>
        </w:rPr>
        <w:t xml:space="preserve">3.4  </w:t>
      </w:r>
      <w:r>
        <w:rPr>
          <w:rStyle w:val="22"/>
          <w:rFonts w:hint="eastAsia" w:ascii="宋体" w:hAnsi="宋体"/>
          <w:color w:val="auto"/>
          <w:sz w:val="24"/>
          <w:szCs w:val="24"/>
        </w:rPr>
        <w:t>文明施工</w:t>
      </w:r>
      <w:r>
        <w:rPr>
          <w:rFonts w:ascii="宋体" w:hAnsi="宋体"/>
          <w:sz w:val="24"/>
          <w:szCs w:val="24"/>
        </w:rPr>
        <w:tab/>
      </w:r>
      <w:r>
        <w:rPr>
          <w:rFonts w:hint="eastAsia" w:ascii="宋体" w:hAnsi="宋体"/>
          <w:sz w:val="24"/>
          <w:szCs w:val="24"/>
        </w:rPr>
        <w:t>6</w:t>
      </w:r>
      <w:r>
        <w:rPr>
          <w:rFonts w:hint="eastAsia" w:ascii="宋体" w:hAnsi="宋体"/>
          <w:sz w:val="24"/>
          <w:szCs w:val="24"/>
        </w:rPr>
        <w:fldChar w:fldCharType="end"/>
      </w:r>
    </w:p>
    <w:p>
      <w:pPr>
        <w:pStyle w:val="13"/>
        <w:tabs>
          <w:tab w:val="right" w:leader="dot" w:pos="8450"/>
        </w:tabs>
        <w:spacing w:line="360" w:lineRule="auto"/>
        <w:rPr>
          <w:rFonts w:ascii="宋体" w:hAnsi="宋体"/>
          <w:smallCaps w:val="0"/>
          <w:sz w:val="24"/>
          <w:szCs w:val="24"/>
        </w:rPr>
      </w:pPr>
      <w:r>
        <w:fldChar w:fldCharType="begin"/>
      </w:r>
      <w:r>
        <w:instrText xml:space="preserve"> HYPERLINK \l "_Toc437346461" </w:instrText>
      </w:r>
      <w:r>
        <w:fldChar w:fldCharType="separate"/>
      </w:r>
      <w:r>
        <w:rPr>
          <w:rStyle w:val="22"/>
          <w:rFonts w:ascii="宋体" w:hAnsi="宋体"/>
          <w:color w:val="auto"/>
          <w:sz w:val="24"/>
          <w:szCs w:val="24"/>
        </w:rPr>
        <w:t xml:space="preserve">3.5  </w:t>
      </w:r>
      <w:r>
        <w:rPr>
          <w:rStyle w:val="22"/>
          <w:rFonts w:hint="eastAsia" w:ascii="宋体" w:hAnsi="宋体"/>
          <w:color w:val="auto"/>
          <w:sz w:val="24"/>
          <w:szCs w:val="24"/>
        </w:rPr>
        <w:t>绿色施工</w:t>
      </w:r>
      <w:r>
        <w:rPr>
          <w:rFonts w:ascii="宋体" w:hAnsi="宋体"/>
          <w:sz w:val="24"/>
          <w:szCs w:val="24"/>
        </w:rPr>
        <w:tab/>
      </w:r>
      <w:r>
        <w:rPr>
          <w:rFonts w:hint="eastAsia" w:ascii="宋体" w:hAnsi="宋体"/>
          <w:sz w:val="24"/>
          <w:szCs w:val="24"/>
        </w:rPr>
        <w:t>9</w:t>
      </w:r>
      <w:r>
        <w:rPr>
          <w:rFonts w:hint="eastAsia" w:ascii="宋体" w:hAnsi="宋体"/>
          <w:sz w:val="24"/>
          <w:szCs w:val="24"/>
        </w:rPr>
        <w:fldChar w:fldCharType="end"/>
      </w:r>
    </w:p>
    <w:p>
      <w:pPr>
        <w:pStyle w:val="13"/>
        <w:tabs>
          <w:tab w:val="right" w:leader="dot" w:pos="8450"/>
        </w:tabs>
        <w:spacing w:line="360" w:lineRule="auto"/>
        <w:rPr>
          <w:rFonts w:ascii="宋体" w:hAnsi="宋体"/>
          <w:smallCaps w:val="0"/>
          <w:sz w:val="24"/>
          <w:szCs w:val="24"/>
        </w:rPr>
      </w:pPr>
      <w:r>
        <w:fldChar w:fldCharType="begin"/>
      </w:r>
      <w:r>
        <w:instrText xml:space="preserve"> HYPERLINK \l "_Toc437346462" </w:instrText>
      </w:r>
      <w:r>
        <w:fldChar w:fldCharType="separate"/>
      </w:r>
      <w:r>
        <w:rPr>
          <w:rStyle w:val="22"/>
          <w:rFonts w:ascii="宋体" w:hAnsi="宋体"/>
          <w:color w:val="auto"/>
          <w:sz w:val="24"/>
          <w:szCs w:val="24"/>
        </w:rPr>
        <w:t xml:space="preserve">3.6  </w:t>
      </w:r>
      <w:r>
        <w:rPr>
          <w:rStyle w:val="22"/>
          <w:rFonts w:hint="eastAsia" w:ascii="宋体" w:hAnsi="宋体"/>
          <w:color w:val="auto"/>
          <w:sz w:val="24"/>
          <w:szCs w:val="24"/>
        </w:rPr>
        <w:t>脚手架及模板支架</w:t>
      </w:r>
      <w:r>
        <w:rPr>
          <w:rFonts w:ascii="宋体" w:hAnsi="宋体"/>
          <w:sz w:val="24"/>
          <w:szCs w:val="24"/>
        </w:rPr>
        <w:tab/>
      </w:r>
      <w:r>
        <w:rPr>
          <w:rFonts w:hint="eastAsia" w:ascii="宋体" w:hAnsi="宋体"/>
          <w:sz w:val="24"/>
          <w:szCs w:val="24"/>
        </w:rPr>
        <w:t>10</w:t>
      </w:r>
      <w:r>
        <w:rPr>
          <w:rFonts w:hint="eastAsia" w:ascii="宋体" w:hAnsi="宋体"/>
          <w:sz w:val="24"/>
          <w:szCs w:val="24"/>
        </w:rPr>
        <w:fldChar w:fldCharType="end"/>
      </w:r>
    </w:p>
    <w:p>
      <w:pPr>
        <w:pStyle w:val="13"/>
        <w:tabs>
          <w:tab w:val="right" w:leader="dot" w:pos="8450"/>
        </w:tabs>
        <w:spacing w:line="360" w:lineRule="auto"/>
        <w:rPr>
          <w:rFonts w:ascii="宋体" w:hAnsi="宋体"/>
          <w:smallCaps w:val="0"/>
          <w:sz w:val="24"/>
          <w:szCs w:val="24"/>
        </w:rPr>
      </w:pPr>
      <w:r>
        <w:fldChar w:fldCharType="begin"/>
      </w:r>
      <w:r>
        <w:instrText xml:space="preserve"> HYPERLINK \l "_Toc437346463" </w:instrText>
      </w:r>
      <w:r>
        <w:fldChar w:fldCharType="separate"/>
      </w:r>
      <w:r>
        <w:rPr>
          <w:rStyle w:val="22"/>
          <w:rFonts w:ascii="宋体" w:hAnsi="宋体"/>
          <w:color w:val="auto"/>
          <w:sz w:val="24"/>
          <w:szCs w:val="24"/>
        </w:rPr>
        <w:t xml:space="preserve">3.7  </w:t>
      </w:r>
      <w:r>
        <w:rPr>
          <w:rStyle w:val="22"/>
          <w:rFonts w:hint="eastAsia" w:ascii="宋体" w:hAnsi="宋体"/>
          <w:color w:val="auto"/>
          <w:sz w:val="24"/>
          <w:szCs w:val="24"/>
        </w:rPr>
        <w:t>高处作业</w:t>
      </w:r>
      <w:r>
        <w:rPr>
          <w:rFonts w:ascii="宋体" w:hAnsi="宋体"/>
          <w:sz w:val="24"/>
          <w:szCs w:val="24"/>
        </w:rPr>
        <w:tab/>
      </w:r>
      <w:r>
        <w:rPr>
          <w:rFonts w:hint="eastAsia" w:ascii="宋体" w:hAnsi="宋体"/>
          <w:sz w:val="24"/>
          <w:szCs w:val="24"/>
        </w:rPr>
        <w:t>1</w:t>
      </w:r>
      <w:r>
        <w:rPr>
          <w:rFonts w:hint="eastAsia" w:ascii="宋体" w:hAnsi="宋体"/>
          <w:sz w:val="24"/>
          <w:szCs w:val="24"/>
        </w:rPr>
        <w:fldChar w:fldCharType="end"/>
      </w:r>
      <w:r>
        <w:rPr>
          <w:rFonts w:hint="eastAsia" w:ascii="宋体" w:hAnsi="宋体"/>
          <w:sz w:val="24"/>
          <w:szCs w:val="24"/>
        </w:rPr>
        <w:t>1</w:t>
      </w:r>
    </w:p>
    <w:p>
      <w:pPr>
        <w:pStyle w:val="13"/>
        <w:tabs>
          <w:tab w:val="right" w:leader="dot" w:pos="8450"/>
        </w:tabs>
        <w:spacing w:line="360" w:lineRule="auto"/>
        <w:rPr>
          <w:rFonts w:ascii="宋体" w:hAnsi="宋体"/>
          <w:smallCaps w:val="0"/>
          <w:sz w:val="24"/>
          <w:szCs w:val="24"/>
        </w:rPr>
      </w:pPr>
      <w:r>
        <w:fldChar w:fldCharType="begin"/>
      </w:r>
      <w:r>
        <w:instrText xml:space="preserve"> HYPERLINK \l "_Toc437346464" </w:instrText>
      </w:r>
      <w:r>
        <w:fldChar w:fldCharType="separate"/>
      </w:r>
      <w:r>
        <w:rPr>
          <w:rStyle w:val="22"/>
          <w:rFonts w:ascii="宋体" w:hAnsi="宋体"/>
          <w:color w:val="auto"/>
          <w:sz w:val="24"/>
          <w:szCs w:val="24"/>
        </w:rPr>
        <w:t xml:space="preserve">3.8  </w:t>
      </w:r>
      <w:r>
        <w:rPr>
          <w:rStyle w:val="22"/>
          <w:rFonts w:hint="eastAsia" w:ascii="宋体" w:hAnsi="宋体"/>
          <w:color w:val="auto"/>
          <w:sz w:val="24"/>
          <w:szCs w:val="24"/>
        </w:rPr>
        <w:t>临时用电</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_Toc437346464 \h </w:instrText>
      </w:r>
      <w:r>
        <w:rPr>
          <w:rFonts w:ascii="宋体" w:hAnsi="宋体"/>
          <w:sz w:val="24"/>
          <w:szCs w:val="24"/>
        </w:rPr>
        <w:fldChar w:fldCharType="separate"/>
      </w:r>
      <w:r>
        <w:rPr>
          <w:rFonts w:ascii="宋体" w:hAnsi="宋体"/>
          <w:sz w:val="24"/>
          <w:szCs w:val="24"/>
        </w:rPr>
        <w:t>11</w:t>
      </w:r>
      <w:r>
        <w:rPr>
          <w:rFonts w:ascii="宋体" w:hAnsi="宋体"/>
          <w:sz w:val="24"/>
          <w:szCs w:val="24"/>
        </w:rPr>
        <w:fldChar w:fldCharType="end"/>
      </w:r>
      <w:r>
        <w:rPr>
          <w:rFonts w:ascii="宋体" w:hAnsi="宋体"/>
          <w:sz w:val="24"/>
          <w:szCs w:val="24"/>
        </w:rPr>
        <w:fldChar w:fldCharType="end"/>
      </w:r>
    </w:p>
    <w:p>
      <w:pPr>
        <w:pStyle w:val="13"/>
        <w:tabs>
          <w:tab w:val="right" w:leader="dot" w:pos="8450"/>
        </w:tabs>
        <w:spacing w:line="360" w:lineRule="auto"/>
        <w:rPr>
          <w:rFonts w:ascii="宋体" w:hAnsi="宋体"/>
          <w:smallCaps w:val="0"/>
          <w:sz w:val="24"/>
          <w:szCs w:val="24"/>
        </w:rPr>
      </w:pPr>
      <w:r>
        <w:fldChar w:fldCharType="begin"/>
      </w:r>
      <w:r>
        <w:instrText xml:space="preserve"> HYPERLINK \l "_Toc437346465" </w:instrText>
      </w:r>
      <w:r>
        <w:fldChar w:fldCharType="separate"/>
      </w:r>
      <w:r>
        <w:rPr>
          <w:rStyle w:val="22"/>
          <w:rFonts w:ascii="宋体" w:hAnsi="宋体"/>
          <w:color w:val="auto"/>
          <w:sz w:val="24"/>
          <w:szCs w:val="24"/>
        </w:rPr>
        <w:t xml:space="preserve">3.9  </w:t>
      </w:r>
      <w:r>
        <w:rPr>
          <w:rStyle w:val="22"/>
          <w:rFonts w:hint="eastAsia" w:ascii="宋体" w:hAnsi="宋体"/>
          <w:color w:val="auto"/>
          <w:sz w:val="24"/>
          <w:szCs w:val="24"/>
        </w:rPr>
        <w:t>建筑机械设备</w:t>
      </w:r>
      <w:r>
        <w:rPr>
          <w:rFonts w:ascii="宋体" w:hAnsi="宋体"/>
          <w:sz w:val="24"/>
          <w:szCs w:val="24"/>
        </w:rPr>
        <w:tab/>
      </w:r>
      <w:r>
        <w:rPr>
          <w:rFonts w:hint="eastAsia" w:ascii="宋体" w:hAnsi="宋体"/>
          <w:sz w:val="24"/>
          <w:szCs w:val="24"/>
        </w:rPr>
        <w:t>1</w:t>
      </w:r>
      <w:r>
        <w:rPr>
          <w:rFonts w:hint="eastAsia" w:ascii="宋体" w:hAnsi="宋体"/>
          <w:sz w:val="24"/>
          <w:szCs w:val="24"/>
        </w:rPr>
        <w:fldChar w:fldCharType="end"/>
      </w:r>
      <w:r>
        <w:rPr>
          <w:rFonts w:hint="eastAsia" w:ascii="宋体" w:hAnsi="宋体"/>
          <w:sz w:val="24"/>
          <w:szCs w:val="24"/>
        </w:rPr>
        <w:t>5</w:t>
      </w:r>
    </w:p>
    <w:p>
      <w:pPr>
        <w:pStyle w:val="12"/>
        <w:tabs>
          <w:tab w:val="right" w:leader="dot" w:pos="8450"/>
        </w:tabs>
        <w:spacing w:line="360" w:lineRule="auto"/>
        <w:rPr>
          <w:rFonts w:ascii="宋体" w:hAnsi="宋体"/>
          <w:b w:val="0"/>
          <w:bCs w:val="0"/>
          <w:caps w:val="0"/>
          <w:sz w:val="24"/>
          <w:szCs w:val="24"/>
        </w:rPr>
      </w:pPr>
      <w:r>
        <w:fldChar w:fldCharType="begin"/>
      </w:r>
      <w:r>
        <w:instrText xml:space="preserve"> HYPERLINK \l "_Toc437346466" </w:instrText>
      </w:r>
      <w:r>
        <w:fldChar w:fldCharType="separate"/>
      </w:r>
      <w:r>
        <w:rPr>
          <w:rStyle w:val="22"/>
          <w:rFonts w:ascii="宋体" w:hAnsi="宋体"/>
          <w:b w:val="0"/>
          <w:color w:val="auto"/>
          <w:sz w:val="24"/>
          <w:szCs w:val="24"/>
        </w:rPr>
        <w:t xml:space="preserve">4  </w:t>
      </w:r>
      <w:r>
        <w:rPr>
          <w:rStyle w:val="22"/>
          <w:rFonts w:hint="eastAsia" w:ascii="宋体" w:hAnsi="宋体"/>
          <w:b w:val="0"/>
          <w:color w:val="auto"/>
          <w:sz w:val="24"/>
          <w:szCs w:val="24"/>
        </w:rPr>
        <w:t>评价方法</w:t>
      </w:r>
      <w:r>
        <w:rPr>
          <w:rFonts w:ascii="宋体" w:hAnsi="宋体"/>
          <w:b w:val="0"/>
          <w:sz w:val="24"/>
          <w:szCs w:val="24"/>
        </w:rPr>
        <w:tab/>
      </w:r>
      <w:r>
        <w:rPr>
          <w:rFonts w:hint="eastAsia" w:ascii="宋体" w:hAnsi="宋体"/>
          <w:b w:val="0"/>
          <w:sz w:val="24"/>
          <w:szCs w:val="24"/>
        </w:rPr>
        <w:t>1</w:t>
      </w:r>
      <w:r>
        <w:rPr>
          <w:rFonts w:hint="eastAsia" w:ascii="宋体" w:hAnsi="宋体"/>
          <w:b w:val="0"/>
          <w:sz w:val="24"/>
          <w:szCs w:val="24"/>
        </w:rPr>
        <w:fldChar w:fldCharType="end"/>
      </w:r>
      <w:r>
        <w:rPr>
          <w:rFonts w:hint="eastAsia" w:ascii="宋体" w:hAnsi="宋体"/>
          <w:b w:val="0"/>
          <w:sz w:val="24"/>
          <w:szCs w:val="24"/>
        </w:rPr>
        <w:t>7</w:t>
      </w:r>
    </w:p>
    <w:p>
      <w:pPr>
        <w:pStyle w:val="12"/>
        <w:tabs>
          <w:tab w:val="right" w:leader="dot" w:pos="8450"/>
        </w:tabs>
        <w:spacing w:line="360" w:lineRule="auto"/>
        <w:rPr>
          <w:rFonts w:ascii="宋体" w:hAnsi="宋体"/>
          <w:b w:val="0"/>
          <w:bCs w:val="0"/>
          <w:caps w:val="0"/>
          <w:sz w:val="24"/>
          <w:szCs w:val="24"/>
        </w:rPr>
      </w:pPr>
      <w:r>
        <w:fldChar w:fldCharType="begin"/>
      </w:r>
      <w:r>
        <w:instrText xml:space="preserve"> HYPERLINK \l "_Toc437346467" </w:instrText>
      </w:r>
      <w:r>
        <w:fldChar w:fldCharType="separate"/>
      </w:r>
      <w:r>
        <w:rPr>
          <w:rStyle w:val="22"/>
          <w:rFonts w:ascii="宋体" w:hAnsi="宋体"/>
          <w:b w:val="0"/>
          <w:color w:val="auto"/>
          <w:sz w:val="24"/>
          <w:szCs w:val="24"/>
        </w:rPr>
        <w:t xml:space="preserve">5  </w:t>
      </w:r>
      <w:r>
        <w:rPr>
          <w:rStyle w:val="22"/>
          <w:rFonts w:hint="eastAsia" w:ascii="宋体" w:hAnsi="宋体"/>
          <w:b w:val="0"/>
          <w:color w:val="auto"/>
          <w:sz w:val="24"/>
          <w:szCs w:val="24"/>
        </w:rPr>
        <w:t>评价等级</w:t>
      </w:r>
      <w:r>
        <w:rPr>
          <w:rFonts w:ascii="宋体" w:hAnsi="宋体"/>
          <w:b w:val="0"/>
          <w:sz w:val="24"/>
          <w:szCs w:val="24"/>
        </w:rPr>
        <w:tab/>
      </w:r>
      <w:r>
        <w:rPr>
          <w:rFonts w:hint="eastAsia" w:ascii="宋体" w:hAnsi="宋体"/>
          <w:b w:val="0"/>
          <w:sz w:val="24"/>
          <w:szCs w:val="24"/>
        </w:rPr>
        <w:t>1</w:t>
      </w:r>
      <w:r>
        <w:rPr>
          <w:rFonts w:hint="eastAsia" w:ascii="宋体" w:hAnsi="宋体"/>
          <w:b w:val="0"/>
          <w:sz w:val="24"/>
          <w:szCs w:val="24"/>
        </w:rPr>
        <w:fldChar w:fldCharType="end"/>
      </w:r>
      <w:r>
        <w:rPr>
          <w:rFonts w:hint="eastAsia" w:ascii="宋体" w:hAnsi="宋体"/>
          <w:b w:val="0"/>
          <w:sz w:val="24"/>
          <w:szCs w:val="24"/>
        </w:rPr>
        <w:t>8</w:t>
      </w:r>
    </w:p>
    <w:p>
      <w:pPr>
        <w:pStyle w:val="12"/>
        <w:tabs>
          <w:tab w:val="right" w:leader="dot" w:pos="8450"/>
        </w:tabs>
        <w:spacing w:line="360" w:lineRule="auto"/>
        <w:rPr>
          <w:rFonts w:ascii="宋体" w:hAnsi="宋体"/>
          <w:b w:val="0"/>
          <w:bCs w:val="0"/>
          <w:caps w:val="0"/>
          <w:sz w:val="24"/>
          <w:szCs w:val="24"/>
        </w:rPr>
      </w:pPr>
      <w:r>
        <w:fldChar w:fldCharType="begin"/>
      </w:r>
      <w:r>
        <w:instrText xml:space="preserve"> HYPERLINK \l "_Toc437346468" </w:instrText>
      </w:r>
      <w:r>
        <w:fldChar w:fldCharType="separate"/>
      </w:r>
      <w:r>
        <w:rPr>
          <w:rStyle w:val="22"/>
          <w:rFonts w:hint="eastAsia" w:ascii="宋体" w:hAnsi="宋体" w:cs="SimSun,Bold"/>
          <w:b w:val="0"/>
          <w:color w:val="auto"/>
          <w:kern w:val="0"/>
          <w:sz w:val="24"/>
          <w:szCs w:val="24"/>
        </w:rPr>
        <w:t>附录</w:t>
      </w:r>
      <w:r>
        <w:rPr>
          <w:rStyle w:val="22"/>
          <w:rFonts w:ascii="宋体" w:hAnsi="宋体" w:cs="SimSun,Bold"/>
          <w:b w:val="0"/>
          <w:color w:val="auto"/>
          <w:kern w:val="0"/>
          <w:sz w:val="24"/>
          <w:szCs w:val="24"/>
        </w:rPr>
        <w:t xml:space="preserve">A  </w:t>
      </w:r>
      <w:r>
        <w:rPr>
          <w:rStyle w:val="22"/>
          <w:rFonts w:hint="eastAsia" w:ascii="宋体" w:hAnsi="宋体" w:cs="SimSun,Bold"/>
          <w:b w:val="0"/>
          <w:color w:val="auto"/>
          <w:kern w:val="0"/>
          <w:sz w:val="24"/>
          <w:szCs w:val="24"/>
        </w:rPr>
        <w:t>建筑工程安全生产标准化工地评价汇总表</w:t>
      </w:r>
      <w:r>
        <w:rPr>
          <w:rFonts w:ascii="宋体" w:hAnsi="宋体"/>
          <w:b w:val="0"/>
          <w:sz w:val="24"/>
          <w:szCs w:val="24"/>
        </w:rPr>
        <w:tab/>
      </w:r>
      <w:r>
        <w:rPr>
          <w:rFonts w:hint="eastAsia" w:ascii="宋体" w:hAnsi="宋体"/>
          <w:b w:val="0"/>
          <w:sz w:val="24"/>
          <w:szCs w:val="24"/>
        </w:rPr>
        <w:t>1</w:t>
      </w:r>
      <w:r>
        <w:rPr>
          <w:rFonts w:hint="eastAsia" w:ascii="宋体" w:hAnsi="宋体"/>
          <w:b w:val="0"/>
          <w:sz w:val="24"/>
          <w:szCs w:val="24"/>
        </w:rPr>
        <w:fldChar w:fldCharType="end"/>
      </w:r>
      <w:r>
        <w:rPr>
          <w:rFonts w:hint="eastAsia" w:ascii="宋体" w:hAnsi="宋体"/>
          <w:b w:val="0"/>
          <w:sz w:val="24"/>
          <w:szCs w:val="24"/>
        </w:rPr>
        <w:t>9</w:t>
      </w:r>
    </w:p>
    <w:p>
      <w:pPr>
        <w:pStyle w:val="12"/>
        <w:tabs>
          <w:tab w:val="right" w:leader="dot" w:pos="8450"/>
        </w:tabs>
        <w:spacing w:line="360" w:lineRule="auto"/>
        <w:rPr>
          <w:rFonts w:ascii="宋体" w:hAnsi="宋体"/>
          <w:b w:val="0"/>
          <w:bCs w:val="0"/>
          <w:caps w:val="0"/>
          <w:sz w:val="24"/>
          <w:szCs w:val="24"/>
        </w:rPr>
      </w:pPr>
      <w:r>
        <w:fldChar w:fldCharType="begin"/>
      </w:r>
      <w:r>
        <w:instrText xml:space="preserve"> HYPERLINK \l "_Toc437346469" </w:instrText>
      </w:r>
      <w:r>
        <w:fldChar w:fldCharType="separate"/>
      </w:r>
      <w:r>
        <w:rPr>
          <w:rStyle w:val="22"/>
          <w:rFonts w:hint="eastAsia" w:ascii="宋体" w:hAnsi="宋体" w:cs="SimSun,Bold"/>
          <w:b w:val="0"/>
          <w:color w:val="auto"/>
          <w:kern w:val="0"/>
          <w:sz w:val="24"/>
          <w:szCs w:val="24"/>
        </w:rPr>
        <w:t>附录</w:t>
      </w:r>
      <w:r>
        <w:rPr>
          <w:rStyle w:val="22"/>
          <w:rFonts w:ascii="宋体" w:hAnsi="宋体" w:cs="SimSun,Bold"/>
          <w:b w:val="0"/>
          <w:color w:val="auto"/>
          <w:kern w:val="0"/>
          <w:sz w:val="24"/>
          <w:szCs w:val="24"/>
        </w:rPr>
        <w:t xml:space="preserve">B  </w:t>
      </w:r>
      <w:r>
        <w:rPr>
          <w:rStyle w:val="22"/>
          <w:rFonts w:hint="eastAsia" w:ascii="宋体" w:hAnsi="宋体" w:cs="SimSun,Bold"/>
          <w:b w:val="0"/>
          <w:color w:val="auto"/>
          <w:kern w:val="0"/>
          <w:sz w:val="24"/>
          <w:szCs w:val="24"/>
        </w:rPr>
        <w:t>建筑工程安全生产标准化工地分项评价表</w:t>
      </w:r>
      <w:r>
        <w:rPr>
          <w:rFonts w:ascii="宋体" w:hAnsi="宋体"/>
          <w:b w:val="0"/>
          <w:sz w:val="24"/>
          <w:szCs w:val="24"/>
        </w:rPr>
        <w:tab/>
      </w:r>
      <w:r>
        <w:rPr>
          <w:rFonts w:hint="eastAsia" w:ascii="宋体" w:hAnsi="宋体"/>
          <w:b w:val="0"/>
          <w:sz w:val="24"/>
          <w:szCs w:val="24"/>
        </w:rPr>
        <w:t>20</w:t>
      </w:r>
      <w:r>
        <w:rPr>
          <w:rFonts w:hint="eastAsia" w:ascii="宋体" w:hAnsi="宋体"/>
          <w:b w:val="0"/>
          <w:sz w:val="24"/>
          <w:szCs w:val="24"/>
        </w:rPr>
        <w:fldChar w:fldCharType="end"/>
      </w:r>
    </w:p>
    <w:p>
      <w:pPr>
        <w:pStyle w:val="12"/>
        <w:tabs>
          <w:tab w:val="right" w:leader="dot" w:pos="8450"/>
        </w:tabs>
        <w:spacing w:line="360" w:lineRule="auto"/>
        <w:rPr>
          <w:rFonts w:ascii="宋体" w:hAnsi="宋体"/>
          <w:b w:val="0"/>
          <w:bCs w:val="0"/>
          <w:caps w:val="0"/>
          <w:sz w:val="24"/>
          <w:szCs w:val="24"/>
        </w:rPr>
      </w:pPr>
      <w:r>
        <w:fldChar w:fldCharType="begin"/>
      </w:r>
      <w:r>
        <w:instrText xml:space="preserve"> HYPERLINK \l "_Toc437346470" </w:instrText>
      </w:r>
      <w:r>
        <w:fldChar w:fldCharType="separate"/>
      </w:r>
      <w:r>
        <w:rPr>
          <w:rStyle w:val="22"/>
          <w:rFonts w:hint="eastAsia" w:ascii="宋体" w:hAnsi="宋体" w:cs="宋体"/>
          <w:b w:val="0"/>
          <w:color w:val="auto"/>
          <w:kern w:val="0"/>
          <w:sz w:val="24"/>
          <w:szCs w:val="24"/>
        </w:rPr>
        <w:t>条文说明</w:t>
      </w:r>
      <w:r>
        <w:rPr>
          <w:rFonts w:ascii="宋体" w:hAnsi="宋体"/>
          <w:b w:val="0"/>
          <w:sz w:val="24"/>
          <w:szCs w:val="24"/>
        </w:rPr>
        <w:tab/>
      </w:r>
      <w:r>
        <w:rPr>
          <w:rFonts w:hint="eastAsia" w:ascii="宋体" w:hAnsi="宋体"/>
          <w:b w:val="0"/>
          <w:sz w:val="24"/>
          <w:szCs w:val="24"/>
        </w:rPr>
        <w:t>3</w:t>
      </w:r>
      <w:r>
        <w:rPr>
          <w:rFonts w:hint="eastAsia" w:ascii="宋体" w:hAnsi="宋体"/>
          <w:b w:val="0"/>
          <w:sz w:val="24"/>
          <w:szCs w:val="24"/>
        </w:rPr>
        <w:fldChar w:fldCharType="end"/>
      </w:r>
      <w:r>
        <w:rPr>
          <w:rFonts w:hint="eastAsia" w:ascii="宋体" w:hAnsi="宋体"/>
          <w:b w:val="0"/>
          <w:sz w:val="24"/>
          <w:szCs w:val="24"/>
        </w:rPr>
        <w:t>6</w:t>
      </w:r>
    </w:p>
    <w:p>
      <w:pPr>
        <w:spacing w:line="360" w:lineRule="auto"/>
        <w:rPr>
          <w:rFonts w:ascii="宋体" w:hAnsi="宋体"/>
          <w:bCs w:val="0"/>
          <w:lang w:val="zh-CN"/>
        </w:rPr>
      </w:pPr>
      <w:r>
        <w:rPr>
          <w:rFonts w:ascii="宋体" w:hAnsi="宋体"/>
          <w:bCs w:val="0"/>
          <w:lang w:val="zh-CN"/>
        </w:rPr>
        <w:fldChar w:fldCharType="end"/>
      </w:r>
    </w:p>
    <w:p>
      <w:pPr>
        <w:spacing w:line="360" w:lineRule="auto"/>
        <w:rPr>
          <w:rFonts w:ascii="宋体" w:hAnsi="宋体"/>
          <w:bCs w:val="0"/>
          <w:lang w:val="zh-CN"/>
        </w:rPr>
      </w:pPr>
    </w:p>
    <w:p>
      <w:pPr>
        <w:spacing w:line="360" w:lineRule="auto"/>
        <w:rPr>
          <w:rFonts w:ascii="宋体" w:hAnsi="宋体"/>
          <w:bCs w:val="0"/>
          <w:lang w:val="zh-CN"/>
        </w:rPr>
      </w:pPr>
    </w:p>
    <w:p>
      <w:pPr>
        <w:spacing w:line="360" w:lineRule="auto"/>
        <w:rPr>
          <w:rFonts w:ascii="宋体" w:hAnsi="宋体"/>
          <w:bCs w:val="0"/>
          <w:lang w:val="zh-CN"/>
        </w:rPr>
      </w:pPr>
    </w:p>
    <w:p>
      <w:pPr>
        <w:spacing w:line="360" w:lineRule="auto"/>
        <w:rPr>
          <w:rFonts w:ascii="宋体" w:hAnsi="宋体"/>
          <w:bCs w:val="0"/>
          <w:lang w:val="zh-CN"/>
        </w:rPr>
      </w:pPr>
    </w:p>
    <w:p>
      <w:pPr>
        <w:spacing w:line="360" w:lineRule="auto"/>
        <w:rPr>
          <w:rFonts w:ascii="宋体" w:hAnsi="宋体"/>
          <w:bCs w:val="0"/>
          <w:lang w:val="zh-CN"/>
        </w:rPr>
      </w:pPr>
    </w:p>
    <w:p>
      <w:pPr>
        <w:spacing w:line="360" w:lineRule="auto"/>
        <w:rPr>
          <w:rFonts w:ascii="宋体" w:hAnsi="宋体"/>
          <w:bCs w:val="0"/>
          <w:lang w:val="zh-CN"/>
        </w:rPr>
      </w:pPr>
    </w:p>
    <w:p>
      <w:pPr>
        <w:spacing w:line="360" w:lineRule="auto"/>
        <w:rPr>
          <w:rFonts w:ascii="宋体" w:hAnsi="宋体"/>
          <w:bCs w:val="0"/>
          <w:lang w:val="zh-CN"/>
        </w:rPr>
      </w:pPr>
    </w:p>
    <w:p>
      <w:pPr>
        <w:spacing w:line="360" w:lineRule="auto"/>
        <w:rPr>
          <w:rFonts w:ascii="宋体" w:hAnsi="宋体"/>
          <w:bCs w:val="0"/>
          <w:lang w:val="zh-CN"/>
        </w:rPr>
      </w:pPr>
    </w:p>
    <w:p>
      <w:pPr>
        <w:spacing w:line="360" w:lineRule="auto"/>
        <w:rPr>
          <w:rFonts w:ascii="宋体" w:hAnsi="宋体"/>
          <w:bCs w:val="0"/>
          <w:color w:val="0000FF"/>
          <w:lang w:val="zh-CN"/>
        </w:rPr>
      </w:pPr>
    </w:p>
    <w:p>
      <w:pPr>
        <w:jc w:val="center"/>
        <w:rPr>
          <w:bCs w:val="0"/>
          <w:color w:val="0000FF"/>
        </w:rPr>
      </w:pPr>
    </w:p>
    <w:p>
      <w:pPr>
        <w:jc w:val="center"/>
        <w:rPr>
          <w:bCs w:val="0"/>
          <w:color w:val="000000" w:themeColor="text1"/>
        </w:rPr>
      </w:pPr>
      <w:r>
        <w:rPr>
          <w:rFonts w:hint="eastAsia"/>
          <w:bCs w:val="0"/>
          <w:color w:val="000000" w:themeColor="text1"/>
        </w:rPr>
        <w:t>Contents</w:t>
      </w:r>
    </w:p>
    <w:p>
      <w:pPr>
        <w:pStyle w:val="48"/>
        <w:rPr>
          <w:b/>
          <w:color w:val="000000" w:themeColor="text1"/>
        </w:rPr>
      </w:pPr>
    </w:p>
    <w:p>
      <w:pPr>
        <w:pStyle w:val="12"/>
        <w:tabs>
          <w:tab w:val="right" w:leader="dot" w:pos="8450"/>
        </w:tabs>
        <w:spacing w:line="360" w:lineRule="auto"/>
        <w:rPr>
          <w:rFonts w:ascii="宋体" w:hAnsi="宋体"/>
          <w:b w:val="0"/>
          <w:bCs w:val="0"/>
          <w:caps w:val="0"/>
          <w:color w:val="000000" w:themeColor="text1"/>
          <w:sz w:val="24"/>
          <w:szCs w:val="24"/>
        </w:rPr>
      </w:pPr>
      <w:r>
        <w:rPr>
          <w:rFonts w:ascii="宋体" w:hAnsi="宋体"/>
          <w:b w:val="0"/>
          <w:color w:val="000000" w:themeColor="text1"/>
          <w:sz w:val="24"/>
          <w:szCs w:val="24"/>
        </w:rPr>
        <w:fldChar w:fldCharType="begin"/>
      </w:r>
      <w:r>
        <w:rPr>
          <w:rFonts w:ascii="宋体" w:hAnsi="宋体"/>
          <w:b w:val="0"/>
          <w:color w:val="000000" w:themeColor="text1"/>
          <w:sz w:val="24"/>
          <w:szCs w:val="24"/>
        </w:rPr>
        <w:instrText xml:space="preserve"> TOC \o "1-3" \h \z \u </w:instrText>
      </w:r>
      <w:r>
        <w:rPr>
          <w:rFonts w:ascii="宋体" w:hAnsi="宋体"/>
          <w:b w:val="0"/>
          <w:color w:val="000000" w:themeColor="text1"/>
          <w:sz w:val="24"/>
          <w:szCs w:val="24"/>
        </w:rPr>
        <w:fldChar w:fldCharType="separate"/>
      </w:r>
      <w:r>
        <w:fldChar w:fldCharType="begin"/>
      </w:r>
      <w:r>
        <w:instrText xml:space="preserve"> HYPERLINK \l "_Toc437346454" </w:instrText>
      </w:r>
      <w:r>
        <w:fldChar w:fldCharType="separate"/>
      </w:r>
      <w:r>
        <w:rPr>
          <w:rStyle w:val="22"/>
          <w:rFonts w:ascii="宋体" w:hAnsi="宋体"/>
          <w:b w:val="0"/>
          <w:color w:val="000000" w:themeColor="text1"/>
          <w:sz w:val="24"/>
          <w:szCs w:val="24"/>
        </w:rPr>
        <w:t xml:space="preserve">1  </w:t>
      </w:r>
      <w:r>
        <w:rPr>
          <w:rStyle w:val="22"/>
          <w:rFonts w:hint="eastAsia" w:ascii="宋体" w:hAnsi="宋体"/>
          <w:b w:val="0"/>
          <w:caps w:val="0"/>
          <w:color w:val="000000" w:themeColor="text1"/>
          <w:sz w:val="24"/>
          <w:szCs w:val="24"/>
        </w:rPr>
        <w:t>General Provisions</w:t>
      </w:r>
      <w:r>
        <w:rPr>
          <w:rFonts w:ascii="宋体" w:hAnsi="宋体"/>
          <w:b w:val="0"/>
          <w:color w:val="000000" w:themeColor="text1"/>
          <w:sz w:val="24"/>
          <w:szCs w:val="24"/>
        </w:rPr>
        <w:tab/>
      </w:r>
      <w:r>
        <w:rPr>
          <w:rFonts w:ascii="宋体" w:hAnsi="宋体"/>
          <w:b w:val="0"/>
          <w:color w:val="000000" w:themeColor="text1"/>
          <w:sz w:val="24"/>
          <w:szCs w:val="24"/>
        </w:rPr>
        <w:fldChar w:fldCharType="begin"/>
      </w:r>
      <w:r>
        <w:rPr>
          <w:rFonts w:ascii="宋体" w:hAnsi="宋体"/>
          <w:b w:val="0"/>
          <w:color w:val="000000" w:themeColor="text1"/>
          <w:sz w:val="24"/>
          <w:szCs w:val="24"/>
        </w:rPr>
        <w:instrText xml:space="preserve"> PAGEREF _Toc437346454 \h </w:instrText>
      </w:r>
      <w:r>
        <w:rPr>
          <w:rFonts w:ascii="宋体" w:hAnsi="宋体"/>
          <w:b w:val="0"/>
          <w:color w:val="000000" w:themeColor="text1"/>
          <w:sz w:val="24"/>
          <w:szCs w:val="24"/>
        </w:rPr>
        <w:fldChar w:fldCharType="separate"/>
      </w:r>
      <w:r>
        <w:rPr>
          <w:rFonts w:ascii="宋体" w:hAnsi="宋体"/>
          <w:b w:val="0"/>
          <w:color w:val="000000" w:themeColor="text1"/>
          <w:sz w:val="24"/>
          <w:szCs w:val="24"/>
        </w:rPr>
        <w:t>1</w:t>
      </w:r>
      <w:r>
        <w:rPr>
          <w:rFonts w:ascii="宋体" w:hAnsi="宋体"/>
          <w:b w:val="0"/>
          <w:color w:val="000000" w:themeColor="text1"/>
          <w:sz w:val="24"/>
          <w:szCs w:val="24"/>
        </w:rPr>
        <w:fldChar w:fldCharType="end"/>
      </w:r>
      <w:r>
        <w:rPr>
          <w:rFonts w:ascii="宋体" w:hAnsi="宋体"/>
          <w:b w:val="0"/>
          <w:color w:val="000000" w:themeColor="text1"/>
          <w:sz w:val="24"/>
          <w:szCs w:val="24"/>
        </w:rPr>
        <w:fldChar w:fldCharType="end"/>
      </w:r>
    </w:p>
    <w:p>
      <w:pPr>
        <w:pStyle w:val="12"/>
        <w:tabs>
          <w:tab w:val="right" w:leader="dot" w:pos="8450"/>
        </w:tabs>
        <w:spacing w:line="360" w:lineRule="auto"/>
        <w:rPr>
          <w:rFonts w:ascii="宋体" w:hAnsi="宋体"/>
          <w:b w:val="0"/>
          <w:bCs w:val="0"/>
          <w:caps w:val="0"/>
          <w:color w:val="000000" w:themeColor="text1"/>
          <w:sz w:val="24"/>
          <w:szCs w:val="24"/>
        </w:rPr>
      </w:pPr>
      <w:r>
        <w:fldChar w:fldCharType="begin"/>
      </w:r>
      <w:r>
        <w:instrText xml:space="preserve"> HYPERLINK \l "_Toc437346455" </w:instrText>
      </w:r>
      <w:r>
        <w:fldChar w:fldCharType="separate"/>
      </w:r>
      <w:r>
        <w:rPr>
          <w:rStyle w:val="22"/>
          <w:rFonts w:ascii="宋体" w:hAnsi="宋体"/>
          <w:b w:val="0"/>
          <w:color w:val="000000" w:themeColor="text1"/>
          <w:sz w:val="24"/>
          <w:szCs w:val="24"/>
        </w:rPr>
        <w:t xml:space="preserve">2  </w:t>
      </w:r>
      <w:r>
        <w:rPr>
          <w:rStyle w:val="22"/>
          <w:rFonts w:hint="eastAsia" w:ascii="宋体" w:hAnsi="宋体"/>
          <w:b w:val="0"/>
          <w:caps w:val="0"/>
          <w:color w:val="000000" w:themeColor="text1"/>
          <w:sz w:val="24"/>
          <w:szCs w:val="24"/>
        </w:rPr>
        <w:t>Terms</w:t>
      </w:r>
      <w:r>
        <w:rPr>
          <w:rFonts w:ascii="宋体" w:hAnsi="宋体"/>
          <w:b w:val="0"/>
          <w:color w:val="000000" w:themeColor="text1"/>
          <w:sz w:val="24"/>
          <w:szCs w:val="24"/>
        </w:rPr>
        <w:tab/>
      </w:r>
      <w:r>
        <w:rPr>
          <w:rFonts w:hint="eastAsia" w:ascii="宋体" w:hAnsi="宋体"/>
          <w:b w:val="0"/>
          <w:color w:val="000000" w:themeColor="text1"/>
          <w:sz w:val="24"/>
          <w:szCs w:val="24"/>
        </w:rPr>
        <w:t>2</w:t>
      </w:r>
      <w:r>
        <w:rPr>
          <w:rFonts w:hint="eastAsia" w:ascii="宋体" w:hAnsi="宋体"/>
          <w:b w:val="0"/>
          <w:color w:val="000000" w:themeColor="text1"/>
          <w:sz w:val="24"/>
          <w:szCs w:val="24"/>
        </w:rPr>
        <w:fldChar w:fldCharType="end"/>
      </w:r>
    </w:p>
    <w:p>
      <w:pPr>
        <w:pStyle w:val="12"/>
        <w:tabs>
          <w:tab w:val="right" w:leader="dot" w:pos="8450"/>
        </w:tabs>
        <w:spacing w:line="360" w:lineRule="auto"/>
        <w:rPr>
          <w:rFonts w:ascii="宋体" w:hAnsi="宋体"/>
          <w:b w:val="0"/>
          <w:bCs w:val="0"/>
          <w:caps w:val="0"/>
          <w:color w:val="000000" w:themeColor="text1"/>
          <w:sz w:val="24"/>
          <w:szCs w:val="24"/>
        </w:rPr>
      </w:pPr>
      <w:r>
        <w:fldChar w:fldCharType="begin"/>
      </w:r>
      <w:r>
        <w:instrText xml:space="preserve"> HYPERLINK \l "_Toc437346456" </w:instrText>
      </w:r>
      <w:r>
        <w:fldChar w:fldCharType="separate"/>
      </w:r>
      <w:r>
        <w:rPr>
          <w:rStyle w:val="22"/>
          <w:rFonts w:ascii="宋体" w:hAnsi="宋体" w:cs="宋体"/>
          <w:b w:val="0"/>
          <w:color w:val="000000" w:themeColor="text1"/>
          <w:kern w:val="0"/>
          <w:sz w:val="24"/>
          <w:szCs w:val="24"/>
        </w:rPr>
        <w:t xml:space="preserve">3  </w:t>
      </w:r>
      <w:r>
        <w:rPr>
          <w:rStyle w:val="22"/>
          <w:rFonts w:hint="eastAsia" w:ascii="宋体" w:hAnsi="宋体" w:cs="宋体"/>
          <w:b w:val="0"/>
          <w:caps w:val="0"/>
          <w:color w:val="000000" w:themeColor="text1"/>
          <w:kern w:val="0"/>
          <w:sz w:val="24"/>
          <w:szCs w:val="24"/>
        </w:rPr>
        <w:t>Items of Inspection and Assessment</w:t>
      </w:r>
      <w:r>
        <w:rPr>
          <w:rFonts w:ascii="宋体" w:hAnsi="宋体"/>
          <w:b w:val="0"/>
          <w:color w:val="000000" w:themeColor="text1"/>
          <w:sz w:val="24"/>
          <w:szCs w:val="24"/>
        </w:rPr>
        <w:tab/>
      </w:r>
      <w:r>
        <w:rPr>
          <w:rFonts w:hint="eastAsia" w:ascii="宋体" w:hAnsi="宋体"/>
          <w:b w:val="0"/>
          <w:color w:val="000000" w:themeColor="text1"/>
          <w:sz w:val="24"/>
          <w:szCs w:val="24"/>
        </w:rPr>
        <w:t>3</w:t>
      </w:r>
      <w:r>
        <w:rPr>
          <w:rFonts w:hint="eastAsia" w:ascii="宋体" w:hAnsi="宋体"/>
          <w:b w:val="0"/>
          <w:color w:val="000000" w:themeColor="text1"/>
          <w:sz w:val="24"/>
          <w:szCs w:val="24"/>
        </w:rPr>
        <w:fldChar w:fldCharType="end"/>
      </w:r>
    </w:p>
    <w:p>
      <w:pPr>
        <w:pStyle w:val="13"/>
        <w:tabs>
          <w:tab w:val="right" w:leader="dot" w:pos="8450"/>
        </w:tabs>
        <w:spacing w:line="360" w:lineRule="auto"/>
        <w:ind w:left="0" w:firstLine="200" w:firstLineChars="100"/>
        <w:rPr>
          <w:rFonts w:ascii="宋体" w:hAnsi="宋体"/>
          <w:smallCaps w:val="0"/>
          <w:color w:val="000000" w:themeColor="text1"/>
          <w:sz w:val="24"/>
          <w:szCs w:val="24"/>
        </w:rPr>
      </w:pPr>
      <w:r>
        <w:fldChar w:fldCharType="begin"/>
      </w:r>
      <w:r>
        <w:instrText xml:space="preserve"> HYPERLINK \l "_Toc437346457" </w:instrText>
      </w:r>
      <w:r>
        <w:fldChar w:fldCharType="separate"/>
      </w:r>
      <w:r>
        <w:rPr>
          <w:rStyle w:val="22"/>
          <w:rFonts w:ascii="宋体" w:hAnsi="宋体"/>
          <w:color w:val="000000" w:themeColor="text1"/>
          <w:sz w:val="24"/>
          <w:szCs w:val="24"/>
        </w:rPr>
        <w:t xml:space="preserve">3.1  </w:t>
      </w:r>
      <w:r>
        <w:rPr>
          <w:rStyle w:val="22"/>
          <w:rFonts w:hint="eastAsia" w:ascii="宋体" w:hAnsi="宋体"/>
          <w:smallCaps w:val="0"/>
          <w:color w:val="000000" w:themeColor="text1"/>
          <w:sz w:val="24"/>
          <w:szCs w:val="24"/>
        </w:rPr>
        <w:t>Safety management of Owner Units</w:t>
      </w:r>
      <w:r>
        <w:rPr>
          <w:rFonts w:ascii="宋体" w:hAnsi="宋体"/>
          <w:color w:val="000000" w:themeColor="text1"/>
          <w:sz w:val="24"/>
          <w:szCs w:val="24"/>
        </w:rPr>
        <w:tab/>
      </w:r>
      <w:r>
        <w:rPr>
          <w:rFonts w:hint="eastAsia" w:ascii="宋体" w:hAnsi="宋体"/>
          <w:color w:val="000000" w:themeColor="text1"/>
          <w:sz w:val="24"/>
          <w:szCs w:val="24"/>
        </w:rPr>
        <w:t>3</w:t>
      </w:r>
      <w:r>
        <w:rPr>
          <w:rFonts w:hint="eastAsia" w:ascii="宋体" w:hAnsi="宋体"/>
          <w:color w:val="000000" w:themeColor="text1"/>
          <w:sz w:val="24"/>
          <w:szCs w:val="24"/>
        </w:rPr>
        <w:fldChar w:fldCharType="end"/>
      </w:r>
    </w:p>
    <w:p>
      <w:pPr>
        <w:pStyle w:val="13"/>
        <w:tabs>
          <w:tab w:val="right" w:leader="dot" w:pos="8450"/>
        </w:tabs>
        <w:spacing w:line="360" w:lineRule="auto"/>
        <w:rPr>
          <w:rFonts w:ascii="宋体" w:hAnsi="宋体"/>
          <w:smallCaps w:val="0"/>
          <w:color w:val="000000" w:themeColor="text1"/>
          <w:sz w:val="24"/>
          <w:szCs w:val="24"/>
        </w:rPr>
      </w:pPr>
      <w:r>
        <w:fldChar w:fldCharType="begin"/>
      </w:r>
      <w:r>
        <w:instrText xml:space="preserve"> HYPERLINK \l "_Toc437346458" </w:instrText>
      </w:r>
      <w:r>
        <w:fldChar w:fldCharType="separate"/>
      </w:r>
      <w:r>
        <w:rPr>
          <w:rStyle w:val="22"/>
          <w:rFonts w:ascii="宋体" w:hAnsi="宋体"/>
          <w:color w:val="000000" w:themeColor="text1"/>
          <w:sz w:val="24"/>
          <w:szCs w:val="24"/>
        </w:rPr>
        <w:t xml:space="preserve">3.2  </w:t>
      </w:r>
      <w:r>
        <w:rPr>
          <w:rStyle w:val="22"/>
          <w:rFonts w:hint="eastAsia" w:ascii="宋体" w:hAnsi="宋体"/>
          <w:smallCaps w:val="0"/>
          <w:color w:val="000000" w:themeColor="text1"/>
          <w:sz w:val="24"/>
          <w:szCs w:val="24"/>
        </w:rPr>
        <w:t>Safety management of Supervision units</w:t>
      </w:r>
      <w:r>
        <w:rPr>
          <w:rFonts w:ascii="宋体" w:hAnsi="宋体"/>
          <w:color w:val="000000" w:themeColor="text1"/>
          <w:sz w:val="24"/>
          <w:szCs w:val="24"/>
        </w:rPr>
        <w:tab/>
      </w:r>
      <w:r>
        <w:rPr>
          <w:rFonts w:hint="eastAsia" w:ascii="宋体" w:hAnsi="宋体"/>
          <w:color w:val="000000" w:themeColor="text1"/>
          <w:sz w:val="24"/>
          <w:szCs w:val="24"/>
        </w:rPr>
        <w:t>4</w:t>
      </w:r>
      <w:r>
        <w:rPr>
          <w:rFonts w:hint="eastAsia" w:ascii="宋体" w:hAnsi="宋体"/>
          <w:color w:val="000000" w:themeColor="text1"/>
          <w:sz w:val="24"/>
          <w:szCs w:val="24"/>
        </w:rPr>
        <w:fldChar w:fldCharType="end"/>
      </w:r>
    </w:p>
    <w:p>
      <w:pPr>
        <w:pStyle w:val="13"/>
        <w:tabs>
          <w:tab w:val="right" w:leader="dot" w:pos="8450"/>
        </w:tabs>
        <w:spacing w:line="360" w:lineRule="auto"/>
        <w:rPr>
          <w:rFonts w:ascii="宋体" w:hAnsi="宋体"/>
          <w:smallCaps w:val="0"/>
          <w:color w:val="000000" w:themeColor="text1"/>
          <w:sz w:val="24"/>
          <w:szCs w:val="24"/>
        </w:rPr>
      </w:pPr>
      <w:r>
        <w:fldChar w:fldCharType="begin"/>
      </w:r>
      <w:r>
        <w:instrText xml:space="preserve"> HYPERLINK \l "_Toc437346459" </w:instrText>
      </w:r>
      <w:r>
        <w:fldChar w:fldCharType="separate"/>
      </w:r>
      <w:r>
        <w:rPr>
          <w:rStyle w:val="22"/>
          <w:rFonts w:ascii="宋体" w:hAnsi="宋体"/>
          <w:color w:val="000000" w:themeColor="text1"/>
          <w:sz w:val="24"/>
          <w:szCs w:val="24"/>
        </w:rPr>
        <w:t xml:space="preserve">3.3  </w:t>
      </w:r>
      <w:r>
        <w:rPr>
          <w:rStyle w:val="22"/>
          <w:rFonts w:hint="eastAsia" w:ascii="宋体" w:hAnsi="宋体"/>
          <w:smallCaps w:val="0"/>
          <w:color w:val="000000" w:themeColor="text1"/>
          <w:sz w:val="24"/>
          <w:szCs w:val="24"/>
        </w:rPr>
        <w:t>Safety management of construction units</w:t>
      </w:r>
      <w:r>
        <w:rPr>
          <w:rFonts w:ascii="宋体" w:hAnsi="宋体"/>
          <w:color w:val="000000" w:themeColor="text1"/>
          <w:sz w:val="24"/>
          <w:szCs w:val="24"/>
        </w:rPr>
        <w:tab/>
      </w:r>
      <w:r>
        <w:rPr>
          <w:rFonts w:hint="eastAsia" w:ascii="宋体" w:hAnsi="宋体"/>
          <w:color w:val="000000" w:themeColor="text1"/>
          <w:sz w:val="24"/>
          <w:szCs w:val="24"/>
        </w:rPr>
        <w:t>5</w:t>
      </w:r>
      <w:r>
        <w:rPr>
          <w:rFonts w:hint="eastAsia" w:ascii="宋体" w:hAnsi="宋体"/>
          <w:color w:val="000000" w:themeColor="text1"/>
          <w:sz w:val="24"/>
          <w:szCs w:val="24"/>
        </w:rPr>
        <w:fldChar w:fldCharType="end"/>
      </w:r>
    </w:p>
    <w:p>
      <w:pPr>
        <w:pStyle w:val="13"/>
        <w:tabs>
          <w:tab w:val="right" w:leader="dot" w:pos="8450"/>
        </w:tabs>
        <w:spacing w:line="360" w:lineRule="auto"/>
        <w:rPr>
          <w:rFonts w:ascii="宋体" w:hAnsi="宋体"/>
          <w:smallCaps w:val="0"/>
          <w:color w:val="000000" w:themeColor="text1"/>
          <w:sz w:val="24"/>
          <w:szCs w:val="24"/>
        </w:rPr>
      </w:pPr>
      <w:r>
        <w:fldChar w:fldCharType="begin"/>
      </w:r>
      <w:r>
        <w:instrText xml:space="preserve"> HYPERLINK \l "_Toc437346460" </w:instrText>
      </w:r>
      <w:r>
        <w:fldChar w:fldCharType="separate"/>
      </w:r>
      <w:r>
        <w:rPr>
          <w:rStyle w:val="22"/>
          <w:rFonts w:ascii="宋体" w:hAnsi="宋体"/>
          <w:color w:val="000000" w:themeColor="text1"/>
          <w:sz w:val="24"/>
          <w:szCs w:val="24"/>
        </w:rPr>
        <w:t xml:space="preserve">3.4  </w:t>
      </w:r>
      <w:r>
        <w:rPr>
          <w:rStyle w:val="22"/>
          <w:rFonts w:hint="eastAsia" w:ascii="宋体" w:hAnsi="宋体"/>
          <w:smallCaps w:val="0"/>
          <w:color w:val="000000" w:themeColor="text1"/>
          <w:sz w:val="24"/>
          <w:szCs w:val="24"/>
        </w:rPr>
        <w:t>Civilized Construction</w:t>
      </w:r>
      <w:r>
        <w:rPr>
          <w:rFonts w:ascii="宋体" w:hAnsi="宋体"/>
          <w:color w:val="000000" w:themeColor="text1"/>
          <w:sz w:val="24"/>
          <w:szCs w:val="24"/>
        </w:rPr>
        <w:tab/>
      </w:r>
      <w:r>
        <w:rPr>
          <w:rFonts w:hint="eastAsia" w:ascii="宋体" w:hAnsi="宋体"/>
          <w:color w:val="000000" w:themeColor="text1"/>
          <w:sz w:val="24"/>
          <w:szCs w:val="24"/>
        </w:rPr>
        <w:t>6</w:t>
      </w:r>
      <w:r>
        <w:rPr>
          <w:rFonts w:hint="eastAsia" w:ascii="宋体" w:hAnsi="宋体"/>
          <w:color w:val="000000" w:themeColor="text1"/>
          <w:sz w:val="24"/>
          <w:szCs w:val="24"/>
        </w:rPr>
        <w:fldChar w:fldCharType="end"/>
      </w:r>
    </w:p>
    <w:p>
      <w:pPr>
        <w:pStyle w:val="13"/>
        <w:tabs>
          <w:tab w:val="right" w:leader="dot" w:pos="8450"/>
        </w:tabs>
        <w:spacing w:line="360" w:lineRule="auto"/>
        <w:rPr>
          <w:rFonts w:ascii="宋体" w:hAnsi="宋体"/>
          <w:smallCaps w:val="0"/>
          <w:color w:val="000000" w:themeColor="text1"/>
          <w:sz w:val="24"/>
          <w:szCs w:val="24"/>
        </w:rPr>
      </w:pPr>
      <w:r>
        <w:fldChar w:fldCharType="begin"/>
      </w:r>
      <w:r>
        <w:instrText xml:space="preserve"> HYPERLINK \l "_Toc437346461" </w:instrText>
      </w:r>
      <w:r>
        <w:fldChar w:fldCharType="separate"/>
      </w:r>
      <w:r>
        <w:rPr>
          <w:rStyle w:val="22"/>
          <w:rFonts w:ascii="宋体" w:hAnsi="宋体"/>
          <w:color w:val="000000" w:themeColor="text1"/>
          <w:sz w:val="24"/>
          <w:szCs w:val="24"/>
        </w:rPr>
        <w:t xml:space="preserve">3.5  </w:t>
      </w:r>
      <w:r>
        <w:rPr>
          <w:rStyle w:val="22"/>
          <w:rFonts w:hint="eastAsia" w:ascii="宋体" w:hAnsi="宋体"/>
          <w:smallCaps w:val="0"/>
          <w:color w:val="000000" w:themeColor="text1"/>
          <w:sz w:val="24"/>
          <w:szCs w:val="24"/>
        </w:rPr>
        <w:t xml:space="preserve">Green construction </w:t>
      </w:r>
      <w:r>
        <w:rPr>
          <w:rFonts w:ascii="宋体" w:hAnsi="宋体"/>
          <w:color w:val="000000" w:themeColor="text1"/>
          <w:sz w:val="24"/>
          <w:szCs w:val="24"/>
        </w:rPr>
        <w:tab/>
      </w:r>
      <w:r>
        <w:rPr>
          <w:rFonts w:hint="eastAsia" w:ascii="宋体" w:hAnsi="宋体"/>
          <w:color w:val="000000" w:themeColor="text1"/>
          <w:sz w:val="24"/>
          <w:szCs w:val="24"/>
        </w:rPr>
        <w:t>9</w:t>
      </w:r>
      <w:r>
        <w:rPr>
          <w:rFonts w:hint="eastAsia" w:ascii="宋体" w:hAnsi="宋体"/>
          <w:color w:val="000000" w:themeColor="text1"/>
          <w:sz w:val="24"/>
          <w:szCs w:val="24"/>
        </w:rPr>
        <w:fldChar w:fldCharType="end"/>
      </w:r>
    </w:p>
    <w:p>
      <w:pPr>
        <w:pStyle w:val="13"/>
        <w:tabs>
          <w:tab w:val="right" w:leader="dot" w:pos="8450"/>
        </w:tabs>
        <w:spacing w:line="360" w:lineRule="auto"/>
        <w:rPr>
          <w:rFonts w:ascii="宋体" w:hAnsi="宋体"/>
          <w:smallCaps w:val="0"/>
          <w:color w:val="000000" w:themeColor="text1"/>
          <w:sz w:val="24"/>
          <w:szCs w:val="24"/>
        </w:rPr>
      </w:pPr>
      <w:r>
        <w:fldChar w:fldCharType="begin"/>
      </w:r>
      <w:r>
        <w:instrText xml:space="preserve"> HYPERLINK \l "_Toc437346462" </w:instrText>
      </w:r>
      <w:r>
        <w:fldChar w:fldCharType="separate"/>
      </w:r>
      <w:r>
        <w:rPr>
          <w:rStyle w:val="22"/>
          <w:rFonts w:ascii="宋体" w:hAnsi="宋体"/>
          <w:color w:val="000000" w:themeColor="text1"/>
          <w:sz w:val="24"/>
          <w:szCs w:val="24"/>
        </w:rPr>
        <w:t xml:space="preserve">3.6  </w:t>
      </w:r>
      <w:r>
        <w:rPr>
          <w:rStyle w:val="22"/>
          <w:rFonts w:hint="eastAsia" w:ascii="宋体" w:hAnsi="宋体"/>
          <w:smallCaps w:val="0"/>
          <w:color w:val="000000" w:themeColor="text1"/>
          <w:sz w:val="24"/>
          <w:szCs w:val="24"/>
        </w:rPr>
        <w:t>Scaffolding and formwork engineering</w:t>
      </w:r>
      <w:r>
        <w:rPr>
          <w:rFonts w:ascii="宋体" w:hAnsi="宋体"/>
          <w:color w:val="000000" w:themeColor="text1"/>
          <w:sz w:val="24"/>
          <w:szCs w:val="24"/>
        </w:rPr>
        <w:tab/>
      </w:r>
      <w:r>
        <w:rPr>
          <w:rFonts w:hint="eastAsia" w:ascii="宋体" w:hAnsi="宋体"/>
          <w:color w:val="000000" w:themeColor="text1"/>
          <w:sz w:val="24"/>
          <w:szCs w:val="24"/>
        </w:rPr>
        <w:t>10</w:t>
      </w:r>
      <w:r>
        <w:rPr>
          <w:rFonts w:hint="eastAsia" w:ascii="宋体" w:hAnsi="宋体"/>
          <w:color w:val="000000" w:themeColor="text1"/>
          <w:sz w:val="24"/>
          <w:szCs w:val="24"/>
        </w:rPr>
        <w:fldChar w:fldCharType="end"/>
      </w:r>
    </w:p>
    <w:p>
      <w:pPr>
        <w:pStyle w:val="13"/>
        <w:tabs>
          <w:tab w:val="right" w:leader="dot" w:pos="8450"/>
        </w:tabs>
        <w:spacing w:line="360" w:lineRule="auto"/>
        <w:rPr>
          <w:rFonts w:ascii="宋体" w:hAnsi="宋体"/>
          <w:smallCaps w:val="0"/>
          <w:color w:val="000000" w:themeColor="text1"/>
          <w:sz w:val="24"/>
          <w:szCs w:val="24"/>
        </w:rPr>
      </w:pPr>
      <w:r>
        <w:fldChar w:fldCharType="begin"/>
      </w:r>
      <w:r>
        <w:instrText xml:space="preserve"> HYPERLINK \l "_Toc437346463" </w:instrText>
      </w:r>
      <w:r>
        <w:fldChar w:fldCharType="separate"/>
      </w:r>
      <w:r>
        <w:rPr>
          <w:rStyle w:val="22"/>
          <w:rFonts w:ascii="宋体" w:hAnsi="宋体"/>
          <w:color w:val="000000" w:themeColor="text1"/>
          <w:sz w:val="24"/>
          <w:szCs w:val="24"/>
        </w:rPr>
        <w:t xml:space="preserve">3.7  </w:t>
      </w:r>
      <w:r>
        <w:rPr>
          <w:rStyle w:val="22"/>
          <w:rFonts w:hint="eastAsia" w:ascii="宋体" w:hAnsi="宋体"/>
          <w:smallCaps w:val="0"/>
          <w:color w:val="000000" w:themeColor="text1"/>
          <w:sz w:val="24"/>
          <w:szCs w:val="24"/>
        </w:rPr>
        <w:t>Aloft Work</w:t>
      </w:r>
      <w:r>
        <w:rPr>
          <w:rFonts w:ascii="宋体" w:hAnsi="宋体"/>
          <w:color w:val="000000" w:themeColor="text1"/>
          <w:sz w:val="24"/>
          <w:szCs w:val="24"/>
        </w:rPr>
        <w:tab/>
      </w:r>
      <w:r>
        <w:rPr>
          <w:rFonts w:hint="eastAsia" w:ascii="宋体" w:hAnsi="宋体"/>
          <w:color w:val="000000" w:themeColor="text1"/>
          <w:sz w:val="24"/>
          <w:szCs w:val="24"/>
        </w:rPr>
        <w:t>1</w:t>
      </w:r>
      <w:r>
        <w:rPr>
          <w:rFonts w:hint="eastAsia" w:ascii="宋体" w:hAnsi="宋体"/>
          <w:color w:val="000000" w:themeColor="text1"/>
          <w:sz w:val="24"/>
          <w:szCs w:val="24"/>
        </w:rPr>
        <w:fldChar w:fldCharType="end"/>
      </w:r>
      <w:r>
        <w:rPr>
          <w:rFonts w:hint="eastAsia" w:ascii="宋体" w:hAnsi="宋体"/>
          <w:color w:val="000000" w:themeColor="text1"/>
          <w:sz w:val="24"/>
          <w:szCs w:val="24"/>
        </w:rPr>
        <w:t>1</w:t>
      </w:r>
    </w:p>
    <w:p>
      <w:pPr>
        <w:pStyle w:val="13"/>
        <w:tabs>
          <w:tab w:val="right" w:leader="dot" w:pos="8450"/>
        </w:tabs>
        <w:spacing w:line="360" w:lineRule="auto"/>
        <w:rPr>
          <w:rFonts w:ascii="宋体" w:hAnsi="宋体"/>
          <w:smallCaps w:val="0"/>
          <w:color w:val="000000" w:themeColor="text1"/>
          <w:sz w:val="24"/>
          <w:szCs w:val="24"/>
        </w:rPr>
      </w:pPr>
      <w:r>
        <w:fldChar w:fldCharType="begin"/>
      </w:r>
      <w:r>
        <w:instrText xml:space="preserve"> HYPERLINK \l "_Toc437346464" </w:instrText>
      </w:r>
      <w:r>
        <w:fldChar w:fldCharType="separate"/>
      </w:r>
      <w:r>
        <w:rPr>
          <w:rStyle w:val="22"/>
          <w:rFonts w:ascii="宋体" w:hAnsi="宋体"/>
          <w:color w:val="000000" w:themeColor="text1"/>
          <w:sz w:val="24"/>
          <w:szCs w:val="24"/>
        </w:rPr>
        <w:t xml:space="preserve">3.8  </w:t>
      </w:r>
      <w:r>
        <w:rPr>
          <w:rStyle w:val="22"/>
          <w:rFonts w:hint="eastAsia" w:ascii="宋体" w:hAnsi="宋体"/>
          <w:smallCaps w:val="0"/>
          <w:color w:val="000000" w:themeColor="text1"/>
          <w:sz w:val="24"/>
          <w:szCs w:val="24"/>
        </w:rPr>
        <w:t>Temporary electricity Construction</w:t>
      </w:r>
      <w:r>
        <w:rPr>
          <w:rFonts w:ascii="宋体" w:hAnsi="宋体"/>
          <w:color w:val="000000" w:themeColor="text1"/>
          <w:sz w:val="24"/>
          <w:szCs w:val="24"/>
        </w:rPr>
        <w:tab/>
      </w:r>
      <w:r>
        <w:rPr>
          <w:rFonts w:ascii="宋体" w:hAnsi="宋体"/>
          <w:color w:val="000000" w:themeColor="text1"/>
          <w:sz w:val="24"/>
          <w:szCs w:val="24"/>
        </w:rPr>
        <w:fldChar w:fldCharType="begin"/>
      </w:r>
      <w:r>
        <w:rPr>
          <w:rFonts w:ascii="宋体" w:hAnsi="宋体"/>
          <w:color w:val="000000" w:themeColor="text1"/>
          <w:sz w:val="24"/>
          <w:szCs w:val="24"/>
        </w:rPr>
        <w:instrText xml:space="preserve"> PAGEREF _Toc437346464 \h </w:instrText>
      </w:r>
      <w:r>
        <w:rPr>
          <w:rFonts w:ascii="宋体" w:hAnsi="宋体"/>
          <w:color w:val="000000" w:themeColor="text1"/>
          <w:sz w:val="24"/>
          <w:szCs w:val="24"/>
        </w:rPr>
        <w:fldChar w:fldCharType="separate"/>
      </w:r>
      <w:r>
        <w:rPr>
          <w:rFonts w:ascii="宋体" w:hAnsi="宋体"/>
          <w:color w:val="000000" w:themeColor="text1"/>
          <w:sz w:val="24"/>
          <w:szCs w:val="24"/>
        </w:rPr>
        <w:t>11</w:t>
      </w:r>
      <w:r>
        <w:rPr>
          <w:rFonts w:ascii="宋体" w:hAnsi="宋体"/>
          <w:color w:val="000000" w:themeColor="text1"/>
          <w:sz w:val="24"/>
          <w:szCs w:val="24"/>
        </w:rPr>
        <w:fldChar w:fldCharType="end"/>
      </w:r>
      <w:r>
        <w:rPr>
          <w:rFonts w:ascii="宋体" w:hAnsi="宋体"/>
          <w:color w:val="000000" w:themeColor="text1"/>
          <w:sz w:val="24"/>
          <w:szCs w:val="24"/>
        </w:rPr>
        <w:fldChar w:fldCharType="end"/>
      </w:r>
    </w:p>
    <w:p>
      <w:pPr>
        <w:pStyle w:val="13"/>
        <w:tabs>
          <w:tab w:val="right" w:leader="dot" w:pos="8450"/>
        </w:tabs>
        <w:spacing w:line="360" w:lineRule="auto"/>
        <w:rPr>
          <w:rFonts w:ascii="宋体" w:hAnsi="宋体"/>
          <w:smallCaps w:val="0"/>
          <w:color w:val="000000" w:themeColor="text1"/>
          <w:sz w:val="24"/>
          <w:szCs w:val="24"/>
        </w:rPr>
      </w:pPr>
      <w:r>
        <w:fldChar w:fldCharType="begin"/>
      </w:r>
      <w:r>
        <w:instrText xml:space="preserve"> HYPERLINK \l "_Toc437346465" </w:instrText>
      </w:r>
      <w:r>
        <w:fldChar w:fldCharType="separate"/>
      </w:r>
      <w:r>
        <w:rPr>
          <w:rStyle w:val="22"/>
          <w:rFonts w:ascii="宋体" w:hAnsi="宋体"/>
          <w:color w:val="000000" w:themeColor="text1"/>
          <w:sz w:val="24"/>
          <w:szCs w:val="24"/>
        </w:rPr>
        <w:t xml:space="preserve">3.9  </w:t>
      </w:r>
      <w:r>
        <w:rPr>
          <w:rStyle w:val="22"/>
          <w:rFonts w:hint="eastAsia" w:ascii="宋体" w:hAnsi="宋体"/>
          <w:smallCaps w:val="0"/>
          <w:color w:val="000000" w:themeColor="text1"/>
          <w:sz w:val="24"/>
          <w:szCs w:val="24"/>
        </w:rPr>
        <w:t>Construction machinery and equipment</w:t>
      </w:r>
      <w:r>
        <w:rPr>
          <w:rFonts w:ascii="宋体" w:hAnsi="宋体"/>
          <w:color w:val="000000" w:themeColor="text1"/>
          <w:sz w:val="24"/>
          <w:szCs w:val="24"/>
        </w:rPr>
        <w:tab/>
      </w:r>
      <w:r>
        <w:rPr>
          <w:rFonts w:hint="eastAsia" w:ascii="宋体" w:hAnsi="宋体"/>
          <w:color w:val="000000" w:themeColor="text1"/>
          <w:sz w:val="24"/>
          <w:szCs w:val="24"/>
        </w:rPr>
        <w:t>1</w:t>
      </w:r>
      <w:r>
        <w:rPr>
          <w:rFonts w:hint="eastAsia" w:ascii="宋体" w:hAnsi="宋体"/>
          <w:color w:val="000000" w:themeColor="text1"/>
          <w:sz w:val="24"/>
          <w:szCs w:val="24"/>
        </w:rPr>
        <w:fldChar w:fldCharType="end"/>
      </w:r>
      <w:r>
        <w:rPr>
          <w:rFonts w:hint="eastAsia" w:ascii="宋体" w:hAnsi="宋体"/>
          <w:color w:val="000000" w:themeColor="text1"/>
          <w:sz w:val="24"/>
          <w:szCs w:val="24"/>
        </w:rPr>
        <w:t>5</w:t>
      </w:r>
    </w:p>
    <w:p>
      <w:pPr>
        <w:pStyle w:val="12"/>
        <w:tabs>
          <w:tab w:val="right" w:leader="dot" w:pos="8450"/>
        </w:tabs>
        <w:spacing w:line="360" w:lineRule="auto"/>
        <w:rPr>
          <w:rFonts w:ascii="宋体" w:hAnsi="宋体"/>
          <w:b w:val="0"/>
          <w:bCs w:val="0"/>
          <w:caps w:val="0"/>
          <w:color w:val="000000" w:themeColor="text1"/>
          <w:sz w:val="24"/>
          <w:szCs w:val="24"/>
        </w:rPr>
      </w:pPr>
      <w:r>
        <w:fldChar w:fldCharType="begin"/>
      </w:r>
      <w:r>
        <w:instrText xml:space="preserve"> HYPERLINK \l "_Toc437346466" </w:instrText>
      </w:r>
      <w:r>
        <w:fldChar w:fldCharType="separate"/>
      </w:r>
      <w:r>
        <w:rPr>
          <w:rStyle w:val="22"/>
          <w:rFonts w:ascii="宋体" w:hAnsi="宋体"/>
          <w:b w:val="0"/>
          <w:color w:val="000000" w:themeColor="text1"/>
          <w:sz w:val="24"/>
          <w:szCs w:val="24"/>
        </w:rPr>
        <w:t xml:space="preserve">4  </w:t>
      </w:r>
      <w:r>
        <w:rPr>
          <w:rStyle w:val="22"/>
          <w:rFonts w:hint="eastAsia" w:ascii="宋体" w:hAnsi="宋体"/>
          <w:b w:val="0"/>
          <w:caps w:val="0"/>
          <w:color w:val="000000" w:themeColor="text1"/>
          <w:sz w:val="24"/>
          <w:szCs w:val="24"/>
        </w:rPr>
        <w:t>Evaluation method</w:t>
      </w:r>
      <w:r>
        <w:rPr>
          <w:rFonts w:ascii="宋体" w:hAnsi="宋体"/>
          <w:b w:val="0"/>
          <w:color w:val="000000" w:themeColor="text1"/>
          <w:sz w:val="24"/>
          <w:szCs w:val="24"/>
        </w:rPr>
        <w:tab/>
      </w:r>
      <w:r>
        <w:rPr>
          <w:rFonts w:hint="eastAsia" w:ascii="宋体" w:hAnsi="宋体"/>
          <w:b w:val="0"/>
          <w:color w:val="000000" w:themeColor="text1"/>
          <w:sz w:val="24"/>
          <w:szCs w:val="24"/>
        </w:rPr>
        <w:t>1</w:t>
      </w:r>
      <w:r>
        <w:rPr>
          <w:rFonts w:hint="eastAsia" w:ascii="宋体" w:hAnsi="宋体"/>
          <w:b w:val="0"/>
          <w:color w:val="000000" w:themeColor="text1"/>
          <w:sz w:val="24"/>
          <w:szCs w:val="24"/>
        </w:rPr>
        <w:fldChar w:fldCharType="end"/>
      </w:r>
      <w:r>
        <w:rPr>
          <w:rFonts w:hint="eastAsia" w:ascii="宋体" w:hAnsi="宋体"/>
          <w:b w:val="0"/>
          <w:color w:val="000000" w:themeColor="text1"/>
          <w:sz w:val="24"/>
          <w:szCs w:val="24"/>
        </w:rPr>
        <w:t>7</w:t>
      </w:r>
    </w:p>
    <w:p>
      <w:pPr>
        <w:pStyle w:val="12"/>
        <w:tabs>
          <w:tab w:val="right" w:leader="dot" w:pos="8450"/>
        </w:tabs>
        <w:spacing w:line="360" w:lineRule="auto"/>
        <w:rPr>
          <w:rFonts w:ascii="宋体" w:hAnsi="宋体"/>
          <w:b w:val="0"/>
          <w:bCs w:val="0"/>
          <w:caps w:val="0"/>
          <w:color w:val="000000" w:themeColor="text1"/>
          <w:sz w:val="24"/>
          <w:szCs w:val="24"/>
        </w:rPr>
      </w:pPr>
      <w:r>
        <w:fldChar w:fldCharType="begin"/>
      </w:r>
      <w:r>
        <w:instrText xml:space="preserve"> HYPERLINK \l "_Toc437346467" </w:instrText>
      </w:r>
      <w:r>
        <w:fldChar w:fldCharType="separate"/>
      </w:r>
      <w:r>
        <w:rPr>
          <w:rStyle w:val="22"/>
          <w:rFonts w:ascii="宋体" w:hAnsi="宋体"/>
          <w:b w:val="0"/>
          <w:color w:val="000000" w:themeColor="text1"/>
          <w:sz w:val="24"/>
          <w:szCs w:val="24"/>
        </w:rPr>
        <w:t xml:space="preserve">5  </w:t>
      </w:r>
      <w:r>
        <w:rPr>
          <w:rStyle w:val="22"/>
          <w:rFonts w:hint="eastAsia" w:ascii="宋体" w:hAnsi="宋体"/>
          <w:b w:val="0"/>
          <w:caps w:val="0"/>
          <w:color w:val="000000" w:themeColor="text1"/>
          <w:sz w:val="24"/>
          <w:szCs w:val="24"/>
        </w:rPr>
        <w:t>Evaluation grade</w:t>
      </w:r>
      <w:r>
        <w:rPr>
          <w:rFonts w:ascii="宋体" w:hAnsi="宋体"/>
          <w:b w:val="0"/>
          <w:color w:val="000000" w:themeColor="text1"/>
          <w:sz w:val="24"/>
          <w:szCs w:val="24"/>
        </w:rPr>
        <w:tab/>
      </w:r>
      <w:r>
        <w:rPr>
          <w:rFonts w:hint="eastAsia" w:ascii="宋体" w:hAnsi="宋体"/>
          <w:b w:val="0"/>
          <w:color w:val="000000" w:themeColor="text1"/>
          <w:sz w:val="24"/>
          <w:szCs w:val="24"/>
        </w:rPr>
        <w:t>1</w:t>
      </w:r>
      <w:r>
        <w:rPr>
          <w:rFonts w:hint="eastAsia" w:ascii="宋体" w:hAnsi="宋体"/>
          <w:b w:val="0"/>
          <w:color w:val="000000" w:themeColor="text1"/>
          <w:sz w:val="24"/>
          <w:szCs w:val="24"/>
        </w:rPr>
        <w:fldChar w:fldCharType="end"/>
      </w:r>
      <w:r>
        <w:rPr>
          <w:rFonts w:hint="eastAsia" w:ascii="宋体" w:hAnsi="宋体"/>
          <w:b w:val="0"/>
          <w:color w:val="000000" w:themeColor="text1"/>
          <w:sz w:val="24"/>
          <w:szCs w:val="24"/>
        </w:rPr>
        <w:t>8</w:t>
      </w:r>
    </w:p>
    <w:p>
      <w:pPr>
        <w:pStyle w:val="12"/>
        <w:tabs>
          <w:tab w:val="right" w:leader="dot" w:pos="8450"/>
        </w:tabs>
        <w:spacing w:line="360" w:lineRule="auto"/>
        <w:rPr>
          <w:rFonts w:ascii="宋体" w:hAnsi="宋体"/>
          <w:b w:val="0"/>
          <w:bCs w:val="0"/>
          <w:caps w:val="0"/>
          <w:color w:val="000000" w:themeColor="text1"/>
          <w:sz w:val="24"/>
          <w:szCs w:val="24"/>
        </w:rPr>
      </w:pPr>
      <w:r>
        <w:fldChar w:fldCharType="begin"/>
      </w:r>
      <w:r>
        <w:instrText xml:space="preserve"> HYPERLINK \l "_Toc437346468" </w:instrText>
      </w:r>
      <w:r>
        <w:fldChar w:fldCharType="separate"/>
      </w:r>
      <w:r>
        <w:rPr>
          <w:rStyle w:val="22"/>
          <w:rFonts w:hint="eastAsia" w:ascii="宋体" w:hAnsi="宋体" w:cs="SimSun,Bold"/>
          <w:b w:val="0"/>
          <w:caps w:val="0"/>
          <w:color w:val="000000" w:themeColor="text1"/>
          <w:kern w:val="0"/>
          <w:sz w:val="24"/>
          <w:szCs w:val="24"/>
        </w:rPr>
        <w:t>Appendix A Summary Sheet of Score for Safety Production Standardization Site of Building Engineering</w:t>
      </w:r>
      <w:r>
        <w:rPr>
          <w:rFonts w:ascii="宋体" w:hAnsi="宋体"/>
          <w:b w:val="0"/>
          <w:color w:val="000000" w:themeColor="text1"/>
          <w:sz w:val="24"/>
          <w:szCs w:val="24"/>
        </w:rPr>
        <w:tab/>
      </w:r>
      <w:r>
        <w:rPr>
          <w:rFonts w:hint="eastAsia" w:ascii="宋体" w:hAnsi="宋体"/>
          <w:b w:val="0"/>
          <w:color w:val="000000" w:themeColor="text1"/>
          <w:sz w:val="24"/>
          <w:szCs w:val="24"/>
        </w:rPr>
        <w:t>1</w:t>
      </w:r>
      <w:r>
        <w:rPr>
          <w:rFonts w:hint="eastAsia" w:ascii="宋体" w:hAnsi="宋体"/>
          <w:b w:val="0"/>
          <w:color w:val="000000" w:themeColor="text1"/>
          <w:sz w:val="24"/>
          <w:szCs w:val="24"/>
        </w:rPr>
        <w:fldChar w:fldCharType="end"/>
      </w:r>
      <w:r>
        <w:rPr>
          <w:rFonts w:hint="eastAsia" w:ascii="宋体" w:hAnsi="宋体"/>
          <w:b w:val="0"/>
          <w:color w:val="000000" w:themeColor="text1"/>
          <w:sz w:val="24"/>
          <w:szCs w:val="24"/>
        </w:rPr>
        <w:t>9</w:t>
      </w:r>
    </w:p>
    <w:p>
      <w:pPr>
        <w:pStyle w:val="12"/>
        <w:tabs>
          <w:tab w:val="right" w:leader="dot" w:pos="8450"/>
        </w:tabs>
        <w:spacing w:line="360" w:lineRule="auto"/>
        <w:rPr>
          <w:rFonts w:ascii="宋体" w:hAnsi="宋体"/>
          <w:b w:val="0"/>
          <w:bCs w:val="0"/>
          <w:caps w:val="0"/>
          <w:color w:val="000000" w:themeColor="text1"/>
          <w:sz w:val="24"/>
          <w:szCs w:val="24"/>
        </w:rPr>
      </w:pPr>
      <w:r>
        <w:fldChar w:fldCharType="begin"/>
      </w:r>
      <w:r>
        <w:instrText xml:space="preserve"> HYPERLINK \l "_Toc437346469" </w:instrText>
      </w:r>
      <w:r>
        <w:fldChar w:fldCharType="separate"/>
      </w:r>
      <w:r>
        <w:rPr>
          <w:rStyle w:val="22"/>
          <w:rFonts w:hint="eastAsia" w:ascii="宋体" w:hAnsi="宋体" w:cs="SimSun,Bold"/>
          <w:b w:val="0"/>
          <w:caps w:val="0"/>
          <w:color w:val="000000" w:themeColor="text1"/>
          <w:kern w:val="0"/>
          <w:sz w:val="24"/>
          <w:szCs w:val="24"/>
        </w:rPr>
        <w:t>Appendix B Subitem Inspection Score Sheet for Safety Production Standardization Site of Building Engineering</w:t>
      </w:r>
      <w:r>
        <w:rPr>
          <w:rFonts w:ascii="宋体" w:hAnsi="宋体"/>
          <w:b w:val="0"/>
          <w:color w:val="000000" w:themeColor="text1"/>
          <w:sz w:val="24"/>
          <w:szCs w:val="24"/>
        </w:rPr>
        <w:tab/>
      </w:r>
      <w:r>
        <w:rPr>
          <w:rFonts w:hint="eastAsia" w:ascii="宋体" w:hAnsi="宋体"/>
          <w:b w:val="0"/>
          <w:color w:val="000000" w:themeColor="text1"/>
          <w:sz w:val="24"/>
          <w:szCs w:val="24"/>
        </w:rPr>
        <w:t>20</w:t>
      </w:r>
      <w:r>
        <w:rPr>
          <w:rFonts w:hint="eastAsia" w:ascii="宋体" w:hAnsi="宋体"/>
          <w:b w:val="0"/>
          <w:color w:val="000000" w:themeColor="text1"/>
          <w:sz w:val="24"/>
          <w:szCs w:val="24"/>
        </w:rPr>
        <w:fldChar w:fldCharType="end"/>
      </w:r>
    </w:p>
    <w:p>
      <w:pPr>
        <w:pStyle w:val="12"/>
        <w:tabs>
          <w:tab w:val="right" w:leader="dot" w:pos="8450"/>
        </w:tabs>
        <w:spacing w:line="360" w:lineRule="auto"/>
        <w:rPr>
          <w:rFonts w:ascii="宋体" w:hAnsi="宋体"/>
          <w:b w:val="0"/>
          <w:bCs w:val="0"/>
          <w:caps w:val="0"/>
          <w:color w:val="000000" w:themeColor="text1"/>
          <w:sz w:val="24"/>
          <w:szCs w:val="24"/>
        </w:rPr>
      </w:pPr>
      <w:r>
        <w:fldChar w:fldCharType="begin"/>
      </w:r>
      <w:r>
        <w:instrText xml:space="preserve"> HYPERLINK \l "_Toc437346470" </w:instrText>
      </w:r>
      <w:r>
        <w:fldChar w:fldCharType="separate"/>
      </w:r>
      <w:r>
        <w:rPr>
          <w:rStyle w:val="22"/>
          <w:rFonts w:hint="eastAsia" w:ascii="宋体" w:hAnsi="宋体" w:cs="宋体"/>
          <w:b w:val="0"/>
          <w:caps w:val="0"/>
          <w:color w:val="000000" w:themeColor="text1"/>
          <w:kern w:val="0"/>
          <w:sz w:val="24"/>
          <w:szCs w:val="24"/>
        </w:rPr>
        <w:t>Explanation of Provisions</w:t>
      </w:r>
      <w:r>
        <w:rPr>
          <w:rFonts w:ascii="宋体" w:hAnsi="宋体"/>
          <w:b w:val="0"/>
          <w:color w:val="000000" w:themeColor="text1"/>
          <w:sz w:val="24"/>
          <w:szCs w:val="24"/>
        </w:rPr>
        <w:tab/>
      </w:r>
      <w:r>
        <w:rPr>
          <w:rFonts w:hint="eastAsia" w:ascii="宋体" w:hAnsi="宋体"/>
          <w:b w:val="0"/>
          <w:color w:val="000000" w:themeColor="text1"/>
          <w:sz w:val="24"/>
          <w:szCs w:val="24"/>
        </w:rPr>
        <w:t>3</w:t>
      </w:r>
      <w:r>
        <w:rPr>
          <w:rFonts w:hint="eastAsia" w:ascii="宋体" w:hAnsi="宋体"/>
          <w:b w:val="0"/>
          <w:color w:val="000000" w:themeColor="text1"/>
          <w:sz w:val="24"/>
          <w:szCs w:val="24"/>
        </w:rPr>
        <w:fldChar w:fldCharType="end"/>
      </w:r>
      <w:r>
        <w:rPr>
          <w:rFonts w:hint="eastAsia" w:ascii="宋体" w:hAnsi="宋体"/>
          <w:b w:val="0"/>
          <w:color w:val="000000" w:themeColor="text1"/>
          <w:sz w:val="24"/>
          <w:szCs w:val="24"/>
        </w:rPr>
        <w:t>6</w:t>
      </w:r>
    </w:p>
    <w:p>
      <w:pPr>
        <w:spacing w:line="360" w:lineRule="auto"/>
        <w:rPr>
          <w:rFonts w:ascii="宋体" w:hAnsi="宋体" w:cs="宋体"/>
          <w:kern w:val="0"/>
          <w:sz w:val="28"/>
          <w:szCs w:val="28"/>
        </w:rPr>
        <w:sectPr>
          <w:footerReference r:id="rId9" w:type="first"/>
          <w:footerReference r:id="rId8" w:type="default"/>
          <w:pgSz w:w="11906" w:h="16838"/>
          <w:pgMar w:top="1440" w:right="1646" w:bottom="1440" w:left="1800" w:header="851" w:footer="992" w:gutter="0"/>
          <w:pgNumType w:start="0"/>
          <w:cols w:space="720" w:num="1"/>
          <w:titlePg/>
          <w:docGrid w:type="lines" w:linePitch="312" w:charSpace="0"/>
        </w:sectPr>
      </w:pPr>
      <w:r>
        <w:rPr>
          <w:rFonts w:ascii="宋体" w:hAnsi="宋体"/>
          <w:bCs w:val="0"/>
          <w:color w:val="000000" w:themeColor="text1"/>
          <w:lang w:val="zh-CN"/>
        </w:rPr>
        <w:fldChar w:fldCharType="end"/>
      </w:r>
    </w:p>
    <w:p>
      <w:pPr>
        <w:pStyle w:val="15"/>
        <w:rPr>
          <w:rFonts w:ascii="宋体" w:hAnsi="宋体"/>
        </w:rPr>
      </w:pPr>
      <w:bookmarkStart w:id="5" w:name="_Toc377398911"/>
      <w:bookmarkStart w:id="6" w:name="_Toc393202854"/>
      <w:bookmarkStart w:id="7" w:name="_Toc398807426"/>
      <w:bookmarkStart w:id="8" w:name="_Toc397597963"/>
      <w:bookmarkStart w:id="9" w:name="_Toc437346454"/>
      <w:bookmarkStart w:id="10" w:name="_Toc382558653"/>
      <w:r>
        <w:rPr>
          <w:rFonts w:hint="eastAsia" w:ascii="宋体" w:hAnsi="宋体" w:cs="宋体"/>
        </w:rPr>
        <w:t xml:space="preserve">1  </w:t>
      </w:r>
      <w:r>
        <w:rPr>
          <w:rFonts w:hint="eastAsia" w:ascii="宋体" w:hAnsi="宋体"/>
        </w:rPr>
        <w:t>总  则</w:t>
      </w:r>
      <w:bookmarkEnd w:id="0"/>
      <w:bookmarkEnd w:id="1"/>
      <w:bookmarkEnd w:id="2"/>
      <w:bookmarkEnd w:id="3"/>
      <w:bookmarkEnd w:id="4"/>
      <w:bookmarkEnd w:id="5"/>
      <w:bookmarkEnd w:id="6"/>
      <w:bookmarkEnd w:id="7"/>
      <w:bookmarkEnd w:id="8"/>
      <w:bookmarkEnd w:id="9"/>
      <w:bookmarkEnd w:id="10"/>
      <w:bookmarkStart w:id="11" w:name="_Toc372713300"/>
    </w:p>
    <w:bookmarkEnd w:id="11"/>
    <w:p>
      <w:pPr>
        <w:pStyle w:val="7"/>
        <w:rPr>
          <w:rFonts w:hAnsi="宋体" w:cs="宋体"/>
          <w:szCs w:val="24"/>
        </w:rPr>
      </w:pPr>
      <w:r>
        <w:rPr>
          <w:rFonts w:hint="eastAsia" w:hAnsi="宋体" w:cs="宋体"/>
          <w:b/>
          <w:bCs w:val="0"/>
          <w:szCs w:val="24"/>
        </w:rPr>
        <w:t>1.</w:t>
      </w:r>
      <w:r>
        <w:rPr>
          <w:rFonts w:hAnsi="宋体" w:cs="宋体"/>
          <w:b/>
          <w:bCs w:val="0"/>
          <w:szCs w:val="24"/>
        </w:rPr>
        <w:t>0.</w:t>
      </w:r>
      <w:r>
        <w:rPr>
          <w:rFonts w:hint="eastAsia" w:hAnsi="宋体" w:cs="宋体"/>
          <w:b/>
          <w:bCs w:val="0"/>
          <w:szCs w:val="24"/>
        </w:rPr>
        <w:t>1</w:t>
      </w:r>
      <w:r>
        <w:rPr>
          <w:rFonts w:hint="eastAsia" w:hAnsi="宋体" w:cs="宋体"/>
          <w:szCs w:val="24"/>
        </w:rPr>
        <w:t xml:space="preserve">  为科学评价建筑工程安全生产标准化工地，提高施工安全管理水平，实现建筑工程安全生产的标准化、规范化，制定本标准。</w:t>
      </w:r>
    </w:p>
    <w:p>
      <w:pPr>
        <w:pStyle w:val="7"/>
        <w:rPr>
          <w:rFonts w:hAnsi="宋体" w:cs="宋体"/>
          <w:szCs w:val="24"/>
        </w:rPr>
      </w:pPr>
      <w:r>
        <w:rPr>
          <w:rFonts w:hint="eastAsia" w:hAnsi="宋体" w:cs="宋体"/>
          <w:b/>
          <w:bCs w:val="0"/>
          <w:szCs w:val="24"/>
        </w:rPr>
        <w:t>1.</w:t>
      </w:r>
      <w:r>
        <w:rPr>
          <w:rFonts w:hAnsi="宋体" w:cs="宋体"/>
          <w:b/>
          <w:bCs w:val="0"/>
          <w:szCs w:val="24"/>
        </w:rPr>
        <w:t>0.</w:t>
      </w:r>
      <w:r>
        <w:rPr>
          <w:rFonts w:hint="eastAsia" w:hAnsi="宋体" w:cs="宋体"/>
          <w:b/>
          <w:bCs w:val="0"/>
          <w:szCs w:val="24"/>
        </w:rPr>
        <w:t xml:space="preserve">2  </w:t>
      </w:r>
      <w:r>
        <w:rPr>
          <w:rFonts w:hint="eastAsia" w:hAnsi="宋体"/>
          <w:szCs w:val="24"/>
        </w:rPr>
        <w:t>本标准适用于安徽省新建、扩建、改建的房屋建筑工程施工</w:t>
      </w:r>
      <w:r>
        <w:rPr>
          <w:rFonts w:hint="eastAsia" w:hAnsi="宋体" w:cs="宋体"/>
          <w:szCs w:val="24"/>
        </w:rPr>
        <w:t>现场安全生产标准化工地的评价，其他建筑工程可参照执行。</w:t>
      </w:r>
    </w:p>
    <w:p>
      <w:pPr>
        <w:pStyle w:val="7"/>
        <w:rPr>
          <w:rFonts w:hAnsi="宋体" w:cs="宋体"/>
          <w:szCs w:val="24"/>
        </w:rPr>
      </w:pPr>
      <w:r>
        <w:rPr>
          <w:rFonts w:hint="eastAsia" w:hAnsi="宋体" w:cs="宋体"/>
          <w:b/>
          <w:bCs w:val="0"/>
          <w:szCs w:val="24"/>
        </w:rPr>
        <w:t>1.</w:t>
      </w:r>
      <w:r>
        <w:rPr>
          <w:rFonts w:hAnsi="宋体" w:cs="宋体"/>
          <w:b/>
          <w:bCs w:val="0"/>
          <w:szCs w:val="24"/>
        </w:rPr>
        <w:t>0.</w:t>
      </w:r>
      <w:r>
        <w:rPr>
          <w:rFonts w:hint="eastAsia" w:hAnsi="宋体" w:cs="宋体"/>
          <w:b/>
          <w:bCs w:val="0"/>
          <w:szCs w:val="24"/>
        </w:rPr>
        <w:t>3</w:t>
      </w:r>
      <w:r>
        <w:rPr>
          <w:rFonts w:hint="eastAsia" w:hAnsi="宋体" w:cs="宋体"/>
          <w:szCs w:val="24"/>
        </w:rPr>
        <w:t xml:space="preserve">  建筑工程安全生产标准化工地评价，除</w:t>
      </w:r>
      <w:r>
        <w:rPr>
          <w:rFonts w:hint="eastAsia" w:hAnsi="宋体"/>
          <w:szCs w:val="24"/>
        </w:rPr>
        <w:t>应</w:t>
      </w:r>
      <w:r>
        <w:rPr>
          <w:rFonts w:hint="eastAsia" w:hAnsi="宋体" w:cs="宋体"/>
          <w:szCs w:val="24"/>
        </w:rPr>
        <w:t>符合</w:t>
      </w:r>
      <w:r>
        <w:rPr>
          <w:rFonts w:hint="eastAsia" w:hAnsi="宋体"/>
          <w:szCs w:val="24"/>
        </w:rPr>
        <w:t>本标准外，尚应符合国家和省有关法律法规及相关标准规范的规定。</w:t>
      </w: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15"/>
        <w:rPr>
          <w:rFonts w:ascii="宋体" w:hAnsi="宋体" w:cs="宋体"/>
        </w:rPr>
      </w:pPr>
      <w:bookmarkStart w:id="12" w:name="_Toc437346455"/>
      <w:r>
        <w:rPr>
          <w:rFonts w:hint="eastAsia" w:ascii="宋体" w:hAnsi="宋体" w:cs="宋体"/>
        </w:rPr>
        <w:br w:type="page"/>
      </w:r>
      <w:bookmarkEnd w:id="12"/>
      <w:bookmarkStart w:id="13" w:name="_Toc437346456"/>
      <w:bookmarkStart w:id="14" w:name="_Toc437346458"/>
      <w:r>
        <w:rPr>
          <w:rFonts w:hint="eastAsia" w:ascii="宋体" w:hAnsi="宋体" w:cs="宋体"/>
        </w:rPr>
        <w:t>2  术  语</w:t>
      </w:r>
    </w:p>
    <w:p>
      <w:pPr>
        <w:widowControl/>
        <w:spacing w:line="460" w:lineRule="exact"/>
        <w:jc w:val="left"/>
        <w:rPr>
          <w:rFonts w:ascii="宋体" w:hAnsi="宋体" w:cs="宋体"/>
          <w:color w:val="000000" w:themeColor="text1"/>
          <w:shd w:val="clear" w:color="auto" w:fill="FFFFFF"/>
        </w:rPr>
      </w:pPr>
      <w:r>
        <w:rPr>
          <w:rFonts w:hint="eastAsia" w:ascii="宋体" w:hAnsi="宋体" w:cs="宋体"/>
          <w:b/>
          <w:color w:val="000000" w:themeColor="text1"/>
          <w:kern w:val="0"/>
        </w:rPr>
        <w:t xml:space="preserve">2.0.1  </w:t>
      </w:r>
      <w:r>
        <w:rPr>
          <w:rFonts w:hint="eastAsia" w:ascii="宋体" w:hAnsi="宋体" w:cs="宋体"/>
          <w:b/>
          <w:color w:val="000000" w:themeColor="text1"/>
          <w:shd w:val="clear" w:color="auto" w:fill="FFFFFF"/>
        </w:rPr>
        <w:t>建筑工程安全生产标准化工地</w:t>
      </w:r>
      <w:r>
        <w:rPr>
          <w:rFonts w:hint="eastAsia" w:ascii="宋体" w:hAnsi="宋体" w:cs="宋体"/>
          <w:b/>
          <w:color w:val="0000FF"/>
          <w:shd w:val="clear" w:color="auto" w:fill="FFFFFF"/>
        </w:rPr>
        <w:t xml:space="preserve"> </w:t>
      </w:r>
      <w:r>
        <w:rPr>
          <w:rFonts w:hint="eastAsia" w:ascii="宋体" w:hAnsi="宋体" w:cs="宋体"/>
          <w:color w:val="000000" w:themeColor="text1"/>
          <w:shd w:val="clear" w:color="auto" w:fill="FFFFFF"/>
        </w:rPr>
        <w:t xml:space="preserve">Safety production standardization site of building engineering   </w:t>
      </w:r>
    </w:p>
    <w:p>
      <w:pPr>
        <w:widowControl/>
        <w:spacing w:line="460" w:lineRule="exact"/>
        <w:ind w:firstLine="480" w:firstLineChars="200"/>
        <w:jc w:val="left"/>
        <w:rPr>
          <w:rFonts w:ascii="宋体" w:hAnsi="宋体" w:cs="宋体"/>
          <w:color w:val="000000" w:themeColor="text1"/>
          <w:shd w:val="clear" w:color="auto" w:fill="FFFFFF"/>
        </w:rPr>
      </w:pPr>
      <w:r>
        <w:rPr>
          <w:rFonts w:hint="eastAsia" w:ascii="宋体" w:hAnsi="宋体" w:cs="宋体"/>
          <w:color w:val="000000" w:themeColor="text1"/>
          <w:shd w:val="clear" w:color="auto" w:fill="FFFFFF"/>
        </w:rPr>
        <w:t>建筑工程通过贯彻执行建筑施工安全法律法规和标准规范，建立并落实全员安全生产责任制、安全管理制度和操作规程，使人、机、物、环始终处于良好的控制状态，并达到本标准要求的施工工地。</w:t>
      </w:r>
    </w:p>
    <w:p>
      <w:pPr>
        <w:pStyle w:val="15"/>
        <w:jc w:val="both"/>
        <w:rPr>
          <w:rFonts w:ascii="宋体" w:hAnsi="宋体" w:cs="宋体"/>
          <w:color w:val="000000" w:themeColor="text1"/>
          <w:spacing w:val="-6"/>
          <w:sz w:val="24"/>
          <w:szCs w:val="24"/>
        </w:rPr>
      </w:pPr>
    </w:p>
    <w:p>
      <w:pPr>
        <w:pStyle w:val="15"/>
        <w:jc w:val="both"/>
        <w:rPr>
          <w:rFonts w:ascii="宋体" w:hAnsi="宋体" w:cs="宋体"/>
          <w:bCs w:val="0"/>
          <w:color w:val="000000" w:themeColor="text1"/>
          <w:spacing w:val="-6"/>
          <w:sz w:val="24"/>
          <w:szCs w:val="24"/>
        </w:rPr>
      </w:pPr>
      <w:r>
        <w:rPr>
          <w:rFonts w:hint="eastAsia" w:ascii="宋体" w:hAnsi="宋体" w:cs="宋体"/>
          <w:color w:val="000000" w:themeColor="text1"/>
          <w:spacing w:val="-6"/>
          <w:sz w:val="24"/>
          <w:szCs w:val="24"/>
        </w:rPr>
        <w:t xml:space="preserve">2.0.2  </w:t>
      </w:r>
      <w:r>
        <w:rPr>
          <w:rFonts w:hint="eastAsia" w:ascii="宋体" w:hAnsi="宋体" w:cs="宋体"/>
          <w:bCs w:val="0"/>
          <w:color w:val="000000" w:themeColor="text1"/>
          <w:sz w:val="24"/>
          <w:szCs w:val="24"/>
        </w:rPr>
        <w:t>危大工程</w:t>
      </w:r>
      <w:r>
        <w:rPr>
          <w:rFonts w:hint="eastAsia" w:ascii="宋体" w:hAnsi="宋体" w:cs="宋体"/>
          <w:b w:val="0"/>
          <w:bCs w:val="0"/>
          <w:color w:val="000000" w:themeColor="text1"/>
          <w:spacing w:val="-6"/>
          <w:sz w:val="24"/>
          <w:szCs w:val="24"/>
        </w:rPr>
        <w:t>Relatively dangerous sub-projects and sub-items</w:t>
      </w:r>
    </w:p>
    <w:p>
      <w:pPr>
        <w:pStyle w:val="7"/>
        <w:spacing w:line="460" w:lineRule="exact"/>
        <w:ind w:firstLine="480"/>
        <w:rPr>
          <w:rFonts w:hAnsi="宋体" w:cs="宋体"/>
          <w:color w:val="000000" w:themeColor="text1"/>
          <w:szCs w:val="24"/>
          <w:shd w:val="clear" w:color="auto" w:fill="FFFFFF"/>
        </w:rPr>
      </w:pPr>
      <w:r>
        <w:rPr>
          <w:rFonts w:hint="eastAsia" w:hAnsi="宋体" w:cs="宋体"/>
          <w:color w:val="000000" w:themeColor="text1"/>
          <w:szCs w:val="24"/>
          <w:shd w:val="clear" w:color="auto" w:fill="FFFFFF"/>
        </w:rPr>
        <w:t>危大工程为危险性较大的分部分项工程简称，是指房屋建筑和市政基础设施工程在施工过程中，容易导致人员群死群伤或者造成重大经济损失的分部分项工程。</w:t>
      </w:r>
    </w:p>
    <w:p>
      <w:pPr>
        <w:pStyle w:val="7"/>
        <w:spacing w:line="460" w:lineRule="exact"/>
        <w:rPr>
          <w:rFonts w:hAnsi="宋体" w:cs="宋体"/>
          <w:color w:val="000000" w:themeColor="text1"/>
          <w:szCs w:val="24"/>
          <w:shd w:val="clear" w:color="auto" w:fill="FFFFFF"/>
        </w:rPr>
      </w:pPr>
      <w:r>
        <w:rPr>
          <w:rFonts w:hint="eastAsia" w:hAnsi="宋体" w:cs="宋体"/>
          <w:b/>
          <w:color w:val="000000" w:themeColor="text1"/>
          <w:spacing w:val="-6"/>
          <w:szCs w:val="24"/>
        </w:rPr>
        <w:t xml:space="preserve">2.0.3  </w:t>
      </w:r>
      <w:r>
        <w:rPr>
          <w:rFonts w:hint="eastAsia" w:hAnsi="宋体" w:cs="宋体"/>
          <w:b/>
          <w:bCs w:val="0"/>
          <w:color w:val="000000" w:themeColor="text1"/>
          <w:szCs w:val="24"/>
        </w:rPr>
        <w:t xml:space="preserve">文明施工 </w:t>
      </w:r>
      <w:r>
        <w:rPr>
          <w:rFonts w:hint="eastAsia" w:hAnsi="宋体" w:cs="宋体"/>
          <w:color w:val="000000" w:themeColor="text1"/>
          <w:szCs w:val="24"/>
          <w:shd w:val="clear" w:color="auto" w:fill="FFFFFF"/>
        </w:rPr>
        <w:t>Civilized construction</w:t>
      </w:r>
    </w:p>
    <w:p>
      <w:pPr>
        <w:spacing w:line="460" w:lineRule="exact"/>
        <w:ind w:firstLine="480" w:firstLineChars="200"/>
        <w:rPr>
          <w:rFonts w:ascii="宋体" w:hAnsi="宋体" w:cs="宋体"/>
          <w:color w:val="000000" w:themeColor="text1"/>
          <w:shd w:val="clear" w:color="auto" w:fill="FFFFFF"/>
        </w:rPr>
      </w:pPr>
      <w:r>
        <w:rPr>
          <w:rFonts w:hint="eastAsia" w:ascii="宋体" w:hAnsi="宋体" w:cs="宋体"/>
          <w:color w:val="000000" w:themeColor="text1"/>
          <w:shd w:val="clear" w:color="auto" w:fill="FFFFFF"/>
        </w:rPr>
        <w:t>保持施工场地整洁、卫生，施工组织科学，施工程序合理的一种施工活动。</w:t>
      </w:r>
    </w:p>
    <w:p>
      <w:pPr>
        <w:widowControl/>
        <w:spacing w:line="460" w:lineRule="exact"/>
        <w:rPr>
          <w:rFonts w:ascii="宋体" w:hAnsi="宋体" w:cs="宋体"/>
          <w:color w:val="000000" w:themeColor="text1"/>
          <w:spacing w:val="-8"/>
          <w:kern w:val="0"/>
        </w:rPr>
      </w:pPr>
      <w:r>
        <w:rPr>
          <w:rFonts w:hint="eastAsia" w:ascii="宋体" w:hAnsi="宋体" w:cs="宋体"/>
          <w:b/>
          <w:color w:val="000000" w:themeColor="text1"/>
          <w:kern w:val="0"/>
        </w:rPr>
        <w:t xml:space="preserve">2.0.4  </w:t>
      </w:r>
      <w:r>
        <w:rPr>
          <w:rFonts w:hint="eastAsia" w:ascii="宋体" w:hAnsi="宋体" w:cs="宋体"/>
          <w:b/>
          <w:color w:val="000000" w:themeColor="text1"/>
          <w:shd w:val="clear" w:color="auto" w:fill="FFFFFF"/>
        </w:rPr>
        <w:t>绿色施工</w:t>
      </w:r>
      <w:r>
        <w:rPr>
          <w:rFonts w:hint="eastAsia" w:ascii="宋体" w:hAnsi="宋体" w:cs="宋体"/>
          <w:color w:val="000000" w:themeColor="text1"/>
          <w:spacing w:val="-8"/>
          <w:kern w:val="0"/>
        </w:rPr>
        <w:t xml:space="preserve">Green construction </w:t>
      </w:r>
    </w:p>
    <w:p>
      <w:pPr>
        <w:pStyle w:val="7"/>
        <w:rPr>
          <w:rFonts w:hAnsi="宋体" w:cs="宋体"/>
          <w:b/>
          <w:bCs w:val="0"/>
          <w:color w:val="000000" w:themeColor="text1"/>
          <w:szCs w:val="24"/>
        </w:rPr>
      </w:pPr>
      <w:r>
        <w:rPr>
          <w:rFonts w:hint="eastAsia" w:hAnsi="宋体" w:cs="宋体"/>
          <w:color w:val="000000" w:themeColor="text1"/>
          <w:szCs w:val="24"/>
        </w:rPr>
        <w:t xml:space="preserve">    在保证质量、安全等基本要求的前提下，以人为本，因地制宜，通过科学管理和技术进步，最大限度地节约资源，减少对环境负面影响的施工活动。</w:t>
      </w:r>
    </w:p>
    <w:p/>
    <w:p>
      <w:pPr>
        <w:pStyle w:val="15"/>
        <w:rPr>
          <w:rFonts w:ascii="宋体" w:hAnsi="宋体" w:cs="宋体"/>
          <w:b w:val="0"/>
          <w:kern w:val="0"/>
        </w:rPr>
      </w:pPr>
    </w:p>
    <w:p>
      <w:pPr>
        <w:tabs>
          <w:tab w:val="left" w:pos="210"/>
          <w:tab w:val="left" w:pos="927"/>
          <w:tab w:val="center" w:pos="4156"/>
          <w:tab w:val="center" w:pos="6979"/>
        </w:tabs>
        <w:autoSpaceDE w:val="0"/>
        <w:autoSpaceDN w:val="0"/>
        <w:adjustRightInd w:val="0"/>
        <w:spacing w:before="240" w:after="60"/>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before="240" w:after="60"/>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before="240" w:after="60"/>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before="240" w:after="60"/>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before="240" w:after="60"/>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before="240" w:after="60"/>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before="240" w:after="60"/>
        <w:jc w:val="center"/>
        <w:outlineLvl w:val="0"/>
        <w:rPr>
          <w:rFonts w:ascii="宋体" w:hAnsi="宋体" w:cs="宋体"/>
          <w:b/>
          <w:kern w:val="0"/>
          <w:sz w:val="32"/>
          <w:szCs w:val="32"/>
        </w:rPr>
      </w:pPr>
      <w:r>
        <w:rPr>
          <w:rFonts w:hint="eastAsia" w:ascii="宋体" w:hAnsi="宋体" w:cs="宋体"/>
          <w:b/>
          <w:kern w:val="0"/>
          <w:sz w:val="32"/>
          <w:szCs w:val="32"/>
        </w:rPr>
        <w:t xml:space="preserve">3  </w:t>
      </w:r>
      <w:bookmarkEnd w:id="13"/>
      <w:r>
        <w:rPr>
          <w:rFonts w:hint="eastAsia" w:ascii="宋体" w:hAnsi="宋体" w:cs="宋体"/>
          <w:b/>
          <w:kern w:val="0"/>
          <w:sz w:val="32"/>
          <w:szCs w:val="32"/>
        </w:rPr>
        <w:t>评价项目</w:t>
      </w:r>
    </w:p>
    <w:p>
      <w:pPr>
        <w:pStyle w:val="13"/>
        <w:tabs>
          <w:tab w:val="right" w:leader="dot" w:pos="8450"/>
        </w:tabs>
        <w:spacing w:beforeLines="100" w:afterLines="100" w:line="360" w:lineRule="auto"/>
        <w:jc w:val="center"/>
        <w:rPr>
          <w:rFonts w:ascii="宋体" w:hAnsi="宋体" w:cs="宋体"/>
          <w:b/>
          <w:sz w:val="24"/>
          <w:szCs w:val="24"/>
          <w:shd w:val="clear" w:color="auto" w:fill="FFFFFF"/>
        </w:rPr>
      </w:pPr>
      <w:r>
        <w:rPr>
          <w:rFonts w:hint="eastAsia" w:ascii="宋体" w:hAnsi="宋体" w:cs="宋体"/>
          <w:b/>
          <w:sz w:val="24"/>
          <w:szCs w:val="24"/>
          <w:shd w:val="clear" w:color="auto" w:fill="FFFFFF"/>
        </w:rPr>
        <w:t>3.1  建设单位安全管理</w:t>
      </w:r>
    </w:p>
    <w:p>
      <w:pPr>
        <w:spacing w:line="360" w:lineRule="auto"/>
        <w:jc w:val="left"/>
        <w:outlineLvl w:val="1"/>
        <w:rPr>
          <w:rFonts w:ascii="宋体" w:hAnsi="宋体" w:cs="宋体"/>
          <w:bCs w:val="0"/>
          <w:shd w:val="clear" w:color="auto" w:fill="FFFFFF"/>
        </w:rPr>
      </w:pPr>
      <w:r>
        <w:rPr>
          <w:rFonts w:hint="eastAsia" w:ascii="宋体" w:hAnsi="宋体" w:cs="宋体"/>
          <w:b/>
          <w:shd w:val="clear" w:color="auto" w:fill="FFFFFF"/>
        </w:rPr>
        <w:t xml:space="preserve">3.1.1  </w:t>
      </w:r>
      <w:r>
        <w:rPr>
          <w:rFonts w:hint="eastAsia" w:ascii="宋体" w:hAnsi="宋体" w:cs="宋体"/>
          <w:bCs w:val="0"/>
          <w:shd w:val="clear" w:color="auto" w:fill="FFFFFF"/>
        </w:rPr>
        <w:t>建设单位安全管理</w:t>
      </w:r>
      <w:r>
        <w:rPr>
          <w:rFonts w:hint="eastAsia" w:ascii="宋体" w:hAnsi="宋体" w:cs="宋体"/>
          <w:bCs w:val="0"/>
          <w:color w:val="000000" w:themeColor="text1"/>
          <w:shd w:val="clear" w:color="auto" w:fill="FFFFFF"/>
        </w:rPr>
        <w:t>评价</w:t>
      </w:r>
      <w:r>
        <w:rPr>
          <w:rFonts w:hint="eastAsia" w:ascii="宋体" w:hAnsi="宋体" w:cs="宋体"/>
          <w:bCs w:val="0"/>
          <w:shd w:val="clear" w:color="auto" w:fill="FFFFFF"/>
        </w:rPr>
        <w:t>应符合国家现行有关安全生产的法律、法规、标准的规定。</w:t>
      </w:r>
    </w:p>
    <w:p>
      <w:pPr>
        <w:spacing w:line="360" w:lineRule="auto"/>
        <w:jc w:val="left"/>
        <w:outlineLvl w:val="1"/>
        <w:rPr>
          <w:rFonts w:ascii="宋体" w:hAnsi="宋体" w:cs="宋体"/>
          <w:bCs w:val="0"/>
          <w:color w:val="000000" w:themeColor="text1"/>
          <w:shd w:val="clear" w:color="auto" w:fill="FFFFFF"/>
        </w:rPr>
      </w:pPr>
      <w:r>
        <w:rPr>
          <w:rFonts w:hint="eastAsia" w:ascii="宋体" w:hAnsi="宋体" w:cs="宋体"/>
          <w:b/>
          <w:shd w:val="clear" w:color="auto" w:fill="FFFFFF"/>
        </w:rPr>
        <w:t xml:space="preserve">3.1.2  </w:t>
      </w:r>
      <w:r>
        <w:rPr>
          <w:rFonts w:hint="eastAsia" w:ascii="宋体" w:hAnsi="宋体" w:cs="宋体"/>
          <w:bCs w:val="0"/>
          <w:shd w:val="clear" w:color="auto" w:fill="FFFFFF"/>
        </w:rPr>
        <w:t>建设单位安全管理</w:t>
      </w:r>
      <w:r>
        <w:rPr>
          <w:rFonts w:hint="eastAsia" w:ascii="宋体" w:hAnsi="宋体" w:cs="宋体"/>
          <w:bCs w:val="0"/>
          <w:color w:val="000000" w:themeColor="text1"/>
          <w:shd w:val="clear" w:color="auto" w:fill="FFFFFF"/>
        </w:rPr>
        <w:t>评价项目</w:t>
      </w:r>
      <w:r>
        <w:rPr>
          <w:rFonts w:hint="eastAsia" w:ascii="宋体" w:hAnsi="宋体" w:cs="宋体"/>
          <w:bCs w:val="0"/>
          <w:shd w:val="clear" w:color="auto" w:fill="FFFFFF"/>
        </w:rPr>
        <w:t>包括:创建责任落实、</w:t>
      </w:r>
      <w:r>
        <w:rPr>
          <w:rFonts w:hint="eastAsia" w:ascii="宋体" w:hAnsi="宋体" w:cs="宋体"/>
          <w:bCs w:val="0"/>
          <w:color w:val="000000" w:themeColor="text1"/>
          <w:shd w:val="clear" w:color="auto" w:fill="FFFFFF"/>
        </w:rPr>
        <w:t>工程相关资料、安全文明施工措施费管理、危大工程管理、合同工期管理。</w:t>
      </w:r>
    </w:p>
    <w:p>
      <w:pPr>
        <w:spacing w:line="360" w:lineRule="auto"/>
        <w:jc w:val="left"/>
        <w:outlineLvl w:val="1"/>
        <w:rPr>
          <w:rFonts w:ascii="宋体" w:hAnsi="宋体" w:cs="宋体"/>
          <w:b/>
          <w:shd w:val="clear" w:color="auto" w:fill="FFFFFF"/>
        </w:rPr>
      </w:pPr>
      <w:r>
        <w:rPr>
          <w:rFonts w:hint="eastAsia" w:ascii="宋体" w:hAnsi="宋体" w:cs="宋体"/>
          <w:b/>
          <w:shd w:val="clear" w:color="auto" w:fill="FFFFFF"/>
        </w:rPr>
        <w:t xml:space="preserve">3.1.3  </w:t>
      </w:r>
      <w:r>
        <w:rPr>
          <w:rFonts w:hint="eastAsia" w:ascii="宋体" w:hAnsi="宋体" w:cs="宋体"/>
          <w:bCs w:val="0"/>
          <w:shd w:val="clear" w:color="auto" w:fill="FFFFFF"/>
        </w:rPr>
        <w:t>建设单位创建安全生产标准化工地应落实以下责任：</w:t>
      </w:r>
    </w:p>
    <w:p>
      <w:pPr>
        <w:spacing w:line="360" w:lineRule="auto"/>
        <w:ind w:firstLine="480"/>
        <w:jc w:val="left"/>
        <w:outlineLvl w:val="1"/>
        <w:rPr>
          <w:rFonts w:ascii="宋体" w:hAnsi="宋体" w:cs="宋体"/>
          <w:bCs w:val="0"/>
          <w:shd w:val="clear" w:color="auto" w:fill="FFFFFF"/>
        </w:rPr>
      </w:pPr>
      <w:r>
        <w:rPr>
          <w:rFonts w:hint="eastAsia" w:ascii="宋体" w:hAnsi="宋体" w:cs="宋体"/>
          <w:b/>
          <w:shd w:val="clear" w:color="auto" w:fill="FFFFFF"/>
        </w:rPr>
        <w:t>1</w:t>
      </w:r>
      <w:r>
        <w:rPr>
          <w:rFonts w:hint="eastAsia" w:ascii="宋体" w:hAnsi="宋体" w:cs="宋体"/>
          <w:bCs w:val="0"/>
          <w:shd w:val="clear" w:color="auto" w:fill="FFFFFF"/>
        </w:rPr>
        <w:t xml:space="preserve">  应组织成立创建安全生产标准化工地领导小组；</w:t>
      </w:r>
    </w:p>
    <w:p>
      <w:pPr>
        <w:spacing w:line="360" w:lineRule="auto"/>
        <w:ind w:firstLine="480"/>
        <w:jc w:val="left"/>
        <w:outlineLvl w:val="1"/>
        <w:rPr>
          <w:rFonts w:ascii="宋体" w:hAnsi="宋体" w:cs="宋体"/>
          <w:bCs w:val="0"/>
          <w:shd w:val="clear" w:color="auto" w:fill="FFFFFF"/>
        </w:rPr>
      </w:pPr>
      <w:r>
        <w:rPr>
          <w:rFonts w:hint="eastAsia" w:ascii="宋体" w:hAnsi="宋体" w:cs="宋体"/>
          <w:b/>
          <w:shd w:val="clear" w:color="auto" w:fill="FFFFFF"/>
        </w:rPr>
        <w:t xml:space="preserve">2  </w:t>
      </w:r>
      <w:r>
        <w:rPr>
          <w:rFonts w:hint="eastAsia" w:ascii="宋体" w:hAnsi="宋体" w:cs="宋体"/>
          <w:bCs w:val="0"/>
          <w:shd w:val="clear" w:color="auto" w:fill="FFFFFF"/>
        </w:rPr>
        <w:t>应明确安全生产标准化工地创建目标；</w:t>
      </w:r>
    </w:p>
    <w:p>
      <w:pPr>
        <w:spacing w:line="360" w:lineRule="auto"/>
        <w:ind w:firstLine="480"/>
        <w:jc w:val="left"/>
        <w:outlineLvl w:val="1"/>
        <w:rPr>
          <w:rFonts w:ascii="宋体" w:hAnsi="宋体" w:cs="宋体"/>
          <w:bCs w:val="0"/>
          <w:shd w:val="clear" w:color="auto" w:fill="FFFFFF"/>
        </w:rPr>
      </w:pPr>
      <w:r>
        <w:rPr>
          <w:rFonts w:hint="eastAsia" w:ascii="宋体" w:hAnsi="宋体" w:cs="宋体"/>
          <w:b/>
          <w:shd w:val="clear" w:color="auto" w:fill="FFFFFF"/>
        </w:rPr>
        <w:t>3</w:t>
      </w:r>
      <w:r>
        <w:rPr>
          <w:rFonts w:hint="eastAsia" w:ascii="宋体" w:hAnsi="宋体" w:cs="宋体"/>
          <w:bCs w:val="0"/>
          <w:shd w:val="clear" w:color="auto" w:fill="FFFFFF"/>
        </w:rPr>
        <w:t xml:space="preserve">  应按要求组织施工</w:t>
      </w:r>
      <w:r>
        <w:rPr>
          <w:rFonts w:hint="eastAsia" w:ascii="宋体" w:hAnsi="宋体" w:cs="宋体"/>
          <w:bCs w:val="0"/>
          <w:color w:val="000000" w:themeColor="text1"/>
          <w:shd w:val="clear" w:color="auto" w:fill="FFFFFF"/>
        </w:rPr>
        <w:t>单位</w:t>
      </w:r>
      <w:r>
        <w:rPr>
          <w:rFonts w:hint="eastAsia" w:ascii="宋体" w:hAnsi="宋体" w:cs="宋体"/>
          <w:bCs w:val="0"/>
          <w:shd w:val="clear" w:color="auto" w:fill="FFFFFF"/>
        </w:rPr>
        <w:t>、监理单位开展安全生产标准化工地自评工作。</w:t>
      </w:r>
    </w:p>
    <w:p>
      <w:pPr>
        <w:spacing w:line="360" w:lineRule="auto"/>
        <w:jc w:val="left"/>
        <w:outlineLvl w:val="1"/>
        <w:rPr>
          <w:rFonts w:ascii="宋体" w:hAnsi="宋体" w:cs="宋体"/>
          <w:bCs w:val="0"/>
          <w:color w:val="000000" w:themeColor="text1"/>
          <w:shd w:val="clear" w:color="auto" w:fill="FFFFFF"/>
        </w:rPr>
      </w:pPr>
      <w:r>
        <w:rPr>
          <w:rFonts w:hint="eastAsia" w:ascii="宋体" w:hAnsi="宋体" w:cs="宋体"/>
          <w:b/>
          <w:color w:val="000000" w:themeColor="text1"/>
          <w:shd w:val="clear" w:color="auto" w:fill="FFFFFF"/>
        </w:rPr>
        <w:t xml:space="preserve">3.1.4  </w:t>
      </w:r>
      <w:r>
        <w:rPr>
          <w:rFonts w:hint="eastAsia" w:ascii="宋体" w:hAnsi="宋体" w:cs="宋体"/>
          <w:bCs w:val="0"/>
          <w:color w:val="000000" w:themeColor="text1"/>
          <w:shd w:val="clear" w:color="auto" w:fill="FFFFFF"/>
        </w:rPr>
        <w:t>工程相关资料应符合下列规定：</w:t>
      </w:r>
    </w:p>
    <w:p>
      <w:pPr>
        <w:spacing w:line="360" w:lineRule="auto"/>
        <w:ind w:firstLine="480"/>
        <w:jc w:val="left"/>
        <w:outlineLvl w:val="1"/>
        <w:rPr>
          <w:rFonts w:ascii="宋体" w:hAnsi="宋体" w:cs="宋体"/>
          <w:shd w:val="clear" w:color="auto" w:fill="FFFFFF"/>
        </w:rPr>
      </w:pPr>
      <w:r>
        <w:rPr>
          <w:rFonts w:hint="eastAsia" w:ascii="宋体" w:hAnsi="宋体" w:cs="宋体"/>
          <w:b/>
          <w:shd w:val="clear" w:color="auto" w:fill="FFFFFF"/>
        </w:rPr>
        <w:t>1</w:t>
      </w:r>
      <w:r>
        <w:rPr>
          <w:rFonts w:hint="eastAsia" w:ascii="宋体" w:hAnsi="宋体" w:cs="宋体"/>
          <w:shd w:val="clear" w:color="auto" w:fill="FFFFFF"/>
        </w:rPr>
        <w:t xml:space="preserve">  向施工单位提供施工现场及毗邻区域内供水、排水、供电、供气、供热、通信、广播电视等地下管线资料、气象和水文观测资料、相邻建筑物和构筑物、地下工程等资料;</w:t>
      </w:r>
    </w:p>
    <w:p>
      <w:pPr>
        <w:spacing w:line="360" w:lineRule="auto"/>
        <w:ind w:firstLine="480"/>
        <w:jc w:val="left"/>
        <w:outlineLvl w:val="1"/>
        <w:rPr>
          <w:rFonts w:ascii="宋体" w:hAnsi="宋体" w:cs="宋体"/>
          <w:shd w:val="clear" w:color="auto" w:fill="FFFFFF"/>
        </w:rPr>
      </w:pPr>
      <w:r>
        <w:rPr>
          <w:rFonts w:hint="eastAsia" w:ascii="宋体" w:hAnsi="宋体" w:cs="宋体"/>
          <w:b/>
          <w:shd w:val="clear" w:color="auto" w:fill="FFFFFF"/>
        </w:rPr>
        <w:t xml:space="preserve">2 </w:t>
      </w:r>
      <w:r>
        <w:rPr>
          <w:rFonts w:hint="eastAsia" w:ascii="宋体" w:hAnsi="宋体" w:cs="宋体"/>
          <w:shd w:val="clear" w:color="auto" w:fill="FFFFFF"/>
        </w:rPr>
        <w:t xml:space="preserve"> 建设单位确保提供的资料真实、准确、完整。</w:t>
      </w:r>
    </w:p>
    <w:p>
      <w:pPr>
        <w:spacing w:line="360" w:lineRule="auto"/>
        <w:jc w:val="left"/>
        <w:outlineLvl w:val="1"/>
        <w:rPr>
          <w:rFonts w:ascii="宋体" w:hAnsi="宋体" w:cs="宋体"/>
          <w:bCs w:val="0"/>
          <w:shd w:val="clear" w:color="auto" w:fill="FFFFFF"/>
        </w:rPr>
      </w:pPr>
      <w:r>
        <w:rPr>
          <w:rFonts w:hint="eastAsia" w:ascii="宋体" w:hAnsi="宋体" w:cs="宋体"/>
          <w:b/>
          <w:shd w:val="clear" w:color="auto" w:fill="FFFFFF"/>
        </w:rPr>
        <w:t xml:space="preserve">3.1.5  </w:t>
      </w:r>
      <w:r>
        <w:rPr>
          <w:rFonts w:hint="eastAsia" w:ascii="宋体" w:hAnsi="宋体" w:cs="宋体"/>
          <w:bCs w:val="0"/>
          <w:shd w:val="clear" w:color="auto" w:fill="FFFFFF"/>
        </w:rPr>
        <w:t>安全文明施工措施费管理应符合下列规定:</w:t>
      </w:r>
    </w:p>
    <w:p>
      <w:pPr>
        <w:spacing w:line="360" w:lineRule="auto"/>
        <w:ind w:firstLine="482" w:firstLineChars="200"/>
        <w:jc w:val="left"/>
        <w:outlineLvl w:val="1"/>
        <w:rPr>
          <w:rFonts w:ascii="宋体" w:hAnsi="宋体" w:cs="宋体"/>
          <w:bCs w:val="0"/>
          <w:shd w:val="clear" w:color="auto" w:fill="FFFFFF"/>
        </w:rPr>
      </w:pPr>
      <w:r>
        <w:rPr>
          <w:rFonts w:hint="eastAsia" w:ascii="宋体" w:hAnsi="宋体" w:cs="宋体"/>
          <w:b/>
          <w:shd w:val="clear" w:color="auto" w:fill="FFFFFF"/>
        </w:rPr>
        <w:t>1</w:t>
      </w:r>
      <w:r>
        <w:rPr>
          <w:rFonts w:hint="eastAsia" w:ascii="宋体" w:hAnsi="宋体" w:cs="宋体"/>
          <w:bCs w:val="0"/>
          <w:shd w:val="clear" w:color="auto" w:fill="FFFFFF"/>
        </w:rPr>
        <w:t xml:space="preserve">  应在合同中确定安全文明施工措施费支付计划；</w:t>
      </w:r>
    </w:p>
    <w:p>
      <w:pPr>
        <w:spacing w:line="360" w:lineRule="auto"/>
        <w:ind w:firstLine="482" w:firstLineChars="200"/>
        <w:jc w:val="left"/>
        <w:outlineLvl w:val="1"/>
        <w:rPr>
          <w:rFonts w:ascii="宋体" w:hAnsi="宋体" w:cs="宋体"/>
          <w:bCs w:val="0"/>
          <w:shd w:val="clear" w:color="auto" w:fill="FFFFFF"/>
        </w:rPr>
      </w:pPr>
      <w:r>
        <w:rPr>
          <w:rFonts w:hint="eastAsia" w:ascii="宋体" w:hAnsi="宋体" w:cs="宋体"/>
          <w:b/>
          <w:shd w:val="clear" w:color="auto" w:fill="FFFFFF"/>
        </w:rPr>
        <w:t>2</w:t>
      </w:r>
      <w:r>
        <w:rPr>
          <w:rFonts w:hint="eastAsia" w:ascii="宋体" w:hAnsi="宋体" w:cs="宋体"/>
          <w:bCs w:val="0"/>
          <w:shd w:val="clear" w:color="auto" w:fill="FFFFFF"/>
        </w:rPr>
        <w:t xml:space="preserve">  应按</w:t>
      </w:r>
      <w:r>
        <w:rPr>
          <w:rFonts w:hint="eastAsia" w:ascii="宋体" w:hAnsi="宋体" w:cs="宋体"/>
          <w:bCs w:val="0"/>
          <w:color w:val="000000" w:themeColor="text1"/>
          <w:shd w:val="clear" w:color="auto" w:fill="FFFFFF"/>
        </w:rPr>
        <w:t>合同约定</w:t>
      </w:r>
      <w:r>
        <w:rPr>
          <w:rFonts w:hint="eastAsia" w:ascii="宋体" w:hAnsi="宋体" w:cs="宋体"/>
          <w:bCs w:val="0"/>
          <w:shd w:val="clear" w:color="auto" w:fill="FFFFFF"/>
        </w:rPr>
        <w:t>及时支付安全文明施工措施费,并对施工单位安全文明施工措施费使用情况进行监督。</w:t>
      </w:r>
    </w:p>
    <w:p>
      <w:pPr>
        <w:spacing w:line="360" w:lineRule="auto"/>
        <w:jc w:val="left"/>
        <w:outlineLvl w:val="1"/>
        <w:rPr>
          <w:rFonts w:ascii="宋体" w:hAnsi="宋体" w:cs="宋体"/>
          <w:bCs w:val="0"/>
          <w:shd w:val="clear" w:color="auto" w:fill="FFFFFF"/>
        </w:rPr>
      </w:pPr>
      <w:r>
        <w:rPr>
          <w:rFonts w:hint="eastAsia" w:ascii="宋体" w:hAnsi="宋体" w:cs="宋体"/>
          <w:b/>
          <w:shd w:val="clear" w:color="auto" w:fill="FFFFFF"/>
        </w:rPr>
        <w:t xml:space="preserve">3.1.6  </w:t>
      </w:r>
      <w:r>
        <w:rPr>
          <w:rFonts w:hint="eastAsia" w:ascii="宋体" w:hAnsi="宋体" w:cs="宋体"/>
          <w:bCs w:val="0"/>
          <w:shd w:val="clear" w:color="auto" w:fill="FFFFFF"/>
        </w:rPr>
        <w:t>危大工程管理应符合下列规定:</w:t>
      </w:r>
    </w:p>
    <w:p>
      <w:pPr>
        <w:spacing w:line="360" w:lineRule="auto"/>
        <w:jc w:val="left"/>
        <w:outlineLvl w:val="1"/>
        <w:rPr>
          <w:rFonts w:ascii="宋体" w:hAnsi="宋体" w:cs="宋体"/>
          <w:bCs w:val="0"/>
          <w:shd w:val="clear" w:color="auto" w:fill="FFFFFF"/>
        </w:rPr>
      </w:pPr>
      <w:r>
        <w:rPr>
          <w:rFonts w:hint="eastAsia" w:ascii="宋体" w:hAnsi="宋体" w:cs="宋体"/>
          <w:b/>
          <w:shd w:val="clear" w:color="auto" w:fill="FFFFFF"/>
        </w:rPr>
        <w:t xml:space="preserve">    1</w:t>
      </w:r>
      <w:r>
        <w:rPr>
          <w:rFonts w:hint="eastAsia" w:ascii="宋体" w:hAnsi="宋体" w:cs="宋体"/>
          <w:bCs w:val="0"/>
          <w:shd w:val="clear" w:color="auto" w:fill="FFFFFF"/>
        </w:rPr>
        <w:t xml:space="preserve">  应提供危大工程清单；</w:t>
      </w:r>
    </w:p>
    <w:p>
      <w:pPr>
        <w:spacing w:line="360" w:lineRule="auto"/>
        <w:ind w:firstLine="482" w:firstLineChars="200"/>
        <w:jc w:val="left"/>
        <w:outlineLvl w:val="1"/>
        <w:rPr>
          <w:rFonts w:ascii="宋体" w:hAnsi="宋体" w:cs="宋体"/>
          <w:bCs w:val="0"/>
          <w:shd w:val="clear" w:color="auto" w:fill="FFFFFF"/>
        </w:rPr>
      </w:pPr>
      <w:r>
        <w:rPr>
          <w:rFonts w:hint="eastAsia" w:ascii="宋体" w:hAnsi="宋体" w:cs="宋体"/>
          <w:b/>
          <w:shd w:val="clear" w:color="auto" w:fill="FFFFFF"/>
        </w:rPr>
        <w:t>2</w:t>
      </w:r>
      <w:r>
        <w:rPr>
          <w:rFonts w:hint="eastAsia" w:ascii="宋体" w:hAnsi="宋体" w:cs="宋体"/>
          <w:bCs w:val="0"/>
          <w:shd w:val="clear" w:color="auto" w:fill="FFFFFF"/>
        </w:rPr>
        <w:t xml:space="preserve">  对于按照规定需要进行第三方监测的危大工程，应委托具有相应勘察资质的单位进行监测；对第三方监测单位报告的异常情况应组织采取处置措施；</w:t>
      </w:r>
    </w:p>
    <w:p>
      <w:pPr>
        <w:spacing w:line="360" w:lineRule="auto"/>
        <w:ind w:firstLine="482" w:firstLineChars="200"/>
        <w:jc w:val="left"/>
        <w:outlineLvl w:val="1"/>
        <w:rPr>
          <w:rFonts w:ascii="宋体" w:hAnsi="宋体" w:cs="宋体"/>
          <w:shd w:val="clear" w:color="auto" w:fill="FFFFFF"/>
        </w:rPr>
      </w:pPr>
      <w:r>
        <w:rPr>
          <w:rFonts w:hint="eastAsia" w:ascii="宋体" w:hAnsi="宋体" w:cs="宋体"/>
          <w:b/>
          <w:shd w:val="clear" w:color="auto" w:fill="FFFFFF"/>
        </w:rPr>
        <w:t>3</w:t>
      </w:r>
      <w:r>
        <w:rPr>
          <w:rFonts w:hint="eastAsia" w:ascii="宋体" w:hAnsi="宋体" w:cs="宋体"/>
          <w:bCs w:val="0"/>
          <w:shd w:val="clear" w:color="auto" w:fill="FFFFFF"/>
        </w:rPr>
        <w:t xml:space="preserve">  </w:t>
      </w:r>
      <w:r>
        <w:rPr>
          <w:rFonts w:hint="eastAsia" w:ascii="宋体" w:hAnsi="宋体" w:cs="宋体"/>
          <w:bCs w:val="0"/>
          <w:color w:val="000000" w:themeColor="text1"/>
          <w:shd w:val="clear" w:color="auto" w:fill="FFFFFF"/>
        </w:rPr>
        <w:t>建设单位项目负责人应参加</w:t>
      </w:r>
      <w:r>
        <w:rPr>
          <w:rFonts w:hint="eastAsia" w:ascii="宋体" w:hAnsi="宋体" w:cs="宋体"/>
          <w:shd w:val="clear" w:color="auto" w:fill="FFFFFF"/>
        </w:rPr>
        <w:t>超过一定规模的危大工程专项施工方案专家论证会。</w:t>
      </w:r>
    </w:p>
    <w:p>
      <w:pPr>
        <w:spacing w:line="360" w:lineRule="auto"/>
        <w:jc w:val="left"/>
        <w:outlineLvl w:val="1"/>
        <w:rPr>
          <w:rFonts w:ascii="宋体" w:hAnsi="宋体" w:cs="宋体"/>
          <w:shd w:val="clear" w:color="auto" w:fill="FFFFFF"/>
        </w:rPr>
      </w:pPr>
      <w:r>
        <w:rPr>
          <w:rFonts w:hint="eastAsia" w:ascii="宋体" w:hAnsi="宋体" w:cs="宋体"/>
          <w:b/>
          <w:shd w:val="clear" w:color="auto" w:fill="FFFFFF"/>
        </w:rPr>
        <w:t>3.1.7</w:t>
      </w:r>
      <w:r>
        <w:rPr>
          <w:rFonts w:hint="eastAsia" w:ascii="宋体" w:hAnsi="宋体" w:cs="宋体"/>
          <w:shd w:val="clear" w:color="auto" w:fill="FFFFFF"/>
        </w:rPr>
        <w:t xml:space="preserve">  不得随意压缩合同约定工期。</w:t>
      </w:r>
    </w:p>
    <w:p>
      <w:pPr>
        <w:pStyle w:val="13"/>
        <w:tabs>
          <w:tab w:val="right" w:leader="dot" w:pos="8450"/>
        </w:tabs>
        <w:spacing w:beforeLines="100" w:afterLines="100" w:line="360" w:lineRule="auto"/>
        <w:jc w:val="center"/>
        <w:rPr>
          <w:rFonts w:ascii="宋体" w:hAnsi="宋体" w:cs="宋体"/>
          <w:b/>
          <w:sz w:val="24"/>
          <w:szCs w:val="24"/>
          <w:shd w:val="clear" w:color="auto" w:fill="FFFFFF"/>
        </w:rPr>
      </w:pPr>
    </w:p>
    <w:p>
      <w:pPr>
        <w:pStyle w:val="13"/>
        <w:tabs>
          <w:tab w:val="right" w:leader="dot" w:pos="8450"/>
        </w:tabs>
        <w:spacing w:beforeLines="100" w:afterLines="100" w:line="360" w:lineRule="auto"/>
        <w:jc w:val="center"/>
        <w:rPr>
          <w:rFonts w:ascii="宋体" w:hAnsi="宋体" w:cs="宋体"/>
          <w:b/>
          <w:sz w:val="24"/>
          <w:szCs w:val="24"/>
          <w:shd w:val="clear" w:color="auto" w:fill="FFFFFF"/>
        </w:rPr>
      </w:pPr>
      <w:r>
        <w:rPr>
          <w:rFonts w:hint="eastAsia" w:ascii="宋体" w:hAnsi="宋体" w:cs="宋体"/>
          <w:b/>
          <w:sz w:val="24"/>
          <w:szCs w:val="24"/>
          <w:shd w:val="clear" w:color="auto" w:fill="FFFFFF"/>
        </w:rPr>
        <w:t>3.2  监理单位安全管理</w:t>
      </w:r>
    </w:p>
    <w:bookmarkEnd w:id="14"/>
    <w:p>
      <w:pPr>
        <w:pStyle w:val="7"/>
        <w:rPr>
          <w:rFonts w:hAnsi="宋体" w:cs="宋体"/>
          <w:szCs w:val="24"/>
          <w:shd w:val="clear" w:color="auto" w:fill="FFFFFF"/>
        </w:rPr>
      </w:pPr>
      <w:r>
        <w:rPr>
          <w:rFonts w:hint="eastAsia" w:hAnsi="宋体" w:cs="宋体"/>
          <w:b/>
          <w:szCs w:val="24"/>
          <w:shd w:val="clear" w:color="auto" w:fill="FFFFFF"/>
        </w:rPr>
        <w:t>3.2.1</w:t>
      </w:r>
      <w:r>
        <w:rPr>
          <w:rFonts w:hint="eastAsia" w:hAnsi="宋体" w:cs="宋体"/>
          <w:szCs w:val="24"/>
          <w:shd w:val="clear" w:color="auto" w:fill="FFFFFF"/>
        </w:rPr>
        <w:t xml:space="preserve">  监理单位安全管理评价应符合国家现行有关安全生产的法律、法规、标准的规定。</w:t>
      </w:r>
    </w:p>
    <w:p>
      <w:pPr>
        <w:pStyle w:val="7"/>
        <w:rPr>
          <w:rFonts w:hAnsi="宋体" w:cs="宋体"/>
          <w:szCs w:val="24"/>
          <w:highlight w:val="yellow"/>
          <w:shd w:val="clear" w:color="auto" w:fill="FFFFFF"/>
        </w:rPr>
      </w:pPr>
      <w:r>
        <w:rPr>
          <w:rFonts w:hint="eastAsia" w:hAnsi="宋体" w:cs="宋体"/>
          <w:b/>
          <w:szCs w:val="24"/>
          <w:shd w:val="clear" w:color="auto" w:fill="FFFFFF"/>
        </w:rPr>
        <w:t>3.2.2</w:t>
      </w:r>
      <w:r>
        <w:rPr>
          <w:rFonts w:hint="eastAsia" w:hAnsi="宋体" w:cs="宋体"/>
          <w:szCs w:val="24"/>
          <w:shd w:val="clear" w:color="auto" w:fill="FFFFFF"/>
        </w:rPr>
        <w:t xml:space="preserve">  监理单位安全管理评价项目包括：安全监理责任制、监理实施细则、施工准备阶段安全生产条件审查、安全检查、危大工程管理、</w:t>
      </w:r>
      <w:r>
        <w:rPr>
          <w:rFonts w:hint="eastAsia" w:hAnsi="宋体" w:cs="宋体"/>
          <w:color w:val="000000" w:themeColor="text1"/>
          <w:szCs w:val="24"/>
          <w:shd w:val="clear" w:color="auto" w:fill="FFFFFF"/>
        </w:rPr>
        <w:t>信息化管理。</w:t>
      </w:r>
    </w:p>
    <w:p>
      <w:pPr>
        <w:pStyle w:val="7"/>
        <w:rPr>
          <w:rFonts w:hAnsi="宋体" w:cs="宋体"/>
          <w:szCs w:val="24"/>
          <w:shd w:val="clear" w:color="auto" w:fill="FFFFFF"/>
        </w:rPr>
      </w:pPr>
      <w:r>
        <w:rPr>
          <w:rFonts w:hint="eastAsia" w:hAnsi="宋体" w:cs="宋体"/>
          <w:b/>
          <w:szCs w:val="24"/>
          <w:shd w:val="clear" w:color="auto" w:fill="FFFFFF"/>
        </w:rPr>
        <w:t xml:space="preserve">3.2.3  </w:t>
      </w:r>
      <w:r>
        <w:rPr>
          <w:rFonts w:hint="eastAsia" w:hAnsi="宋体" w:cs="宋体"/>
          <w:szCs w:val="24"/>
          <w:shd w:val="clear" w:color="auto" w:fill="FFFFFF"/>
        </w:rPr>
        <w:t>安全监理责任制应符合下列规定：</w:t>
      </w:r>
    </w:p>
    <w:p>
      <w:pPr>
        <w:pStyle w:val="7"/>
        <w:rPr>
          <w:rFonts w:hAnsi="宋体" w:cs="宋体"/>
          <w:szCs w:val="24"/>
          <w:shd w:val="clear" w:color="auto" w:fill="FFFFFF"/>
        </w:rPr>
      </w:pPr>
      <w:r>
        <w:rPr>
          <w:rFonts w:hint="eastAsia" w:hAnsi="宋体" w:cs="宋体"/>
          <w:b/>
          <w:szCs w:val="24"/>
          <w:shd w:val="clear" w:color="auto" w:fill="FFFFFF"/>
        </w:rPr>
        <w:t xml:space="preserve">    1  </w:t>
      </w:r>
      <w:r>
        <w:rPr>
          <w:rFonts w:hint="eastAsia" w:hAnsi="宋体" w:cs="宋体"/>
          <w:szCs w:val="24"/>
          <w:shd w:val="clear" w:color="auto" w:fill="FFFFFF"/>
        </w:rPr>
        <w:t xml:space="preserve">按照要求成立项目监理组织机构，并按照合同约定配备项目监理人员，所配人员均应到岗履职； </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2  </w:t>
      </w:r>
      <w:r>
        <w:rPr>
          <w:rFonts w:hint="eastAsia" w:hAnsi="宋体" w:cs="宋体"/>
          <w:szCs w:val="24"/>
          <w:shd w:val="clear" w:color="auto" w:fill="FFFFFF"/>
        </w:rPr>
        <w:t>制定</w:t>
      </w:r>
      <w:r>
        <w:rPr>
          <w:rFonts w:hint="eastAsia" w:hAnsi="宋体" w:cs="宋体"/>
          <w:color w:val="000000" w:themeColor="text1"/>
          <w:szCs w:val="24"/>
          <w:shd w:val="clear" w:color="auto" w:fill="FFFFFF"/>
        </w:rPr>
        <w:t>并落实</w:t>
      </w:r>
      <w:r>
        <w:rPr>
          <w:rFonts w:hint="eastAsia" w:hAnsi="宋体" w:cs="宋体"/>
          <w:szCs w:val="24"/>
          <w:shd w:val="clear" w:color="auto" w:fill="FFFFFF"/>
        </w:rPr>
        <w:t>监理安全生产责任制，</w:t>
      </w:r>
      <w:r>
        <w:rPr>
          <w:rFonts w:hint="eastAsia" w:hAnsi="宋体" w:cs="宋体"/>
          <w:color w:val="000000" w:themeColor="text1"/>
          <w:szCs w:val="24"/>
          <w:shd w:val="clear" w:color="auto" w:fill="FFFFFF"/>
        </w:rPr>
        <w:t>明确监理人员岗位职责；</w:t>
      </w:r>
    </w:p>
    <w:p>
      <w:pPr>
        <w:pStyle w:val="7"/>
        <w:ind w:firstLine="482" w:firstLineChars="200"/>
        <w:rPr>
          <w:rFonts w:hAnsi="宋体" w:cs="宋体"/>
          <w:b/>
          <w:szCs w:val="24"/>
          <w:shd w:val="clear" w:color="auto" w:fill="FFFFFF"/>
        </w:rPr>
      </w:pPr>
      <w:r>
        <w:rPr>
          <w:rFonts w:hint="eastAsia" w:hAnsi="宋体" w:cs="宋体"/>
          <w:b/>
          <w:szCs w:val="24"/>
          <w:shd w:val="clear" w:color="auto" w:fill="FFFFFF"/>
        </w:rPr>
        <w:t xml:space="preserve">3  </w:t>
      </w:r>
      <w:r>
        <w:rPr>
          <w:rFonts w:hint="eastAsia" w:hAnsi="宋体" w:cs="宋体"/>
          <w:szCs w:val="24"/>
          <w:shd w:val="clear" w:color="auto" w:fill="FFFFFF"/>
        </w:rPr>
        <w:t>制定监理例会制度并定期召开监理例会。</w:t>
      </w:r>
    </w:p>
    <w:p>
      <w:pPr>
        <w:pStyle w:val="7"/>
        <w:rPr>
          <w:rFonts w:hAnsi="宋体" w:cs="宋体"/>
          <w:szCs w:val="24"/>
          <w:shd w:val="clear" w:color="auto" w:fill="FFFFFF"/>
        </w:rPr>
      </w:pPr>
      <w:r>
        <w:rPr>
          <w:rFonts w:hint="eastAsia" w:hAnsi="宋体" w:cs="宋体"/>
          <w:b/>
          <w:szCs w:val="24"/>
          <w:shd w:val="clear" w:color="auto" w:fill="FFFFFF"/>
        </w:rPr>
        <w:t xml:space="preserve">3.2.4  </w:t>
      </w:r>
      <w:r>
        <w:rPr>
          <w:rFonts w:hint="eastAsia" w:hAnsi="宋体" w:cs="宋体"/>
          <w:szCs w:val="24"/>
          <w:shd w:val="clear" w:color="auto" w:fill="FFFFFF"/>
        </w:rPr>
        <w:t>监理实施细则应符合下列规定：</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1  </w:t>
      </w:r>
      <w:r>
        <w:rPr>
          <w:rFonts w:hint="eastAsia" w:hAnsi="宋体" w:cs="宋体"/>
          <w:bCs w:val="0"/>
          <w:szCs w:val="24"/>
          <w:shd w:val="clear" w:color="auto" w:fill="FFFFFF"/>
        </w:rPr>
        <w:t>结合项目危大工程专项施工方案编制监理实施细则；</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2  </w:t>
      </w:r>
      <w:r>
        <w:rPr>
          <w:rFonts w:hint="eastAsia" w:hAnsi="宋体" w:cs="宋体"/>
          <w:bCs w:val="0"/>
          <w:szCs w:val="24"/>
          <w:shd w:val="clear" w:color="auto" w:fill="FFFFFF"/>
        </w:rPr>
        <w:t>结合《房屋市政工程生产安全重大事故隐患判定标准》，编制安全监理的方法、措施、控制要点和检查要求；</w:t>
      </w:r>
    </w:p>
    <w:p>
      <w:pPr>
        <w:pStyle w:val="7"/>
        <w:rPr>
          <w:rFonts w:hAnsi="宋体" w:cs="宋体"/>
          <w:szCs w:val="24"/>
          <w:shd w:val="clear" w:color="auto" w:fill="FFFFFF"/>
        </w:rPr>
      </w:pPr>
      <w:r>
        <w:rPr>
          <w:rFonts w:hint="eastAsia" w:hAnsi="宋体" w:cs="宋体"/>
          <w:b/>
          <w:szCs w:val="24"/>
          <w:shd w:val="clear" w:color="auto" w:fill="FFFFFF"/>
        </w:rPr>
        <w:t xml:space="preserve">3.2.5  </w:t>
      </w:r>
      <w:r>
        <w:rPr>
          <w:rFonts w:hint="eastAsia" w:hAnsi="宋体" w:cs="宋体"/>
          <w:szCs w:val="24"/>
          <w:shd w:val="clear" w:color="auto" w:fill="FFFFFF"/>
        </w:rPr>
        <w:t>施工准备阶段安全生产条件审查应符合下列规定：</w:t>
      </w:r>
    </w:p>
    <w:p>
      <w:pPr>
        <w:pStyle w:val="7"/>
        <w:ind w:firstLine="482" w:firstLineChars="200"/>
        <w:rPr>
          <w:rFonts w:hAnsi="宋体" w:cs="宋体"/>
          <w:b/>
          <w:szCs w:val="24"/>
          <w:shd w:val="clear" w:color="auto" w:fill="FFFFFF"/>
        </w:rPr>
      </w:pPr>
      <w:r>
        <w:rPr>
          <w:rFonts w:hint="eastAsia" w:hAnsi="宋体" w:cs="宋体"/>
          <w:b/>
          <w:szCs w:val="24"/>
          <w:shd w:val="clear" w:color="auto" w:fill="FFFFFF"/>
        </w:rPr>
        <w:t xml:space="preserve">1  </w:t>
      </w:r>
      <w:r>
        <w:rPr>
          <w:rFonts w:hint="eastAsia" w:hAnsi="宋体" w:cs="宋体"/>
          <w:bCs w:val="0"/>
          <w:szCs w:val="24"/>
          <w:shd w:val="clear" w:color="auto" w:fill="FFFFFF"/>
        </w:rPr>
        <w:t>按规定审查施工单位安全生产许可证、项目负责人、专职安全生产管理人员、建筑施工特种作业人员的相应资格证书；</w:t>
      </w:r>
    </w:p>
    <w:p>
      <w:pPr>
        <w:pStyle w:val="7"/>
        <w:ind w:firstLine="482" w:firstLineChars="200"/>
        <w:rPr>
          <w:rFonts w:hAnsi="宋体" w:cs="宋体"/>
          <w:b/>
          <w:szCs w:val="24"/>
          <w:shd w:val="clear" w:color="auto" w:fill="FFFFFF"/>
        </w:rPr>
      </w:pPr>
      <w:r>
        <w:rPr>
          <w:rFonts w:hint="eastAsia" w:hAnsi="宋体" w:cs="宋体"/>
          <w:b/>
          <w:szCs w:val="24"/>
          <w:shd w:val="clear" w:color="auto" w:fill="FFFFFF"/>
        </w:rPr>
        <w:t xml:space="preserve">2  </w:t>
      </w:r>
      <w:r>
        <w:rPr>
          <w:rFonts w:hint="eastAsia" w:hAnsi="宋体" w:cs="宋体"/>
          <w:bCs w:val="0"/>
          <w:szCs w:val="24"/>
          <w:shd w:val="clear" w:color="auto" w:fill="FFFFFF"/>
        </w:rPr>
        <w:t>总监理工程师按规定审批施工组织设计、专项施工方案和应急预案。</w:t>
      </w:r>
    </w:p>
    <w:p>
      <w:pPr>
        <w:pStyle w:val="7"/>
        <w:rPr>
          <w:rFonts w:hAnsi="宋体" w:cs="宋体"/>
          <w:szCs w:val="24"/>
          <w:shd w:val="clear" w:color="auto" w:fill="FFFFFF"/>
        </w:rPr>
      </w:pPr>
      <w:r>
        <w:rPr>
          <w:rFonts w:hint="eastAsia" w:hAnsi="宋体" w:cs="宋体"/>
          <w:b/>
          <w:szCs w:val="24"/>
          <w:shd w:val="clear" w:color="auto" w:fill="FFFFFF"/>
        </w:rPr>
        <w:t>3.2.6</w:t>
      </w:r>
      <w:r>
        <w:rPr>
          <w:rFonts w:hint="eastAsia" w:hAnsi="宋体" w:cs="宋体"/>
          <w:szCs w:val="24"/>
          <w:shd w:val="clear" w:color="auto" w:fill="FFFFFF"/>
        </w:rPr>
        <w:t xml:space="preserve">  安全检查应符合下列规定：</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1  </w:t>
      </w:r>
      <w:r>
        <w:rPr>
          <w:rFonts w:hint="eastAsia" w:hAnsi="宋体" w:cs="宋体"/>
          <w:szCs w:val="24"/>
          <w:shd w:val="clear" w:color="auto" w:fill="FFFFFF"/>
        </w:rPr>
        <w:t>按规定组织相关单位对施工现场进行安全检查；</w:t>
      </w:r>
    </w:p>
    <w:p>
      <w:pPr>
        <w:pStyle w:val="7"/>
        <w:ind w:firstLine="482" w:firstLineChars="200"/>
        <w:rPr>
          <w:rFonts w:hAnsi="宋体" w:cs="宋体"/>
          <w:color w:val="000000" w:themeColor="text1"/>
          <w:szCs w:val="24"/>
          <w:shd w:val="clear" w:color="auto" w:fill="FFFFFF"/>
        </w:rPr>
      </w:pPr>
      <w:r>
        <w:rPr>
          <w:rFonts w:hint="eastAsia" w:hAnsi="宋体" w:cs="宋体"/>
          <w:b/>
          <w:szCs w:val="24"/>
          <w:shd w:val="clear" w:color="auto" w:fill="FFFFFF"/>
        </w:rPr>
        <w:t xml:space="preserve">2 </w:t>
      </w:r>
      <w:r>
        <w:rPr>
          <w:rFonts w:hint="eastAsia" w:hAnsi="宋体" w:cs="宋体"/>
          <w:b/>
          <w:color w:val="000000" w:themeColor="text1"/>
          <w:szCs w:val="24"/>
          <w:shd w:val="clear" w:color="auto" w:fill="FFFFFF"/>
        </w:rPr>
        <w:t xml:space="preserve"> </w:t>
      </w:r>
      <w:r>
        <w:rPr>
          <w:rFonts w:hint="eastAsia" w:hAnsi="宋体" w:cs="宋体"/>
          <w:color w:val="000000" w:themeColor="text1"/>
          <w:szCs w:val="24"/>
          <w:shd w:val="clear" w:color="auto" w:fill="FFFFFF"/>
        </w:rPr>
        <w:t>发现安全隐患，及时下达监理通知单并督促整改，情况严重的，责令施工单位停工整改，并告知建设单位；对拒不停工整改的，及时向建设行政主管部门报告。</w:t>
      </w:r>
    </w:p>
    <w:p>
      <w:pPr>
        <w:pStyle w:val="7"/>
        <w:rPr>
          <w:rFonts w:hAnsi="宋体" w:cs="宋体"/>
          <w:bCs w:val="0"/>
          <w:szCs w:val="24"/>
          <w:highlight w:val="yellow"/>
          <w:shd w:val="clear" w:color="auto" w:fill="FFFFFF"/>
        </w:rPr>
      </w:pPr>
      <w:r>
        <w:rPr>
          <w:rFonts w:hint="eastAsia" w:hAnsi="宋体" w:cs="宋体"/>
          <w:b/>
          <w:szCs w:val="24"/>
          <w:shd w:val="clear" w:color="auto" w:fill="FFFFFF"/>
        </w:rPr>
        <w:t xml:space="preserve">3.2.7  </w:t>
      </w:r>
      <w:r>
        <w:rPr>
          <w:rFonts w:hint="eastAsia" w:hAnsi="宋体" w:cs="宋体"/>
          <w:bCs w:val="0"/>
          <w:szCs w:val="24"/>
          <w:shd w:val="clear" w:color="auto" w:fill="FFFFFF"/>
        </w:rPr>
        <w:t>危大工程管理应符合下列规定：</w:t>
      </w:r>
    </w:p>
    <w:p>
      <w:pPr>
        <w:pStyle w:val="7"/>
        <w:ind w:firstLine="480"/>
        <w:rPr>
          <w:rFonts w:hAnsi="宋体" w:cs="宋体"/>
          <w:szCs w:val="24"/>
          <w:shd w:val="clear" w:color="auto" w:fill="FFFFFF"/>
        </w:rPr>
      </w:pPr>
      <w:r>
        <w:rPr>
          <w:rFonts w:hint="eastAsia" w:hAnsi="宋体" w:cs="宋体"/>
          <w:b/>
          <w:bCs w:val="0"/>
          <w:szCs w:val="24"/>
          <w:shd w:val="clear" w:color="auto" w:fill="FFFFFF"/>
        </w:rPr>
        <w:t xml:space="preserve">1  </w:t>
      </w:r>
      <w:r>
        <w:rPr>
          <w:rFonts w:hint="eastAsia" w:hAnsi="宋体" w:cs="宋体"/>
          <w:szCs w:val="24"/>
          <w:shd w:val="clear" w:color="auto" w:fill="FFFFFF"/>
        </w:rPr>
        <w:t>参加超过一定规模的危大工程专项施工方案专家论证会；</w:t>
      </w:r>
    </w:p>
    <w:p>
      <w:pPr>
        <w:pStyle w:val="7"/>
        <w:ind w:firstLine="480"/>
        <w:rPr>
          <w:rFonts w:hAnsi="宋体" w:cs="宋体"/>
          <w:szCs w:val="24"/>
          <w:shd w:val="clear" w:color="auto" w:fill="FFFFFF"/>
        </w:rPr>
      </w:pPr>
      <w:r>
        <w:rPr>
          <w:rFonts w:hint="eastAsia" w:hAnsi="宋体" w:cs="宋体"/>
          <w:b/>
          <w:bCs w:val="0"/>
          <w:szCs w:val="24"/>
          <w:shd w:val="clear" w:color="auto" w:fill="FFFFFF"/>
        </w:rPr>
        <w:t xml:space="preserve">2  </w:t>
      </w:r>
      <w:r>
        <w:rPr>
          <w:rFonts w:hint="eastAsia" w:hAnsi="宋体" w:cs="宋体"/>
          <w:szCs w:val="24"/>
          <w:shd w:val="clear" w:color="auto" w:fill="FFFFFF"/>
        </w:rPr>
        <w:t>对危大工程施工实施专项巡视检查并做好相关记录；</w:t>
      </w:r>
    </w:p>
    <w:p>
      <w:pPr>
        <w:pStyle w:val="7"/>
        <w:ind w:firstLine="480"/>
        <w:rPr>
          <w:rFonts w:hAnsi="宋体" w:cs="宋体"/>
          <w:szCs w:val="24"/>
          <w:shd w:val="clear" w:color="auto" w:fill="FFFFFF"/>
        </w:rPr>
      </w:pPr>
      <w:r>
        <w:rPr>
          <w:rFonts w:hint="eastAsia" w:hAnsi="宋体" w:cs="宋体"/>
          <w:b/>
          <w:bCs w:val="0"/>
          <w:szCs w:val="24"/>
          <w:shd w:val="clear" w:color="auto" w:fill="FFFFFF"/>
        </w:rPr>
        <w:t xml:space="preserve">3  </w:t>
      </w:r>
      <w:r>
        <w:rPr>
          <w:rFonts w:hint="eastAsia" w:hAnsi="宋体" w:cs="宋体"/>
          <w:szCs w:val="24"/>
          <w:shd w:val="clear" w:color="auto" w:fill="FFFFFF"/>
        </w:rPr>
        <w:t>参与危大工程验收并做好相关记录。</w:t>
      </w:r>
    </w:p>
    <w:p>
      <w:pPr>
        <w:pStyle w:val="7"/>
        <w:rPr>
          <w:rFonts w:hAnsi="宋体" w:cs="宋体"/>
          <w:szCs w:val="24"/>
          <w:shd w:val="clear" w:color="auto" w:fill="FFFFFF"/>
        </w:rPr>
      </w:pPr>
      <w:r>
        <w:rPr>
          <w:rFonts w:hint="eastAsia" w:hAnsi="宋体" w:cs="宋体"/>
          <w:b/>
          <w:szCs w:val="24"/>
          <w:shd w:val="clear" w:color="auto" w:fill="FFFFFF"/>
        </w:rPr>
        <w:t xml:space="preserve">3.2.8  </w:t>
      </w:r>
      <w:r>
        <w:rPr>
          <w:rFonts w:hint="eastAsia" w:hAnsi="宋体" w:cs="宋体"/>
          <w:szCs w:val="24"/>
          <w:shd w:val="clear" w:color="auto" w:fill="FFFFFF"/>
        </w:rPr>
        <w:t>信息化管理应符合下列规定：</w:t>
      </w:r>
    </w:p>
    <w:p>
      <w:pPr>
        <w:pStyle w:val="7"/>
        <w:ind w:firstLine="480"/>
        <w:rPr>
          <w:rFonts w:hAnsi="宋体" w:cs="宋体"/>
          <w:szCs w:val="24"/>
          <w:shd w:val="clear" w:color="auto" w:fill="FFFFFF"/>
        </w:rPr>
      </w:pPr>
      <w:r>
        <w:rPr>
          <w:rFonts w:hint="eastAsia" w:hAnsi="宋体" w:cs="宋体"/>
          <w:b/>
          <w:bCs w:val="0"/>
          <w:szCs w:val="24"/>
          <w:shd w:val="clear" w:color="auto" w:fill="FFFFFF"/>
        </w:rPr>
        <w:t xml:space="preserve">1  </w:t>
      </w:r>
      <w:r>
        <w:rPr>
          <w:rFonts w:hint="eastAsia" w:hAnsi="宋体" w:cs="宋体"/>
          <w:szCs w:val="24"/>
          <w:shd w:val="clear" w:color="auto" w:fill="FFFFFF"/>
        </w:rPr>
        <w:t>总监理工程师实行实名制考勤；</w:t>
      </w:r>
    </w:p>
    <w:p>
      <w:pPr>
        <w:pStyle w:val="7"/>
        <w:ind w:firstLine="480"/>
        <w:rPr>
          <w:rFonts w:hAnsi="宋体" w:cs="宋体"/>
          <w:szCs w:val="24"/>
          <w:shd w:val="clear" w:color="auto" w:fill="FFFFFF"/>
        </w:rPr>
      </w:pPr>
      <w:r>
        <w:rPr>
          <w:rFonts w:hint="eastAsia" w:hAnsi="宋体" w:cs="宋体"/>
          <w:b/>
          <w:bCs w:val="0"/>
          <w:szCs w:val="24"/>
          <w:shd w:val="clear" w:color="auto" w:fill="FFFFFF"/>
        </w:rPr>
        <w:t xml:space="preserve">2  </w:t>
      </w:r>
      <w:r>
        <w:rPr>
          <w:rFonts w:hint="eastAsia" w:hAnsi="宋体" w:cs="宋体"/>
          <w:szCs w:val="24"/>
          <w:shd w:val="clear" w:color="auto" w:fill="FFFFFF"/>
        </w:rPr>
        <w:t>项目监理部利用相关信息化管理平台，开展施工现场日常监理工作，提高项目监理的管理效率。</w:t>
      </w:r>
    </w:p>
    <w:p>
      <w:pPr>
        <w:pStyle w:val="13"/>
        <w:tabs>
          <w:tab w:val="right" w:leader="dot" w:pos="8450"/>
        </w:tabs>
        <w:spacing w:beforeLines="100" w:afterLines="100" w:line="360" w:lineRule="auto"/>
        <w:jc w:val="center"/>
        <w:rPr>
          <w:rFonts w:ascii="宋体" w:hAnsi="宋体" w:cs="宋体"/>
          <w:b/>
          <w:sz w:val="24"/>
          <w:szCs w:val="24"/>
          <w:shd w:val="clear" w:color="auto" w:fill="FFFFFF"/>
        </w:rPr>
      </w:pPr>
      <w:r>
        <w:rPr>
          <w:rFonts w:hint="eastAsia" w:ascii="宋体" w:hAnsi="宋体" w:cs="宋体"/>
          <w:b/>
          <w:sz w:val="24"/>
          <w:szCs w:val="24"/>
          <w:shd w:val="clear" w:color="auto" w:fill="FFFFFF"/>
        </w:rPr>
        <w:t>3.3  施工单位安全管理</w:t>
      </w:r>
    </w:p>
    <w:p>
      <w:pPr>
        <w:pStyle w:val="7"/>
        <w:rPr>
          <w:rFonts w:hAnsi="宋体" w:cs="宋体"/>
          <w:szCs w:val="24"/>
          <w:shd w:val="clear" w:color="auto" w:fill="FFFFFF"/>
        </w:rPr>
      </w:pPr>
      <w:r>
        <w:rPr>
          <w:rFonts w:hint="eastAsia" w:hAnsi="宋体" w:cs="宋体"/>
          <w:b/>
          <w:szCs w:val="24"/>
          <w:shd w:val="clear" w:color="auto" w:fill="FFFFFF"/>
        </w:rPr>
        <w:t xml:space="preserve">3.3.1  </w:t>
      </w:r>
      <w:r>
        <w:rPr>
          <w:rFonts w:hint="eastAsia" w:hAnsi="宋体" w:cs="宋体"/>
          <w:szCs w:val="24"/>
          <w:shd w:val="clear" w:color="auto" w:fill="FFFFFF"/>
        </w:rPr>
        <w:t>施工单位安全管理评价应符合国家现行有关安全生产的法律、法规、标准的规定。</w:t>
      </w:r>
    </w:p>
    <w:p>
      <w:pPr>
        <w:pStyle w:val="7"/>
        <w:rPr>
          <w:rFonts w:hAnsi="宋体" w:cs="宋体"/>
          <w:szCs w:val="24"/>
          <w:shd w:val="clear" w:color="auto" w:fill="FFFFFF"/>
        </w:rPr>
      </w:pPr>
      <w:r>
        <w:rPr>
          <w:rFonts w:hint="eastAsia" w:hAnsi="宋体" w:cs="宋体"/>
          <w:b/>
          <w:szCs w:val="24"/>
          <w:shd w:val="clear" w:color="auto" w:fill="FFFFFF"/>
        </w:rPr>
        <w:t xml:space="preserve">3.3.2  </w:t>
      </w:r>
      <w:r>
        <w:rPr>
          <w:rFonts w:hint="eastAsia" w:hAnsi="宋体" w:cs="宋体"/>
          <w:szCs w:val="24"/>
          <w:shd w:val="clear" w:color="auto" w:fill="FFFFFF"/>
        </w:rPr>
        <w:t>施工单位安全管理评价项目包括：安全生产责任制、施工组织设计及专项施工方案、安全技术交底、安全检查、安全教育培训、应急救援、信息化管理。</w:t>
      </w:r>
    </w:p>
    <w:p>
      <w:pPr>
        <w:pStyle w:val="7"/>
        <w:rPr>
          <w:rFonts w:hAnsi="宋体" w:cs="宋体"/>
          <w:szCs w:val="24"/>
          <w:shd w:val="clear" w:color="auto" w:fill="FFFFFF"/>
        </w:rPr>
      </w:pPr>
      <w:r>
        <w:rPr>
          <w:rFonts w:hint="eastAsia" w:hAnsi="宋体" w:cs="宋体"/>
          <w:b/>
          <w:szCs w:val="24"/>
          <w:shd w:val="clear" w:color="auto" w:fill="FFFFFF"/>
        </w:rPr>
        <w:t xml:space="preserve">3.3.3  </w:t>
      </w:r>
      <w:r>
        <w:rPr>
          <w:rFonts w:hint="eastAsia" w:hAnsi="宋体" w:cs="宋体"/>
          <w:szCs w:val="24"/>
          <w:shd w:val="clear" w:color="auto" w:fill="FFFFFF"/>
        </w:rPr>
        <w:t>安全生产责任制应符合下列规定：</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1  </w:t>
      </w:r>
      <w:r>
        <w:rPr>
          <w:rFonts w:hint="eastAsia" w:hAnsi="宋体" w:cs="宋体"/>
          <w:szCs w:val="24"/>
          <w:shd w:val="clear" w:color="auto" w:fill="FFFFFF"/>
        </w:rPr>
        <w:t>施工单位与项目部签订的安全生产目标责任书中应明确安全文明、绿色施工、标准化建设等管理目标；</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2  </w:t>
      </w:r>
      <w:r>
        <w:rPr>
          <w:rFonts w:hint="eastAsia" w:hAnsi="宋体" w:cs="宋体"/>
          <w:szCs w:val="24"/>
          <w:shd w:val="clear" w:color="auto" w:fill="FFFFFF"/>
        </w:rPr>
        <w:t>组织开展项目安全生产标准化自评工作；</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3  </w:t>
      </w:r>
      <w:r>
        <w:rPr>
          <w:rFonts w:hint="eastAsia" w:hAnsi="宋体" w:cs="宋体"/>
          <w:szCs w:val="24"/>
          <w:shd w:val="clear" w:color="auto" w:fill="FFFFFF"/>
        </w:rPr>
        <w:t>建立以项目负责人为第一责任人的全员安全生产责任制，并经责任人签字确认；</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4  </w:t>
      </w:r>
      <w:r>
        <w:rPr>
          <w:rFonts w:hint="eastAsia" w:hAnsi="宋体" w:cs="宋体"/>
          <w:szCs w:val="24"/>
          <w:shd w:val="clear" w:color="auto" w:fill="FFFFFF"/>
        </w:rPr>
        <w:t>按规定配备项目专职安全</w:t>
      </w:r>
      <w:r>
        <w:rPr>
          <w:rFonts w:hint="eastAsia" w:hAnsi="宋体" w:cs="宋体"/>
          <w:color w:val="000000" w:themeColor="text1"/>
          <w:szCs w:val="24"/>
          <w:shd w:val="clear" w:color="auto" w:fill="FFFFFF"/>
        </w:rPr>
        <w:t>生产</w:t>
      </w:r>
      <w:r>
        <w:rPr>
          <w:rFonts w:hint="eastAsia" w:hAnsi="宋体" w:cs="宋体"/>
          <w:szCs w:val="24"/>
          <w:shd w:val="clear" w:color="auto" w:fill="FFFFFF"/>
        </w:rPr>
        <w:t>管理人员，并执行安全日志制度，每日开展安全生产检查，真实记录安全生产管理情况；</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5  </w:t>
      </w:r>
      <w:r>
        <w:rPr>
          <w:rFonts w:hint="eastAsia" w:hAnsi="宋体" w:cs="宋体"/>
          <w:szCs w:val="24"/>
          <w:shd w:val="clear" w:color="auto" w:fill="FFFFFF"/>
        </w:rPr>
        <w:t>编制</w:t>
      </w:r>
      <w:r>
        <w:rPr>
          <w:rFonts w:hint="eastAsia" w:hAnsi="宋体" w:cs="宋体"/>
          <w:bCs w:val="0"/>
          <w:shd w:val="clear" w:color="auto" w:fill="FFFFFF"/>
        </w:rPr>
        <w:t>安全文明施工措施费</w:t>
      </w:r>
      <w:r>
        <w:rPr>
          <w:rFonts w:hint="eastAsia" w:hAnsi="宋体" w:cs="宋体"/>
          <w:szCs w:val="24"/>
          <w:shd w:val="clear" w:color="auto" w:fill="FFFFFF"/>
        </w:rPr>
        <w:t>提取和使用计划，并按计划实施；</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6  </w:t>
      </w:r>
      <w:r>
        <w:rPr>
          <w:rFonts w:hint="eastAsia" w:hAnsi="宋体" w:cs="宋体"/>
          <w:szCs w:val="24"/>
          <w:shd w:val="clear" w:color="auto" w:fill="FFFFFF"/>
        </w:rPr>
        <w:t>依法购买安全生产责任保险；</w:t>
      </w:r>
      <w:r>
        <w:rPr>
          <w:rFonts w:hAnsi="宋体" w:cs="宋体"/>
          <w:szCs w:val="24"/>
          <w:shd w:val="clear" w:color="auto" w:fill="FFFFFF"/>
        </w:rPr>
        <w:t xml:space="preserve"> </w:t>
      </w:r>
    </w:p>
    <w:p>
      <w:pPr>
        <w:pStyle w:val="7"/>
        <w:ind w:firstLine="480"/>
        <w:rPr>
          <w:rFonts w:hAnsi="宋体" w:cs="宋体"/>
          <w:szCs w:val="24"/>
          <w:shd w:val="clear" w:color="auto" w:fill="FFFFFF"/>
        </w:rPr>
      </w:pPr>
      <w:r>
        <w:rPr>
          <w:rFonts w:hint="eastAsia" w:hAnsi="宋体" w:cs="宋体"/>
          <w:b/>
          <w:szCs w:val="24"/>
          <w:shd w:val="clear" w:color="auto" w:fill="FFFFFF"/>
        </w:rPr>
        <w:t xml:space="preserve">7  </w:t>
      </w:r>
      <w:r>
        <w:rPr>
          <w:rFonts w:hint="eastAsia" w:hAnsi="宋体" w:cs="宋体"/>
          <w:szCs w:val="24"/>
          <w:shd w:val="clear" w:color="auto" w:fill="FFFFFF"/>
        </w:rPr>
        <w:t>项目负责人、专职安全生产管理人员和特种作业人员取得相应资格证书，持证上岗；</w:t>
      </w:r>
    </w:p>
    <w:p>
      <w:pPr>
        <w:pStyle w:val="7"/>
        <w:ind w:firstLine="480"/>
        <w:rPr>
          <w:rFonts w:hAnsi="宋体" w:cs="宋体"/>
          <w:szCs w:val="24"/>
          <w:shd w:val="clear" w:color="auto" w:fill="FFFFFF"/>
        </w:rPr>
      </w:pPr>
      <w:r>
        <w:rPr>
          <w:rFonts w:hint="eastAsia" w:hAnsi="宋体" w:cs="宋体"/>
          <w:b/>
          <w:szCs w:val="24"/>
          <w:shd w:val="clear" w:color="auto" w:fill="FFFFFF"/>
        </w:rPr>
        <w:t xml:space="preserve">8  </w:t>
      </w:r>
      <w:r>
        <w:rPr>
          <w:rFonts w:hint="eastAsia" w:hAnsi="宋体" w:cs="宋体"/>
          <w:szCs w:val="24"/>
          <w:shd w:val="clear" w:color="auto" w:fill="FFFFFF"/>
        </w:rPr>
        <w:t>专职安全生产管理人员证书的企业名称应与项目施工单位一致；</w:t>
      </w:r>
    </w:p>
    <w:p>
      <w:pPr>
        <w:pStyle w:val="7"/>
        <w:ind w:firstLine="480"/>
        <w:rPr>
          <w:rFonts w:hAnsi="宋体" w:cs="宋体"/>
          <w:szCs w:val="24"/>
          <w:highlight w:val="yellow"/>
          <w:shd w:val="clear" w:color="auto" w:fill="FFFFFF"/>
        </w:rPr>
      </w:pPr>
      <w:r>
        <w:rPr>
          <w:rFonts w:hint="eastAsia" w:hAnsi="宋体" w:cs="宋体"/>
          <w:b/>
          <w:color w:val="000000" w:themeColor="text1"/>
          <w:szCs w:val="24"/>
          <w:shd w:val="clear" w:color="auto" w:fill="FFFFFF"/>
        </w:rPr>
        <w:t>9</w:t>
      </w:r>
      <w:r>
        <w:rPr>
          <w:rFonts w:hint="eastAsia" w:hAnsi="宋体" w:cs="宋体"/>
          <w:szCs w:val="24"/>
          <w:shd w:val="clear" w:color="auto" w:fill="FFFFFF"/>
        </w:rPr>
        <w:t xml:space="preserve"> </w:t>
      </w:r>
      <w:r>
        <w:rPr>
          <w:rFonts w:hint="eastAsia" w:hAnsi="宋体" w:cs="宋体"/>
          <w:color w:val="000000" w:themeColor="text1"/>
          <w:szCs w:val="24"/>
          <w:shd w:val="clear" w:color="auto" w:fill="FFFFFF"/>
        </w:rPr>
        <w:t xml:space="preserve"> 按要求组织作业人员健康体检并建立档案。</w:t>
      </w:r>
    </w:p>
    <w:p>
      <w:pPr>
        <w:pStyle w:val="7"/>
        <w:rPr>
          <w:rFonts w:hAnsi="宋体" w:cs="宋体"/>
          <w:szCs w:val="24"/>
          <w:shd w:val="clear" w:color="auto" w:fill="FFFFFF"/>
        </w:rPr>
      </w:pPr>
      <w:r>
        <w:rPr>
          <w:rFonts w:hint="eastAsia" w:hAnsi="宋体" w:cs="宋体"/>
          <w:b/>
          <w:szCs w:val="24"/>
          <w:shd w:val="clear" w:color="auto" w:fill="FFFFFF"/>
        </w:rPr>
        <w:t xml:space="preserve">3.3.4  </w:t>
      </w:r>
      <w:r>
        <w:rPr>
          <w:rFonts w:hint="eastAsia" w:hAnsi="宋体" w:cs="宋体"/>
          <w:szCs w:val="24"/>
          <w:shd w:val="clear" w:color="auto" w:fill="FFFFFF"/>
        </w:rPr>
        <w:t>施工组织设计及专项施工方案应符合下列规定：</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1  </w:t>
      </w:r>
      <w:r>
        <w:rPr>
          <w:rFonts w:hint="eastAsia" w:hAnsi="宋体" w:cs="宋体"/>
          <w:szCs w:val="24"/>
          <w:shd w:val="clear" w:color="auto" w:fill="FFFFFF"/>
        </w:rPr>
        <w:t>编制施工组织设计和专项施工方案，审核、审批手续齐全；</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2  </w:t>
      </w:r>
      <w:r>
        <w:rPr>
          <w:rFonts w:hint="eastAsia" w:hAnsi="宋体" w:cs="宋体"/>
          <w:szCs w:val="24"/>
          <w:shd w:val="clear" w:color="auto" w:fill="FFFFFF"/>
        </w:rPr>
        <w:t>对超过一定规模的危险性较大分部分项工程专项施工方案，组织专家论证；</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3  </w:t>
      </w:r>
      <w:r>
        <w:rPr>
          <w:rFonts w:hint="eastAsia" w:hAnsi="宋体" w:cs="宋体"/>
          <w:szCs w:val="24"/>
          <w:shd w:val="clear" w:color="auto" w:fill="FFFFFF"/>
        </w:rPr>
        <w:t>严格按照专项施工方案组织实施。</w:t>
      </w:r>
    </w:p>
    <w:p>
      <w:pPr>
        <w:pStyle w:val="7"/>
        <w:rPr>
          <w:rFonts w:hAnsi="宋体" w:cs="宋体"/>
          <w:szCs w:val="24"/>
          <w:shd w:val="clear" w:color="auto" w:fill="FFFFFF"/>
        </w:rPr>
      </w:pPr>
      <w:r>
        <w:rPr>
          <w:rFonts w:hint="eastAsia" w:hAnsi="宋体" w:cs="宋体"/>
          <w:b/>
          <w:szCs w:val="24"/>
          <w:shd w:val="clear" w:color="auto" w:fill="FFFFFF"/>
        </w:rPr>
        <w:t>3.3.5</w:t>
      </w:r>
      <w:r>
        <w:rPr>
          <w:rFonts w:hint="eastAsia" w:hAnsi="宋体" w:cs="宋体"/>
          <w:szCs w:val="24"/>
          <w:shd w:val="clear" w:color="auto" w:fill="FFFFFF"/>
        </w:rPr>
        <w:t xml:space="preserve">  安全教育培训应符合下列规定：</w:t>
      </w:r>
    </w:p>
    <w:p>
      <w:pPr>
        <w:pStyle w:val="7"/>
        <w:ind w:firstLine="361" w:firstLineChars="150"/>
        <w:rPr>
          <w:rFonts w:hAnsi="宋体" w:cs="宋体"/>
          <w:szCs w:val="24"/>
          <w:shd w:val="clear" w:color="auto" w:fill="FFFFFF"/>
        </w:rPr>
      </w:pPr>
      <w:r>
        <w:rPr>
          <w:rFonts w:hint="eastAsia" w:hAnsi="宋体" w:cs="宋体"/>
          <w:b/>
          <w:szCs w:val="24"/>
          <w:shd w:val="clear" w:color="auto" w:fill="FFFFFF"/>
        </w:rPr>
        <w:t xml:space="preserve"> 1  </w:t>
      </w:r>
      <w:r>
        <w:rPr>
          <w:rFonts w:hint="eastAsia" w:hAnsi="宋体" w:cs="宋体"/>
          <w:szCs w:val="24"/>
          <w:shd w:val="clear" w:color="auto" w:fill="FFFFFF"/>
        </w:rPr>
        <w:t>制定并执行安全教育培训制度；</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2  </w:t>
      </w:r>
      <w:r>
        <w:rPr>
          <w:rFonts w:hint="eastAsia" w:hAnsi="宋体" w:cs="宋体"/>
          <w:szCs w:val="24"/>
          <w:shd w:val="clear" w:color="auto" w:fill="FFFFFF"/>
        </w:rPr>
        <w:t>项目管理人员、施工作业人员必须接受安全教育培训，经考核合格后方可上岗；</w:t>
      </w:r>
    </w:p>
    <w:p>
      <w:pPr>
        <w:pStyle w:val="7"/>
        <w:ind w:firstLine="482" w:firstLineChars="200"/>
        <w:rPr>
          <w:rFonts w:hAnsi="宋体" w:cs="宋体"/>
          <w:szCs w:val="24"/>
          <w:highlight w:val="yellow"/>
          <w:shd w:val="clear" w:color="auto" w:fill="FFFFFF"/>
        </w:rPr>
      </w:pPr>
      <w:r>
        <w:rPr>
          <w:rFonts w:hint="eastAsia" w:hAnsi="宋体" w:cs="宋体"/>
          <w:b/>
          <w:szCs w:val="24"/>
          <w:shd w:val="clear" w:color="auto" w:fill="FFFFFF"/>
        </w:rPr>
        <w:t xml:space="preserve">3 </w:t>
      </w:r>
      <w:r>
        <w:rPr>
          <w:rFonts w:hint="eastAsia" w:hAnsi="宋体" w:cs="宋体"/>
          <w:szCs w:val="24"/>
          <w:shd w:val="clear" w:color="auto" w:fill="FFFFFF"/>
        </w:rPr>
        <w:t xml:space="preserve"> 建立健全安全教育培训档案。</w:t>
      </w:r>
    </w:p>
    <w:p>
      <w:pPr>
        <w:pStyle w:val="7"/>
        <w:rPr>
          <w:rFonts w:hAnsi="宋体" w:cs="宋体"/>
          <w:szCs w:val="24"/>
          <w:shd w:val="clear" w:color="auto" w:fill="FFFFFF"/>
        </w:rPr>
      </w:pPr>
      <w:r>
        <w:rPr>
          <w:rFonts w:hint="eastAsia" w:hAnsi="宋体" w:cs="宋体"/>
          <w:b/>
          <w:szCs w:val="24"/>
          <w:shd w:val="clear" w:color="auto" w:fill="FFFFFF"/>
        </w:rPr>
        <w:t xml:space="preserve">3.3.6  </w:t>
      </w:r>
      <w:r>
        <w:rPr>
          <w:rFonts w:hint="eastAsia" w:hAnsi="宋体" w:cs="宋体"/>
          <w:szCs w:val="24"/>
          <w:shd w:val="clear" w:color="auto" w:fill="FFFFFF"/>
        </w:rPr>
        <w:t>安全技术交底应符合下列规定：</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1</w:t>
      </w:r>
      <w:r>
        <w:rPr>
          <w:rFonts w:hint="eastAsia" w:hAnsi="宋体" w:cs="宋体"/>
          <w:szCs w:val="24"/>
          <w:shd w:val="clear" w:color="auto" w:fill="FFFFFF"/>
        </w:rPr>
        <w:t xml:space="preserve">  制定并实施安全技术交底制度；</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2  </w:t>
      </w:r>
      <w:r>
        <w:rPr>
          <w:rFonts w:hint="eastAsia" w:hAnsi="宋体" w:cs="宋体"/>
          <w:szCs w:val="24"/>
          <w:shd w:val="clear" w:color="auto" w:fill="FFFFFF"/>
        </w:rPr>
        <w:t>危大工程专项施工方案实施前，编制人员或项目技术负责人应向施工现场管理人员进行方案交底；施工现场管理人员应向作业人员进行安全技术交底，并由双方和项目专职安全生产管理人员共同签字确认。</w:t>
      </w:r>
    </w:p>
    <w:p>
      <w:pPr>
        <w:pStyle w:val="7"/>
        <w:rPr>
          <w:rFonts w:hAnsi="宋体" w:cs="宋体"/>
          <w:szCs w:val="24"/>
          <w:shd w:val="clear" w:color="auto" w:fill="FFFFFF"/>
        </w:rPr>
      </w:pPr>
      <w:r>
        <w:rPr>
          <w:rFonts w:hint="eastAsia" w:hAnsi="宋体" w:cs="宋体"/>
          <w:b/>
          <w:szCs w:val="24"/>
          <w:shd w:val="clear" w:color="auto" w:fill="FFFFFF"/>
        </w:rPr>
        <w:t>3.3.7</w:t>
      </w:r>
      <w:r>
        <w:rPr>
          <w:rFonts w:hint="eastAsia" w:hAnsi="宋体" w:cs="宋体"/>
          <w:szCs w:val="24"/>
          <w:shd w:val="clear" w:color="auto" w:fill="FFFFFF"/>
        </w:rPr>
        <w:t xml:space="preserve">  安全检查应符合下列规定</w:t>
      </w:r>
      <w:r>
        <w:rPr>
          <w:rFonts w:hAnsi="宋体" w:cs="宋体"/>
          <w:szCs w:val="24"/>
          <w:shd w:val="clear" w:color="auto" w:fill="FFFFFF"/>
        </w:rPr>
        <w:t xml:space="preserve"> </w:t>
      </w:r>
    </w:p>
    <w:p>
      <w:pPr>
        <w:pStyle w:val="7"/>
        <w:ind w:firstLine="482" w:firstLineChars="200"/>
        <w:rPr>
          <w:rFonts w:hAnsi="宋体" w:cs="宋体"/>
          <w:szCs w:val="24"/>
          <w:shd w:val="clear" w:color="auto" w:fill="FFFFFF"/>
        </w:rPr>
      </w:pPr>
      <w:r>
        <w:rPr>
          <w:rFonts w:hint="eastAsia" w:hAnsi="宋体" w:cs="宋体"/>
          <w:b/>
          <w:bCs w:val="0"/>
          <w:szCs w:val="24"/>
          <w:shd w:val="clear" w:color="auto" w:fill="FFFFFF"/>
        </w:rPr>
        <w:t xml:space="preserve">1 </w:t>
      </w:r>
      <w:r>
        <w:rPr>
          <w:rFonts w:hint="eastAsia" w:hAnsi="宋体" w:cs="宋体"/>
          <w:szCs w:val="24"/>
          <w:shd w:val="clear" w:color="auto" w:fill="FFFFFF"/>
        </w:rPr>
        <w:t xml:space="preserve"> 建立健全安全风险分级管控及隐患排查治理双重预防机制，对各类安全风险进行分级管控，开展隐患排查治理；</w:t>
      </w:r>
    </w:p>
    <w:p>
      <w:pPr>
        <w:pStyle w:val="7"/>
        <w:ind w:firstLine="482" w:firstLineChars="200"/>
        <w:rPr>
          <w:rFonts w:hAnsi="宋体" w:cs="宋体"/>
          <w:b/>
          <w:shd w:val="clear" w:color="auto" w:fill="FFFFFF"/>
        </w:rPr>
      </w:pPr>
      <w:r>
        <w:rPr>
          <w:rFonts w:hint="eastAsia" w:hAnsi="宋体" w:cs="宋体"/>
          <w:b/>
          <w:shd w:val="clear" w:color="auto" w:fill="FFFFFF"/>
        </w:rPr>
        <w:t xml:space="preserve">2  </w:t>
      </w:r>
      <w:r>
        <w:rPr>
          <w:rFonts w:hint="eastAsia" w:hAnsi="宋体" w:cs="宋体"/>
          <w:shd w:val="clear" w:color="auto" w:fill="FFFFFF"/>
        </w:rPr>
        <w:t>建立并落实各项安全生产检查制度，并如实记录检查情况；</w:t>
      </w:r>
    </w:p>
    <w:p>
      <w:pPr>
        <w:pStyle w:val="7"/>
        <w:ind w:firstLine="472" w:firstLineChars="196"/>
        <w:rPr>
          <w:rFonts w:hAnsi="宋体" w:cs="宋体"/>
          <w:szCs w:val="24"/>
          <w:shd w:val="clear" w:color="auto" w:fill="FFFFFF"/>
        </w:rPr>
      </w:pPr>
      <w:r>
        <w:rPr>
          <w:rFonts w:hint="eastAsia" w:hAnsi="宋体" w:cs="宋体"/>
          <w:b/>
          <w:szCs w:val="24"/>
          <w:shd w:val="clear" w:color="auto" w:fill="FFFFFF"/>
        </w:rPr>
        <w:t xml:space="preserve">3  </w:t>
      </w:r>
      <w:r>
        <w:rPr>
          <w:rFonts w:hint="eastAsia" w:hAnsi="宋体" w:cs="宋体"/>
          <w:szCs w:val="24"/>
          <w:shd w:val="clear" w:color="auto" w:fill="FFFFFF"/>
        </w:rPr>
        <w:t>危大工程施工过程中，项目专职安全生产管理人员对专项方案实施情况进行现场监督；</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4  </w:t>
      </w:r>
      <w:r>
        <w:rPr>
          <w:rFonts w:hint="eastAsia" w:hAnsi="宋体" w:cs="宋体"/>
          <w:szCs w:val="24"/>
          <w:shd w:val="clear" w:color="auto" w:fill="FFFFFF"/>
        </w:rPr>
        <w:t>对检查发现的安全隐患，及时落实整改并做好记录。</w:t>
      </w:r>
    </w:p>
    <w:p>
      <w:pPr>
        <w:pStyle w:val="7"/>
        <w:rPr>
          <w:rFonts w:hAnsi="宋体" w:cs="宋体"/>
          <w:szCs w:val="24"/>
          <w:shd w:val="clear" w:color="auto" w:fill="FFFFFF"/>
        </w:rPr>
      </w:pPr>
      <w:r>
        <w:rPr>
          <w:rFonts w:hint="eastAsia" w:hAnsi="宋体" w:cs="宋体"/>
          <w:b/>
          <w:szCs w:val="24"/>
          <w:shd w:val="clear" w:color="auto" w:fill="FFFFFF"/>
        </w:rPr>
        <w:t>3.3.8</w:t>
      </w:r>
      <w:r>
        <w:rPr>
          <w:rFonts w:hint="eastAsia" w:hAnsi="宋体" w:cs="宋体"/>
          <w:szCs w:val="24"/>
          <w:shd w:val="clear" w:color="auto" w:fill="FFFFFF"/>
        </w:rPr>
        <w:t xml:space="preserve">  应急救援应符合下列规定：</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1  </w:t>
      </w:r>
      <w:r>
        <w:rPr>
          <w:rFonts w:hint="eastAsia" w:hAnsi="宋体" w:cs="宋体"/>
          <w:szCs w:val="24"/>
          <w:shd w:val="clear" w:color="auto" w:fill="FFFFFF"/>
        </w:rPr>
        <w:t>制定应急预案，配备相应的应急物资和设备；</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2  </w:t>
      </w:r>
      <w:r>
        <w:rPr>
          <w:rFonts w:hint="eastAsia" w:hAnsi="宋体" w:cs="宋体"/>
          <w:szCs w:val="24"/>
          <w:shd w:val="clear" w:color="auto" w:fill="FFFFFF"/>
        </w:rPr>
        <w:t>定期组织开展应急救援专项演练，及时评估完善应急预案。</w:t>
      </w:r>
    </w:p>
    <w:p>
      <w:pPr>
        <w:pStyle w:val="7"/>
        <w:rPr>
          <w:rFonts w:hAnsi="宋体" w:cs="宋体"/>
          <w:szCs w:val="24"/>
          <w:shd w:val="clear" w:color="auto" w:fill="FFFFFF"/>
        </w:rPr>
      </w:pPr>
      <w:r>
        <w:rPr>
          <w:rFonts w:hint="eastAsia" w:hAnsi="宋体" w:cs="宋体"/>
          <w:b/>
          <w:szCs w:val="24"/>
          <w:shd w:val="clear" w:color="auto" w:fill="FFFFFF"/>
        </w:rPr>
        <w:t xml:space="preserve">3.3.9 </w:t>
      </w:r>
      <w:r>
        <w:rPr>
          <w:rFonts w:hint="eastAsia" w:hAnsi="宋体" w:cs="宋体"/>
          <w:szCs w:val="24"/>
          <w:shd w:val="clear" w:color="auto" w:fill="FFFFFF"/>
        </w:rPr>
        <w:t xml:space="preserve"> 信息化管理应符合下列规定：</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1  </w:t>
      </w:r>
      <w:r>
        <w:rPr>
          <w:rFonts w:hint="eastAsia" w:hAnsi="宋体" w:cs="宋体"/>
          <w:szCs w:val="24"/>
          <w:shd w:val="clear" w:color="auto" w:fill="FFFFFF"/>
        </w:rPr>
        <w:t>项目负责人、专职安全生产管理人员等关键岗位人员应实行实名制考勤；</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2  </w:t>
      </w:r>
      <w:r>
        <w:rPr>
          <w:rFonts w:hint="eastAsia" w:hAnsi="宋体" w:cs="宋体"/>
          <w:szCs w:val="24"/>
          <w:shd w:val="clear" w:color="auto" w:fill="FFFFFF"/>
        </w:rPr>
        <w:t>利用智慧管理系统对施工现场生产安全进行动态管理，推动建筑安全生产管理工作，提高安全生产技术水平。</w:t>
      </w:r>
    </w:p>
    <w:p>
      <w:pPr>
        <w:pStyle w:val="7"/>
        <w:ind w:firstLine="480" w:firstLineChars="200"/>
        <w:rPr>
          <w:rFonts w:hAnsi="宋体" w:cs="宋体"/>
          <w:szCs w:val="24"/>
          <w:shd w:val="clear" w:color="auto" w:fill="FFFFFF"/>
        </w:rPr>
      </w:pPr>
    </w:p>
    <w:p>
      <w:pPr>
        <w:pStyle w:val="13"/>
        <w:tabs>
          <w:tab w:val="right" w:leader="dot" w:pos="8450"/>
        </w:tabs>
        <w:spacing w:beforeLines="100" w:afterLines="100" w:line="360" w:lineRule="auto"/>
        <w:jc w:val="center"/>
        <w:rPr>
          <w:rFonts w:ascii="宋体" w:hAnsi="宋体" w:cs="宋体"/>
          <w:b/>
          <w:sz w:val="24"/>
          <w:szCs w:val="24"/>
          <w:shd w:val="clear" w:color="auto" w:fill="FFFFFF"/>
        </w:rPr>
      </w:pPr>
      <w:bookmarkStart w:id="15" w:name="_Toc437346461"/>
      <w:r>
        <w:rPr>
          <w:rFonts w:hint="eastAsia" w:ascii="宋体" w:hAnsi="宋体" w:cs="宋体"/>
          <w:b/>
          <w:sz w:val="24"/>
          <w:szCs w:val="24"/>
          <w:shd w:val="clear" w:color="auto" w:fill="FFFFFF"/>
        </w:rPr>
        <w:t>3.4  文明施工</w:t>
      </w:r>
    </w:p>
    <w:bookmarkEnd w:id="15"/>
    <w:p>
      <w:pPr>
        <w:pStyle w:val="7"/>
        <w:rPr>
          <w:rFonts w:hAnsi="宋体" w:cs="宋体"/>
          <w:bCs w:val="0"/>
          <w:szCs w:val="24"/>
          <w:shd w:val="clear" w:color="auto" w:fill="FFFFFF"/>
        </w:rPr>
      </w:pPr>
      <w:r>
        <w:rPr>
          <w:rFonts w:hint="eastAsia" w:hAnsi="宋体" w:cs="宋体"/>
          <w:b/>
          <w:szCs w:val="24"/>
          <w:shd w:val="clear" w:color="auto" w:fill="FFFFFF"/>
        </w:rPr>
        <w:t>3.4.1</w:t>
      </w:r>
      <w:r>
        <w:rPr>
          <w:rFonts w:hint="eastAsia" w:hAnsi="宋体" w:cs="宋体"/>
          <w:bCs w:val="0"/>
          <w:szCs w:val="24"/>
          <w:shd w:val="clear" w:color="auto" w:fill="FFFFFF"/>
        </w:rPr>
        <w:t xml:space="preserve">  文明施工评应符合《建筑与市政施工现场安全卫生与职业健康通用规范》、《建设工程施工现场环境与卫生标准》JGJ146、《施工现场临时建筑物技术规范》JGJ／T188及《建设工程施工现场消防安全技术规范》GB50720等相关标准、规范的规定。</w:t>
      </w:r>
    </w:p>
    <w:p>
      <w:pPr>
        <w:pStyle w:val="7"/>
        <w:rPr>
          <w:rFonts w:hAnsi="宋体" w:cs="宋体"/>
          <w:b/>
          <w:szCs w:val="24"/>
          <w:shd w:val="clear" w:color="auto" w:fill="FFFFFF"/>
        </w:rPr>
      </w:pPr>
      <w:r>
        <w:rPr>
          <w:rFonts w:hint="eastAsia" w:hAnsi="宋体" w:cs="宋体"/>
          <w:b/>
          <w:szCs w:val="24"/>
          <w:shd w:val="clear" w:color="auto" w:fill="FFFFFF"/>
        </w:rPr>
        <w:t xml:space="preserve">3.4.2  </w:t>
      </w:r>
      <w:r>
        <w:rPr>
          <w:rFonts w:hint="eastAsia" w:hAnsi="宋体" w:cs="宋体"/>
          <w:bCs w:val="0"/>
          <w:szCs w:val="24"/>
          <w:shd w:val="clear" w:color="auto" w:fill="FFFFFF"/>
        </w:rPr>
        <w:t>文明施工评价项目包括:工程整体形象、现场出入口及道路、现场材料管理、临时设施、现场消防、施工现场防尘。</w:t>
      </w:r>
    </w:p>
    <w:p>
      <w:pPr>
        <w:pStyle w:val="7"/>
        <w:rPr>
          <w:rFonts w:hAnsi="宋体" w:cs="宋体"/>
          <w:bCs w:val="0"/>
          <w:szCs w:val="24"/>
          <w:shd w:val="clear" w:color="auto" w:fill="FFFFFF"/>
        </w:rPr>
      </w:pPr>
      <w:r>
        <w:rPr>
          <w:rFonts w:hint="eastAsia" w:hAnsi="宋体" w:cs="宋体"/>
          <w:b/>
          <w:szCs w:val="24"/>
          <w:shd w:val="clear" w:color="auto" w:fill="FFFFFF"/>
        </w:rPr>
        <w:t xml:space="preserve">3.4.3  </w:t>
      </w:r>
      <w:r>
        <w:rPr>
          <w:rFonts w:hint="eastAsia" w:hAnsi="宋体" w:cs="宋体"/>
          <w:bCs w:val="0"/>
          <w:szCs w:val="24"/>
          <w:shd w:val="clear" w:color="auto" w:fill="FFFFFF"/>
        </w:rPr>
        <w:t>工程整体形象应符合下列规定：</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1</w:t>
      </w:r>
      <w:r>
        <w:rPr>
          <w:rFonts w:hint="eastAsia" w:hAnsi="宋体" w:cs="宋体"/>
          <w:bCs w:val="0"/>
          <w:szCs w:val="24"/>
          <w:shd w:val="clear" w:color="auto" w:fill="FFFFFF"/>
        </w:rPr>
        <w:t xml:space="preserve">  保持施工现场干净整洁、防护严密、标识标牌醒目美观；</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2</w:t>
      </w:r>
      <w:r>
        <w:rPr>
          <w:rFonts w:hint="eastAsia" w:hAnsi="宋体" w:cs="宋体"/>
          <w:bCs w:val="0"/>
          <w:szCs w:val="24"/>
          <w:shd w:val="clear" w:color="auto" w:fill="FFFFFF"/>
        </w:rPr>
        <w:t xml:space="preserve">  施工现场必须采用硬质材料实行全封闭，围挡高度满足要求，鼓励使用工具化、定型化围挡，围挡稳定牢固、整洁美观；</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3</w:t>
      </w:r>
      <w:r>
        <w:rPr>
          <w:rFonts w:hint="eastAsia" w:hAnsi="宋体" w:cs="宋体"/>
          <w:bCs w:val="0"/>
          <w:szCs w:val="24"/>
          <w:shd w:val="clear" w:color="auto" w:fill="FFFFFF"/>
        </w:rPr>
        <w:t xml:space="preserve">  施工现场设置安全文化宣传图牌。</w:t>
      </w:r>
    </w:p>
    <w:p>
      <w:pPr>
        <w:pStyle w:val="7"/>
        <w:rPr>
          <w:rFonts w:hAnsi="宋体" w:cs="宋体"/>
          <w:szCs w:val="24"/>
        </w:rPr>
      </w:pPr>
      <w:r>
        <w:rPr>
          <w:rFonts w:hint="eastAsia" w:hAnsi="宋体" w:cs="宋体"/>
          <w:b/>
          <w:szCs w:val="24"/>
          <w:shd w:val="clear" w:color="auto" w:fill="FFFFFF"/>
        </w:rPr>
        <w:t xml:space="preserve">3.4.4  </w:t>
      </w:r>
      <w:r>
        <w:rPr>
          <w:rFonts w:hint="eastAsia" w:hAnsi="宋体" w:cs="宋体"/>
          <w:szCs w:val="24"/>
        </w:rPr>
        <w:t>现场出入口及道路</w:t>
      </w:r>
      <w:r>
        <w:rPr>
          <w:rFonts w:hint="eastAsia" w:hAnsi="宋体" w:cs="宋体"/>
          <w:szCs w:val="24"/>
          <w:shd w:val="clear" w:color="auto" w:fill="FFFFFF"/>
        </w:rPr>
        <w:t>应符合下列规定：</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1  </w:t>
      </w:r>
      <w:r>
        <w:rPr>
          <w:rFonts w:hint="eastAsia" w:hAnsi="宋体" w:cs="宋体"/>
          <w:spacing w:val="-12"/>
          <w:szCs w:val="24"/>
        </w:rPr>
        <w:t>出入口设置企业名称和企业标识</w:t>
      </w:r>
      <w:r>
        <w:rPr>
          <w:rFonts w:hint="eastAsia" w:hAnsi="宋体" w:cs="宋体"/>
          <w:szCs w:val="24"/>
          <w:shd w:val="clear" w:color="auto" w:fill="FFFFFF"/>
        </w:rPr>
        <w:t>；</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2</w:t>
      </w:r>
      <w:r>
        <w:rPr>
          <w:rFonts w:hint="eastAsia" w:hAnsi="宋体" w:cs="宋体"/>
          <w:bCs w:val="0"/>
          <w:szCs w:val="24"/>
          <w:shd w:val="clear" w:color="auto" w:fill="FFFFFF"/>
        </w:rPr>
        <w:t xml:space="preserve">  施工现场出入口设置创建安全生产标准化工地公示牌；</w:t>
      </w:r>
    </w:p>
    <w:p>
      <w:pPr>
        <w:pStyle w:val="7"/>
        <w:ind w:firstLine="482" w:firstLineChars="200"/>
        <w:rPr>
          <w:rFonts w:hAnsi="宋体" w:cs="宋体"/>
          <w:szCs w:val="24"/>
        </w:rPr>
      </w:pPr>
      <w:r>
        <w:rPr>
          <w:rFonts w:hint="eastAsia" w:hAnsi="宋体" w:cs="宋体"/>
          <w:b/>
          <w:szCs w:val="24"/>
          <w:shd w:val="clear" w:color="auto" w:fill="FFFFFF"/>
        </w:rPr>
        <w:t xml:space="preserve">3  </w:t>
      </w:r>
      <w:r>
        <w:rPr>
          <w:rFonts w:hint="eastAsia" w:hAnsi="宋体" w:cs="宋体"/>
          <w:szCs w:val="24"/>
        </w:rPr>
        <w:t>建立值班制度，设置门禁打卡设施，实施实名制管理</w:t>
      </w:r>
      <w:r>
        <w:rPr>
          <w:rFonts w:hint="eastAsia" w:hAnsi="宋体" w:cs="宋体"/>
          <w:szCs w:val="24"/>
          <w:shd w:val="clear" w:color="auto" w:fill="FFFFFF"/>
        </w:rPr>
        <w:t>；</w:t>
      </w:r>
    </w:p>
    <w:p>
      <w:pPr>
        <w:pStyle w:val="7"/>
        <w:ind w:firstLine="482" w:firstLineChars="200"/>
        <w:rPr>
          <w:rFonts w:hAnsi="宋体" w:cs="宋体"/>
          <w:szCs w:val="24"/>
        </w:rPr>
      </w:pPr>
      <w:r>
        <w:rPr>
          <w:rFonts w:hint="eastAsia" w:hAnsi="宋体" w:cs="宋体"/>
          <w:b/>
          <w:szCs w:val="24"/>
          <w:shd w:val="clear" w:color="auto" w:fill="FFFFFF"/>
        </w:rPr>
        <w:t xml:space="preserve">4  </w:t>
      </w:r>
      <w:r>
        <w:rPr>
          <w:rFonts w:hint="eastAsia" w:hAnsi="宋体" w:cs="宋体"/>
          <w:szCs w:val="24"/>
        </w:rPr>
        <w:t>进入施工现场从业人员必须穿戴反光背心、佩戴身份信息卡；</w:t>
      </w:r>
    </w:p>
    <w:p>
      <w:pPr>
        <w:pStyle w:val="7"/>
        <w:ind w:firstLine="482" w:firstLineChars="200"/>
        <w:rPr>
          <w:rFonts w:hAnsi="宋体" w:cs="宋体"/>
          <w:szCs w:val="24"/>
        </w:rPr>
      </w:pPr>
      <w:r>
        <w:rPr>
          <w:rFonts w:hint="eastAsia" w:hAnsi="宋体" w:cs="宋体"/>
          <w:b/>
          <w:szCs w:val="24"/>
        </w:rPr>
        <w:t>5</w:t>
      </w:r>
      <w:r>
        <w:rPr>
          <w:rFonts w:hint="eastAsia" w:hAnsi="宋体" w:cs="宋体"/>
          <w:szCs w:val="24"/>
        </w:rPr>
        <w:t xml:space="preserve">  施工现场出入口设置车辆冲洗设施，同时应采用自动冲洗平台；</w:t>
      </w:r>
    </w:p>
    <w:p>
      <w:pPr>
        <w:pStyle w:val="7"/>
        <w:ind w:firstLine="482" w:firstLineChars="200"/>
        <w:rPr>
          <w:rFonts w:hAnsi="宋体" w:cs="宋体"/>
          <w:szCs w:val="24"/>
        </w:rPr>
      </w:pPr>
      <w:r>
        <w:rPr>
          <w:rFonts w:hint="eastAsia" w:hAnsi="宋体" w:cs="宋体"/>
          <w:b/>
          <w:szCs w:val="24"/>
        </w:rPr>
        <w:t xml:space="preserve">6  </w:t>
      </w:r>
      <w:r>
        <w:rPr>
          <w:rFonts w:hint="eastAsia" w:hAnsi="宋体" w:cs="宋体"/>
          <w:szCs w:val="24"/>
        </w:rPr>
        <w:t>施工现场机械设备、材料等不得堆放在道路上，确保道路畅通，出入口及主要道路要做到人车分离；</w:t>
      </w:r>
    </w:p>
    <w:p>
      <w:pPr>
        <w:pStyle w:val="7"/>
        <w:ind w:firstLine="482" w:firstLineChars="200"/>
        <w:rPr>
          <w:rFonts w:hAnsi="宋体" w:cs="宋体"/>
          <w:szCs w:val="24"/>
        </w:rPr>
      </w:pPr>
      <w:r>
        <w:rPr>
          <w:rFonts w:hint="eastAsia" w:hAnsi="宋体" w:cs="宋体"/>
          <w:b/>
          <w:szCs w:val="24"/>
        </w:rPr>
        <w:t>7</w:t>
      </w:r>
      <w:r>
        <w:rPr>
          <w:rFonts w:hint="eastAsia" w:hAnsi="宋体" w:cs="宋体"/>
          <w:szCs w:val="24"/>
        </w:rPr>
        <w:t xml:space="preserve">  施工现场设置限速标牌；</w:t>
      </w:r>
    </w:p>
    <w:p>
      <w:pPr>
        <w:pStyle w:val="7"/>
        <w:ind w:firstLine="482" w:firstLineChars="200"/>
        <w:rPr>
          <w:rFonts w:hAnsi="宋体" w:cs="宋体"/>
          <w:bCs w:val="0"/>
          <w:color w:val="000000" w:themeColor="text1"/>
          <w:szCs w:val="24"/>
          <w:shd w:val="clear" w:color="auto" w:fill="FFFFFF"/>
        </w:rPr>
      </w:pPr>
      <w:r>
        <w:rPr>
          <w:rFonts w:hint="eastAsia" w:hAnsi="宋体" w:cs="宋体"/>
          <w:b/>
          <w:bCs w:val="0"/>
          <w:color w:val="000000" w:themeColor="text1"/>
          <w:szCs w:val="24"/>
          <w:shd w:val="clear" w:color="auto" w:fill="FFFFFF"/>
        </w:rPr>
        <w:t>8</w:t>
      </w:r>
      <w:r>
        <w:rPr>
          <w:rFonts w:hint="eastAsia" w:hAnsi="宋体" w:cs="宋体"/>
          <w:bCs w:val="0"/>
          <w:color w:val="000000" w:themeColor="text1"/>
          <w:szCs w:val="24"/>
          <w:shd w:val="clear" w:color="auto" w:fill="FFFFFF"/>
        </w:rPr>
        <w:t xml:space="preserve">  装配式建筑工程应设置装配式构件运输通道和临时堆放场地；</w:t>
      </w:r>
    </w:p>
    <w:p>
      <w:pPr>
        <w:pStyle w:val="7"/>
        <w:rPr>
          <w:rFonts w:hAnsi="宋体" w:cs="宋体"/>
          <w:bCs w:val="0"/>
          <w:szCs w:val="24"/>
          <w:shd w:val="clear" w:color="auto" w:fill="FFFFFF"/>
        </w:rPr>
      </w:pPr>
      <w:r>
        <w:rPr>
          <w:rFonts w:hint="eastAsia" w:hAnsi="宋体" w:cs="宋体"/>
          <w:b/>
          <w:szCs w:val="24"/>
          <w:shd w:val="clear" w:color="auto" w:fill="FFFFFF"/>
        </w:rPr>
        <w:t xml:space="preserve">3.4.5  </w:t>
      </w:r>
      <w:r>
        <w:rPr>
          <w:rFonts w:hint="eastAsia" w:hAnsi="宋体" w:cs="宋体"/>
          <w:bCs w:val="0"/>
          <w:szCs w:val="24"/>
          <w:shd w:val="clear" w:color="auto" w:fill="FFFFFF"/>
        </w:rPr>
        <w:t>现场材料管理应符合下列规定：</w:t>
      </w:r>
    </w:p>
    <w:p>
      <w:pPr>
        <w:pStyle w:val="7"/>
        <w:ind w:firstLine="482" w:firstLineChars="200"/>
        <w:rPr>
          <w:rFonts w:hAnsi="宋体" w:cs="宋体"/>
          <w:szCs w:val="24"/>
        </w:rPr>
      </w:pPr>
      <w:r>
        <w:rPr>
          <w:rFonts w:hint="eastAsia" w:hAnsi="宋体" w:cs="宋体"/>
          <w:b/>
          <w:szCs w:val="24"/>
          <w:shd w:val="clear" w:color="auto" w:fill="FFFFFF"/>
        </w:rPr>
        <w:t xml:space="preserve">1  </w:t>
      </w:r>
      <w:r>
        <w:rPr>
          <w:rFonts w:hint="eastAsia" w:hAnsi="宋体" w:cs="宋体"/>
          <w:szCs w:val="24"/>
        </w:rPr>
        <w:t>建筑材料、构件、料具的堆放应按总平面布置图进行布置</w:t>
      </w:r>
      <w:r>
        <w:rPr>
          <w:rFonts w:hint="eastAsia" w:hAnsi="宋体" w:cs="宋体"/>
          <w:szCs w:val="24"/>
          <w:shd w:val="clear" w:color="auto" w:fill="FFFFFF"/>
        </w:rPr>
        <w:t>；</w:t>
      </w:r>
    </w:p>
    <w:p>
      <w:pPr>
        <w:pStyle w:val="7"/>
        <w:ind w:firstLine="482" w:firstLineChars="200"/>
        <w:rPr>
          <w:rFonts w:hAnsi="宋体" w:cs="宋体"/>
          <w:szCs w:val="24"/>
        </w:rPr>
      </w:pPr>
      <w:r>
        <w:rPr>
          <w:rFonts w:hint="eastAsia" w:hAnsi="宋体" w:cs="宋体"/>
          <w:b/>
          <w:szCs w:val="24"/>
          <w:shd w:val="clear" w:color="auto" w:fill="FFFFFF"/>
        </w:rPr>
        <w:t xml:space="preserve">2  </w:t>
      </w:r>
      <w:r>
        <w:rPr>
          <w:rFonts w:hint="eastAsia" w:hAnsi="宋体" w:cs="宋体"/>
          <w:szCs w:val="24"/>
          <w:shd w:val="clear" w:color="auto" w:fill="FFFFFF"/>
        </w:rPr>
        <w:t>材</w:t>
      </w:r>
      <w:r>
        <w:rPr>
          <w:rFonts w:hint="eastAsia" w:hAnsi="宋体" w:cs="宋体"/>
          <w:szCs w:val="24"/>
        </w:rPr>
        <w:t>料堆放整齐，并设置材料标识牌，标明名称、规格、型号、产地等</w:t>
      </w:r>
      <w:r>
        <w:rPr>
          <w:rFonts w:hint="eastAsia" w:hAnsi="宋体" w:cs="宋体"/>
          <w:szCs w:val="24"/>
          <w:shd w:val="clear" w:color="auto" w:fill="FFFFFF"/>
        </w:rPr>
        <w:t>；</w:t>
      </w:r>
    </w:p>
    <w:p>
      <w:pPr>
        <w:pStyle w:val="7"/>
        <w:ind w:firstLine="482" w:firstLineChars="200"/>
        <w:rPr>
          <w:rFonts w:hAnsi="宋体" w:cs="宋体"/>
          <w:szCs w:val="24"/>
        </w:rPr>
      </w:pPr>
      <w:r>
        <w:rPr>
          <w:rFonts w:hint="eastAsia" w:hAnsi="宋体" w:cs="宋体"/>
          <w:b/>
          <w:szCs w:val="24"/>
        </w:rPr>
        <w:t xml:space="preserve">3  </w:t>
      </w:r>
      <w:r>
        <w:rPr>
          <w:rFonts w:hint="eastAsia" w:hAnsi="宋体" w:cs="宋体"/>
          <w:szCs w:val="24"/>
        </w:rPr>
        <w:t>易燃易爆物品分类储藏在专用库房内，并采取防护和防火措施；</w:t>
      </w:r>
    </w:p>
    <w:p>
      <w:pPr>
        <w:pStyle w:val="7"/>
        <w:ind w:firstLine="482" w:firstLineChars="200"/>
        <w:rPr>
          <w:rFonts w:hAnsi="宋体" w:cs="宋体"/>
          <w:szCs w:val="24"/>
        </w:rPr>
      </w:pPr>
      <w:r>
        <w:rPr>
          <w:rFonts w:hint="eastAsia" w:hAnsi="宋体" w:cs="宋体"/>
          <w:b/>
          <w:szCs w:val="24"/>
        </w:rPr>
        <w:t>4</w:t>
      </w:r>
      <w:r>
        <w:rPr>
          <w:rFonts w:hint="eastAsia" w:hAnsi="宋体" w:cs="宋体"/>
          <w:szCs w:val="24"/>
        </w:rPr>
        <w:t xml:space="preserve">  施工作业完成后应将作业区域材料、工具、垃圾清理干净，保持场地整洁，做到“工完场清”；</w:t>
      </w:r>
    </w:p>
    <w:p>
      <w:pPr>
        <w:pStyle w:val="7"/>
        <w:ind w:firstLine="482" w:firstLineChars="200"/>
        <w:rPr>
          <w:rFonts w:hAnsi="宋体" w:cs="宋体"/>
          <w:bCs w:val="0"/>
          <w:szCs w:val="24"/>
        </w:rPr>
      </w:pPr>
      <w:r>
        <w:rPr>
          <w:rFonts w:hint="eastAsia" w:hAnsi="宋体" w:cs="宋体"/>
          <w:b/>
          <w:szCs w:val="24"/>
        </w:rPr>
        <w:t>5</w:t>
      </w:r>
      <w:r>
        <w:rPr>
          <w:rFonts w:hint="eastAsia" w:hAnsi="宋体" w:cs="宋体"/>
          <w:bCs w:val="0"/>
          <w:szCs w:val="24"/>
        </w:rPr>
        <w:t xml:space="preserve">  现场使用预拌混凝土和预拌砂浆，砂浆罐必须采取防尘降噪棚，棚体必须全封闭管理；</w:t>
      </w:r>
    </w:p>
    <w:p>
      <w:pPr>
        <w:pStyle w:val="7"/>
        <w:ind w:firstLine="482" w:firstLineChars="200"/>
        <w:rPr>
          <w:rFonts w:hAnsi="宋体" w:cs="宋体"/>
          <w:bCs w:val="0"/>
          <w:szCs w:val="24"/>
        </w:rPr>
      </w:pPr>
      <w:r>
        <w:rPr>
          <w:rFonts w:hint="eastAsia" w:hAnsi="宋体" w:cs="宋体"/>
          <w:b/>
          <w:szCs w:val="24"/>
        </w:rPr>
        <w:t>6</w:t>
      </w:r>
      <w:r>
        <w:rPr>
          <w:rFonts w:hint="eastAsia" w:hAnsi="宋体" w:cs="宋体"/>
          <w:bCs w:val="0"/>
          <w:szCs w:val="24"/>
        </w:rPr>
        <w:t xml:space="preserve">  砂、石等易产生扬尘的物料采取封闭或半封闭措施，进行分类存放；</w:t>
      </w:r>
    </w:p>
    <w:p>
      <w:pPr>
        <w:pStyle w:val="7"/>
        <w:ind w:firstLine="482" w:firstLineChars="200"/>
        <w:rPr>
          <w:rFonts w:hAnsi="宋体" w:cs="宋体"/>
          <w:bCs w:val="0"/>
          <w:szCs w:val="24"/>
        </w:rPr>
      </w:pPr>
      <w:r>
        <w:rPr>
          <w:rFonts w:hint="eastAsia" w:hAnsi="宋体" w:cs="宋体"/>
          <w:b/>
          <w:szCs w:val="24"/>
        </w:rPr>
        <w:t>7</w:t>
      </w:r>
      <w:r>
        <w:rPr>
          <w:rFonts w:hint="eastAsia" w:hAnsi="宋体" w:cs="宋体"/>
          <w:bCs w:val="0"/>
          <w:szCs w:val="24"/>
        </w:rPr>
        <w:t xml:space="preserve">  建筑垃圾存放采取封闭措施，室内建筑垃圾采用封闭式专用垃圾通道或袋装清运。</w:t>
      </w:r>
    </w:p>
    <w:p>
      <w:pPr>
        <w:pStyle w:val="7"/>
        <w:rPr>
          <w:rFonts w:hAnsi="宋体" w:cs="宋体"/>
          <w:bCs w:val="0"/>
          <w:szCs w:val="24"/>
          <w:shd w:val="clear" w:color="auto" w:fill="FFFFFF"/>
        </w:rPr>
      </w:pPr>
      <w:r>
        <w:rPr>
          <w:rFonts w:hint="eastAsia" w:hAnsi="宋体" w:cs="宋体"/>
          <w:b/>
          <w:szCs w:val="24"/>
          <w:shd w:val="clear" w:color="auto" w:fill="FFFFFF"/>
        </w:rPr>
        <w:t xml:space="preserve">3.4.6  </w:t>
      </w:r>
      <w:r>
        <w:rPr>
          <w:rFonts w:hint="eastAsia" w:hAnsi="宋体" w:cs="宋体"/>
          <w:bCs w:val="0"/>
          <w:szCs w:val="24"/>
          <w:shd w:val="clear" w:color="auto" w:fill="FFFFFF"/>
        </w:rPr>
        <w:t>临时设施应符合下列规定:</w:t>
      </w:r>
    </w:p>
    <w:p>
      <w:pPr>
        <w:pStyle w:val="31"/>
        <w:shd w:val="clear" w:color="auto" w:fill="FFFFFF"/>
        <w:spacing w:beforeAutospacing="0" w:afterAutospacing="0" w:line="360" w:lineRule="auto"/>
        <w:ind w:firstLine="482" w:firstLineChars="200"/>
        <w:jc w:val="both"/>
      </w:pPr>
      <w:r>
        <w:rPr>
          <w:rFonts w:hint="eastAsia"/>
          <w:b/>
        </w:rPr>
        <w:t xml:space="preserve">1  </w:t>
      </w:r>
      <w:r>
        <w:rPr>
          <w:rFonts w:hint="eastAsia"/>
          <w:spacing w:val="-5"/>
        </w:rPr>
        <w:t>严禁在尚未竣工的建筑物内办公或住宿</w:t>
      </w:r>
      <w:r>
        <w:rPr>
          <w:rFonts w:hint="eastAsia"/>
          <w:shd w:val="clear" w:color="auto" w:fill="FFFFFF"/>
        </w:rPr>
        <w:t>；</w:t>
      </w:r>
    </w:p>
    <w:p>
      <w:pPr>
        <w:pStyle w:val="7"/>
        <w:ind w:firstLine="482" w:firstLineChars="200"/>
        <w:rPr>
          <w:rFonts w:hAnsi="宋体" w:cs="宋体"/>
          <w:szCs w:val="24"/>
        </w:rPr>
      </w:pPr>
      <w:r>
        <w:rPr>
          <w:rFonts w:hint="eastAsia" w:hAnsi="宋体" w:cs="宋体"/>
          <w:b/>
          <w:szCs w:val="24"/>
        </w:rPr>
        <w:t xml:space="preserve">2  </w:t>
      </w:r>
      <w:r>
        <w:rPr>
          <w:rFonts w:hint="eastAsia" w:hAnsi="宋体" w:cs="宋体"/>
          <w:szCs w:val="24"/>
        </w:rPr>
        <w:t>施工作业区与办公、生活区必须划分清晰，采取相应的隔离措施</w:t>
      </w:r>
      <w:r>
        <w:rPr>
          <w:rFonts w:hint="eastAsia" w:hAnsi="宋体" w:cs="宋体"/>
          <w:szCs w:val="24"/>
          <w:shd w:val="clear" w:color="auto" w:fill="FFFFFF"/>
        </w:rPr>
        <w:t>；</w:t>
      </w:r>
    </w:p>
    <w:p>
      <w:pPr>
        <w:pStyle w:val="7"/>
        <w:ind w:firstLine="482" w:firstLineChars="200"/>
        <w:rPr>
          <w:rFonts w:hAnsi="宋体" w:cs="宋体"/>
          <w:szCs w:val="24"/>
        </w:rPr>
      </w:pPr>
      <w:r>
        <w:rPr>
          <w:rFonts w:hint="eastAsia" w:hAnsi="宋体" w:cs="宋体"/>
          <w:b/>
          <w:szCs w:val="24"/>
        </w:rPr>
        <w:t xml:space="preserve">3  </w:t>
      </w:r>
      <w:r>
        <w:rPr>
          <w:rFonts w:hint="eastAsia" w:hAnsi="宋体" w:cs="宋体"/>
          <w:szCs w:val="24"/>
        </w:rPr>
        <w:t>会议室、库房和食堂必须设在一层</w:t>
      </w:r>
      <w:r>
        <w:rPr>
          <w:rFonts w:hint="eastAsia" w:hAnsi="宋体" w:cs="宋体"/>
          <w:szCs w:val="24"/>
          <w:shd w:val="clear" w:color="auto" w:fill="FFFFFF"/>
        </w:rPr>
        <w:t>；</w:t>
      </w:r>
    </w:p>
    <w:p>
      <w:pPr>
        <w:pStyle w:val="7"/>
        <w:ind w:firstLine="482" w:firstLineChars="200"/>
        <w:rPr>
          <w:rFonts w:hAnsi="宋体" w:cs="宋体"/>
          <w:szCs w:val="24"/>
          <w:shd w:val="clear" w:color="auto" w:fill="FFFFFF"/>
        </w:rPr>
      </w:pPr>
      <w:r>
        <w:rPr>
          <w:rFonts w:hint="eastAsia" w:hAnsi="宋体" w:cs="宋体"/>
          <w:b/>
          <w:szCs w:val="24"/>
        </w:rPr>
        <w:t xml:space="preserve">4  </w:t>
      </w:r>
      <w:r>
        <w:rPr>
          <w:rFonts w:hint="eastAsia" w:hAnsi="宋体" w:cs="宋体"/>
          <w:szCs w:val="24"/>
        </w:rPr>
        <w:t>工人宿舍需配置空调</w:t>
      </w:r>
      <w:r>
        <w:rPr>
          <w:rFonts w:hint="eastAsia" w:hAnsi="宋体" w:cs="宋体"/>
          <w:szCs w:val="24"/>
          <w:shd w:val="clear" w:color="auto" w:fill="FFFFFF"/>
        </w:rPr>
        <w:t>；</w:t>
      </w:r>
    </w:p>
    <w:p>
      <w:pPr>
        <w:pStyle w:val="7"/>
        <w:ind w:firstLine="361" w:firstLineChars="150"/>
        <w:rPr>
          <w:rFonts w:hAnsi="宋体" w:cs="宋体"/>
          <w:spacing w:val="-5"/>
          <w:szCs w:val="24"/>
        </w:rPr>
      </w:pPr>
      <w:r>
        <w:rPr>
          <w:rFonts w:hint="eastAsia" w:hAnsi="宋体" w:cs="宋体"/>
          <w:b/>
          <w:szCs w:val="24"/>
        </w:rPr>
        <w:t xml:space="preserve"> 5  </w:t>
      </w:r>
      <w:r>
        <w:rPr>
          <w:rFonts w:hint="eastAsia" w:hAnsi="宋体" w:cs="宋体"/>
          <w:szCs w:val="24"/>
        </w:rPr>
        <w:t>施工现场设置水冲式厕所，铺设墙地砖，</w:t>
      </w:r>
      <w:r>
        <w:rPr>
          <w:rFonts w:hint="eastAsia" w:hAnsi="宋体" w:cs="宋体"/>
          <w:spacing w:val="-12"/>
          <w:szCs w:val="24"/>
        </w:rPr>
        <w:t>门窗齐全并通风良好</w:t>
      </w:r>
      <w:r>
        <w:rPr>
          <w:rFonts w:hint="eastAsia" w:hAnsi="宋体" w:cs="宋体"/>
          <w:szCs w:val="24"/>
          <w:shd w:val="clear" w:color="auto" w:fill="FFFFFF"/>
        </w:rPr>
        <w:t>；</w:t>
      </w:r>
    </w:p>
    <w:p>
      <w:pPr>
        <w:pStyle w:val="7"/>
        <w:ind w:firstLine="482" w:firstLineChars="200"/>
        <w:rPr>
          <w:rFonts w:hAnsi="宋体" w:cs="宋体"/>
          <w:szCs w:val="24"/>
          <w:shd w:val="clear" w:color="auto" w:fill="FFFFFF"/>
        </w:rPr>
      </w:pPr>
      <w:r>
        <w:rPr>
          <w:rFonts w:hint="eastAsia" w:hAnsi="宋体" w:cs="宋体"/>
          <w:b/>
          <w:szCs w:val="24"/>
        </w:rPr>
        <w:t xml:space="preserve">6  </w:t>
      </w:r>
      <w:r>
        <w:rPr>
          <w:rFonts w:hint="eastAsia" w:hAnsi="宋体" w:cs="宋体"/>
          <w:szCs w:val="24"/>
        </w:rPr>
        <w:t>八层以上建筑楼层内应每隔四层设置临时移动式厕所</w:t>
      </w:r>
      <w:r>
        <w:rPr>
          <w:rFonts w:hint="eastAsia" w:hAnsi="宋体" w:cs="宋体"/>
          <w:szCs w:val="24"/>
          <w:shd w:val="clear" w:color="auto" w:fill="FFFFFF"/>
        </w:rPr>
        <w:t>；</w:t>
      </w:r>
    </w:p>
    <w:p>
      <w:pPr>
        <w:pStyle w:val="7"/>
        <w:ind w:firstLine="482" w:firstLineChars="200"/>
        <w:rPr>
          <w:rFonts w:hAnsi="宋体" w:cs="宋体"/>
          <w:szCs w:val="24"/>
          <w:shd w:val="clear" w:color="auto" w:fill="FFFFFF"/>
        </w:rPr>
      </w:pPr>
      <w:r>
        <w:rPr>
          <w:rFonts w:hint="eastAsia" w:hAnsi="宋体" w:cs="宋体"/>
          <w:b/>
          <w:szCs w:val="24"/>
        </w:rPr>
        <w:t xml:space="preserve">7  </w:t>
      </w:r>
      <w:r>
        <w:rPr>
          <w:rFonts w:hint="eastAsia" w:hAnsi="宋体" w:cs="宋体"/>
          <w:szCs w:val="24"/>
        </w:rPr>
        <w:t>淋浴间内设置满足需要的淋浴喷头，供应热水，设置储衣柜或挂衣架</w:t>
      </w:r>
      <w:r>
        <w:rPr>
          <w:rFonts w:hint="eastAsia" w:hAnsi="宋体" w:cs="宋体"/>
          <w:szCs w:val="24"/>
          <w:shd w:val="clear" w:color="auto" w:fill="FFFFFF"/>
        </w:rPr>
        <w:t>；</w:t>
      </w:r>
    </w:p>
    <w:p>
      <w:pPr>
        <w:pStyle w:val="7"/>
        <w:ind w:firstLine="434" w:firstLineChars="200"/>
        <w:rPr>
          <w:rFonts w:hAnsi="宋体" w:cs="宋体"/>
          <w:szCs w:val="24"/>
          <w:shd w:val="clear" w:color="auto" w:fill="FFFFFF"/>
        </w:rPr>
      </w:pPr>
      <w:r>
        <w:rPr>
          <w:rFonts w:hint="eastAsia" w:hAnsi="宋体" w:cs="宋体"/>
          <w:b/>
          <w:spacing w:val="-12"/>
          <w:szCs w:val="24"/>
        </w:rPr>
        <w:t xml:space="preserve">8  </w:t>
      </w:r>
      <w:r>
        <w:rPr>
          <w:rFonts w:hint="eastAsia" w:hAnsi="宋体" w:cs="宋体"/>
          <w:spacing w:val="-6"/>
          <w:szCs w:val="24"/>
        </w:rPr>
        <w:t>食堂应取得食品经营许可相关证件，并应悬挂在制作间醒目位置；炊事人员持有健康证，穿戴工作服上岗</w:t>
      </w:r>
      <w:r>
        <w:rPr>
          <w:rFonts w:hint="eastAsia" w:hAnsi="宋体" w:cs="宋体"/>
          <w:szCs w:val="24"/>
          <w:shd w:val="clear" w:color="auto" w:fill="FFFFFF"/>
        </w:rPr>
        <w:t>；</w:t>
      </w:r>
    </w:p>
    <w:p>
      <w:pPr>
        <w:pStyle w:val="7"/>
        <w:ind w:firstLine="482" w:firstLineChars="200"/>
        <w:rPr>
          <w:rFonts w:hAnsi="宋体" w:cs="宋体"/>
          <w:bCs w:val="0"/>
          <w:color w:val="000000" w:themeColor="text1"/>
          <w:szCs w:val="24"/>
          <w:shd w:val="clear" w:color="auto" w:fill="FFFFFF"/>
        </w:rPr>
      </w:pPr>
      <w:r>
        <w:rPr>
          <w:rFonts w:hint="eastAsia" w:hAnsi="宋体" w:cs="宋体"/>
          <w:b/>
          <w:szCs w:val="24"/>
          <w:shd w:val="clear" w:color="auto" w:fill="FFFFFF"/>
        </w:rPr>
        <w:t xml:space="preserve">9  </w:t>
      </w:r>
      <w:r>
        <w:rPr>
          <w:rFonts w:hint="eastAsia" w:hAnsi="宋体" w:cs="宋体"/>
          <w:bCs w:val="0"/>
          <w:szCs w:val="24"/>
        </w:rPr>
        <w:t>施工现场应在安全位置设置专门的茶水间和吸烟处，</w:t>
      </w:r>
      <w:r>
        <w:rPr>
          <w:rFonts w:hint="eastAsia" w:hAnsi="宋体" w:cs="宋体"/>
          <w:bCs w:val="0"/>
          <w:color w:val="000000" w:themeColor="text1"/>
          <w:szCs w:val="24"/>
          <w:shd w:val="clear" w:color="auto" w:fill="FFFFFF"/>
        </w:rPr>
        <w:t>施工区域严禁吸烟。</w:t>
      </w:r>
    </w:p>
    <w:p>
      <w:pPr>
        <w:pStyle w:val="7"/>
        <w:ind w:firstLine="482" w:firstLineChars="200"/>
        <w:rPr>
          <w:rFonts w:hAnsi="宋体" w:cs="宋体"/>
          <w:bCs w:val="0"/>
          <w:szCs w:val="24"/>
        </w:rPr>
      </w:pPr>
      <w:r>
        <w:rPr>
          <w:rFonts w:hint="eastAsia" w:hAnsi="宋体" w:cs="宋体"/>
          <w:b/>
          <w:szCs w:val="24"/>
        </w:rPr>
        <w:t xml:space="preserve">10  </w:t>
      </w:r>
      <w:r>
        <w:rPr>
          <w:rFonts w:hint="eastAsia" w:hAnsi="宋体" w:cs="宋体"/>
          <w:bCs w:val="0"/>
          <w:szCs w:val="24"/>
          <w:shd w:val="clear" w:color="auto" w:fill="FFFFFF"/>
        </w:rPr>
        <w:t>办公区、生活区垃圾应及时清运</w:t>
      </w:r>
      <w:r>
        <w:rPr>
          <w:rFonts w:hint="eastAsia" w:hAnsi="宋体" w:cs="宋体"/>
          <w:bCs w:val="0"/>
          <w:szCs w:val="24"/>
        </w:rPr>
        <w:t>。</w:t>
      </w:r>
    </w:p>
    <w:p>
      <w:pPr>
        <w:pStyle w:val="7"/>
        <w:rPr>
          <w:rFonts w:hAnsi="宋体" w:cs="宋体"/>
          <w:bCs w:val="0"/>
          <w:szCs w:val="24"/>
          <w:shd w:val="clear" w:color="auto" w:fill="FFFFFF"/>
        </w:rPr>
      </w:pPr>
      <w:r>
        <w:rPr>
          <w:rFonts w:hint="eastAsia" w:hAnsi="宋体" w:cs="宋体"/>
          <w:b/>
          <w:szCs w:val="24"/>
          <w:shd w:val="clear" w:color="auto" w:fill="FFFFFF"/>
        </w:rPr>
        <w:t xml:space="preserve">3.4.7  </w:t>
      </w:r>
      <w:r>
        <w:rPr>
          <w:rFonts w:hint="eastAsia" w:hAnsi="宋体" w:cs="宋体"/>
          <w:bCs w:val="0"/>
          <w:szCs w:val="24"/>
          <w:shd w:val="clear" w:color="auto" w:fill="FFFFFF"/>
        </w:rPr>
        <w:t>现场消防应符合下列规定:</w:t>
      </w:r>
      <w:r>
        <w:rPr>
          <w:rFonts w:hAnsi="宋体" w:cs="宋体"/>
          <w:bCs w:val="0"/>
          <w:szCs w:val="24"/>
          <w:shd w:val="clear" w:color="auto" w:fill="FFFFFF"/>
        </w:rPr>
        <w:t xml:space="preserve"> </w:t>
      </w:r>
    </w:p>
    <w:p>
      <w:pPr>
        <w:pStyle w:val="7"/>
        <w:ind w:firstLine="482" w:firstLineChars="200"/>
        <w:rPr>
          <w:rFonts w:hAnsi="宋体" w:cs="宋体"/>
          <w:szCs w:val="24"/>
        </w:rPr>
      </w:pPr>
      <w:r>
        <w:rPr>
          <w:rFonts w:hint="eastAsia" w:hAnsi="宋体" w:cs="宋体"/>
          <w:b/>
          <w:szCs w:val="24"/>
        </w:rPr>
        <w:t>1</w:t>
      </w:r>
      <w:r>
        <w:rPr>
          <w:rFonts w:hint="eastAsia" w:hAnsi="宋体" w:cs="宋体"/>
          <w:szCs w:val="24"/>
        </w:rPr>
        <w:t xml:space="preserve">  建立消防安全责任制度，制定消防措施</w:t>
      </w:r>
      <w:r>
        <w:rPr>
          <w:rFonts w:hint="eastAsia" w:hAnsi="宋体" w:cs="宋体"/>
          <w:szCs w:val="24"/>
          <w:shd w:val="clear" w:color="auto" w:fill="FFFFFF"/>
        </w:rPr>
        <w:t>；</w:t>
      </w:r>
    </w:p>
    <w:p>
      <w:pPr>
        <w:pStyle w:val="7"/>
        <w:ind w:firstLine="482" w:firstLineChars="200"/>
        <w:rPr>
          <w:rFonts w:hAnsi="宋体" w:cs="宋体"/>
          <w:szCs w:val="24"/>
        </w:rPr>
      </w:pPr>
      <w:r>
        <w:rPr>
          <w:rFonts w:hint="eastAsia" w:hAnsi="宋体" w:cs="宋体"/>
          <w:b/>
          <w:szCs w:val="24"/>
        </w:rPr>
        <w:t>2</w:t>
      </w:r>
      <w:r>
        <w:rPr>
          <w:rFonts w:hint="eastAsia" w:hAnsi="宋体" w:cs="宋体"/>
          <w:szCs w:val="24"/>
        </w:rPr>
        <w:t xml:space="preserve">  临时设施消防必须符合</w:t>
      </w:r>
      <w:r>
        <w:rPr>
          <w:rFonts w:hint="eastAsia" w:hAnsi="宋体" w:cs="宋体"/>
          <w:bCs w:val="0"/>
          <w:szCs w:val="24"/>
          <w:shd w:val="clear" w:color="auto" w:fill="FFFFFF"/>
        </w:rPr>
        <w:t>《建设工程施工现场消防安全技术规范》</w:t>
      </w:r>
      <w:r>
        <w:rPr>
          <w:rFonts w:hint="eastAsia" w:hAnsi="宋体" w:cs="宋体"/>
          <w:bCs w:val="0"/>
          <w:color w:val="000000" w:themeColor="text1"/>
          <w:szCs w:val="24"/>
          <w:shd w:val="clear" w:color="auto" w:fill="FFFFFF"/>
        </w:rPr>
        <w:t>GB50720</w:t>
      </w:r>
      <w:r>
        <w:rPr>
          <w:rFonts w:hint="eastAsia" w:hAnsi="宋体" w:cs="宋体"/>
          <w:szCs w:val="24"/>
        </w:rPr>
        <w:t>要求；办公区、生活区的通道、楼梯处设置应急疏散、逃生提示标志和应急照明灯</w:t>
      </w:r>
      <w:r>
        <w:rPr>
          <w:rFonts w:hint="eastAsia" w:hAnsi="宋体" w:cs="宋体"/>
          <w:szCs w:val="24"/>
          <w:shd w:val="clear" w:color="auto" w:fill="FFFFFF"/>
        </w:rPr>
        <w:t>；</w:t>
      </w:r>
    </w:p>
    <w:p>
      <w:pPr>
        <w:pStyle w:val="7"/>
        <w:ind w:firstLine="482" w:firstLineChars="200"/>
        <w:rPr>
          <w:rFonts w:hAnsi="宋体" w:cs="宋体"/>
          <w:szCs w:val="24"/>
        </w:rPr>
      </w:pPr>
      <w:r>
        <w:rPr>
          <w:rFonts w:hint="eastAsia" w:hAnsi="宋体" w:cs="宋体"/>
          <w:b/>
          <w:szCs w:val="24"/>
        </w:rPr>
        <w:t xml:space="preserve">3  </w:t>
      </w:r>
      <w:r>
        <w:rPr>
          <w:rFonts w:hint="eastAsia" w:hAnsi="宋体" w:cs="宋体"/>
          <w:szCs w:val="24"/>
        </w:rPr>
        <w:t>施工现场高层建筑必须设置消防水源、消火栓泵、消火栓和水带等设施</w:t>
      </w:r>
      <w:r>
        <w:rPr>
          <w:rFonts w:hint="eastAsia" w:hAnsi="宋体" w:cs="宋体"/>
          <w:szCs w:val="24"/>
          <w:shd w:val="clear" w:color="auto" w:fill="FFFFFF"/>
        </w:rPr>
        <w:t>；</w:t>
      </w:r>
    </w:p>
    <w:p>
      <w:pPr>
        <w:pStyle w:val="7"/>
        <w:ind w:firstLine="482" w:firstLineChars="200"/>
        <w:rPr>
          <w:rFonts w:hAnsi="宋体" w:cs="宋体"/>
          <w:szCs w:val="24"/>
          <w:shd w:val="clear" w:color="auto" w:fill="FFFFFF"/>
        </w:rPr>
      </w:pPr>
      <w:r>
        <w:rPr>
          <w:rFonts w:hint="eastAsia" w:hAnsi="宋体" w:cs="宋体"/>
          <w:b/>
          <w:szCs w:val="24"/>
        </w:rPr>
        <w:t>4</w:t>
      </w:r>
      <w:r>
        <w:rPr>
          <w:rFonts w:hint="eastAsia" w:hAnsi="宋体" w:cs="宋体"/>
          <w:szCs w:val="24"/>
        </w:rPr>
        <w:t xml:space="preserve">  施工现场灭火器材可靠有效，符合</w:t>
      </w:r>
      <w:r>
        <w:rPr>
          <w:rFonts w:hint="eastAsia" w:hAnsi="宋体" w:cs="宋体"/>
          <w:bCs w:val="0"/>
          <w:szCs w:val="24"/>
          <w:shd w:val="clear" w:color="auto" w:fill="FFFFFF"/>
        </w:rPr>
        <w:t>《建设工程施工现场消防安全技术规范》</w:t>
      </w:r>
      <w:r>
        <w:rPr>
          <w:rFonts w:hint="eastAsia" w:hAnsi="宋体" w:cs="宋体"/>
          <w:bCs w:val="0"/>
          <w:color w:val="000000" w:themeColor="text1"/>
          <w:szCs w:val="24"/>
          <w:shd w:val="clear" w:color="auto" w:fill="FFFFFF"/>
        </w:rPr>
        <w:t>GB50720</w:t>
      </w:r>
      <w:r>
        <w:rPr>
          <w:rFonts w:hint="eastAsia" w:hAnsi="宋体" w:cs="宋体"/>
          <w:bCs w:val="0"/>
          <w:szCs w:val="24"/>
          <w:shd w:val="clear" w:color="auto" w:fill="FFFFFF"/>
        </w:rPr>
        <w:t>要求</w:t>
      </w:r>
      <w:r>
        <w:rPr>
          <w:rFonts w:hint="eastAsia" w:hAnsi="宋体" w:cs="宋体"/>
          <w:szCs w:val="24"/>
        </w:rPr>
        <w:t>和现场实际</w:t>
      </w:r>
      <w:r>
        <w:rPr>
          <w:rFonts w:hint="eastAsia" w:hAnsi="宋体" w:cs="宋体"/>
          <w:szCs w:val="24"/>
          <w:shd w:val="clear" w:color="auto" w:fill="FFFFFF"/>
        </w:rPr>
        <w:t>；</w:t>
      </w:r>
    </w:p>
    <w:p>
      <w:pPr>
        <w:pStyle w:val="7"/>
        <w:ind w:firstLine="482" w:firstLineChars="200"/>
        <w:rPr>
          <w:rFonts w:hAnsi="宋体" w:cs="宋体"/>
          <w:bCs w:val="0"/>
          <w:szCs w:val="24"/>
          <w:shd w:val="clear" w:color="auto" w:fill="FFFFFF"/>
        </w:rPr>
      </w:pPr>
      <w:r>
        <w:rPr>
          <w:rFonts w:hint="eastAsia" w:hAnsi="宋体" w:cs="宋体"/>
          <w:b/>
          <w:szCs w:val="24"/>
        </w:rPr>
        <w:t xml:space="preserve">5  </w:t>
      </w:r>
      <w:r>
        <w:rPr>
          <w:rFonts w:hint="eastAsia" w:hAnsi="宋体" w:cs="宋体"/>
          <w:szCs w:val="24"/>
        </w:rPr>
        <w:t>动火作业必须履行动火审批手续，作业过程应有专人监护。</w:t>
      </w:r>
    </w:p>
    <w:p>
      <w:pPr>
        <w:pStyle w:val="7"/>
        <w:rPr>
          <w:rFonts w:hAnsi="宋体" w:cs="宋体"/>
          <w:bCs w:val="0"/>
          <w:szCs w:val="24"/>
          <w:shd w:val="clear" w:color="auto" w:fill="FFFFFF"/>
        </w:rPr>
      </w:pPr>
      <w:r>
        <w:rPr>
          <w:rFonts w:hint="eastAsia" w:hAnsi="宋体" w:cs="宋体"/>
          <w:b/>
          <w:szCs w:val="24"/>
          <w:shd w:val="clear" w:color="auto" w:fill="FFFFFF"/>
        </w:rPr>
        <w:t>3.4.8</w:t>
      </w:r>
      <w:r>
        <w:rPr>
          <w:rFonts w:hint="eastAsia" w:hAnsi="宋体" w:cs="宋体"/>
          <w:bCs w:val="0"/>
          <w:szCs w:val="24"/>
          <w:shd w:val="clear" w:color="auto" w:fill="FFFFFF"/>
        </w:rPr>
        <w:t xml:space="preserve">  施工现场防尘应符合下列规定:</w:t>
      </w:r>
    </w:p>
    <w:p>
      <w:pPr>
        <w:pStyle w:val="7"/>
        <w:ind w:firstLine="482" w:firstLineChars="200"/>
        <w:rPr>
          <w:rFonts w:hAnsi="宋体" w:cs="宋体"/>
          <w:b/>
          <w:szCs w:val="24"/>
          <w:shd w:val="clear" w:color="auto" w:fill="FFFFFF"/>
        </w:rPr>
      </w:pPr>
      <w:r>
        <w:rPr>
          <w:rFonts w:hint="eastAsia" w:hAnsi="宋体" w:cs="宋体"/>
          <w:b/>
          <w:szCs w:val="24"/>
          <w:shd w:val="clear" w:color="auto" w:fill="FFFFFF"/>
        </w:rPr>
        <w:t xml:space="preserve">1  </w:t>
      </w:r>
      <w:r>
        <w:rPr>
          <w:rFonts w:hint="eastAsia" w:hAnsi="宋体" w:cs="宋体"/>
          <w:bCs w:val="0"/>
          <w:szCs w:val="24"/>
          <w:shd w:val="clear" w:color="auto" w:fill="FFFFFF"/>
        </w:rPr>
        <w:t>使用扬尘在线监测设备对现场扬尘情况进行实时监测，并在现场显示监测数据；当环境空气质量指数达到中度及以上的污染时，现场增加洒水频次，加强覆盖措施，停止造成大气污染的作业；</w:t>
      </w:r>
    </w:p>
    <w:p>
      <w:pPr>
        <w:pStyle w:val="7"/>
        <w:ind w:firstLine="482" w:firstLineChars="200"/>
        <w:rPr>
          <w:rFonts w:hAnsi="宋体" w:cs="宋体"/>
          <w:b/>
          <w:szCs w:val="24"/>
          <w:shd w:val="clear" w:color="auto" w:fill="FFFFFF"/>
        </w:rPr>
      </w:pPr>
      <w:r>
        <w:rPr>
          <w:rFonts w:hint="eastAsia" w:hAnsi="宋体" w:cs="宋体"/>
          <w:b/>
          <w:szCs w:val="24"/>
          <w:shd w:val="clear" w:color="auto" w:fill="FFFFFF"/>
        </w:rPr>
        <w:t xml:space="preserve">2  </w:t>
      </w:r>
      <w:r>
        <w:rPr>
          <w:rFonts w:hint="eastAsia" w:hAnsi="宋体" w:cs="宋体"/>
          <w:bCs w:val="0"/>
          <w:szCs w:val="24"/>
          <w:shd w:val="clear" w:color="auto" w:fill="FFFFFF"/>
        </w:rPr>
        <w:t>设置高压喷雾水系统等综合降尘措施；</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3  </w:t>
      </w:r>
      <w:r>
        <w:rPr>
          <w:rFonts w:hint="eastAsia" w:hAnsi="宋体" w:cs="宋体"/>
          <w:bCs w:val="0"/>
          <w:color w:val="000000" w:themeColor="text1"/>
          <w:szCs w:val="24"/>
          <w:shd w:val="clear" w:color="auto" w:fill="FFFFFF"/>
        </w:rPr>
        <w:t>施工现场的主要通道及办公区、生活区、材料加工区进</w:t>
      </w:r>
      <w:r>
        <w:rPr>
          <w:rFonts w:hint="eastAsia" w:hAnsi="宋体" w:cs="宋体"/>
          <w:bCs w:val="0"/>
          <w:szCs w:val="24"/>
          <w:shd w:val="clear" w:color="auto" w:fill="FFFFFF"/>
        </w:rPr>
        <w:t>行硬化处理，道路不应有积水、泥浆；</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4  </w:t>
      </w:r>
      <w:r>
        <w:rPr>
          <w:rFonts w:hint="eastAsia" w:hAnsi="宋体" w:cs="宋体"/>
          <w:bCs w:val="0"/>
          <w:szCs w:val="24"/>
          <w:shd w:val="clear" w:color="auto" w:fill="FFFFFF"/>
        </w:rPr>
        <w:t>施工现场裸露场地应视情况采取覆盖、植被、洒水或固化等抑尘措施。</w:t>
      </w:r>
    </w:p>
    <w:p>
      <w:pPr>
        <w:pStyle w:val="13"/>
        <w:tabs>
          <w:tab w:val="right" w:leader="dot" w:pos="8450"/>
        </w:tabs>
        <w:spacing w:beforeLines="100" w:afterLines="100" w:line="360" w:lineRule="auto"/>
        <w:jc w:val="center"/>
        <w:rPr>
          <w:rFonts w:ascii="宋体" w:hAnsi="宋体" w:cs="宋体"/>
          <w:b/>
          <w:sz w:val="24"/>
          <w:szCs w:val="24"/>
          <w:shd w:val="clear" w:color="auto" w:fill="FFFFFF"/>
        </w:rPr>
      </w:pPr>
    </w:p>
    <w:p>
      <w:pPr>
        <w:pStyle w:val="13"/>
        <w:tabs>
          <w:tab w:val="right" w:leader="dot" w:pos="8450"/>
        </w:tabs>
        <w:spacing w:beforeLines="100" w:afterLines="100" w:line="360" w:lineRule="auto"/>
        <w:jc w:val="center"/>
        <w:rPr>
          <w:rFonts w:ascii="宋体" w:hAnsi="宋体" w:cs="宋体"/>
          <w:b/>
          <w:sz w:val="24"/>
          <w:szCs w:val="24"/>
          <w:shd w:val="clear" w:color="auto" w:fill="FFFFFF"/>
        </w:rPr>
      </w:pPr>
      <w:r>
        <w:rPr>
          <w:rFonts w:hint="eastAsia" w:ascii="宋体" w:hAnsi="宋体" w:cs="宋体"/>
          <w:b/>
          <w:sz w:val="24"/>
          <w:szCs w:val="24"/>
          <w:shd w:val="clear" w:color="auto" w:fill="FFFFFF"/>
        </w:rPr>
        <w:t>3.5  绿色施工</w:t>
      </w:r>
    </w:p>
    <w:p>
      <w:pPr>
        <w:pStyle w:val="7"/>
        <w:rPr>
          <w:rFonts w:hAnsi="宋体" w:cs="宋体"/>
          <w:bCs w:val="0"/>
          <w:szCs w:val="24"/>
          <w:shd w:val="clear" w:color="auto" w:fill="FFFFFF"/>
        </w:rPr>
      </w:pPr>
      <w:r>
        <w:rPr>
          <w:rFonts w:hint="eastAsia" w:hAnsi="宋体" w:cs="宋体"/>
          <w:b/>
          <w:szCs w:val="24"/>
          <w:shd w:val="clear" w:color="auto" w:fill="FFFFFF"/>
        </w:rPr>
        <w:t>3.5.1</w:t>
      </w:r>
      <w:r>
        <w:rPr>
          <w:rFonts w:hint="eastAsia" w:hAnsi="宋体" w:cs="宋体"/>
          <w:bCs w:val="0"/>
          <w:szCs w:val="24"/>
          <w:shd w:val="clear" w:color="auto" w:fill="FFFFFF"/>
        </w:rPr>
        <w:t xml:space="preserve">  绿色施工评价应符合《建筑与市政工程绿色施工评价标准》GB/T50640、《建筑工程绿色施工规范》GB/T50905等规定。</w:t>
      </w:r>
    </w:p>
    <w:p>
      <w:pPr>
        <w:pStyle w:val="7"/>
        <w:rPr>
          <w:rFonts w:hAnsi="宋体" w:cs="宋体"/>
          <w:bCs w:val="0"/>
          <w:szCs w:val="24"/>
          <w:shd w:val="clear" w:color="auto" w:fill="FFFFFF"/>
        </w:rPr>
      </w:pPr>
      <w:r>
        <w:rPr>
          <w:rFonts w:hint="eastAsia" w:hAnsi="宋体" w:cs="宋体"/>
          <w:b/>
          <w:szCs w:val="24"/>
          <w:shd w:val="clear" w:color="auto" w:fill="FFFFFF"/>
        </w:rPr>
        <w:t>3.5.2</w:t>
      </w:r>
      <w:r>
        <w:rPr>
          <w:rFonts w:hint="eastAsia" w:hAnsi="宋体" w:cs="宋体"/>
          <w:bCs w:val="0"/>
          <w:szCs w:val="24"/>
          <w:shd w:val="clear" w:color="auto" w:fill="FFFFFF"/>
        </w:rPr>
        <w:t xml:space="preserve">  绿色施工评价项目包括：管理措施、节水措施、节材措施、节能措施、水土污染防治、施工噪音及光污染防治。</w:t>
      </w:r>
    </w:p>
    <w:p>
      <w:pPr>
        <w:pStyle w:val="7"/>
        <w:rPr>
          <w:rFonts w:hAnsi="宋体" w:cs="宋体"/>
          <w:bCs w:val="0"/>
          <w:szCs w:val="24"/>
          <w:shd w:val="clear" w:color="auto" w:fill="FFFFFF"/>
        </w:rPr>
      </w:pPr>
      <w:r>
        <w:rPr>
          <w:rFonts w:hint="eastAsia" w:hAnsi="宋体" w:cs="宋体"/>
          <w:b/>
          <w:szCs w:val="24"/>
          <w:shd w:val="clear" w:color="auto" w:fill="FFFFFF"/>
        </w:rPr>
        <w:t>3.5.3</w:t>
      </w:r>
      <w:r>
        <w:rPr>
          <w:rFonts w:hint="eastAsia" w:hAnsi="宋体" w:cs="宋体"/>
          <w:bCs w:val="0"/>
          <w:szCs w:val="24"/>
          <w:shd w:val="clear" w:color="auto" w:fill="FFFFFF"/>
        </w:rPr>
        <w:t xml:space="preserve">  管理措施应符合下列规定：</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1</w:t>
      </w:r>
      <w:r>
        <w:rPr>
          <w:rFonts w:hint="eastAsia" w:hAnsi="宋体" w:cs="宋体"/>
          <w:bCs w:val="0"/>
          <w:szCs w:val="24"/>
          <w:shd w:val="clear" w:color="auto" w:fill="FFFFFF"/>
        </w:rPr>
        <w:t xml:space="preserve">  编制绿色施工方案或绿色施工措施，明确绿色施工的责任和义务；</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2</w:t>
      </w:r>
      <w:r>
        <w:rPr>
          <w:rFonts w:hint="eastAsia" w:hAnsi="宋体" w:cs="宋体"/>
          <w:bCs w:val="0"/>
          <w:szCs w:val="24"/>
          <w:shd w:val="clear" w:color="auto" w:fill="FFFFFF"/>
        </w:rPr>
        <w:t xml:space="preserve">  施工前进行绿色施工技术交底，留存交底记录。</w:t>
      </w:r>
    </w:p>
    <w:p>
      <w:pPr>
        <w:pStyle w:val="7"/>
        <w:rPr>
          <w:rFonts w:hAnsi="宋体" w:cs="宋体"/>
          <w:bCs w:val="0"/>
          <w:szCs w:val="24"/>
          <w:shd w:val="clear" w:color="auto" w:fill="FFFFFF"/>
        </w:rPr>
      </w:pPr>
      <w:r>
        <w:rPr>
          <w:rFonts w:hint="eastAsia" w:hAnsi="宋体" w:cs="宋体"/>
          <w:b/>
          <w:szCs w:val="24"/>
          <w:shd w:val="clear" w:color="auto" w:fill="FFFFFF"/>
        </w:rPr>
        <w:t>3.5.4</w:t>
      </w:r>
      <w:r>
        <w:rPr>
          <w:rFonts w:hint="eastAsia" w:hAnsi="宋体" w:cs="宋体"/>
          <w:bCs w:val="0"/>
          <w:szCs w:val="24"/>
          <w:shd w:val="clear" w:color="auto" w:fill="FFFFFF"/>
        </w:rPr>
        <w:t xml:space="preserve">  节水措施应符合下列规定：</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1  </w:t>
      </w:r>
      <w:r>
        <w:rPr>
          <w:rFonts w:hint="eastAsia" w:hAnsi="宋体" w:cs="宋体"/>
          <w:bCs w:val="0"/>
          <w:szCs w:val="24"/>
          <w:shd w:val="clear" w:color="auto" w:fill="FFFFFF"/>
        </w:rPr>
        <w:t>建立雨水收集和基坑降水回收利用系统；</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2  </w:t>
      </w:r>
      <w:r>
        <w:rPr>
          <w:rFonts w:hint="eastAsia" w:hAnsi="宋体" w:cs="宋体"/>
          <w:bCs w:val="0"/>
          <w:szCs w:val="24"/>
          <w:shd w:val="clear" w:color="auto" w:fill="FFFFFF"/>
        </w:rPr>
        <w:t>采用节水器具，并设置节水标识。</w:t>
      </w:r>
    </w:p>
    <w:p>
      <w:pPr>
        <w:pStyle w:val="7"/>
        <w:rPr>
          <w:rFonts w:hAnsi="宋体" w:cs="宋体"/>
          <w:bCs w:val="0"/>
          <w:szCs w:val="24"/>
          <w:shd w:val="clear" w:color="auto" w:fill="FFFFFF"/>
        </w:rPr>
      </w:pPr>
      <w:r>
        <w:rPr>
          <w:rFonts w:hint="eastAsia" w:hAnsi="宋体" w:cs="宋体"/>
          <w:b/>
          <w:szCs w:val="24"/>
          <w:shd w:val="clear" w:color="auto" w:fill="FFFFFF"/>
        </w:rPr>
        <w:t>3.5.5</w:t>
      </w:r>
      <w:r>
        <w:rPr>
          <w:rFonts w:hint="eastAsia" w:hAnsi="宋体" w:cs="宋体"/>
          <w:bCs w:val="0"/>
          <w:szCs w:val="24"/>
          <w:shd w:val="clear" w:color="auto" w:fill="FFFFFF"/>
        </w:rPr>
        <w:t xml:space="preserve">  节材措施应符合下列规定：</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1  </w:t>
      </w:r>
      <w:r>
        <w:rPr>
          <w:rFonts w:hint="eastAsia" w:hAnsi="宋体" w:cs="宋体"/>
          <w:bCs w:val="0"/>
          <w:szCs w:val="24"/>
          <w:shd w:val="clear" w:color="auto" w:fill="FFFFFF"/>
        </w:rPr>
        <w:t>采用管件合一或高周转率的模架系统；</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2  </w:t>
      </w:r>
      <w:r>
        <w:rPr>
          <w:rFonts w:hint="eastAsia" w:hAnsi="宋体" w:cs="宋体"/>
          <w:bCs w:val="0"/>
          <w:szCs w:val="24"/>
          <w:shd w:val="clear" w:color="auto" w:fill="FFFFFF"/>
        </w:rPr>
        <w:t>对可回收再利用物资及时分拣、回收、再利用；</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3  </w:t>
      </w:r>
      <w:r>
        <w:rPr>
          <w:rFonts w:hint="eastAsia" w:hAnsi="宋体" w:cs="宋体"/>
          <w:bCs w:val="0"/>
          <w:szCs w:val="24"/>
          <w:shd w:val="clear" w:color="auto" w:fill="FFFFFF"/>
        </w:rPr>
        <w:t>使用工具化等可周转的安全防护设施；</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4  </w:t>
      </w:r>
      <w:r>
        <w:rPr>
          <w:rFonts w:hint="eastAsia" w:hAnsi="宋体" w:cs="宋体"/>
          <w:bCs w:val="0"/>
          <w:szCs w:val="24"/>
          <w:shd w:val="clear" w:color="auto" w:fill="FFFFFF"/>
        </w:rPr>
        <w:t>宜选用装配式临时用房。</w:t>
      </w:r>
    </w:p>
    <w:p>
      <w:pPr>
        <w:pStyle w:val="7"/>
        <w:rPr>
          <w:rFonts w:hAnsi="宋体" w:cs="宋体"/>
          <w:bCs w:val="0"/>
          <w:szCs w:val="24"/>
          <w:shd w:val="clear" w:color="auto" w:fill="FFFFFF"/>
        </w:rPr>
      </w:pPr>
      <w:r>
        <w:rPr>
          <w:rFonts w:hint="eastAsia" w:hAnsi="宋体" w:cs="宋体"/>
          <w:b/>
          <w:szCs w:val="24"/>
          <w:shd w:val="clear" w:color="auto" w:fill="FFFFFF"/>
        </w:rPr>
        <w:t>3.5.6</w:t>
      </w:r>
      <w:r>
        <w:rPr>
          <w:rFonts w:hint="eastAsia" w:hAnsi="宋体" w:cs="宋体"/>
          <w:bCs w:val="0"/>
          <w:szCs w:val="24"/>
          <w:shd w:val="clear" w:color="auto" w:fill="FFFFFF"/>
        </w:rPr>
        <w:t xml:space="preserve">  节能措施应符合下列规定：</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1  </w:t>
      </w:r>
      <w:r>
        <w:rPr>
          <w:rFonts w:hint="eastAsia" w:hAnsi="宋体" w:cs="宋体"/>
          <w:bCs w:val="0"/>
          <w:szCs w:val="24"/>
          <w:shd w:val="clear" w:color="auto" w:fill="FFFFFF"/>
        </w:rPr>
        <w:t>临时设施内使用太阳能、空气能等节能环保设备设施；</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2  </w:t>
      </w:r>
      <w:r>
        <w:rPr>
          <w:rFonts w:hint="eastAsia" w:hAnsi="宋体" w:cs="宋体"/>
          <w:bCs w:val="0"/>
          <w:szCs w:val="24"/>
          <w:shd w:val="clear" w:color="auto" w:fill="FFFFFF"/>
        </w:rPr>
        <w:t>使用节能灯具，采取声控、光控等节能措施。</w:t>
      </w:r>
    </w:p>
    <w:p>
      <w:pPr>
        <w:pStyle w:val="7"/>
        <w:rPr>
          <w:rFonts w:hAnsi="宋体" w:cs="宋体"/>
          <w:bCs w:val="0"/>
          <w:szCs w:val="24"/>
          <w:shd w:val="clear" w:color="auto" w:fill="FFFFFF"/>
        </w:rPr>
      </w:pPr>
      <w:r>
        <w:rPr>
          <w:rFonts w:hint="eastAsia" w:hAnsi="宋体" w:cs="宋体"/>
          <w:b/>
          <w:szCs w:val="24"/>
          <w:shd w:val="clear" w:color="auto" w:fill="FFFFFF"/>
        </w:rPr>
        <w:t>3.5.7</w:t>
      </w:r>
      <w:r>
        <w:rPr>
          <w:rFonts w:hint="eastAsia" w:hAnsi="宋体" w:cs="宋体"/>
          <w:bCs w:val="0"/>
          <w:szCs w:val="24"/>
          <w:shd w:val="clear" w:color="auto" w:fill="FFFFFF"/>
        </w:rPr>
        <w:t xml:space="preserve">  水土污染防治应符合下列规定：</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1  </w:t>
      </w:r>
      <w:r>
        <w:rPr>
          <w:rFonts w:hint="eastAsia" w:hAnsi="宋体" w:cs="宋体"/>
          <w:bCs w:val="0"/>
          <w:szCs w:val="24"/>
          <w:shd w:val="clear" w:color="auto" w:fill="FFFFFF"/>
        </w:rPr>
        <w:t>编制并落实建筑垃圾处置方案；</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2  </w:t>
      </w:r>
      <w:r>
        <w:rPr>
          <w:rFonts w:hint="eastAsia" w:hAnsi="宋体" w:cs="宋体"/>
          <w:bCs w:val="0"/>
          <w:szCs w:val="24"/>
          <w:shd w:val="clear" w:color="auto" w:fill="FFFFFF"/>
        </w:rPr>
        <w:t>食堂设置厨房隔油池；</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3  </w:t>
      </w:r>
      <w:r>
        <w:rPr>
          <w:rFonts w:hint="eastAsia" w:hAnsi="宋体" w:cs="宋体"/>
          <w:bCs w:val="0"/>
          <w:szCs w:val="24"/>
          <w:shd w:val="clear" w:color="auto" w:fill="FFFFFF"/>
        </w:rPr>
        <w:t>临时厕所设置化粪池；</w:t>
      </w:r>
    </w:p>
    <w:p>
      <w:pPr>
        <w:pStyle w:val="7"/>
        <w:ind w:firstLine="482" w:firstLineChars="200"/>
        <w:rPr>
          <w:rFonts w:hAnsi="宋体" w:cs="宋体"/>
          <w:bCs w:val="0"/>
          <w:color w:val="000000" w:themeColor="text1"/>
          <w:szCs w:val="24"/>
          <w:shd w:val="clear" w:color="auto" w:fill="FFFFFF"/>
        </w:rPr>
      </w:pPr>
      <w:r>
        <w:rPr>
          <w:rFonts w:hint="eastAsia" w:hAnsi="宋体" w:cs="宋体"/>
          <w:b/>
          <w:color w:val="000000" w:themeColor="text1"/>
          <w:szCs w:val="24"/>
          <w:shd w:val="clear" w:color="auto" w:fill="FFFFFF"/>
        </w:rPr>
        <w:t xml:space="preserve">4  </w:t>
      </w:r>
      <w:r>
        <w:rPr>
          <w:rFonts w:hint="eastAsia" w:hAnsi="宋体" w:cs="宋体"/>
          <w:bCs w:val="0"/>
          <w:color w:val="000000" w:themeColor="text1"/>
          <w:szCs w:val="24"/>
          <w:shd w:val="clear" w:color="auto" w:fill="FFFFFF"/>
        </w:rPr>
        <w:t>存放的油料和化学溶剂等物品应设置专用库房，地面进应行防渗漏处理；</w:t>
      </w:r>
      <w:r>
        <w:rPr>
          <w:rFonts w:hAnsi="宋体" w:cs="宋体"/>
          <w:bCs w:val="0"/>
          <w:color w:val="000000" w:themeColor="text1"/>
          <w:szCs w:val="24"/>
          <w:shd w:val="clear" w:color="auto" w:fill="FFFFFF"/>
        </w:rPr>
        <w:t xml:space="preserve"> </w:t>
      </w:r>
    </w:p>
    <w:p>
      <w:pPr>
        <w:widowControl/>
        <w:spacing w:line="360" w:lineRule="auto"/>
        <w:ind w:firstLine="482" w:firstLineChars="200"/>
        <w:jc w:val="left"/>
        <w:textAlignment w:val="center"/>
        <w:rPr>
          <w:rFonts w:ascii="宋体" w:hAnsi="宋体" w:cs="宋体"/>
          <w:bCs w:val="0"/>
          <w:shd w:val="clear" w:color="auto" w:fill="FFFFFF"/>
        </w:rPr>
      </w:pPr>
      <w:r>
        <w:rPr>
          <w:rFonts w:hint="eastAsia" w:ascii="宋体" w:hAnsi="宋体" w:cs="宋体"/>
          <w:b/>
          <w:shd w:val="clear" w:color="auto" w:fill="FFFFFF"/>
        </w:rPr>
        <w:t>5</w:t>
      </w:r>
      <w:r>
        <w:rPr>
          <w:rFonts w:hint="eastAsia" w:ascii="宋体" w:hAnsi="宋体" w:cs="宋体"/>
          <w:bCs w:val="0"/>
          <w:shd w:val="clear" w:color="auto" w:fill="FFFFFF"/>
        </w:rPr>
        <w:t xml:space="preserve">  废弃的油料和化学溶剂等废物不得随意倾倒、填埋；</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6  </w:t>
      </w:r>
      <w:r>
        <w:rPr>
          <w:rFonts w:hint="eastAsia" w:hAnsi="宋体" w:cs="宋体"/>
          <w:bCs w:val="0"/>
          <w:szCs w:val="24"/>
          <w:shd w:val="clear" w:color="auto" w:fill="FFFFFF"/>
        </w:rPr>
        <w:t xml:space="preserve">施工现场废弃的降水井及时回填或封闭井口，防止污染地下水。 </w:t>
      </w:r>
    </w:p>
    <w:p>
      <w:pPr>
        <w:pStyle w:val="7"/>
        <w:rPr>
          <w:rFonts w:hAnsi="宋体" w:cs="宋体"/>
          <w:bCs w:val="0"/>
          <w:szCs w:val="24"/>
          <w:shd w:val="clear" w:color="auto" w:fill="FFFFFF"/>
        </w:rPr>
      </w:pPr>
      <w:r>
        <w:rPr>
          <w:rFonts w:hint="eastAsia" w:hAnsi="宋体" w:cs="宋体"/>
          <w:b/>
          <w:szCs w:val="24"/>
          <w:shd w:val="clear" w:color="auto" w:fill="FFFFFF"/>
        </w:rPr>
        <w:t>3.5.8</w:t>
      </w:r>
      <w:r>
        <w:rPr>
          <w:rFonts w:hint="eastAsia" w:hAnsi="宋体" w:cs="宋体"/>
          <w:bCs w:val="0"/>
          <w:szCs w:val="24"/>
          <w:shd w:val="clear" w:color="auto" w:fill="FFFFFF"/>
        </w:rPr>
        <w:t> 施工噪音及光污染防治应符合下列规定： </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1  </w:t>
      </w:r>
      <w:r>
        <w:rPr>
          <w:rFonts w:hint="eastAsia" w:hAnsi="宋体" w:cs="宋体"/>
          <w:bCs w:val="0"/>
          <w:szCs w:val="24"/>
          <w:shd w:val="clear" w:color="auto" w:fill="FFFFFF"/>
        </w:rPr>
        <w:t>施工现场场界噪音排放符合《建筑施工场界环境噪声排放标准》GB12523规定，对场界噪声排放进行监测、记录和控制，并采取降低噪音的措施；</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2  </w:t>
      </w:r>
      <w:r>
        <w:rPr>
          <w:rFonts w:hint="eastAsia" w:hAnsi="宋体" w:cs="宋体"/>
          <w:bCs w:val="0"/>
          <w:szCs w:val="24"/>
          <w:shd w:val="clear" w:color="auto" w:fill="FFFFFF"/>
        </w:rPr>
        <w:t>施工现场宜选用低噪声、低振动的设备；</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3</w:t>
      </w:r>
      <w:r>
        <w:rPr>
          <w:rFonts w:hint="eastAsia" w:hAnsi="宋体" w:cs="宋体"/>
          <w:bCs w:val="0"/>
          <w:szCs w:val="24"/>
          <w:shd w:val="clear" w:color="auto" w:fill="FFFFFF"/>
        </w:rPr>
        <w:t xml:space="preserve">  强噪音设备设置在靠近居民区一侧的，采用隔声、吸声材料搭设防护棚或屏障；</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 xml:space="preserve">4  </w:t>
      </w:r>
      <w:r>
        <w:rPr>
          <w:rFonts w:hint="eastAsia" w:hAnsi="宋体" w:cs="宋体"/>
          <w:bCs w:val="0"/>
          <w:szCs w:val="24"/>
          <w:shd w:val="clear" w:color="auto" w:fill="FFFFFF"/>
        </w:rPr>
        <w:t>施工现场采取限时施工、遮光或封闭等措施，防止光污染。</w:t>
      </w:r>
    </w:p>
    <w:p>
      <w:pPr>
        <w:pStyle w:val="13"/>
        <w:tabs>
          <w:tab w:val="right" w:leader="dot" w:pos="8450"/>
        </w:tabs>
        <w:spacing w:beforeLines="100" w:afterLines="100" w:line="360" w:lineRule="auto"/>
        <w:jc w:val="center"/>
        <w:rPr>
          <w:rFonts w:ascii="宋体" w:hAnsi="宋体" w:cs="宋体"/>
          <w:b/>
          <w:sz w:val="24"/>
          <w:szCs w:val="24"/>
          <w:shd w:val="clear" w:color="auto" w:fill="FFFFFF"/>
        </w:rPr>
      </w:pPr>
      <w:r>
        <w:rPr>
          <w:rFonts w:hint="eastAsia" w:ascii="宋体" w:hAnsi="宋体" w:cs="宋体"/>
          <w:b/>
          <w:sz w:val="24"/>
          <w:szCs w:val="24"/>
          <w:shd w:val="clear" w:color="auto" w:fill="FFFFFF"/>
        </w:rPr>
        <w:t>3.6  脚手架及模板支架</w:t>
      </w:r>
    </w:p>
    <w:p>
      <w:pPr>
        <w:pStyle w:val="7"/>
        <w:rPr>
          <w:rFonts w:hAnsi="宋体" w:cs="宋体"/>
          <w:szCs w:val="24"/>
        </w:rPr>
      </w:pPr>
      <w:r>
        <w:rPr>
          <w:rFonts w:hint="eastAsia" w:hAnsi="宋体" w:cs="宋体"/>
          <w:b/>
          <w:szCs w:val="24"/>
        </w:rPr>
        <w:t>3.6.1</w:t>
      </w:r>
      <w:r>
        <w:rPr>
          <w:rFonts w:hint="eastAsia" w:hAnsi="宋体" w:cs="宋体"/>
          <w:szCs w:val="24"/>
        </w:rPr>
        <w:t xml:space="preserve">  脚手架及模板支架评价应符合《施工脚手架通用规范》GB55023及相关标准、规范的规定。</w:t>
      </w:r>
    </w:p>
    <w:p>
      <w:pPr>
        <w:pStyle w:val="7"/>
        <w:rPr>
          <w:rFonts w:hAnsi="宋体" w:cs="宋体"/>
          <w:szCs w:val="24"/>
        </w:rPr>
      </w:pPr>
      <w:r>
        <w:rPr>
          <w:rFonts w:hint="eastAsia" w:hAnsi="宋体" w:cs="宋体"/>
          <w:b/>
          <w:szCs w:val="24"/>
        </w:rPr>
        <w:t>3.6.2</w:t>
      </w:r>
      <w:r>
        <w:rPr>
          <w:rFonts w:hint="eastAsia" w:hAnsi="宋体" w:cs="宋体"/>
          <w:szCs w:val="24"/>
        </w:rPr>
        <w:t xml:space="preserve">  脚手架及模板支架评价项目包括：方案管理、人员管理、架体基础、脚手架、模板支架。</w:t>
      </w:r>
    </w:p>
    <w:p>
      <w:pPr>
        <w:pStyle w:val="7"/>
        <w:rPr>
          <w:rFonts w:hAnsi="宋体" w:cs="宋体"/>
          <w:szCs w:val="24"/>
        </w:rPr>
      </w:pPr>
      <w:r>
        <w:rPr>
          <w:rFonts w:hint="eastAsia" w:hAnsi="宋体" w:cs="宋体"/>
          <w:b/>
          <w:szCs w:val="24"/>
        </w:rPr>
        <w:t xml:space="preserve">3.6.3  </w:t>
      </w:r>
      <w:r>
        <w:rPr>
          <w:rFonts w:hint="eastAsia" w:hAnsi="宋体" w:cs="宋体"/>
          <w:szCs w:val="24"/>
        </w:rPr>
        <w:t>方案管理应符合下列规定：</w:t>
      </w:r>
    </w:p>
    <w:p>
      <w:pPr>
        <w:pStyle w:val="7"/>
        <w:ind w:firstLine="480" w:firstLineChars="200"/>
        <w:rPr>
          <w:rFonts w:hAnsi="宋体" w:cs="宋体"/>
          <w:szCs w:val="24"/>
        </w:rPr>
      </w:pPr>
      <w:r>
        <w:rPr>
          <w:rFonts w:hint="eastAsia" w:hAnsi="宋体" w:cs="宋体"/>
          <w:szCs w:val="24"/>
        </w:rPr>
        <w:t>脚手架及模板支架应根据施工现场情况、地基承载力、搭设高度等编制专项施工方案，并经审核、</w:t>
      </w:r>
      <w:r>
        <w:rPr>
          <w:szCs w:val="24"/>
        </w:rPr>
        <w:t>审批</w:t>
      </w:r>
      <w:r>
        <w:rPr>
          <w:rFonts w:hint="eastAsia" w:hAnsi="宋体" w:cs="宋体"/>
          <w:szCs w:val="24"/>
        </w:rPr>
        <w:t>后方可实施。</w:t>
      </w:r>
    </w:p>
    <w:p>
      <w:pPr>
        <w:pStyle w:val="7"/>
        <w:rPr>
          <w:rFonts w:hAnsi="宋体" w:cs="宋体"/>
          <w:bCs w:val="0"/>
          <w:szCs w:val="24"/>
        </w:rPr>
      </w:pPr>
      <w:r>
        <w:rPr>
          <w:rFonts w:hint="eastAsia" w:hAnsi="宋体" w:cs="宋体"/>
          <w:b/>
          <w:szCs w:val="24"/>
        </w:rPr>
        <w:t xml:space="preserve">3.6.4  </w:t>
      </w:r>
      <w:r>
        <w:rPr>
          <w:rFonts w:hint="eastAsia" w:hAnsi="宋体" w:cs="宋体"/>
          <w:bCs w:val="0"/>
          <w:szCs w:val="24"/>
        </w:rPr>
        <w:t>人员管理应符合下列规定：</w:t>
      </w:r>
    </w:p>
    <w:p>
      <w:pPr>
        <w:pStyle w:val="7"/>
        <w:ind w:firstLine="482" w:firstLineChars="200"/>
        <w:rPr>
          <w:rFonts w:hAnsi="宋体" w:cs="宋体"/>
          <w:color w:val="000000" w:themeColor="text1"/>
          <w:szCs w:val="24"/>
        </w:rPr>
      </w:pPr>
      <w:r>
        <w:rPr>
          <w:rFonts w:hint="eastAsia" w:hAnsi="宋体" w:cs="宋体"/>
          <w:b/>
          <w:szCs w:val="24"/>
          <w:shd w:val="clear" w:color="auto" w:fill="FFFFFF"/>
        </w:rPr>
        <w:t xml:space="preserve">1  </w:t>
      </w:r>
      <w:r>
        <w:rPr>
          <w:rFonts w:hint="eastAsia" w:hAnsi="宋体" w:cs="宋体"/>
          <w:szCs w:val="24"/>
        </w:rPr>
        <w:t>脚手架及模板支架搭拆人员持特种作业人员操作资格证上岗；</w:t>
      </w:r>
      <w:r>
        <w:rPr>
          <w:rFonts w:hAnsi="宋体" w:cs="宋体"/>
          <w:color w:val="000000" w:themeColor="text1"/>
          <w:szCs w:val="24"/>
        </w:rPr>
        <w:t xml:space="preserve"> </w:t>
      </w:r>
    </w:p>
    <w:p>
      <w:pPr>
        <w:pStyle w:val="7"/>
        <w:ind w:firstLine="482" w:firstLineChars="200"/>
        <w:rPr>
          <w:rFonts w:hAnsi="宋体" w:cs="宋体"/>
          <w:szCs w:val="24"/>
        </w:rPr>
      </w:pPr>
      <w:r>
        <w:rPr>
          <w:rFonts w:hint="eastAsia" w:hAnsi="宋体" w:cs="宋体"/>
          <w:b/>
          <w:szCs w:val="24"/>
          <w:shd w:val="clear" w:color="auto" w:fill="FFFFFF"/>
        </w:rPr>
        <w:t xml:space="preserve">2  </w:t>
      </w:r>
      <w:r>
        <w:rPr>
          <w:rFonts w:hint="eastAsia" w:hAnsi="宋体" w:cs="宋体"/>
          <w:szCs w:val="24"/>
        </w:rPr>
        <w:t>脚手架及模板支架搭拆作业前应进行安全技术交底。</w:t>
      </w:r>
    </w:p>
    <w:p>
      <w:pPr>
        <w:pStyle w:val="7"/>
        <w:rPr>
          <w:rFonts w:hAnsi="宋体" w:cs="宋体"/>
          <w:szCs w:val="24"/>
        </w:rPr>
      </w:pPr>
      <w:r>
        <w:rPr>
          <w:rFonts w:hint="eastAsia" w:hAnsi="宋体" w:cs="宋体"/>
          <w:b/>
          <w:szCs w:val="24"/>
        </w:rPr>
        <w:t>3.6.5</w:t>
      </w:r>
      <w:r>
        <w:rPr>
          <w:rFonts w:hint="eastAsia" w:hAnsi="宋体" w:cs="宋体"/>
          <w:szCs w:val="24"/>
        </w:rPr>
        <w:t xml:space="preserve">  架体基础应符合下列规定：</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1</w:t>
      </w:r>
      <w:r>
        <w:rPr>
          <w:rFonts w:hint="eastAsia" w:hAnsi="宋体" w:cs="宋体"/>
          <w:bCs w:val="0"/>
          <w:szCs w:val="24"/>
          <w:shd w:val="clear" w:color="auto" w:fill="FFFFFF"/>
        </w:rPr>
        <w:t xml:space="preserve">  基础应平整，满足承载力和变形要求；</w:t>
      </w:r>
    </w:p>
    <w:p>
      <w:pPr>
        <w:pStyle w:val="7"/>
        <w:ind w:firstLine="482" w:firstLineChars="200"/>
        <w:rPr>
          <w:rFonts w:hAnsi="宋体" w:cs="宋体"/>
          <w:bCs w:val="0"/>
          <w:szCs w:val="24"/>
          <w:shd w:val="clear" w:color="auto" w:fill="FFFFFF"/>
        </w:rPr>
      </w:pPr>
      <w:r>
        <w:rPr>
          <w:rFonts w:hint="eastAsia" w:hAnsi="宋体" w:cs="宋体"/>
          <w:b/>
          <w:szCs w:val="24"/>
          <w:shd w:val="clear" w:color="auto" w:fill="FFFFFF"/>
        </w:rPr>
        <w:t>2</w:t>
      </w:r>
      <w:r>
        <w:rPr>
          <w:rFonts w:hint="eastAsia" w:hAnsi="宋体" w:cs="宋体"/>
          <w:bCs w:val="0"/>
          <w:szCs w:val="24"/>
          <w:shd w:val="clear" w:color="auto" w:fill="FFFFFF"/>
        </w:rPr>
        <w:t xml:space="preserve">  设置排水措施，不得积水。</w:t>
      </w:r>
    </w:p>
    <w:p>
      <w:pPr>
        <w:pStyle w:val="7"/>
        <w:rPr>
          <w:rFonts w:hAnsi="宋体" w:cs="宋体"/>
          <w:bCs w:val="0"/>
          <w:szCs w:val="24"/>
        </w:rPr>
      </w:pPr>
      <w:r>
        <w:rPr>
          <w:rFonts w:hint="eastAsia" w:hAnsi="宋体" w:cs="宋体"/>
          <w:b/>
          <w:szCs w:val="24"/>
        </w:rPr>
        <w:t xml:space="preserve">3.6.6 </w:t>
      </w:r>
      <w:r>
        <w:rPr>
          <w:rFonts w:hint="eastAsia" w:hAnsi="宋体" w:cs="宋体"/>
          <w:bCs w:val="0"/>
          <w:szCs w:val="24"/>
        </w:rPr>
        <w:t xml:space="preserve"> 脚手架应符合下列规定：</w:t>
      </w:r>
    </w:p>
    <w:p>
      <w:pPr>
        <w:pStyle w:val="7"/>
        <w:ind w:firstLine="482" w:firstLineChars="200"/>
        <w:rPr>
          <w:rFonts w:hAnsi="宋体" w:cs="宋体"/>
          <w:szCs w:val="24"/>
        </w:rPr>
      </w:pPr>
      <w:r>
        <w:rPr>
          <w:rFonts w:hint="eastAsia" w:hAnsi="宋体" w:cs="宋体"/>
          <w:b/>
          <w:szCs w:val="24"/>
          <w:shd w:val="clear" w:color="auto" w:fill="FFFFFF"/>
        </w:rPr>
        <w:t xml:space="preserve">1  </w:t>
      </w:r>
      <w:r>
        <w:rPr>
          <w:rFonts w:hint="eastAsia" w:hAnsi="宋体" w:cs="宋体"/>
          <w:bCs w:val="0"/>
          <w:szCs w:val="24"/>
          <w:shd w:val="clear" w:color="auto" w:fill="FFFFFF"/>
        </w:rPr>
        <w:t>按照专项施工方案要求施工，</w:t>
      </w:r>
      <w:r>
        <w:rPr>
          <w:rFonts w:hint="eastAsia" w:hAnsi="宋体" w:cs="宋体"/>
          <w:szCs w:val="24"/>
        </w:rPr>
        <w:t xml:space="preserve">经验收合格后方可投入使用；                                                               </w:t>
      </w:r>
    </w:p>
    <w:p>
      <w:pPr>
        <w:pStyle w:val="7"/>
        <w:ind w:firstLine="482" w:firstLineChars="200"/>
        <w:rPr>
          <w:rFonts w:hAnsi="宋体" w:cs="宋体"/>
          <w:szCs w:val="24"/>
        </w:rPr>
      </w:pPr>
      <w:r>
        <w:rPr>
          <w:rFonts w:hint="eastAsia" w:hAnsi="宋体" w:cs="宋体"/>
          <w:b/>
          <w:szCs w:val="24"/>
          <w:shd w:val="clear" w:color="auto" w:fill="FFFFFF"/>
        </w:rPr>
        <w:t xml:space="preserve">2  </w:t>
      </w:r>
      <w:r>
        <w:rPr>
          <w:rFonts w:hint="eastAsia" w:hAnsi="宋体" w:cs="宋体"/>
          <w:bCs w:val="0"/>
          <w:szCs w:val="24"/>
          <w:shd w:val="clear" w:color="auto" w:fill="FFFFFF"/>
        </w:rPr>
        <w:t>架体材料与</w:t>
      </w:r>
      <w:r>
        <w:rPr>
          <w:rFonts w:hint="eastAsia" w:hAnsi="宋体" w:cs="宋体"/>
          <w:szCs w:val="24"/>
        </w:rPr>
        <w:t>构配件进场时附产品合格证等质量证明文件；</w:t>
      </w:r>
    </w:p>
    <w:p>
      <w:pPr>
        <w:pStyle w:val="7"/>
        <w:ind w:firstLine="482" w:firstLineChars="200"/>
        <w:rPr>
          <w:rFonts w:hAnsi="宋体" w:cs="宋体"/>
          <w:szCs w:val="24"/>
        </w:rPr>
      </w:pPr>
      <w:r>
        <w:rPr>
          <w:rFonts w:hint="eastAsia" w:hAnsi="宋体" w:cs="宋体"/>
          <w:b/>
          <w:szCs w:val="24"/>
        </w:rPr>
        <w:t>3</w:t>
      </w:r>
      <w:r>
        <w:rPr>
          <w:rFonts w:hint="eastAsia" w:hAnsi="宋体" w:cs="宋体"/>
          <w:szCs w:val="24"/>
        </w:rPr>
        <w:t xml:space="preserve">  杆件表面作防腐刷漆处理；          </w:t>
      </w:r>
    </w:p>
    <w:p>
      <w:pPr>
        <w:pStyle w:val="7"/>
        <w:ind w:firstLine="482" w:firstLineChars="200"/>
        <w:rPr>
          <w:rFonts w:hAnsi="宋体" w:cs="宋体"/>
          <w:szCs w:val="24"/>
        </w:rPr>
      </w:pPr>
      <w:r>
        <w:rPr>
          <w:rFonts w:hint="eastAsia" w:hAnsi="宋体" w:cs="宋体"/>
          <w:b/>
          <w:szCs w:val="24"/>
          <w:shd w:val="clear" w:color="auto" w:fill="FFFFFF"/>
        </w:rPr>
        <w:t xml:space="preserve">4  </w:t>
      </w:r>
      <w:r>
        <w:rPr>
          <w:rFonts w:hint="eastAsia" w:hAnsi="宋体" w:cs="宋体"/>
          <w:szCs w:val="24"/>
        </w:rPr>
        <w:t xml:space="preserve">架体底部、作业层、外立面封闭严实； </w:t>
      </w:r>
    </w:p>
    <w:p>
      <w:pPr>
        <w:pStyle w:val="7"/>
        <w:ind w:firstLine="482" w:firstLineChars="200"/>
        <w:rPr>
          <w:rFonts w:hAnsi="宋体" w:cs="宋体"/>
          <w:szCs w:val="24"/>
        </w:rPr>
      </w:pPr>
      <w:r>
        <w:rPr>
          <w:rFonts w:hint="eastAsia" w:hAnsi="宋体" w:cs="宋体"/>
          <w:b/>
          <w:szCs w:val="24"/>
        </w:rPr>
        <w:t>5</w:t>
      </w:r>
      <w:r>
        <w:rPr>
          <w:rFonts w:hint="eastAsia" w:hAnsi="宋体" w:cs="宋体"/>
          <w:szCs w:val="24"/>
        </w:rPr>
        <w:t xml:space="preserve">  立杆、水平杆、剪刀撑、斜杆等构造措施符合专项施工方案要求；</w:t>
      </w:r>
    </w:p>
    <w:p>
      <w:pPr>
        <w:pStyle w:val="7"/>
        <w:ind w:firstLine="482" w:firstLineChars="200"/>
        <w:rPr>
          <w:rFonts w:hAnsi="宋体" w:cs="宋体"/>
          <w:szCs w:val="24"/>
        </w:rPr>
      </w:pPr>
      <w:r>
        <w:rPr>
          <w:rFonts w:hint="eastAsia" w:hAnsi="宋体" w:cs="宋体"/>
          <w:b/>
          <w:szCs w:val="24"/>
        </w:rPr>
        <w:t xml:space="preserve">6  </w:t>
      </w:r>
      <w:r>
        <w:rPr>
          <w:rFonts w:hint="eastAsia" w:hAnsi="宋体" w:cs="宋体"/>
          <w:szCs w:val="24"/>
        </w:rPr>
        <w:t>架体的连墙件设置符合专项施工方案要求，</w:t>
      </w:r>
      <w:r>
        <w:rPr>
          <w:rFonts w:hint="eastAsia" w:hAnsi="宋体" w:cs="宋体"/>
          <w:color w:val="000000" w:themeColor="text1"/>
          <w:szCs w:val="24"/>
        </w:rPr>
        <w:t>且架体连墙点的水平间距不得超过3跨，竖向间距不得超过3步，连墙点之上架体的悬臂高度不应超过2步；</w:t>
      </w:r>
      <w:r>
        <w:rPr>
          <w:rFonts w:hint="eastAsia" w:hAnsi="宋体" w:cs="宋体"/>
          <w:szCs w:val="24"/>
        </w:rPr>
        <w:t xml:space="preserve">               </w:t>
      </w:r>
    </w:p>
    <w:p>
      <w:pPr>
        <w:pStyle w:val="7"/>
        <w:ind w:firstLine="482" w:firstLineChars="200"/>
        <w:jc w:val="left"/>
        <w:rPr>
          <w:rFonts w:hAnsi="宋体" w:cs="宋体"/>
          <w:szCs w:val="24"/>
        </w:rPr>
      </w:pPr>
      <w:r>
        <w:rPr>
          <w:rFonts w:hint="eastAsia" w:hAnsi="宋体" w:cs="宋体"/>
          <w:b/>
          <w:szCs w:val="24"/>
          <w:shd w:val="clear" w:color="auto" w:fill="FFFFFF"/>
        </w:rPr>
        <w:t>7</w:t>
      </w:r>
      <w:r>
        <w:rPr>
          <w:rFonts w:hint="eastAsia" w:hAnsi="宋体" w:cs="宋体"/>
          <w:szCs w:val="24"/>
        </w:rPr>
        <w:t xml:space="preserve">  悬挑式脚手架型钢、吊耳、拉杆等主要悬挑构件的材质及固定措施符合专项施工方案要求；                                                                                                                 </w:t>
      </w:r>
    </w:p>
    <w:p>
      <w:pPr>
        <w:pStyle w:val="7"/>
        <w:ind w:firstLine="482" w:firstLineChars="200"/>
        <w:rPr>
          <w:rFonts w:hAnsi="宋体" w:cs="宋体"/>
          <w:szCs w:val="24"/>
        </w:rPr>
      </w:pPr>
      <w:r>
        <w:rPr>
          <w:rFonts w:hint="eastAsia" w:hAnsi="宋体" w:cs="宋体"/>
          <w:b/>
          <w:szCs w:val="24"/>
          <w:shd w:val="clear" w:color="auto" w:fill="FFFFFF"/>
        </w:rPr>
        <w:t xml:space="preserve">8  </w:t>
      </w:r>
      <w:r>
        <w:rPr>
          <w:rFonts w:hint="eastAsia" w:hAnsi="宋体" w:cs="宋体"/>
          <w:szCs w:val="24"/>
        </w:rPr>
        <w:t>附着式升降脚手架的防倾覆、防坠落或同步升降控制装置应符合设计要求；</w:t>
      </w:r>
    </w:p>
    <w:p>
      <w:pPr>
        <w:pStyle w:val="7"/>
        <w:ind w:firstLine="482" w:firstLineChars="200"/>
        <w:rPr>
          <w:rFonts w:hAnsi="宋体" w:cs="宋体"/>
          <w:szCs w:val="24"/>
        </w:rPr>
      </w:pPr>
      <w:r>
        <w:rPr>
          <w:rFonts w:hint="eastAsia" w:hAnsi="宋体" w:cs="宋体"/>
          <w:b/>
          <w:szCs w:val="24"/>
        </w:rPr>
        <w:t>9</w:t>
      </w:r>
      <w:r>
        <w:rPr>
          <w:rFonts w:hint="eastAsia" w:hAnsi="宋体" w:cs="宋体"/>
          <w:szCs w:val="24"/>
        </w:rPr>
        <w:t xml:space="preserve">  附着式升降脚手架使用过程中架体悬臂高度不大于架体高度的2/5或不大于6米；</w:t>
      </w:r>
    </w:p>
    <w:p>
      <w:pPr>
        <w:pStyle w:val="7"/>
        <w:ind w:firstLine="482" w:firstLineChars="200"/>
        <w:rPr>
          <w:rFonts w:hAnsi="宋体"/>
          <w:szCs w:val="24"/>
        </w:rPr>
      </w:pPr>
      <w:r>
        <w:rPr>
          <w:rFonts w:hint="eastAsia" w:hAnsi="宋体" w:cs="宋体"/>
          <w:b/>
          <w:szCs w:val="24"/>
        </w:rPr>
        <w:t xml:space="preserve">10  </w:t>
      </w:r>
      <w:r>
        <w:rPr>
          <w:rFonts w:hint="eastAsia" w:hAnsi="宋体"/>
          <w:szCs w:val="24"/>
        </w:rPr>
        <w:t>装配式建筑工程外挂架的结构件、安全防护措施等应符合设计及规范要求。</w:t>
      </w:r>
    </w:p>
    <w:p>
      <w:pPr>
        <w:pStyle w:val="7"/>
        <w:ind w:firstLine="482" w:firstLineChars="200"/>
        <w:rPr>
          <w:rFonts w:hAnsi="宋体" w:cs="宋体"/>
        </w:rPr>
      </w:pPr>
      <w:r>
        <w:rPr>
          <w:rFonts w:hint="eastAsia" w:hAnsi="宋体" w:cs="宋体"/>
          <w:b/>
          <w:szCs w:val="24"/>
        </w:rPr>
        <w:t xml:space="preserve">3.6.7  </w:t>
      </w:r>
      <w:r>
        <w:rPr>
          <w:rFonts w:hint="eastAsia" w:hAnsi="宋体" w:cs="宋体"/>
          <w:bCs w:val="0"/>
          <w:szCs w:val="24"/>
        </w:rPr>
        <w:t>模板支架应符合下列规定：</w:t>
      </w:r>
    </w:p>
    <w:p>
      <w:pPr>
        <w:pStyle w:val="7"/>
        <w:ind w:firstLine="482" w:firstLineChars="200"/>
        <w:rPr>
          <w:rFonts w:hAnsi="宋体" w:cs="宋体"/>
          <w:b/>
          <w:szCs w:val="24"/>
          <w:shd w:val="clear" w:color="auto" w:fill="FFFFFF"/>
        </w:rPr>
      </w:pPr>
      <w:r>
        <w:rPr>
          <w:rFonts w:hint="eastAsia" w:hAnsi="宋体" w:cs="宋体"/>
          <w:b/>
          <w:szCs w:val="24"/>
          <w:shd w:val="clear" w:color="auto" w:fill="FFFFFF"/>
        </w:rPr>
        <w:t xml:space="preserve">1  </w:t>
      </w:r>
      <w:r>
        <w:rPr>
          <w:rFonts w:hint="eastAsia" w:hAnsi="宋体" w:cs="宋体"/>
          <w:bCs w:val="0"/>
          <w:szCs w:val="24"/>
          <w:shd w:val="clear" w:color="auto" w:fill="FFFFFF"/>
        </w:rPr>
        <w:t>按照专项施工方案要求施工，</w:t>
      </w:r>
      <w:r>
        <w:rPr>
          <w:rFonts w:hint="eastAsia" w:hAnsi="宋体" w:cs="宋体"/>
          <w:szCs w:val="24"/>
        </w:rPr>
        <w:t>经验收合格后方可进行下一道工序施工；</w:t>
      </w:r>
    </w:p>
    <w:p>
      <w:pPr>
        <w:pStyle w:val="7"/>
        <w:ind w:firstLine="482" w:firstLineChars="200"/>
        <w:rPr>
          <w:rFonts w:hAnsi="宋体" w:cs="宋体"/>
          <w:szCs w:val="24"/>
        </w:rPr>
      </w:pPr>
      <w:r>
        <w:rPr>
          <w:rFonts w:hint="eastAsia" w:hAnsi="宋体" w:cs="宋体"/>
          <w:b/>
          <w:szCs w:val="24"/>
        </w:rPr>
        <w:t xml:space="preserve">2  </w:t>
      </w:r>
      <w:r>
        <w:rPr>
          <w:rFonts w:hint="eastAsia" w:hAnsi="宋体" w:cs="宋体"/>
          <w:szCs w:val="24"/>
        </w:rPr>
        <w:t>滑模、爬模爬升及模板支架拆除时，混凝土强度应达到设计要求；</w:t>
      </w:r>
    </w:p>
    <w:p>
      <w:pPr>
        <w:pStyle w:val="7"/>
        <w:ind w:firstLine="482" w:firstLineChars="200"/>
        <w:rPr>
          <w:rFonts w:hAnsi="宋体" w:cs="宋体"/>
          <w:szCs w:val="24"/>
        </w:rPr>
      </w:pPr>
      <w:r>
        <w:rPr>
          <w:rFonts w:hint="eastAsia" w:hAnsi="宋体" w:cs="宋体"/>
          <w:b/>
          <w:szCs w:val="24"/>
        </w:rPr>
        <w:t xml:space="preserve">3  </w:t>
      </w:r>
      <w:r>
        <w:rPr>
          <w:rFonts w:hint="eastAsia" w:hAnsi="宋体" w:cs="宋体"/>
          <w:bCs w:val="0"/>
          <w:szCs w:val="24"/>
        </w:rPr>
        <w:t>架体材</w:t>
      </w:r>
      <w:r>
        <w:rPr>
          <w:rFonts w:hint="eastAsia" w:hAnsi="宋体" w:cs="宋体"/>
          <w:szCs w:val="24"/>
        </w:rPr>
        <w:t>料、构配件进场附合格证等质量证明文件；</w:t>
      </w:r>
    </w:p>
    <w:p>
      <w:pPr>
        <w:pStyle w:val="7"/>
        <w:ind w:firstLine="482" w:firstLineChars="200"/>
        <w:rPr>
          <w:rFonts w:hAnsi="宋体" w:cs="宋体"/>
          <w:szCs w:val="24"/>
        </w:rPr>
      </w:pPr>
      <w:r>
        <w:rPr>
          <w:rFonts w:hint="eastAsia" w:hAnsi="宋体" w:cs="宋体"/>
          <w:b/>
          <w:szCs w:val="24"/>
        </w:rPr>
        <w:t>4</w:t>
      </w:r>
      <w:r>
        <w:rPr>
          <w:rFonts w:hint="eastAsia" w:hAnsi="宋体" w:cs="宋体"/>
          <w:szCs w:val="24"/>
        </w:rPr>
        <w:t xml:space="preserve">  独立架体搭设高宽比不应大于3；</w:t>
      </w:r>
    </w:p>
    <w:p>
      <w:pPr>
        <w:pStyle w:val="7"/>
        <w:ind w:firstLine="482" w:firstLineChars="200"/>
        <w:rPr>
          <w:rFonts w:hAnsi="宋体" w:cs="宋体"/>
          <w:szCs w:val="24"/>
        </w:rPr>
      </w:pPr>
      <w:r>
        <w:rPr>
          <w:rFonts w:hint="eastAsia" w:hAnsi="宋体" w:cs="宋体"/>
          <w:b/>
          <w:szCs w:val="24"/>
          <w:shd w:val="clear" w:color="auto" w:fill="FFFFFF"/>
        </w:rPr>
        <w:t xml:space="preserve">5  </w:t>
      </w:r>
      <w:r>
        <w:rPr>
          <w:rFonts w:hint="eastAsia" w:hAnsi="宋体" w:cs="宋体"/>
          <w:szCs w:val="24"/>
        </w:rPr>
        <w:t>模板支架杆件和构配件应配套使用，立杆接长不得采用搭接方式；</w:t>
      </w:r>
    </w:p>
    <w:p>
      <w:pPr>
        <w:pStyle w:val="7"/>
        <w:ind w:firstLine="482" w:firstLineChars="200"/>
        <w:rPr>
          <w:rFonts w:hAnsi="宋体" w:cs="宋体"/>
          <w:szCs w:val="24"/>
        </w:rPr>
      </w:pPr>
      <w:r>
        <w:rPr>
          <w:rFonts w:hint="eastAsia" w:hAnsi="宋体" w:cs="宋体"/>
          <w:b/>
          <w:szCs w:val="24"/>
        </w:rPr>
        <w:t xml:space="preserve">6  </w:t>
      </w:r>
      <w:r>
        <w:rPr>
          <w:rFonts w:hint="eastAsia" w:hAnsi="宋体" w:cs="宋体"/>
          <w:szCs w:val="24"/>
        </w:rPr>
        <w:t xml:space="preserve">模板支架纵横向水平杆、剪刀撑、斜杆等构造措施应符合专项施工方案要求。  </w:t>
      </w:r>
    </w:p>
    <w:p>
      <w:pPr>
        <w:pStyle w:val="7"/>
        <w:ind w:firstLine="482" w:firstLineChars="200"/>
        <w:rPr>
          <w:rFonts w:hAnsi="宋体" w:cs="宋体"/>
          <w:szCs w:val="24"/>
        </w:rPr>
      </w:pPr>
      <w:r>
        <w:rPr>
          <w:rFonts w:hint="eastAsia" w:hAnsi="宋体" w:cs="宋体"/>
          <w:b/>
          <w:szCs w:val="24"/>
        </w:rPr>
        <w:t xml:space="preserve">7  </w:t>
      </w:r>
      <w:r>
        <w:rPr>
          <w:rFonts w:hint="eastAsia" w:hAnsi="宋体" w:cs="宋体"/>
          <w:szCs w:val="24"/>
        </w:rPr>
        <w:t xml:space="preserve"> </w:t>
      </w:r>
      <w:r>
        <w:rPr>
          <w:rFonts w:hint="eastAsia" w:hAnsi="宋体"/>
          <w:color w:val="000000" w:themeColor="text1"/>
          <w:szCs w:val="24"/>
        </w:rPr>
        <w:t xml:space="preserve">高大模板支撑体系支架顶部应使用可调托撑。  </w:t>
      </w:r>
      <w:r>
        <w:rPr>
          <w:rFonts w:hint="eastAsia" w:hAnsi="宋体" w:cs="宋体"/>
          <w:szCs w:val="24"/>
        </w:rPr>
        <w:t xml:space="preserve">            </w:t>
      </w:r>
    </w:p>
    <w:p>
      <w:pPr>
        <w:pStyle w:val="13"/>
        <w:tabs>
          <w:tab w:val="right" w:leader="dot" w:pos="8450"/>
        </w:tabs>
        <w:spacing w:beforeLines="100" w:afterLines="100" w:line="360" w:lineRule="auto"/>
        <w:ind w:left="0"/>
        <w:jc w:val="center"/>
        <w:rPr>
          <w:rFonts w:ascii="宋体" w:hAnsi="宋体" w:cs="宋体"/>
          <w:b/>
          <w:sz w:val="24"/>
          <w:szCs w:val="24"/>
          <w:shd w:val="clear" w:color="auto" w:fill="FFFFFF"/>
        </w:rPr>
      </w:pPr>
      <w:r>
        <w:rPr>
          <w:rFonts w:hint="eastAsia" w:ascii="宋体" w:hAnsi="宋体" w:cs="宋体"/>
          <w:b/>
          <w:sz w:val="24"/>
          <w:szCs w:val="24"/>
          <w:shd w:val="clear" w:color="auto" w:fill="FFFFFF"/>
        </w:rPr>
        <w:t>3.7  高处作业</w:t>
      </w:r>
    </w:p>
    <w:p>
      <w:pPr>
        <w:pStyle w:val="7"/>
        <w:rPr>
          <w:rFonts w:hAnsi="宋体" w:cs="宋体"/>
          <w:szCs w:val="24"/>
        </w:rPr>
      </w:pPr>
      <w:bookmarkStart w:id="16" w:name="_Toc437346464"/>
      <w:r>
        <w:rPr>
          <w:rFonts w:hint="eastAsia" w:hAnsi="宋体" w:cs="宋体"/>
          <w:b/>
          <w:bCs w:val="0"/>
          <w:szCs w:val="24"/>
        </w:rPr>
        <w:t>3.7.1</w:t>
      </w:r>
      <w:r>
        <w:rPr>
          <w:rFonts w:hint="eastAsia" w:hAnsi="宋体" w:cs="宋体"/>
          <w:szCs w:val="24"/>
        </w:rPr>
        <w:t xml:space="preserve">  高处作业评价应符合《建筑施工高处作业安全技术规范》JGJ80及相关标准、规范的规定。</w:t>
      </w:r>
    </w:p>
    <w:p>
      <w:pPr>
        <w:pStyle w:val="7"/>
        <w:rPr>
          <w:rFonts w:hAnsi="宋体" w:cs="宋体"/>
          <w:szCs w:val="24"/>
        </w:rPr>
      </w:pPr>
      <w:r>
        <w:rPr>
          <w:rFonts w:hint="eastAsia" w:hAnsi="宋体" w:cs="宋体"/>
          <w:b/>
          <w:bCs w:val="0"/>
          <w:szCs w:val="24"/>
        </w:rPr>
        <w:t>3.7.2</w:t>
      </w:r>
      <w:r>
        <w:rPr>
          <w:rFonts w:hint="eastAsia" w:hAnsi="宋体" w:cs="宋体"/>
          <w:szCs w:val="24"/>
        </w:rPr>
        <w:t xml:space="preserve">  高处作业评价项目包括：安全防护用品、安全通道、临边洞口防护、操作平台、高处作业吊篮、钢结构安装、移动式升降工作平台、交叉作业。</w:t>
      </w:r>
    </w:p>
    <w:p>
      <w:pPr>
        <w:pStyle w:val="7"/>
        <w:rPr>
          <w:rFonts w:hAnsi="宋体" w:cs="宋体"/>
          <w:b/>
          <w:szCs w:val="24"/>
        </w:rPr>
      </w:pPr>
      <w:r>
        <w:rPr>
          <w:rFonts w:hint="eastAsia" w:hAnsi="宋体" w:cs="宋体"/>
          <w:b/>
          <w:szCs w:val="24"/>
        </w:rPr>
        <w:t xml:space="preserve">3.7.3  </w:t>
      </w:r>
      <w:r>
        <w:rPr>
          <w:rFonts w:hint="eastAsia" w:hAnsi="宋体" w:cs="宋体"/>
          <w:bCs w:val="0"/>
          <w:szCs w:val="24"/>
        </w:rPr>
        <w:t>安全防护用品应符合下列规定：</w:t>
      </w:r>
    </w:p>
    <w:p>
      <w:pPr>
        <w:pStyle w:val="7"/>
        <w:ind w:firstLine="482" w:firstLineChars="200"/>
        <w:rPr>
          <w:rFonts w:hAnsi="宋体" w:cs="宋体"/>
          <w:szCs w:val="24"/>
        </w:rPr>
      </w:pPr>
      <w:r>
        <w:rPr>
          <w:rFonts w:hint="eastAsia" w:hAnsi="宋体" w:cs="宋体"/>
          <w:b/>
          <w:szCs w:val="24"/>
          <w:shd w:val="clear" w:color="auto" w:fill="FFFFFF"/>
        </w:rPr>
        <w:t xml:space="preserve">1  </w:t>
      </w:r>
      <w:r>
        <w:rPr>
          <w:rFonts w:hint="eastAsia" w:hAnsi="宋体" w:cs="宋体"/>
          <w:szCs w:val="24"/>
        </w:rPr>
        <w:t>使用合格的安全帽、安全带、安全网等安全防护用品；</w:t>
      </w:r>
    </w:p>
    <w:p>
      <w:pPr>
        <w:pStyle w:val="7"/>
        <w:ind w:firstLine="482" w:firstLineChars="200"/>
        <w:rPr>
          <w:rFonts w:hAnsi="宋体" w:cs="宋体"/>
          <w:szCs w:val="24"/>
        </w:rPr>
      </w:pPr>
      <w:r>
        <w:rPr>
          <w:rFonts w:hint="eastAsia" w:hAnsi="宋体" w:cs="宋体"/>
          <w:b/>
          <w:szCs w:val="24"/>
          <w:shd w:val="clear" w:color="auto" w:fill="FFFFFF"/>
        </w:rPr>
        <w:t xml:space="preserve">2  </w:t>
      </w:r>
      <w:r>
        <w:rPr>
          <w:rFonts w:hint="eastAsia" w:hAnsi="宋体" w:cs="宋体"/>
          <w:szCs w:val="24"/>
        </w:rPr>
        <w:t>施工现场作业人员应正确佩戴安全帽、安全带等安全防护用品；</w:t>
      </w:r>
    </w:p>
    <w:p>
      <w:pPr>
        <w:pStyle w:val="7"/>
        <w:ind w:firstLine="482" w:firstLineChars="200"/>
        <w:rPr>
          <w:rFonts w:hAnsi="宋体" w:cs="宋体"/>
          <w:szCs w:val="24"/>
        </w:rPr>
      </w:pPr>
      <w:r>
        <w:rPr>
          <w:rFonts w:hint="eastAsia" w:hAnsi="宋体" w:cs="宋体"/>
          <w:b/>
          <w:szCs w:val="24"/>
        </w:rPr>
        <w:t xml:space="preserve">3  </w:t>
      </w:r>
      <w:r>
        <w:rPr>
          <w:rFonts w:hint="eastAsia" w:hAnsi="宋体" w:cs="宋体"/>
          <w:szCs w:val="24"/>
        </w:rPr>
        <w:t>建立并实施安全防护用品的采购、验收、保管、使用和报废制度。</w:t>
      </w:r>
    </w:p>
    <w:p>
      <w:pPr>
        <w:pStyle w:val="7"/>
        <w:rPr>
          <w:rFonts w:hAnsi="宋体" w:cs="宋体"/>
        </w:rPr>
      </w:pPr>
      <w:r>
        <w:rPr>
          <w:rFonts w:hint="eastAsia" w:hAnsi="宋体" w:cs="宋体"/>
          <w:b/>
        </w:rPr>
        <w:t xml:space="preserve">3.7.4 </w:t>
      </w:r>
      <w:r>
        <w:rPr>
          <w:rFonts w:hint="eastAsia" w:hAnsi="宋体" w:cs="宋体"/>
        </w:rPr>
        <w:t>安全通道应符合下列规定：</w:t>
      </w:r>
    </w:p>
    <w:p>
      <w:pPr>
        <w:pStyle w:val="7"/>
        <w:ind w:firstLine="482" w:firstLineChars="200"/>
        <w:rPr>
          <w:rFonts w:hAnsi="宋体" w:cs="宋体"/>
        </w:rPr>
      </w:pPr>
      <w:r>
        <w:rPr>
          <w:rFonts w:hint="eastAsia" w:hAnsi="宋体" w:cs="宋体"/>
          <w:b/>
        </w:rPr>
        <w:t xml:space="preserve">1  </w:t>
      </w:r>
      <w:r>
        <w:rPr>
          <w:rFonts w:hint="eastAsia" w:hAnsi="宋体" w:cs="宋体"/>
        </w:rPr>
        <w:t>搭设的防护棚长度和宽度应符合规范要求；</w:t>
      </w:r>
    </w:p>
    <w:p>
      <w:pPr>
        <w:pStyle w:val="7"/>
        <w:ind w:firstLine="482" w:firstLineChars="200"/>
        <w:rPr>
          <w:rFonts w:hAnsi="宋体" w:cs="宋体"/>
        </w:rPr>
      </w:pPr>
      <w:r>
        <w:rPr>
          <w:rFonts w:hint="eastAsia" w:hAnsi="宋体" w:cs="宋体"/>
          <w:b/>
        </w:rPr>
        <w:t xml:space="preserve">2  </w:t>
      </w:r>
      <w:r>
        <w:rPr>
          <w:rFonts w:hint="eastAsia" w:hAnsi="宋体" w:cs="宋体"/>
        </w:rPr>
        <w:t>高度超过24m的，防护棚顶部应采用双层防护；</w:t>
      </w:r>
    </w:p>
    <w:p>
      <w:pPr>
        <w:pStyle w:val="7"/>
        <w:ind w:firstLine="482" w:firstLineChars="200"/>
        <w:rPr>
          <w:rFonts w:hAnsi="宋体" w:cs="宋体"/>
        </w:rPr>
      </w:pPr>
      <w:r>
        <w:rPr>
          <w:rFonts w:hint="eastAsia" w:hAnsi="宋体" w:cs="宋体"/>
          <w:b/>
        </w:rPr>
        <w:t xml:space="preserve">3  </w:t>
      </w:r>
      <w:r>
        <w:rPr>
          <w:rFonts w:hint="eastAsia" w:hAnsi="宋体" w:cs="宋体"/>
        </w:rPr>
        <w:t>搭设防护棚的材质应符合规范要求。</w:t>
      </w:r>
    </w:p>
    <w:p>
      <w:pPr>
        <w:pStyle w:val="7"/>
        <w:ind w:firstLine="480" w:firstLineChars="200"/>
        <w:rPr>
          <w:rFonts w:hAnsi="宋体" w:cs="宋体"/>
          <w:szCs w:val="24"/>
        </w:rPr>
      </w:pPr>
    </w:p>
    <w:p>
      <w:pPr>
        <w:pStyle w:val="7"/>
        <w:rPr>
          <w:rFonts w:hAnsi="宋体" w:cs="宋体"/>
          <w:b/>
          <w:szCs w:val="24"/>
        </w:rPr>
      </w:pPr>
      <w:r>
        <w:rPr>
          <w:rFonts w:hint="eastAsia" w:hAnsi="宋体" w:cs="宋体"/>
          <w:b/>
          <w:szCs w:val="24"/>
        </w:rPr>
        <w:t xml:space="preserve">3.7.5  </w:t>
      </w:r>
      <w:r>
        <w:rPr>
          <w:rFonts w:hint="eastAsia" w:hAnsi="宋体" w:cs="宋体"/>
          <w:bCs w:val="0"/>
          <w:szCs w:val="24"/>
        </w:rPr>
        <w:t>临边洞口防护应符合下列规定：</w:t>
      </w:r>
    </w:p>
    <w:p>
      <w:pPr>
        <w:pStyle w:val="7"/>
        <w:ind w:firstLine="482" w:firstLineChars="200"/>
        <w:rPr>
          <w:rFonts w:hAnsi="宋体" w:cs="宋体"/>
          <w:szCs w:val="24"/>
        </w:rPr>
      </w:pPr>
      <w:r>
        <w:rPr>
          <w:rFonts w:hint="eastAsia" w:hAnsi="宋体" w:cs="宋体"/>
          <w:b/>
          <w:szCs w:val="24"/>
          <w:shd w:val="clear" w:color="auto" w:fill="FFFFFF"/>
        </w:rPr>
        <w:t xml:space="preserve">1  </w:t>
      </w:r>
      <w:r>
        <w:rPr>
          <w:rFonts w:hint="eastAsia" w:hAnsi="宋体" w:cs="宋体"/>
          <w:szCs w:val="24"/>
        </w:rPr>
        <w:t>临边、洞口应设置防护设施，其强度、刚度、稳定性应满足安全要求；</w:t>
      </w:r>
    </w:p>
    <w:p>
      <w:pPr>
        <w:pStyle w:val="7"/>
        <w:ind w:firstLine="482" w:firstLineChars="200"/>
        <w:rPr>
          <w:rFonts w:hAnsi="宋体" w:cs="宋体"/>
          <w:szCs w:val="24"/>
        </w:rPr>
      </w:pPr>
      <w:r>
        <w:rPr>
          <w:rFonts w:hint="eastAsia" w:hAnsi="宋体" w:cs="宋体"/>
          <w:b/>
          <w:szCs w:val="24"/>
          <w:shd w:val="clear" w:color="auto" w:fill="FFFFFF"/>
        </w:rPr>
        <w:t xml:space="preserve">2  </w:t>
      </w:r>
      <w:r>
        <w:rPr>
          <w:rFonts w:hint="eastAsia" w:hAnsi="宋体" w:cs="宋体"/>
          <w:szCs w:val="24"/>
        </w:rPr>
        <w:t>采用定型化、工具化的防护设施；</w:t>
      </w:r>
    </w:p>
    <w:p>
      <w:pPr>
        <w:pStyle w:val="7"/>
        <w:ind w:firstLine="482" w:firstLineChars="200"/>
        <w:rPr>
          <w:rFonts w:hAnsi="宋体" w:cs="宋体"/>
          <w:szCs w:val="24"/>
        </w:rPr>
      </w:pPr>
      <w:r>
        <w:rPr>
          <w:rFonts w:hint="eastAsia" w:hAnsi="宋体" w:cs="宋体"/>
          <w:b/>
          <w:szCs w:val="24"/>
          <w:shd w:val="clear" w:color="auto" w:fill="FFFFFF"/>
        </w:rPr>
        <w:t xml:space="preserve">3  </w:t>
      </w:r>
      <w:r>
        <w:rPr>
          <w:rFonts w:hint="eastAsia" w:hAnsi="宋体" w:cs="宋体"/>
          <w:szCs w:val="24"/>
        </w:rPr>
        <w:t>电梯井道内应逐层设置水平防护措施，宜采用贯穿于混凝土板内的钢筋网片进行防护，网格间距不得大于200mm，钢筋网片上应满铺脚手板。</w:t>
      </w:r>
    </w:p>
    <w:p>
      <w:pPr>
        <w:pStyle w:val="7"/>
        <w:rPr>
          <w:rFonts w:hAnsi="宋体" w:cs="宋体"/>
          <w:b/>
          <w:szCs w:val="24"/>
        </w:rPr>
      </w:pPr>
      <w:r>
        <w:rPr>
          <w:rFonts w:hint="eastAsia" w:hAnsi="宋体" w:cs="宋体"/>
          <w:b/>
          <w:szCs w:val="24"/>
        </w:rPr>
        <w:t xml:space="preserve">3.7.6  </w:t>
      </w:r>
      <w:r>
        <w:rPr>
          <w:rFonts w:hint="eastAsia" w:hAnsi="宋体" w:cs="宋体"/>
          <w:bCs w:val="0"/>
          <w:szCs w:val="24"/>
        </w:rPr>
        <w:t>操作平台应符合下列规定：</w:t>
      </w:r>
    </w:p>
    <w:p>
      <w:pPr>
        <w:pStyle w:val="7"/>
        <w:ind w:firstLine="482" w:firstLineChars="200"/>
        <w:rPr>
          <w:rFonts w:hAnsi="宋体" w:cs="宋体"/>
          <w:szCs w:val="24"/>
        </w:rPr>
      </w:pPr>
      <w:r>
        <w:rPr>
          <w:rFonts w:hint="eastAsia" w:hAnsi="宋体" w:cs="宋体"/>
          <w:b/>
          <w:szCs w:val="24"/>
          <w:shd w:val="clear" w:color="auto" w:fill="FFFFFF"/>
        </w:rPr>
        <w:t xml:space="preserve">1  </w:t>
      </w:r>
      <w:r>
        <w:rPr>
          <w:rFonts w:hint="eastAsia" w:hAnsi="宋体" w:cs="宋体"/>
          <w:szCs w:val="24"/>
        </w:rPr>
        <w:t>编制专项施工方案，并经审核、</w:t>
      </w:r>
      <w:r>
        <w:rPr>
          <w:szCs w:val="24"/>
        </w:rPr>
        <w:t>审批</w:t>
      </w:r>
      <w:r>
        <w:rPr>
          <w:rFonts w:hint="eastAsia" w:hAnsi="宋体" w:cs="宋体"/>
          <w:szCs w:val="24"/>
        </w:rPr>
        <w:t>后实施；</w:t>
      </w:r>
    </w:p>
    <w:p>
      <w:pPr>
        <w:pStyle w:val="7"/>
        <w:ind w:firstLine="482" w:firstLineChars="200"/>
        <w:rPr>
          <w:rFonts w:hAnsi="宋体" w:cs="宋体"/>
          <w:szCs w:val="24"/>
        </w:rPr>
      </w:pPr>
      <w:r>
        <w:rPr>
          <w:rFonts w:hint="eastAsia" w:hAnsi="宋体" w:cs="宋体"/>
          <w:b/>
          <w:szCs w:val="24"/>
          <w:shd w:val="clear" w:color="auto" w:fill="FFFFFF"/>
        </w:rPr>
        <w:t xml:space="preserve">2  </w:t>
      </w:r>
      <w:r>
        <w:rPr>
          <w:rFonts w:hint="eastAsia" w:hAnsi="宋体" w:cs="宋体"/>
          <w:szCs w:val="24"/>
        </w:rPr>
        <w:t>验收合格后方可投入使用，并设置验收合格标牌和荷载限定标牌；</w:t>
      </w:r>
    </w:p>
    <w:p>
      <w:pPr>
        <w:pStyle w:val="7"/>
        <w:ind w:firstLine="482" w:firstLineChars="200"/>
        <w:rPr>
          <w:rFonts w:hAnsi="宋体" w:cs="宋体"/>
          <w:szCs w:val="24"/>
        </w:rPr>
      </w:pPr>
      <w:r>
        <w:rPr>
          <w:rFonts w:hint="eastAsia" w:hAnsi="宋体" w:cs="宋体"/>
          <w:b/>
          <w:szCs w:val="24"/>
          <w:shd w:val="clear" w:color="auto" w:fill="FFFFFF"/>
        </w:rPr>
        <w:t xml:space="preserve">3  </w:t>
      </w:r>
      <w:r>
        <w:rPr>
          <w:rFonts w:hint="eastAsia" w:hAnsi="宋体" w:cs="宋体"/>
          <w:szCs w:val="24"/>
        </w:rPr>
        <w:t>平面、立面防护高度和稳定性应满足安全要求；</w:t>
      </w:r>
    </w:p>
    <w:p>
      <w:pPr>
        <w:pStyle w:val="7"/>
        <w:ind w:firstLine="482" w:firstLineChars="200"/>
        <w:rPr>
          <w:rFonts w:hAnsi="宋体" w:cs="宋体"/>
          <w:szCs w:val="24"/>
        </w:rPr>
      </w:pPr>
      <w:r>
        <w:rPr>
          <w:rFonts w:hint="eastAsia" w:hAnsi="宋体" w:cs="宋体"/>
          <w:b/>
          <w:szCs w:val="24"/>
          <w:shd w:val="clear" w:color="auto" w:fill="FFFFFF"/>
        </w:rPr>
        <w:t xml:space="preserve">4  </w:t>
      </w:r>
      <w:r>
        <w:rPr>
          <w:rFonts w:hint="eastAsia" w:hAnsi="宋体" w:cs="宋体"/>
          <w:szCs w:val="24"/>
        </w:rPr>
        <w:t>悬挑式操作平台的搁置点、拉结点、支撑点应设置在稳定的主体结构上,且做可靠连接。</w:t>
      </w:r>
    </w:p>
    <w:p>
      <w:pPr>
        <w:pStyle w:val="7"/>
        <w:rPr>
          <w:rFonts w:hAnsi="宋体" w:cs="宋体"/>
          <w:b/>
          <w:szCs w:val="24"/>
        </w:rPr>
      </w:pPr>
      <w:r>
        <w:rPr>
          <w:rFonts w:hint="eastAsia" w:hAnsi="宋体" w:cs="宋体"/>
          <w:b/>
          <w:szCs w:val="24"/>
        </w:rPr>
        <w:t xml:space="preserve">3.7.7  </w:t>
      </w:r>
      <w:r>
        <w:rPr>
          <w:rFonts w:hint="eastAsia" w:hAnsi="宋体" w:cs="宋体"/>
          <w:bCs w:val="0"/>
          <w:szCs w:val="24"/>
        </w:rPr>
        <w:t>高处作业吊篮应符合下列规定：</w:t>
      </w:r>
      <w:r>
        <w:rPr>
          <w:rFonts w:hAnsi="宋体" w:cs="宋体"/>
          <w:b/>
          <w:szCs w:val="24"/>
        </w:rPr>
        <w:t xml:space="preserve"> </w:t>
      </w:r>
    </w:p>
    <w:p>
      <w:pPr>
        <w:pStyle w:val="7"/>
        <w:ind w:firstLine="482" w:firstLineChars="200"/>
        <w:rPr>
          <w:rFonts w:hAnsi="宋体" w:cs="宋体"/>
          <w:szCs w:val="24"/>
        </w:rPr>
      </w:pPr>
      <w:r>
        <w:rPr>
          <w:rFonts w:hint="eastAsia" w:hAnsi="宋体" w:cs="宋体"/>
          <w:b/>
          <w:szCs w:val="24"/>
          <w:shd w:val="clear" w:color="auto" w:fill="FFFFFF"/>
        </w:rPr>
        <w:t xml:space="preserve">1  </w:t>
      </w:r>
      <w:r>
        <w:rPr>
          <w:rFonts w:hint="eastAsia" w:hAnsi="宋体" w:cs="宋体"/>
          <w:szCs w:val="24"/>
        </w:rPr>
        <w:t>编制专项施工方案，并经审核、</w:t>
      </w:r>
      <w:r>
        <w:rPr>
          <w:szCs w:val="24"/>
        </w:rPr>
        <w:t>审批</w:t>
      </w:r>
      <w:r>
        <w:rPr>
          <w:rFonts w:hint="eastAsia" w:hAnsi="宋体" w:cs="宋体"/>
          <w:szCs w:val="24"/>
        </w:rPr>
        <w:t>后实施；</w:t>
      </w:r>
    </w:p>
    <w:p>
      <w:pPr>
        <w:pStyle w:val="7"/>
        <w:ind w:firstLine="482" w:firstLineChars="200"/>
        <w:rPr>
          <w:rFonts w:hAnsi="宋体" w:cs="宋体"/>
          <w:szCs w:val="24"/>
        </w:rPr>
      </w:pPr>
      <w:r>
        <w:rPr>
          <w:rFonts w:hint="eastAsia" w:hAnsi="宋体" w:cs="宋体"/>
          <w:b/>
          <w:szCs w:val="24"/>
          <w:shd w:val="clear" w:color="auto" w:fill="FFFFFF"/>
        </w:rPr>
        <w:t xml:space="preserve">2  </w:t>
      </w:r>
      <w:r>
        <w:rPr>
          <w:rFonts w:hint="eastAsia" w:hAnsi="宋体" w:cs="宋体"/>
          <w:szCs w:val="24"/>
        </w:rPr>
        <w:t>防坠安全锁必须灵敏有效，不得超过标定期限；</w:t>
      </w:r>
    </w:p>
    <w:p>
      <w:pPr>
        <w:pStyle w:val="7"/>
        <w:ind w:firstLine="482" w:firstLineChars="200"/>
        <w:rPr>
          <w:rFonts w:hAnsi="宋体" w:cs="宋体"/>
          <w:szCs w:val="24"/>
        </w:rPr>
      </w:pPr>
      <w:r>
        <w:rPr>
          <w:rFonts w:hint="eastAsia" w:hAnsi="宋体" w:cs="宋体"/>
          <w:b/>
          <w:szCs w:val="24"/>
          <w:shd w:val="clear" w:color="auto" w:fill="FFFFFF"/>
        </w:rPr>
        <w:t xml:space="preserve">3  </w:t>
      </w:r>
      <w:r>
        <w:rPr>
          <w:rFonts w:hint="eastAsia" w:hAnsi="宋体" w:cs="宋体"/>
          <w:szCs w:val="24"/>
        </w:rPr>
        <w:t>安全绳固定点应牢固可靠；</w:t>
      </w:r>
    </w:p>
    <w:p>
      <w:pPr>
        <w:pStyle w:val="7"/>
        <w:ind w:firstLine="482" w:firstLineChars="200"/>
        <w:rPr>
          <w:rFonts w:hAnsi="宋体" w:cs="宋体"/>
          <w:szCs w:val="24"/>
        </w:rPr>
      </w:pPr>
      <w:r>
        <w:rPr>
          <w:rFonts w:hint="eastAsia" w:hAnsi="宋体" w:cs="宋体"/>
          <w:b/>
          <w:szCs w:val="24"/>
          <w:shd w:val="clear" w:color="auto" w:fill="FFFFFF"/>
        </w:rPr>
        <w:t xml:space="preserve">4  </w:t>
      </w:r>
      <w:r>
        <w:rPr>
          <w:rFonts w:hint="eastAsia" w:hAnsi="宋体" w:cs="宋体"/>
          <w:szCs w:val="24"/>
        </w:rPr>
        <w:t>经验收合格后方可投入使用。</w:t>
      </w:r>
    </w:p>
    <w:p>
      <w:pPr>
        <w:pStyle w:val="7"/>
        <w:rPr>
          <w:rFonts w:hAnsi="宋体" w:cs="宋体"/>
          <w:b/>
          <w:szCs w:val="24"/>
        </w:rPr>
      </w:pPr>
      <w:r>
        <w:rPr>
          <w:rFonts w:hint="eastAsia" w:hAnsi="宋体" w:cs="宋体"/>
          <w:b/>
          <w:szCs w:val="24"/>
        </w:rPr>
        <w:t xml:space="preserve">3.7.8  </w:t>
      </w:r>
      <w:r>
        <w:rPr>
          <w:rFonts w:hint="eastAsia" w:hAnsi="宋体" w:cs="宋体"/>
          <w:bCs w:val="0"/>
          <w:szCs w:val="24"/>
        </w:rPr>
        <w:t>钢结构安装应符合下列规定：</w:t>
      </w:r>
    </w:p>
    <w:p>
      <w:pPr>
        <w:pStyle w:val="7"/>
        <w:ind w:firstLine="482" w:firstLineChars="200"/>
        <w:jc w:val="left"/>
        <w:rPr>
          <w:rFonts w:hAnsi="宋体" w:cs="宋体"/>
          <w:szCs w:val="24"/>
        </w:rPr>
      </w:pPr>
      <w:r>
        <w:rPr>
          <w:rFonts w:hint="eastAsia" w:hAnsi="宋体" w:cs="宋体"/>
          <w:b/>
          <w:bCs w:val="0"/>
          <w:szCs w:val="24"/>
        </w:rPr>
        <w:t xml:space="preserve">1  </w:t>
      </w:r>
      <w:r>
        <w:rPr>
          <w:rFonts w:hint="eastAsia" w:hAnsi="宋体" w:cs="宋体"/>
          <w:szCs w:val="24"/>
        </w:rPr>
        <w:t>编制专项施工方案，并经审核、</w:t>
      </w:r>
      <w:r>
        <w:rPr>
          <w:szCs w:val="24"/>
        </w:rPr>
        <w:t>审批</w:t>
      </w:r>
      <w:r>
        <w:rPr>
          <w:rFonts w:hint="eastAsia" w:hAnsi="宋体" w:cs="宋体"/>
          <w:szCs w:val="24"/>
        </w:rPr>
        <w:t>后实施；</w:t>
      </w:r>
    </w:p>
    <w:p>
      <w:pPr>
        <w:pStyle w:val="7"/>
        <w:ind w:firstLine="482" w:firstLineChars="200"/>
        <w:jc w:val="left"/>
        <w:rPr>
          <w:rFonts w:hAnsi="宋体" w:cs="宋体"/>
          <w:szCs w:val="24"/>
        </w:rPr>
      </w:pPr>
      <w:r>
        <w:rPr>
          <w:rFonts w:hint="eastAsia" w:hAnsi="宋体" w:cs="宋体"/>
          <w:b/>
          <w:bCs w:val="0"/>
          <w:szCs w:val="24"/>
        </w:rPr>
        <w:t xml:space="preserve">2  </w:t>
      </w:r>
      <w:r>
        <w:rPr>
          <w:rFonts w:hint="eastAsia" w:hAnsi="宋体" w:cs="宋体"/>
          <w:szCs w:val="24"/>
        </w:rPr>
        <w:t>钢结构安装应设置防失稳和防高坠措施。</w:t>
      </w:r>
    </w:p>
    <w:p>
      <w:pPr>
        <w:pStyle w:val="7"/>
        <w:rPr>
          <w:rFonts w:hAnsi="宋体" w:cs="宋体"/>
          <w:b/>
          <w:szCs w:val="24"/>
        </w:rPr>
      </w:pPr>
      <w:r>
        <w:rPr>
          <w:rFonts w:hint="eastAsia" w:hAnsi="宋体" w:cs="宋体"/>
          <w:b/>
          <w:szCs w:val="24"/>
        </w:rPr>
        <w:t xml:space="preserve">3.7.9  </w:t>
      </w:r>
      <w:r>
        <w:rPr>
          <w:rFonts w:hint="eastAsia" w:hAnsi="宋体" w:cs="宋体"/>
          <w:bCs w:val="0"/>
          <w:szCs w:val="24"/>
        </w:rPr>
        <w:t>移动式升降工作平台应符合下列规定：</w:t>
      </w:r>
    </w:p>
    <w:p>
      <w:pPr>
        <w:pStyle w:val="2"/>
        <w:keepNext w:val="0"/>
        <w:keepLines w:val="0"/>
        <w:widowControl/>
        <w:shd w:val="clear" w:color="auto" w:fill="FFFFFF"/>
        <w:spacing w:line="360" w:lineRule="auto"/>
        <w:ind w:firstLine="482" w:firstLineChars="200"/>
        <w:rPr>
          <w:rFonts w:ascii="宋体" w:hAnsi="宋体" w:cs="宋体"/>
          <w:kern w:val="2"/>
          <w:sz w:val="24"/>
          <w:szCs w:val="24"/>
          <w:shd w:val="clear" w:color="auto" w:fill="FFFFFF"/>
        </w:rPr>
      </w:pPr>
      <w:r>
        <w:rPr>
          <w:rFonts w:hint="eastAsia" w:ascii="宋体" w:hAnsi="宋体" w:cs="宋体"/>
          <w:kern w:val="2"/>
          <w:sz w:val="24"/>
          <w:szCs w:val="24"/>
          <w:shd w:val="clear" w:color="auto" w:fill="FFFFFF"/>
        </w:rPr>
        <w:t xml:space="preserve">1  </w:t>
      </w:r>
      <w:r>
        <w:rPr>
          <w:rFonts w:hint="eastAsia" w:ascii="宋体" w:hAnsi="宋体" w:cs="宋体"/>
          <w:b w:val="0"/>
          <w:bCs w:val="0"/>
          <w:sz w:val="24"/>
          <w:szCs w:val="24"/>
          <w:shd w:val="clear" w:color="auto" w:fill="FFFFFF"/>
        </w:rPr>
        <w:t>符合《移动式升降工作平台安全规则、检查、维护和操作》GB/T27548要求；</w:t>
      </w:r>
    </w:p>
    <w:p>
      <w:pPr>
        <w:pStyle w:val="2"/>
        <w:keepNext w:val="0"/>
        <w:keepLines w:val="0"/>
        <w:widowControl/>
        <w:shd w:val="clear" w:color="auto" w:fill="FFFFFF"/>
        <w:spacing w:line="360" w:lineRule="auto"/>
        <w:ind w:firstLine="482" w:firstLineChars="200"/>
        <w:rPr>
          <w:rFonts w:ascii="宋体" w:hAnsi="宋体" w:cs="宋体"/>
          <w:b w:val="0"/>
          <w:bCs w:val="0"/>
          <w:sz w:val="24"/>
          <w:szCs w:val="24"/>
          <w:shd w:val="clear" w:color="auto" w:fill="FFFFFF"/>
        </w:rPr>
      </w:pPr>
      <w:r>
        <w:rPr>
          <w:rFonts w:hint="eastAsia" w:ascii="宋体" w:hAnsi="宋体" w:cs="宋体"/>
          <w:kern w:val="2"/>
          <w:sz w:val="24"/>
          <w:szCs w:val="24"/>
          <w:shd w:val="clear" w:color="auto" w:fill="FFFFFF"/>
        </w:rPr>
        <w:t xml:space="preserve">2  </w:t>
      </w:r>
      <w:r>
        <w:rPr>
          <w:rFonts w:hint="eastAsia" w:ascii="宋体" w:hAnsi="宋体" w:cs="宋体"/>
          <w:b w:val="0"/>
          <w:bCs w:val="0"/>
          <w:sz w:val="24"/>
          <w:szCs w:val="24"/>
          <w:shd w:val="clear" w:color="auto" w:fill="FFFFFF"/>
        </w:rPr>
        <w:t>应有产品质量合格证明文件和产品说明书；</w:t>
      </w:r>
    </w:p>
    <w:p>
      <w:pPr>
        <w:pStyle w:val="2"/>
        <w:keepNext w:val="0"/>
        <w:keepLines w:val="0"/>
        <w:widowControl/>
        <w:shd w:val="clear" w:color="auto" w:fill="FFFFFF"/>
        <w:spacing w:line="360" w:lineRule="auto"/>
        <w:ind w:firstLine="482" w:firstLineChars="200"/>
        <w:rPr>
          <w:rFonts w:ascii="宋体" w:hAnsi="宋体" w:cs="宋体"/>
          <w:kern w:val="2"/>
          <w:sz w:val="24"/>
          <w:szCs w:val="24"/>
          <w:shd w:val="clear" w:color="auto" w:fill="FFFFFF"/>
        </w:rPr>
      </w:pPr>
      <w:r>
        <w:rPr>
          <w:rFonts w:hint="eastAsia" w:ascii="宋体" w:hAnsi="宋体" w:cs="宋体"/>
          <w:kern w:val="2"/>
          <w:sz w:val="24"/>
          <w:szCs w:val="24"/>
          <w:shd w:val="clear" w:color="auto" w:fill="FFFFFF"/>
        </w:rPr>
        <w:t xml:space="preserve">3  </w:t>
      </w:r>
      <w:r>
        <w:rPr>
          <w:rFonts w:hint="eastAsia" w:ascii="宋体" w:hAnsi="宋体" w:cs="宋体"/>
          <w:b w:val="0"/>
          <w:bCs w:val="0"/>
          <w:sz w:val="24"/>
          <w:szCs w:val="24"/>
          <w:shd w:val="clear" w:color="auto" w:fill="FFFFFF"/>
        </w:rPr>
        <w:t>进场前必须组织验收，张挂验收合格牌；</w:t>
      </w:r>
    </w:p>
    <w:p>
      <w:pPr>
        <w:pStyle w:val="7"/>
        <w:ind w:firstLine="482" w:firstLineChars="200"/>
        <w:rPr>
          <w:rFonts w:hAnsi="宋体" w:cs="宋体"/>
          <w:szCs w:val="24"/>
        </w:rPr>
      </w:pPr>
      <w:r>
        <w:rPr>
          <w:rFonts w:hint="eastAsia" w:hAnsi="宋体" w:cs="宋体"/>
          <w:b/>
          <w:bCs w:val="0"/>
          <w:szCs w:val="24"/>
        </w:rPr>
        <w:t xml:space="preserve">4  </w:t>
      </w:r>
      <w:r>
        <w:rPr>
          <w:rFonts w:hint="eastAsia" w:hAnsi="宋体" w:cs="宋体"/>
          <w:szCs w:val="24"/>
        </w:rPr>
        <w:t>场内行驶路线应明确且满足安全行驶要求，停放基础应平整稳固；</w:t>
      </w:r>
    </w:p>
    <w:p>
      <w:pPr>
        <w:pStyle w:val="7"/>
        <w:ind w:firstLine="482" w:firstLineChars="200"/>
        <w:rPr>
          <w:rFonts w:hAnsi="宋体" w:cs="宋体"/>
          <w:szCs w:val="24"/>
        </w:rPr>
      </w:pPr>
      <w:r>
        <w:rPr>
          <w:rFonts w:hint="eastAsia" w:hAnsi="宋体" w:cs="宋体"/>
          <w:b/>
          <w:szCs w:val="24"/>
          <w:shd w:val="clear" w:color="auto" w:fill="FFFFFF"/>
        </w:rPr>
        <w:t>5</w:t>
      </w:r>
      <w:r>
        <w:rPr>
          <w:rFonts w:hint="eastAsia" w:hAnsi="宋体" w:cs="宋体"/>
          <w:bCs w:val="0"/>
          <w:szCs w:val="24"/>
          <w:shd w:val="clear" w:color="auto" w:fill="FFFFFF"/>
        </w:rPr>
        <w:t xml:space="preserve">  工作平台防护高度应满足安全要求；</w:t>
      </w:r>
    </w:p>
    <w:p>
      <w:pPr>
        <w:pStyle w:val="7"/>
        <w:ind w:firstLine="482" w:firstLineChars="200"/>
        <w:rPr>
          <w:rFonts w:hAnsi="宋体" w:cs="宋体"/>
          <w:szCs w:val="24"/>
        </w:rPr>
      </w:pPr>
      <w:r>
        <w:rPr>
          <w:rFonts w:hint="eastAsia" w:hAnsi="宋体" w:cs="宋体"/>
          <w:b/>
          <w:bCs w:val="0"/>
          <w:szCs w:val="24"/>
        </w:rPr>
        <w:t>6</w:t>
      </w:r>
      <w:r>
        <w:rPr>
          <w:rFonts w:hint="eastAsia" w:hAnsi="宋体" w:cs="宋体"/>
          <w:szCs w:val="24"/>
        </w:rPr>
        <w:t xml:space="preserve">  安装声光报警装置，且灵敏有效。</w:t>
      </w:r>
    </w:p>
    <w:p>
      <w:pPr>
        <w:pStyle w:val="7"/>
        <w:jc w:val="left"/>
        <w:rPr>
          <w:rFonts w:hAnsi="宋体" w:cs="宋体"/>
          <w:szCs w:val="24"/>
        </w:rPr>
      </w:pPr>
      <w:r>
        <w:rPr>
          <w:rFonts w:hint="eastAsia" w:hAnsi="宋体" w:cs="宋体"/>
          <w:b/>
          <w:szCs w:val="24"/>
        </w:rPr>
        <w:t xml:space="preserve">3.7.10  </w:t>
      </w:r>
      <w:r>
        <w:rPr>
          <w:rFonts w:hint="eastAsia" w:hAnsi="宋体" w:cs="宋体"/>
          <w:szCs w:val="24"/>
        </w:rPr>
        <w:t>交叉作业应符合下列规定：</w:t>
      </w:r>
    </w:p>
    <w:p>
      <w:pPr>
        <w:pStyle w:val="7"/>
        <w:ind w:firstLine="602" w:firstLineChars="250"/>
        <w:jc w:val="left"/>
        <w:rPr>
          <w:rFonts w:hAnsi="宋体" w:cs="宋体"/>
        </w:rPr>
      </w:pPr>
      <w:r>
        <w:rPr>
          <w:rFonts w:hint="eastAsia" w:hAnsi="宋体" w:cs="宋体"/>
          <w:b/>
        </w:rPr>
        <w:t xml:space="preserve">1  </w:t>
      </w:r>
      <w:r>
        <w:rPr>
          <w:rFonts w:hint="eastAsia" w:hAnsi="宋体" w:cs="宋体"/>
        </w:rPr>
        <w:t>下层作业的位置应处于上层作业高度确定的坠落半径范围之外；</w:t>
      </w:r>
    </w:p>
    <w:p>
      <w:pPr>
        <w:pStyle w:val="7"/>
        <w:ind w:firstLine="602" w:firstLineChars="250"/>
        <w:jc w:val="left"/>
        <w:rPr>
          <w:rFonts w:hAnsi="宋体" w:cs="宋体"/>
        </w:rPr>
      </w:pPr>
      <w:r>
        <w:rPr>
          <w:rFonts w:hint="eastAsia" w:hAnsi="宋体" w:cs="宋体"/>
          <w:b/>
        </w:rPr>
        <w:t xml:space="preserve">2 </w:t>
      </w:r>
      <w:r>
        <w:rPr>
          <w:rFonts w:hint="eastAsia" w:hAnsi="宋体" w:cs="宋体"/>
        </w:rPr>
        <w:t xml:space="preserve"> 当必须在可能坠落半径范围内进行交叉作业的，应设置安全可靠的防护隔离措施。</w:t>
      </w:r>
    </w:p>
    <w:p>
      <w:pPr>
        <w:pStyle w:val="13"/>
        <w:tabs>
          <w:tab w:val="right" w:leader="dot" w:pos="8450"/>
        </w:tabs>
        <w:spacing w:beforeLines="100" w:afterLines="100" w:line="360" w:lineRule="auto"/>
        <w:jc w:val="center"/>
        <w:rPr>
          <w:rFonts w:ascii="宋体" w:hAnsi="宋体" w:cs="宋体"/>
          <w:b/>
          <w:sz w:val="24"/>
          <w:szCs w:val="24"/>
          <w:shd w:val="clear" w:color="auto" w:fill="FFFFFF"/>
        </w:rPr>
      </w:pPr>
      <w:r>
        <w:rPr>
          <w:rFonts w:hint="eastAsia" w:ascii="宋体" w:hAnsi="宋体" w:cs="宋体"/>
          <w:b/>
          <w:sz w:val="24"/>
          <w:szCs w:val="24"/>
          <w:shd w:val="clear" w:color="auto" w:fill="FFFFFF"/>
        </w:rPr>
        <w:t>3.8  临时用电</w:t>
      </w:r>
      <w:bookmarkEnd w:id="16"/>
    </w:p>
    <w:p>
      <w:pPr>
        <w:spacing w:line="360" w:lineRule="auto"/>
        <w:rPr>
          <w:rFonts w:ascii="宋体" w:hAnsi="宋体" w:cs="宋体"/>
        </w:rPr>
      </w:pPr>
      <w:r>
        <w:rPr>
          <w:rFonts w:hint="eastAsia" w:ascii="宋体" w:hAnsi="宋体" w:cs="宋体"/>
          <w:b/>
          <w:bCs w:val="0"/>
        </w:rPr>
        <w:t xml:space="preserve">3.8.1  </w:t>
      </w:r>
      <w:r>
        <w:rPr>
          <w:rFonts w:hint="eastAsia" w:ascii="宋体" w:hAnsi="宋体" w:cs="宋体"/>
        </w:rPr>
        <w:t>临时用电评价应符合</w:t>
      </w:r>
      <w:r>
        <w:rPr>
          <w:rFonts w:hint="eastAsia" w:ascii="宋体" w:hAnsi="宋体" w:cs="宋体"/>
          <w:bCs w:val="0"/>
        </w:rPr>
        <w:t>《建筑与市政工程施工现场临时用电安全技术标准》</w:t>
      </w:r>
      <w:r>
        <w:rPr>
          <w:rFonts w:hint="eastAsia" w:ascii="宋体" w:hAnsi="宋体" w:cs="宋体"/>
        </w:rPr>
        <w:t>JGJ</w:t>
      </w:r>
      <w:r>
        <w:rPr>
          <w:rFonts w:hint="eastAsia" w:ascii="宋体" w:hAnsi="宋体" w:cs="宋体"/>
          <w:bCs w:val="0"/>
        </w:rPr>
        <w:t>/T46</w:t>
      </w:r>
      <w:r>
        <w:rPr>
          <w:rFonts w:hint="eastAsia" w:ascii="宋体" w:hAnsi="宋体" w:cs="宋体"/>
        </w:rPr>
        <w:t>等标准、规范的规定。</w:t>
      </w:r>
    </w:p>
    <w:p>
      <w:pPr>
        <w:spacing w:line="360" w:lineRule="auto"/>
        <w:rPr>
          <w:rFonts w:ascii="宋体" w:hAnsi="宋体" w:cs="宋体"/>
        </w:rPr>
      </w:pPr>
      <w:r>
        <w:rPr>
          <w:rFonts w:hint="eastAsia" w:ascii="宋体" w:hAnsi="宋体" w:cs="宋体"/>
          <w:b/>
          <w:bCs w:val="0"/>
        </w:rPr>
        <w:t xml:space="preserve">3.8.2  </w:t>
      </w:r>
      <w:r>
        <w:rPr>
          <w:rFonts w:hint="eastAsia" w:ascii="宋体" w:hAnsi="宋体" w:cs="宋体"/>
          <w:bCs w:val="0"/>
        </w:rPr>
        <w:t>临时用电评价项目包括：施工组织设计与人员管理、外电防护及配电室、配电系统、配电线路、配电装置、现场照明、用电档案等。</w:t>
      </w:r>
    </w:p>
    <w:p>
      <w:pPr>
        <w:spacing w:line="360" w:lineRule="auto"/>
        <w:rPr>
          <w:rFonts w:ascii="宋体" w:hAnsi="宋体" w:cs="宋体"/>
          <w:color w:val="000000" w:themeColor="text1"/>
        </w:rPr>
      </w:pPr>
      <w:r>
        <w:rPr>
          <w:rFonts w:hint="eastAsia" w:ascii="宋体" w:hAnsi="宋体" w:cs="宋体"/>
          <w:b/>
          <w:color w:val="000000" w:themeColor="text1"/>
        </w:rPr>
        <w:t xml:space="preserve">3.8.3  </w:t>
      </w:r>
      <w:r>
        <w:rPr>
          <w:rFonts w:hint="eastAsia" w:ascii="宋体" w:hAnsi="宋体" w:cs="宋体"/>
          <w:color w:val="000000" w:themeColor="text1"/>
        </w:rPr>
        <w:t>施工组织设计与人员管理应符合下列规定：</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1</w:t>
      </w:r>
      <w:r>
        <w:rPr>
          <w:rFonts w:hint="eastAsia" w:ascii="宋体" w:hAnsi="宋体" w:cs="宋体"/>
          <w:color w:val="000000" w:themeColor="text1"/>
        </w:rPr>
        <w:t xml:space="preserve">  制定专项施工临时用电施工组织设计，按程序审批；</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2  </w:t>
      </w:r>
      <w:r>
        <w:rPr>
          <w:rFonts w:hint="eastAsia" w:ascii="宋体" w:hAnsi="宋体" w:cs="宋体"/>
          <w:color w:val="000000" w:themeColor="text1"/>
        </w:rPr>
        <w:t>临时用电工程必须经验收合格后方可投入使用；</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3</w:t>
      </w:r>
      <w:r>
        <w:rPr>
          <w:rFonts w:hint="eastAsia" w:ascii="宋体" w:hAnsi="宋体" w:cs="宋体"/>
          <w:color w:val="000000" w:themeColor="text1"/>
        </w:rPr>
        <w:t xml:space="preserve">  对电工进行安全技术交底。</w:t>
      </w:r>
    </w:p>
    <w:p>
      <w:pPr>
        <w:spacing w:line="360" w:lineRule="auto"/>
        <w:rPr>
          <w:rFonts w:ascii="宋体" w:hAnsi="宋体" w:cs="宋体"/>
          <w:color w:val="000000" w:themeColor="text1"/>
        </w:rPr>
      </w:pPr>
      <w:r>
        <w:rPr>
          <w:rFonts w:hint="eastAsia" w:ascii="宋体" w:hAnsi="宋体" w:cs="宋体"/>
          <w:b/>
          <w:color w:val="000000" w:themeColor="text1"/>
        </w:rPr>
        <w:t>3.8.4</w:t>
      </w:r>
      <w:r>
        <w:rPr>
          <w:rFonts w:hint="eastAsia" w:ascii="宋体" w:hAnsi="宋体" w:cs="宋体"/>
          <w:color w:val="000000" w:themeColor="text1"/>
        </w:rPr>
        <w:t xml:space="preserve">  外电防护及配电室应符合下列规定：</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1</w:t>
      </w:r>
      <w:r>
        <w:rPr>
          <w:rFonts w:hint="eastAsia" w:ascii="宋体" w:hAnsi="宋体" w:cs="宋体"/>
          <w:color w:val="000000" w:themeColor="text1"/>
        </w:rPr>
        <w:t xml:space="preserve">  输电线路与在建工程、脚手架、起重机械、场内机动车道的安全距离应符合《建筑与市政工程施工现场临时用电安全技术标准》JGJ/T46要求；</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2  </w:t>
      </w:r>
      <w:r>
        <w:rPr>
          <w:rFonts w:hint="eastAsia" w:ascii="宋体" w:hAnsi="宋体" w:cs="宋体"/>
          <w:color w:val="000000" w:themeColor="text1"/>
        </w:rPr>
        <w:t>当安全距离不符合安全要求时，采取有效的隔离防护措施，并悬挂明显的警示标志；防护设施与外电线路的安全距离应符合《建筑与市政工程施工现场临时用电安全技术标准》JGJ/T46的要求，并坚固、稳定；</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3  </w:t>
      </w:r>
      <w:r>
        <w:rPr>
          <w:rFonts w:hint="eastAsia" w:ascii="宋体" w:hAnsi="宋体" w:cs="宋体"/>
          <w:color w:val="000000" w:themeColor="text1"/>
        </w:rPr>
        <w:t>配电室建筑耐火等级达到三级，配置适用于扑灭电气火灾的消防器材；</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4  </w:t>
      </w:r>
      <w:r>
        <w:rPr>
          <w:rFonts w:hint="eastAsia" w:ascii="宋体" w:hAnsi="宋体" w:cs="宋体"/>
          <w:color w:val="000000" w:themeColor="text1"/>
        </w:rPr>
        <w:t>配电室设警示标志，采取通风、防止雨雪侵入和小动物进入等措施；</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5</w:t>
      </w:r>
      <w:r>
        <w:rPr>
          <w:rFonts w:hint="eastAsia" w:ascii="宋体" w:hAnsi="宋体" w:cs="宋体"/>
          <w:color w:val="000000" w:themeColor="text1"/>
        </w:rPr>
        <w:t xml:space="preserve">  配电室设应急照明。</w:t>
      </w:r>
    </w:p>
    <w:p>
      <w:pPr>
        <w:spacing w:line="360" w:lineRule="auto"/>
        <w:rPr>
          <w:rFonts w:ascii="宋体" w:hAnsi="宋体" w:cs="宋体"/>
          <w:color w:val="000000" w:themeColor="text1"/>
        </w:rPr>
      </w:pPr>
      <w:r>
        <w:rPr>
          <w:rFonts w:hint="eastAsia" w:ascii="宋体" w:hAnsi="宋体" w:cs="宋体"/>
          <w:b/>
          <w:color w:val="000000" w:themeColor="text1"/>
        </w:rPr>
        <w:t>3.8.5</w:t>
      </w:r>
      <w:r>
        <w:rPr>
          <w:rFonts w:hint="eastAsia" w:ascii="宋体" w:hAnsi="宋体" w:cs="宋体"/>
          <w:color w:val="000000" w:themeColor="text1"/>
        </w:rPr>
        <w:t xml:space="preserve">  配电系统应符合下列规定：</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1  </w:t>
      </w:r>
      <w:r>
        <w:rPr>
          <w:rFonts w:hint="eastAsia" w:ascii="宋体" w:hAnsi="宋体" w:cs="宋体"/>
          <w:color w:val="000000" w:themeColor="text1"/>
        </w:rPr>
        <w:t>施工现场专用的电源中性点直接接地的低压配电系统采用TN-S接零保护系统；</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2  </w:t>
      </w:r>
      <w:r>
        <w:rPr>
          <w:rFonts w:hint="eastAsia" w:ascii="宋体" w:hAnsi="宋体" w:cs="宋体"/>
          <w:color w:val="000000" w:themeColor="text1"/>
        </w:rPr>
        <w:t>机械设备及电气设备的保护接地导体应作重复接地；</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rPr>
        <w:t>3</w:t>
      </w:r>
      <w:r>
        <w:rPr>
          <w:rFonts w:hint="eastAsia" w:ascii="宋体" w:hAnsi="宋体" w:cs="宋体"/>
          <w:color w:val="000000" w:themeColor="text1"/>
        </w:rPr>
        <w:t xml:space="preserve">  接地装置的接地线采用2根及以上导体，在不同点与接地体做电气连接，接地体应采用角钢、钢管或光面圆钢；</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4  </w:t>
      </w:r>
      <w:r>
        <w:rPr>
          <w:rFonts w:hint="eastAsia" w:ascii="宋体" w:hAnsi="宋体" w:cs="宋体"/>
          <w:color w:val="000000" w:themeColor="text1"/>
        </w:rPr>
        <w:t>塔式起重机、物料提升机、施工升降机、脚手架采取防雷措施，防雷装置的冲击接地电阻值不得大于30Ω。</w:t>
      </w:r>
    </w:p>
    <w:p>
      <w:pPr>
        <w:spacing w:line="360" w:lineRule="auto"/>
        <w:rPr>
          <w:rFonts w:ascii="宋体" w:hAnsi="宋体" w:cs="宋体"/>
          <w:color w:val="000000" w:themeColor="text1"/>
        </w:rPr>
      </w:pPr>
      <w:r>
        <w:rPr>
          <w:rFonts w:hint="eastAsia" w:ascii="宋体" w:hAnsi="宋体" w:cs="宋体"/>
          <w:b/>
          <w:color w:val="000000" w:themeColor="text1"/>
        </w:rPr>
        <w:t>3.8.6</w:t>
      </w:r>
      <w:r>
        <w:rPr>
          <w:rFonts w:hint="eastAsia" w:ascii="宋体" w:hAnsi="宋体" w:cs="宋体"/>
          <w:color w:val="000000" w:themeColor="text1"/>
        </w:rPr>
        <w:t xml:space="preserve">  配电线路应符合下列规定：</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1  </w:t>
      </w:r>
      <w:r>
        <w:rPr>
          <w:rFonts w:hint="eastAsia" w:ascii="宋体" w:hAnsi="宋体" w:cs="宋体"/>
          <w:color w:val="000000" w:themeColor="text1"/>
        </w:rPr>
        <w:t>电缆采用架空或埋地敷设时应符合《建筑与市政工程施工现场临时用电安全技术标准》JGJ/T46的要求，严禁沿地面明设或沿脚手架、树木等敷设；</w:t>
      </w:r>
    </w:p>
    <w:p>
      <w:pPr>
        <w:spacing w:line="360" w:lineRule="auto"/>
        <w:ind w:firstLine="482" w:firstLineChars="200"/>
        <w:rPr>
          <w:rFonts w:ascii="宋体" w:hAnsi="宋体" w:cs="宋体"/>
          <w:b/>
          <w:color w:val="000000" w:themeColor="text1"/>
          <w:shd w:val="clear" w:color="auto" w:fill="FFFFFF"/>
        </w:rPr>
      </w:pPr>
      <w:r>
        <w:rPr>
          <w:rFonts w:hint="eastAsia" w:ascii="宋体" w:hAnsi="宋体" w:cs="宋体"/>
          <w:b/>
          <w:color w:val="000000" w:themeColor="text1"/>
          <w:shd w:val="clear" w:color="auto" w:fill="FFFFFF"/>
        </w:rPr>
        <w:t xml:space="preserve">2  </w:t>
      </w:r>
      <w:r>
        <w:rPr>
          <w:rFonts w:hint="eastAsia" w:ascii="宋体" w:hAnsi="宋体" w:cs="宋体"/>
          <w:bCs w:val="0"/>
          <w:color w:val="000000" w:themeColor="text1"/>
          <w:shd w:val="clear" w:color="auto" w:fill="FFFFFF"/>
        </w:rPr>
        <w:t>埋地电缆应设置标识桩；</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3  </w:t>
      </w:r>
      <w:r>
        <w:rPr>
          <w:rFonts w:hint="eastAsia" w:ascii="宋体" w:hAnsi="宋体" w:cs="宋体"/>
          <w:color w:val="000000" w:themeColor="text1"/>
        </w:rPr>
        <w:t>室内明敷主干线距地面高度不得小于2.5m；</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4  </w:t>
      </w:r>
      <w:r>
        <w:rPr>
          <w:rFonts w:hint="eastAsia" w:ascii="宋体" w:hAnsi="宋体" w:cs="宋体"/>
          <w:color w:val="000000" w:themeColor="text1"/>
        </w:rPr>
        <w:t>电缆中包含全部工作芯线和用作保护零线的芯线，保护零线材质、规格及颜色应符合《建筑与市政工程施工现场临时用电安全技术标准》JGJ/T46的要求。</w:t>
      </w:r>
    </w:p>
    <w:p>
      <w:pPr>
        <w:spacing w:line="360" w:lineRule="auto"/>
        <w:rPr>
          <w:rFonts w:ascii="宋体" w:hAnsi="宋体" w:cs="宋体"/>
          <w:color w:val="000000" w:themeColor="text1"/>
        </w:rPr>
      </w:pPr>
      <w:r>
        <w:rPr>
          <w:rFonts w:hint="eastAsia" w:ascii="宋体" w:hAnsi="宋体" w:cs="宋体"/>
          <w:b/>
          <w:color w:val="000000" w:themeColor="text1"/>
        </w:rPr>
        <w:t>3.8.7</w:t>
      </w:r>
      <w:r>
        <w:rPr>
          <w:rFonts w:hint="eastAsia" w:ascii="宋体" w:hAnsi="宋体" w:cs="宋体"/>
          <w:color w:val="000000" w:themeColor="text1"/>
        </w:rPr>
        <w:t xml:space="preserve"> 配电箱与开关箱应符合下列规定：</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1  </w:t>
      </w:r>
      <w:r>
        <w:rPr>
          <w:rFonts w:hint="eastAsia" w:ascii="宋体" w:hAnsi="宋体" w:cs="宋体"/>
          <w:color w:val="000000" w:themeColor="text1"/>
        </w:rPr>
        <w:t>施工现场配电系统采用三级配电、两级剩余电流动作保护系统，用电设备必须有各自专用的开关箱和剩余电流动作保护器；</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2  </w:t>
      </w:r>
      <w:r>
        <w:rPr>
          <w:rFonts w:hint="eastAsia" w:ascii="宋体" w:hAnsi="宋体" w:cs="宋体"/>
          <w:color w:val="000000" w:themeColor="text1"/>
        </w:rPr>
        <w:t>总配电箱与开关箱内安装可见分断点的隔离开关、剩余电流动作保护器，参数匹配并灵敏可靠；</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3  </w:t>
      </w:r>
      <w:r>
        <w:rPr>
          <w:rFonts w:hint="eastAsia" w:ascii="宋体" w:hAnsi="宋体" w:cs="宋体"/>
          <w:color w:val="000000" w:themeColor="text1"/>
        </w:rPr>
        <w:t>剩余电流动作保护器参数符合《建筑与市政工程施工现场临时用电安全技术标准》JGJ/T46规定；</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4  </w:t>
      </w:r>
      <w:r>
        <w:rPr>
          <w:rFonts w:hint="eastAsia" w:ascii="宋体" w:hAnsi="宋体" w:cs="宋体"/>
          <w:color w:val="000000" w:themeColor="text1"/>
        </w:rPr>
        <w:t>箱体设置系统接线图和分路标记；</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5  </w:t>
      </w:r>
      <w:r>
        <w:rPr>
          <w:rFonts w:hint="eastAsia" w:ascii="宋体" w:hAnsi="宋体" w:cs="宋体"/>
          <w:color w:val="000000" w:themeColor="text1"/>
        </w:rPr>
        <w:t>箱体材质、厚度、防腐以及箱体安装位置、高度、周边通道符合《建筑与市政工程施工现场临时用电安全技术标准》JGJ/T46的要求；</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6  </w:t>
      </w:r>
      <w:r>
        <w:rPr>
          <w:rFonts w:hint="eastAsia" w:ascii="宋体" w:hAnsi="宋体" w:cs="宋体"/>
          <w:color w:val="000000" w:themeColor="text1"/>
        </w:rPr>
        <w:t>分配箱与开关箱间的距离不应超过30m，开关箱与用电设备间的距离不应超过3m。剩余电流动作保护器按产品说明书安装、使用；</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7  </w:t>
      </w:r>
      <w:r>
        <w:rPr>
          <w:rFonts w:hint="eastAsia" w:ascii="宋体" w:hAnsi="宋体" w:cs="宋体"/>
          <w:bCs w:val="0"/>
          <w:color w:val="000000" w:themeColor="text1"/>
          <w:shd w:val="clear" w:color="auto" w:fill="FFFFFF"/>
        </w:rPr>
        <w:t>交流电焊机械在开关箱内装设一次侧剩余电流动作</w:t>
      </w:r>
      <w:r>
        <w:rPr>
          <w:rFonts w:hint="eastAsia" w:ascii="宋体" w:hAnsi="宋体" w:cs="宋体"/>
          <w:bCs w:val="0"/>
          <w:color w:val="000000" w:themeColor="text1"/>
        </w:rPr>
        <w:t>保护器，在二次侧装设触电保护器。</w:t>
      </w:r>
    </w:p>
    <w:p>
      <w:pPr>
        <w:spacing w:line="360" w:lineRule="auto"/>
        <w:rPr>
          <w:rFonts w:ascii="宋体" w:hAnsi="宋体" w:cs="宋体"/>
          <w:color w:val="000000" w:themeColor="text1"/>
        </w:rPr>
      </w:pPr>
      <w:r>
        <w:rPr>
          <w:rFonts w:hint="eastAsia" w:ascii="宋体" w:hAnsi="宋体" w:cs="宋体"/>
          <w:b/>
          <w:color w:val="000000" w:themeColor="text1"/>
        </w:rPr>
        <w:t>3.8.8</w:t>
      </w:r>
      <w:r>
        <w:rPr>
          <w:rFonts w:hint="eastAsia" w:ascii="宋体" w:hAnsi="宋体" w:cs="宋体"/>
          <w:color w:val="000000" w:themeColor="text1"/>
        </w:rPr>
        <w:t xml:space="preserve">  现场照明应符合下列规定：</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1  </w:t>
      </w:r>
      <w:r>
        <w:rPr>
          <w:rFonts w:hint="eastAsia" w:ascii="宋体" w:hAnsi="宋体" w:cs="宋体"/>
          <w:bCs w:val="0"/>
          <w:color w:val="000000" w:themeColor="text1"/>
          <w:shd w:val="clear" w:color="auto" w:fill="FFFFFF"/>
        </w:rPr>
        <w:t>特殊场所使用安全特低电压照明器</w:t>
      </w:r>
      <w:r>
        <w:rPr>
          <w:rFonts w:hint="eastAsia" w:ascii="宋体" w:hAnsi="宋体" w:cs="宋体"/>
          <w:color w:val="000000" w:themeColor="text1"/>
        </w:rPr>
        <w:t>；</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2  </w:t>
      </w:r>
      <w:r>
        <w:rPr>
          <w:rFonts w:hint="eastAsia" w:ascii="宋体" w:hAnsi="宋体" w:cs="宋体"/>
          <w:bCs w:val="0"/>
          <w:color w:val="000000" w:themeColor="text1"/>
          <w:shd w:val="clear" w:color="auto" w:fill="FFFFFF"/>
        </w:rPr>
        <w:t>照明配电箱与动力配电箱分别设置</w:t>
      </w:r>
      <w:r>
        <w:rPr>
          <w:rFonts w:hint="eastAsia" w:ascii="宋体" w:hAnsi="宋体" w:cs="宋体"/>
          <w:color w:val="000000" w:themeColor="text1"/>
        </w:rPr>
        <w:t>；</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3  </w:t>
      </w:r>
      <w:r>
        <w:rPr>
          <w:rFonts w:hint="eastAsia" w:ascii="宋体" w:hAnsi="宋体" w:cs="宋体"/>
          <w:color w:val="000000" w:themeColor="text1"/>
        </w:rPr>
        <w:t>灯具金属外壳与保护接地导体（PE）做电气连接；</w:t>
      </w:r>
    </w:p>
    <w:p>
      <w:pPr>
        <w:spacing w:line="360" w:lineRule="auto"/>
        <w:ind w:firstLine="482" w:firstLineChars="200"/>
        <w:rPr>
          <w:rFonts w:ascii="宋体" w:hAnsi="宋体" w:cs="宋体"/>
          <w:color w:val="000000" w:themeColor="text1"/>
        </w:rPr>
      </w:pPr>
      <w:r>
        <w:rPr>
          <w:rFonts w:hint="eastAsia" w:ascii="宋体" w:hAnsi="宋体" w:cs="宋体"/>
          <w:b/>
          <w:bCs w:val="0"/>
          <w:color w:val="000000" w:themeColor="text1"/>
          <w:shd w:val="clear" w:color="auto" w:fill="FFFFFF"/>
        </w:rPr>
        <w:t>4</w:t>
      </w:r>
      <w:r>
        <w:rPr>
          <w:rFonts w:hint="eastAsia" w:ascii="宋体" w:hAnsi="宋体" w:cs="宋体"/>
          <w:bCs w:val="0"/>
          <w:color w:val="000000" w:themeColor="text1"/>
          <w:shd w:val="clear" w:color="auto" w:fill="FFFFFF"/>
        </w:rPr>
        <w:t xml:space="preserve">  室外220V灯具距地面应高于3m，室内220V灯具距地面应高于2.5m 。普通灯具与易燃物距离应大于300mm；对于自身发热较高灯具与易燃物距离应大于500mm，且不得直接照射易燃物</w:t>
      </w:r>
      <w:r>
        <w:rPr>
          <w:rFonts w:hint="eastAsia" w:ascii="宋体" w:hAnsi="宋体" w:cs="宋体"/>
          <w:color w:val="000000" w:themeColor="text1"/>
        </w:rPr>
        <w:t>。</w:t>
      </w:r>
    </w:p>
    <w:p>
      <w:pPr>
        <w:spacing w:line="360" w:lineRule="auto"/>
        <w:rPr>
          <w:rFonts w:ascii="宋体" w:hAnsi="宋体" w:cs="宋体"/>
          <w:color w:val="000000" w:themeColor="text1"/>
        </w:rPr>
      </w:pPr>
      <w:r>
        <w:rPr>
          <w:rFonts w:hint="eastAsia" w:ascii="宋体" w:hAnsi="宋体" w:cs="宋体"/>
          <w:b/>
          <w:color w:val="000000" w:themeColor="text1"/>
        </w:rPr>
        <w:t>3.8.9</w:t>
      </w:r>
      <w:r>
        <w:rPr>
          <w:rFonts w:hint="eastAsia" w:ascii="宋体" w:hAnsi="宋体" w:cs="宋体"/>
          <w:color w:val="000000" w:themeColor="text1"/>
        </w:rPr>
        <w:t xml:space="preserve"> 用电档案应符合下列规定：</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1  </w:t>
      </w:r>
      <w:r>
        <w:rPr>
          <w:rFonts w:hint="eastAsia" w:ascii="宋体" w:hAnsi="宋体" w:cs="宋体"/>
          <w:color w:val="000000" w:themeColor="text1"/>
        </w:rPr>
        <w:t>电工巡查记录、接地电阻检测记录及剩余电流动作保护器测试记录等按规定填写；</w:t>
      </w:r>
    </w:p>
    <w:p>
      <w:pPr>
        <w:spacing w:line="360" w:lineRule="auto"/>
        <w:ind w:firstLine="482" w:firstLineChars="200"/>
        <w:rPr>
          <w:rFonts w:ascii="宋体" w:hAnsi="宋体" w:cs="宋体"/>
          <w:color w:val="000000" w:themeColor="text1"/>
        </w:rPr>
      </w:pPr>
      <w:r>
        <w:rPr>
          <w:rFonts w:hint="eastAsia" w:ascii="宋体" w:hAnsi="宋体" w:cs="宋体"/>
          <w:b/>
          <w:color w:val="000000" w:themeColor="text1"/>
          <w:shd w:val="clear" w:color="auto" w:fill="FFFFFF"/>
        </w:rPr>
        <w:t xml:space="preserve">2  </w:t>
      </w:r>
      <w:r>
        <w:rPr>
          <w:rFonts w:hint="eastAsia" w:ascii="宋体" w:hAnsi="宋体" w:cs="宋体"/>
          <w:color w:val="000000" w:themeColor="text1"/>
        </w:rPr>
        <w:t>用电管理档案资料齐全，并有专人管理。</w:t>
      </w:r>
    </w:p>
    <w:p>
      <w:pPr>
        <w:pStyle w:val="13"/>
        <w:tabs>
          <w:tab w:val="right" w:leader="dot" w:pos="8450"/>
        </w:tabs>
        <w:spacing w:beforeLines="100" w:afterLines="100" w:line="360" w:lineRule="auto"/>
        <w:jc w:val="center"/>
        <w:rPr>
          <w:rFonts w:ascii="宋体" w:hAnsi="宋体" w:cs="宋体"/>
          <w:b/>
          <w:sz w:val="24"/>
          <w:szCs w:val="24"/>
          <w:shd w:val="clear" w:color="auto" w:fill="FFFFFF"/>
        </w:rPr>
      </w:pPr>
      <w:bookmarkStart w:id="17" w:name="_Toc437346465"/>
      <w:r>
        <w:rPr>
          <w:rFonts w:hint="eastAsia" w:ascii="宋体" w:hAnsi="宋体" w:cs="宋体"/>
          <w:b/>
          <w:sz w:val="24"/>
          <w:szCs w:val="24"/>
          <w:shd w:val="clear" w:color="auto" w:fill="FFFFFF"/>
        </w:rPr>
        <w:t>3.9  建筑机械</w:t>
      </w:r>
      <w:bookmarkEnd w:id="17"/>
      <w:r>
        <w:rPr>
          <w:rFonts w:hint="eastAsia" w:ascii="宋体" w:hAnsi="宋体" w:cs="宋体"/>
          <w:b/>
          <w:sz w:val="24"/>
          <w:szCs w:val="24"/>
          <w:shd w:val="clear" w:color="auto" w:fill="FFFFFF"/>
        </w:rPr>
        <w:t>设备</w:t>
      </w:r>
    </w:p>
    <w:p>
      <w:pPr>
        <w:pStyle w:val="7"/>
        <w:rPr>
          <w:rFonts w:hAnsi="宋体" w:cs="宋体"/>
          <w:b/>
          <w:color w:val="000000" w:themeColor="text1"/>
          <w:kern w:val="0"/>
          <w:szCs w:val="24"/>
        </w:rPr>
      </w:pPr>
      <w:r>
        <w:rPr>
          <w:rFonts w:hint="eastAsia" w:hAnsi="宋体" w:cs="宋体"/>
          <w:b/>
          <w:szCs w:val="24"/>
        </w:rPr>
        <w:t xml:space="preserve">3.9.1  </w:t>
      </w:r>
      <w:r>
        <w:rPr>
          <w:rFonts w:hint="eastAsia" w:hAnsi="宋体" w:cs="宋体"/>
          <w:color w:val="000000" w:themeColor="text1"/>
          <w:szCs w:val="24"/>
        </w:rPr>
        <w:t>建筑机械设备评价应符合《建筑施工安全检查标准》JGJ59、《建筑机械使用安全技术规程》JGJ33等相关标准、规范的规定。</w:t>
      </w:r>
    </w:p>
    <w:p>
      <w:pPr>
        <w:spacing w:line="360" w:lineRule="auto"/>
        <w:rPr>
          <w:rFonts w:ascii="宋体" w:hAnsi="宋体" w:cs="宋体"/>
        </w:rPr>
      </w:pPr>
      <w:r>
        <w:rPr>
          <w:rFonts w:hint="eastAsia" w:ascii="宋体" w:hAnsi="宋体" w:cs="宋体"/>
          <w:b/>
          <w:kern w:val="0"/>
        </w:rPr>
        <w:t xml:space="preserve">3.9.2  </w:t>
      </w:r>
      <w:r>
        <w:rPr>
          <w:rFonts w:hint="eastAsia" w:ascii="宋体" w:hAnsi="宋体" w:cs="宋体"/>
          <w:kern w:val="0"/>
        </w:rPr>
        <w:t>建筑机械设备评价项目包括：安全管理、基础与附着、结构设施、安全与保护装置、安全使用和起重吊装。</w:t>
      </w:r>
    </w:p>
    <w:p>
      <w:pPr>
        <w:pStyle w:val="36"/>
        <w:widowControl/>
        <w:rPr>
          <w:rFonts w:hint="default"/>
          <w:sz w:val="24"/>
          <w:szCs w:val="24"/>
        </w:rPr>
      </w:pPr>
      <w:r>
        <w:rPr>
          <w:b/>
          <w:sz w:val="24"/>
          <w:szCs w:val="24"/>
        </w:rPr>
        <w:t xml:space="preserve">3.9.3 </w:t>
      </w:r>
      <w:r>
        <w:rPr>
          <w:sz w:val="24"/>
          <w:szCs w:val="24"/>
        </w:rPr>
        <w:t xml:space="preserve"> 安全管理</w:t>
      </w:r>
      <w:r>
        <w:rPr>
          <w:sz w:val="24"/>
          <w:szCs w:val="24"/>
          <w:shd w:val="clear" w:color="auto" w:fill="FFFFFF"/>
        </w:rPr>
        <w:t>应符合下列规定：</w:t>
      </w:r>
    </w:p>
    <w:p>
      <w:pPr>
        <w:pStyle w:val="36"/>
        <w:widowControl/>
        <w:ind w:firstLine="482" w:firstLineChars="200"/>
        <w:rPr>
          <w:rFonts w:hint="default"/>
          <w:sz w:val="24"/>
          <w:szCs w:val="24"/>
        </w:rPr>
      </w:pPr>
      <w:r>
        <w:rPr>
          <w:b/>
          <w:sz w:val="24"/>
          <w:szCs w:val="24"/>
        </w:rPr>
        <w:t xml:space="preserve">1  </w:t>
      </w:r>
      <w:r>
        <w:rPr>
          <w:sz w:val="24"/>
          <w:szCs w:val="24"/>
        </w:rPr>
        <w:t>建筑起重机械安装、拆除作业前必须编制专项施工方案，并经审核</w:t>
      </w:r>
      <w:r>
        <w:rPr>
          <w:szCs w:val="24"/>
        </w:rPr>
        <w:t>、</w:t>
      </w:r>
      <w:r>
        <w:rPr>
          <w:sz w:val="24"/>
          <w:szCs w:val="24"/>
        </w:rPr>
        <w:t>审批后实施；</w:t>
      </w:r>
    </w:p>
    <w:p>
      <w:pPr>
        <w:pStyle w:val="36"/>
        <w:widowControl/>
        <w:ind w:firstLine="482" w:firstLineChars="200"/>
        <w:rPr>
          <w:rFonts w:hint="default"/>
          <w:sz w:val="24"/>
          <w:szCs w:val="24"/>
        </w:rPr>
      </w:pPr>
      <w:r>
        <w:rPr>
          <w:b/>
          <w:sz w:val="24"/>
          <w:szCs w:val="24"/>
        </w:rPr>
        <w:t xml:space="preserve">2  </w:t>
      </w:r>
      <w:r>
        <w:rPr>
          <w:sz w:val="24"/>
          <w:szCs w:val="24"/>
        </w:rPr>
        <w:t>建筑机械应具有制造许可证、产品合格证或其他质量证明文件；</w:t>
      </w:r>
    </w:p>
    <w:p>
      <w:pPr>
        <w:pStyle w:val="7"/>
        <w:rPr>
          <w:rFonts w:hAnsi="宋体" w:cs="宋体"/>
          <w:kern w:val="0"/>
          <w:szCs w:val="24"/>
        </w:rPr>
      </w:pPr>
      <w:r>
        <w:rPr>
          <w:rFonts w:hint="eastAsia" w:hAnsi="宋体" w:cs="宋体"/>
          <w:b/>
          <w:szCs w:val="24"/>
        </w:rPr>
        <w:t xml:space="preserve">    3  </w:t>
      </w:r>
      <w:r>
        <w:rPr>
          <w:rFonts w:hint="eastAsia" w:hAnsi="宋体" w:cs="宋体"/>
          <w:kern w:val="0"/>
          <w:szCs w:val="24"/>
        </w:rPr>
        <w:t>建筑起重机械应办理安拆告知手续，安装后经检测、验收合格方可使用，并及时办理使用登记手续；</w:t>
      </w:r>
    </w:p>
    <w:p>
      <w:pPr>
        <w:pStyle w:val="36"/>
        <w:widowControl/>
        <w:ind w:firstLine="482" w:firstLineChars="200"/>
        <w:rPr>
          <w:rFonts w:hint="default"/>
          <w:sz w:val="24"/>
          <w:szCs w:val="24"/>
        </w:rPr>
      </w:pPr>
      <w:r>
        <w:rPr>
          <w:b/>
          <w:sz w:val="24"/>
          <w:szCs w:val="24"/>
        </w:rPr>
        <w:t>4</w:t>
      </w:r>
      <w:r>
        <w:rPr>
          <w:sz w:val="24"/>
          <w:szCs w:val="24"/>
        </w:rPr>
        <w:t xml:space="preserve">  建筑机械应定期维保并留存记录；</w:t>
      </w:r>
    </w:p>
    <w:p>
      <w:pPr>
        <w:pStyle w:val="36"/>
        <w:widowControl/>
        <w:ind w:firstLine="482" w:firstLineChars="200"/>
        <w:rPr>
          <w:rFonts w:hint="default"/>
          <w:sz w:val="24"/>
          <w:szCs w:val="24"/>
        </w:rPr>
      </w:pPr>
      <w:r>
        <w:rPr>
          <w:b/>
          <w:sz w:val="24"/>
          <w:szCs w:val="24"/>
        </w:rPr>
        <w:t>5</w:t>
      </w:r>
      <w:r>
        <w:rPr>
          <w:sz w:val="24"/>
          <w:szCs w:val="24"/>
        </w:rPr>
        <w:t xml:space="preserve">  建筑机械作业前应对结构件、连接部位、安全装置等进行检查，实行多班作业的机械，应执行交接班制度，填写交接班记录。</w:t>
      </w:r>
    </w:p>
    <w:p>
      <w:pPr>
        <w:pStyle w:val="36"/>
        <w:widowControl/>
        <w:rPr>
          <w:rFonts w:hint="default"/>
          <w:sz w:val="24"/>
          <w:szCs w:val="24"/>
        </w:rPr>
      </w:pPr>
      <w:r>
        <w:rPr>
          <w:b/>
          <w:sz w:val="24"/>
          <w:szCs w:val="24"/>
        </w:rPr>
        <w:t xml:space="preserve">3.9.4  </w:t>
      </w:r>
      <w:r>
        <w:rPr>
          <w:sz w:val="24"/>
          <w:szCs w:val="24"/>
        </w:rPr>
        <w:t>基础与附着</w:t>
      </w:r>
      <w:r>
        <w:rPr>
          <w:sz w:val="24"/>
          <w:szCs w:val="24"/>
          <w:shd w:val="clear" w:color="auto" w:fill="FFFFFF"/>
        </w:rPr>
        <w:t>应符合下列规定：</w:t>
      </w:r>
    </w:p>
    <w:p>
      <w:pPr>
        <w:pStyle w:val="36"/>
        <w:widowControl/>
        <w:ind w:firstLine="482" w:firstLineChars="200"/>
        <w:rPr>
          <w:rFonts w:hint="default"/>
          <w:sz w:val="24"/>
          <w:szCs w:val="24"/>
        </w:rPr>
      </w:pPr>
      <w:r>
        <w:rPr>
          <w:b/>
          <w:sz w:val="24"/>
          <w:szCs w:val="24"/>
        </w:rPr>
        <w:t>1</w:t>
      </w:r>
      <w:r>
        <w:rPr>
          <w:sz w:val="24"/>
          <w:szCs w:val="24"/>
        </w:rPr>
        <w:t xml:space="preserve">  建筑机械工作的场地应保持平坦坚实，符合起重吊装、运输和使用时的承载要求；汽车式起重机、混凝土输送泵、混凝土泵车等带有支腿的机械设备，支腿应完全打开并支设牢固；</w:t>
      </w:r>
    </w:p>
    <w:p>
      <w:pPr>
        <w:widowControl/>
        <w:spacing w:line="360" w:lineRule="auto"/>
        <w:ind w:firstLine="482" w:firstLineChars="200"/>
        <w:jc w:val="left"/>
        <w:rPr>
          <w:rFonts w:ascii="宋体" w:hAnsi="宋体" w:cs="宋体"/>
        </w:rPr>
      </w:pPr>
      <w:r>
        <w:rPr>
          <w:rFonts w:hint="eastAsia" w:ascii="宋体" w:hAnsi="宋体" w:cs="宋体"/>
          <w:b/>
        </w:rPr>
        <w:t xml:space="preserve">2  </w:t>
      </w:r>
      <w:r>
        <w:rPr>
          <w:rFonts w:hint="eastAsia" w:ascii="宋体" w:hAnsi="宋体" w:cs="宋体"/>
          <w:kern w:val="0"/>
        </w:rPr>
        <w:t>塔式起重机、施工升降机等垂直运输机械应按产品说明书要求安装附着装置；附着装置的结构形式、角度、水平距离等不能满足产品说明书要求时，应进行设计计算和审批；</w:t>
      </w:r>
    </w:p>
    <w:p>
      <w:pPr>
        <w:widowControl/>
        <w:spacing w:line="360" w:lineRule="auto"/>
        <w:ind w:firstLine="482" w:firstLineChars="200"/>
        <w:jc w:val="left"/>
        <w:rPr>
          <w:rFonts w:ascii="宋体" w:hAnsi="宋体" w:cs="宋体"/>
          <w:kern w:val="0"/>
        </w:rPr>
      </w:pPr>
      <w:r>
        <w:rPr>
          <w:rFonts w:hint="eastAsia" w:ascii="宋体" w:hAnsi="宋体" w:cs="宋体"/>
          <w:b/>
          <w:kern w:val="0"/>
        </w:rPr>
        <w:t xml:space="preserve">3  </w:t>
      </w:r>
      <w:r>
        <w:rPr>
          <w:rFonts w:hint="eastAsia" w:ascii="宋体" w:hAnsi="宋体" w:cs="宋体"/>
          <w:kern w:val="0"/>
        </w:rPr>
        <w:t>塔式起重机、施工升降机等垂直运输机械的垂直度应符合产品说明书要求，并留存垂直度检测记录。</w:t>
      </w:r>
    </w:p>
    <w:p>
      <w:pPr>
        <w:pStyle w:val="36"/>
        <w:widowControl/>
        <w:rPr>
          <w:rFonts w:hint="default"/>
          <w:sz w:val="24"/>
          <w:szCs w:val="24"/>
        </w:rPr>
      </w:pPr>
      <w:r>
        <w:rPr>
          <w:b/>
          <w:sz w:val="24"/>
          <w:szCs w:val="24"/>
        </w:rPr>
        <w:t xml:space="preserve">3.9.5  </w:t>
      </w:r>
      <w:r>
        <w:rPr>
          <w:sz w:val="24"/>
          <w:szCs w:val="24"/>
          <w:shd w:val="clear" w:color="auto" w:fill="FFFFFF"/>
        </w:rPr>
        <w:t>结构设施应符合下列规定：</w:t>
      </w:r>
    </w:p>
    <w:p>
      <w:pPr>
        <w:pStyle w:val="36"/>
        <w:widowControl/>
        <w:ind w:firstLine="482" w:firstLineChars="200"/>
        <w:rPr>
          <w:rFonts w:hint="default"/>
          <w:sz w:val="24"/>
          <w:szCs w:val="24"/>
        </w:rPr>
      </w:pPr>
      <w:r>
        <w:rPr>
          <w:b/>
          <w:sz w:val="24"/>
          <w:szCs w:val="24"/>
        </w:rPr>
        <w:t xml:space="preserve">1  </w:t>
      </w:r>
      <w:r>
        <w:rPr>
          <w:sz w:val="24"/>
          <w:szCs w:val="24"/>
        </w:rPr>
        <w:t>建筑机械的结构无裂纹、开焊、变形、锈蚀等现象</w:t>
      </w:r>
      <w:r>
        <w:rPr>
          <w:sz w:val="24"/>
          <w:szCs w:val="24"/>
          <w:shd w:val="clear" w:color="auto" w:fill="FFFFFF"/>
        </w:rPr>
        <w:t>；</w:t>
      </w:r>
    </w:p>
    <w:p>
      <w:pPr>
        <w:widowControl/>
        <w:spacing w:line="360" w:lineRule="auto"/>
        <w:ind w:firstLine="482" w:firstLineChars="200"/>
        <w:jc w:val="left"/>
        <w:rPr>
          <w:rFonts w:ascii="宋体" w:hAnsi="宋体" w:cs="宋体"/>
          <w:kern w:val="0"/>
        </w:rPr>
      </w:pPr>
      <w:r>
        <w:rPr>
          <w:rFonts w:hint="eastAsia" w:ascii="宋体" w:hAnsi="宋体" w:cs="宋体"/>
          <w:b/>
        </w:rPr>
        <w:t xml:space="preserve">2  </w:t>
      </w:r>
      <w:r>
        <w:rPr>
          <w:rFonts w:hint="eastAsia" w:ascii="宋体" w:hAnsi="宋体" w:cs="宋体"/>
        </w:rPr>
        <w:t>建筑机械的</w:t>
      </w:r>
      <w:r>
        <w:rPr>
          <w:rFonts w:hint="eastAsia" w:ascii="宋体" w:hAnsi="宋体" w:cs="宋体"/>
          <w:kern w:val="0"/>
        </w:rPr>
        <w:t>螺栓、销轴、紧固件的连接应符合产品说明书要求；</w:t>
      </w:r>
    </w:p>
    <w:p>
      <w:pPr>
        <w:widowControl/>
        <w:spacing w:line="360" w:lineRule="auto"/>
        <w:ind w:firstLine="482" w:firstLineChars="200"/>
        <w:jc w:val="left"/>
        <w:rPr>
          <w:rFonts w:ascii="宋体" w:hAnsi="宋体" w:cs="宋体"/>
          <w:kern w:val="0"/>
        </w:rPr>
      </w:pPr>
      <w:r>
        <w:rPr>
          <w:rFonts w:hint="eastAsia" w:ascii="宋体" w:hAnsi="宋体" w:cs="宋体"/>
          <w:b/>
          <w:kern w:val="0"/>
        </w:rPr>
        <w:t>3</w:t>
      </w:r>
      <w:r>
        <w:rPr>
          <w:rFonts w:hint="eastAsia" w:ascii="宋体" w:hAnsi="宋体" w:cs="宋体"/>
          <w:kern w:val="0"/>
        </w:rPr>
        <w:t xml:space="preserve">  建筑机械的平台、走道、护栏等安全防护设施应齐全、可靠。</w:t>
      </w:r>
    </w:p>
    <w:p>
      <w:pPr>
        <w:pStyle w:val="7"/>
        <w:rPr>
          <w:rFonts w:hAnsi="宋体" w:cs="宋体"/>
          <w:szCs w:val="24"/>
        </w:rPr>
      </w:pPr>
      <w:r>
        <w:rPr>
          <w:rFonts w:hint="eastAsia" w:hAnsi="宋体" w:cs="宋体"/>
          <w:b/>
          <w:szCs w:val="24"/>
        </w:rPr>
        <w:t xml:space="preserve">3.9.6  </w:t>
      </w:r>
      <w:r>
        <w:rPr>
          <w:rFonts w:hint="eastAsia" w:hAnsi="宋体" w:cs="宋体"/>
          <w:szCs w:val="24"/>
        </w:rPr>
        <w:t>安全与保护装置应符合下列规定：</w:t>
      </w:r>
    </w:p>
    <w:p>
      <w:pPr>
        <w:pStyle w:val="36"/>
        <w:widowControl/>
        <w:ind w:firstLine="482" w:firstLineChars="200"/>
        <w:rPr>
          <w:rFonts w:hint="default"/>
          <w:sz w:val="24"/>
          <w:szCs w:val="24"/>
        </w:rPr>
      </w:pPr>
      <w:r>
        <w:rPr>
          <w:b/>
          <w:sz w:val="24"/>
          <w:szCs w:val="24"/>
        </w:rPr>
        <w:t xml:space="preserve">1  </w:t>
      </w:r>
      <w:r>
        <w:rPr>
          <w:sz w:val="24"/>
          <w:szCs w:val="24"/>
        </w:rPr>
        <w:t>建筑机械的载荷限制、行程限位等装置应安装齐全、灵敏可靠</w:t>
      </w:r>
      <w:r>
        <w:rPr>
          <w:sz w:val="24"/>
          <w:szCs w:val="24"/>
          <w:shd w:val="clear" w:color="auto" w:fill="FFFFFF"/>
        </w:rPr>
        <w:t>；</w:t>
      </w:r>
    </w:p>
    <w:p>
      <w:pPr>
        <w:pStyle w:val="36"/>
        <w:widowControl/>
        <w:ind w:firstLine="482" w:firstLineChars="200"/>
        <w:rPr>
          <w:rFonts w:hint="default"/>
          <w:sz w:val="24"/>
          <w:szCs w:val="24"/>
          <w:shd w:val="clear" w:color="auto" w:fill="FFFFFF"/>
        </w:rPr>
      </w:pPr>
      <w:r>
        <w:rPr>
          <w:b/>
          <w:sz w:val="24"/>
          <w:szCs w:val="24"/>
        </w:rPr>
        <w:t>2</w:t>
      </w:r>
      <w:r>
        <w:rPr>
          <w:sz w:val="24"/>
          <w:szCs w:val="24"/>
        </w:rPr>
        <w:t xml:space="preserve">  施工升降机防坠安全器应在标定期限内使用</w:t>
      </w:r>
      <w:r>
        <w:rPr>
          <w:sz w:val="24"/>
          <w:szCs w:val="24"/>
          <w:shd w:val="clear" w:color="auto" w:fill="FFFFFF"/>
        </w:rPr>
        <w:t>；</w:t>
      </w:r>
    </w:p>
    <w:p>
      <w:pPr>
        <w:pStyle w:val="36"/>
        <w:widowControl/>
        <w:ind w:firstLine="482" w:firstLineChars="200"/>
        <w:rPr>
          <w:rFonts w:hint="default"/>
          <w:sz w:val="24"/>
          <w:szCs w:val="24"/>
        </w:rPr>
      </w:pPr>
      <w:r>
        <w:rPr>
          <w:b/>
          <w:sz w:val="24"/>
          <w:szCs w:val="24"/>
        </w:rPr>
        <w:t xml:space="preserve">3  </w:t>
      </w:r>
      <w:r>
        <w:rPr>
          <w:sz w:val="24"/>
          <w:szCs w:val="24"/>
        </w:rPr>
        <w:t>手柄零位保护、机械联锁、急停开关、吊钩保险、滑轮防脱、卷筒钢丝绳防脱、障碍灯、风速仪、安全钩、缓冲器等装置应齐全有效；</w:t>
      </w:r>
    </w:p>
    <w:p>
      <w:pPr>
        <w:pStyle w:val="36"/>
        <w:widowControl/>
        <w:ind w:firstLine="482" w:firstLineChars="200"/>
        <w:rPr>
          <w:rFonts w:hint="default"/>
          <w:sz w:val="24"/>
          <w:szCs w:val="24"/>
        </w:rPr>
      </w:pPr>
      <w:r>
        <w:rPr>
          <w:b/>
          <w:sz w:val="24"/>
          <w:szCs w:val="24"/>
        </w:rPr>
        <w:t xml:space="preserve">4  </w:t>
      </w:r>
      <w:r>
        <w:rPr>
          <w:sz w:val="24"/>
          <w:szCs w:val="24"/>
        </w:rPr>
        <w:t>建筑起重机械、土石方机械、混凝土机械等需要回转作业的应设置声光报警装置，回转作业区域应设置警戒线，并安排专人监护；</w:t>
      </w:r>
    </w:p>
    <w:p>
      <w:pPr>
        <w:pStyle w:val="36"/>
        <w:widowControl/>
        <w:ind w:firstLine="482" w:firstLineChars="200"/>
        <w:rPr>
          <w:rFonts w:hint="default"/>
          <w:sz w:val="24"/>
          <w:szCs w:val="24"/>
        </w:rPr>
      </w:pPr>
      <w:r>
        <w:rPr>
          <w:b/>
          <w:sz w:val="24"/>
          <w:szCs w:val="24"/>
        </w:rPr>
        <w:t xml:space="preserve">5  </w:t>
      </w:r>
      <w:r>
        <w:rPr>
          <w:sz w:val="24"/>
          <w:szCs w:val="24"/>
        </w:rPr>
        <w:t>建筑机械传动部位应设置防护罩。</w:t>
      </w:r>
    </w:p>
    <w:p>
      <w:pPr>
        <w:pStyle w:val="36"/>
        <w:widowControl/>
        <w:rPr>
          <w:rFonts w:hint="default"/>
          <w:sz w:val="24"/>
          <w:szCs w:val="24"/>
        </w:rPr>
      </w:pPr>
      <w:r>
        <w:rPr>
          <w:b/>
          <w:sz w:val="24"/>
          <w:szCs w:val="24"/>
        </w:rPr>
        <w:t xml:space="preserve">3.9.7  </w:t>
      </w:r>
      <w:r>
        <w:rPr>
          <w:sz w:val="24"/>
          <w:szCs w:val="24"/>
        </w:rPr>
        <w:t>安全使用</w:t>
      </w:r>
      <w:r>
        <w:rPr>
          <w:sz w:val="24"/>
          <w:szCs w:val="24"/>
          <w:shd w:val="clear" w:color="auto" w:fill="FFFFFF"/>
        </w:rPr>
        <w:t>应符合下列规定：</w:t>
      </w:r>
    </w:p>
    <w:p>
      <w:pPr>
        <w:spacing w:line="360" w:lineRule="auto"/>
        <w:ind w:firstLine="482" w:firstLineChars="200"/>
        <w:rPr>
          <w:rFonts w:ascii="宋体" w:hAnsi="宋体" w:cs="宋体"/>
          <w:shd w:val="clear" w:color="auto" w:fill="FFFFFF"/>
        </w:rPr>
      </w:pPr>
      <w:r>
        <w:rPr>
          <w:rFonts w:hint="eastAsia" w:ascii="宋体" w:hAnsi="宋体" w:cs="宋体"/>
          <w:b/>
          <w:kern w:val="0"/>
        </w:rPr>
        <w:t>1</w:t>
      </w:r>
      <w:r>
        <w:rPr>
          <w:rFonts w:hint="eastAsia" w:ascii="宋体" w:hAnsi="宋体" w:cs="宋体"/>
          <w:kern w:val="0"/>
        </w:rPr>
        <w:t xml:space="preserve">  施工升降机、物料提升机等建筑起重机械应安装人脸或指纹识别系统并正确使用</w:t>
      </w:r>
      <w:r>
        <w:rPr>
          <w:rFonts w:hint="eastAsia" w:ascii="宋体" w:hAnsi="宋体" w:cs="宋体"/>
          <w:shd w:val="clear" w:color="auto" w:fill="FFFFFF"/>
        </w:rPr>
        <w:t>；</w:t>
      </w:r>
    </w:p>
    <w:p>
      <w:pPr>
        <w:spacing w:line="360" w:lineRule="auto"/>
        <w:ind w:firstLine="482" w:firstLineChars="200"/>
        <w:rPr>
          <w:rFonts w:ascii="宋体" w:hAnsi="宋体" w:cs="宋体"/>
          <w:shd w:val="clear" w:color="auto" w:fill="FFFFFF"/>
        </w:rPr>
      </w:pPr>
      <w:r>
        <w:rPr>
          <w:rFonts w:hint="eastAsia" w:ascii="宋体" w:hAnsi="宋体" w:cs="宋体"/>
          <w:b/>
          <w:kern w:val="0"/>
        </w:rPr>
        <w:t xml:space="preserve">2  </w:t>
      </w:r>
      <w:r>
        <w:rPr>
          <w:rFonts w:hint="eastAsia" w:ascii="宋体" w:hAnsi="宋体" w:cs="宋体"/>
          <w:kern w:val="0"/>
        </w:rPr>
        <w:t>司机室应配备灭火器，操作室内应视线良好，不得遮挡</w:t>
      </w:r>
      <w:r>
        <w:rPr>
          <w:rFonts w:hint="eastAsia" w:ascii="宋体" w:hAnsi="宋体" w:cs="宋体"/>
          <w:shd w:val="clear" w:color="auto" w:fill="FFFFFF"/>
        </w:rPr>
        <w:t>；</w:t>
      </w:r>
    </w:p>
    <w:p>
      <w:pPr>
        <w:spacing w:line="360" w:lineRule="auto"/>
        <w:ind w:firstLine="482" w:firstLineChars="200"/>
        <w:rPr>
          <w:rFonts w:ascii="宋体" w:hAnsi="宋体" w:cs="宋体"/>
          <w:kern w:val="0"/>
        </w:rPr>
      </w:pPr>
      <w:r>
        <w:rPr>
          <w:rFonts w:hint="eastAsia" w:ascii="宋体" w:hAnsi="宋体" w:cs="宋体"/>
          <w:b/>
          <w:kern w:val="0"/>
        </w:rPr>
        <w:t xml:space="preserve">3  </w:t>
      </w:r>
      <w:r>
        <w:rPr>
          <w:rFonts w:hint="eastAsia" w:ascii="宋体" w:hAnsi="宋体" w:cs="宋体"/>
          <w:kern w:val="0"/>
        </w:rPr>
        <w:t>塔式起重机、门式起重机、汽车式起重机等多台建筑机械同时作业的应有防碰撞措施；建筑机械设备之间、机械设备与输电线路、障碍物、基坑及作业人员的最小安全距离应符合《施工现场机械设备检查技术规范》JGJ160要求；</w:t>
      </w:r>
    </w:p>
    <w:p>
      <w:pPr>
        <w:spacing w:line="360" w:lineRule="auto"/>
        <w:ind w:firstLine="480"/>
        <w:rPr>
          <w:rFonts w:ascii="宋体" w:hAnsi="宋体" w:cs="宋体"/>
          <w:kern w:val="0"/>
        </w:rPr>
      </w:pPr>
      <w:r>
        <w:rPr>
          <w:rFonts w:hint="eastAsia" w:ascii="宋体" w:hAnsi="宋体" w:cs="宋体"/>
          <w:b/>
          <w:kern w:val="0"/>
        </w:rPr>
        <w:t>4</w:t>
      </w:r>
      <w:r>
        <w:rPr>
          <w:rFonts w:hint="eastAsia" w:ascii="宋体" w:hAnsi="宋体" w:cs="宋体"/>
          <w:kern w:val="0"/>
        </w:rPr>
        <w:t xml:space="preserve">  建筑机械不得超速行驶，严禁违规载人。</w:t>
      </w:r>
    </w:p>
    <w:p>
      <w:pPr>
        <w:spacing w:line="360" w:lineRule="auto"/>
        <w:rPr>
          <w:rFonts w:ascii="宋体" w:hAnsi="宋体" w:cs="宋体"/>
          <w:kern w:val="0"/>
        </w:rPr>
      </w:pPr>
      <w:r>
        <w:rPr>
          <w:rFonts w:hint="eastAsia" w:ascii="宋体" w:hAnsi="宋体" w:cs="宋体"/>
          <w:b/>
          <w:kern w:val="0"/>
        </w:rPr>
        <w:t xml:space="preserve">3.9.8  </w:t>
      </w:r>
      <w:r>
        <w:rPr>
          <w:rFonts w:hint="eastAsia" w:ascii="宋体" w:hAnsi="宋体" w:cs="宋体"/>
        </w:rPr>
        <w:t>起重吊装应符合下</w:t>
      </w:r>
      <w:r>
        <w:rPr>
          <w:rFonts w:hint="eastAsia" w:ascii="宋体" w:hAnsi="宋体" w:cs="宋体"/>
          <w:shd w:val="clear" w:color="auto" w:fill="FFFFFF"/>
        </w:rPr>
        <w:t>列规定：</w:t>
      </w:r>
    </w:p>
    <w:p>
      <w:pPr>
        <w:spacing w:line="360" w:lineRule="auto"/>
        <w:ind w:firstLine="482" w:firstLineChars="200"/>
        <w:rPr>
          <w:rFonts w:ascii="宋体" w:hAnsi="宋体" w:cs="宋体"/>
          <w:kern w:val="0"/>
        </w:rPr>
      </w:pPr>
      <w:r>
        <w:rPr>
          <w:rFonts w:hint="eastAsia" w:ascii="宋体" w:hAnsi="宋体" w:cs="宋体"/>
          <w:b/>
          <w:kern w:val="0"/>
        </w:rPr>
        <w:t xml:space="preserve">1  </w:t>
      </w:r>
      <w:r>
        <w:rPr>
          <w:rFonts w:hint="eastAsia" w:ascii="宋体" w:hAnsi="宋体" w:cs="宋体"/>
          <w:kern w:val="0"/>
        </w:rPr>
        <w:t>钢丝绳、吊链、平衡梁、卸扣等吊索具应与起重机械和吊装物匹配，达到报废标准的严禁使用；</w:t>
      </w:r>
    </w:p>
    <w:p>
      <w:pPr>
        <w:spacing w:line="360" w:lineRule="auto"/>
        <w:ind w:firstLine="482" w:firstLineChars="200"/>
        <w:rPr>
          <w:rFonts w:ascii="宋体" w:hAnsi="宋体" w:cs="宋体"/>
          <w:kern w:val="0"/>
        </w:rPr>
      </w:pPr>
      <w:r>
        <w:rPr>
          <w:rFonts w:hint="eastAsia" w:ascii="宋体" w:hAnsi="宋体" w:cs="宋体"/>
          <w:b/>
          <w:kern w:val="0"/>
        </w:rPr>
        <w:t>2</w:t>
      </w:r>
      <w:r>
        <w:rPr>
          <w:rFonts w:hint="eastAsia" w:ascii="宋体" w:hAnsi="宋体" w:cs="宋体"/>
          <w:kern w:val="0"/>
        </w:rPr>
        <w:t xml:space="preserve">  吊物的吊点及强度应符合设计规定，保证构件起吊平稳；</w:t>
      </w:r>
    </w:p>
    <w:p>
      <w:pPr>
        <w:pStyle w:val="7"/>
        <w:ind w:firstLine="482" w:firstLineChars="200"/>
        <w:rPr>
          <w:rFonts w:hAnsi="宋体" w:cs="宋体"/>
          <w:bCs w:val="0"/>
          <w:szCs w:val="24"/>
          <w:shd w:val="clear" w:color="auto" w:fill="FFFFFF"/>
        </w:rPr>
        <w:sectPr>
          <w:headerReference r:id="rId10" w:type="default"/>
          <w:footerReference r:id="rId11" w:type="default"/>
          <w:pgSz w:w="11906" w:h="16838"/>
          <w:pgMar w:top="1440" w:right="1646" w:bottom="1440" w:left="1800" w:header="851" w:footer="992" w:gutter="0"/>
          <w:pgNumType w:start="1"/>
          <w:cols w:space="720" w:num="1"/>
          <w:docGrid w:type="lines" w:linePitch="312" w:charSpace="0"/>
        </w:sectPr>
      </w:pPr>
      <w:r>
        <w:rPr>
          <w:rFonts w:hint="eastAsia" w:hAnsi="宋体" w:cs="宋体"/>
          <w:b/>
          <w:kern w:val="0"/>
        </w:rPr>
        <w:t>3</w:t>
      </w:r>
      <w:r>
        <w:rPr>
          <w:rFonts w:hint="eastAsia" w:hAnsi="宋体" w:cs="宋体"/>
          <w:kern w:val="0"/>
        </w:rPr>
        <w:t xml:space="preserve">  </w:t>
      </w:r>
      <w:r>
        <w:rPr>
          <w:rFonts w:hint="eastAsia" w:hAnsi="宋体" w:cs="宋体"/>
          <w:color w:val="000000" w:themeColor="text1"/>
          <w:kern w:val="0"/>
        </w:rPr>
        <w:t>吊装作业</w:t>
      </w:r>
      <w:r>
        <w:rPr>
          <w:rFonts w:hint="eastAsia" w:hAnsi="宋体" w:cs="宋体"/>
          <w:bCs w:val="0"/>
          <w:szCs w:val="24"/>
          <w:shd w:val="clear" w:color="auto" w:fill="FFFFFF"/>
        </w:rPr>
        <w:t>应符合《建筑施工起重吊装安全技术规范》JGJ276规定。</w:t>
      </w:r>
    </w:p>
    <w:p>
      <w:pPr>
        <w:spacing w:before="240" w:after="60"/>
        <w:jc w:val="center"/>
        <w:outlineLvl w:val="0"/>
        <w:rPr>
          <w:rFonts w:ascii="宋体" w:hAnsi="宋体" w:cs="宋体"/>
          <w:b/>
          <w:sz w:val="32"/>
          <w:szCs w:val="32"/>
        </w:rPr>
      </w:pPr>
      <w:bookmarkStart w:id="18" w:name="_Toc437346466"/>
      <w:r>
        <w:rPr>
          <w:rFonts w:hint="eastAsia" w:ascii="宋体" w:hAnsi="宋体" w:cs="宋体"/>
          <w:b/>
          <w:sz w:val="32"/>
          <w:szCs w:val="32"/>
        </w:rPr>
        <w:t xml:space="preserve">4  </w:t>
      </w:r>
      <w:bookmarkStart w:id="19" w:name="_Toc397597966"/>
      <w:bookmarkStart w:id="20" w:name="_Toc398807429"/>
      <w:bookmarkStart w:id="21" w:name="_Toc389837513"/>
      <w:bookmarkStart w:id="22" w:name="_Toc393202857"/>
      <w:r>
        <w:rPr>
          <w:rFonts w:hint="eastAsia" w:ascii="宋体" w:hAnsi="宋体" w:cs="宋体"/>
          <w:b/>
          <w:sz w:val="32"/>
          <w:szCs w:val="32"/>
        </w:rPr>
        <w:t>评价方法</w:t>
      </w:r>
      <w:bookmarkEnd w:id="18"/>
      <w:bookmarkEnd w:id="19"/>
      <w:bookmarkEnd w:id="20"/>
      <w:bookmarkEnd w:id="21"/>
      <w:bookmarkEnd w:id="22"/>
    </w:p>
    <w:p>
      <w:pPr>
        <w:pStyle w:val="7"/>
        <w:rPr>
          <w:rFonts w:hAnsi="宋体" w:cs="宋体"/>
          <w:szCs w:val="24"/>
        </w:rPr>
      </w:pPr>
      <w:r>
        <w:rPr>
          <w:rFonts w:hint="eastAsia" w:hAnsi="宋体" w:cs="宋体"/>
          <w:b/>
          <w:szCs w:val="24"/>
        </w:rPr>
        <w:t>4.0.1</w:t>
      </w:r>
      <w:r>
        <w:rPr>
          <w:rFonts w:hint="eastAsia" w:hAnsi="宋体" w:cs="宋体"/>
          <w:szCs w:val="24"/>
        </w:rPr>
        <w:t xml:space="preserve">  建筑工程安全生产标准化工地评价应符合本标准第3章中各评价项目的有关规定，并按本标准附录A、B的评价表进行评分。评价表分为建设单位安全管理、监理单位安全管理、施工单位安全管理、文明施工、绿色施工、脚手架及模板支架、高处作业、临时用电、建筑机械设备分项评价表和评价汇总表。</w:t>
      </w:r>
    </w:p>
    <w:p>
      <w:pPr>
        <w:pStyle w:val="7"/>
        <w:rPr>
          <w:rFonts w:hAnsi="宋体" w:cs="宋体"/>
          <w:szCs w:val="24"/>
        </w:rPr>
      </w:pPr>
      <w:r>
        <w:rPr>
          <w:rFonts w:hint="eastAsia" w:hAnsi="宋体" w:cs="宋体"/>
          <w:b/>
          <w:szCs w:val="24"/>
        </w:rPr>
        <w:t>4.0.2</w:t>
      </w:r>
      <w:r>
        <w:rPr>
          <w:rFonts w:hint="eastAsia" w:hAnsi="宋体" w:cs="宋体"/>
          <w:szCs w:val="24"/>
        </w:rPr>
        <w:t xml:space="preserve">  申报单位应制定建筑工程安全生产标准化工地创建目标和创建计划，实施过程控制和评价。</w:t>
      </w:r>
    </w:p>
    <w:p>
      <w:pPr>
        <w:pStyle w:val="7"/>
        <w:rPr>
          <w:rFonts w:hAnsi="宋体" w:cs="宋体"/>
          <w:szCs w:val="24"/>
        </w:rPr>
      </w:pPr>
      <w:r>
        <w:rPr>
          <w:rFonts w:hint="eastAsia" w:hAnsi="宋体" w:cs="宋体"/>
          <w:b/>
          <w:szCs w:val="24"/>
        </w:rPr>
        <w:t xml:space="preserve">4.0.3  </w:t>
      </w:r>
      <w:r>
        <w:rPr>
          <w:rFonts w:hint="eastAsia" w:hAnsi="宋体" w:cs="宋体"/>
          <w:szCs w:val="24"/>
        </w:rPr>
        <w:t>各评价表的评分应符合下列规定：</w:t>
      </w:r>
    </w:p>
    <w:p>
      <w:pPr>
        <w:pStyle w:val="7"/>
        <w:ind w:firstLine="482" w:firstLineChars="200"/>
        <w:rPr>
          <w:rFonts w:hAnsi="宋体" w:cs="宋体"/>
          <w:szCs w:val="24"/>
        </w:rPr>
      </w:pPr>
      <w:r>
        <w:rPr>
          <w:rFonts w:hint="eastAsia" w:hAnsi="宋体" w:cs="宋体"/>
          <w:b/>
          <w:bCs w:val="0"/>
          <w:szCs w:val="24"/>
        </w:rPr>
        <w:t>1</w:t>
      </w:r>
      <w:r>
        <w:rPr>
          <w:rFonts w:hint="eastAsia" w:hAnsi="宋体" w:cs="宋体"/>
          <w:szCs w:val="24"/>
        </w:rPr>
        <w:t xml:space="preserve">  分项评价表和评价汇总表的满分分值均为100分，评价表的实得分值为各评价项目所得分值之和；</w:t>
      </w:r>
    </w:p>
    <w:p>
      <w:pPr>
        <w:spacing w:line="360" w:lineRule="auto"/>
        <w:ind w:firstLine="482" w:firstLineChars="200"/>
        <w:rPr>
          <w:rFonts w:ascii="宋体" w:hAnsi="宋体" w:cs="宋体"/>
        </w:rPr>
      </w:pPr>
      <w:r>
        <w:rPr>
          <w:rFonts w:hint="eastAsia" w:ascii="宋体" w:hAnsi="宋体" w:cs="宋体"/>
          <w:b/>
          <w:bCs w:val="0"/>
        </w:rPr>
        <w:t>2</w:t>
      </w:r>
      <w:r>
        <w:rPr>
          <w:rFonts w:hint="eastAsia" w:ascii="宋体" w:hAnsi="宋体" w:cs="宋体"/>
        </w:rPr>
        <w:t xml:space="preserve">  各评价表中的各个评价项目应采用扣减分数的方法，扣减分数总和不得超过该项目的应得分数</w:t>
      </w:r>
      <w:r>
        <w:rPr>
          <w:rFonts w:hint="eastAsia" w:hAnsi="宋体" w:cs="宋体"/>
          <w:shd w:val="clear" w:color="auto" w:fill="FFFFFF"/>
        </w:rPr>
        <w:t>；</w:t>
      </w:r>
    </w:p>
    <w:p>
      <w:pPr>
        <w:spacing w:line="360" w:lineRule="auto"/>
        <w:ind w:firstLine="482" w:firstLineChars="200"/>
        <w:rPr>
          <w:rFonts w:ascii="宋体" w:hAnsi="宋体" w:cs="宋体"/>
          <w:kern w:val="0"/>
        </w:rPr>
      </w:pPr>
      <w:r>
        <w:rPr>
          <w:rFonts w:hint="eastAsia" w:ascii="宋体" w:hAnsi="宋体" w:cs="宋体"/>
          <w:b/>
          <w:bCs w:val="0"/>
        </w:rPr>
        <w:t xml:space="preserve">3  </w:t>
      </w:r>
      <w:r>
        <w:rPr>
          <w:rFonts w:hint="eastAsia" w:ascii="宋体" w:hAnsi="宋体" w:cs="宋体"/>
          <w:kern w:val="0"/>
        </w:rPr>
        <w:t>当评分遇有缺项时，分项评价表或评价汇总表的总得分值应按下式计算：</w:t>
      </w:r>
    </w:p>
    <w:p>
      <w:pPr>
        <w:autoSpaceDE w:val="0"/>
        <w:autoSpaceDN w:val="0"/>
        <w:adjustRightInd w:val="0"/>
        <w:snapToGrid w:val="0"/>
        <w:spacing w:line="360" w:lineRule="auto"/>
        <w:ind w:firstLine="3240" w:firstLineChars="1350"/>
        <w:rPr>
          <w:rFonts w:ascii="宋体" w:hAnsi="宋体" w:cs="宋体"/>
          <w:kern w:val="0"/>
          <w:szCs w:val="21"/>
        </w:rPr>
      </w:pPr>
      <w:r>
        <w:rPr>
          <w:rFonts w:hint="eastAsia" w:ascii="宋体" w:hAnsi="宋体" w:cs="宋体"/>
          <w:kern w:val="0"/>
          <w:position w:val="-24"/>
          <w:szCs w:val="21"/>
        </w:rPr>
        <w:object>
          <v:shape id="_x0000_i1025" o:spt="75" type="#_x0000_t75" style="height:31.1pt;width:63.35pt;" o:ole="t" filled="f" o:preferrelative="t" stroked="f" coordsize="21600,21600">
            <v:path/>
            <v:fill on="f" focussize="0,0"/>
            <v:stroke on="f" joinstyle="miter"/>
            <v:imagedata r:id="rId20" o:title=""/>
            <o:lock v:ext="edit" aspectratio="t"/>
            <w10:wrap type="none"/>
            <w10:anchorlock/>
          </v:shape>
          <o:OLEObject Type="Embed" ProgID="Equation.3" ShapeID="_x0000_i1025" DrawAspect="Content" ObjectID="_1468075725" r:id="rId19">
            <o:LockedField>false</o:LockedField>
          </o:OLEObject>
        </w:object>
      </w:r>
    </w:p>
    <w:p>
      <w:pPr>
        <w:autoSpaceDE w:val="0"/>
        <w:autoSpaceDN w:val="0"/>
        <w:adjustRightInd w:val="0"/>
        <w:snapToGrid w:val="0"/>
        <w:spacing w:line="360" w:lineRule="auto"/>
        <w:ind w:firstLine="480" w:firstLineChars="200"/>
        <w:rPr>
          <w:rFonts w:ascii="宋体" w:hAnsi="宋体" w:cs="宋体"/>
          <w:kern w:val="0"/>
        </w:rPr>
      </w:pPr>
      <w:r>
        <w:rPr>
          <w:rFonts w:hint="eastAsia" w:ascii="宋体" w:hAnsi="宋体" w:cs="宋体"/>
        </w:rPr>
        <w:t>式中：</w:t>
      </w:r>
      <w:r>
        <w:rPr>
          <w:rFonts w:hint="eastAsia" w:ascii="宋体" w:hAnsi="宋体" w:cs="宋体"/>
          <w:i/>
        </w:rPr>
        <w:t>A</w:t>
      </w:r>
      <w:r>
        <w:rPr>
          <w:rFonts w:hint="eastAsia" w:ascii="宋体" w:hAnsi="宋体" w:cs="宋体"/>
          <w:i/>
          <w:vertAlign w:val="subscript"/>
        </w:rPr>
        <w:t>1</w:t>
      </w:r>
      <w:r>
        <w:rPr>
          <w:rFonts w:hint="eastAsia" w:ascii="宋体" w:hAnsi="宋体" w:cs="宋体"/>
        </w:rPr>
        <w:t>— 遇有缺项时总得分值；</w:t>
      </w:r>
    </w:p>
    <w:p>
      <w:pPr>
        <w:autoSpaceDE w:val="0"/>
        <w:autoSpaceDN w:val="0"/>
        <w:adjustRightInd w:val="0"/>
        <w:snapToGrid w:val="0"/>
        <w:spacing w:line="360" w:lineRule="auto"/>
        <w:ind w:firstLine="480" w:firstLineChars="200"/>
        <w:rPr>
          <w:rFonts w:ascii="宋体" w:hAnsi="宋体" w:cs="宋体"/>
        </w:rPr>
      </w:pPr>
      <w:r>
        <w:rPr>
          <w:rFonts w:hint="eastAsia" w:ascii="宋体" w:hAnsi="宋体" w:cs="宋体"/>
          <w:i/>
        </w:rPr>
        <w:t xml:space="preserve">B </w:t>
      </w:r>
      <w:r>
        <w:rPr>
          <w:rFonts w:hint="eastAsia" w:ascii="宋体" w:hAnsi="宋体" w:cs="宋体"/>
        </w:rPr>
        <w:t>— 实查项目在该表的实得分值之和；</w:t>
      </w:r>
    </w:p>
    <w:p>
      <w:pPr>
        <w:autoSpaceDE w:val="0"/>
        <w:autoSpaceDN w:val="0"/>
        <w:adjustRightInd w:val="0"/>
        <w:snapToGrid w:val="0"/>
        <w:spacing w:line="360" w:lineRule="auto"/>
        <w:ind w:firstLine="480" w:firstLineChars="200"/>
        <w:rPr>
          <w:rFonts w:ascii="宋体" w:hAnsi="宋体" w:cs="宋体"/>
        </w:rPr>
      </w:pPr>
      <w:r>
        <w:rPr>
          <w:rFonts w:hint="eastAsia" w:ascii="宋体" w:hAnsi="宋体" w:cs="宋体"/>
          <w:i/>
        </w:rPr>
        <w:t xml:space="preserve">C </w:t>
      </w:r>
      <w:r>
        <w:rPr>
          <w:rFonts w:hint="eastAsia" w:ascii="宋体" w:hAnsi="宋体" w:cs="宋体"/>
        </w:rPr>
        <w:t xml:space="preserve">— </w:t>
      </w:r>
      <w:r>
        <w:rPr>
          <w:rFonts w:hint="eastAsia" w:ascii="宋体" w:hAnsi="宋体" w:cs="宋体"/>
          <w:kern w:val="0"/>
        </w:rPr>
        <w:t>实查项目在该表的应得满分值之和。</w:t>
      </w:r>
    </w:p>
    <w:p>
      <w:pPr>
        <w:pStyle w:val="7"/>
        <w:ind w:firstLine="482" w:firstLineChars="200"/>
        <w:rPr>
          <w:rFonts w:hAnsi="宋体" w:cs="宋体"/>
          <w:szCs w:val="24"/>
        </w:rPr>
      </w:pPr>
      <w:r>
        <w:rPr>
          <w:rFonts w:hint="eastAsia" w:hAnsi="宋体" w:cs="宋体"/>
          <w:b/>
          <w:bCs w:val="0"/>
          <w:szCs w:val="24"/>
        </w:rPr>
        <w:t>4</w:t>
      </w:r>
      <w:r>
        <w:rPr>
          <w:rFonts w:hint="eastAsia" w:hAnsi="宋体" w:cs="宋体"/>
          <w:szCs w:val="24"/>
        </w:rPr>
        <w:t xml:space="preserve">  评价汇总表中各分项项目实得分值应按下式计算：</w:t>
      </w:r>
    </w:p>
    <w:p>
      <w:pPr>
        <w:pStyle w:val="7"/>
        <w:ind w:firstLine="480" w:firstLineChars="200"/>
        <w:rPr>
          <w:rFonts w:hAnsi="宋体" w:cs="宋体"/>
          <w:szCs w:val="24"/>
        </w:rPr>
      </w:pPr>
      <w:r>
        <w:rPr>
          <w:rFonts w:hint="eastAsia" w:hAnsi="宋体" w:cs="宋体"/>
          <w:kern w:val="0"/>
          <w:position w:val="-24"/>
          <w:szCs w:val="21"/>
        </w:rPr>
        <w:object>
          <v:shape id="_x0000_i1026" o:spt="75" type="#_x0000_t75" style="height:31.1pt;width:65.1pt;" o:ole="t" filled="f" o:preferrelative="t" stroked="f" coordsize="21600,21600">
            <v:path/>
            <v:fill on="f" focussize="0,0"/>
            <v:stroke on="f" joinstyle="miter"/>
            <v:imagedata r:id="rId22" o:title=""/>
            <o:lock v:ext="edit" aspectratio="t"/>
            <w10:wrap type="none"/>
            <w10:anchorlock/>
          </v:shape>
          <o:OLEObject Type="Embed" ProgID="Equation.3" ShapeID="_x0000_i1026" DrawAspect="Content" ObjectID="_1468075726" r:id="rId21">
            <o:LockedField>false</o:LockedField>
          </o:OLEObject>
        </w:object>
      </w:r>
    </w:p>
    <w:p>
      <w:pPr>
        <w:pStyle w:val="7"/>
        <w:ind w:firstLine="480" w:firstLineChars="200"/>
        <w:rPr>
          <w:rFonts w:hAnsi="宋体" w:cs="宋体"/>
          <w:szCs w:val="24"/>
        </w:rPr>
      </w:pPr>
      <w:r>
        <w:rPr>
          <w:rFonts w:hint="eastAsia" w:hAnsi="宋体" w:cs="宋体"/>
          <w:szCs w:val="24"/>
        </w:rPr>
        <w:t>式中：</w:t>
      </w:r>
      <w:r>
        <w:rPr>
          <w:rFonts w:hint="eastAsia" w:hAnsi="宋体" w:cs="宋体"/>
          <w:i/>
          <w:iCs/>
          <w:szCs w:val="24"/>
        </w:rPr>
        <w:t>A</w:t>
      </w:r>
      <w:r>
        <w:rPr>
          <w:rFonts w:hint="eastAsia" w:hAnsi="宋体" w:cs="宋体"/>
          <w:i/>
          <w:iCs/>
          <w:szCs w:val="24"/>
          <w:vertAlign w:val="subscript"/>
        </w:rPr>
        <w:t>2</w:t>
      </w:r>
      <w:r>
        <w:rPr>
          <w:rFonts w:hint="eastAsia" w:hAnsi="宋体" w:cs="宋体"/>
          <w:szCs w:val="24"/>
        </w:rPr>
        <w:t>—汇总表各分项项目实得分值；</w:t>
      </w:r>
    </w:p>
    <w:p>
      <w:pPr>
        <w:pStyle w:val="7"/>
        <w:ind w:firstLine="480" w:firstLineChars="200"/>
        <w:rPr>
          <w:rFonts w:hAnsi="宋体" w:cs="宋体"/>
          <w:szCs w:val="24"/>
        </w:rPr>
      </w:pPr>
      <w:r>
        <w:rPr>
          <w:rFonts w:hint="eastAsia" w:hAnsi="宋体" w:cs="宋体"/>
          <w:i/>
          <w:iCs/>
          <w:szCs w:val="24"/>
        </w:rPr>
        <w:t xml:space="preserve">D </w:t>
      </w:r>
      <w:r>
        <w:rPr>
          <w:rFonts w:hint="eastAsia" w:hAnsi="宋体" w:cs="宋体"/>
          <w:szCs w:val="24"/>
        </w:rPr>
        <w:t>—该项评价表实得分值；</w:t>
      </w:r>
    </w:p>
    <w:p>
      <w:pPr>
        <w:pStyle w:val="7"/>
        <w:ind w:firstLine="480" w:firstLineChars="200"/>
        <w:rPr>
          <w:rFonts w:hAnsi="宋体" w:cs="宋体"/>
          <w:szCs w:val="24"/>
        </w:rPr>
      </w:pPr>
      <w:r>
        <w:rPr>
          <w:rFonts w:hint="eastAsia" w:hAnsi="宋体" w:cs="宋体"/>
          <w:i/>
          <w:iCs/>
          <w:szCs w:val="24"/>
        </w:rPr>
        <w:t xml:space="preserve">E </w:t>
      </w:r>
      <w:r>
        <w:rPr>
          <w:rFonts w:hint="eastAsia" w:hAnsi="宋体" w:cs="宋体"/>
          <w:szCs w:val="24"/>
        </w:rPr>
        <w:t>—汇总表中该项应得满分值。</w:t>
      </w:r>
    </w:p>
    <w:p>
      <w:pPr>
        <w:spacing w:before="240" w:after="60"/>
        <w:jc w:val="center"/>
        <w:outlineLvl w:val="0"/>
        <w:rPr>
          <w:rFonts w:ascii="宋体" w:hAnsi="宋体" w:cs="宋体"/>
          <w:b/>
          <w:sz w:val="32"/>
          <w:szCs w:val="32"/>
        </w:rPr>
      </w:pPr>
      <w:bookmarkStart w:id="23" w:name="_Toc437346467"/>
      <w:r>
        <w:rPr>
          <w:rFonts w:hint="eastAsia" w:ascii="宋体" w:hAnsi="宋体" w:cs="宋体"/>
          <w:b/>
          <w:sz w:val="32"/>
          <w:szCs w:val="32"/>
        </w:rPr>
        <w:br w:type="page"/>
      </w:r>
      <w:r>
        <w:rPr>
          <w:rFonts w:hint="eastAsia" w:ascii="宋体" w:hAnsi="宋体" w:cs="宋体"/>
          <w:b/>
          <w:sz w:val="32"/>
          <w:szCs w:val="32"/>
        </w:rPr>
        <w:t>5  评价等级</w:t>
      </w:r>
      <w:bookmarkEnd w:id="23"/>
    </w:p>
    <w:p>
      <w:pPr>
        <w:pStyle w:val="7"/>
        <w:rPr>
          <w:rFonts w:hAnsi="宋体" w:cs="宋体"/>
          <w:szCs w:val="24"/>
        </w:rPr>
      </w:pPr>
      <w:r>
        <w:rPr>
          <w:rFonts w:hint="eastAsia" w:hAnsi="宋体" w:cs="宋体"/>
          <w:b/>
          <w:szCs w:val="24"/>
        </w:rPr>
        <w:t>5.0.1</w:t>
      </w:r>
      <w:r>
        <w:rPr>
          <w:rFonts w:hint="eastAsia" w:hAnsi="宋体" w:cs="宋体"/>
          <w:szCs w:val="24"/>
        </w:rPr>
        <w:t xml:space="preserve">  按建筑工程安全生产标准化工地评价汇总表的总得分和分项评价表的得分，对建筑工程安全生产标准化工地评价等级划分为优良、达标、不达标三个等级。</w:t>
      </w:r>
    </w:p>
    <w:p>
      <w:pPr>
        <w:pStyle w:val="7"/>
        <w:rPr>
          <w:rFonts w:hAnsi="宋体" w:cs="宋体"/>
          <w:szCs w:val="24"/>
        </w:rPr>
      </w:pPr>
      <w:r>
        <w:rPr>
          <w:rFonts w:hint="eastAsia" w:hAnsi="宋体" w:cs="宋体"/>
          <w:b/>
          <w:szCs w:val="24"/>
        </w:rPr>
        <w:t>5.0.2</w:t>
      </w:r>
      <w:r>
        <w:rPr>
          <w:rFonts w:hint="eastAsia" w:hAnsi="宋体" w:cs="宋体"/>
          <w:szCs w:val="24"/>
        </w:rPr>
        <w:t xml:space="preserve">  评价的等级划分应符合下列规定：</w:t>
      </w:r>
    </w:p>
    <w:p>
      <w:pPr>
        <w:pStyle w:val="7"/>
        <w:ind w:firstLine="482" w:firstLineChars="200"/>
        <w:rPr>
          <w:rFonts w:hAnsi="宋体" w:cs="宋体"/>
          <w:b/>
          <w:szCs w:val="24"/>
        </w:rPr>
      </w:pPr>
      <w:r>
        <w:rPr>
          <w:rFonts w:hint="eastAsia" w:hAnsi="宋体" w:cs="宋体"/>
          <w:b/>
          <w:bCs w:val="0"/>
          <w:szCs w:val="24"/>
        </w:rPr>
        <w:t>1  优良</w:t>
      </w:r>
    </w:p>
    <w:p>
      <w:pPr>
        <w:pStyle w:val="7"/>
        <w:ind w:firstLine="480" w:firstLineChars="200"/>
        <w:rPr>
          <w:rFonts w:hAnsi="宋体" w:cs="宋体"/>
          <w:b/>
          <w:szCs w:val="24"/>
        </w:rPr>
      </w:pPr>
      <w:r>
        <w:rPr>
          <w:rFonts w:hint="eastAsia" w:hAnsi="宋体" w:cs="宋体"/>
          <w:szCs w:val="24"/>
        </w:rPr>
        <w:t>分项评价表无低于80分的，汇总评价表得分值在90分及以上的；</w:t>
      </w:r>
    </w:p>
    <w:p>
      <w:pPr>
        <w:pStyle w:val="7"/>
        <w:ind w:firstLine="482" w:firstLineChars="200"/>
        <w:rPr>
          <w:rFonts w:hAnsi="宋体" w:cs="宋体"/>
          <w:b/>
          <w:bCs w:val="0"/>
          <w:szCs w:val="24"/>
        </w:rPr>
      </w:pPr>
      <w:r>
        <w:rPr>
          <w:rFonts w:hint="eastAsia" w:hAnsi="宋体" w:cs="宋体"/>
          <w:b/>
          <w:bCs w:val="0"/>
          <w:szCs w:val="24"/>
        </w:rPr>
        <w:t>2  达标</w:t>
      </w:r>
    </w:p>
    <w:p>
      <w:pPr>
        <w:pStyle w:val="7"/>
        <w:ind w:firstLine="480" w:firstLineChars="200"/>
        <w:rPr>
          <w:rFonts w:hAnsi="宋体" w:cs="宋体"/>
          <w:szCs w:val="24"/>
        </w:rPr>
      </w:pPr>
      <w:r>
        <w:rPr>
          <w:rFonts w:hint="eastAsia" w:hAnsi="宋体" w:cs="宋体"/>
          <w:szCs w:val="24"/>
        </w:rPr>
        <w:t>分项评价表无低于70分的，汇总评价表得分值在85分及以上的；</w:t>
      </w:r>
    </w:p>
    <w:p>
      <w:pPr>
        <w:pStyle w:val="7"/>
        <w:ind w:firstLine="482" w:firstLineChars="200"/>
        <w:rPr>
          <w:rFonts w:hAnsi="宋体" w:cs="宋体"/>
          <w:szCs w:val="24"/>
        </w:rPr>
      </w:pPr>
      <w:r>
        <w:rPr>
          <w:rFonts w:hint="eastAsia" w:hAnsi="宋体" w:cs="宋体"/>
          <w:b/>
          <w:bCs w:val="0"/>
          <w:szCs w:val="24"/>
        </w:rPr>
        <w:t>3  不达标（存在下列情况之一）</w:t>
      </w:r>
      <w:r>
        <w:rPr>
          <w:rFonts w:hint="eastAsia" w:hAnsi="宋体" w:cs="宋体"/>
          <w:szCs w:val="24"/>
        </w:rPr>
        <w:t>：</w:t>
      </w:r>
    </w:p>
    <w:p>
      <w:pPr>
        <w:pStyle w:val="7"/>
        <w:ind w:firstLine="480" w:firstLineChars="200"/>
        <w:rPr>
          <w:rFonts w:hAnsi="宋体" w:cs="宋体"/>
          <w:szCs w:val="24"/>
        </w:rPr>
      </w:pPr>
      <w:r>
        <w:rPr>
          <w:rFonts w:hint="eastAsia" w:hAnsi="宋体" w:cs="宋体"/>
          <w:szCs w:val="24"/>
        </w:rPr>
        <w:t>1)汇总评价表得分值不足85分的；</w:t>
      </w:r>
    </w:p>
    <w:p>
      <w:pPr>
        <w:pStyle w:val="7"/>
        <w:ind w:firstLine="480" w:firstLineChars="200"/>
        <w:rPr>
          <w:rFonts w:hAnsi="宋体" w:cs="宋体"/>
          <w:szCs w:val="24"/>
        </w:rPr>
      </w:pPr>
      <w:r>
        <w:rPr>
          <w:rFonts w:hint="eastAsia" w:hAnsi="宋体" w:cs="宋体"/>
          <w:szCs w:val="24"/>
        </w:rPr>
        <w:t>2)有一分项评价表得分低于70分（不含70分）；</w:t>
      </w:r>
    </w:p>
    <w:p>
      <w:pPr>
        <w:pStyle w:val="7"/>
        <w:ind w:firstLine="480" w:firstLineChars="200"/>
        <w:rPr>
          <w:rFonts w:hAnsi="宋体" w:cs="宋体"/>
          <w:szCs w:val="24"/>
        </w:rPr>
      </w:pPr>
      <w:r>
        <w:rPr>
          <w:rFonts w:hint="eastAsia" w:hAnsi="宋体" w:cs="宋体"/>
          <w:szCs w:val="24"/>
        </w:rPr>
        <w:t>3)有违反强制性规范的。</w:t>
      </w:r>
    </w:p>
    <w:p>
      <w:pPr>
        <w:pStyle w:val="7"/>
        <w:rPr>
          <w:rFonts w:hAnsi="宋体" w:cs="宋体"/>
          <w:szCs w:val="24"/>
        </w:rPr>
      </w:pPr>
    </w:p>
    <w:p>
      <w:pPr>
        <w:spacing w:line="480" w:lineRule="exact"/>
        <w:rPr>
          <w:rFonts w:ascii="宋体" w:hAnsi="宋体" w:cs="宋体"/>
          <w:b/>
        </w:rPr>
        <w:sectPr>
          <w:headerReference r:id="rId12" w:type="default"/>
          <w:footerReference r:id="rId13" w:type="default"/>
          <w:pgSz w:w="11906" w:h="16838"/>
          <w:pgMar w:top="1440" w:right="1646" w:bottom="1440" w:left="1800" w:header="851" w:footer="992" w:gutter="0"/>
          <w:cols w:space="720" w:num="1"/>
          <w:docGrid w:type="lines" w:linePitch="312" w:charSpace="0"/>
        </w:sectPr>
      </w:pPr>
    </w:p>
    <w:p>
      <w:pPr>
        <w:rPr>
          <w:rFonts w:ascii="宋体" w:hAnsi="宋体" w:cs="宋体"/>
          <w:b/>
          <w:bCs w:val="0"/>
          <w:kern w:val="0"/>
          <w:szCs w:val="21"/>
        </w:rPr>
      </w:pPr>
      <w:bookmarkStart w:id="24" w:name="_Toc437346468"/>
      <w:r>
        <w:rPr>
          <w:rFonts w:hint="eastAsia" w:ascii="宋体" w:hAnsi="宋体" w:cs="宋体"/>
          <w:b/>
          <w:bCs w:val="0"/>
          <w:kern w:val="0"/>
          <w:szCs w:val="21"/>
        </w:rPr>
        <w:t>附录A  建筑</w:t>
      </w:r>
      <w:r>
        <w:rPr>
          <w:rFonts w:hint="eastAsia" w:ascii="宋体" w:hAnsi="宋体" w:cs="宋体"/>
          <w:b/>
          <w:kern w:val="0"/>
          <w:szCs w:val="21"/>
        </w:rPr>
        <w:t>工程</w:t>
      </w:r>
      <w:r>
        <w:rPr>
          <w:rFonts w:hint="eastAsia" w:ascii="宋体" w:hAnsi="宋体" w:cs="宋体"/>
          <w:b/>
          <w:bCs w:val="0"/>
          <w:kern w:val="0"/>
          <w:szCs w:val="21"/>
        </w:rPr>
        <w:t>安全生产标准化工地评价汇总表</w:t>
      </w:r>
      <w:bookmarkEnd w:id="24"/>
    </w:p>
    <w:p>
      <w:pPr>
        <w:jc w:val="center"/>
        <w:rPr>
          <w:rFonts w:ascii="宋体" w:hAnsi="宋体" w:cs="宋体"/>
          <w:b/>
          <w:sz w:val="28"/>
          <w:szCs w:val="28"/>
        </w:rPr>
      </w:pPr>
      <w:r>
        <w:rPr>
          <w:rFonts w:hint="eastAsia" w:ascii="宋体" w:hAnsi="宋体" w:cs="宋体"/>
          <w:b/>
          <w:sz w:val="28"/>
          <w:szCs w:val="28"/>
        </w:rPr>
        <w:t>建筑工程安全生产标准化工地评价汇总表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833"/>
        <w:gridCol w:w="833"/>
        <w:gridCol w:w="704"/>
        <w:gridCol w:w="129"/>
        <w:gridCol w:w="834"/>
        <w:gridCol w:w="612"/>
        <w:gridCol w:w="222"/>
        <w:gridCol w:w="834"/>
        <w:gridCol w:w="518"/>
        <w:gridCol w:w="316"/>
        <w:gridCol w:w="811"/>
        <w:gridCol w:w="23"/>
        <w:gridCol w:w="166"/>
        <w:gridCol w:w="668"/>
        <w:gridCol w:w="522"/>
        <w:gridCol w:w="312"/>
        <w:gridCol w:w="834"/>
        <w:gridCol w:w="184"/>
        <w:gridCol w:w="650"/>
        <w:gridCol w:w="834"/>
        <w:gridCol w:w="834"/>
        <w:gridCol w:w="447"/>
        <w:gridCol w:w="1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noWrap/>
            <w:vAlign w:val="center"/>
          </w:tcPr>
          <w:p>
            <w:pPr>
              <w:jc w:val="center"/>
              <w:rPr>
                <w:rFonts w:ascii="仿宋_GB2312" w:eastAsia="仿宋_GB2312"/>
                <w:sz w:val="15"/>
                <w:szCs w:val="15"/>
              </w:rPr>
            </w:pPr>
            <w:r>
              <w:rPr>
                <w:rFonts w:hint="eastAsia" w:ascii="仿宋_GB2312" w:eastAsia="仿宋_GB2312"/>
                <w:sz w:val="15"/>
                <w:szCs w:val="15"/>
              </w:rPr>
              <w:t>工程</w:t>
            </w:r>
          </w:p>
          <w:p>
            <w:pPr>
              <w:jc w:val="center"/>
              <w:rPr>
                <w:rFonts w:ascii="仿宋_GB2312" w:eastAsia="仿宋_GB2312"/>
                <w:sz w:val="15"/>
                <w:szCs w:val="15"/>
              </w:rPr>
            </w:pPr>
            <w:r>
              <w:rPr>
                <w:rFonts w:hint="eastAsia" w:ascii="仿宋_GB2312" w:eastAsia="仿宋_GB2312"/>
                <w:sz w:val="15"/>
                <w:szCs w:val="15"/>
              </w:rPr>
              <w:t>名称</w:t>
            </w:r>
          </w:p>
        </w:tc>
        <w:tc>
          <w:tcPr>
            <w:tcW w:w="4167" w:type="dxa"/>
            <w:gridSpan w:val="7"/>
            <w:noWrap/>
            <w:vAlign w:val="center"/>
          </w:tcPr>
          <w:p>
            <w:pPr>
              <w:jc w:val="center"/>
              <w:rPr>
                <w:rFonts w:ascii="仿宋_GB2312" w:eastAsia="仿宋_GB2312"/>
                <w:sz w:val="15"/>
                <w:szCs w:val="15"/>
              </w:rPr>
            </w:pPr>
          </w:p>
        </w:tc>
        <w:tc>
          <w:tcPr>
            <w:tcW w:w="834" w:type="dxa"/>
            <w:noWrap/>
            <w:vAlign w:val="center"/>
          </w:tcPr>
          <w:p>
            <w:pPr>
              <w:jc w:val="center"/>
              <w:rPr>
                <w:rFonts w:ascii="仿宋_GB2312" w:eastAsia="仿宋_GB2312"/>
                <w:sz w:val="15"/>
                <w:szCs w:val="15"/>
              </w:rPr>
            </w:pPr>
            <w:r>
              <w:rPr>
                <w:rFonts w:hint="eastAsia" w:ascii="仿宋_GB2312" w:eastAsia="仿宋_GB2312"/>
                <w:sz w:val="15"/>
                <w:szCs w:val="15"/>
              </w:rPr>
              <w:t>工程</w:t>
            </w:r>
          </w:p>
          <w:p>
            <w:pPr>
              <w:jc w:val="center"/>
              <w:rPr>
                <w:rFonts w:ascii="仿宋_GB2312" w:eastAsia="仿宋_GB2312"/>
                <w:sz w:val="15"/>
                <w:szCs w:val="15"/>
              </w:rPr>
            </w:pPr>
            <w:r>
              <w:rPr>
                <w:rFonts w:hint="eastAsia" w:ascii="仿宋_GB2312" w:eastAsia="仿宋_GB2312"/>
                <w:sz w:val="15"/>
                <w:szCs w:val="15"/>
              </w:rPr>
              <w:t>地址</w:t>
            </w:r>
          </w:p>
        </w:tc>
        <w:tc>
          <w:tcPr>
            <w:tcW w:w="4170" w:type="dxa"/>
            <w:gridSpan w:val="9"/>
            <w:noWrap/>
            <w:vAlign w:val="center"/>
          </w:tcPr>
          <w:p>
            <w:pPr>
              <w:jc w:val="center"/>
              <w:rPr>
                <w:rFonts w:ascii="仿宋_GB2312" w:eastAsia="仿宋_GB2312"/>
                <w:sz w:val="15"/>
                <w:szCs w:val="15"/>
              </w:rPr>
            </w:pPr>
          </w:p>
        </w:tc>
        <w:tc>
          <w:tcPr>
            <w:tcW w:w="834" w:type="dxa"/>
            <w:gridSpan w:val="2"/>
            <w:noWrap/>
            <w:vAlign w:val="center"/>
          </w:tcPr>
          <w:p>
            <w:pPr>
              <w:jc w:val="center"/>
              <w:rPr>
                <w:rFonts w:ascii="仿宋_GB2312" w:eastAsia="仿宋_GB2312"/>
                <w:sz w:val="15"/>
                <w:szCs w:val="15"/>
              </w:rPr>
            </w:pPr>
            <w:r>
              <w:rPr>
                <w:rFonts w:hint="eastAsia" w:ascii="仿宋_GB2312" w:eastAsia="仿宋_GB2312"/>
                <w:sz w:val="15"/>
                <w:szCs w:val="15"/>
              </w:rPr>
              <w:t>施工许可证 编 号</w:t>
            </w:r>
          </w:p>
        </w:tc>
        <w:tc>
          <w:tcPr>
            <w:tcW w:w="3336" w:type="dxa"/>
            <w:gridSpan w:val="4"/>
            <w:noWrap/>
            <w:vAlign w:val="center"/>
          </w:tcPr>
          <w:p>
            <w:pPr>
              <w:jc w:val="center"/>
              <w:rPr>
                <w:rFonts w:ascii="仿宋_GB2312"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noWrap/>
            <w:vAlign w:val="center"/>
          </w:tcPr>
          <w:p>
            <w:pPr>
              <w:jc w:val="center"/>
              <w:rPr>
                <w:rFonts w:ascii="仿宋_GB2312" w:eastAsia="仿宋_GB2312"/>
                <w:sz w:val="15"/>
                <w:szCs w:val="15"/>
              </w:rPr>
            </w:pPr>
            <w:r>
              <w:rPr>
                <w:rFonts w:hint="eastAsia" w:ascii="仿宋_GB2312" w:eastAsia="仿宋_GB2312"/>
                <w:sz w:val="15"/>
                <w:szCs w:val="15"/>
              </w:rPr>
              <w:t>结构</w:t>
            </w:r>
          </w:p>
          <w:p>
            <w:pPr>
              <w:jc w:val="center"/>
              <w:rPr>
                <w:rFonts w:ascii="仿宋_GB2312" w:eastAsia="仿宋_GB2312"/>
                <w:sz w:val="15"/>
                <w:szCs w:val="15"/>
              </w:rPr>
            </w:pPr>
            <w:r>
              <w:rPr>
                <w:rFonts w:hint="eastAsia" w:ascii="仿宋_GB2312" w:eastAsia="仿宋_GB2312"/>
                <w:sz w:val="15"/>
                <w:szCs w:val="15"/>
              </w:rPr>
              <w:t>类型</w:t>
            </w:r>
          </w:p>
        </w:tc>
        <w:tc>
          <w:tcPr>
            <w:tcW w:w="1666" w:type="dxa"/>
            <w:gridSpan w:val="2"/>
            <w:noWrap/>
            <w:vAlign w:val="center"/>
          </w:tcPr>
          <w:p>
            <w:pPr>
              <w:jc w:val="center"/>
              <w:rPr>
                <w:rFonts w:ascii="仿宋_GB2312" w:eastAsia="仿宋_GB2312"/>
                <w:sz w:val="15"/>
                <w:szCs w:val="15"/>
              </w:rPr>
            </w:pPr>
          </w:p>
        </w:tc>
        <w:tc>
          <w:tcPr>
            <w:tcW w:w="833" w:type="dxa"/>
            <w:gridSpan w:val="2"/>
            <w:noWrap/>
            <w:vAlign w:val="center"/>
          </w:tcPr>
          <w:p>
            <w:pPr>
              <w:jc w:val="center"/>
              <w:rPr>
                <w:rFonts w:ascii="仿宋_GB2312" w:eastAsia="仿宋_GB2312"/>
                <w:sz w:val="15"/>
                <w:szCs w:val="15"/>
              </w:rPr>
            </w:pPr>
            <w:r>
              <w:rPr>
                <w:rFonts w:hint="eastAsia" w:ascii="仿宋_GB2312" w:eastAsia="仿宋_GB2312"/>
                <w:sz w:val="15"/>
                <w:szCs w:val="15"/>
              </w:rPr>
              <w:t>层数</w:t>
            </w:r>
          </w:p>
        </w:tc>
        <w:tc>
          <w:tcPr>
            <w:tcW w:w="1668" w:type="dxa"/>
            <w:gridSpan w:val="3"/>
            <w:noWrap/>
            <w:vAlign w:val="center"/>
          </w:tcPr>
          <w:p>
            <w:pPr>
              <w:jc w:val="center"/>
              <w:rPr>
                <w:rFonts w:ascii="仿宋_GB2312" w:eastAsia="仿宋_GB2312"/>
                <w:sz w:val="15"/>
                <w:szCs w:val="15"/>
              </w:rPr>
            </w:pPr>
          </w:p>
        </w:tc>
        <w:tc>
          <w:tcPr>
            <w:tcW w:w="834" w:type="dxa"/>
            <w:noWrap/>
            <w:vAlign w:val="center"/>
          </w:tcPr>
          <w:p>
            <w:pPr>
              <w:jc w:val="center"/>
              <w:rPr>
                <w:rFonts w:ascii="仿宋_GB2312" w:eastAsia="仿宋_GB2312"/>
                <w:sz w:val="15"/>
                <w:szCs w:val="15"/>
              </w:rPr>
            </w:pPr>
            <w:r>
              <w:rPr>
                <w:rFonts w:hint="eastAsia" w:ascii="仿宋_GB2312" w:eastAsia="仿宋_GB2312"/>
                <w:sz w:val="15"/>
                <w:szCs w:val="15"/>
              </w:rPr>
              <w:t>檐口</w:t>
            </w:r>
          </w:p>
          <w:p>
            <w:pPr>
              <w:jc w:val="center"/>
              <w:rPr>
                <w:rFonts w:ascii="仿宋_GB2312" w:eastAsia="仿宋_GB2312"/>
                <w:sz w:val="15"/>
                <w:szCs w:val="15"/>
              </w:rPr>
            </w:pPr>
            <w:r>
              <w:rPr>
                <w:rFonts w:hint="eastAsia" w:ascii="仿宋_GB2312" w:eastAsia="仿宋_GB2312"/>
                <w:sz w:val="15"/>
                <w:szCs w:val="15"/>
              </w:rPr>
              <w:t>高度</w:t>
            </w:r>
          </w:p>
        </w:tc>
        <w:tc>
          <w:tcPr>
            <w:tcW w:w="1834" w:type="dxa"/>
            <w:gridSpan w:val="5"/>
            <w:noWrap/>
            <w:vAlign w:val="center"/>
          </w:tcPr>
          <w:p>
            <w:pPr>
              <w:jc w:val="center"/>
              <w:rPr>
                <w:rFonts w:ascii="仿宋_GB2312" w:eastAsia="仿宋_GB2312"/>
                <w:sz w:val="15"/>
                <w:szCs w:val="15"/>
              </w:rPr>
            </w:pPr>
          </w:p>
        </w:tc>
        <w:tc>
          <w:tcPr>
            <w:tcW w:w="668" w:type="dxa"/>
            <w:noWrap/>
            <w:vAlign w:val="center"/>
          </w:tcPr>
          <w:p>
            <w:pPr>
              <w:jc w:val="center"/>
              <w:rPr>
                <w:rFonts w:ascii="仿宋_GB2312" w:eastAsia="仿宋_GB2312"/>
                <w:sz w:val="15"/>
                <w:szCs w:val="15"/>
              </w:rPr>
            </w:pPr>
            <w:r>
              <w:rPr>
                <w:rFonts w:hint="eastAsia" w:ascii="仿宋_GB2312" w:eastAsia="仿宋_GB2312"/>
                <w:sz w:val="15"/>
                <w:szCs w:val="15"/>
              </w:rPr>
              <w:t>建筑</w:t>
            </w:r>
          </w:p>
          <w:p>
            <w:pPr>
              <w:jc w:val="center"/>
              <w:rPr>
                <w:rFonts w:ascii="仿宋_GB2312" w:eastAsia="仿宋_GB2312"/>
                <w:sz w:val="15"/>
                <w:szCs w:val="15"/>
              </w:rPr>
            </w:pPr>
            <w:r>
              <w:rPr>
                <w:rFonts w:hint="eastAsia" w:ascii="仿宋_GB2312" w:eastAsia="仿宋_GB2312"/>
                <w:sz w:val="15"/>
                <w:szCs w:val="15"/>
              </w:rPr>
              <w:t>面积</w:t>
            </w:r>
          </w:p>
        </w:tc>
        <w:tc>
          <w:tcPr>
            <w:tcW w:w="1668" w:type="dxa"/>
            <w:gridSpan w:val="3"/>
            <w:noWrap/>
            <w:vAlign w:val="center"/>
          </w:tcPr>
          <w:p>
            <w:pPr>
              <w:jc w:val="center"/>
              <w:rPr>
                <w:rFonts w:ascii="仿宋_GB2312" w:eastAsia="仿宋_GB2312"/>
                <w:sz w:val="15"/>
                <w:szCs w:val="15"/>
              </w:rPr>
            </w:pPr>
          </w:p>
        </w:tc>
        <w:tc>
          <w:tcPr>
            <w:tcW w:w="834" w:type="dxa"/>
            <w:gridSpan w:val="2"/>
            <w:noWrap/>
            <w:vAlign w:val="center"/>
          </w:tcPr>
          <w:p>
            <w:pPr>
              <w:jc w:val="center"/>
              <w:rPr>
                <w:rFonts w:ascii="仿宋_GB2312" w:eastAsia="仿宋_GB2312"/>
                <w:sz w:val="15"/>
                <w:szCs w:val="15"/>
              </w:rPr>
            </w:pPr>
            <w:r>
              <w:rPr>
                <w:rFonts w:hint="eastAsia" w:ascii="仿宋_GB2312" w:eastAsia="仿宋_GB2312"/>
                <w:sz w:val="15"/>
                <w:szCs w:val="15"/>
              </w:rPr>
              <w:t>合同</w:t>
            </w:r>
          </w:p>
          <w:p>
            <w:pPr>
              <w:jc w:val="center"/>
              <w:rPr>
                <w:rFonts w:ascii="仿宋_GB2312" w:eastAsia="仿宋_GB2312"/>
                <w:sz w:val="15"/>
                <w:szCs w:val="15"/>
              </w:rPr>
            </w:pPr>
            <w:r>
              <w:rPr>
                <w:rFonts w:hint="eastAsia" w:ascii="仿宋_GB2312" w:eastAsia="仿宋_GB2312"/>
                <w:sz w:val="15"/>
                <w:szCs w:val="15"/>
              </w:rPr>
              <w:t>造价</w:t>
            </w:r>
          </w:p>
        </w:tc>
        <w:tc>
          <w:tcPr>
            <w:tcW w:w="3336" w:type="dxa"/>
            <w:gridSpan w:val="4"/>
            <w:noWrap/>
            <w:vAlign w:val="center"/>
          </w:tcPr>
          <w:p>
            <w:pPr>
              <w:jc w:val="center"/>
              <w:rPr>
                <w:rFonts w:ascii="仿宋_GB2312"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noWrap/>
            <w:vAlign w:val="center"/>
          </w:tcPr>
          <w:p>
            <w:pPr>
              <w:jc w:val="center"/>
              <w:rPr>
                <w:rFonts w:ascii="仿宋_GB2312" w:eastAsia="仿宋_GB2312"/>
                <w:sz w:val="15"/>
                <w:szCs w:val="15"/>
              </w:rPr>
            </w:pPr>
            <w:r>
              <w:rPr>
                <w:rFonts w:hint="eastAsia" w:ascii="仿宋_GB2312" w:eastAsia="仿宋_GB2312"/>
                <w:sz w:val="15"/>
                <w:szCs w:val="15"/>
              </w:rPr>
              <w:t>合同开</w:t>
            </w:r>
          </w:p>
          <w:p>
            <w:pPr>
              <w:jc w:val="center"/>
              <w:rPr>
                <w:rFonts w:ascii="仿宋_GB2312" w:eastAsia="仿宋_GB2312"/>
                <w:sz w:val="15"/>
                <w:szCs w:val="15"/>
              </w:rPr>
            </w:pPr>
            <w:r>
              <w:rPr>
                <w:rFonts w:hint="eastAsia" w:ascii="仿宋_GB2312" w:eastAsia="仿宋_GB2312"/>
                <w:sz w:val="15"/>
                <w:szCs w:val="15"/>
              </w:rPr>
              <w:t>工日期</w:t>
            </w:r>
          </w:p>
        </w:tc>
        <w:tc>
          <w:tcPr>
            <w:tcW w:w="2499" w:type="dxa"/>
            <w:gridSpan w:val="4"/>
            <w:noWrap/>
            <w:vAlign w:val="center"/>
          </w:tcPr>
          <w:p>
            <w:pPr>
              <w:jc w:val="center"/>
              <w:rPr>
                <w:rFonts w:ascii="仿宋_GB2312" w:eastAsia="仿宋_GB2312"/>
                <w:sz w:val="15"/>
                <w:szCs w:val="15"/>
              </w:rPr>
            </w:pPr>
          </w:p>
        </w:tc>
        <w:tc>
          <w:tcPr>
            <w:tcW w:w="834" w:type="dxa"/>
            <w:noWrap/>
            <w:vAlign w:val="center"/>
          </w:tcPr>
          <w:p>
            <w:pPr>
              <w:jc w:val="center"/>
              <w:rPr>
                <w:rFonts w:ascii="仿宋_GB2312" w:eastAsia="仿宋_GB2312"/>
                <w:sz w:val="15"/>
                <w:szCs w:val="15"/>
              </w:rPr>
            </w:pPr>
            <w:r>
              <w:rPr>
                <w:rFonts w:hint="eastAsia" w:ascii="仿宋_GB2312" w:eastAsia="仿宋_GB2312"/>
                <w:sz w:val="15"/>
                <w:szCs w:val="15"/>
              </w:rPr>
              <w:t>实际开</w:t>
            </w:r>
          </w:p>
          <w:p>
            <w:pPr>
              <w:jc w:val="center"/>
              <w:rPr>
                <w:rFonts w:ascii="仿宋_GB2312" w:eastAsia="仿宋_GB2312"/>
                <w:sz w:val="15"/>
                <w:szCs w:val="15"/>
              </w:rPr>
            </w:pPr>
            <w:r>
              <w:rPr>
                <w:rFonts w:hint="eastAsia" w:ascii="仿宋_GB2312" w:eastAsia="仿宋_GB2312"/>
                <w:sz w:val="15"/>
                <w:szCs w:val="15"/>
              </w:rPr>
              <w:t>工日期</w:t>
            </w:r>
          </w:p>
        </w:tc>
        <w:tc>
          <w:tcPr>
            <w:tcW w:w="2502" w:type="dxa"/>
            <w:gridSpan w:val="5"/>
            <w:noWrap/>
            <w:vAlign w:val="center"/>
          </w:tcPr>
          <w:p>
            <w:pPr>
              <w:jc w:val="center"/>
              <w:rPr>
                <w:rFonts w:ascii="仿宋_GB2312" w:eastAsia="仿宋_GB2312"/>
                <w:sz w:val="15"/>
                <w:szCs w:val="15"/>
              </w:rPr>
            </w:pPr>
          </w:p>
        </w:tc>
        <w:tc>
          <w:tcPr>
            <w:tcW w:w="1000" w:type="dxa"/>
            <w:gridSpan w:val="3"/>
            <w:noWrap/>
            <w:vAlign w:val="center"/>
          </w:tcPr>
          <w:p>
            <w:pPr>
              <w:jc w:val="center"/>
              <w:rPr>
                <w:rFonts w:ascii="仿宋_GB2312" w:eastAsia="仿宋_GB2312"/>
                <w:sz w:val="15"/>
                <w:szCs w:val="15"/>
              </w:rPr>
            </w:pPr>
            <w:r>
              <w:rPr>
                <w:rFonts w:hint="eastAsia" w:ascii="仿宋_GB2312" w:eastAsia="仿宋_GB2312"/>
                <w:sz w:val="15"/>
                <w:szCs w:val="15"/>
              </w:rPr>
              <w:t>合同竣</w:t>
            </w:r>
          </w:p>
          <w:p>
            <w:pPr>
              <w:jc w:val="center"/>
              <w:rPr>
                <w:rFonts w:ascii="仿宋_GB2312" w:eastAsia="仿宋_GB2312"/>
                <w:sz w:val="15"/>
                <w:szCs w:val="15"/>
              </w:rPr>
            </w:pPr>
            <w:r>
              <w:rPr>
                <w:rFonts w:hint="eastAsia" w:ascii="仿宋_GB2312" w:eastAsia="仿宋_GB2312"/>
                <w:sz w:val="15"/>
                <w:szCs w:val="15"/>
              </w:rPr>
              <w:t>工日期</w:t>
            </w:r>
          </w:p>
        </w:tc>
        <w:tc>
          <w:tcPr>
            <w:tcW w:w="2336" w:type="dxa"/>
            <w:gridSpan w:val="4"/>
            <w:noWrap/>
            <w:vAlign w:val="center"/>
          </w:tcPr>
          <w:p>
            <w:pPr>
              <w:jc w:val="center"/>
              <w:rPr>
                <w:rFonts w:ascii="仿宋_GB2312" w:eastAsia="仿宋_GB2312"/>
                <w:sz w:val="15"/>
                <w:szCs w:val="15"/>
              </w:rPr>
            </w:pPr>
          </w:p>
        </w:tc>
        <w:tc>
          <w:tcPr>
            <w:tcW w:w="834" w:type="dxa"/>
            <w:gridSpan w:val="2"/>
            <w:noWrap/>
            <w:vAlign w:val="center"/>
          </w:tcPr>
          <w:p>
            <w:pPr>
              <w:jc w:val="center"/>
              <w:rPr>
                <w:rFonts w:ascii="仿宋_GB2312" w:eastAsia="仿宋_GB2312"/>
                <w:sz w:val="15"/>
                <w:szCs w:val="15"/>
              </w:rPr>
            </w:pPr>
            <w:r>
              <w:rPr>
                <w:rFonts w:hint="eastAsia" w:ascii="仿宋_GB2312" w:eastAsia="仿宋_GB2312"/>
                <w:sz w:val="15"/>
                <w:szCs w:val="15"/>
              </w:rPr>
              <w:t>形象</w:t>
            </w:r>
          </w:p>
          <w:p>
            <w:pPr>
              <w:jc w:val="center"/>
              <w:rPr>
                <w:rFonts w:ascii="仿宋_GB2312" w:eastAsia="仿宋_GB2312"/>
                <w:sz w:val="15"/>
                <w:szCs w:val="15"/>
              </w:rPr>
            </w:pPr>
            <w:r>
              <w:rPr>
                <w:rFonts w:hint="eastAsia" w:ascii="仿宋_GB2312" w:eastAsia="仿宋_GB2312"/>
                <w:sz w:val="15"/>
                <w:szCs w:val="15"/>
              </w:rPr>
              <w:t>进度</w:t>
            </w:r>
          </w:p>
        </w:tc>
        <w:tc>
          <w:tcPr>
            <w:tcW w:w="3336" w:type="dxa"/>
            <w:gridSpan w:val="4"/>
            <w:noWrap/>
            <w:vAlign w:val="center"/>
          </w:tcPr>
          <w:p>
            <w:pPr>
              <w:jc w:val="center"/>
              <w:rPr>
                <w:rFonts w:ascii="仿宋_GB2312"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noWrap/>
            <w:vAlign w:val="center"/>
          </w:tcPr>
          <w:p>
            <w:pPr>
              <w:jc w:val="center"/>
              <w:rPr>
                <w:rFonts w:ascii="仿宋_GB2312" w:eastAsia="仿宋_GB2312"/>
                <w:sz w:val="15"/>
                <w:szCs w:val="15"/>
              </w:rPr>
            </w:pPr>
            <w:r>
              <w:rPr>
                <w:rFonts w:hint="eastAsia" w:ascii="仿宋_GB2312" w:eastAsia="仿宋_GB2312"/>
                <w:sz w:val="15"/>
                <w:szCs w:val="15"/>
              </w:rPr>
              <w:t>项目</w:t>
            </w:r>
          </w:p>
          <w:p>
            <w:pPr>
              <w:jc w:val="center"/>
              <w:rPr>
                <w:rFonts w:ascii="仿宋_GB2312" w:eastAsia="仿宋_GB2312"/>
                <w:sz w:val="15"/>
                <w:szCs w:val="15"/>
              </w:rPr>
            </w:pPr>
            <w:r>
              <w:rPr>
                <w:rFonts w:hint="eastAsia" w:ascii="仿宋_GB2312" w:eastAsia="仿宋_GB2312"/>
                <w:sz w:val="15"/>
                <w:szCs w:val="15"/>
              </w:rPr>
              <w:t>经理</w:t>
            </w:r>
          </w:p>
        </w:tc>
        <w:tc>
          <w:tcPr>
            <w:tcW w:w="2499" w:type="dxa"/>
            <w:gridSpan w:val="4"/>
            <w:noWrap/>
            <w:vAlign w:val="center"/>
          </w:tcPr>
          <w:p>
            <w:pPr>
              <w:jc w:val="center"/>
              <w:rPr>
                <w:rFonts w:ascii="仿宋_GB2312" w:eastAsia="仿宋_GB2312"/>
                <w:sz w:val="15"/>
                <w:szCs w:val="15"/>
              </w:rPr>
            </w:pPr>
          </w:p>
        </w:tc>
        <w:tc>
          <w:tcPr>
            <w:tcW w:w="834" w:type="dxa"/>
            <w:noWrap/>
            <w:vAlign w:val="center"/>
          </w:tcPr>
          <w:p>
            <w:pPr>
              <w:jc w:val="center"/>
              <w:rPr>
                <w:rFonts w:ascii="仿宋_GB2312" w:eastAsia="仿宋_GB2312"/>
                <w:sz w:val="15"/>
                <w:szCs w:val="15"/>
              </w:rPr>
            </w:pPr>
            <w:r>
              <w:rPr>
                <w:rFonts w:hint="eastAsia" w:ascii="仿宋_GB2312" w:eastAsia="仿宋_GB2312"/>
                <w:sz w:val="15"/>
                <w:szCs w:val="15"/>
              </w:rPr>
              <w:t>执业资格证书编号</w:t>
            </w:r>
          </w:p>
        </w:tc>
        <w:tc>
          <w:tcPr>
            <w:tcW w:w="2502" w:type="dxa"/>
            <w:gridSpan w:val="5"/>
            <w:noWrap/>
            <w:vAlign w:val="center"/>
          </w:tcPr>
          <w:p>
            <w:pPr>
              <w:jc w:val="center"/>
              <w:rPr>
                <w:rFonts w:ascii="仿宋_GB2312" w:eastAsia="仿宋_GB2312"/>
                <w:sz w:val="15"/>
                <w:szCs w:val="15"/>
              </w:rPr>
            </w:pPr>
          </w:p>
        </w:tc>
        <w:tc>
          <w:tcPr>
            <w:tcW w:w="1000" w:type="dxa"/>
            <w:gridSpan w:val="3"/>
            <w:noWrap/>
            <w:vAlign w:val="center"/>
          </w:tcPr>
          <w:p>
            <w:pPr>
              <w:jc w:val="center"/>
              <w:rPr>
                <w:rFonts w:ascii="仿宋_GB2312" w:eastAsia="仿宋_GB2312"/>
                <w:sz w:val="15"/>
                <w:szCs w:val="15"/>
              </w:rPr>
            </w:pPr>
            <w:r>
              <w:rPr>
                <w:rFonts w:hint="eastAsia" w:ascii="仿宋_GB2312" w:eastAsia="仿宋_GB2312"/>
                <w:sz w:val="15"/>
                <w:szCs w:val="15"/>
              </w:rPr>
              <w:t>安全生产考核证书编号</w:t>
            </w:r>
          </w:p>
        </w:tc>
        <w:tc>
          <w:tcPr>
            <w:tcW w:w="3170" w:type="dxa"/>
            <w:gridSpan w:val="6"/>
            <w:noWrap/>
            <w:vAlign w:val="center"/>
          </w:tcPr>
          <w:p>
            <w:pPr>
              <w:jc w:val="center"/>
              <w:rPr>
                <w:rFonts w:ascii="仿宋_GB2312" w:eastAsia="仿宋_GB2312"/>
                <w:sz w:val="15"/>
                <w:szCs w:val="15"/>
              </w:rPr>
            </w:pPr>
          </w:p>
        </w:tc>
        <w:tc>
          <w:tcPr>
            <w:tcW w:w="834" w:type="dxa"/>
            <w:noWrap/>
            <w:vAlign w:val="center"/>
          </w:tcPr>
          <w:p>
            <w:pPr>
              <w:jc w:val="center"/>
              <w:rPr>
                <w:rFonts w:ascii="仿宋_GB2312" w:eastAsia="仿宋_GB2312"/>
                <w:sz w:val="15"/>
                <w:szCs w:val="15"/>
              </w:rPr>
            </w:pPr>
            <w:r>
              <w:rPr>
                <w:rFonts w:hint="eastAsia" w:ascii="仿宋_GB2312" w:eastAsia="仿宋_GB2312"/>
                <w:sz w:val="15"/>
                <w:szCs w:val="15"/>
              </w:rPr>
              <w:t>手机</w:t>
            </w:r>
          </w:p>
          <w:p>
            <w:pPr>
              <w:jc w:val="center"/>
              <w:rPr>
                <w:rFonts w:ascii="仿宋_GB2312" w:eastAsia="仿宋_GB2312"/>
                <w:sz w:val="15"/>
                <w:szCs w:val="15"/>
              </w:rPr>
            </w:pPr>
            <w:r>
              <w:rPr>
                <w:rFonts w:hint="eastAsia" w:ascii="仿宋_GB2312" w:eastAsia="仿宋_GB2312"/>
                <w:sz w:val="15"/>
                <w:szCs w:val="15"/>
              </w:rPr>
              <w:t>号码</w:t>
            </w:r>
          </w:p>
        </w:tc>
        <w:tc>
          <w:tcPr>
            <w:tcW w:w="2502" w:type="dxa"/>
            <w:gridSpan w:val="3"/>
            <w:noWrap/>
            <w:vAlign w:val="center"/>
          </w:tcPr>
          <w:p>
            <w:pPr>
              <w:jc w:val="center"/>
              <w:rPr>
                <w:rFonts w:ascii="仿宋_GB2312"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noWrap/>
            <w:vAlign w:val="center"/>
          </w:tcPr>
          <w:p>
            <w:pPr>
              <w:jc w:val="center"/>
              <w:rPr>
                <w:rFonts w:ascii="仿宋_GB2312" w:eastAsia="仿宋_GB2312"/>
                <w:sz w:val="15"/>
                <w:szCs w:val="15"/>
              </w:rPr>
            </w:pPr>
            <w:r>
              <w:rPr>
                <w:rFonts w:hint="eastAsia" w:ascii="仿宋_GB2312" w:eastAsia="仿宋_GB2312"/>
                <w:sz w:val="15"/>
                <w:szCs w:val="15"/>
              </w:rPr>
              <w:t>施工单位</w:t>
            </w:r>
          </w:p>
        </w:tc>
        <w:tc>
          <w:tcPr>
            <w:tcW w:w="4167" w:type="dxa"/>
            <w:gridSpan w:val="7"/>
            <w:noWrap/>
            <w:vAlign w:val="center"/>
          </w:tcPr>
          <w:p>
            <w:pPr>
              <w:rPr>
                <w:rFonts w:ascii="仿宋_GB2312" w:eastAsia="仿宋_GB2312"/>
                <w:sz w:val="15"/>
                <w:szCs w:val="15"/>
              </w:rPr>
            </w:pPr>
          </w:p>
        </w:tc>
        <w:tc>
          <w:tcPr>
            <w:tcW w:w="834" w:type="dxa"/>
            <w:noWrap/>
            <w:vAlign w:val="center"/>
          </w:tcPr>
          <w:p>
            <w:pPr>
              <w:jc w:val="center"/>
              <w:rPr>
                <w:rFonts w:ascii="仿宋_GB2312" w:eastAsia="仿宋_GB2312"/>
                <w:sz w:val="15"/>
                <w:szCs w:val="15"/>
              </w:rPr>
            </w:pPr>
            <w:r>
              <w:rPr>
                <w:rFonts w:hint="eastAsia" w:ascii="仿宋_GB2312" w:eastAsia="仿宋_GB2312"/>
                <w:sz w:val="15"/>
                <w:szCs w:val="15"/>
              </w:rPr>
              <w:t>资质类型等级</w:t>
            </w:r>
          </w:p>
        </w:tc>
        <w:tc>
          <w:tcPr>
            <w:tcW w:w="3336" w:type="dxa"/>
            <w:gridSpan w:val="8"/>
            <w:noWrap/>
            <w:vAlign w:val="center"/>
          </w:tcPr>
          <w:p>
            <w:pPr>
              <w:jc w:val="center"/>
              <w:rPr>
                <w:rFonts w:ascii="仿宋_GB2312" w:eastAsia="仿宋_GB2312"/>
                <w:sz w:val="15"/>
                <w:szCs w:val="15"/>
              </w:rPr>
            </w:pPr>
          </w:p>
        </w:tc>
        <w:tc>
          <w:tcPr>
            <w:tcW w:w="1018" w:type="dxa"/>
            <w:gridSpan w:val="2"/>
            <w:noWrap/>
            <w:vAlign w:val="center"/>
          </w:tcPr>
          <w:p>
            <w:pPr>
              <w:jc w:val="center"/>
              <w:rPr>
                <w:rFonts w:ascii="仿宋_GB2312" w:eastAsia="仿宋_GB2312"/>
                <w:sz w:val="15"/>
                <w:szCs w:val="15"/>
              </w:rPr>
            </w:pPr>
            <w:r>
              <w:rPr>
                <w:rFonts w:hint="eastAsia" w:ascii="仿宋_GB2312" w:eastAsia="仿宋_GB2312"/>
                <w:sz w:val="15"/>
                <w:szCs w:val="15"/>
              </w:rPr>
              <w:t>安全生产许可证编号</w:t>
            </w:r>
          </w:p>
        </w:tc>
        <w:tc>
          <w:tcPr>
            <w:tcW w:w="3986" w:type="dxa"/>
            <w:gridSpan w:val="5"/>
            <w:noWrap/>
            <w:vAlign w:val="center"/>
          </w:tcPr>
          <w:p>
            <w:pPr>
              <w:jc w:val="center"/>
              <w:rPr>
                <w:rFonts w:ascii="仿宋_GB2312"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noWrap/>
            <w:vAlign w:val="center"/>
          </w:tcPr>
          <w:p>
            <w:pPr>
              <w:jc w:val="center"/>
              <w:rPr>
                <w:rFonts w:ascii="仿宋_GB2312" w:eastAsia="仿宋_GB2312"/>
                <w:sz w:val="15"/>
                <w:szCs w:val="15"/>
              </w:rPr>
            </w:pPr>
            <w:r>
              <w:rPr>
                <w:rFonts w:hint="eastAsia" w:ascii="仿宋_GB2312" w:eastAsia="仿宋_GB2312"/>
                <w:sz w:val="15"/>
                <w:szCs w:val="15"/>
              </w:rPr>
              <w:t>监理</w:t>
            </w:r>
          </w:p>
          <w:p>
            <w:pPr>
              <w:jc w:val="center"/>
              <w:rPr>
                <w:rFonts w:ascii="仿宋_GB2312" w:eastAsia="仿宋_GB2312"/>
                <w:sz w:val="15"/>
                <w:szCs w:val="15"/>
              </w:rPr>
            </w:pPr>
            <w:r>
              <w:rPr>
                <w:rFonts w:hint="eastAsia" w:ascii="仿宋_GB2312" w:eastAsia="仿宋_GB2312"/>
                <w:sz w:val="15"/>
                <w:szCs w:val="15"/>
              </w:rPr>
              <w:t>单位</w:t>
            </w:r>
          </w:p>
        </w:tc>
        <w:tc>
          <w:tcPr>
            <w:tcW w:w="3333" w:type="dxa"/>
            <w:gridSpan w:val="5"/>
            <w:noWrap/>
            <w:vAlign w:val="center"/>
          </w:tcPr>
          <w:p>
            <w:pPr>
              <w:jc w:val="center"/>
              <w:rPr>
                <w:rFonts w:ascii="仿宋_GB2312" w:eastAsia="仿宋_GB2312"/>
                <w:sz w:val="15"/>
                <w:szCs w:val="15"/>
              </w:rPr>
            </w:pPr>
          </w:p>
        </w:tc>
        <w:tc>
          <w:tcPr>
            <w:tcW w:w="834" w:type="dxa"/>
            <w:gridSpan w:val="2"/>
            <w:noWrap/>
            <w:vAlign w:val="center"/>
          </w:tcPr>
          <w:p>
            <w:pPr>
              <w:jc w:val="center"/>
              <w:rPr>
                <w:rFonts w:ascii="仿宋_GB2312" w:eastAsia="仿宋_GB2312"/>
                <w:sz w:val="15"/>
                <w:szCs w:val="15"/>
              </w:rPr>
            </w:pPr>
            <w:r>
              <w:rPr>
                <w:rFonts w:hint="eastAsia" w:ascii="仿宋_GB2312" w:eastAsia="仿宋_GB2312"/>
                <w:sz w:val="15"/>
                <w:szCs w:val="15"/>
              </w:rPr>
              <w:t>资质类</w:t>
            </w:r>
          </w:p>
          <w:p>
            <w:pPr>
              <w:jc w:val="center"/>
              <w:rPr>
                <w:rFonts w:ascii="仿宋_GB2312" w:eastAsia="仿宋_GB2312"/>
                <w:sz w:val="15"/>
                <w:szCs w:val="15"/>
              </w:rPr>
            </w:pPr>
            <w:r>
              <w:rPr>
                <w:rFonts w:hint="eastAsia" w:ascii="仿宋_GB2312" w:eastAsia="仿宋_GB2312"/>
                <w:sz w:val="15"/>
                <w:szCs w:val="15"/>
              </w:rPr>
              <w:t>型等级</w:t>
            </w:r>
          </w:p>
        </w:tc>
        <w:tc>
          <w:tcPr>
            <w:tcW w:w="1668" w:type="dxa"/>
            <w:gridSpan w:val="3"/>
            <w:noWrap/>
            <w:vAlign w:val="center"/>
          </w:tcPr>
          <w:p>
            <w:pPr>
              <w:jc w:val="center"/>
              <w:rPr>
                <w:rFonts w:ascii="仿宋_GB2312" w:eastAsia="仿宋_GB2312"/>
                <w:sz w:val="15"/>
                <w:szCs w:val="15"/>
              </w:rPr>
            </w:pPr>
          </w:p>
        </w:tc>
        <w:tc>
          <w:tcPr>
            <w:tcW w:w="834" w:type="dxa"/>
            <w:gridSpan w:val="2"/>
            <w:noWrap/>
            <w:vAlign w:val="center"/>
          </w:tcPr>
          <w:p>
            <w:pPr>
              <w:jc w:val="center"/>
              <w:rPr>
                <w:rFonts w:ascii="仿宋_GB2312" w:eastAsia="仿宋_GB2312"/>
                <w:sz w:val="15"/>
                <w:szCs w:val="15"/>
              </w:rPr>
            </w:pPr>
            <w:r>
              <w:rPr>
                <w:rFonts w:hint="eastAsia" w:ascii="仿宋_GB2312" w:eastAsia="仿宋_GB2312"/>
                <w:sz w:val="15"/>
                <w:szCs w:val="15"/>
              </w:rPr>
              <w:t>项目总监</w:t>
            </w:r>
          </w:p>
        </w:tc>
        <w:tc>
          <w:tcPr>
            <w:tcW w:w="1668" w:type="dxa"/>
            <w:gridSpan w:val="4"/>
            <w:noWrap/>
            <w:vAlign w:val="center"/>
          </w:tcPr>
          <w:p>
            <w:pPr>
              <w:jc w:val="center"/>
              <w:rPr>
                <w:rFonts w:ascii="仿宋_GB2312" w:eastAsia="仿宋_GB2312"/>
                <w:sz w:val="15"/>
                <w:szCs w:val="15"/>
              </w:rPr>
            </w:pPr>
          </w:p>
        </w:tc>
        <w:tc>
          <w:tcPr>
            <w:tcW w:w="1018" w:type="dxa"/>
            <w:gridSpan w:val="2"/>
            <w:noWrap/>
            <w:vAlign w:val="center"/>
          </w:tcPr>
          <w:p>
            <w:pPr>
              <w:jc w:val="center"/>
              <w:rPr>
                <w:rFonts w:ascii="仿宋_GB2312" w:eastAsia="仿宋_GB2312"/>
                <w:sz w:val="15"/>
                <w:szCs w:val="15"/>
              </w:rPr>
            </w:pPr>
            <w:r>
              <w:rPr>
                <w:rFonts w:hint="eastAsia" w:ascii="仿宋_GB2312" w:eastAsia="仿宋_GB2312"/>
                <w:sz w:val="15"/>
                <w:szCs w:val="15"/>
              </w:rPr>
              <w:t>执业资格</w:t>
            </w:r>
          </w:p>
          <w:p>
            <w:pPr>
              <w:jc w:val="center"/>
              <w:rPr>
                <w:rFonts w:ascii="仿宋_GB2312" w:eastAsia="仿宋_GB2312"/>
                <w:sz w:val="15"/>
                <w:szCs w:val="15"/>
              </w:rPr>
            </w:pPr>
            <w:r>
              <w:rPr>
                <w:rFonts w:hint="eastAsia" w:ascii="仿宋_GB2312" w:eastAsia="仿宋_GB2312"/>
                <w:sz w:val="15"/>
                <w:szCs w:val="15"/>
              </w:rPr>
              <w:t>证书编号</w:t>
            </w:r>
          </w:p>
        </w:tc>
        <w:tc>
          <w:tcPr>
            <w:tcW w:w="1484" w:type="dxa"/>
            <w:gridSpan w:val="2"/>
            <w:noWrap/>
            <w:vAlign w:val="center"/>
          </w:tcPr>
          <w:p>
            <w:pPr>
              <w:jc w:val="center"/>
              <w:rPr>
                <w:rFonts w:ascii="仿宋_GB2312" w:eastAsia="仿宋_GB2312"/>
                <w:sz w:val="15"/>
                <w:szCs w:val="15"/>
              </w:rPr>
            </w:pPr>
          </w:p>
        </w:tc>
        <w:tc>
          <w:tcPr>
            <w:tcW w:w="834" w:type="dxa"/>
            <w:noWrap/>
            <w:vAlign w:val="center"/>
          </w:tcPr>
          <w:p>
            <w:pPr>
              <w:jc w:val="center"/>
              <w:rPr>
                <w:rFonts w:ascii="仿宋_GB2312" w:eastAsia="仿宋_GB2312"/>
                <w:sz w:val="15"/>
                <w:szCs w:val="15"/>
              </w:rPr>
            </w:pPr>
            <w:r>
              <w:rPr>
                <w:rFonts w:hint="eastAsia" w:ascii="仿宋_GB2312" w:eastAsia="仿宋_GB2312"/>
                <w:sz w:val="15"/>
                <w:szCs w:val="15"/>
              </w:rPr>
              <w:t>手机</w:t>
            </w:r>
          </w:p>
          <w:p>
            <w:pPr>
              <w:jc w:val="center"/>
              <w:rPr>
                <w:rFonts w:ascii="仿宋_GB2312" w:eastAsia="仿宋_GB2312"/>
                <w:sz w:val="15"/>
                <w:szCs w:val="15"/>
              </w:rPr>
            </w:pPr>
            <w:r>
              <w:rPr>
                <w:rFonts w:hint="eastAsia" w:ascii="仿宋_GB2312" w:eastAsia="仿宋_GB2312"/>
                <w:sz w:val="15"/>
                <w:szCs w:val="15"/>
              </w:rPr>
              <w:t>号码</w:t>
            </w:r>
          </w:p>
        </w:tc>
        <w:tc>
          <w:tcPr>
            <w:tcW w:w="1668" w:type="dxa"/>
            <w:gridSpan w:val="2"/>
            <w:noWrap/>
            <w:vAlign w:val="center"/>
          </w:tcPr>
          <w:p>
            <w:pPr>
              <w:jc w:val="center"/>
              <w:rPr>
                <w:rFonts w:ascii="仿宋_GB2312"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33" w:type="dxa"/>
            <w:noWrap/>
            <w:vAlign w:val="center"/>
          </w:tcPr>
          <w:p>
            <w:pPr>
              <w:jc w:val="center"/>
              <w:rPr>
                <w:rFonts w:ascii="仿宋_GB2312" w:eastAsia="仿宋_GB2312"/>
                <w:sz w:val="15"/>
                <w:szCs w:val="15"/>
              </w:rPr>
            </w:pPr>
            <w:r>
              <w:rPr>
                <w:rFonts w:hint="eastAsia" w:ascii="仿宋_GB2312" w:eastAsia="仿宋_GB2312"/>
                <w:sz w:val="15"/>
                <w:szCs w:val="15"/>
              </w:rPr>
              <w:t>建设</w:t>
            </w:r>
          </w:p>
          <w:p>
            <w:pPr>
              <w:jc w:val="center"/>
              <w:rPr>
                <w:rFonts w:ascii="仿宋_GB2312" w:eastAsia="仿宋_GB2312"/>
                <w:sz w:val="15"/>
                <w:szCs w:val="15"/>
              </w:rPr>
            </w:pPr>
            <w:r>
              <w:rPr>
                <w:rFonts w:hint="eastAsia" w:ascii="仿宋_GB2312" w:eastAsia="仿宋_GB2312"/>
                <w:sz w:val="15"/>
                <w:szCs w:val="15"/>
              </w:rPr>
              <w:t>单位</w:t>
            </w:r>
          </w:p>
        </w:tc>
        <w:tc>
          <w:tcPr>
            <w:tcW w:w="6669" w:type="dxa"/>
            <w:gridSpan w:val="12"/>
            <w:noWrap/>
            <w:vAlign w:val="center"/>
          </w:tcPr>
          <w:p>
            <w:pPr>
              <w:jc w:val="center"/>
              <w:rPr>
                <w:rFonts w:ascii="仿宋_GB2312" w:eastAsia="仿宋_GB2312"/>
                <w:sz w:val="15"/>
                <w:szCs w:val="15"/>
              </w:rPr>
            </w:pPr>
          </w:p>
        </w:tc>
        <w:tc>
          <w:tcPr>
            <w:tcW w:w="1356" w:type="dxa"/>
            <w:gridSpan w:val="3"/>
            <w:noWrap/>
            <w:vAlign w:val="center"/>
          </w:tcPr>
          <w:p>
            <w:pPr>
              <w:jc w:val="center"/>
              <w:rPr>
                <w:rFonts w:ascii="仿宋_GB2312" w:eastAsia="仿宋_GB2312"/>
                <w:sz w:val="15"/>
                <w:szCs w:val="15"/>
              </w:rPr>
            </w:pPr>
            <w:r>
              <w:rPr>
                <w:rFonts w:hint="eastAsia" w:ascii="仿宋_GB2312" w:eastAsia="仿宋_GB2312"/>
                <w:sz w:val="15"/>
                <w:szCs w:val="15"/>
              </w:rPr>
              <w:t>项  目</w:t>
            </w:r>
          </w:p>
          <w:p>
            <w:pPr>
              <w:jc w:val="center"/>
              <w:rPr>
                <w:rFonts w:ascii="仿宋_GB2312" w:eastAsia="仿宋_GB2312"/>
                <w:sz w:val="15"/>
                <w:szCs w:val="15"/>
              </w:rPr>
            </w:pPr>
            <w:r>
              <w:rPr>
                <w:rFonts w:hint="eastAsia" w:ascii="仿宋_GB2312" w:eastAsia="仿宋_GB2312"/>
                <w:sz w:val="15"/>
                <w:szCs w:val="15"/>
              </w:rPr>
              <w:t>负责人</w:t>
            </w:r>
          </w:p>
        </w:tc>
        <w:tc>
          <w:tcPr>
            <w:tcW w:w="1330" w:type="dxa"/>
            <w:gridSpan w:val="3"/>
            <w:noWrap/>
            <w:vAlign w:val="center"/>
          </w:tcPr>
          <w:p>
            <w:pPr>
              <w:jc w:val="center"/>
              <w:rPr>
                <w:rFonts w:ascii="仿宋_GB2312" w:eastAsia="仿宋_GB2312"/>
                <w:sz w:val="15"/>
                <w:szCs w:val="15"/>
              </w:rPr>
            </w:pPr>
          </w:p>
        </w:tc>
        <w:tc>
          <w:tcPr>
            <w:tcW w:w="1484" w:type="dxa"/>
            <w:gridSpan w:val="2"/>
            <w:noWrap/>
            <w:vAlign w:val="center"/>
          </w:tcPr>
          <w:p>
            <w:pPr>
              <w:jc w:val="center"/>
              <w:rPr>
                <w:rFonts w:ascii="仿宋_GB2312" w:eastAsia="仿宋_GB2312"/>
                <w:sz w:val="15"/>
                <w:szCs w:val="15"/>
              </w:rPr>
            </w:pPr>
            <w:r>
              <w:rPr>
                <w:rFonts w:hint="eastAsia" w:ascii="仿宋_GB2312" w:eastAsia="仿宋_GB2312"/>
                <w:sz w:val="15"/>
                <w:szCs w:val="15"/>
              </w:rPr>
              <w:t>手机</w:t>
            </w:r>
          </w:p>
          <w:p>
            <w:pPr>
              <w:jc w:val="center"/>
              <w:rPr>
                <w:rFonts w:ascii="仿宋_GB2312" w:eastAsia="仿宋_GB2312"/>
                <w:sz w:val="15"/>
                <w:szCs w:val="15"/>
              </w:rPr>
            </w:pPr>
            <w:r>
              <w:rPr>
                <w:rFonts w:hint="eastAsia" w:ascii="仿宋_GB2312" w:eastAsia="仿宋_GB2312"/>
                <w:sz w:val="15"/>
                <w:szCs w:val="15"/>
              </w:rPr>
              <w:t>号码</w:t>
            </w:r>
          </w:p>
        </w:tc>
        <w:tc>
          <w:tcPr>
            <w:tcW w:w="2502" w:type="dxa"/>
            <w:gridSpan w:val="3"/>
            <w:noWrap/>
            <w:vAlign w:val="center"/>
          </w:tcPr>
          <w:p>
            <w:pPr>
              <w:jc w:val="center"/>
              <w:rPr>
                <w:rFonts w:ascii="仿宋_GB2312"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666" w:type="dxa"/>
            <w:gridSpan w:val="2"/>
            <w:tcBorders>
              <w:tl2br w:val="single" w:color="auto" w:sz="4" w:space="0"/>
            </w:tcBorders>
            <w:noWrap/>
          </w:tcPr>
          <w:p>
            <w:pPr>
              <w:rPr>
                <w:rFonts w:ascii="仿宋_GB2312" w:eastAsia="仿宋_GB2312"/>
                <w:b/>
                <w:sz w:val="15"/>
                <w:szCs w:val="15"/>
              </w:rPr>
            </w:pPr>
            <w:r>
              <w:rPr>
                <w:rFonts w:hint="eastAsia" w:ascii="仿宋_GB2312" w:eastAsia="仿宋_GB2312"/>
                <w:b/>
                <w:sz w:val="15"/>
                <w:szCs w:val="15"/>
              </w:rPr>
              <w:t>评价项目分值</w:t>
            </w:r>
          </w:p>
          <w:p>
            <w:pPr>
              <w:rPr>
                <w:rFonts w:ascii="仿宋_GB2312" w:eastAsia="仿宋_GB2312"/>
                <w:b/>
                <w:sz w:val="15"/>
                <w:szCs w:val="15"/>
              </w:rPr>
            </w:pPr>
          </w:p>
          <w:p>
            <w:pPr>
              <w:rPr>
                <w:rFonts w:ascii="仿宋_GB2312" w:eastAsia="仿宋_GB2312"/>
                <w:b/>
                <w:sz w:val="15"/>
                <w:szCs w:val="15"/>
              </w:rPr>
            </w:pPr>
            <w:r>
              <w:rPr>
                <w:rFonts w:hint="eastAsia" w:ascii="仿宋_GB2312" w:eastAsia="仿宋_GB2312"/>
                <w:b/>
                <w:sz w:val="15"/>
                <w:szCs w:val="15"/>
              </w:rPr>
              <w:t xml:space="preserve"> 实得分</w:t>
            </w:r>
          </w:p>
          <w:p>
            <w:pPr>
              <w:rPr>
                <w:rFonts w:ascii="仿宋_GB2312" w:eastAsia="仿宋_GB2312"/>
                <w:b/>
                <w:sz w:val="15"/>
                <w:szCs w:val="15"/>
              </w:rPr>
            </w:pPr>
          </w:p>
        </w:tc>
        <w:tc>
          <w:tcPr>
            <w:tcW w:w="1537" w:type="dxa"/>
            <w:gridSpan w:val="2"/>
            <w:vMerge w:val="restart"/>
            <w:noWrap/>
            <w:vAlign w:val="center"/>
          </w:tcPr>
          <w:p>
            <w:pPr>
              <w:jc w:val="center"/>
              <w:rPr>
                <w:rFonts w:ascii="仿宋_GB2312" w:eastAsia="仿宋_GB2312"/>
                <w:b/>
                <w:sz w:val="15"/>
                <w:szCs w:val="15"/>
              </w:rPr>
            </w:pPr>
            <w:r>
              <w:rPr>
                <w:rFonts w:hint="eastAsia" w:ascii="仿宋_GB2312" w:eastAsia="仿宋_GB2312"/>
                <w:b/>
                <w:sz w:val="15"/>
                <w:szCs w:val="15"/>
              </w:rPr>
              <w:t>建设单位安全管理</w:t>
            </w:r>
          </w:p>
          <w:p>
            <w:pPr>
              <w:jc w:val="center"/>
              <w:rPr>
                <w:rFonts w:ascii="仿宋_GB2312" w:eastAsia="仿宋_GB2312"/>
                <w:b/>
                <w:sz w:val="15"/>
                <w:szCs w:val="15"/>
              </w:rPr>
            </w:pPr>
            <w:r>
              <w:rPr>
                <w:rFonts w:hint="eastAsia" w:ascii="仿宋_GB2312" w:eastAsia="仿宋_GB2312"/>
                <w:b/>
                <w:sz w:val="15"/>
                <w:szCs w:val="15"/>
              </w:rPr>
              <w:t>（满分5分）</w:t>
            </w:r>
          </w:p>
        </w:tc>
        <w:tc>
          <w:tcPr>
            <w:tcW w:w="1575" w:type="dxa"/>
            <w:gridSpan w:val="3"/>
            <w:vMerge w:val="restart"/>
            <w:noWrap/>
            <w:vAlign w:val="center"/>
          </w:tcPr>
          <w:p>
            <w:pPr>
              <w:jc w:val="center"/>
              <w:rPr>
                <w:rFonts w:ascii="仿宋_GB2312" w:eastAsia="仿宋_GB2312"/>
                <w:b/>
                <w:sz w:val="15"/>
                <w:szCs w:val="15"/>
              </w:rPr>
            </w:pPr>
            <w:r>
              <w:rPr>
                <w:rFonts w:hint="eastAsia" w:ascii="仿宋_GB2312" w:eastAsia="仿宋_GB2312"/>
                <w:b/>
                <w:sz w:val="15"/>
                <w:szCs w:val="15"/>
              </w:rPr>
              <w:t>监理单位安全管理</w:t>
            </w:r>
          </w:p>
          <w:p>
            <w:pPr>
              <w:jc w:val="center"/>
              <w:rPr>
                <w:rFonts w:ascii="仿宋_GB2312" w:eastAsia="仿宋_GB2312"/>
                <w:b/>
                <w:sz w:val="15"/>
                <w:szCs w:val="15"/>
              </w:rPr>
            </w:pPr>
            <w:r>
              <w:rPr>
                <w:rFonts w:hint="eastAsia" w:ascii="仿宋_GB2312" w:eastAsia="仿宋_GB2312"/>
                <w:b/>
                <w:sz w:val="15"/>
                <w:szCs w:val="15"/>
              </w:rPr>
              <w:t>（满分5分）</w:t>
            </w:r>
          </w:p>
        </w:tc>
        <w:tc>
          <w:tcPr>
            <w:tcW w:w="1574" w:type="dxa"/>
            <w:gridSpan w:val="3"/>
            <w:vMerge w:val="restart"/>
            <w:noWrap/>
            <w:vAlign w:val="center"/>
          </w:tcPr>
          <w:p>
            <w:pPr>
              <w:jc w:val="center"/>
              <w:rPr>
                <w:rFonts w:ascii="仿宋_GB2312" w:eastAsia="仿宋_GB2312"/>
                <w:b/>
                <w:sz w:val="15"/>
                <w:szCs w:val="15"/>
              </w:rPr>
            </w:pPr>
            <w:r>
              <w:rPr>
                <w:rFonts w:hint="eastAsia" w:ascii="仿宋_GB2312" w:eastAsia="仿宋_GB2312"/>
                <w:b/>
                <w:sz w:val="15"/>
                <w:szCs w:val="15"/>
              </w:rPr>
              <w:t>施工单位安全管理</w:t>
            </w:r>
          </w:p>
          <w:p>
            <w:pPr>
              <w:jc w:val="center"/>
              <w:rPr>
                <w:rFonts w:ascii="仿宋_GB2312" w:eastAsia="仿宋_GB2312"/>
                <w:b/>
                <w:sz w:val="15"/>
                <w:szCs w:val="15"/>
              </w:rPr>
            </w:pPr>
            <w:r>
              <w:rPr>
                <w:rFonts w:hint="eastAsia" w:ascii="仿宋_GB2312" w:eastAsia="仿宋_GB2312"/>
                <w:b/>
                <w:sz w:val="15"/>
                <w:szCs w:val="15"/>
              </w:rPr>
              <w:t>（满分10分）</w:t>
            </w:r>
          </w:p>
        </w:tc>
        <w:tc>
          <w:tcPr>
            <w:tcW w:w="1127" w:type="dxa"/>
            <w:gridSpan w:val="2"/>
            <w:vMerge w:val="restart"/>
            <w:noWrap/>
            <w:vAlign w:val="center"/>
          </w:tcPr>
          <w:p>
            <w:pPr>
              <w:jc w:val="center"/>
              <w:rPr>
                <w:rFonts w:ascii="仿宋_GB2312" w:eastAsia="仿宋_GB2312"/>
                <w:b/>
                <w:sz w:val="15"/>
                <w:szCs w:val="15"/>
              </w:rPr>
            </w:pPr>
            <w:r>
              <w:rPr>
                <w:rFonts w:hint="eastAsia" w:ascii="仿宋_GB2312" w:eastAsia="仿宋_GB2312"/>
                <w:b/>
                <w:sz w:val="15"/>
                <w:szCs w:val="15"/>
              </w:rPr>
              <w:t>文明施工（满分15分）</w:t>
            </w:r>
          </w:p>
        </w:tc>
        <w:tc>
          <w:tcPr>
            <w:tcW w:w="1379" w:type="dxa"/>
            <w:gridSpan w:val="4"/>
            <w:vMerge w:val="restart"/>
            <w:noWrap/>
            <w:vAlign w:val="center"/>
          </w:tcPr>
          <w:p>
            <w:pPr>
              <w:jc w:val="center"/>
              <w:rPr>
                <w:rFonts w:ascii="仿宋_GB2312" w:eastAsia="仿宋_GB2312"/>
                <w:b/>
                <w:sz w:val="15"/>
                <w:szCs w:val="15"/>
              </w:rPr>
            </w:pPr>
            <w:r>
              <w:rPr>
                <w:rFonts w:hint="eastAsia" w:ascii="仿宋_GB2312" w:eastAsia="仿宋_GB2312"/>
                <w:b/>
                <w:sz w:val="15"/>
                <w:szCs w:val="15"/>
              </w:rPr>
              <w:t>绿色施工</w:t>
            </w:r>
          </w:p>
          <w:p>
            <w:pPr>
              <w:jc w:val="center"/>
              <w:rPr>
                <w:rFonts w:ascii="仿宋_GB2312" w:eastAsia="仿宋_GB2312"/>
                <w:b/>
                <w:sz w:val="15"/>
                <w:szCs w:val="15"/>
              </w:rPr>
            </w:pPr>
            <w:r>
              <w:rPr>
                <w:rFonts w:hint="eastAsia" w:ascii="仿宋_GB2312" w:eastAsia="仿宋_GB2312"/>
                <w:b/>
                <w:sz w:val="15"/>
                <w:szCs w:val="15"/>
              </w:rPr>
              <w:t>（满分10分）</w:t>
            </w:r>
          </w:p>
        </w:tc>
        <w:tc>
          <w:tcPr>
            <w:tcW w:w="1330" w:type="dxa"/>
            <w:gridSpan w:val="3"/>
            <w:vMerge w:val="restart"/>
            <w:noWrap/>
            <w:vAlign w:val="center"/>
          </w:tcPr>
          <w:p>
            <w:pPr>
              <w:jc w:val="center"/>
              <w:rPr>
                <w:rFonts w:ascii="仿宋_GB2312" w:eastAsia="仿宋_GB2312"/>
                <w:b/>
                <w:sz w:val="15"/>
                <w:szCs w:val="15"/>
              </w:rPr>
            </w:pPr>
            <w:r>
              <w:rPr>
                <w:rFonts w:hint="eastAsia" w:ascii="仿宋_GB2312" w:eastAsia="仿宋_GB2312"/>
                <w:b/>
                <w:sz w:val="15"/>
                <w:szCs w:val="15"/>
              </w:rPr>
              <w:t>脚手架及模板支架（满分15分）</w:t>
            </w:r>
          </w:p>
        </w:tc>
        <w:tc>
          <w:tcPr>
            <w:tcW w:w="1484" w:type="dxa"/>
            <w:gridSpan w:val="2"/>
            <w:vMerge w:val="restart"/>
            <w:noWrap/>
            <w:vAlign w:val="center"/>
          </w:tcPr>
          <w:p>
            <w:pPr>
              <w:jc w:val="center"/>
              <w:rPr>
                <w:rFonts w:ascii="仿宋_GB2312" w:eastAsia="仿宋_GB2312"/>
                <w:b/>
                <w:sz w:val="15"/>
                <w:szCs w:val="15"/>
              </w:rPr>
            </w:pPr>
            <w:r>
              <w:rPr>
                <w:rFonts w:hint="eastAsia" w:ascii="仿宋_GB2312" w:eastAsia="仿宋_GB2312"/>
                <w:b/>
                <w:sz w:val="15"/>
                <w:szCs w:val="15"/>
              </w:rPr>
              <w:t>高处作业</w:t>
            </w:r>
          </w:p>
          <w:p>
            <w:pPr>
              <w:jc w:val="center"/>
              <w:rPr>
                <w:rFonts w:ascii="仿宋_GB2312" w:eastAsia="仿宋_GB2312"/>
                <w:b/>
                <w:sz w:val="15"/>
                <w:szCs w:val="15"/>
              </w:rPr>
            </w:pPr>
            <w:r>
              <w:rPr>
                <w:rFonts w:hint="eastAsia" w:ascii="仿宋_GB2312" w:eastAsia="仿宋_GB2312"/>
                <w:b/>
                <w:sz w:val="15"/>
                <w:szCs w:val="15"/>
              </w:rPr>
              <w:t>（满分15分）</w:t>
            </w:r>
          </w:p>
        </w:tc>
        <w:tc>
          <w:tcPr>
            <w:tcW w:w="1281" w:type="dxa"/>
            <w:gridSpan w:val="2"/>
            <w:vMerge w:val="restart"/>
            <w:noWrap/>
            <w:vAlign w:val="center"/>
          </w:tcPr>
          <w:p>
            <w:pPr>
              <w:jc w:val="center"/>
              <w:rPr>
                <w:rFonts w:ascii="仿宋_GB2312" w:eastAsia="仿宋_GB2312"/>
                <w:b/>
                <w:sz w:val="15"/>
                <w:szCs w:val="15"/>
              </w:rPr>
            </w:pPr>
            <w:r>
              <w:rPr>
                <w:rFonts w:hint="eastAsia" w:ascii="仿宋_GB2312" w:eastAsia="仿宋_GB2312"/>
                <w:b/>
                <w:sz w:val="15"/>
                <w:szCs w:val="15"/>
              </w:rPr>
              <w:t>临时用电</w:t>
            </w:r>
          </w:p>
          <w:p>
            <w:pPr>
              <w:jc w:val="center"/>
              <w:rPr>
                <w:rFonts w:ascii="仿宋_GB2312" w:eastAsia="仿宋_GB2312"/>
                <w:b/>
                <w:sz w:val="15"/>
                <w:szCs w:val="15"/>
              </w:rPr>
            </w:pPr>
            <w:r>
              <w:rPr>
                <w:rFonts w:hint="eastAsia" w:ascii="仿宋_GB2312" w:eastAsia="仿宋_GB2312"/>
                <w:b/>
                <w:sz w:val="15"/>
                <w:szCs w:val="15"/>
              </w:rPr>
              <w:t>（满分10分）</w:t>
            </w:r>
          </w:p>
        </w:tc>
        <w:tc>
          <w:tcPr>
            <w:tcW w:w="1221" w:type="dxa"/>
            <w:vMerge w:val="restart"/>
            <w:noWrap/>
            <w:vAlign w:val="center"/>
          </w:tcPr>
          <w:p>
            <w:pPr>
              <w:jc w:val="center"/>
              <w:rPr>
                <w:rFonts w:ascii="仿宋_GB2312" w:eastAsia="仿宋_GB2312"/>
                <w:b/>
                <w:sz w:val="15"/>
                <w:szCs w:val="15"/>
              </w:rPr>
            </w:pPr>
            <w:r>
              <w:rPr>
                <w:rFonts w:hint="eastAsia" w:ascii="仿宋_GB2312" w:eastAsia="仿宋_GB2312"/>
                <w:b/>
                <w:sz w:val="15"/>
                <w:szCs w:val="15"/>
              </w:rPr>
              <w:t>建筑机械</w:t>
            </w:r>
          </w:p>
          <w:p>
            <w:pPr>
              <w:jc w:val="center"/>
              <w:rPr>
                <w:rFonts w:ascii="仿宋_GB2312" w:eastAsia="仿宋_GB2312"/>
                <w:b/>
                <w:sz w:val="15"/>
                <w:szCs w:val="15"/>
              </w:rPr>
            </w:pPr>
            <w:r>
              <w:rPr>
                <w:rFonts w:hint="eastAsia" w:ascii="仿宋_GB2312" w:eastAsia="仿宋_GB2312"/>
                <w:b/>
                <w:sz w:val="15"/>
                <w:szCs w:val="15"/>
              </w:rPr>
              <w:t>设备</w:t>
            </w:r>
          </w:p>
          <w:p>
            <w:pPr>
              <w:jc w:val="center"/>
              <w:rPr>
                <w:rFonts w:ascii="仿宋_GB2312" w:eastAsia="仿宋_GB2312"/>
                <w:b/>
                <w:sz w:val="15"/>
                <w:szCs w:val="15"/>
              </w:rPr>
            </w:pPr>
            <w:r>
              <w:rPr>
                <w:rFonts w:hint="eastAsia" w:ascii="仿宋_GB2312" w:eastAsia="仿宋_GB2312"/>
                <w:b/>
                <w:sz w:val="15"/>
                <w:szCs w:val="15"/>
              </w:rPr>
              <w:t>（满分15分）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666" w:type="dxa"/>
            <w:gridSpan w:val="2"/>
            <w:tcBorders>
              <w:tl2br w:val="single" w:color="auto" w:sz="4" w:space="0"/>
            </w:tcBorders>
            <w:noWrap/>
          </w:tcPr>
          <w:p>
            <w:pPr>
              <w:rPr>
                <w:rFonts w:ascii="仿宋_GB2312" w:eastAsia="仿宋_GB2312"/>
                <w:b/>
                <w:sz w:val="15"/>
                <w:szCs w:val="15"/>
              </w:rPr>
            </w:pPr>
          </w:p>
          <w:p>
            <w:pPr>
              <w:rPr>
                <w:rFonts w:ascii="仿宋_GB2312" w:eastAsia="仿宋_GB2312"/>
                <w:b/>
                <w:sz w:val="15"/>
                <w:szCs w:val="15"/>
              </w:rPr>
            </w:pPr>
            <w:r>
              <w:rPr>
                <w:rFonts w:hint="eastAsia" w:ascii="仿宋_GB2312" w:eastAsia="仿宋_GB2312"/>
                <w:b/>
                <w:sz w:val="15"/>
                <w:szCs w:val="15"/>
              </w:rPr>
              <w:t>汇总得分</w:t>
            </w:r>
          </w:p>
        </w:tc>
        <w:tc>
          <w:tcPr>
            <w:tcW w:w="1537" w:type="dxa"/>
            <w:gridSpan w:val="2"/>
            <w:vMerge w:val="continue"/>
            <w:noWrap/>
            <w:vAlign w:val="center"/>
          </w:tcPr>
          <w:p>
            <w:pPr>
              <w:jc w:val="center"/>
              <w:rPr>
                <w:rFonts w:ascii="仿宋_GB2312" w:eastAsia="仿宋_GB2312"/>
                <w:b/>
                <w:sz w:val="15"/>
                <w:szCs w:val="15"/>
              </w:rPr>
            </w:pPr>
          </w:p>
        </w:tc>
        <w:tc>
          <w:tcPr>
            <w:tcW w:w="1575" w:type="dxa"/>
            <w:gridSpan w:val="3"/>
            <w:vMerge w:val="continue"/>
            <w:noWrap/>
            <w:vAlign w:val="center"/>
          </w:tcPr>
          <w:p>
            <w:pPr>
              <w:jc w:val="center"/>
              <w:rPr>
                <w:rFonts w:ascii="仿宋_GB2312" w:eastAsia="仿宋_GB2312"/>
                <w:b/>
                <w:sz w:val="15"/>
                <w:szCs w:val="15"/>
              </w:rPr>
            </w:pPr>
          </w:p>
        </w:tc>
        <w:tc>
          <w:tcPr>
            <w:tcW w:w="1574" w:type="dxa"/>
            <w:gridSpan w:val="3"/>
            <w:vMerge w:val="continue"/>
            <w:noWrap/>
            <w:vAlign w:val="center"/>
          </w:tcPr>
          <w:p>
            <w:pPr>
              <w:jc w:val="center"/>
              <w:rPr>
                <w:rFonts w:ascii="仿宋_GB2312" w:eastAsia="仿宋_GB2312"/>
                <w:b/>
                <w:sz w:val="15"/>
                <w:szCs w:val="15"/>
              </w:rPr>
            </w:pPr>
          </w:p>
        </w:tc>
        <w:tc>
          <w:tcPr>
            <w:tcW w:w="1127" w:type="dxa"/>
            <w:gridSpan w:val="2"/>
            <w:vMerge w:val="continue"/>
            <w:noWrap/>
            <w:vAlign w:val="center"/>
          </w:tcPr>
          <w:p>
            <w:pPr>
              <w:jc w:val="center"/>
              <w:rPr>
                <w:rFonts w:ascii="仿宋_GB2312" w:eastAsia="仿宋_GB2312"/>
                <w:b/>
                <w:sz w:val="15"/>
                <w:szCs w:val="15"/>
              </w:rPr>
            </w:pPr>
          </w:p>
        </w:tc>
        <w:tc>
          <w:tcPr>
            <w:tcW w:w="1379" w:type="dxa"/>
            <w:gridSpan w:val="4"/>
            <w:vMerge w:val="continue"/>
            <w:noWrap/>
            <w:vAlign w:val="center"/>
          </w:tcPr>
          <w:p>
            <w:pPr>
              <w:jc w:val="center"/>
              <w:rPr>
                <w:rFonts w:ascii="仿宋_GB2312" w:eastAsia="仿宋_GB2312"/>
                <w:b/>
                <w:sz w:val="15"/>
                <w:szCs w:val="15"/>
              </w:rPr>
            </w:pPr>
          </w:p>
        </w:tc>
        <w:tc>
          <w:tcPr>
            <w:tcW w:w="1330" w:type="dxa"/>
            <w:gridSpan w:val="3"/>
            <w:vMerge w:val="continue"/>
            <w:noWrap/>
            <w:vAlign w:val="center"/>
          </w:tcPr>
          <w:p>
            <w:pPr>
              <w:jc w:val="center"/>
              <w:rPr>
                <w:rFonts w:ascii="仿宋_GB2312" w:eastAsia="仿宋_GB2312"/>
                <w:b/>
                <w:sz w:val="15"/>
                <w:szCs w:val="15"/>
              </w:rPr>
            </w:pPr>
          </w:p>
        </w:tc>
        <w:tc>
          <w:tcPr>
            <w:tcW w:w="1484" w:type="dxa"/>
            <w:gridSpan w:val="2"/>
            <w:vMerge w:val="continue"/>
            <w:noWrap/>
            <w:vAlign w:val="center"/>
          </w:tcPr>
          <w:p>
            <w:pPr>
              <w:jc w:val="center"/>
              <w:rPr>
                <w:rFonts w:ascii="仿宋_GB2312" w:eastAsia="仿宋_GB2312"/>
                <w:b/>
                <w:sz w:val="15"/>
                <w:szCs w:val="15"/>
              </w:rPr>
            </w:pPr>
          </w:p>
        </w:tc>
        <w:tc>
          <w:tcPr>
            <w:tcW w:w="1281" w:type="dxa"/>
            <w:gridSpan w:val="2"/>
            <w:vMerge w:val="continue"/>
            <w:noWrap/>
            <w:vAlign w:val="center"/>
          </w:tcPr>
          <w:p>
            <w:pPr>
              <w:jc w:val="center"/>
              <w:rPr>
                <w:rFonts w:ascii="仿宋_GB2312" w:eastAsia="仿宋_GB2312"/>
                <w:b/>
                <w:sz w:val="15"/>
                <w:szCs w:val="15"/>
              </w:rPr>
            </w:pPr>
          </w:p>
        </w:tc>
        <w:tc>
          <w:tcPr>
            <w:tcW w:w="1221" w:type="dxa"/>
            <w:vMerge w:val="continue"/>
            <w:noWrap/>
            <w:vAlign w:val="center"/>
          </w:tcPr>
          <w:p>
            <w:pPr>
              <w:jc w:val="center"/>
              <w:rPr>
                <w:rFonts w:ascii="仿宋_GB2312" w:eastAsia="仿宋_GB2312"/>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gridSpan w:val="2"/>
            <w:noWrap/>
          </w:tcPr>
          <w:p>
            <w:pPr>
              <w:rPr>
                <w:rFonts w:ascii="仿宋_GB2312" w:eastAsia="仿宋_GB2312"/>
                <w:sz w:val="15"/>
                <w:szCs w:val="15"/>
              </w:rPr>
            </w:pPr>
          </w:p>
        </w:tc>
        <w:tc>
          <w:tcPr>
            <w:tcW w:w="1537" w:type="dxa"/>
            <w:gridSpan w:val="2"/>
            <w:noWrap/>
          </w:tcPr>
          <w:p>
            <w:pPr>
              <w:rPr>
                <w:rFonts w:ascii="仿宋_GB2312" w:eastAsia="仿宋_GB2312"/>
                <w:sz w:val="15"/>
                <w:szCs w:val="15"/>
              </w:rPr>
            </w:pPr>
          </w:p>
        </w:tc>
        <w:tc>
          <w:tcPr>
            <w:tcW w:w="1575" w:type="dxa"/>
            <w:gridSpan w:val="3"/>
            <w:noWrap/>
          </w:tcPr>
          <w:p>
            <w:pPr>
              <w:rPr>
                <w:rFonts w:ascii="仿宋_GB2312" w:eastAsia="仿宋_GB2312"/>
                <w:sz w:val="15"/>
                <w:szCs w:val="15"/>
              </w:rPr>
            </w:pPr>
          </w:p>
        </w:tc>
        <w:tc>
          <w:tcPr>
            <w:tcW w:w="1574" w:type="dxa"/>
            <w:gridSpan w:val="3"/>
            <w:noWrap/>
          </w:tcPr>
          <w:p>
            <w:pPr>
              <w:rPr>
                <w:rFonts w:ascii="仿宋_GB2312" w:eastAsia="仿宋_GB2312"/>
                <w:sz w:val="15"/>
                <w:szCs w:val="15"/>
              </w:rPr>
            </w:pPr>
          </w:p>
        </w:tc>
        <w:tc>
          <w:tcPr>
            <w:tcW w:w="1127" w:type="dxa"/>
            <w:gridSpan w:val="2"/>
            <w:noWrap/>
          </w:tcPr>
          <w:p>
            <w:pPr>
              <w:rPr>
                <w:rFonts w:ascii="仿宋_GB2312" w:eastAsia="仿宋_GB2312"/>
                <w:sz w:val="15"/>
                <w:szCs w:val="15"/>
              </w:rPr>
            </w:pPr>
          </w:p>
        </w:tc>
        <w:tc>
          <w:tcPr>
            <w:tcW w:w="1379" w:type="dxa"/>
            <w:gridSpan w:val="4"/>
            <w:noWrap/>
          </w:tcPr>
          <w:p>
            <w:pPr>
              <w:rPr>
                <w:rFonts w:ascii="仿宋_GB2312" w:eastAsia="仿宋_GB2312"/>
                <w:sz w:val="15"/>
                <w:szCs w:val="15"/>
              </w:rPr>
            </w:pPr>
          </w:p>
        </w:tc>
        <w:tc>
          <w:tcPr>
            <w:tcW w:w="1330" w:type="dxa"/>
            <w:gridSpan w:val="3"/>
            <w:noWrap/>
          </w:tcPr>
          <w:p>
            <w:pPr>
              <w:rPr>
                <w:rFonts w:ascii="仿宋_GB2312" w:eastAsia="仿宋_GB2312"/>
                <w:sz w:val="15"/>
                <w:szCs w:val="15"/>
              </w:rPr>
            </w:pPr>
          </w:p>
        </w:tc>
        <w:tc>
          <w:tcPr>
            <w:tcW w:w="1484" w:type="dxa"/>
            <w:gridSpan w:val="2"/>
            <w:noWrap/>
          </w:tcPr>
          <w:p>
            <w:pPr>
              <w:rPr>
                <w:rFonts w:ascii="仿宋_GB2312" w:eastAsia="仿宋_GB2312"/>
                <w:sz w:val="15"/>
                <w:szCs w:val="15"/>
              </w:rPr>
            </w:pPr>
          </w:p>
        </w:tc>
        <w:tc>
          <w:tcPr>
            <w:tcW w:w="1281" w:type="dxa"/>
            <w:gridSpan w:val="2"/>
            <w:noWrap/>
          </w:tcPr>
          <w:p>
            <w:pPr>
              <w:rPr>
                <w:rFonts w:ascii="仿宋_GB2312" w:eastAsia="仿宋_GB2312"/>
                <w:sz w:val="15"/>
                <w:szCs w:val="15"/>
              </w:rPr>
            </w:pPr>
          </w:p>
        </w:tc>
        <w:tc>
          <w:tcPr>
            <w:tcW w:w="1221" w:type="dxa"/>
            <w:noWrap/>
          </w:tcPr>
          <w:p>
            <w:pPr>
              <w:rPr>
                <w:rFonts w:ascii="仿宋_GB2312"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4174" w:type="dxa"/>
            <w:gridSpan w:val="24"/>
            <w:noWrap/>
          </w:tcPr>
          <w:p>
            <w:pPr>
              <w:rPr>
                <w:rFonts w:ascii="仿宋_GB2312" w:eastAsia="仿宋_GB2312"/>
                <w:sz w:val="15"/>
                <w:szCs w:val="15"/>
              </w:rPr>
            </w:pPr>
            <w:r>
              <w:rPr>
                <w:rFonts w:hint="eastAsia" w:ascii="仿宋_GB2312" w:eastAsia="仿宋_GB2312"/>
                <w:sz w:val="15"/>
                <w:szCs w:val="15"/>
              </w:rPr>
              <w:t>评价意见：</w:t>
            </w:r>
          </w:p>
        </w:tc>
      </w:tr>
    </w:tbl>
    <w:p>
      <w:pPr>
        <w:rPr>
          <w:rFonts w:ascii="仿宋_GB2312" w:eastAsia="仿宋_GB2312"/>
        </w:rPr>
      </w:pPr>
      <w:r>
        <w:rPr>
          <w:rFonts w:hint="eastAsia" w:ascii="仿宋_GB2312" w:eastAsia="仿宋_GB2312"/>
        </w:rPr>
        <w:t>评价组组长：                        评价组成员：                                    日期：          年    月    日</w:t>
      </w:r>
    </w:p>
    <w:p>
      <w:pPr>
        <w:pStyle w:val="7"/>
        <w:rPr>
          <w:rFonts w:hAnsi="宋体" w:cs="宋体"/>
        </w:rPr>
        <w:sectPr>
          <w:footerReference r:id="rId14" w:type="default"/>
          <w:pgSz w:w="16838" w:h="11906" w:orient="landscape"/>
          <w:pgMar w:top="1797" w:right="1440" w:bottom="1134" w:left="1440" w:header="851" w:footer="992" w:gutter="0"/>
          <w:cols w:space="720" w:num="1"/>
          <w:docGrid w:type="lines" w:linePitch="312" w:charSpace="0"/>
        </w:sectPr>
      </w:pPr>
    </w:p>
    <w:p>
      <w:pPr>
        <w:spacing w:beforeLines="50" w:afterLines="50" w:line="400" w:lineRule="exact"/>
        <w:jc w:val="center"/>
        <w:outlineLvl w:val="0"/>
        <w:rPr>
          <w:rFonts w:ascii="宋体" w:hAnsi="宋体" w:cs="SimSun,Bold"/>
          <w:b/>
          <w:color w:val="000000" w:themeColor="text1"/>
          <w:kern w:val="0"/>
          <w:szCs w:val="21"/>
        </w:rPr>
      </w:pPr>
      <w:r>
        <w:rPr>
          <w:rFonts w:hint="eastAsia" w:ascii="宋体" w:hAnsi="宋体" w:cs="SimSun,Bold"/>
          <w:b/>
          <w:kern w:val="0"/>
          <w:szCs w:val="21"/>
        </w:rPr>
        <w:t>附录B  建筑工程安全生产标准化工地分项</w:t>
      </w:r>
      <w:r>
        <w:rPr>
          <w:rFonts w:hint="eastAsia" w:ascii="宋体" w:hAnsi="宋体" w:cs="SimSun,Bold"/>
          <w:b/>
          <w:color w:val="000000" w:themeColor="text1"/>
          <w:kern w:val="0"/>
          <w:szCs w:val="21"/>
        </w:rPr>
        <w:t>评价表</w:t>
      </w:r>
    </w:p>
    <w:p>
      <w:pPr>
        <w:spacing w:beforeLines="50" w:afterLines="50" w:line="400" w:lineRule="exact"/>
        <w:jc w:val="center"/>
        <w:rPr>
          <w:rFonts w:ascii="宋体" w:hAnsi="宋体" w:cs="SimSun,Bold"/>
          <w:b/>
          <w:kern w:val="0"/>
          <w:szCs w:val="21"/>
        </w:rPr>
      </w:pPr>
      <w:r>
        <w:rPr>
          <w:rFonts w:hint="eastAsia" w:ascii="宋体" w:hAnsi="宋体" w:cs="SimSun,Bold"/>
          <w:b/>
          <w:kern w:val="0"/>
          <w:szCs w:val="21"/>
        </w:rPr>
        <w:t>表B.</w:t>
      </w:r>
      <w:r>
        <w:rPr>
          <w:rFonts w:ascii="宋体" w:hAnsi="宋体" w:cs="SimSun,Bold"/>
          <w:b/>
          <w:kern w:val="0"/>
          <w:szCs w:val="21"/>
        </w:rPr>
        <w:t>0.</w:t>
      </w:r>
      <w:r>
        <w:rPr>
          <w:rFonts w:hint="eastAsia" w:ascii="宋体" w:hAnsi="宋体" w:cs="SimSun,Bold"/>
          <w:b/>
          <w:kern w:val="0"/>
          <w:szCs w:val="21"/>
        </w:rPr>
        <w:t>1  建设单位安全管理</w:t>
      </w:r>
      <w:r>
        <w:rPr>
          <w:rFonts w:hint="eastAsia" w:ascii="宋体" w:hAnsi="宋体" w:cs="SimSun,Bold"/>
          <w:b/>
          <w:color w:val="000000" w:themeColor="text1"/>
          <w:kern w:val="0"/>
          <w:szCs w:val="21"/>
        </w:rPr>
        <w:t>评价</w:t>
      </w:r>
      <w:r>
        <w:rPr>
          <w:rFonts w:hint="eastAsia" w:ascii="宋体" w:hAnsi="宋体" w:cs="SimSun,Bold"/>
          <w:b/>
          <w:kern w:val="0"/>
          <w:szCs w:val="21"/>
        </w:rPr>
        <w:t>表</w:t>
      </w:r>
    </w:p>
    <w:tbl>
      <w:tblPr>
        <w:tblStyle w:val="16"/>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850"/>
        <w:gridCol w:w="5387"/>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noWrap/>
            <w:vAlign w:val="center"/>
          </w:tcPr>
          <w:p>
            <w:pPr>
              <w:pStyle w:val="7"/>
              <w:spacing w:line="240" w:lineRule="auto"/>
              <w:jc w:val="center"/>
              <w:rPr>
                <w:rFonts w:hAnsi="宋体" w:cs="宋体"/>
                <w:szCs w:val="21"/>
              </w:rPr>
            </w:pPr>
            <w:r>
              <w:rPr>
                <w:rFonts w:hint="eastAsia" w:hAnsi="宋体" w:cs="宋体"/>
                <w:szCs w:val="21"/>
              </w:rPr>
              <w:t>序号</w:t>
            </w:r>
          </w:p>
        </w:tc>
        <w:tc>
          <w:tcPr>
            <w:tcW w:w="850" w:type="dxa"/>
            <w:noWrap/>
            <w:vAlign w:val="center"/>
          </w:tcPr>
          <w:p>
            <w:pPr>
              <w:pStyle w:val="7"/>
              <w:spacing w:line="240" w:lineRule="auto"/>
              <w:jc w:val="center"/>
              <w:rPr>
                <w:rFonts w:hAnsi="宋体" w:cs="宋体"/>
                <w:szCs w:val="21"/>
              </w:rPr>
            </w:pPr>
            <w:r>
              <w:rPr>
                <w:rFonts w:hint="eastAsia" w:hAnsi="宋体" w:cs="宋体"/>
                <w:szCs w:val="21"/>
              </w:rPr>
              <w:t>评价</w:t>
            </w:r>
          </w:p>
          <w:p>
            <w:pPr>
              <w:pStyle w:val="7"/>
              <w:spacing w:line="240" w:lineRule="auto"/>
              <w:jc w:val="center"/>
              <w:rPr>
                <w:rFonts w:hAnsi="宋体" w:cs="宋体"/>
                <w:szCs w:val="21"/>
              </w:rPr>
            </w:pPr>
            <w:r>
              <w:rPr>
                <w:rFonts w:hint="eastAsia" w:hAnsi="宋体" w:cs="宋体"/>
                <w:szCs w:val="21"/>
              </w:rPr>
              <w:t>项目</w:t>
            </w:r>
          </w:p>
        </w:tc>
        <w:tc>
          <w:tcPr>
            <w:tcW w:w="5387" w:type="dxa"/>
            <w:noWrap/>
            <w:vAlign w:val="center"/>
          </w:tcPr>
          <w:p>
            <w:pPr>
              <w:pStyle w:val="7"/>
              <w:spacing w:line="240" w:lineRule="auto"/>
              <w:jc w:val="center"/>
              <w:rPr>
                <w:rFonts w:hAnsi="宋体" w:cs="宋体"/>
                <w:szCs w:val="21"/>
              </w:rPr>
            </w:pPr>
            <w:r>
              <w:rPr>
                <w:rFonts w:hint="eastAsia" w:hAnsi="宋体" w:cs="宋体"/>
                <w:szCs w:val="21"/>
              </w:rPr>
              <w:t>评  分  标  准</w:t>
            </w:r>
          </w:p>
        </w:tc>
        <w:tc>
          <w:tcPr>
            <w:tcW w:w="709" w:type="dxa"/>
            <w:noWrap/>
            <w:vAlign w:val="center"/>
          </w:tcPr>
          <w:p>
            <w:pPr>
              <w:pStyle w:val="7"/>
              <w:spacing w:line="240" w:lineRule="auto"/>
              <w:jc w:val="center"/>
              <w:rPr>
                <w:rFonts w:hAnsi="宋体" w:cs="宋体"/>
                <w:szCs w:val="21"/>
              </w:rPr>
            </w:pPr>
            <w:r>
              <w:rPr>
                <w:rFonts w:hint="eastAsia" w:hAnsi="宋体" w:cs="宋体"/>
                <w:szCs w:val="21"/>
              </w:rPr>
              <w:t>应得分</w:t>
            </w:r>
          </w:p>
        </w:tc>
        <w:tc>
          <w:tcPr>
            <w:tcW w:w="708" w:type="dxa"/>
            <w:noWrap/>
            <w:vAlign w:val="center"/>
          </w:tcPr>
          <w:p>
            <w:pPr>
              <w:pStyle w:val="7"/>
              <w:spacing w:line="240" w:lineRule="auto"/>
              <w:jc w:val="center"/>
              <w:rPr>
                <w:rFonts w:hAnsi="宋体" w:cs="宋体"/>
                <w:szCs w:val="21"/>
              </w:rPr>
            </w:pPr>
            <w:r>
              <w:rPr>
                <w:rFonts w:hint="eastAsia" w:hAnsi="宋体" w:cs="宋体"/>
                <w:szCs w:val="21"/>
              </w:rPr>
              <w:t>扣减分</w:t>
            </w:r>
          </w:p>
        </w:tc>
        <w:tc>
          <w:tcPr>
            <w:tcW w:w="709" w:type="dxa"/>
            <w:noWrap/>
            <w:vAlign w:val="center"/>
          </w:tcPr>
          <w:p>
            <w:pPr>
              <w:pStyle w:val="7"/>
              <w:spacing w:line="240" w:lineRule="auto"/>
              <w:jc w:val="center"/>
              <w:rPr>
                <w:rFonts w:hAnsi="宋体" w:cs="宋体"/>
                <w:szCs w:val="21"/>
              </w:rPr>
            </w:pPr>
            <w:r>
              <w:rPr>
                <w:rFonts w:hint="eastAsia" w:hAnsi="宋体" w:cs="宋体"/>
                <w:szCs w:val="21"/>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atLeast"/>
        </w:trPr>
        <w:tc>
          <w:tcPr>
            <w:tcW w:w="568" w:type="dxa"/>
            <w:noWrap/>
            <w:vAlign w:val="center"/>
          </w:tcPr>
          <w:p>
            <w:pPr>
              <w:pStyle w:val="7"/>
              <w:spacing w:line="240" w:lineRule="auto"/>
              <w:jc w:val="center"/>
              <w:rPr>
                <w:rFonts w:hAnsi="宋体" w:cs="宋体"/>
                <w:szCs w:val="21"/>
              </w:rPr>
            </w:pPr>
            <w:r>
              <w:rPr>
                <w:rFonts w:hint="eastAsia" w:hAnsi="宋体" w:cs="宋体"/>
                <w:szCs w:val="21"/>
              </w:rPr>
              <w:t>1</w:t>
            </w:r>
          </w:p>
        </w:tc>
        <w:tc>
          <w:tcPr>
            <w:tcW w:w="850" w:type="dxa"/>
            <w:noWrap/>
            <w:vAlign w:val="center"/>
          </w:tcPr>
          <w:p>
            <w:pPr>
              <w:pStyle w:val="7"/>
              <w:spacing w:line="240" w:lineRule="auto"/>
              <w:jc w:val="center"/>
              <w:rPr>
                <w:rFonts w:hAnsi="宋体" w:cs="宋体"/>
                <w:szCs w:val="21"/>
              </w:rPr>
            </w:pPr>
            <w:r>
              <w:rPr>
                <w:rFonts w:hint="eastAsia" w:hAnsi="宋体" w:cs="宋体"/>
                <w:szCs w:val="21"/>
              </w:rPr>
              <w:t>创建责任落实</w:t>
            </w:r>
          </w:p>
        </w:tc>
        <w:tc>
          <w:tcPr>
            <w:tcW w:w="5387" w:type="dxa"/>
            <w:noWrap/>
            <w:vAlign w:val="center"/>
          </w:tcPr>
          <w:p>
            <w:pPr>
              <w:pStyle w:val="7"/>
              <w:spacing w:line="240" w:lineRule="auto"/>
              <w:rPr>
                <w:rFonts w:hAnsi="宋体" w:cs="宋体"/>
                <w:color w:val="000000" w:themeColor="text1"/>
                <w:szCs w:val="21"/>
              </w:rPr>
            </w:pPr>
            <w:r>
              <w:rPr>
                <w:rFonts w:hint="eastAsia" w:hAnsi="宋体" w:cs="宋体"/>
                <w:color w:val="000000" w:themeColor="text1"/>
                <w:szCs w:val="21"/>
              </w:rPr>
              <w:t>未组织成立创建安全生产标准化工地领导小组，扣10分</w:t>
            </w:r>
          </w:p>
          <w:p>
            <w:pPr>
              <w:pStyle w:val="7"/>
              <w:spacing w:line="240" w:lineRule="auto"/>
              <w:rPr>
                <w:rFonts w:hAnsi="宋体" w:cs="宋体"/>
                <w:color w:val="000000" w:themeColor="text1"/>
                <w:szCs w:val="21"/>
              </w:rPr>
            </w:pPr>
            <w:r>
              <w:rPr>
                <w:rFonts w:hint="eastAsia" w:hAnsi="宋体" w:cs="宋体"/>
                <w:color w:val="000000" w:themeColor="text1"/>
                <w:szCs w:val="21"/>
              </w:rPr>
              <w:t>未明确创建目标的，扣5分</w:t>
            </w:r>
          </w:p>
          <w:p>
            <w:pPr>
              <w:pStyle w:val="7"/>
              <w:spacing w:line="240" w:lineRule="auto"/>
              <w:rPr>
                <w:rFonts w:hAnsi="宋体" w:cs="宋体"/>
                <w:szCs w:val="21"/>
              </w:rPr>
            </w:pPr>
            <w:r>
              <w:rPr>
                <w:rFonts w:hint="eastAsia" w:hAnsi="宋体" w:cs="宋体"/>
                <w:color w:val="000000" w:themeColor="text1"/>
                <w:szCs w:val="21"/>
              </w:rPr>
              <w:t>未按要求组织施工、监理单位开展安全生产标准化工地自评工作的，扣5分</w:t>
            </w:r>
          </w:p>
        </w:tc>
        <w:tc>
          <w:tcPr>
            <w:tcW w:w="709" w:type="dxa"/>
            <w:noWrap/>
            <w:vAlign w:val="center"/>
          </w:tcPr>
          <w:p>
            <w:pPr>
              <w:pStyle w:val="7"/>
              <w:spacing w:line="240" w:lineRule="auto"/>
              <w:jc w:val="center"/>
              <w:rPr>
                <w:rFonts w:hAnsi="宋体" w:cs="宋体"/>
                <w:szCs w:val="21"/>
              </w:rPr>
            </w:pPr>
            <w:r>
              <w:rPr>
                <w:rFonts w:hint="eastAsia" w:hAnsi="宋体" w:cs="宋体"/>
                <w:szCs w:val="21"/>
              </w:rPr>
              <w:t>20</w:t>
            </w:r>
          </w:p>
        </w:tc>
        <w:tc>
          <w:tcPr>
            <w:tcW w:w="708" w:type="dxa"/>
            <w:noWrap/>
            <w:vAlign w:val="center"/>
          </w:tcPr>
          <w:p>
            <w:pPr>
              <w:pStyle w:val="7"/>
              <w:spacing w:line="240" w:lineRule="auto"/>
              <w:rPr>
                <w:rFonts w:hAnsi="宋体" w:cs="宋体"/>
                <w:szCs w:val="21"/>
              </w:rPr>
            </w:pPr>
          </w:p>
        </w:tc>
        <w:tc>
          <w:tcPr>
            <w:tcW w:w="709" w:type="dxa"/>
            <w:noWrap/>
            <w:vAlign w:val="center"/>
          </w:tcPr>
          <w:p>
            <w:pPr>
              <w:pStyle w:val="7"/>
              <w:spacing w:line="240" w:lineRule="auto"/>
              <w:rPr>
                <w:rFonts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568" w:type="dxa"/>
            <w:noWrap/>
            <w:vAlign w:val="center"/>
          </w:tcPr>
          <w:p>
            <w:pPr>
              <w:pStyle w:val="7"/>
              <w:spacing w:line="240" w:lineRule="auto"/>
              <w:jc w:val="center"/>
              <w:rPr>
                <w:rFonts w:hAnsi="宋体" w:cs="宋体"/>
                <w:szCs w:val="21"/>
              </w:rPr>
            </w:pPr>
            <w:r>
              <w:rPr>
                <w:rFonts w:hint="eastAsia" w:hAnsi="宋体" w:cs="宋体"/>
                <w:szCs w:val="21"/>
              </w:rPr>
              <w:t>2</w:t>
            </w:r>
          </w:p>
        </w:tc>
        <w:tc>
          <w:tcPr>
            <w:tcW w:w="850" w:type="dxa"/>
            <w:noWrap/>
            <w:vAlign w:val="center"/>
          </w:tcPr>
          <w:p>
            <w:pPr>
              <w:pStyle w:val="7"/>
              <w:spacing w:line="240" w:lineRule="auto"/>
              <w:jc w:val="center"/>
              <w:rPr>
                <w:rFonts w:hAnsi="宋体" w:cs="宋体"/>
                <w:szCs w:val="21"/>
              </w:rPr>
            </w:pPr>
            <w:r>
              <w:rPr>
                <w:rFonts w:hint="eastAsia" w:hAnsi="宋体" w:cs="宋体"/>
                <w:szCs w:val="21"/>
              </w:rPr>
              <w:t>安全文明施工措施费管理</w:t>
            </w:r>
          </w:p>
        </w:tc>
        <w:tc>
          <w:tcPr>
            <w:tcW w:w="5387" w:type="dxa"/>
            <w:noWrap/>
            <w:vAlign w:val="center"/>
          </w:tcPr>
          <w:p>
            <w:pPr>
              <w:pStyle w:val="7"/>
              <w:spacing w:line="240" w:lineRule="auto"/>
              <w:rPr>
                <w:rFonts w:hAnsi="宋体" w:cs="宋体"/>
                <w:color w:val="000000" w:themeColor="text1"/>
                <w:szCs w:val="21"/>
              </w:rPr>
            </w:pPr>
            <w:r>
              <w:rPr>
                <w:rFonts w:hint="eastAsia" w:hAnsi="宋体" w:cs="宋体"/>
                <w:szCs w:val="21"/>
              </w:rPr>
              <w:t>未在合同中确定安全文明施工措施费支付计划的，</w:t>
            </w:r>
            <w:r>
              <w:rPr>
                <w:rFonts w:hint="eastAsia" w:hAnsi="宋体" w:cs="宋体"/>
                <w:color w:val="000000" w:themeColor="text1"/>
                <w:szCs w:val="21"/>
              </w:rPr>
              <w:t>扣10分</w:t>
            </w:r>
          </w:p>
          <w:p>
            <w:pPr>
              <w:pStyle w:val="7"/>
              <w:spacing w:line="240" w:lineRule="auto"/>
              <w:rPr>
                <w:rFonts w:hAnsi="宋体" w:cs="宋体"/>
                <w:szCs w:val="21"/>
              </w:rPr>
            </w:pPr>
            <w:r>
              <w:rPr>
                <w:rFonts w:hint="eastAsia" w:hAnsi="宋体" w:cs="宋体"/>
                <w:color w:val="000000" w:themeColor="text1"/>
                <w:szCs w:val="21"/>
              </w:rPr>
              <w:t>未按合同约定及时支付安全文明施工措施费的，扣10分</w:t>
            </w:r>
          </w:p>
        </w:tc>
        <w:tc>
          <w:tcPr>
            <w:tcW w:w="709" w:type="dxa"/>
            <w:noWrap/>
            <w:vAlign w:val="center"/>
          </w:tcPr>
          <w:p>
            <w:pPr>
              <w:pStyle w:val="7"/>
              <w:spacing w:line="240" w:lineRule="auto"/>
              <w:jc w:val="center"/>
              <w:rPr>
                <w:rFonts w:hAnsi="宋体" w:cs="宋体"/>
                <w:color w:val="000000" w:themeColor="text1"/>
                <w:szCs w:val="21"/>
              </w:rPr>
            </w:pPr>
            <w:r>
              <w:rPr>
                <w:rFonts w:hint="eastAsia" w:hAnsi="宋体" w:cs="宋体"/>
                <w:color w:val="000000" w:themeColor="text1"/>
                <w:szCs w:val="21"/>
              </w:rPr>
              <w:t>20</w:t>
            </w:r>
          </w:p>
        </w:tc>
        <w:tc>
          <w:tcPr>
            <w:tcW w:w="708" w:type="dxa"/>
            <w:noWrap/>
            <w:vAlign w:val="center"/>
          </w:tcPr>
          <w:p>
            <w:pPr>
              <w:pStyle w:val="7"/>
              <w:spacing w:line="240" w:lineRule="auto"/>
              <w:rPr>
                <w:rFonts w:hAnsi="宋体" w:cs="宋体"/>
                <w:szCs w:val="21"/>
              </w:rPr>
            </w:pPr>
          </w:p>
        </w:tc>
        <w:tc>
          <w:tcPr>
            <w:tcW w:w="709" w:type="dxa"/>
            <w:noWrap/>
            <w:vAlign w:val="center"/>
          </w:tcPr>
          <w:p>
            <w:pPr>
              <w:pStyle w:val="7"/>
              <w:spacing w:line="240" w:lineRule="auto"/>
              <w:rPr>
                <w:rFonts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568" w:type="dxa"/>
            <w:noWrap/>
            <w:vAlign w:val="center"/>
          </w:tcPr>
          <w:p>
            <w:pPr>
              <w:pStyle w:val="7"/>
              <w:spacing w:line="240" w:lineRule="auto"/>
              <w:jc w:val="center"/>
              <w:rPr>
                <w:rFonts w:hAnsi="宋体" w:cs="宋体"/>
                <w:szCs w:val="21"/>
              </w:rPr>
            </w:pPr>
            <w:r>
              <w:rPr>
                <w:rFonts w:hint="eastAsia" w:hAnsi="宋体" w:cs="宋体"/>
                <w:szCs w:val="21"/>
              </w:rPr>
              <w:t>3</w:t>
            </w:r>
          </w:p>
        </w:tc>
        <w:tc>
          <w:tcPr>
            <w:tcW w:w="850" w:type="dxa"/>
            <w:noWrap/>
            <w:vAlign w:val="center"/>
          </w:tcPr>
          <w:p>
            <w:pPr>
              <w:pStyle w:val="7"/>
              <w:spacing w:line="240" w:lineRule="auto"/>
              <w:jc w:val="center"/>
              <w:rPr>
                <w:rFonts w:hAnsi="宋体" w:cs="宋体"/>
                <w:color w:val="000000" w:themeColor="text1"/>
                <w:szCs w:val="21"/>
              </w:rPr>
            </w:pPr>
            <w:r>
              <w:rPr>
                <w:rFonts w:hint="eastAsia" w:hAnsi="宋体" w:cs="宋体"/>
                <w:color w:val="000000" w:themeColor="text1"/>
                <w:szCs w:val="21"/>
              </w:rPr>
              <w:t>工程相关资料</w:t>
            </w:r>
          </w:p>
        </w:tc>
        <w:tc>
          <w:tcPr>
            <w:tcW w:w="5387" w:type="dxa"/>
            <w:noWrap/>
            <w:vAlign w:val="center"/>
          </w:tcPr>
          <w:p>
            <w:pPr>
              <w:pStyle w:val="7"/>
              <w:spacing w:line="240" w:lineRule="auto"/>
              <w:rPr>
                <w:rFonts w:hAnsi="宋体" w:cs="宋体"/>
                <w:color w:val="000000" w:themeColor="text1"/>
                <w:szCs w:val="21"/>
              </w:rPr>
            </w:pPr>
            <w:r>
              <w:rPr>
                <w:rFonts w:hint="eastAsia" w:hAnsi="宋体" w:cs="宋体"/>
                <w:color w:val="000000" w:themeColor="text1"/>
                <w:szCs w:val="21"/>
              </w:rPr>
              <w:t>未</w:t>
            </w:r>
            <w:r>
              <w:rPr>
                <w:rFonts w:hAnsi="宋体" w:cs="宋体"/>
                <w:color w:val="000000" w:themeColor="text1"/>
                <w:szCs w:val="21"/>
              </w:rPr>
              <w:t>向施工单位提供施工现场及毗邻区域内供水、排水、供电、供气、供热、通信、广播电视等地下管线资料、气象和水文观测资料、相邻建筑物和构筑物、地下工程等资料</w:t>
            </w:r>
            <w:r>
              <w:rPr>
                <w:rFonts w:hint="eastAsia" w:hAnsi="宋体" w:cs="宋体"/>
                <w:color w:val="000000" w:themeColor="text1"/>
                <w:szCs w:val="21"/>
              </w:rPr>
              <w:t>，扣10分</w:t>
            </w:r>
          </w:p>
          <w:p>
            <w:pPr>
              <w:pStyle w:val="7"/>
              <w:spacing w:line="240" w:lineRule="auto"/>
              <w:rPr>
                <w:rFonts w:hAnsi="宋体" w:cs="宋体"/>
                <w:color w:val="000000" w:themeColor="text1"/>
                <w:szCs w:val="21"/>
              </w:rPr>
            </w:pPr>
            <w:r>
              <w:rPr>
                <w:rFonts w:hAnsi="宋体" w:cs="宋体"/>
                <w:color w:val="000000" w:themeColor="text1"/>
                <w:szCs w:val="21"/>
              </w:rPr>
              <w:t>建设单位提供的资料</w:t>
            </w:r>
            <w:r>
              <w:rPr>
                <w:rFonts w:hint="eastAsia" w:hAnsi="宋体" w:cs="宋体"/>
                <w:color w:val="000000" w:themeColor="text1"/>
                <w:szCs w:val="21"/>
              </w:rPr>
              <w:t>不</w:t>
            </w:r>
            <w:r>
              <w:rPr>
                <w:rFonts w:hAnsi="宋体" w:cs="宋体"/>
                <w:color w:val="000000" w:themeColor="text1"/>
                <w:szCs w:val="21"/>
              </w:rPr>
              <w:t>真实、</w:t>
            </w:r>
            <w:r>
              <w:rPr>
                <w:rFonts w:hint="eastAsia" w:hAnsi="宋体" w:cs="宋体"/>
                <w:color w:val="000000" w:themeColor="text1"/>
                <w:szCs w:val="21"/>
              </w:rPr>
              <w:t>不</w:t>
            </w:r>
            <w:r>
              <w:rPr>
                <w:rFonts w:hAnsi="宋体" w:cs="宋体"/>
                <w:color w:val="000000" w:themeColor="text1"/>
                <w:szCs w:val="21"/>
              </w:rPr>
              <w:t>准确、</w:t>
            </w:r>
            <w:r>
              <w:rPr>
                <w:rFonts w:hint="eastAsia" w:hAnsi="宋体" w:cs="宋体"/>
                <w:color w:val="000000" w:themeColor="text1"/>
                <w:szCs w:val="21"/>
              </w:rPr>
              <w:t>不</w:t>
            </w:r>
            <w:r>
              <w:rPr>
                <w:rFonts w:hAnsi="宋体" w:cs="宋体"/>
                <w:color w:val="000000" w:themeColor="text1"/>
                <w:szCs w:val="21"/>
              </w:rPr>
              <w:t>完整</w:t>
            </w:r>
            <w:r>
              <w:rPr>
                <w:rFonts w:hint="eastAsia" w:hAnsi="宋体" w:cs="宋体"/>
                <w:color w:val="000000" w:themeColor="text1"/>
                <w:szCs w:val="21"/>
              </w:rPr>
              <w:t>的，扣10分</w:t>
            </w:r>
          </w:p>
        </w:tc>
        <w:tc>
          <w:tcPr>
            <w:tcW w:w="709" w:type="dxa"/>
            <w:noWrap/>
            <w:vAlign w:val="center"/>
          </w:tcPr>
          <w:p>
            <w:pPr>
              <w:pStyle w:val="7"/>
              <w:spacing w:line="240" w:lineRule="auto"/>
              <w:jc w:val="center"/>
              <w:rPr>
                <w:rFonts w:hAnsi="宋体" w:cs="宋体"/>
                <w:color w:val="000000" w:themeColor="text1"/>
                <w:szCs w:val="21"/>
              </w:rPr>
            </w:pPr>
            <w:r>
              <w:rPr>
                <w:rFonts w:hint="eastAsia" w:hAnsi="宋体" w:cs="宋体"/>
                <w:color w:val="000000" w:themeColor="text1"/>
                <w:szCs w:val="21"/>
              </w:rPr>
              <w:t>20</w:t>
            </w:r>
          </w:p>
        </w:tc>
        <w:tc>
          <w:tcPr>
            <w:tcW w:w="708" w:type="dxa"/>
            <w:noWrap/>
            <w:vAlign w:val="center"/>
          </w:tcPr>
          <w:p>
            <w:pPr>
              <w:pStyle w:val="7"/>
              <w:spacing w:line="240" w:lineRule="auto"/>
              <w:rPr>
                <w:rFonts w:hAnsi="宋体" w:cs="宋体"/>
                <w:szCs w:val="21"/>
              </w:rPr>
            </w:pPr>
          </w:p>
        </w:tc>
        <w:tc>
          <w:tcPr>
            <w:tcW w:w="709" w:type="dxa"/>
            <w:noWrap/>
            <w:vAlign w:val="center"/>
          </w:tcPr>
          <w:p>
            <w:pPr>
              <w:pStyle w:val="7"/>
              <w:spacing w:line="240" w:lineRule="auto"/>
              <w:rPr>
                <w:rFonts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568" w:type="dxa"/>
            <w:noWrap/>
            <w:vAlign w:val="center"/>
          </w:tcPr>
          <w:p>
            <w:pPr>
              <w:pStyle w:val="7"/>
              <w:spacing w:line="240" w:lineRule="auto"/>
              <w:jc w:val="center"/>
              <w:rPr>
                <w:rFonts w:hAnsi="宋体" w:cs="宋体"/>
                <w:szCs w:val="21"/>
              </w:rPr>
            </w:pPr>
            <w:r>
              <w:rPr>
                <w:rFonts w:hint="eastAsia" w:hAnsi="宋体" w:cs="宋体"/>
                <w:szCs w:val="21"/>
              </w:rPr>
              <w:t>4</w:t>
            </w:r>
          </w:p>
        </w:tc>
        <w:tc>
          <w:tcPr>
            <w:tcW w:w="850" w:type="dxa"/>
            <w:noWrap/>
            <w:vAlign w:val="center"/>
          </w:tcPr>
          <w:p>
            <w:pPr>
              <w:pStyle w:val="7"/>
              <w:spacing w:line="240" w:lineRule="auto"/>
              <w:jc w:val="center"/>
              <w:rPr>
                <w:rFonts w:hAnsi="宋体" w:cs="宋体"/>
                <w:szCs w:val="21"/>
              </w:rPr>
            </w:pPr>
            <w:r>
              <w:rPr>
                <w:rFonts w:hint="eastAsia" w:hAnsi="宋体" w:cs="宋体"/>
                <w:szCs w:val="21"/>
              </w:rPr>
              <w:t>危大工程管理</w:t>
            </w:r>
          </w:p>
        </w:tc>
        <w:tc>
          <w:tcPr>
            <w:tcW w:w="5387" w:type="dxa"/>
            <w:noWrap/>
            <w:vAlign w:val="center"/>
          </w:tcPr>
          <w:p>
            <w:pPr>
              <w:pStyle w:val="7"/>
              <w:spacing w:line="240" w:lineRule="auto"/>
              <w:rPr>
                <w:rFonts w:hAnsi="宋体" w:cs="宋体"/>
                <w:color w:val="000000" w:themeColor="text1"/>
                <w:szCs w:val="21"/>
              </w:rPr>
            </w:pPr>
            <w:r>
              <w:rPr>
                <w:rFonts w:hint="eastAsia" w:hAnsi="宋体" w:cs="宋体"/>
                <w:color w:val="000000" w:themeColor="text1"/>
                <w:szCs w:val="21"/>
              </w:rPr>
              <w:t>未提供危大工程清单的，扣10分</w:t>
            </w:r>
          </w:p>
          <w:p>
            <w:pPr>
              <w:pStyle w:val="7"/>
              <w:spacing w:line="240" w:lineRule="auto"/>
              <w:rPr>
                <w:rFonts w:hAnsi="宋体" w:cs="宋体"/>
                <w:color w:val="000000" w:themeColor="text1"/>
                <w:szCs w:val="21"/>
              </w:rPr>
            </w:pPr>
            <w:r>
              <w:rPr>
                <w:rFonts w:hint="eastAsia" w:hAnsi="宋体" w:cs="宋体"/>
                <w:bCs w:val="0"/>
                <w:color w:val="000000" w:themeColor="text1"/>
                <w:shd w:val="clear" w:color="auto" w:fill="FFFFFF"/>
              </w:rPr>
              <w:t>对于按照规定需要进行第三方监测的危大工程，</w:t>
            </w:r>
            <w:r>
              <w:rPr>
                <w:rFonts w:hint="eastAsia" w:hAnsi="宋体" w:cs="宋体"/>
                <w:color w:val="000000" w:themeColor="text1"/>
                <w:szCs w:val="21"/>
              </w:rPr>
              <w:t>未委托具有相应勘察资质单位进行监测的，或对第三方监测单位报告的异常情况未组织采取处置措施的，扣10分</w:t>
            </w:r>
          </w:p>
          <w:p>
            <w:pPr>
              <w:pStyle w:val="7"/>
              <w:spacing w:line="240" w:lineRule="auto"/>
              <w:rPr>
                <w:rFonts w:hAnsi="宋体" w:cs="宋体"/>
                <w:szCs w:val="24"/>
                <w:shd w:val="clear" w:color="auto" w:fill="FFFFFF"/>
              </w:rPr>
            </w:pPr>
            <w:r>
              <w:rPr>
                <w:rFonts w:hint="eastAsia" w:hAnsi="宋体" w:cs="宋体"/>
                <w:color w:val="000000" w:themeColor="text1"/>
                <w:szCs w:val="21"/>
              </w:rPr>
              <w:t>项目负责人未按规定参加</w:t>
            </w:r>
            <w:r>
              <w:rPr>
                <w:rFonts w:hint="eastAsia" w:hAnsi="宋体" w:cs="宋体"/>
                <w:color w:val="000000"/>
                <w:szCs w:val="21"/>
              </w:rPr>
              <w:t>超过一定规模的危大工程专项施工方案专家论证会</w:t>
            </w:r>
            <w:r>
              <w:rPr>
                <w:rFonts w:hint="eastAsia" w:hAnsi="宋体" w:cs="宋体"/>
                <w:color w:val="000000" w:themeColor="text1"/>
                <w:szCs w:val="21"/>
              </w:rPr>
              <w:t>的，扣10分</w:t>
            </w:r>
          </w:p>
        </w:tc>
        <w:tc>
          <w:tcPr>
            <w:tcW w:w="709" w:type="dxa"/>
            <w:noWrap/>
            <w:vAlign w:val="center"/>
          </w:tcPr>
          <w:p>
            <w:pPr>
              <w:pStyle w:val="7"/>
              <w:spacing w:line="240" w:lineRule="auto"/>
              <w:jc w:val="center"/>
              <w:rPr>
                <w:rFonts w:hAnsi="宋体" w:cs="宋体"/>
                <w:szCs w:val="21"/>
              </w:rPr>
            </w:pPr>
            <w:r>
              <w:rPr>
                <w:rFonts w:hint="eastAsia" w:hAnsi="宋体" w:cs="宋体"/>
                <w:szCs w:val="21"/>
              </w:rPr>
              <w:t>30</w:t>
            </w:r>
          </w:p>
        </w:tc>
        <w:tc>
          <w:tcPr>
            <w:tcW w:w="708" w:type="dxa"/>
            <w:noWrap/>
            <w:vAlign w:val="center"/>
          </w:tcPr>
          <w:p>
            <w:pPr>
              <w:pStyle w:val="7"/>
              <w:spacing w:line="240" w:lineRule="auto"/>
              <w:rPr>
                <w:rFonts w:hAnsi="宋体" w:cs="宋体"/>
                <w:szCs w:val="21"/>
              </w:rPr>
            </w:pPr>
          </w:p>
        </w:tc>
        <w:tc>
          <w:tcPr>
            <w:tcW w:w="709" w:type="dxa"/>
            <w:noWrap/>
            <w:vAlign w:val="center"/>
          </w:tcPr>
          <w:p>
            <w:pPr>
              <w:pStyle w:val="7"/>
              <w:spacing w:line="240" w:lineRule="auto"/>
              <w:rPr>
                <w:rFonts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568" w:type="dxa"/>
            <w:noWrap/>
            <w:vAlign w:val="center"/>
          </w:tcPr>
          <w:p>
            <w:pPr>
              <w:pStyle w:val="7"/>
              <w:spacing w:line="240" w:lineRule="auto"/>
              <w:jc w:val="center"/>
              <w:rPr>
                <w:rFonts w:hAnsi="宋体" w:cs="宋体"/>
                <w:szCs w:val="21"/>
              </w:rPr>
            </w:pPr>
            <w:r>
              <w:rPr>
                <w:rFonts w:hint="eastAsia" w:hAnsi="宋体" w:cs="宋体"/>
                <w:szCs w:val="21"/>
              </w:rPr>
              <w:t>5</w:t>
            </w:r>
          </w:p>
        </w:tc>
        <w:tc>
          <w:tcPr>
            <w:tcW w:w="850" w:type="dxa"/>
            <w:noWrap/>
            <w:vAlign w:val="center"/>
          </w:tcPr>
          <w:p>
            <w:pPr>
              <w:pStyle w:val="7"/>
              <w:spacing w:line="240" w:lineRule="auto"/>
              <w:jc w:val="center"/>
              <w:rPr>
                <w:rFonts w:hAnsi="宋体" w:cs="宋体"/>
                <w:color w:val="000000" w:themeColor="text1"/>
                <w:szCs w:val="21"/>
              </w:rPr>
            </w:pPr>
            <w:r>
              <w:rPr>
                <w:rFonts w:hint="eastAsia" w:hAnsi="宋体" w:cs="宋体"/>
                <w:color w:val="000000" w:themeColor="text1"/>
                <w:szCs w:val="21"/>
              </w:rPr>
              <w:t>合同工期管理</w:t>
            </w:r>
          </w:p>
        </w:tc>
        <w:tc>
          <w:tcPr>
            <w:tcW w:w="5387" w:type="dxa"/>
            <w:noWrap/>
            <w:vAlign w:val="center"/>
          </w:tcPr>
          <w:p>
            <w:pPr>
              <w:pStyle w:val="7"/>
              <w:spacing w:line="240" w:lineRule="auto"/>
              <w:rPr>
                <w:rFonts w:hAnsi="宋体" w:cs="宋体"/>
                <w:color w:val="000000" w:themeColor="text1"/>
                <w:szCs w:val="21"/>
              </w:rPr>
            </w:pPr>
            <w:r>
              <w:rPr>
                <w:rFonts w:hint="eastAsia" w:hAnsi="宋体" w:cs="宋体"/>
                <w:color w:val="000000" w:themeColor="text1"/>
                <w:szCs w:val="21"/>
              </w:rPr>
              <w:t>随意压缩合同约定工期的，扣10分</w:t>
            </w:r>
          </w:p>
        </w:tc>
        <w:tc>
          <w:tcPr>
            <w:tcW w:w="709" w:type="dxa"/>
            <w:noWrap/>
            <w:vAlign w:val="center"/>
          </w:tcPr>
          <w:p>
            <w:pPr>
              <w:pStyle w:val="7"/>
              <w:spacing w:line="240" w:lineRule="auto"/>
              <w:jc w:val="center"/>
              <w:rPr>
                <w:rFonts w:hAnsi="宋体" w:cs="宋体"/>
                <w:color w:val="000000" w:themeColor="text1"/>
                <w:szCs w:val="21"/>
              </w:rPr>
            </w:pPr>
            <w:r>
              <w:rPr>
                <w:rFonts w:hint="eastAsia" w:hAnsi="宋体" w:cs="宋体"/>
                <w:color w:val="000000" w:themeColor="text1"/>
                <w:szCs w:val="21"/>
              </w:rPr>
              <w:t>10</w:t>
            </w:r>
          </w:p>
        </w:tc>
        <w:tc>
          <w:tcPr>
            <w:tcW w:w="708" w:type="dxa"/>
            <w:noWrap/>
            <w:vAlign w:val="center"/>
          </w:tcPr>
          <w:p>
            <w:pPr>
              <w:pStyle w:val="7"/>
              <w:spacing w:line="240" w:lineRule="auto"/>
              <w:rPr>
                <w:rFonts w:hAnsi="宋体" w:cs="宋体"/>
                <w:szCs w:val="21"/>
              </w:rPr>
            </w:pPr>
          </w:p>
        </w:tc>
        <w:tc>
          <w:tcPr>
            <w:tcW w:w="709" w:type="dxa"/>
            <w:noWrap/>
            <w:vAlign w:val="center"/>
          </w:tcPr>
          <w:p>
            <w:pPr>
              <w:pStyle w:val="7"/>
              <w:spacing w:line="240" w:lineRule="auto"/>
              <w:rPr>
                <w:rFonts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6805" w:type="dxa"/>
            <w:gridSpan w:val="3"/>
            <w:noWrap/>
            <w:vAlign w:val="center"/>
          </w:tcPr>
          <w:p>
            <w:pPr>
              <w:pStyle w:val="7"/>
              <w:spacing w:line="240" w:lineRule="auto"/>
              <w:jc w:val="center"/>
              <w:rPr>
                <w:rFonts w:hAnsi="宋体" w:cs="宋体"/>
                <w:szCs w:val="21"/>
              </w:rPr>
            </w:pPr>
            <w:r>
              <w:rPr>
                <w:rFonts w:hint="eastAsia" w:hAnsi="宋体" w:cs="宋体"/>
                <w:szCs w:val="21"/>
              </w:rPr>
              <w:t>合计</w:t>
            </w:r>
          </w:p>
        </w:tc>
        <w:tc>
          <w:tcPr>
            <w:tcW w:w="709" w:type="dxa"/>
            <w:noWrap/>
            <w:vAlign w:val="center"/>
          </w:tcPr>
          <w:p>
            <w:pPr>
              <w:pStyle w:val="7"/>
              <w:spacing w:line="240" w:lineRule="auto"/>
              <w:jc w:val="center"/>
              <w:rPr>
                <w:rFonts w:hAnsi="宋体" w:cs="宋体"/>
                <w:szCs w:val="21"/>
              </w:rPr>
            </w:pPr>
            <w:r>
              <w:rPr>
                <w:rFonts w:hint="eastAsia" w:hAnsi="宋体" w:cs="宋体"/>
                <w:szCs w:val="21"/>
              </w:rPr>
              <w:t>100</w:t>
            </w:r>
          </w:p>
        </w:tc>
        <w:tc>
          <w:tcPr>
            <w:tcW w:w="708" w:type="dxa"/>
            <w:noWrap/>
            <w:vAlign w:val="center"/>
          </w:tcPr>
          <w:p>
            <w:pPr>
              <w:pStyle w:val="7"/>
              <w:spacing w:line="240" w:lineRule="auto"/>
              <w:rPr>
                <w:rFonts w:hAnsi="宋体" w:cs="宋体"/>
                <w:szCs w:val="21"/>
              </w:rPr>
            </w:pPr>
          </w:p>
        </w:tc>
        <w:tc>
          <w:tcPr>
            <w:tcW w:w="709" w:type="dxa"/>
            <w:noWrap/>
            <w:vAlign w:val="center"/>
          </w:tcPr>
          <w:p>
            <w:pPr>
              <w:pStyle w:val="7"/>
              <w:spacing w:line="240" w:lineRule="auto"/>
              <w:rPr>
                <w:rFonts w:hAnsi="宋体" w:cs="宋体"/>
                <w:szCs w:val="21"/>
              </w:rPr>
            </w:pPr>
          </w:p>
        </w:tc>
      </w:tr>
    </w:tbl>
    <w:p>
      <w:pPr>
        <w:pStyle w:val="7"/>
        <w:rPr>
          <w:rFonts w:hAnsi="宋体" w:cs="宋体"/>
          <w:szCs w:val="24"/>
        </w:rPr>
      </w:pPr>
    </w:p>
    <w:p>
      <w:pPr>
        <w:pStyle w:val="7"/>
        <w:rPr>
          <w:rFonts w:hAnsi="宋体" w:cs="宋体"/>
          <w:szCs w:val="24"/>
        </w:rPr>
      </w:pPr>
    </w:p>
    <w:p>
      <w:pPr>
        <w:pStyle w:val="7"/>
        <w:rPr>
          <w:rFonts w:hAnsi="宋体" w:cs="宋体"/>
          <w:b/>
          <w:szCs w:val="21"/>
        </w:rPr>
      </w:pPr>
      <w:r>
        <w:rPr>
          <w:rFonts w:hint="eastAsia" w:hAnsi="宋体" w:cs="宋体"/>
          <w:szCs w:val="24"/>
        </w:rPr>
        <w:t>评价人员：</w:t>
      </w:r>
      <w:r>
        <w:rPr>
          <w:rFonts w:hint="eastAsia" w:hAnsi="宋体"/>
          <w:szCs w:val="24"/>
        </w:rPr>
        <w:t xml:space="preserve">                                              年    月    日</w:t>
      </w:r>
    </w:p>
    <w:p>
      <w:pPr>
        <w:pStyle w:val="7"/>
        <w:ind w:firstLine="422"/>
        <w:jc w:val="center"/>
        <w:rPr>
          <w:rFonts w:hAnsi="宋体" w:cs="宋体"/>
          <w:b/>
          <w:bCs w:val="0"/>
          <w:szCs w:val="21"/>
        </w:rPr>
      </w:pPr>
    </w:p>
    <w:p>
      <w:pPr>
        <w:pStyle w:val="7"/>
        <w:ind w:firstLine="422"/>
        <w:jc w:val="center"/>
        <w:rPr>
          <w:rFonts w:hAnsi="宋体" w:cs="宋体"/>
          <w:b/>
          <w:bCs w:val="0"/>
          <w:szCs w:val="21"/>
        </w:rPr>
      </w:pPr>
    </w:p>
    <w:p>
      <w:pPr>
        <w:pStyle w:val="7"/>
        <w:rPr>
          <w:rFonts w:hAnsi="宋体" w:cs="宋体"/>
          <w:b/>
          <w:bCs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r>
        <w:rPr>
          <w:rFonts w:hint="eastAsia" w:ascii="宋体" w:hAnsi="宋体" w:cs="SimSun,Bold"/>
          <w:b/>
          <w:kern w:val="0"/>
          <w:szCs w:val="21"/>
        </w:rPr>
        <w:t>表B.</w:t>
      </w:r>
      <w:r>
        <w:rPr>
          <w:rFonts w:ascii="宋体" w:hAnsi="宋体" w:cs="SimSun,Bold"/>
          <w:b/>
          <w:kern w:val="0"/>
          <w:szCs w:val="21"/>
        </w:rPr>
        <w:t>0.</w:t>
      </w:r>
      <w:r>
        <w:rPr>
          <w:rFonts w:hint="eastAsia" w:ascii="宋体" w:hAnsi="宋体" w:cs="SimSun,Bold"/>
          <w:b/>
          <w:kern w:val="0"/>
          <w:szCs w:val="21"/>
        </w:rPr>
        <w:t>2  监理单位安全管理评价表</w:t>
      </w:r>
    </w:p>
    <w:p>
      <w:pPr>
        <w:spacing w:beforeLines="50" w:afterLines="50" w:line="240" w:lineRule="exact"/>
        <w:jc w:val="center"/>
        <w:rPr>
          <w:rFonts w:ascii="宋体" w:hAnsi="宋体" w:cs="SimSun,Bold"/>
          <w:b/>
          <w:kern w:val="0"/>
          <w:sz w:val="10"/>
          <w:szCs w:val="10"/>
        </w:rPr>
      </w:pPr>
    </w:p>
    <w:tbl>
      <w:tblPr>
        <w:tblStyle w:val="16"/>
        <w:tblW w:w="8931" w:type="dxa"/>
        <w:tblInd w:w="3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850"/>
        <w:gridCol w:w="5352"/>
        <w:gridCol w:w="730"/>
        <w:gridCol w:w="722"/>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68" w:type="dxa"/>
            <w:noWrap/>
            <w:vAlign w:val="center"/>
          </w:tcPr>
          <w:p>
            <w:pPr>
              <w:pStyle w:val="7"/>
              <w:spacing w:line="240" w:lineRule="auto"/>
              <w:jc w:val="center"/>
              <w:rPr>
                <w:rFonts w:hAnsi="宋体" w:cs="宋体"/>
                <w:szCs w:val="21"/>
              </w:rPr>
            </w:pPr>
            <w:r>
              <w:rPr>
                <w:rFonts w:hint="eastAsia" w:hAnsi="宋体" w:cs="宋体"/>
                <w:szCs w:val="21"/>
              </w:rPr>
              <w:t>序号</w:t>
            </w:r>
          </w:p>
        </w:tc>
        <w:tc>
          <w:tcPr>
            <w:tcW w:w="850" w:type="dxa"/>
            <w:noWrap/>
            <w:vAlign w:val="center"/>
          </w:tcPr>
          <w:p>
            <w:pPr>
              <w:pStyle w:val="7"/>
              <w:spacing w:line="240" w:lineRule="auto"/>
              <w:jc w:val="center"/>
              <w:rPr>
                <w:rFonts w:hAnsi="宋体" w:cs="宋体"/>
                <w:szCs w:val="21"/>
              </w:rPr>
            </w:pPr>
            <w:r>
              <w:rPr>
                <w:rFonts w:hint="eastAsia" w:hAnsi="宋体" w:cs="宋体"/>
                <w:szCs w:val="21"/>
              </w:rPr>
              <w:t>评价</w:t>
            </w:r>
          </w:p>
          <w:p>
            <w:pPr>
              <w:pStyle w:val="7"/>
              <w:spacing w:line="240" w:lineRule="auto"/>
              <w:jc w:val="center"/>
              <w:rPr>
                <w:rFonts w:hAnsi="宋体" w:cs="宋体"/>
                <w:szCs w:val="21"/>
              </w:rPr>
            </w:pPr>
            <w:r>
              <w:rPr>
                <w:rFonts w:hint="eastAsia" w:hAnsi="宋体" w:cs="宋体"/>
                <w:szCs w:val="21"/>
              </w:rPr>
              <w:t>项目</w:t>
            </w:r>
          </w:p>
        </w:tc>
        <w:tc>
          <w:tcPr>
            <w:tcW w:w="5352" w:type="dxa"/>
            <w:noWrap/>
            <w:vAlign w:val="center"/>
          </w:tcPr>
          <w:p>
            <w:pPr>
              <w:pStyle w:val="7"/>
              <w:spacing w:line="240" w:lineRule="auto"/>
              <w:jc w:val="center"/>
              <w:rPr>
                <w:rFonts w:hAnsi="宋体" w:cs="宋体"/>
                <w:szCs w:val="21"/>
              </w:rPr>
            </w:pPr>
            <w:r>
              <w:rPr>
                <w:rFonts w:hint="eastAsia" w:hAnsi="宋体" w:cs="宋体"/>
                <w:szCs w:val="21"/>
              </w:rPr>
              <w:t>评  价  标  准</w:t>
            </w:r>
          </w:p>
        </w:tc>
        <w:tc>
          <w:tcPr>
            <w:tcW w:w="730" w:type="dxa"/>
            <w:noWrap/>
            <w:vAlign w:val="center"/>
          </w:tcPr>
          <w:p>
            <w:pPr>
              <w:pStyle w:val="7"/>
              <w:spacing w:line="240" w:lineRule="auto"/>
              <w:jc w:val="center"/>
              <w:rPr>
                <w:rFonts w:hAnsi="宋体" w:cs="宋体"/>
                <w:szCs w:val="21"/>
              </w:rPr>
            </w:pPr>
            <w:r>
              <w:rPr>
                <w:rFonts w:hint="eastAsia" w:hAnsi="宋体" w:cs="宋体"/>
                <w:szCs w:val="21"/>
              </w:rPr>
              <w:t>应得分</w:t>
            </w:r>
          </w:p>
        </w:tc>
        <w:tc>
          <w:tcPr>
            <w:tcW w:w="722" w:type="dxa"/>
            <w:noWrap/>
            <w:vAlign w:val="center"/>
          </w:tcPr>
          <w:p>
            <w:pPr>
              <w:pStyle w:val="7"/>
              <w:spacing w:line="240" w:lineRule="auto"/>
              <w:jc w:val="center"/>
              <w:rPr>
                <w:rFonts w:hAnsi="宋体" w:cs="宋体"/>
                <w:szCs w:val="21"/>
              </w:rPr>
            </w:pPr>
            <w:r>
              <w:rPr>
                <w:rFonts w:hint="eastAsia" w:hAnsi="宋体" w:cs="宋体"/>
                <w:szCs w:val="21"/>
              </w:rPr>
              <w:t>扣减分</w:t>
            </w:r>
          </w:p>
        </w:tc>
        <w:tc>
          <w:tcPr>
            <w:tcW w:w="709" w:type="dxa"/>
            <w:noWrap/>
            <w:vAlign w:val="center"/>
          </w:tcPr>
          <w:p>
            <w:pPr>
              <w:pStyle w:val="7"/>
              <w:spacing w:line="240" w:lineRule="auto"/>
              <w:jc w:val="center"/>
              <w:rPr>
                <w:rFonts w:hAnsi="宋体" w:cs="宋体"/>
                <w:szCs w:val="21"/>
              </w:rPr>
            </w:pPr>
            <w:r>
              <w:rPr>
                <w:rFonts w:hint="eastAsia" w:hAnsi="宋体" w:cs="宋体"/>
                <w:szCs w:val="21"/>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trPr>
        <w:tc>
          <w:tcPr>
            <w:tcW w:w="568" w:type="dxa"/>
            <w:noWrap/>
            <w:vAlign w:val="center"/>
          </w:tcPr>
          <w:p>
            <w:pPr>
              <w:pStyle w:val="7"/>
              <w:spacing w:line="240" w:lineRule="auto"/>
              <w:jc w:val="center"/>
              <w:rPr>
                <w:rFonts w:hAnsi="宋体" w:cs="宋体"/>
                <w:szCs w:val="21"/>
              </w:rPr>
            </w:pPr>
            <w:r>
              <w:rPr>
                <w:rFonts w:hint="eastAsia" w:hAnsi="宋体" w:cs="宋体"/>
                <w:szCs w:val="21"/>
              </w:rPr>
              <w:t>1</w:t>
            </w:r>
          </w:p>
        </w:tc>
        <w:tc>
          <w:tcPr>
            <w:tcW w:w="850" w:type="dxa"/>
            <w:noWrap/>
            <w:vAlign w:val="center"/>
          </w:tcPr>
          <w:p>
            <w:pPr>
              <w:pStyle w:val="7"/>
              <w:spacing w:line="240" w:lineRule="auto"/>
              <w:jc w:val="center"/>
              <w:rPr>
                <w:rFonts w:hAnsi="宋体" w:cs="宋体"/>
                <w:szCs w:val="21"/>
              </w:rPr>
            </w:pPr>
            <w:r>
              <w:rPr>
                <w:rFonts w:hint="eastAsia" w:hAnsi="宋体" w:cs="宋体"/>
                <w:szCs w:val="21"/>
              </w:rPr>
              <w:t>安全监理责任制</w:t>
            </w:r>
          </w:p>
        </w:tc>
        <w:tc>
          <w:tcPr>
            <w:tcW w:w="5352" w:type="dxa"/>
            <w:noWrap/>
            <w:vAlign w:val="center"/>
          </w:tcPr>
          <w:p>
            <w:pPr>
              <w:pStyle w:val="7"/>
              <w:spacing w:line="240" w:lineRule="auto"/>
              <w:rPr>
                <w:rFonts w:hAnsi="宋体" w:cs="宋体"/>
                <w:szCs w:val="21"/>
              </w:rPr>
            </w:pPr>
            <w:r>
              <w:rPr>
                <w:rFonts w:hint="eastAsia" w:hAnsi="宋体" w:cs="宋体"/>
                <w:szCs w:val="21"/>
              </w:rPr>
              <w:t>未按照要求成立项目监理组织机构，扣15分</w:t>
            </w:r>
          </w:p>
          <w:p>
            <w:pPr>
              <w:pStyle w:val="7"/>
              <w:spacing w:line="240" w:lineRule="auto"/>
              <w:rPr>
                <w:rFonts w:hAnsi="宋体" w:cs="宋体"/>
                <w:szCs w:val="21"/>
              </w:rPr>
            </w:pPr>
            <w:r>
              <w:rPr>
                <w:rFonts w:hint="eastAsia" w:hAnsi="宋体" w:cs="宋体"/>
                <w:szCs w:val="21"/>
              </w:rPr>
              <w:t>未按照合同约定配备项目监理人员，每少1人扣5分</w:t>
            </w:r>
          </w:p>
          <w:p>
            <w:pPr>
              <w:pStyle w:val="7"/>
              <w:spacing w:line="240" w:lineRule="auto"/>
              <w:rPr>
                <w:rFonts w:hAnsi="宋体" w:cs="宋体"/>
                <w:szCs w:val="21"/>
              </w:rPr>
            </w:pPr>
            <w:r>
              <w:rPr>
                <w:rFonts w:hint="eastAsia" w:hAnsi="宋体" w:cs="宋体"/>
                <w:szCs w:val="21"/>
              </w:rPr>
              <w:t>未制定监理安全生产责任制的，扣15分</w:t>
            </w:r>
          </w:p>
          <w:p>
            <w:pPr>
              <w:pStyle w:val="7"/>
              <w:spacing w:line="240" w:lineRule="auto"/>
              <w:rPr>
                <w:rFonts w:hAnsi="宋体" w:cs="宋体"/>
                <w:szCs w:val="21"/>
              </w:rPr>
            </w:pPr>
            <w:r>
              <w:rPr>
                <w:rFonts w:hint="eastAsia" w:hAnsi="宋体" w:cs="宋体"/>
                <w:szCs w:val="21"/>
              </w:rPr>
              <w:t>未制定监理例会制度的，扣10分</w:t>
            </w:r>
          </w:p>
          <w:p>
            <w:pPr>
              <w:pStyle w:val="7"/>
              <w:spacing w:line="240" w:lineRule="auto"/>
              <w:rPr>
                <w:rFonts w:hAnsi="宋体" w:cs="宋体"/>
                <w:szCs w:val="21"/>
              </w:rPr>
            </w:pPr>
            <w:r>
              <w:rPr>
                <w:rFonts w:hint="eastAsia" w:hAnsi="宋体" w:cs="宋体"/>
                <w:szCs w:val="21"/>
              </w:rPr>
              <w:t>未定期召开监理例会的，每少一次扣3分</w:t>
            </w:r>
          </w:p>
        </w:tc>
        <w:tc>
          <w:tcPr>
            <w:tcW w:w="730" w:type="dxa"/>
            <w:noWrap/>
            <w:vAlign w:val="center"/>
          </w:tcPr>
          <w:p>
            <w:pPr>
              <w:pStyle w:val="7"/>
              <w:spacing w:line="240" w:lineRule="auto"/>
              <w:jc w:val="center"/>
              <w:rPr>
                <w:rFonts w:hAnsi="宋体" w:cs="宋体"/>
                <w:szCs w:val="21"/>
              </w:rPr>
            </w:pPr>
            <w:r>
              <w:rPr>
                <w:rFonts w:hint="eastAsia" w:hAnsi="宋体" w:cs="宋体"/>
                <w:szCs w:val="21"/>
              </w:rPr>
              <w:t>15</w:t>
            </w:r>
          </w:p>
        </w:tc>
        <w:tc>
          <w:tcPr>
            <w:tcW w:w="722" w:type="dxa"/>
            <w:noWrap/>
            <w:vAlign w:val="center"/>
          </w:tcPr>
          <w:p>
            <w:pPr>
              <w:pStyle w:val="7"/>
              <w:spacing w:line="240" w:lineRule="auto"/>
              <w:rPr>
                <w:rFonts w:hAnsi="宋体" w:cs="宋体"/>
                <w:szCs w:val="21"/>
              </w:rPr>
            </w:pPr>
          </w:p>
        </w:tc>
        <w:tc>
          <w:tcPr>
            <w:tcW w:w="709" w:type="dxa"/>
            <w:noWrap/>
            <w:vAlign w:val="center"/>
          </w:tcPr>
          <w:p>
            <w:pPr>
              <w:pStyle w:val="7"/>
              <w:spacing w:line="240" w:lineRule="auto"/>
              <w:rPr>
                <w:rFonts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2" w:hRule="atLeast"/>
        </w:trPr>
        <w:tc>
          <w:tcPr>
            <w:tcW w:w="568" w:type="dxa"/>
            <w:noWrap/>
            <w:vAlign w:val="center"/>
          </w:tcPr>
          <w:p>
            <w:pPr>
              <w:pStyle w:val="7"/>
              <w:spacing w:line="240" w:lineRule="auto"/>
              <w:jc w:val="center"/>
              <w:rPr>
                <w:rFonts w:hAnsi="宋体" w:cs="宋体"/>
                <w:szCs w:val="21"/>
              </w:rPr>
            </w:pPr>
            <w:r>
              <w:rPr>
                <w:rFonts w:hint="eastAsia" w:hAnsi="宋体" w:cs="宋体"/>
                <w:szCs w:val="21"/>
              </w:rPr>
              <w:t>2</w:t>
            </w:r>
          </w:p>
        </w:tc>
        <w:tc>
          <w:tcPr>
            <w:tcW w:w="850" w:type="dxa"/>
            <w:noWrap/>
            <w:vAlign w:val="center"/>
          </w:tcPr>
          <w:p>
            <w:pPr>
              <w:pStyle w:val="7"/>
              <w:spacing w:line="240" w:lineRule="auto"/>
              <w:jc w:val="center"/>
              <w:rPr>
                <w:rFonts w:hAnsi="宋体" w:cs="宋体"/>
                <w:szCs w:val="21"/>
              </w:rPr>
            </w:pPr>
            <w:r>
              <w:rPr>
                <w:rFonts w:hint="eastAsia" w:hAnsi="宋体" w:cs="宋体"/>
                <w:szCs w:val="21"/>
              </w:rPr>
              <w:t>监理实施细则</w:t>
            </w:r>
          </w:p>
        </w:tc>
        <w:tc>
          <w:tcPr>
            <w:tcW w:w="5352" w:type="dxa"/>
            <w:noWrap/>
            <w:vAlign w:val="center"/>
          </w:tcPr>
          <w:p>
            <w:pPr>
              <w:pStyle w:val="7"/>
              <w:spacing w:line="240" w:lineRule="auto"/>
              <w:rPr>
                <w:rFonts w:hAnsi="宋体" w:cs="宋体"/>
                <w:szCs w:val="21"/>
              </w:rPr>
            </w:pPr>
            <w:r>
              <w:rPr>
                <w:rFonts w:hint="eastAsia" w:hAnsi="宋体" w:cs="宋体"/>
                <w:szCs w:val="21"/>
              </w:rPr>
              <w:t>未结合项目危大工程专项施工方案编制监理实施细则的，扣20分</w:t>
            </w:r>
          </w:p>
          <w:p>
            <w:pPr>
              <w:pStyle w:val="7"/>
              <w:spacing w:line="240" w:lineRule="auto"/>
              <w:rPr>
                <w:rFonts w:hAnsi="宋体" w:cs="宋体"/>
                <w:szCs w:val="21"/>
              </w:rPr>
            </w:pPr>
            <w:r>
              <w:rPr>
                <w:rFonts w:hint="eastAsia" w:hAnsi="宋体" w:cs="宋体"/>
                <w:szCs w:val="21"/>
              </w:rPr>
              <w:t>未结合《房屋市政工程生产安全重大事故隐患判定标准》编制安全监理的方法、措施、控制要点和检查要求的，扣10分</w:t>
            </w:r>
          </w:p>
        </w:tc>
        <w:tc>
          <w:tcPr>
            <w:tcW w:w="730" w:type="dxa"/>
            <w:noWrap/>
            <w:vAlign w:val="center"/>
          </w:tcPr>
          <w:p>
            <w:pPr>
              <w:pStyle w:val="7"/>
              <w:spacing w:line="240" w:lineRule="auto"/>
              <w:jc w:val="center"/>
              <w:rPr>
                <w:rFonts w:hAnsi="宋体" w:cs="宋体"/>
                <w:szCs w:val="21"/>
              </w:rPr>
            </w:pPr>
            <w:r>
              <w:rPr>
                <w:rFonts w:hint="eastAsia" w:hAnsi="宋体" w:cs="宋体"/>
                <w:szCs w:val="21"/>
              </w:rPr>
              <w:t>20</w:t>
            </w:r>
          </w:p>
        </w:tc>
        <w:tc>
          <w:tcPr>
            <w:tcW w:w="722" w:type="dxa"/>
            <w:noWrap/>
            <w:vAlign w:val="center"/>
          </w:tcPr>
          <w:p>
            <w:pPr>
              <w:pStyle w:val="7"/>
              <w:spacing w:line="240" w:lineRule="auto"/>
              <w:rPr>
                <w:rFonts w:hAnsi="宋体" w:cs="宋体"/>
                <w:szCs w:val="21"/>
              </w:rPr>
            </w:pPr>
          </w:p>
        </w:tc>
        <w:tc>
          <w:tcPr>
            <w:tcW w:w="709" w:type="dxa"/>
            <w:noWrap/>
            <w:vAlign w:val="center"/>
          </w:tcPr>
          <w:p>
            <w:pPr>
              <w:pStyle w:val="7"/>
              <w:spacing w:line="240" w:lineRule="auto"/>
              <w:rPr>
                <w:rFonts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2" w:hRule="atLeast"/>
        </w:trPr>
        <w:tc>
          <w:tcPr>
            <w:tcW w:w="568" w:type="dxa"/>
            <w:noWrap/>
            <w:vAlign w:val="center"/>
          </w:tcPr>
          <w:p>
            <w:pPr>
              <w:pStyle w:val="7"/>
              <w:spacing w:line="240" w:lineRule="auto"/>
              <w:jc w:val="center"/>
              <w:rPr>
                <w:rFonts w:hAnsi="宋体" w:cs="宋体"/>
                <w:szCs w:val="21"/>
              </w:rPr>
            </w:pPr>
            <w:r>
              <w:rPr>
                <w:rFonts w:hint="eastAsia" w:hAnsi="宋体" w:cs="宋体"/>
                <w:szCs w:val="21"/>
              </w:rPr>
              <w:t>3</w:t>
            </w:r>
          </w:p>
        </w:tc>
        <w:tc>
          <w:tcPr>
            <w:tcW w:w="850" w:type="dxa"/>
            <w:noWrap/>
            <w:vAlign w:val="center"/>
          </w:tcPr>
          <w:p>
            <w:pPr>
              <w:pStyle w:val="7"/>
              <w:spacing w:line="240" w:lineRule="auto"/>
              <w:jc w:val="center"/>
              <w:rPr>
                <w:rFonts w:hAnsi="宋体" w:cs="宋体"/>
                <w:szCs w:val="21"/>
              </w:rPr>
            </w:pPr>
            <w:r>
              <w:rPr>
                <w:rFonts w:hint="eastAsia" w:hAnsi="宋体" w:cs="宋体"/>
                <w:szCs w:val="21"/>
              </w:rPr>
              <w:t>施工准备阶段安全条件审查</w:t>
            </w:r>
          </w:p>
        </w:tc>
        <w:tc>
          <w:tcPr>
            <w:tcW w:w="5352" w:type="dxa"/>
            <w:noWrap/>
            <w:vAlign w:val="center"/>
          </w:tcPr>
          <w:p>
            <w:pPr>
              <w:pStyle w:val="7"/>
              <w:spacing w:line="240" w:lineRule="auto"/>
              <w:rPr>
                <w:rFonts w:hAnsi="宋体" w:cs="宋体"/>
                <w:szCs w:val="21"/>
              </w:rPr>
            </w:pPr>
            <w:r>
              <w:rPr>
                <w:rFonts w:hint="eastAsia" w:hAnsi="宋体" w:cs="宋体"/>
                <w:szCs w:val="21"/>
              </w:rPr>
              <w:t>未按规定审查施工单位安全生产许可证及项目负责人、专职安全生产管理人员、建筑施工特种作业人员的相应资格证书的，每项扣5分</w:t>
            </w:r>
          </w:p>
          <w:p>
            <w:pPr>
              <w:pStyle w:val="7"/>
              <w:spacing w:line="240" w:lineRule="auto"/>
              <w:rPr>
                <w:rFonts w:hAnsi="宋体" w:cs="宋体"/>
                <w:szCs w:val="21"/>
              </w:rPr>
            </w:pPr>
            <w:r>
              <w:rPr>
                <w:rFonts w:hint="eastAsia" w:hAnsi="宋体" w:cs="宋体"/>
                <w:szCs w:val="21"/>
              </w:rPr>
              <w:t>总监理工程师未按规定审批施工组织设计、专项施工方案和应急预案的，每项扣5分</w:t>
            </w:r>
          </w:p>
        </w:tc>
        <w:tc>
          <w:tcPr>
            <w:tcW w:w="730" w:type="dxa"/>
            <w:noWrap/>
            <w:vAlign w:val="center"/>
          </w:tcPr>
          <w:p>
            <w:pPr>
              <w:pStyle w:val="7"/>
              <w:spacing w:line="240" w:lineRule="auto"/>
              <w:jc w:val="center"/>
              <w:rPr>
                <w:rFonts w:hAnsi="宋体" w:cs="宋体"/>
                <w:szCs w:val="21"/>
              </w:rPr>
            </w:pPr>
            <w:r>
              <w:rPr>
                <w:rFonts w:hint="eastAsia" w:hAnsi="宋体" w:cs="宋体"/>
                <w:szCs w:val="21"/>
              </w:rPr>
              <w:t>15</w:t>
            </w:r>
          </w:p>
        </w:tc>
        <w:tc>
          <w:tcPr>
            <w:tcW w:w="722" w:type="dxa"/>
            <w:noWrap/>
            <w:vAlign w:val="center"/>
          </w:tcPr>
          <w:p>
            <w:pPr>
              <w:pStyle w:val="7"/>
              <w:spacing w:line="240" w:lineRule="auto"/>
              <w:rPr>
                <w:rFonts w:hAnsi="宋体" w:cs="宋体"/>
                <w:szCs w:val="21"/>
              </w:rPr>
            </w:pPr>
          </w:p>
        </w:tc>
        <w:tc>
          <w:tcPr>
            <w:tcW w:w="709" w:type="dxa"/>
            <w:noWrap/>
            <w:vAlign w:val="center"/>
          </w:tcPr>
          <w:p>
            <w:pPr>
              <w:pStyle w:val="7"/>
              <w:spacing w:line="240" w:lineRule="auto"/>
              <w:rPr>
                <w:rFonts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568" w:type="dxa"/>
            <w:noWrap/>
            <w:vAlign w:val="center"/>
          </w:tcPr>
          <w:p>
            <w:pPr>
              <w:pStyle w:val="7"/>
              <w:spacing w:line="240" w:lineRule="auto"/>
              <w:jc w:val="center"/>
              <w:rPr>
                <w:rFonts w:hAnsi="宋体" w:cs="宋体"/>
                <w:szCs w:val="21"/>
              </w:rPr>
            </w:pPr>
            <w:r>
              <w:rPr>
                <w:rFonts w:hint="eastAsia" w:hAnsi="宋体" w:cs="宋体"/>
                <w:szCs w:val="21"/>
              </w:rPr>
              <w:t>4</w:t>
            </w:r>
          </w:p>
          <w:p>
            <w:pPr>
              <w:pStyle w:val="7"/>
              <w:spacing w:line="240" w:lineRule="auto"/>
              <w:jc w:val="center"/>
              <w:rPr>
                <w:rFonts w:hAnsi="宋体" w:cs="宋体"/>
                <w:szCs w:val="21"/>
              </w:rPr>
            </w:pPr>
          </w:p>
        </w:tc>
        <w:tc>
          <w:tcPr>
            <w:tcW w:w="850" w:type="dxa"/>
            <w:noWrap/>
            <w:vAlign w:val="center"/>
          </w:tcPr>
          <w:p>
            <w:pPr>
              <w:pStyle w:val="7"/>
              <w:spacing w:line="240" w:lineRule="auto"/>
              <w:jc w:val="center"/>
              <w:rPr>
                <w:rFonts w:hAnsi="宋体" w:cs="宋体"/>
                <w:szCs w:val="21"/>
              </w:rPr>
            </w:pPr>
            <w:r>
              <w:rPr>
                <w:rFonts w:hint="eastAsia" w:hAnsi="宋体" w:cs="宋体"/>
                <w:szCs w:val="21"/>
              </w:rPr>
              <w:t>安全</w:t>
            </w:r>
          </w:p>
          <w:p>
            <w:pPr>
              <w:pStyle w:val="7"/>
              <w:spacing w:line="240" w:lineRule="auto"/>
              <w:jc w:val="center"/>
              <w:rPr>
                <w:rFonts w:hAnsi="宋体" w:cs="宋体"/>
                <w:szCs w:val="21"/>
              </w:rPr>
            </w:pPr>
            <w:r>
              <w:rPr>
                <w:rFonts w:hint="eastAsia" w:hAnsi="宋体" w:cs="宋体"/>
                <w:szCs w:val="21"/>
              </w:rPr>
              <w:t>检查</w:t>
            </w:r>
          </w:p>
        </w:tc>
        <w:tc>
          <w:tcPr>
            <w:tcW w:w="5352" w:type="dxa"/>
            <w:noWrap/>
            <w:vAlign w:val="center"/>
          </w:tcPr>
          <w:p>
            <w:pPr>
              <w:pStyle w:val="7"/>
              <w:spacing w:line="240" w:lineRule="auto"/>
              <w:rPr>
                <w:rFonts w:hAnsi="宋体" w:cs="宋体"/>
                <w:szCs w:val="21"/>
              </w:rPr>
            </w:pPr>
            <w:r>
              <w:rPr>
                <w:rFonts w:hint="eastAsia" w:hAnsi="宋体" w:cs="宋体"/>
                <w:szCs w:val="21"/>
              </w:rPr>
              <w:t>未按规定组织相关单位对施工现场进行安全检查的，扣10分</w:t>
            </w:r>
          </w:p>
          <w:p>
            <w:pPr>
              <w:pStyle w:val="7"/>
              <w:spacing w:line="240" w:lineRule="auto"/>
              <w:rPr>
                <w:rFonts w:hAnsi="宋体" w:cs="宋体"/>
                <w:color w:val="FF0000"/>
                <w:szCs w:val="21"/>
              </w:rPr>
            </w:pPr>
            <w:r>
              <w:rPr>
                <w:rFonts w:hint="eastAsia" w:hAnsi="宋体" w:cs="宋体"/>
                <w:szCs w:val="21"/>
              </w:rPr>
              <w:t>检查记录不全的，扣5分</w:t>
            </w:r>
          </w:p>
          <w:p>
            <w:pPr>
              <w:pStyle w:val="7"/>
              <w:spacing w:line="240" w:lineRule="auto"/>
              <w:rPr>
                <w:rFonts w:hAnsi="宋体" w:cs="宋体"/>
                <w:szCs w:val="21"/>
              </w:rPr>
            </w:pPr>
            <w:r>
              <w:rPr>
                <w:rFonts w:hint="eastAsia" w:hAnsi="宋体" w:cs="宋体"/>
                <w:szCs w:val="21"/>
              </w:rPr>
              <w:t>发现安全隐患，未及时签发监理通知单并督促整改的，扣5分</w:t>
            </w:r>
          </w:p>
        </w:tc>
        <w:tc>
          <w:tcPr>
            <w:tcW w:w="730" w:type="dxa"/>
            <w:noWrap/>
            <w:vAlign w:val="center"/>
          </w:tcPr>
          <w:p>
            <w:pPr>
              <w:pStyle w:val="7"/>
              <w:spacing w:line="240" w:lineRule="auto"/>
              <w:jc w:val="center"/>
              <w:rPr>
                <w:rFonts w:hAnsi="宋体" w:cs="宋体"/>
                <w:szCs w:val="21"/>
              </w:rPr>
            </w:pPr>
            <w:r>
              <w:rPr>
                <w:rFonts w:hint="eastAsia" w:hAnsi="宋体" w:cs="宋体"/>
                <w:szCs w:val="21"/>
              </w:rPr>
              <w:t>20</w:t>
            </w:r>
          </w:p>
        </w:tc>
        <w:tc>
          <w:tcPr>
            <w:tcW w:w="722" w:type="dxa"/>
            <w:noWrap/>
            <w:vAlign w:val="center"/>
          </w:tcPr>
          <w:p>
            <w:pPr>
              <w:pStyle w:val="7"/>
              <w:spacing w:line="240" w:lineRule="auto"/>
              <w:rPr>
                <w:rFonts w:hAnsi="宋体" w:cs="宋体"/>
                <w:szCs w:val="21"/>
              </w:rPr>
            </w:pPr>
          </w:p>
        </w:tc>
        <w:tc>
          <w:tcPr>
            <w:tcW w:w="709" w:type="dxa"/>
            <w:noWrap/>
            <w:vAlign w:val="center"/>
          </w:tcPr>
          <w:p>
            <w:pPr>
              <w:pStyle w:val="7"/>
              <w:spacing w:line="240" w:lineRule="auto"/>
              <w:rPr>
                <w:rFonts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2" w:hRule="atLeast"/>
        </w:trPr>
        <w:tc>
          <w:tcPr>
            <w:tcW w:w="568" w:type="dxa"/>
            <w:noWrap/>
            <w:vAlign w:val="center"/>
          </w:tcPr>
          <w:p>
            <w:pPr>
              <w:pStyle w:val="7"/>
              <w:spacing w:line="240" w:lineRule="auto"/>
              <w:jc w:val="center"/>
              <w:rPr>
                <w:rFonts w:hAnsi="宋体" w:cs="宋体"/>
                <w:szCs w:val="21"/>
              </w:rPr>
            </w:pPr>
            <w:r>
              <w:rPr>
                <w:rFonts w:hint="eastAsia" w:hAnsi="宋体" w:cs="宋体"/>
                <w:szCs w:val="21"/>
              </w:rPr>
              <w:t>5</w:t>
            </w:r>
          </w:p>
        </w:tc>
        <w:tc>
          <w:tcPr>
            <w:tcW w:w="850" w:type="dxa"/>
            <w:noWrap/>
            <w:vAlign w:val="center"/>
          </w:tcPr>
          <w:p>
            <w:pPr>
              <w:pStyle w:val="7"/>
              <w:spacing w:line="240" w:lineRule="auto"/>
              <w:jc w:val="center"/>
              <w:rPr>
                <w:rFonts w:hAnsi="宋体" w:cs="宋体"/>
                <w:szCs w:val="21"/>
              </w:rPr>
            </w:pPr>
            <w:r>
              <w:rPr>
                <w:rFonts w:hint="eastAsia" w:hAnsi="宋体" w:cs="宋体"/>
                <w:szCs w:val="21"/>
              </w:rPr>
              <w:t>危大工程管理</w:t>
            </w:r>
          </w:p>
        </w:tc>
        <w:tc>
          <w:tcPr>
            <w:tcW w:w="5352" w:type="dxa"/>
            <w:noWrap/>
            <w:vAlign w:val="center"/>
          </w:tcPr>
          <w:p>
            <w:pPr>
              <w:pStyle w:val="7"/>
              <w:spacing w:line="240" w:lineRule="auto"/>
              <w:rPr>
                <w:rFonts w:hAnsi="宋体" w:cs="宋体"/>
                <w:szCs w:val="21"/>
              </w:rPr>
            </w:pPr>
            <w:r>
              <w:rPr>
                <w:rFonts w:hint="eastAsia" w:hAnsi="宋体" w:cs="宋体"/>
                <w:szCs w:val="21"/>
              </w:rPr>
              <w:t>未</w:t>
            </w:r>
            <w:r>
              <w:rPr>
                <w:rFonts w:hint="eastAsia" w:hAnsi="宋体" w:cs="宋体"/>
                <w:szCs w:val="24"/>
                <w:shd w:val="clear" w:color="auto" w:fill="FFFFFF"/>
              </w:rPr>
              <w:t>参加超过一定规模的危大工程专项施工方案专家论证会的，扣10分</w:t>
            </w:r>
          </w:p>
          <w:p>
            <w:pPr>
              <w:pStyle w:val="7"/>
              <w:spacing w:line="240" w:lineRule="auto"/>
              <w:rPr>
                <w:rFonts w:hAnsi="宋体" w:cs="宋体"/>
                <w:szCs w:val="21"/>
              </w:rPr>
            </w:pPr>
            <w:r>
              <w:rPr>
                <w:rFonts w:hint="eastAsia" w:hAnsi="宋体" w:cs="宋体"/>
                <w:szCs w:val="21"/>
              </w:rPr>
              <w:t>未按规定参与危大工程验收的，扣10分</w:t>
            </w:r>
          </w:p>
          <w:p>
            <w:pPr>
              <w:pStyle w:val="7"/>
              <w:spacing w:line="240" w:lineRule="auto"/>
              <w:rPr>
                <w:rFonts w:hAnsi="宋体" w:cs="宋体"/>
                <w:szCs w:val="21"/>
              </w:rPr>
            </w:pPr>
            <w:r>
              <w:rPr>
                <w:rFonts w:hint="eastAsia" w:hAnsi="宋体" w:cs="宋体"/>
                <w:szCs w:val="21"/>
              </w:rPr>
              <w:t>未按规定对危大工程施工实施专项巡视检查的，扣10分</w:t>
            </w:r>
          </w:p>
          <w:p>
            <w:pPr>
              <w:pStyle w:val="7"/>
              <w:spacing w:line="240" w:lineRule="auto"/>
              <w:rPr>
                <w:rFonts w:hAnsi="宋体" w:cs="宋体"/>
                <w:szCs w:val="21"/>
              </w:rPr>
            </w:pPr>
            <w:r>
              <w:rPr>
                <w:rFonts w:hint="eastAsia" w:hAnsi="宋体" w:cs="宋体"/>
                <w:szCs w:val="21"/>
              </w:rPr>
              <w:t>专项巡视检查或验收无记录的，每项扣5分</w:t>
            </w:r>
          </w:p>
        </w:tc>
        <w:tc>
          <w:tcPr>
            <w:tcW w:w="730" w:type="dxa"/>
            <w:noWrap/>
            <w:vAlign w:val="center"/>
          </w:tcPr>
          <w:p>
            <w:pPr>
              <w:pStyle w:val="7"/>
              <w:spacing w:line="240" w:lineRule="auto"/>
              <w:jc w:val="center"/>
              <w:rPr>
                <w:rFonts w:hAnsi="宋体" w:cs="宋体"/>
                <w:szCs w:val="21"/>
              </w:rPr>
            </w:pPr>
            <w:r>
              <w:rPr>
                <w:rFonts w:hint="eastAsia" w:hAnsi="宋体" w:cs="宋体"/>
                <w:szCs w:val="21"/>
              </w:rPr>
              <w:t>20</w:t>
            </w:r>
          </w:p>
        </w:tc>
        <w:tc>
          <w:tcPr>
            <w:tcW w:w="722" w:type="dxa"/>
            <w:noWrap/>
            <w:vAlign w:val="center"/>
          </w:tcPr>
          <w:p>
            <w:pPr>
              <w:pStyle w:val="7"/>
              <w:spacing w:line="240" w:lineRule="auto"/>
              <w:rPr>
                <w:rFonts w:hAnsi="宋体" w:cs="宋体"/>
                <w:szCs w:val="21"/>
              </w:rPr>
            </w:pPr>
          </w:p>
        </w:tc>
        <w:tc>
          <w:tcPr>
            <w:tcW w:w="709" w:type="dxa"/>
            <w:noWrap/>
            <w:vAlign w:val="center"/>
          </w:tcPr>
          <w:p>
            <w:pPr>
              <w:pStyle w:val="7"/>
              <w:spacing w:line="240" w:lineRule="auto"/>
              <w:rPr>
                <w:rFonts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568" w:type="dxa"/>
            <w:noWrap/>
            <w:vAlign w:val="center"/>
          </w:tcPr>
          <w:p>
            <w:pPr>
              <w:pStyle w:val="7"/>
              <w:spacing w:line="240" w:lineRule="auto"/>
              <w:jc w:val="center"/>
              <w:rPr>
                <w:rFonts w:hAnsi="宋体" w:cs="宋体"/>
                <w:szCs w:val="21"/>
              </w:rPr>
            </w:pPr>
            <w:r>
              <w:rPr>
                <w:rFonts w:hint="eastAsia" w:hAnsi="宋体" w:cs="宋体"/>
                <w:szCs w:val="21"/>
              </w:rPr>
              <w:t>6</w:t>
            </w:r>
          </w:p>
        </w:tc>
        <w:tc>
          <w:tcPr>
            <w:tcW w:w="850" w:type="dxa"/>
            <w:noWrap/>
            <w:vAlign w:val="center"/>
          </w:tcPr>
          <w:p>
            <w:pPr>
              <w:pStyle w:val="7"/>
              <w:spacing w:line="240" w:lineRule="auto"/>
              <w:jc w:val="center"/>
              <w:rPr>
                <w:rFonts w:hAnsi="宋体" w:cs="宋体"/>
                <w:szCs w:val="21"/>
              </w:rPr>
            </w:pPr>
            <w:r>
              <w:rPr>
                <w:rFonts w:hint="eastAsia" w:hAnsi="宋体" w:cs="宋体"/>
                <w:szCs w:val="21"/>
              </w:rPr>
              <w:t>信息化管理</w:t>
            </w:r>
          </w:p>
        </w:tc>
        <w:tc>
          <w:tcPr>
            <w:tcW w:w="5352" w:type="dxa"/>
            <w:noWrap/>
            <w:vAlign w:val="center"/>
          </w:tcPr>
          <w:p>
            <w:pPr>
              <w:pStyle w:val="7"/>
              <w:spacing w:line="240" w:lineRule="auto"/>
              <w:rPr>
                <w:rFonts w:hAnsi="宋体" w:cs="宋体"/>
                <w:szCs w:val="21"/>
              </w:rPr>
            </w:pPr>
            <w:r>
              <w:rPr>
                <w:rFonts w:hint="eastAsia" w:hAnsi="宋体" w:cs="宋体"/>
                <w:szCs w:val="21"/>
              </w:rPr>
              <w:t>总监理工程师未实行实名制考勤的，扣10分</w:t>
            </w:r>
          </w:p>
          <w:p>
            <w:pPr>
              <w:pStyle w:val="7"/>
              <w:spacing w:line="240" w:lineRule="auto"/>
              <w:rPr>
                <w:rFonts w:hAnsi="宋体" w:cs="宋体"/>
                <w:szCs w:val="21"/>
              </w:rPr>
            </w:pPr>
            <w:r>
              <w:rPr>
                <w:rFonts w:hint="eastAsia" w:hAnsi="宋体" w:cs="宋体"/>
                <w:szCs w:val="21"/>
              </w:rPr>
              <w:t>未利用信息化手段对施工现场进行动态管理的，扣5分</w:t>
            </w:r>
          </w:p>
        </w:tc>
        <w:tc>
          <w:tcPr>
            <w:tcW w:w="730" w:type="dxa"/>
            <w:noWrap/>
            <w:vAlign w:val="center"/>
          </w:tcPr>
          <w:p>
            <w:pPr>
              <w:pStyle w:val="7"/>
              <w:spacing w:line="240" w:lineRule="auto"/>
              <w:jc w:val="center"/>
              <w:rPr>
                <w:rFonts w:hAnsi="宋体" w:cs="宋体"/>
                <w:szCs w:val="21"/>
              </w:rPr>
            </w:pPr>
            <w:r>
              <w:rPr>
                <w:rFonts w:hint="eastAsia" w:hAnsi="宋体" w:cs="宋体"/>
                <w:szCs w:val="21"/>
              </w:rPr>
              <w:t>10</w:t>
            </w:r>
          </w:p>
        </w:tc>
        <w:tc>
          <w:tcPr>
            <w:tcW w:w="722" w:type="dxa"/>
            <w:noWrap/>
            <w:vAlign w:val="center"/>
          </w:tcPr>
          <w:p>
            <w:pPr>
              <w:pStyle w:val="7"/>
              <w:spacing w:line="240" w:lineRule="auto"/>
              <w:rPr>
                <w:rFonts w:hAnsi="宋体" w:cs="宋体"/>
                <w:szCs w:val="21"/>
              </w:rPr>
            </w:pPr>
          </w:p>
        </w:tc>
        <w:tc>
          <w:tcPr>
            <w:tcW w:w="709" w:type="dxa"/>
            <w:noWrap/>
            <w:vAlign w:val="center"/>
          </w:tcPr>
          <w:p>
            <w:pPr>
              <w:pStyle w:val="7"/>
              <w:spacing w:line="240" w:lineRule="auto"/>
              <w:rPr>
                <w:rFonts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0" w:type="dxa"/>
            <w:gridSpan w:val="3"/>
            <w:noWrap/>
            <w:vAlign w:val="center"/>
          </w:tcPr>
          <w:p>
            <w:pPr>
              <w:pStyle w:val="7"/>
              <w:spacing w:line="240" w:lineRule="auto"/>
              <w:jc w:val="center"/>
              <w:rPr>
                <w:rFonts w:hAnsi="宋体" w:cs="宋体"/>
                <w:szCs w:val="21"/>
              </w:rPr>
            </w:pPr>
            <w:r>
              <w:rPr>
                <w:rFonts w:hint="eastAsia" w:hAnsi="宋体" w:cs="宋体"/>
                <w:szCs w:val="21"/>
              </w:rPr>
              <w:t>合计</w:t>
            </w:r>
          </w:p>
        </w:tc>
        <w:tc>
          <w:tcPr>
            <w:tcW w:w="730" w:type="dxa"/>
            <w:noWrap/>
            <w:vAlign w:val="center"/>
          </w:tcPr>
          <w:p>
            <w:pPr>
              <w:pStyle w:val="7"/>
              <w:spacing w:line="240" w:lineRule="auto"/>
              <w:jc w:val="center"/>
              <w:rPr>
                <w:rFonts w:hAnsi="宋体" w:cs="宋体"/>
                <w:szCs w:val="21"/>
              </w:rPr>
            </w:pPr>
            <w:r>
              <w:rPr>
                <w:rFonts w:hint="eastAsia" w:hAnsi="宋体" w:cs="宋体"/>
                <w:szCs w:val="21"/>
              </w:rPr>
              <w:t>100</w:t>
            </w:r>
          </w:p>
        </w:tc>
        <w:tc>
          <w:tcPr>
            <w:tcW w:w="722" w:type="dxa"/>
            <w:noWrap/>
            <w:vAlign w:val="center"/>
          </w:tcPr>
          <w:p>
            <w:pPr>
              <w:pStyle w:val="7"/>
              <w:spacing w:line="240" w:lineRule="auto"/>
              <w:rPr>
                <w:rFonts w:hAnsi="宋体" w:cs="宋体"/>
                <w:szCs w:val="21"/>
              </w:rPr>
            </w:pPr>
          </w:p>
        </w:tc>
        <w:tc>
          <w:tcPr>
            <w:tcW w:w="709" w:type="dxa"/>
            <w:noWrap/>
            <w:vAlign w:val="center"/>
          </w:tcPr>
          <w:p>
            <w:pPr>
              <w:pStyle w:val="7"/>
              <w:spacing w:line="240" w:lineRule="auto"/>
              <w:rPr>
                <w:rFonts w:hAnsi="宋体" w:cs="宋体"/>
                <w:szCs w:val="21"/>
              </w:rPr>
            </w:pPr>
          </w:p>
        </w:tc>
      </w:tr>
    </w:tbl>
    <w:p>
      <w:pPr>
        <w:pStyle w:val="7"/>
        <w:ind w:firstLine="240" w:firstLineChars="100"/>
        <w:rPr>
          <w:rFonts w:hAnsi="宋体" w:cs="宋体"/>
          <w:b/>
          <w:szCs w:val="21"/>
        </w:rPr>
      </w:pPr>
      <w:r>
        <w:rPr>
          <w:rFonts w:hint="eastAsia" w:hAnsi="宋体" w:cs="宋体"/>
          <w:szCs w:val="24"/>
        </w:rPr>
        <w:t>评价人员：</w:t>
      </w:r>
      <w:r>
        <w:rPr>
          <w:rFonts w:hint="eastAsia" w:hAnsi="宋体"/>
          <w:szCs w:val="24"/>
        </w:rPr>
        <w:t xml:space="preserve">                                         年    月    日</w:t>
      </w: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r>
        <w:rPr>
          <w:rFonts w:hint="eastAsia" w:ascii="宋体" w:hAnsi="宋体" w:cs="SimSun,Bold"/>
          <w:b/>
          <w:kern w:val="0"/>
          <w:szCs w:val="21"/>
        </w:rPr>
        <w:t>表B.0.3  施工单位安全管理评价表</w:t>
      </w:r>
    </w:p>
    <w:tbl>
      <w:tblPr>
        <w:tblStyle w:val="16"/>
        <w:tblW w:w="8903"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711"/>
        <w:gridCol w:w="5924"/>
        <w:gridCol w:w="660"/>
        <w:gridCol w:w="425"/>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dxa"/>
            <w:noWrap/>
            <w:vAlign w:val="center"/>
          </w:tcPr>
          <w:p>
            <w:pPr>
              <w:pStyle w:val="7"/>
              <w:spacing w:line="240" w:lineRule="auto"/>
              <w:jc w:val="center"/>
              <w:rPr>
                <w:rFonts w:hAnsi="宋体" w:cs="宋体"/>
                <w:szCs w:val="24"/>
              </w:rPr>
            </w:pPr>
            <w:r>
              <w:rPr>
                <w:rFonts w:hint="eastAsia" w:hAnsi="宋体" w:cs="宋体"/>
                <w:szCs w:val="24"/>
              </w:rPr>
              <w:t>序号</w:t>
            </w:r>
          </w:p>
        </w:tc>
        <w:tc>
          <w:tcPr>
            <w:tcW w:w="711" w:type="dxa"/>
            <w:noWrap/>
            <w:vAlign w:val="center"/>
          </w:tcPr>
          <w:p>
            <w:pPr>
              <w:pStyle w:val="7"/>
              <w:spacing w:line="240" w:lineRule="auto"/>
              <w:jc w:val="center"/>
              <w:rPr>
                <w:rFonts w:hAnsi="宋体" w:cs="宋体"/>
                <w:szCs w:val="24"/>
              </w:rPr>
            </w:pPr>
            <w:r>
              <w:rPr>
                <w:rFonts w:hint="eastAsia" w:hAnsi="宋体" w:cs="宋体"/>
                <w:szCs w:val="24"/>
              </w:rPr>
              <w:t>评价项目</w:t>
            </w:r>
          </w:p>
        </w:tc>
        <w:tc>
          <w:tcPr>
            <w:tcW w:w="5924" w:type="dxa"/>
            <w:noWrap/>
            <w:vAlign w:val="center"/>
          </w:tcPr>
          <w:p>
            <w:pPr>
              <w:pStyle w:val="7"/>
              <w:spacing w:line="240" w:lineRule="auto"/>
              <w:ind w:firstLine="360"/>
              <w:jc w:val="center"/>
              <w:rPr>
                <w:rFonts w:hAnsi="宋体" w:cs="宋体"/>
                <w:szCs w:val="24"/>
              </w:rPr>
            </w:pPr>
            <w:r>
              <w:rPr>
                <w:rFonts w:hint="eastAsia" w:hAnsi="宋体" w:cs="宋体"/>
                <w:szCs w:val="24"/>
              </w:rPr>
              <w:t>评  价  标  准</w:t>
            </w:r>
          </w:p>
        </w:tc>
        <w:tc>
          <w:tcPr>
            <w:tcW w:w="660" w:type="dxa"/>
            <w:noWrap/>
            <w:vAlign w:val="center"/>
          </w:tcPr>
          <w:p>
            <w:pPr>
              <w:pStyle w:val="7"/>
              <w:spacing w:line="240" w:lineRule="auto"/>
              <w:jc w:val="center"/>
              <w:rPr>
                <w:rFonts w:hAnsi="宋体" w:cs="宋体"/>
                <w:szCs w:val="24"/>
              </w:rPr>
            </w:pPr>
            <w:r>
              <w:rPr>
                <w:rFonts w:hint="eastAsia" w:hAnsi="宋体" w:cs="宋体"/>
                <w:szCs w:val="24"/>
              </w:rPr>
              <w:t>应得分</w:t>
            </w:r>
          </w:p>
        </w:tc>
        <w:tc>
          <w:tcPr>
            <w:tcW w:w="425" w:type="dxa"/>
            <w:noWrap/>
            <w:vAlign w:val="center"/>
          </w:tcPr>
          <w:p>
            <w:pPr>
              <w:pStyle w:val="7"/>
              <w:spacing w:line="240" w:lineRule="auto"/>
              <w:jc w:val="center"/>
              <w:rPr>
                <w:rFonts w:hAnsi="宋体" w:cs="宋体"/>
                <w:szCs w:val="24"/>
              </w:rPr>
            </w:pPr>
            <w:r>
              <w:rPr>
                <w:rFonts w:hint="eastAsia" w:hAnsi="宋体" w:cs="宋体"/>
                <w:szCs w:val="24"/>
              </w:rPr>
              <w:t>扣减分</w:t>
            </w:r>
          </w:p>
        </w:tc>
        <w:tc>
          <w:tcPr>
            <w:tcW w:w="709" w:type="dxa"/>
            <w:noWrap/>
            <w:vAlign w:val="center"/>
          </w:tcPr>
          <w:p>
            <w:pPr>
              <w:pStyle w:val="7"/>
              <w:spacing w:line="240" w:lineRule="auto"/>
              <w:jc w:val="center"/>
              <w:rPr>
                <w:rFonts w:hAnsi="宋体" w:cs="宋体"/>
                <w:szCs w:val="24"/>
              </w:rPr>
            </w:pPr>
            <w:r>
              <w:rPr>
                <w:rFonts w:hint="eastAsia" w:hAnsi="宋体" w:cs="宋体"/>
                <w:szCs w:val="24"/>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4" w:hRule="atLeast"/>
        </w:trPr>
        <w:tc>
          <w:tcPr>
            <w:tcW w:w="474" w:type="dxa"/>
            <w:noWrap/>
            <w:vAlign w:val="center"/>
          </w:tcPr>
          <w:p>
            <w:pPr>
              <w:pStyle w:val="7"/>
              <w:spacing w:line="240" w:lineRule="auto"/>
              <w:jc w:val="center"/>
              <w:rPr>
                <w:rFonts w:hAnsi="宋体" w:cs="宋体"/>
                <w:szCs w:val="24"/>
              </w:rPr>
            </w:pPr>
            <w:r>
              <w:rPr>
                <w:rFonts w:hint="eastAsia" w:hAnsi="宋体" w:cs="宋体"/>
                <w:szCs w:val="24"/>
              </w:rPr>
              <w:t>1</w:t>
            </w:r>
          </w:p>
        </w:tc>
        <w:tc>
          <w:tcPr>
            <w:tcW w:w="711" w:type="dxa"/>
            <w:noWrap/>
            <w:vAlign w:val="center"/>
          </w:tcPr>
          <w:p>
            <w:pPr>
              <w:pStyle w:val="7"/>
              <w:spacing w:line="240" w:lineRule="auto"/>
              <w:jc w:val="center"/>
              <w:rPr>
                <w:rFonts w:hAnsi="宋体" w:cs="宋体"/>
                <w:szCs w:val="24"/>
              </w:rPr>
            </w:pPr>
            <w:r>
              <w:rPr>
                <w:rFonts w:hint="eastAsia" w:hAnsi="宋体" w:cs="宋体"/>
                <w:szCs w:val="24"/>
              </w:rPr>
              <w:t>安全生产责任制</w:t>
            </w:r>
          </w:p>
          <w:p>
            <w:pPr>
              <w:pStyle w:val="7"/>
              <w:spacing w:line="240" w:lineRule="auto"/>
              <w:ind w:firstLine="360"/>
              <w:jc w:val="center"/>
              <w:rPr>
                <w:rFonts w:hAnsi="宋体" w:cs="宋体"/>
                <w:szCs w:val="24"/>
              </w:rPr>
            </w:pPr>
          </w:p>
        </w:tc>
        <w:tc>
          <w:tcPr>
            <w:tcW w:w="5924" w:type="dxa"/>
            <w:noWrap/>
            <w:vAlign w:val="center"/>
          </w:tcPr>
          <w:p>
            <w:pPr>
              <w:pStyle w:val="7"/>
              <w:spacing w:line="240" w:lineRule="auto"/>
              <w:jc w:val="left"/>
              <w:rPr>
                <w:rFonts w:hAnsi="宋体" w:cs="宋体"/>
                <w:szCs w:val="24"/>
                <w:shd w:val="clear" w:color="auto" w:fill="FFFFFF"/>
              </w:rPr>
            </w:pPr>
            <w:r>
              <w:rPr>
                <w:rFonts w:hint="eastAsia" w:hAnsi="宋体" w:cs="宋体"/>
                <w:szCs w:val="24"/>
                <w:shd w:val="clear" w:color="auto" w:fill="FFFFFF"/>
              </w:rPr>
              <w:t>安全生产目标责任书中未明确安全文明、绿色施工、扬尘防治、标准化建设等管理目标的，扣5-20分</w:t>
            </w:r>
          </w:p>
          <w:p>
            <w:pPr>
              <w:pStyle w:val="7"/>
              <w:spacing w:line="240" w:lineRule="auto"/>
              <w:jc w:val="left"/>
              <w:rPr>
                <w:rFonts w:hAnsi="宋体" w:cs="宋体"/>
                <w:szCs w:val="24"/>
                <w:shd w:val="clear" w:color="auto" w:fill="FFFFFF"/>
              </w:rPr>
            </w:pPr>
            <w:r>
              <w:rPr>
                <w:rFonts w:hint="eastAsia" w:hAnsi="宋体" w:cs="宋体"/>
                <w:szCs w:val="24"/>
                <w:shd w:val="clear" w:color="auto" w:fill="FFFFFF"/>
              </w:rPr>
              <w:t>未开展项目安全生产标准化自评工作的，扣10分</w:t>
            </w:r>
          </w:p>
          <w:p>
            <w:pPr>
              <w:pStyle w:val="7"/>
              <w:spacing w:line="240" w:lineRule="auto"/>
              <w:jc w:val="left"/>
              <w:rPr>
                <w:rFonts w:hAnsi="宋体" w:cs="宋体"/>
                <w:szCs w:val="24"/>
                <w:shd w:val="clear" w:color="auto" w:fill="FFFFFF"/>
              </w:rPr>
            </w:pPr>
            <w:r>
              <w:rPr>
                <w:rFonts w:hint="eastAsia" w:hAnsi="宋体" w:cs="宋体"/>
                <w:szCs w:val="24"/>
                <w:shd w:val="clear" w:color="auto" w:fill="FFFFFF"/>
              </w:rPr>
              <w:t>未建立项目全员安全生产责任制的，扣20分</w:t>
            </w:r>
          </w:p>
          <w:p>
            <w:pPr>
              <w:pStyle w:val="7"/>
              <w:spacing w:line="240" w:lineRule="auto"/>
              <w:jc w:val="left"/>
              <w:rPr>
                <w:rFonts w:hAnsi="宋体" w:cs="宋体"/>
                <w:szCs w:val="24"/>
                <w:shd w:val="clear" w:color="auto" w:fill="FFFFFF"/>
              </w:rPr>
            </w:pPr>
            <w:r>
              <w:rPr>
                <w:rFonts w:hint="eastAsia" w:hAnsi="宋体" w:cs="宋体"/>
                <w:szCs w:val="24"/>
                <w:shd w:val="clear" w:color="auto" w:fill="FFFFFF"/>
              </w:rPr>
              <w:t>责任人未签字确认的，每人扣5分</w:t>
            </w:r>
          </w:p>
          <w:p>
            <w:pPr>
              <w:pStyle w:val="7"/>
              <w:spacing w:line="240" w:lineRule="auto"/>
              <w:jc w:val="left"/>
              <w:rPr>
                <w:rFonts w:hAnsi="宋体" w:cs="宋体"/>
                <w:szCs w:val="24"/>
                <w:shd w:val="clear" w:color="auto" w:fill="FFFFFF"/>
              </w:rPr>
            </w:pPr>
            <w:r>
              <w:rPr>
                <w:rFonts w:hint="eastAsia" w:hAnsi="宋体" w:cs="宋体"/>
                <w:szCs w:val="24"/>
                <w:shd w:val="clear" w:color="auto" w:fill="FFFFFF"/>
              </w:rPr>
              <w:t>未按规定配备项目专职安全生产管理人员的，扣10分</w:t>
            </w:r>
          </w:p>
          <w:p>
            <w:pPr>
              <w:pStyle w:val="7"/>
              <w:spacing w:line="240" w:lineRule="auto"/>
              <w:jc w:val="left"/>
              <w:rPr>
                <w:rFonts w:hAnsi="宋体" w:cs="宋体"/>
                <w:szCs w:val="24"/>
                <w:shd w:val="clear" w:color="auto" w:fill="FFFFFF"/>
              </w:rPr>
            </w:pPr>
            <w:r>
              <w:rPr>
                <w:rFonts w:hint="eastAsia" w:hAnsi="宋体" w:cs="宋体"/>
                <w:szCs w:val="24"/>
                <w:shd w:val="clear" w:color="auto" w:fill="FFFFFF"/>
              </w:rPr>
              <w:t>项目专职安全管理人员未执行安全日志制度的，扣5分</w:t>
            </w:r>
          </w:p>
          <w:p>
            <w:pPr>
              <w:pStyle w:val="7"/>
              <w:spacing w:line="240" w:lineRule="auto"/>
              <w:jc w:val="left"/>
              <w:rPr>
                <w:rFonts w:hAnsi="宋体" w:cs="宋体"/>
                <w:szCs w:val="24"/>
                <w:shd w:val="clear" w:color="auto" w:fill="FFFFFF"/>
              </w:rPr>
            </w:pPr>
            <w:r>
              <w:rPr>
                <w:rFonts w:hint="eastAsia" w:hAnsi="宋体" w:cs="宋体"/>
                <w:szCs w:val="24"/>
                <w:shd w:val="clear" w:color="auto" w:fill="FFFFFF"/>
              </w:rPr>
              <w:t>未编制</w:t>
            </w:r>
            <w:r>
              <w:rPr>
                <w:rFonts w:hint="eastAsia" w:hAnsi="宋体" w:cs="宋体"/>
                <w:bCs w:val="0"/>
                <w:color w:val="000000" w:themeColor="text1"/>
                <w:szCs w:val="24"/>
                <w:shd w:val="clear" w:color="auto" w:fill="FFFFFF"/>
              </w:rPr>
              <w:t>安全文明施工措施费</w:t>
            </w:r>
            <w:r>
              <w:rPr>
                <w:rFonts w:hint="eastAsia" w:hAnsi="宋体" w:cs="宋体"/>
                <w:szCs w:val="24"/>
                <w:shd w:val="clear" w:color="auto" w:fill="FFFFFF"/>
              </w:rPr>
              <w:t>提取和使用计划或未按计划实施的，扣5-10分</w:t>
            </w:r>
          </w:p>
          <w:p>
            <w:pPr>
              <w:pStyle w:val="7"/>
              <w:spacing w:line="240" w:lineRule="auto"/>
              <w:jc w:val="left"/>
              <w:rPr>
                <w:rFonts w:hAnsi="宋体" w:cs="宋体"/>
                <w:szCs w:val="24"/>
                <w:shd w:val="clear" w:color="auto" w:fill="FFFFFF"/>
              </w:rPr>
            </w:pPr>
            <w:r>
              <w:rPr>
                <w:rFonts w:hint="eastAsia" w:hAnsi="宋体" w:cs="宋体"/>
                <w:bCs w:val="0"/>
                <w:color w:val="000000"/>
                <w:szCs w:val="24"/>
                <w:shd w:val="clear" w:color="auto" w:fill="FFFFFF"/>
              </w:rPr>
              <w:t>未按要求购买安全生产责任保险的</w:t>
            </w:r>
            <w:r>
              <w:rPr>
                <w:rFonts w:hint="eastAsia" w:hAnsi="宋体" w:cs="宋体"/>
                <w:szCs w:val="24"/>
                <w:shd w:val="clear" w:color="auto" w:fill="FFFFFF"/>
              </w:rPr>
              <w:t>，扣5分</w:t>
            </w:r>
          </w:p>
          <w:p>
            <w:pPr>
              <w:pStyle w:val="7"/>
              <w:spacing w:line="240" w:lineRule="auto"/>
              <w:jc w:val="left"/>
              <w:rPr>
                <w:rFonts w:hAnsi="宋体" w:cs="宋体"/>
                <w:szCs w:val="24"/>
                <w:shd w:val="clear" w:color="auto" w:fill="FFFFFF"/>
              </w:rPr>
            </w:pPr>
            <w:r>
              <w:rPr>
                <w:rFonts w:hint="eastAsia" w:hAnsi="宋体" w:cs="宋体"/>
                <w:szCs w:val="24"/>
                <w:shd w:val="clear" w:color="auto" w:fill="FFFFFF"/>
              </w:rPr>
              <w:t>项目负责人、专职安全生产管理人员和特种作业人员未持证上岗的，每人扣10分</w:t>
            </w:r>
          </w:p>
          <w:p>
            <w:pPr>
              <w:pStyle w:val="7"/>
              <w:spacing w:line="240" w:lineRule="auto"/>
              <w:jc w:val="left"/>
              <w:rPr>
                <w:rFonts w:hAnsi="宋体" w:cs="宋体"/>
                <w:szCs w:val="24"/>
                <w:shd w:val="clear" w:color="auto" w:fill="FFFFFF"/>
              </w:rPr>
            </w:pPr>
            <w:r>
              <w:rPr>
                <w:rFonts w:hint="eastAsia" w:hAnsi="宋体" w:cs="宋体"/>
                <w:szCs w:val="24"/>
                <w:shd w:val="clear" w:color="auto" w:fill="FFFFFF"/>
              </w:rPr>
              <w:t>专职安全生产管理人员证件的企业名称与项目施工单位不一致的，每人扣5分</w:t>
            </w:r>
          </w:p>
          <w:p>
            <w:pPr>
              <w:pStyle w:val="7"/>
              <w:spacing w:line="240" w:lineRule="auto"/>
              <w:jc w:val="left"/>
              <w:rPr>
                <w:rFonts w:hAnsi="宋体" w:cs="宋体"/>
                <w:szCs w:val="24"/>
                <w:shd w:val="clear" w:color="auto" w:fill="FFFFFF"/>
              </w:rPr>
            </w:pPr>
            <w:r>
              <w:rPr>
                <w:rFonts w:hint="eastAsia" w:hAnsi="宋体" w:cs="宋体"/>
                <w:szCs w:val="24"/>
                <w:shd w:val="clear" w:color="auto" w:fill="FFFFFF"/>
              </w:rPr>
              <w:t>未按要求组织作业人员健康体检</w:t>
            </w:r>
            <w:r>
              <w:rPr>
                <w:rFonts w:hint="eastAsia" w:hAnsi="宋体" w:cs="宋体"/>
                <w:bCs w:val="0"/>
                <w:color w:val="000000"/>
                <w:szCs w:val="24"/>
                <w:shd w:val="clear" w:color="auto" w:fill="FFFFFF"/>
              </w:rPr>
              <w:t>并建立档案</w:t>
            </w:r>
            <w:r>
              <w:rPr>
                <w:rFonts w:hint="eastAsia" w:hAnsi="宋体" w:cs="宋体"/>
                <w:szCs w:val="24"/>
                <w:shd w:val="clear" w:color="auto" w:fill="FFFFFF"/>
              </w:rPr>
              <w:t>的，扣5-10分</w:t>
            </w:r>
          </w:p>
        </w:tc>
        <w:tc>
          <w:tcPr>
            <w:tcW w:w="660" w:type="dxa"/>
            <w:noWrap/>
            <w:vAlign w:val="center"/>
          </w:tcPr>
          <w:p>
            <w:pPr>
              <w:pStyle w:val="7"/>
              <w:spacing w:line="240" w:lineRule="auto"/>
              <w:jc w:val="center"/>
              <w:rPr>
                <w:rFonts w:hAnsi="宋体" w:cs="宋体"/>
                <w:szCs w:val="24"/>
                <w:shd w:val="clear" w:color="auto" w:fill="FFFFFF"/>
              </w:rPr>
            </w:pPr>
            <w:r>
              <w:rPr>
                <w:rFonts w:hint="eastAsia" w:hAnsi="宋体" w:cs="宋体"/>
                <w:szCs w:val="24"/>
                <w:shd w:val="clear" w:color="auto" w:fill="FFFFFF"/>
              </w:rPr>
              <w:t>20</w:t>
            </w:r>
          </w:p>
        </w:tc>
        <w:tc>
          <w:tcPr>
            <w:tcW w:w="425" w:type="dxa"/>
            <w:noWrap/>
            <w:vAlign w:val="center"/>
          </w:tcPr>
          <w:p>
            <w:pPr>
              <w:pStyle w:val="7"/>
              <w:spacing w:line="240" w:lineRule="auto"/>
              <w:ind w:firstLine="360"/>
              <w:jc w:val="center"/>
              <w:rPr>
                <w:rFonts w:hAnsi="宋体" w:cs="宋体"/>
                <w:szCs w:val="24"/>
                <w:shd w:val="clear" w:color="auto" w:fill="FFFFFF"/>
              </w:rPr>
            </w:pPr>
          </w:p>
        </w:tc>
        <w:tc>
          <w:tcPr>
            <w:tcW w:w="709" w:type="dxa"/>
            <w:noWrap/>
            <w:vAlign w:val="center"/>
          </w:tcPr>
          <w:p>
            <w:pPr>
              <w:pStyle w:val="7"/>
              <w:spacing w:line="240" w:lineRule="auto"/>
              <w:ind w:firstLine="360"/>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474" w:type="dxa"/>
            <w:noWrap/>
            <w:vAlign w:val="center"/>
          </w:tcPr>
          <w:p>
            <w:pPr>
              <w:pStyle w:val="7"/>
              <w:spacing w:line="240" w:lineRule="auto"/>
              <w:jc w:val="center"/>
              <w:rPr>
                <w:rFonts w:hAnsi="宋体" w:cs="宋体"/>
                <w:szCs w:val="24"/>
              </w:rPr>
            </w:pPr>
            <w:r>
              <w:rPr>
                <w:rFonts w:hint="eastAsia" w:hAnsi="宋体" w:cs="宋体"/>
                <w:szCs w:val="24"/>
              </w:rPr>
              <w:t>2</w:t>
            </w:r>
          </w:p>
        </w:tc>
        <w:tc>
          <w:tcPr>
            <w:tcW w:w="711" w:type="dxa"/>
            <w:noWrap/>
            <w:vAlign w:val="center"/>
          </w:tcPr>
          <w:p>
            <w:pPr>
              <w:pStyle w:val="7"/>
              <w:spacing w:line="240" w:lineRule="auto"/>
              <w:jc w:val="center"/>
              <w:rPr>
                <w:rFonts w:hAnsi="宋体" w:cs="宋体"/>
                <w:szCs w:val="24"/>
              </w:rPr>
            </w:pPr>
            <w:r>
              <w:rPr>
                <w:rFonts w:hint="eastAsia" w:hAnsi="宋体" w:cs="宋体"/>
                <w:szCs w:val="24"/>
              </w:rPr>
              <w:t>施工组织设计及专项施工方案</w:t>
            </w:r>
          </w:p>
        </w:tc>
        <w:tc>
          <w:tcPr>
            <w:tcW w:w="5924" w:type="dxa"/>
            <w:noWrap/>
            <w:vAlign w:val="center"/>
          </w:tcPr>
          <w:p>
            <w:pPr>
              <w:pStyle w:val="7"/>
              <w:spacing w:line="240" w:lineRule="auto"/>
              <w:rPr>
                <w:rFonts w:hAnsi="宋体" w:cs="宋体"/>
                <w:szCs w:val="24"/>
                <w:shd w:val="clear" w:color="auto" w:fill="FFFFFF"/>
              </w:rPr>
            </w:pPr>
            <w:r>
              <w:rPr>
                <w:rFonts w:hint="eastAsia" w:hAnsi="宋体" w:cs="宋体"/>
                <w:szCs w:val="24"/>
                <w:shd w:val="clear" w:color="auto" w:fill="FFFFFF"/>
              </w:rPr>
              <w:t>未按规定编制危大工程及有限空间专项施工方案的，扣20分</w:t>
            </w:r>
          </w:p>
          <w:p>
            <w:pPr>
              <w:pStyle w:val="7"/>
              <w:spacing w:line="240" w:lineRule="auto"/>
              <w:rPr>
                <w:rFonts w:hAnsi="宋体" w:cs="宋体"/>
                <w:szCs w:val="24"/>
                <w:shd w:val="clear" w:color="auto" w:fill="FFFFFF"/>
              </w:rPr>
            </w:pPr>
            <w:r>
              <w:rPr>
                <w:rFonts w:hint="eastAsia" w:hAnsi="宋体" w:cs="宋体"/>
                <w:szCs w:val="24"/>
                <w:shd w:val="clear" w:color="auto" w:fill="FFFFFF"/>
              </w:rPr>
              <w:t>未按程序对施工组织设计及专项施工方案进行审核、审批的，扣10-20分</w:t>
            </w:r>
          </w:p>
          <w:p>
            <w:pPr>
              <w:pStyle w:val="7"/>
              <w:spacing w:line="240" w:lineRule="auto"/>
              <w:rPr>
                <w:rFonts w:hAnsi="宋体" w:cs="宋体"/>
                <w:szCs w:val="24"/>
                <w:shd w:val="clear" w:color="auto" w:fill="FFFFFF"/>
              </w:rPr>
            </w:pPr>
            <w:r>
              <w:rPr>
                <w:rFonts w:hint="eastAsia" w:hAnsi="宋体" w:cs="宋体"/>
                <w:szCs w:val="24"/>
                <w:shd w:val="clear" w:color="auto" w:fill="FFFFFF"/>
              </w:rPr>
              <w:t>对超过一定规模的危险性较大分部分项工程施工方案未组织专家论证的，扣20分</w:t>
            </w:r>
          </w:p>
          <w:p>
            <w:pPr>
              <w:pStyle w:val="7"/>
              <w:spacing w:line="240" w:lineRule="auto"/>
              <w:rPr>
                <w:rFonts w:hAnsi="宋体" w:cs="宋体"/>
                <w:szCs w:val="24"/>
                <w:shd w:val="clear" w:color="auto" w:fill="FFFFFF"/>
              </w:rPr>
            </w:pPr>
            <w:r>
              <w:rPr>
                <w:rFonts w:hint="eastAsia" w:hAnsi="宋体" w:cs="宋体"/>
                <w:szCs w:val="24"/>
                <w:shd w:val="clear" w:color="auto" w:fill="FFFFFF"/>
              </w:rPr>
              <w:t>未按专项施工方案组织实施的，扣5-20分</w:t>
            </w:r>
          </w:p>
        </w:tc>
        <w:tc>
          <w:tcPr>
            <w:tcW w:w="660" w:type="dxa"/>
            <w:noWrap/>
            <w:vAlign w:val="center"/>
          </w:tcPr>
          <w:p>
            <w:pPr>
              <w:pStyle w:val="7"/>
              <w:spacing w:line="240" w:lineRule="auto"/>
              <w:jc w:val="center"/>
              <w:rPr>
                <w:rFonts w:hAnsi="宋体" w:cs="宋体"/>
                <w:szCs w:val="24"/>
                <w:shd w:val="clear" w:color="auto" w:fill="FFFFFF"/>
              </w:rPr>
            </w:pPr>
            <w:r>
              <w:rPr>
                <w:rFonts w:hint="eastAsia" w:hAnsi="宋体" w:cs="宋体"/>
                <w:szCs w:val="24"/>
                <w:shd w:val="clear" w:color="auto" w:fill="FFFFFF"/>
              </w:rPr>
              <w:t>20</w:t>
            </w:r>
          </w:p>
        </w:tc>
        <w:tc>
          <w:tcPr>
            <w:tcW w:w="425" w:type="dxa"/>
            <w:noWrap/>
            <w:vAlign w:val="center"/>
          </w:tcPr>
          <w:p>
            <w:pPr>
              <w:pStyle w:val="7"/>
              <w:spacing w:line="240" w:lineRule="auto"/>
              <w:ind w:firstLine="360"/>
              <w:jc w:val="center"/>
              <w:rPr>
                <w:rFonts w:hAnsi="宋体" w:cs="宋体"/>
                <w:szCs w:val="24"/>
                <w:shd w:val="clear" w:color="auto" w:fill="FFFFFF"/>
              </w:rPr>
            </w:pPr>
          </w:p>
        </w:tc>
        <w:tc>
          <w:tcPr>
            <w:tcW w:w="709" w:type="dxa"/>
            <w:noWrap/>
            <w:vAlign w:val="center"/>
          </w:tcPr>
          <w:p>
            <w:pPr>
              <w:pStyle w:val="7"/>
              <w:spacing w:line="240" w:lineRule="auto"/>
              <w:ind w:firstLine="360"/>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trPr>
        <w:tc>
          <w:tcPr>
            <w:tcW w:w="474" w:type="dxa"/>
            <w:noWrap/>
            <w:vAlign w:val="center"/>
          </w:tcPr>
          <w:p>
            <w:pPr>
              <w:pStyle w:val="7"/>
              <w:spacing w:line="240" w:lineRule="auto"/>
              <w:jc w:val="center"/>
              <w:rPr>
                <w:rFonts w:hAnsi="宋体" w:cs="宋体"/>
                <w:szCs w:val="24"/>
              </w:rPr>
            </w:pPr>
            <w:r>
              <w:rPr>
                <w:rFonts w:hint="eastAsia" w:hAnsi="宋体" w:cs="宋体"/>
                <w:szCs w:val="24"/>
              </w:rPr>
              <w:t>3</w:t>
            </w:r>
          </w:p>
        </w:tc>
        <w:tc>
          <w:tcPr>
            <w:tcW w:w="711" w:type="dxa"/>
            <w:noWrap/>
            <w:vAlign w:val="center"/>
          </w:tcPr>
          <w:p>
            <w:pPr>
              <w:pStyle w:val="7"/>
              <w:spacing w:line="240" w:lineRule="auto"/>
              <w:jc w:val="center"/>
              <w:rPr>
                <w:rFonts w:hAnsi="宋体" w:cs="宋体"/>
                <w:szCs w:val="24"/>
              </w:rPr>
            </w:pPr>
            <w:r>
              <w:rPr>
                <w:rFonts w:hint="eastAsia" w:hAnsi="宋体" w:cs="宋体"/>
                <w:szCs w:val="24"/>
              </w:rPr>
              <w:t>安全教育培训</w:t>
            </w:r>
          </w:p>
        </w:tc>
        <w:tc>
          <w:tcPr>
            <w:tcW w:w="5924" w:type="dxa"/>
            <w:noWrap/>
            <w:vAlign w:val="center"/>
          </w:tcPr>
          <w:p>
            <w:pPr>
              <w:pStyle w:val="7"/>
              <w:spacing w:line="240" w:lineRule="auto"/>
              <w:rPr>
                <w:rFonts w:hAnsi="宋体" w:cs="宋体"/>
                <w:szCs w:val="24"/>
                <w:shd w:val="clear" w:color="auto" w:fill="FFFFFF"/>
              </w:rPr>
            </w:pPr>
            <w:r>
              <w:rPr>
                <w:rFonts w:hint="eastAsia" w:hAnsi="宋体" w:cs="宋体"/>
                <w:szCs w:val="24"/>
                <w:shd w:val="clear" w:color="auto" w:fill="FFFFFF"/>
              </w:rPr>
              <w:t>未制定安全教育培训制度的，扣10分</w:t>
            </w:r>
          </w:p>
          <w:p>
            <w:pPr>
              <w:pStyle w:val="7"/>
              <w:spacing w:line="240" w:lineRule="auto"/>
              <w:rPr>
                <w:rFonts w:hAnsi="宋体" w:cs="宋体"/>
                <w:szCs w:val="24"/>
                <w:shd w:val="clear" w:color="auto" w:fill="FFFFFF"/>
              </w:rPr>
            </w:pPr>
            <w:r>
              <w:rPr>
                <w:rFonts w:hint="eastAsia" w:hAnsi="宋体" w:cs="宋体"/>
                <w:szCs w:val="24"/>
                <w:shd w:val="clear" w:color="auto" w:fill="FFFFFF"/>
              </w:rPr>
              <w:t>项目管理人员及施工作业人员未经安全教育培训上岗的，每人扣5分</w:t>
            </w:r>
          </w:p>
          <w:p>
            <w:pPr>
              <w:pStyle w:val="7"/>
              <w:spacing w:line="240" w:lineRule="auto"/>
              <w:rPr>
                <w:rFonts w:hAnsi="宋体" w:cs="宋体"/>
                <w:szCs w:val="24"/>
                <w:shd w:val="clear" w:color="auto" w:fill="FFFFFF"/>
              </w:rPr>
            </w:pPr>
            <w:r>
              <w:rPr>
                <w:rFonts w:hint="eastAsia" w:hAnsi="宋体" w:cs="宋体"/>
                <w:szCs w:val="24"/>
                <w:shd w:val="clear" w:color="auto" w:fill="FFFFFF"/>
              </w:rPr>
              <w:t>安全教育培训资料未按规定建档的，扣5分</w:t>
            </w:r>
          </w:p>
        </w:tc>
        <w:tc>
          <w:tcPr>
            <w:tcW w:w="660" w:type="dxa"/>
            <w:noWrap/>
            <w:vAlign w:val="center"/>
          </w:tcPr>
          <w:p>
            <w:pPr>
              <w:pStyle w:val="7"/>
              <w:spacing w:line="240" w:lineRule="auto"/>
              <w:jc w:val="center"/>
              <w:rPr>
                <w:rFonts w:hAnsi="宋体" w:cs="宋体"/>
                <w:szCs w:val="24"/>
                <w:shd w:val="clear" w:color="auto" w:fill="FFFFFF"/>
              </w:rPr>
            </w:pPr>
            <w:r>
              <w:rPr>
                <w:rFonts w:hint="eastAsia" w:hAnsi="宋体" w:cs="宋体"/>
                <w:szCs w:val="24"/>
                <w:shd w:val="clear" w:color="auto" w:fill="FFFFFF"/>
              </w:rPr>
              <w:t>10</w:t>
            </w:r>
          </w:p>
        </w:tc>
        <w:tc>
          <w:tcPr>
            <w:tcW w:w="425" w:type="dxa"/>
            <w:noWrap/>
            <w:vAlign w:val="center"/>
          </w:tcPr>
          <w:p>
            <w:pPr>
              <w:pStyle w:val="7"/>
              <w:spacing w:line="240" w:lineRule="auto"/>
              <w:ind w:firstLine="360"/>
              <w:jc w:val="center"/>
              <w:rPr>
                <w:rFonts w:hAnsi="宋体" w:cs="宋体"/>
                <w:szCs w:val="24"/>
                <w:shd w:val="clear" w:color="auto" w:fill="FFFFFF"/>
              </w:rPr>
            </w:pPr>
          </w:p>
        </w:tc>
        <w:tc>
          <w:tcPr>
            <w:tcW w:w="709" w:type="dxa"/>
            <w:noWrap/>
            <w:vAlign w:val="center"/>
          </w:tcPr>
          <w:p>
            <w:pPr>
              <w:pStyle w:val="7"/>
              <w:spacing w:line="240" w:lineRule="auto"/>
              <w:ind w:firstLine="360"/>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474" w:type="dxa"/>
            <w:noWrap/>
            <w:vAlign w:val="center"/>
          </w:tcPr>
          <w:p>
            <w:pPr>
              <w:pStyle w:val="7"/>
              <w:spacing w:line="240" w:lineRule="auto"/>
              <w:jc w:val="center"/>
              <w:rPr>
                <w:rFonts w:hAnsi="宋体" w:cs="宋体"/>
                <w:szCs w:val="24"/>
              </w:rPr>
            </w:pPr>
            <w:r>
              <w:rPr>
                <w:rFonts w:hint="eastAsia" w:hAnsi="宋体" w:cs="宋体"/>
                <w:szCs w:val="24"/>
              </w:rPr>
              <w:t>4</w:t>
            </w:r>
          </w:p>
        </w:tc>
        <w:tc>
          <w:tcPr>
            <w:tcW w:w="711" w:type="dxa"/>
            <w:noWrap/>
            <w:vAlign w:val="center"/>
          </w:tcPr>
          <w:p>
            <w:pPr>
              <w:pStyle w:val="7"/>
              <w:spacing w:line="240" w:lineRule="auto"/>
              <w:jc w:val="center"/>
              <w:rPr>
                <w:rFonts w:hAnsi="宋体" w:cs="宋体"/>
                <w:szCs w:val="24"/>
              </w:rPr>
            </w:pPr>
            <w:r>
              <w:rPr>
                <w:rFonts w:hint="eastAsia" w:hAnsi="宋体" w:cs="宋体"/>
                <w:szCs w:val="24"/>
              </w:rPr>
              <w:t>安全技术</w:t>
            </w:r>
          </w:p>
          <w:p>
            <w:pPr>
              <w:pStyle w:val="7"/>
              <w:spacing w:line="240" w:lineRule="auto"/>
              <w:jc w:val="center"/>
              <w:rPr>
                <w:rFonts w:hAnsi="宋体" w:cs="宋体"/>
                <w:szCs w:val="24"/>
              </w:rPr>
            </w:pPr>
            <w:r>
              <w:rPr>
                <w:rFonts w:hint="eastAsia" w:hAnsi="宋体" w:cs="宋体"/>
                <w:szCs w:val="24"/>
              </w:rPr>
              <w:t>交底</w:t>
            </w:r>
          </w:p>
        </w:tc>
        <w:tc>
          <w:tcPr>
            <w:tcW w:w="5924" w:type="dxa"/>
            <w:noWrap/>
            <w:vAlign w:val="center"/>
          </w:tcPr>
          <w:p>
            <w:pPr>
              <w:rPr>
                <w:rFonts w:ascii="宋体" w:hAnsi="宋体" w:cs="宋体"/>
                <w:shd w:val="clear" w:color="auto" w:fill="FFFFFF"/>
              </w:rPr>
            </w:pPr>
            <w:r>
              <w:rPr>
                <w:rFonts w:hint="eastAsia" w:ascii="宋体" w:hAnsi="宋体" w:cs="宋体"/>
                <w:shd w:val="clear" w:color="auto" w:fill="FFFFFF"/>
              </w:rPr>
              <w:t>未建立安全技术交底制度的，扣10分</w:t>
            </w:r>
          </w:p>
          <w:p>
            <w:pPr>
              <w:rPr>
                <w:rFonts w:ascii="宋体" w:hAnsi="宋体" w:cs="宋体"/>
                <w:shd w:val="clear" w:color="auto" w:fill="FFFFFF"/>
              </w:rPr>
            </w:pPr>
            <w:r>
              <w:rPr>
                <w:rFonts w:hint="eastAsia" w:ascii="宋体" w:hAnsi="宋体" w:cs="宋体"/>
                <w:shd w:val="clear" w:color="auto" w:fill="FFFFFF"/>
              </w:rPr>
              <w:t>危大工程专项方案实施前，未按规定进行方案交底和安全技术交底的，扣5-10分</w:t>
            </w:r>
          </w:p>
          <w:p>
            <w:pPr>
              <w:pStyle w:val="7"/>
              <w:spacing w:line="240" w:lineRule="auto"/>
              <w:rPr>
                <w:rFonts w:hAnsi="宋体" w:cs="宋体"/>
                <w:szCs w:val="24"/>
                <w:shd w:val="clear" w:color="auto" w:fill="FFFFFF"/>
              </w:rPr>
            </w:pPr>
            <w:r>
              <w:rPr>
                <w:rFonts w:hint="eastAsia" w:hAnsi="宋体" w:cs="宋体"/>
                <w:szCs w:val="24"/>
                <w:shd w:val="clear" w:color="auto" w:fill="FFFFFF"/>
              </w:rPr>
              <w:t>未履行签字手续的，扣5分</w:t>
            </w:r>
          </w:p>
        </w:tc>
        <w:tc>
          <w:tcPr>
            <w:tcW w:w="660" w:type="dxa"/>
            <w:noWrap/>
            <w:vAlign w:val="center"/>
          </w:tcPr>
          <w:p>
            <w:pPr>
              <w:pStyle w:val="7"/>
              <w:spacing w:line="240" w:lineRule="auto"/>
              <w:jc w:val="center"/>
              <w:rPr>
                <w:rFonts w:hAnsi="宋体" w:cs="宋体"/>
                <w:szCs w:val="24"/>
                <w:shd w:val="clear" w:color="auto" w:fill="FFFFFF"/>
              </w:rPr>
            </w:pPr>
            <w:r>
              <w:rPr>
                <w:rFonts w:hint="eastAsia" w:hAnsi="宋体" w:cs="宋体"/>
                <w:szCs w:val="24"/>
                <w:shd w:val="clear" w:color="auto" w:fill="FFFFFF"/>
              </w:rPr>
              <w:t>10</w:t>
            </w:r>
          </w:p>
        </w:tc>
        <w:tc>
          <w:tcPr>
            <w:tcW w:w="425" w:type="dxa"/>
            <w:noWrap/>
            <w:vAlign w:val="center"/>
          </w:tcPr>
          <w:p>
            <w:pPr>
              <w:pStyle w:val="7"/>
              <w:spacing w:line="240" w:lineRule="auto"/>
              <w:ind w:firstLine="360"/>
              <w:jc w:val="center"/>
              <w:rPr>
                <w:rFonts w:hAnsi="宋体" w:cs="宋体"/>
                <w:szCs w:val="24"/>
                <w:shd w:val="clear" w:color="auto" w:fill="FFFFFF"/>
              </w:rPr>
            </w:pPr>
          </w:p>
        </w:tc>
        <w:tc>
          <w:tcPr>
            <w:tcW w:w="709" w:type="dxa"/>
            <w:noWrap/>
            <w:vAlign w:val="center"/>
          </w:tcPr>
          <w:p>
            <w:pPr>
              <w:pStyle w:val="7"/>
              <w:spacing w:line="240" w:lineRule="auto"/>
              <w:ind w:firstLine="360"/>
              <w:jc w:val="center"/>
              <w:rPr>
                <w:rFonts w:hAnsi="宋体" w:cs="宋体"/>
                <w:szCs w:val="24"/>
              </w:rPr>
            </w:pPr>
          </w:p>
        </w:tc>
      </w:tr>
    </w:tbl>
    <w:p/>
    <w:p/>
    <w:p/>
    <w:p/>
    <w:p/>
    <w:p/>
    <w:p/>
    <w:p/>
    <w:p>
      <w:pPr>
        <w:spacing w:line="360" w:lineRule="auto"/>
        <w:jc w:val="center"/>
        <w:rPr>
          <w:rFonts w:hAnsi="宋体" w:cs="宋体"/>
          <w:szCs w:val="21"/>
        </w:rPr>
      </w:pPr>
      <w:r>
        <w:rPr>
          <w:rFonts w:hint="eastAsia" w:hAnsi="宋体" w:cs="宋体"/>
          <w:b/>
          <w:bCs w:val="0"/>
          <w:szCs w:val="21"/>
        </w:rPr>
        <w:t>续</w:t>
      </w:r>
      <w:r>
        <w:rPr>
          <w:rFonts w:hint="eastAsia" w:ascii="宋体" w:hAnsi="宋体" w:cs="SimSun,Bold"/>
          <w:b/>
          <w:kern w:val="0"/>
          <w:szCs w:val="21"/>
        </w:rPr>
        <w:t>表B.0.3  施工单位安全管理评价表</w:t>
      </w:r>
    </w:p>
    <w:p/>
    <w:tbl>
      <w:tblPr>
        <w:tblStyle w:val="16"/>
        <w:tblW w:w="8903"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775"/>
        <w:gridCol w:w="5670"/>
        <w:gridCol w:w="708"/>
        <w:gridCol w:w="567"/>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474" w:type="dxa"/>
            <w:noWrap/>
            <w:vAlign w:val="center"/>
          </w:tcPr>
          <w:p>
            <w:pPr>
              <w:pStyle w:val="7"/>
              <w:spacing w:line="240" w:lineRule="auto"/>
              <w:jc w:val="center"/>
              <w:rPr>
                <w:rFonts w:hAnsi="宋体" w:cs="宋体"/>
                <w:szCs w:val="24"/>
              </w:rPr>
            </w:pPr>
            <w:r>
              <w:rPr>
                <w:rFonts w:hint="eastAsia" w:hAnsi="宋体" w:cs="宋体"/>
                <w:szCs w:val="24"/>
              </w:rPr>
              <w:t>5</w:t>
            </w:r>
          </w:p>
        </w:tc>
        <w:tc>
          <w:tcPr>
            <w:tcW w:w="775" w:type="dxa"/>
            <w:noWrap/>
            <w:vAlign w:val="center"/>
          </w:tcPr>
          <w:p>
            <w:pPr>
              <w:pStyle w:val="7"/>
              <w:spacing w:line="240" w:lineRule="auto"/>
              <w:jc w:val="center"/>
              <w:rPr>
                <w:rFonts w:hAnsi="宋体" w:cs="宋体"/>
                <w:szCs w:val="24"/>
              </w:rPr>
            </w:pPr>
            <w:r>
              <w:rPr>
                <w:rFonts w:hint="eastAsia" w:hAnsi="宋体" w:cs="宋体"/>
                <w:szCs w:val="24"/>
              </w:rPr>
              <w:t>安全检查</w:t>
            </w:r>
          </w:p>
        </w:tc>
        <w:tc>
          <w:tcPr>
            <w:tcW w:w="5670" w:type="dxa"/>
            <w:noWrap/>
            <w:vAlign w:val="center"/>
          </w:tcPr>
          <w:p>
            <w:pPr>
              <w:pStyle w:val="7"/>
              <w:spacing w:line="240" w:lineRule="auto"/>
              <w:rPr>
                <w:rFonts w:hAnsi="宋体" w:cs="宋体"/>
                <w:color w:val="000000"/>
                <w:szCs w:val="24"/>
                <w:shd w:val="clear" w:color="auto" w:fill="FFFFFF"/>
              </w:rPr>
            </w:pPr>
            <w:r>
              <w:rPr>
                <w:rFonts w:hint="eastAsia" w:hAnsi="宋体" w:cs="宋体"/>
                <w:szCs w:val="24"/>
                <w:shd w:val="clear" w:color="auto" w:fill="FFFFFF"/>
              </w:rPr>
              <w:t>未建立安全风险分级管控及隐患排查治理双重预防机</w:t>
            </w:r>
            <w:r>
              <w:rPr>
                <w:rFonts w:hint="eastAsia" w:hAnsi="宋体" w:cs="宋体"/>
                <w:color w:val="000000"/>
                <w:szCs w:val="24"/>
                <w:shd w:val="clear" w:color="auto" w:fill="FFFFFF"/>
              </w:rPr>
              <w:t>制的，扣</w:t>
            </w:r>
            <w:r>
              <w:rPr>
                <w:rFonts w:hint="eastAsia" w:hAnsi="宋体" w:cs="宋体"/>
                <w:bCs w:val="0"/>
                <w:color w:val="000000"/>
                <w:szCs w:val="24"/>
                <w:shd w:val="clear" w:color="auto" w:fill="FFFFFF"/>
              </w:rPr>
              <w:t>10-</w:t>
            </w:r>
            <w:r>
              <w:rPr>
                <w:rFonts w:hint="eastAsia" w:hAnsi="宋体" w:cs="宋体"/>
                <w:color w:val="000000"/>
                <w:szCs w:val="24"/>
                <w:shd w:val="clear" w:color="auto" w:fill="FFFFFF"/>
              </w:rPr>
              <w:t>20分</w:t>
            </w:r>
          </w:p>
          <w:p>
            <w:pPr>
              <w:pStyle w:val="7"/>
              <w:spacing w:line="240" w:lineRule="auto"/>
              <w:rPr>
                <w:rFonts w:hAnsi="宋体" w:cs="宋体"/>
                <w:bCs w:val="0"/>
                <w:color w:val="000000"/>
                <w:szCs w:val="24"/>
                <w:shd w:val="clear" w:color="auto" w:fill="FFFFFF"/>
              </w:rPr>
            </w:pPr>
            <w:r>
              <w:rPr>
                <w:rFonts w:hint="eastAsia" w:hAnsi="宋体" w:cs="宋体"/>
                <w:bCs w:val="0"/>
                <w:color w:val="000000"/>
                <w:szCs w:val="24"/>
                <w:shd w:val="clear" w:color="auto" w:fill="FFFFFF"/>
              </w:rPr>
              <w:t>企业未建立安全检查制度的，扣10-20分</w:t>
            </w:r>
          </w:p>
          <w:p>
            <w:pPr>
              <w:pStyle w:val="7"/>
              <w:spacing w:line="240" w:lineRule="auto"/>
              <w:rPr>
                <w:rFonts w:hAnsi="宋体" w:cs="宋体"/>
                <w:color w:val="000000"/>
                <w:szCs w:val="24"/>
                <w:shd w:val="clear" w:color="auto" w:fill="FFFFFF"/>
              </w:rPr>
            </w:pPr>
            <w:r>
              <w:rPr>
                <w:rFonts w:hint="eastAsia" w:hAnsi="宋体" w:cs="宋体"/>
                <w:color w:val="000000"/>
                <w:szCs w:val="24"/>
                <w:shd w:val="clear" w:color="auto" w:fill="FFFFFF"/>
              </w:rPr>
              <w:t>未按制度开展各项安全检查的，扣10分</w:t>
            </w:r>
          </w:p>
          <w:p>
            <w:pPr>
              <w:pStyle w:val="7"/>
              <w:spacing w:line="240" w:lineRule="auto"/>
              <w:rPr>
                <w:rFonts w:hAnsi="宋体" w:cs="宋体"/>
                <w:color w:val="000000"/>
                <w:szCs w:val="24"/>
                <w:shd w:val="clear" w:color="auto" w:fill="FFFFFF"/>
              </w:rPr>
            </w:pPr>
            <w:r>
              <w:rPr>
                <w:rFonts w:hint="eastAsia" w:hAnsi="宋体" w:cs="宋体"/>
                <w:color w:val="000000"/>
                <w:szCs w:val="24"/>
                <w:shd w:val="clear" w:color="auto" w:fill="FFFFFF"/>
              </w:rPr>
              <w:t>危大工程施工过程中未开展现场监督检查的，扣5-10分</w:t>
            </w:r>
          </w:p>
          <w:p>
            <w:pPr>
              <w:pStyle w:val="7"/>
              <w:spacing w:line="240" w:lineRule="auto"/>
              <w:rPr>
                <w:rFonts w:hAnsi="宋体" w:cs="宋体"/>
                <w:color w:val="000000"/>
                <w:szCs w:val="24"/>
                <w:shd w:val="clear" w:color="auto" w:fill="FFFFFF"/>
              </w:rPr>
            </w:pPr>
            <w:r>
              <w:rPr>
                <w:rFonts w:hint="eastAsia" w:hAnsi="宋体" w:cs="宋体"/>
                <w:color w:val="000000"/>
                <w:szCs w:val="24"/>
                <w:shd w:val="clear" w:color="auto" w:fill="FFFFFF"/>
              </w:rPr>
              <w:t>检查无记录的或记录不全的，扣5-10分</w:t>
            </w:r>
          </w:p>
          <w:p>
            <w:pPr>
              <w:pStyle w:val="7"/>
              <w:spacing w:line="240" w:lineRule="auto"/>
              <w:rPr>
                <w:rFonts w:hAnsi="宋体" w:cs="宋体"/>
                <w:szCs w:val="24"/>
                <w:shd w:val="clear" w:color="auto" w:fill="FFFFFF"/>
              </w:rPr>
            </w:pPr>
            <w:r>
              <w:rPr>
                <w:rFonts w:hint="eastAsia" w:hAnsi="宋体" w:cs="宋体"/>
                <w:color w:val="000000"/>
                <w:szCs w:val="24"/>
                <w:shd w:val="clear" w:color="auto" w:fill="FFFFFF"/>
              </w:rPr>
              <w:t>对检查发现的安全隐患未按规定落实整改的，扣5-10分</w:t>
            </w:r>
          </w:p>
        </w:tc>
        <w:tc>
          <w:tcPr>
            <w:tcW w:w="708" w:type="dxa"/>
            <w:noWrap/>
            <w:vAlign w:val="center"/>
          </w:tcPr>
          <w:p>
            <w:pPr>
              <w:pStyle w:val="7"/>
              <w:spacing w:line="240" w:lineRule="auto"/>
              <w:jc w:val="center"/>
              <w:rPr>
                <w:rFonts w:hAnsi="宋体" w:cs="宋体"/>
                <w:szCs w:val="24"/>
                <w:shd w:val="clear" w:color="auto" w:fill="FFFFFF"/>
              </w:rPr>
            </w:pPr>
            <w:r>
              <w:rPr>
                <w:rFonts w:hint="eastAsia" w:hAnsi="宋体" w:cs="宋体"/>
                <w:szCs w:val="24"/>
                <w:shd w:val="clear" w:color="auto" w:fill="FFFFFF"/>
              </w:rPr>
              <w:t>20</w:t>
            </w:r>
          </w:p>
        </w:tc>
        <w:tc>
          <w:tcPr>
            <w:tcW w:w="567" w:type="dxa"/>
            <w:noWrap/>
            <w:vAlign w:val="center"/>
          </w:tcPr>
          <w:p>
            <w:pPr>
              <w:pStyle w:val="7"/>
              <w:spacing w:line="240" w:lineRule="auto"/>
              <w:ind w:firstLine="360"/>
              <w:jc w:val="center"/>
              <w:rPr>
                <w:rFonts w:hAnsi="宋体" w:cs="宋体"/>
                <w:szCs w:val="24"/>
                <w:shd w:val="clear" w:color="auto" w:fill="FFFFFF"/>
              </w:rPr>
            </w:pPr>
          </w:p>
        </w:tc>
        <w:tc>
          <w:tcPr>
            <w:tcW w:w="709" w:type="dxa"/>
            <w:noWrap/>
            <w:vAlign w:val="center"/>
          </w:tcPr>
          <w:p>
            <w:pPr>
              <w:pStyle w:val="7"/>
              <w:spacing w:line="240" w:lineRule="auto"/>
              <w:ind w:firstLine="360"/>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474" w:type="dxa"/>
            <w:noWrap/>
            <w:vAlign w:val="center"/>
          </w:tcPr>
          <w:p>
            <w:pPr>
              <w:pStyle w:val="7"/>
              <w:spacing w:line="240" w:lineRule="auto"/>
              <w:jc w:val="center"/>
              <w:rPr>
                <w:rFonts w:hAnsi="宋体" w:cs="宋体"/>
                <w:szCs w:val="24"/>
              </w:rPr>
            </w:pPr>
            <w:r>
              <w:rPr>
                <w:rFonts w:hint="eastAsia" w:hAnsi="宋体" w:cs="宋体"/>
                <w:szCs w:val="24"/>
              </w:rPr>
              <w:t>6</w:t>
            </w:r>
          </w:p>
        </w:tc>
        <w:tc>
          <w:tcPr>
            <w:tcW w:w="775" w:type="dxa"/>
            <w:noWrap/>
            <w:vAlign w:val="center"/>
          </w:tcPr>
          <w:p>
            <w:pPr>
              <w:pStyle w:val="7"/>
              <w:spacing w:line="240" w:lineRule="auto"/>
              <w:jc w:val="center"/>
              <w:rPr>
                <w:rFonts w:hAnsi="宋体" w:cs="宋体"/>
                <w:szCs w:val="24"/>
              </w:rPr>
            </w:pPr>
            <w:r>
              <w:rPr>
                <w:rFonts w:hint="eastAsia" w:hAnsi="宋体" w:cs="宋体"/>
                <w:szCs w:val="24"/>
              </w:rPr>
              <w:t>应急救援</w:t>
            </w:r>
          </w:p>
        </w:tc>
        <w:tc>
          <w:tcPr>
            <w:tcW w:w="5670" w:type="dxa"/>
            <w:noWrap/>
            <w:vAlign w:val="center"/>
          </w:tcPr>
          <w:p>
            <w:pPr>
              <w:pStyle w:val="7"/>
              <w:spacing w:line="240" w:lineRule="auto"/>
              <w:rPr>
                <w:rFonts w:hAnsi="宋体" w:cs="宋体"/>
                <w:szCs w:val="24"/>
                <w:shd w:val="clear" w:color="auto" w:fill="FFFFFF"/>
              </w:rPr>
            </w:pPr>
            <w:r>
              <w:rPr>
                <w:rFonts w:hint="eastAsia" w:hAnsi="宋体" w:cs="宋体"/>
                <w:szCs w:val="24"/>
                <w:shd w:val="clear" w:color="auto" w:fill="FFFFFF"/>
              </w:rPr>
              <w:t>未按规定制定应急预案的，扣10分</w:t>
            </w:r>
          </w:p>
          <w:p>
            <w:pPr>
              <w:pStyle w:val="7"/>
              <w:spacing w:line="240" w:lineRule="auto"/>
              <w:rPr>
                <w:rFonts w:hAnsi="宋体" w:cs="宋体"/>
                <w:szCs w:val="24"/>
                <w:shd w:val="clear" w:color="auto" w:fill="FFFFFF"/>
              </w:rPr>
            </w:pPr>
            <w:r>
              <w:rPr>
                <w:rFonts w:hint="eastAsia" w:hAnsi="宋体" w:cs="宋体"/>
                <w:szCs w:val="24"/>
                <w:shd w:val="clear" w:color="auto" w:fill="FFFFFF"/>
              </w:rPr>
              <w:t>未配备相应的应急物资和设备的，扣5分</w:t>
            </w:r>
          </w:p>
          <w:p>
            <w:pPr>
              <w:pStyle w:val="7"/>
              <w:spacing w:line="240" w:lineRule="auto"/>
              <w:rPr>
                <w:rFonts w:hAnsi="宋体" w:cs="宋体"/>
                <w:szCs w:val="24"/>
                <w:shd w:val="clear" w:color="auto" w:fill="FFFFFF"/>
              </w:rPr>
            </w:pPr>
            <w:r>
              <w:rPr>
                <w:rFonts w:hint="eastAsia" w:hAnsi="宋体" w:cs="宋体"/>
                <w:szCs w:val="24"/>
                <w:shd w:val="clear" w:color="auto" w:fill="FFFFFF"/>
              </w:rPr>
              <w:t>未定期进行应急救援专项演练的，扣5分</w:t>
            </w:r>
          </w:p>
        </w:tc>
        <w:tc>
          <w:tcPr>
            <w:tcW w:w="708" w:type="dxa"/>
            <w:noWrap/>
            <w:vAlign w:val="center"/>
          </w:tcPr>
          <w:p>
            <w:pPr>
              <w:pStyle w:val="7"/>
              <w:spacing w:line="240" w:lineRule="auto"/>
              <w:jc w:val="center"/>
              <w:rPr>
                <w:rFonts w:hAnsi="宋体" w:cs="宋体"/>
                <w:szCs w:val="24"/>
                <w:shd w:val="clear" w:color="auto" w:fill="FFFFFF"/>
              </w:rPr>
            </w:pPr>
            <w:r>
              <w:rPr>
                <w:rFonts w:hint="eastAsia" w:hAnsi="宋体" w:cs="宋体"/>
                <w:szCs w:val="24"/>
                <w:shd w:val="clear" w:color="auto" w:fill="FFFFFF"/>
              </w:rPr>
              <w:t>10</w:t>
            </w:r>
          </w:p>
        </w:tc>
        <w:tc>
          <w:tcPr>
            <w:tcW w:w="567" w:type="dxa"/>
            <w:noWrap/>
            <w:vAlign w:val="center"/>
          </w:tcPr>
          <w:p>
            <w:pPr>
              <w:pStyle w:val="7"/>
              <w:spacing w:line="240" w:lineRule="auto"/>
              <w:ind w:firstLine="360"/>
              <w:jc w:val="center"/>
              <w:rPr>
                <w:rFonts w:hAnsi="宋体" w:cs="宋体"/>
                <w:szCs w:val="24"/>
                <w:shd w:val="clear" w:color="auto" w:fill="FFFFFF"/>
              </w:rPr>
            </w:pPr>
          </w:p>
        </w:tc>
        <w:tc>
          <w:tcPr>
            <w:tcW w:w="709" w:type="dxa"/>
            <w:noWrap/>
            <w:vAlign w:val="center"/>
          </w:tcPr>
          <w:p>
            <w:pPr>
              <w:pStyle w:val="7"/>
              <w:spacing w:line="240" w:lineRule="auto"/>
              <w:ind w:firstLine="360"/>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dxa"/>
            <w:noWrap/>
            <w:vAlign w:val="center"/>
          </w:tcPr>
          <w:p>
            <w:pPr>
              <w:pStyle w:val="7"/>
              <w:spacing w:line="240" w:lineRule="auto"/>
              <w:jc w:val="center"/>
              <w:rPr>
                <w:rFonts w:hAnsi="宋体" w:cs="宋体"/>
                <w:szCs w:val="24"/>
              </w:rPr>
            </w:pPr>
            <w:r>
              <w:rPr>
                <w:rFonts w:hint="eastAsia" w:hAnsi="宋体" w:cs="宋体"/>
                <w:szCs w:val="24"/>
              </w:rPr>
              <w:t>7</w:t>
            </w:r>
          </w:p>
        </w:tc>
        <w:tc>
          <w:tcPr>
            <w:tcW w:w="775" w:type="dxa"/>
            <w:noWrap/>
            <w:vAlign w:val="center"/>
          </w:tcPr>
          <w:p>
            <w:pPr>
              <w:pStyle w:val="7"/>
              <w:spacing w:line="240" w:lineRule="auto"/>
              <w:jc w:val="center"/>
              <w:rPr>
                <w:rFonts w:hAnsi="宋体" w:cs="宋体"/>
                <w:kern w:val="0"/>
                <w:szCs w:val="24"/>
              </w:rPr>
            </w:pPr>
            <w:r>
              <w:rPr>
                <w:rFonts w:hint="eastAsia" w:hAnsi="宋体" w:cs="宋体"/>
                <w:kern w:val="0"/>
                <w:szCs w:val="24"/>
              </w:rPr>
              <w:t>信息化管理</w:t>
            </w:r>
          </w:p>
        </w:tc>
        <w:tc>
          <w:tcPr>
            <w:tcW w:w="5670" w:type="dxa"/>
            <w:noWrap/>
            <w:vAlign w:val="center"/>
          </w:tcPr>
          <w:p>
            <w:pPr>
              <w:pStyle w:val="7"/>
              <w:spacing w:line="240" w:lineRule="auto"/>
              <w:rPr>
                <w:rFonts w:hAnsi="宋体" w:cs="宋体"/>
                <w:szCs w:val="24"/>
                <w:shd w:val="clear" w:color="auto" w:fill="FFFFFF"/>
              </w:rPr>
            </w:pPr>
            <w:r>
              <w:rPr>
                <w:rFonts w:hint="eastAsia" w:hAnsi="宋体" w:cs="宋体"/>
                <w:szCs w:val="24"/>
                <w:shd w:val="clear" w:color="auto" w:fill="FFFFFF"/>
              </w:rPr>
              <w:t>项目负责人、专职安全生产管理人员等关键岗位人员未实行实名制考勤的，每人扣5分</w:t>
            </w:r>
          </w:p>
          <w:p>
            <w:pPr>
              <w:rPr>
                <w:rFonts w:ascii="宋体" w:hAnsi="宋体" w:cs="宋体"/>
                <w:shd w:val="clear" w:color="auto" w:fill="FFFFFF"/>
              </w:rPr>
            </w:pPr>
            <w:r>
              <w:rPr>
                <w:rFonts w:hint="eastAsia" w:ascii="宋体" w:hAnsi="宋体" w:cs="宋体"/>
                <w:shd w:val="clear" w:color="auto" w:fill="FFFFFF"/>
              </w:rPr>
              <w:t>未利用项目信</w:t>
            </w:r>
            <w:r>
              <w:rPr>
                <w:rFonts w:hint="eastAsia" w:ascii="宋体" w:hAnsi="宋体" w:cs="宋体"/>
                <w:color w:val="000000"/>
                <w:shd w:val="clear" w:color="auto" w:fill="FFFFFF"/>
              </w:rPr>
              <w:t>息化系统对施工现场生产安全进行动态管理的，扣</w:t>
            </w:r>
            <w:r>
              <w:rPr>
                <w:rFonts w:hint="eastAsia" w:ascii="宋体" w:hAnsi="宋体" w:cs="宋体"/>
                <w:bCs w:val="0"/>
                <w:color w:val="000000"/>
                <w:shd w:val="clear" w:color="auto" w:fill="FFFFFF"/>
              </w:rPr>
              <w:t>2-</w:t>
            </w:r>
            <w:r>
              <w:rPr>
                <w:rFonts w:hint="eastAsia" w:ascii="宋体" w:hAnsi="宋体" w:cs="宋体"/>
                <w:color w:val="000000"/>
                <w:shd w:val="clear" w:color="auto" w:fill="FFFFFF"/>
              </w:rPr>
              <w:t>5分</w:t>
            </w:r>
          </w:p>
        </w:tc>
        <w:tc>
          <w:tcPr>
            <w:tcW w:w="708" w:type="dxa"/>
            <w:noWrap/>
            <w:vAlign w:val="center"/>
          </w:tcPr>
          <w:p>
            <w:pPr>
              <w:pStyle w:val="7"/>
              <w:spacing w:line="240" w:lineRule="auto"/>
              <w:jc w:val="center"/>
              <w:rPr>
                <w:rFonts w:hAnsi="宋体" w:cs="宋体"/>
                <w:szCs w:val="24"/>
                <w:shd w:val="clear" w:color="auto" w:fill="FFFFFF"/>
              </w:rPr>
            </w:pPr>
            <w:r>
              <w:rPr>
                <w:rFonts w:hint="eastAsia" w:hAnsi="宋体" w:cs="宋体"/>
                <w:szCs w:val="24"/>
                <w:shd w:val="clear" w:color="auto" w:fill="FFFFFF"/>
              </w:rPr>
              <w:t>10</w:t>
            </w:r>
          </w:p>
        </w:tc>
        <w:tc>
          <w:tcPr>
            <w:tcW w:w="567" w:type="dxa"/>
            <w:noWrap/>
            <w:vAlign w:val="center"/>
          </w:tcPr>
          <w:p>
            <w:pPr>
              <w:pStyle w:val="7"/>
              <w:spacing w:line="240" w:lineRule="auto"/>
              <w:ind w:firstLine="360"/>
              <w:jc w:val="center"/>
              <w:rPr>
                <w:rFonts w:hAnsi="宋体" w:cs="宋体"/>
                <w:szCs w:val="24"/>
                <w:shd w:val="clear" w:color="auto" w:fill="FFFFFF"/>
              </w:rPr>
            </w:pPr>
          </w:p>
        </w:tc>
        <w:tc>
          <w:tcPr>
            <w:tcW w:w="709" w:type="dxa"/>
            <w:noWrap/>
            <w:vAlign w:val="center"/>
          </w:tcPr>
          <w:p>
            <w:pPr>
              <w:pStyle w:val="7"/>
              <w:spacing w:line="240" w:lineRule="auto"/>
              <w:ind w:firstLine="360"/>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9" w:type="dxa"/>
            <w:gridSpan w:val="3"/>
            <w:noWrap/>
            <w:vAlign w:val="center"/>
          </w:tcPr>
          <w:p>
            <w:pPr>
              <w:pStyle w:val="7"/>
              <w:spacing w:line="240" w:lineRule="auto"/>
              <w:ind w:firstLine="360"/>
              <w:jc w:val="center"/>
              <w:rPr>
                <w:rFonts w:hAnsi="宋体" w:cs="宋体"/>
                <w:szCs w:val="24"/>
              </w:rPr>
            </w:pPr>
            <w:r>
              <w:rPr>
                <w:rFonts w:hint="eastAsia" w:hAnsi="宋体" w:cs="宋体"/>
                <w:szCs w:val="24"/>
              </w:rPr>
              <w:t>合计</w:t>
            </w:r>
          </w:p>
        </w:tc>
        <w:tc>
          <w:tcPr>
            <w:tcW w:w="708" w:type="dxa"/>
            <w:noWrap/>
            <w:vAlign w:val="center"/>
          </w:tcPr>
          <w:p>
            <w:pPr>
              <w:pStyle w:val="7"/>
              <w:spacing w:line="240" w:lineRule="auto"/>
              <w:jc w:val="center"/>
              <w:rPr>
                <w:rFonts w:hAnsi="宋体" w:cs="宋体"/>
                <w:szCs w:val="24"/>
              </w:rPr>
            </w:pPr>
            <w:r>
              <w:rPr>
                <w:rFonts w:hint="eastAsia" w:hAnsi="宋体" w:cs="宋体"/>
                <w:szCs w:val="24"/>
              </w:rPr>
              <w:t>100</w:t>
            </w:r>
          </w:p>
        </w:tc>
        <w:tc>
          <w:tcPr>
            <w:tcW w:w="567" w:type="dxa"/>
            <w:noWrap/>
            <w:vAlign w:val="center"/>
          </w:tcPr>
          <w:p>
            <w:pPr>
              <w:pStyle w:val="7"/>
              <w:spacing w:line="240" w:lineRule="auto"/>
              <w:ind w:firstLine="360"/>
              <w:jc w:val="center"/>
              <w:rPr>
                <w:rFonts w:hAnsi="宋体" w:cs="宋体"/>
                <w:szCs w:val="24"/>
              </w:rPr>
            </w:pPr>
          </w:p>
        </w:tc>
        <w:tc>
          <w:tcPr>
            <w:tcW w:w="709" w:type="dxa"/>
            <w:noWrap/>
            <w:vAlign w:val="center"/>
          </w:tcPr>
          <w:p>
            <w:pPr>
              <w:pStyle w:val="7"/>
              <w:spacing w:line="240" w:lineRule="auto"/>
              <w:ind w:firstLine="360"/>
              <w:jc w:val="center"/>
              <w:rPr>
                <w:rFonts w:hAnsi="宋体" w:cs="宋体"/>
                <w:szCs w:val="24"/>
              </w:rPr>
            </w:pPr>
          </w:p>
        </w:tc>
      </w:tr>
    </w:tbl>
    <w:p>
      <w:pPr>
        <w:pStyle w:val="7"/>
        <w:rPr>
          <w:rFonts w:hAnsi="宋体" w:cs="宋体"/>
          <w:b/>
          <w:szCs w:val="21"/>
        </w:rPr>
      </w:pPr>
      <w:r>
        <w:rPr>
          <w:rFonts w:hint="eastAsia" w:hAnsi="宋体" w:cs="宋体"/>
          <w:szCs w:val="24"/>
        </w:rPr>
        <w:t>评价人员：</w:t>
      </w:r>
      <w:r>
        <w:rPr>
          <w:rFonts w:hint="eastAsia" w:hAnsi="宋体"/>
          <w:szCs w:val="24"/>
        </w:rPr>
        <w:t xml:space="preserve">                                              年    月    日</w:t>
      </w:r>
    </w:p>
    <w:p>
      <w:pPr>
        <w:pStyle w:val="7"/>
        <w:ind w:firstLine="422"/>
        <w:jc w:val="center"/>
        <w:rPr>
          <w:rFonts w:hAnsi="宋体" w:cs="宋体"/>
          <w:b/>
          <w:szCs w:val="21"/>
        </w:rPr>
      </w:pPr>
    </w:p>
    <w:p>
      <w:pPr>
        <w:pStyle w:val="7"/>
        <w:ind w:firstLine="422"/>
        <w:jc w:val="center"/>
        <w:rPr>
          <w:rFonts w:hAnsi="宋体" w:cs="宋体"/>
          <w:b/>
          <w:szCs w:val="21"/>
        </w:rPr>
      </w:pPr>
    </w:p>
    <w:p>
      <w:pPr>
        <w:pStyle w:val="7"/>
        <w:rPr>
          <w:rFonts w:hAnsi="宋体" w:cs="宋体"/>
          <w:b/>
          <w:bCs w:val="0"/>
          <w:sz w:val="18"/>
          <w:szCs w:val="18"/>
        </w:rPr>
      </w:pPr>
    </w:p>
    <w:p>
      <w:pPr>
        <w:pStyle w:val="7"/>
        <w:rPr>
          <w:rFonts w:hAnsi="宋体" w:cs="宋体"/>
          <w:b/>
          <w:bCs w:val="0"/>
          <w:sz w:val="18"/>
          <w:szCs w:val="18"/>
        </w:rPr>
      </w:pPr>
    </w:p>
    <w:p>
      <w:pPr>
        <w:pStyle w:val="7"/>
        <w:rPr>
          <w:rFonts w:hAnsi="宋体" w:cs="宋体"/>
          <w:b/>
          <w:bCs w:val="0"/>
          <w:sz w:val="18"/>
          <w:szCs w:val="18"/>
        </w:rPr>
      </w:pPr>
    </w:p>
    <w:p>
      <w:pPr>
        <w:pStyle w:val="7"/>
        <w:rPr>
          <w:rFonts w:hAnsi="宋体" w:cs="宋体"/>
          <w:b/>
          <w:bCs w:val="0"/>
          <w:sz w:val="18"/>
          <w:szCs w:val="18"/>
        </w:rPr>
      </w:pPr>
    </w:p>
    <w:p>
      <w:pPr>
        <w:pStyle w:val="7"/>
        <w:rPr>
          <w:rFonts w:hAnsi="宋体" w:cs="宋体"/>
          <w:b/>
          <w:bCs w:val="0"/>
          <w:sz w:val="18"/>
          <w:szCs w:val="18"/>
        </w:rPr>
      </w:pPr>
    </w:p>
    <w:p>
      <w:pPr>
        <w:pStyle w:val="7"/>
        <w:rPr>
          <w:rFonts w:hAnsi="宋体" w:cs="宋体"/>
          <w:b/>
          <w:bCs w:val="0"/>
          <w:sz w:val="18"/>
          <w:szCs w:val="18"/>
        </w:rPr>
      </w:pPr>
    </w:p>
    <w:p>
      <w:pPr>
        <w:pStyle w:val="7"/>
        <w:rPr>
          <w:rFonts w:hAnsi="宋体" w:cs="宋体"/>
          <w:b/>
          <w:bCs w:val="0"/>
          <w:sz w:val="18"/>
          <w:szCs w:val="18"/>
        </w:rPr>
      </w:pPr>
    </w:p>
    <w:p>
      <w:pPr>
        <w:pStyle w:val="7"/>
        <w:rPr>
          <w:rFonts w:hAnsi="宋体" w:cs="宋体"/>
          <w:b/>
          <w:bCs w:val="0"/>
          <w:sz w:val="18"/>
          <w:szCs w:val="18"/>
        </w:rPr>
      </w:pPr>
    </w:p>
    <w:p>
      <w:pPr>
        <w:pStyle w:val="7"/>
        <w:rPr>
          <w:rFonts w:hAnsi="宋体" w:cs="宋体"/>
          <w:b/>
          <w:bCs w:val="0"/>
          <w:sz w:val="18"/>
          <w:szCs w:val="18"/>
        </w:rPr>
      </w:pPr>
    </w:p>
    <w:p>
      <w:pPr>
        <w:pStyle w:val="7"/>
        <w:rPr>
          <w:rFonts w:hAnsi="宋体" w:cs="宋体"/>
          <w:b/>
          <w:bCs w:val="0"/>
          <w:sz w:val="18"/>
          <w:szCs w:val="18"/>
        </w:rPr>
      </w:pPr>
    </w:p>
    <w:p>
      <w:pPr>
        <w:pStyle w:val="7"/>
        <w:rPr>
          <w:rFonts w:hAnsi="宋体" w:cs="宋体"/>
          <w:b/>
          <w:bCs w:val="0"/>
          <w:sz w:val="18"/>
          <w:szCs w:val="18"/>
        </w:rPr>
      </w:pPr>
    </w:p>
    <w:p>
      <w:pPr>
        <w:pStyle w:val="7"/>
        <w:rPr>
          <w:rFonts w:hAnsi="宋体" w:cs="宋体"/>
          <w:b/>
          <w:bCs w:val="0"/>
          <w:sz w:val="18"/>
          <w:szCs w:val="18"/>
        </w:rPr>
      </w:pPr>
    </w:p>
    <w:p>
      <w:pPr>
        <w:pStyle w:val="7"/>
        <w:rPr>
          <w:rFonts w:hAnsi="宋体" w:cs="宋体"/>
          <w:b/>
          <w:bCs w:val="0"/>
          <w:sz w:val="18"/>
          <w:szCs w:val="18"/>
        </w:rPr>
      </w:pPr>
    </w:p>
    <w:p>
      <w:pPr>
        <w:spacing w:line="360" w:lineRule="auto"/>
        <w:jc w:val="center"/>
        <w:rPr>
          <w:rFonts w:ascii="宋体" w:hAnsi="宋体" w:cs="SimSun,Bold"/>
          <w:b/>
          <w:kern w:val="0"/>
          <w:szCs w:val="21"/>
        </w:rPr>
      </w:pPr>
      <w:r>
        <w:rPr>
          <w:rFonts w:hint="eastAsia" w:ascii="宋体" w:hAnsi="宋体" w:cs="SimSun,Bold"/>
          <w:b/>
          <w:kern w:val="0"/>
          <w:szCs w:val="21"/>
        </w:rPr>
        <w:t>表B.</w:t>
      </w:r>
      <w:r>
        <w:rPr>
          <w:rFonts w:ascii="宋体" w:hAnsi="宋体" w:cs="SimSun,Bold"/>
          <w:b/>
          <w:kern w:val="0"/>
          <w:szCs w:val="21"/>
        </w:rPr>
        <w:t>0.</w:t>
      </w:r>
      <w:r>
        <w:rPr>
          <w:rFonts w:hint="eastAsia" w:ascii="宋体" w:hAnsi="宋体" w:cs="SimSun,Bold"/>
          <w:b/>
          <w:kern w:val="0"/>
          <w:szCs w:val="21"/>
        </w:rPr>
        <w:t>4  文明施工评价表</w:t>
      </w:r>
    </w:p>
    <w:tbl>
      <w:tblPr>
        <w:tblStyle w:val="16"/>
        <w:tblW w:w="9263" w:type="dxa"/>
        <w:tblInd w:w="-3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805"/>
        <w:gridCol w:w="5879"/>
        <w:gridCol w:w="737"/>
        <w:gridCol w:w="737"/>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dxa"/>
            <w:noWrap/>
            <w:vAlign w:val="center"/>
          </w:tcPr>
          <w:p>
            <w:pPr>
              <w:pStyle w:val="7"/>
              <w:spacing w:line="240" w:lineRule="auto"/>
              <w:jc w:val="center"/>
              <w:rPr>
                <w:rFonts w:hAnsi="宋体" w:cs="宋体"/>
                <w:szCs w:val="24"/>
              </w:rPr>
            </w:pPr>
            <w:r>
              <w:rPr>
                <w:rFonts w:hint="eastAsia" w:hAnsi="宋体" w:cs="宋体"/>
                <w:szCs w:val="24"/>
              </w:rPr>
              <w:t>序号</w:t>
            </w:r>
          </w:p>
        </w:tc>
        <w:tc>
          <w:tcPr>
            <w:tcW w:w="805" w:type="dxa"/>
            <w:noWrap/>
            <w:vAlign w:val="center"/>
          </w:tcPr>
          <w:p>
            <w:pPr>
              <w:pStyle w:val="7"/>
              <w:spacing w:line="240" w:lineRule="auto"/>
              <w:jc w:val="center"/>
              <w:rPr>
                <w:rFonts w:hAnsi="宋体" w:cs="宋体"/>
                <w:szCs w:val="24"/>
              </w:rPr>
            </w:pPr>
            <w:r>
              <w:rPr>
                <w:rFonts w:hint="eastAsia" w:hAnsi="宋体" w:cs="宋体"/>
                <w:szCs w:val="24"/>
              </w:rPr>
              <w:t>评价项目</w:t>
            </w:r>
          </w:p>
        </w:tc>
        <w:tc>
          <w:tcPr>
            <w:tcW w:w="5879" w:type="dxa"/>
            <w:noWrap/>
            <w:vAlign w:val="center"/>
          </w:tcPr>
          <w:p>
            <w:pPr>
              <w:pStyle w:val="7"/>
              <w:spacing w:line="240" w:lineRule="auto"/>
              <w:jc w:val="center"/>
              <w:rPr>
                <w:rFonts w:hAnsi="宋体" w:cs="宋体"/>
                <w:szCs w:val="24"/>
              </w:rPr>
            </w:pPr>
            <w:r>
              <w:rPr>
                <w:rFonts w:hint="eastAsia" w:hAnsi="宋体" w:cs="宋体"/>
                <w:szCs w:val="24"/>
              </w:rPr>
              <w:t>评  价  标  准</w:t>
            </w:r>
          </w:p>
        </w:tc>
        <w:tc>
          <w:tcPr>
            <w:tcW w:w="737" w:type="dxa"/>
            <w:noWrap/>
            <w:vAlign w:val="center"/>
          </w:tcPr>
          <w:p>
            <w:pPr>
              <w:pStyle w:val="7"/>
              <w:spacing w:line="240" w:lineRule="auto"/>
              <w:jc w:val="center"/>
              <w:rPr>
                <w:rFonts w:hAnsi="宋体" w:cs="宋体"/>
                <w:szCs w:val="24"/>
              </w:rPr>
            </w:pPr>
            <w:r>
              <w:rPr>
                <w:rFonts w:hint="eastAsia" w:hAnsi="宋体" w:cs="宋体"/>
                <w:szCs w:val="24"/>
              </w:rPr>
              <w:t>应得</w:t>
            </w:r>
          </w:p>
          <w:p>
            <w:pPr>
              <w:pStyle w:val="7"/>
              <w:spacing w:line="240" w:lineRule="auto"/>
              <w:jc w:val="center"/>
              <w:rPr>
                <w:rFonts w:hAnsi="宋体" w:cs="宋体"/>
                <w:szCs w:val="24"/>
              </w:rPr>
            </w:pPr>
            <w:r>
              <w:rPr>
                <w:rFonts w:hint="eastAsia" w:hAnsi="宋体" w:cs="宋体"/>
                <w:szCs w:val="24"/>
              </w:rPr>
              <w:t>分</w:t>
            </w:r>
          </w:p>
        </w:tc>
        <w:tc>
          <w:tcPr>
            <w:tcW w:w="737" w:type="dxa"/>
            <w:noWrap/>
            <w:vAlign w:val="center"/>
          </w:tcPr>
          <w:p>
            <w:pPr>
              <w:pStyle w:val="7"/>
              <w:spacing w:line="240" w:lineRule="auto"/>
              <w:jc w:val="center"/>
              <w:rPr>
                <w:rFonts w:hAnsi="宋体" w:cs="宋体"/>
                <w:szCs w:val="24"/>
              </w:rPr>
            </w:pPr>
            <w:r>
              <w:rPr>
                <w:rFonts w:hint="eastAsia" w:hAnsi="宋体" w:cs="宋体"/>
                <w:szCs w:val="24"/>
              </w:rPr>
              <w:t>扣减分</w:t>
            </w:r>
          </w:p>
        </w:tc>
        <w:tc>
          <w:tcPr>
            <w:tcW w:w="737" w:type="dxa"/>
            <w:noWrap/>
            <w:vAlign w:val="center"/>
          </w:tcPr>
          <w:p>
            <w:pPr>
              <w:pStyle w:val="7"/>
              <w:spacing w:line="240" w:lineRule="auto"/>
              <w:jc w:val="center"/>
              <w:rPr>
                <w:rFonts w:hAnsi="宋体" w:cs="宋体"/>
                <w:szCs w:val="24"/>
              </w:rPr>
            </w:pPr>
            <w:r>
              <w:rPr>
                <w:rFonts w:hint="eastAsia" w:hAnsi="宋体" w:cs="宋体"/>
                <w:szCs w:val="24"/>
              </w:rPr>
              <w:t>实得</w:t>
            </w:r>
          </w:p>
          <w:p>
            <w:pPr>
              <w:pStyle w:val="7"/>
              <w:spacing w:line="240" w:lineRule="auto"/>
              <w:jc w:val="center"/>
              <w:rPr>
                <w:rFonts w:hAnsi="宋体" w:cs="宋体"/>
                <w:szCs w:val="24"/>
              </w:rPr>
            </w:pPr>
            <w:r>
              <w:rPr>
                <w:rFonts w:hint="eastAsia" w:hAnsi="宋体" w:cs="宋体"/>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dxa"/>
            <w:noWrap/>
            <w:vAlign w:val="center"/>
          </w:tcPr>
          <w:p>
            <w:pPr>
              <w:pStyle w:val="7"/>
              <w:spacing w:line="240" w:lineRule="auto"/>
              <w:jc w:val="center"/>
              <w:rPr>
                <w:rFonts w:hAnsi="宋体" w:cs="宋体"/>
                <w:szCs w:val="24"/>
              </w:rPr>
            </w:pPr>
            <w:r>
              <w:rPr>
                <w:rFonts w:hint="eastAsia" w:hAnsi="宋体" w:cs="宋体"/>
                <w:szCs w:val="24"/>
              </w:rPr>
              <w:t>1</w:t>
            </w:r>
          </w:p>
        </w:tc>
        <w:tc>
          <w:tcPr>
            <w:tcW w:w="805" w:type="dxa"/>
            <w:noWrap/>
            <w:vAlign w:val="center"/>
          </w:tcPr>
          <w:p>
            <w:pPr>
              <w:pStyle w:val="7"/>
              <w:spacing w:line="240" w:lineRule="auto"/>
              <w:jc w:val="center"/>
              <w:rPr>
                <w:rFonts w:hAnsi="宋体" w:cs="宋体"/>
                <w:szCs w:val="24"/>
              </w:rPr>
            </w:pPr>
            <w:r>
              <w:rPr>
                <w:rFonts w:hint="eastAsia" w:hAnsi="宋体" w:cs="宋体"/>
                <w:szCs w:val="24"/>
              </w:rPr>
              <w:t>工程整体形象</w:t>
            </w:r>
          </w:p>
        </w:tc>
        <w:tc>
          <w:tcPr>
            <w:tcW w:w="5879" w:type="dxa"/>
            <w:noWrap/>
            <w:vAlign w:val="center"/>
          </w:tcPr>
          <w:p>
            <w:pPr>
              <w:pStyle w:val="7"/>
              <w:spacing w:line="290" w:lineRule="exact"/>
              <w:rPr>
                <w:rFonts w:hAnsi="宋体" w:cs="宋体"/>
                <w:szCs w:val="24"/>
              </w:rPr>
            </w:pPr>
            <w:r>
              <w:rPr>
                <w:rFonts w:hint="eastAsia" w:hAnsi="宋体" w:cs="宋体"/>
                <w:szCs w:val="24"/>
              </w:rPr>
              <w:t>围挡未采用硬质材料的，扣5-10分；围挡高度不满足要求的，扣5分</w:t>
            </w:r>
          </w:p>
          <w:p>
            <w:pPr>
              <w:pStyle w:val="7"/>
              <w:spacing w:line="290" w:lineRule="exact"/>
              <w:rPr>
                <w:rFonts w:hAnsi="宋体" w:cs="宋体"/>
                <w:szCs w:val="24"/>
              </w:rPr>
            </w:pPr>
            <w:r>
              <w:rPr>
                <w:rFonts w:hint="eastAsia" w:hAnsi="宋体" w:cs="宋体"/>
                <w:szCs w:val="24"/>
              </w:rPr>
              <w:t>围挡不牢固、不稳定、不整洁、不美观的，扣5-10分</w:t>
            </w:r>
          </w:p>
          <w:p>
            <w:pPr>
              <w:pStyle w:val="7"/>
              <w:spacing w:line="290" w:lineRule="exact"/>
              <w:rPr>
                <w:rFonts w:hAnsi="宋体" w:cs="宋体"/>
                <w:szCs w:val="24"/>
              </w:rPr>
            </w:pPr>
            <w:r>
              <w:rPr>
                <w:rFonts w:hint="eastAsia" w:hAnsi="宋体" w:cs="宋体"/>
                <w:szCs w:val="24"/>
              </w:rPr>
              <w:t>未设置安全文化宣传图牌的，扣5-10分</w:t>
            </w:r>
          </w:p>
        </w:tc>
        <w:tc>
          <w:tcPr>
            <w:tcW w:w="737" w:type="dxa"/>
            <w:noWrap/>
            <w:vAlign w:val="center"/>
          </w:tcPr>
          <w:p>
            <w:pPr>
              <w:pStyle w:val="7"/>
              <w:spacing w:line="240" w:lineRule="auto"/>
              <w:jc w:val="center"/>
              <w:rPr>
                <w:rFonts w:hAnsi="宋体" w:cs="宋体"/>
                <w:szCs w:val="24"/>
              </w:rPr>
            </w:pPr>
            <w:r>
              <w:rPr>
                <w:rFonts w:hint="eastAsia" w:hAnsi="宋体" w:cs="宋体"/>
                <w:szCs w:val="24"/>
              </w:rPr>
              <w:t>15</w:t>
            </w:r>
          </w:p>
        </w:tc>
        <w:tc>
          <w:tcPr>
            <w:tcW w:w="737" w:type="dxa"/>
            <w:noWrap/>
            <w:vAlign w:val="center"/>
          </w:tcPr>
          <w:p>
            <w:pPr>
              <w:pStyle w:val="7"/>
              <w:spacing w:line="240" w:lineRule="auto"/>
              <w:jc w:val="center"/>
              <w:rPr>
                <w:rFonts w:hAnsi="宋体" w:cs="宋体"/>
                <w:szCs w:val="24"/>
              </w:rPr>
            </w:pPr>
          </w:p>
        </w:tc>
        <w:tc>
          <w:tcPr>
            <w:tcW w:w="737" w:type="dxa"/>
            <w:noWrap/>
            <w:vAlign w:val="center"/>
          </w:tcPr>
          <w:p>
            <w:pPr>
              <w:pStyle w:val="7"/>
              <w:spacing w:line="240" w:lineRule="auto"/>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dxa"/>
            <w:noWrap/>
            <w:vAlign w:val="center"/>
          </w:tcPr>
          <w:p>
            <w:pPr>
              <w:pStyle w:val="7"/>
              <w:spacing w:line="240" w:lineRule="auto"/>
              <w:jc w:val="center"/>
              <w:rPr>
                <w:rFonts w:hAnsi="宋体" w:cs="宋体"/>
                <w:szCs w:val="24"/>
              </w:rPr>
            </w:pPr>
            <w:r>
              <w:rPr>
                <w:rFonts w:hint="eastAsia" w:hAnsi="宋体" w:cs="宋体"/>
                <w:szCs w:val="24"/>
              </w:rPr>
              <w:t>2</w:t>
            </w:r>
          </w:p>
        </w:tc>
        <w:tc>
          <w:tcPr>
            <w:tcW w:w="805" w:type="dxa"/>
            <w:noWrap/>
            <w:vAlign w:val="center"/>
          </w:tcPr>
          <w:p>
            <w:pPr>
              <w:pStyle w:val="7"/>
              <w:spacing w:line="240" w:lineRule="auto"/>
              <w:jc w:val="center"/>
              <w:rPr>
                <w:rFonts w:hAnsi="宋体" w:cs="宋体"/>
                <w:szCs w:val="24"/>
              </w:rPr>
            </w:pPr>
            <w:r>
              <w:rPr>
                <w:rFonts w:hint="eastAsia" w:hAnsi="宋体" w:cs="宋体"/>
                <w:szCs w:val="24"/>
              </w:rPr>
              <w:t>现场出入口及道路</w:t>
            </w:r>
          </w:p>
        </w:tc>
        <w:tc>
          <w:tcPr>
            <w:tcW w:w="5879" w:type="dxa"/>
            <w:noWrap/>
            <w:vAlign w:val="center"/>
          </w:tcPr>
          <w:p>
            <w:pPr>
              <w:pStyle w:val="7"/>
              <w:spacing w:line="290" w:lineRule="exact"/>
              <w:rPr>
                <w:rFonts w:hAnsi="宋体" w:cs="宋体"/>
                <w:szCs w:val="24"/>
              </w:rPr>
            </w:pPr>
            <w:r>
              <w:rPr>
                <w:rFonts w:hint="eastAsia" w:hAnsi="宋体" w:cs="宋体"/>
                <w:szCs w:val="24"/>
              </w:rPr>
              <w:t>出入口未设置企业名称和企业标识的，扣10分</w:t>
            </w:r>
          </w:p>
          <w:p>
            <w:pPr>
              <w:pStyle w:val="7"/>
              <w:spacing w:line="290" w:lineRule="exact"/>
              <w:rPr>
                <w:rFonts w:hAnsi="宋体" w:cs="宋体"/>
                <w:szCs w:val="24"/>
              </w:rPr>
            </w:pPr>
            <w:r>
              <w:rPr>
                <w:rFonts w:hint="eastAsia" w:hAnsi="宋体" w:cs="宋体"/>
                <w:szCs w:val="24"/>
              </w:rPr>
              <w:t>未在出入口设置创建安全生产标准化工地公示牌的，扣5分</w:t>
            </w:r>
          </w:p>
          <w:p>
            <w:pPr>
              <w:pStyle w:val="7"/>
              <w:spacing w:line="290" w:lineRule="exact"/>
              <w:rPr>
                <w:rFonts w:hAnsi="宋体" w:cs="宋体"/>
                <w:szCs w:val="24"/>
              </w:rPr>
            </w:pPr>
            <w:r>
              <w:rPr>
                <w:rFonts w:hint="eastAsia" w:hAnsi="宋体" w:cs="宋体"/>
                <w:szCs w:val="24"/>
              </w:rPr>
              <w:t>未建立门卫值班制度的、未设置门禁打卡设施或未实施实名制管理的，扣10分</w:t>
            </w:r>
          </w:p>
          <w:p>
            <w:pPr>
              <w:pStyle w:val="7"/>
              <w:spacing w:line="290" w:lineRule="exact"/>
              <w:rPr>
                <w:rFonts w:hAnsi="宋体" w:cs="宋体"/>
                <w:szCs w:val="24"/>
              </w:rPr>
            </w:pPr>
            <w:r>
              <w:rPr>
                <w:rFonts w:hint="eastAsia" w:hAnsi="宋体" w:cs="宋体"/>
                <w:szCs w:val="24"/>
              </w:rPr>
              <w:t>进入施工现场从业人员未穿戴反光背心、佩戴身份信息卡的，每人扣2分</w:t>
            </w:r>
          </w:p>
          <w:p>
            <w:pPr>
              <w:pStyle w:val="7"/>
              <w:spacing w:line="290" w:lineRule="exact"/>
              <w:rPr>
                <w:rFonts w:hAnsi="宋体" w:cs="宋体"/>
                <w:szCs w:val="24"/>
              </w:rPr>
            </w:pPr>
            <w:r>
              <w:rPr>
                <w:rFonts w:hint="eastAsia" w:hAnsi="宋体" w:cs="宋体"/>
                <w:szCs w:val="24"/>
              </w:rPr>
              <w:t>出入口未设置车辆冲洗设施的，扣10分</w:t>
            </w:r>
          </w:p>
          <w:p>
            <w:pPr>
              <w:pStyle w:val="7"/>
              <w:spacing w:line="290" w:lineRule="exact"/>
              <w:rPr>
                <w:rFonts w:hAnsi="宋体" w:cs="宋体"/>
                <w:szCs w:val="24"/>
              </w:rPr>
            </w:pPr>
            <w:r>
              <w:rPr>
                <w:rFonts w:hint="eastAsia" w:hAnsi="宋体" w:cs="宋体"/>
                <w:szCs w:val="24"/>
              </w:rPr>
              <w:t>未采用自动冲洗平台的，扣5分</w:t>
            </w:r>
          </w:p>
          <w:p>
            <w:pPr>
              <w:pStyle w:val="7"/>
              <w:spacing w:line="290" w:lineRule="exact"/>
              <w:rPr>
                <w:rFonts w:hAnsi="宋体" w:cs="宋体"/>
                <w:szCs w:val="24"/>
              </w:rPr>
            </w:pPr>
            <w:r>
              <w:rPr>
                <w:rFonts w:hint="eastAsia" w:hAnsi="宋体" w:cs="宋体"/>
                <w:szCs w:val="24"/>
              </w:rPr>
              <w:t>施工现场道路不畅通的，扣2-5分；未做到人车分离的，扣2-10分</w:t>
            </w:r>
          </w:p>
          <w:p>
            <w:pPr>
              <w:pStyle w:val="7"/>
              <w:spacing w:line="290" w:lineRule="exact"/>
              <w:rPr>
                <w:rFonts w:hAnsi="宋体" w:cs="宋体"/>
                <w:szCs w:val="24"/>
              </w:rPr>
            </w:pPr>
            <w:r>
              <w:rPr>
                <w:rFonts w:hint="eastAsia" w:hAnsi="宋体" w:cs="宋体"/>
                <w:szCs w:val="24"/>
              </w:rPr>
              <w:t>施工现场未设置限速标牌的，扣5分</w:t>
            </w:r>
          </w:p>
          <w:p>
            <w:pPr>
              <w:pStyle w:val="7"/>
              <w:spacing w:line="290" w:lineRule="exact"/>
              <w:rPr>
                <w:rFonts w:hAnsi="宋体" w:cs="宋体"/>
                <w:szCs w:val="24"/>
              </w:rPr>
            </w:pPr>
            <w:r>
              <w:rPr>
                <w:rFonts w:hint="eastAsia" w:hAnsi="宋体" w:cs="宋体"/>
                <w:bCs w:val="0"/>
                <w:color w:val="000000" w:themeColor="text1"/>
                <w:szCs w:val="24"/>
                <w:shd w:val="clear" w:color="auto" w:fill="FFFFFF"/>
              </w:rPr>
              <w:t>装配式建筑工程未设置装配式构件运输通道和临时堆放场地的，扣5分</w:t>
            </w:r>
          </w:p>
        </w:tc>
        <w:tc>
          <w:tcPr>
            <w:tcW w:w="737" w:type="dxa"/>
            <w:noWrap/>
            <w:vAlign w:val="center"/>
          </w:tcPr>
          <w:p>
            <w:pPr>
              <w:pStyle w:val="7"/>
              <w:spacing w:line="240" w:lineRule="auto"/>
              <w:jc w:val="center"/>
              <w:rPr>
                <w:rFonts w:hAnsi="宋体" w:cs="宋体"/>
                <w:szCs w:val="24"/>
              </w:rPr>
            </w:pPr>
            <w:r>
              <w:rPr>
                <w:rFonts w:hint="eastAsia" w:hAnsi="宋体" w:cs="宋体"/>
                <w:szCs w:val="24"/>
              </w:rPr>
              <w:t>10</w:t>
            </w:r>
          </w:p>
        </w:tc>
        <w:tc>
          <w:tcPr>
            <w:tcW w:w="737" w:type="dxa"/>
            <w:noWrap/>
            <w:vAlign w:val="center"/>
          </w:tcPr>
          <w:p>
            <w:pPr>
              <w:pStyle w:val="7"/>
              <w:spacing w:line="240" w:lineRule="auto"/>
              <w:jc w:val="center"/>
              <w:rPr>
                <w:rFonts w:hAnsi="宋体" w:cs="宋体"/>
                <w:szCs w:val="24"/>
              </w:rPr>
            </w:pPr>
          </w:p>
        </w:tc>
        <w:tc>
          <w:tcPr>
            <w:tcW w:w="737" w:type="dxa"/>
            <w:noWrap/>
            <w:vAlign w:val="center"/>
          </w:tcPr>
          <w:p>
            <w:pPr>
              <w:pStyle w:val="7"/>
              <w:spacing w:line="240" w:lineRule="auto"/>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dxa"/>
            <w:noWrap/>
            <w:vAlign w:val="center"/>
          </w:tcPr>
          <w:p>
            <w:pPr>
              <w:pStyle w:val="7"/>
              <w:spacing w:line="240" w:lineRule="auto"/>
              <w:jc w:val="center"/>
              <w:rPr>
                <w:rFonts w:hAnsi="宋体" w:cs="宋体"/>
                <w:szCs w:val="24"/>
              </w:rPr>
            </w:pPr>
            <w:r>
              <w:rPr>
                <w:rFonts w:hint="eastAsia" w:hAnsi="宋体" w:cs="宋体"/>
                <w:szCs w:val="24"/>
              </w:rPr>
              <w:t>3</w:t>
            </w:r>
          </w:p>
        </w:tc>
        <w:tc>
          <w:tcPr>
            <w:tcW w:w="805" w:type="dxa"/>
            <w:noWrap/>
            <w:vAlign w:val="center"/>
          </w:tcPr>
          <w:p>
            <w:pPr>
              <w:pStyle w:val="7"/>
              <w:spacing w:line="240" w:lineRule="auto"/>
              <w:jc w:val="center"/>
              <w:rPr>
                <w:rFonts w:hAnsi="宋体" w:cs="宋体"/>
                <w:szCs w:val="24"/>
              </w:rPr>
            </w:pPr>
            <w:r>
              <w:rPr>
                <w:rFonts w:hint="eastAsia" w:hAnsi="宋体" w:cs="宋体"/>
                <w:szCs w:val="24"/>
              </w:rPr>
              <w:t>现场材料管理</w:t>
            </w:r>
          </w:p>
        </w:tc>
        <w:tc>
          <w:tcPr>
            <w:tcW w:w="5879" w:type="dxa"/>
            <w:noWrap/>
            <w:vAlign w:val="center"/>
          </w:tcPr>
          <w:p>
            <w:pPr>
              <w:pStyle w:val="7"/>
              <w:spacing w:line="290" w:lineRule="exact"/>
              <w:rPr>
                <w:strike/>
                <w:color w:val="FF0000"/>
                <w:spacing w:val="-5"/>
                <w:szCs w:val="24"/>
              </w:rPr>
            </w:pPr>
            <w:r>
              <w:rPr>
                <w:rFonts w:hint="eastAsia"/>
                <w:spacing w:val="-5"/>
                <w:szCs w:val="24"/>
              </w:rPr>
              <w:t>材料堆放不整齐、未设置材料标识牌或未标明材料名称、规格、型号、产地的，每处扣5分</w:t>
            </w:r>
          </w:p>
          <w:p>
            <w:pPr>
              <w:pStyle w:val="7"/>
              <w:spacing w:line="290" w:lineRule="exact"/>
              <w:rPr>
                <w:spacing w:val="-5"/>
                <w:szCs w:val="24"/>
              </w:rPr>
            </w:pPr>
            <w:r>
              <w:rPr>
                <w:rFonts w:hint="eastAsia"/>
                <w:spacing w:val="-5"/>
                <w:szCs w:val="24"/>
              </w:rPr>
              <w:t>易燃易爆物品未分类储藏在专用库房内或不符合防火措施要求的，扣10分</w:t>
            </w:r>
          </w:p>
          <w:p>
            <w:pPr>
              <w:pStyle w:val="7"/>
              <w:spacing w:line="290" w:lineRule="exact"/>
              <w:rPr>
                <w:spacing w:val="-5"/>
                <w:szCs w:val="24"/>
              </w:rPr>
            </w:pPr>
            <w:r>
              <w:rPr>
                <w:rFonts w:hint="eastAsia"/>
                <w:spacing w:val="-5"/>
                <w:szCs w:val="24"/>
              </w:rPr>
              <w:t>施工作业完成后未满足“工完场清”要求的，扣5-10分</w:t>
            </w:r>
          </w:p>
          <w:p>
            <w:pPr>
              <w:pStyle w:val="7"/>
              <w:spacing w:line="290" w:lineRule="exact"/>
              <w:rPr>
                <w:spacing w:val="-5"/>
                <w:szCs w:val="24"/>
              </w:rPr>
            </w:pPr>
            <w:r>
              <w:rPr>
                <w:rFonts w:hint="eastAsia"/>
                <w:spacing w:val="-5"/>
                <w:szCs w:val="24"/>
              </w:rPr>
              <w:t>现场未使用预拌混凝土、预拌砂浆的或砂浆罐等未进行全封闭管理的，扣5-10分；</w:t>
            </w:r>
          </w:p>
          <w:p>
            <w:pPr>
              <w:pStyle w:val="7"/>
              <w:spacing w:line="290" w:lineRule="exact"/>
              <w:rPr>
                <w:spacing w:val="-5"/>
                <w:szCs w:val="24"/>
              </w:rPr>
            </w:pPr>
            <w:r>
              <w:rPr>
                <w:rFonts w:hint="eastAsia"/>
                <w:spacing w:val="-5"/>
                <w:szCs w:val="24"/>
              </w:rPr>
              <w:t>现场砂、石等易产生扬尘的物料未采取封闭或半封闭措施分类存放的，扣5-10分；</w:t>
            </w:r>
          </w:p>
          <w:p>
            <w:pPr>
              <w:pStyle w:val="7"/>
              <w:spacing w:line="290" w:lineRule="exact"/>
              <w:rPr>
                <w:rFonts w:hAnsi="宋体"/>
                <w:szCs w:val="24"/>
              </w:rPr>
            </w:pPr>
            <w:r>
              <w:rPr>
                <w:rFonts w:hint="eastAsia"/>
                <w:spacing w:val="-5"/>
                <w:szCs w:val="24"/>
              </w:rPr>
              <w:t>建筑垃圾存放未采取封闭措施的，扣5分；室内建筑垃圾未采用封闭式专用垃圾通道或袋装清运的，扣5分</w:t>
            </w:r>
          </w:p>
        </w:tc>
        <w:tc>
          <w:tcPr>
            <w:tcW w:w="737" w:type="dxa"/>
            <w:noWrap/>
            <w:vAlign w:val="center"/>
          </w:tcPr>
          <w:p>
            <w:pPr>
              <w:pStyle w:val="7"/>
              <w:spacing w:line="240" w:lineRule="auto"/>
              <w:jc w:val="center"/>
              <w:rPr>
                <w:rFonts w:hAnsi="宋体" w:cs="宋体"/>
                <w:szCs w:val="24"/>
              </w:rPr>
            </w:pPr>
            <w:r>
              <w:rPr>
                <w:rFonts w:hint="eastAsia" w:hAnsi="宋体" w:cs="宋体"/>
                <w:szCs w:val="24"/>
              </w:rPr>
              <w:t>20</w:t>
            </w:r>
          </w:p>
        </w:tc>
        <w:tc>
          <w:tcPr>
            <w:tcW w:w="737" w:type="dxa"/>
            <w:noWrap/>
            <w:vAlign w:val="center"/>
          </w:tcPr>
          <w:p>
            <w:pPr>
              <w:pStyle w:val="7"/>
              <w:spacing w:line="240" w:lineRule="auto"/>
              <w:jc w:val="center"/>
              <w:rPr>
                <w:rFonts w:hAnsi="宋体" w:cs="宋体"/>
                <w:szCs w:val="24"/>
              </w:rPr>
            </w:pPr>
          </w:p>
        </w:tc>
        <w:tc>
          <w:tcPr>
            <w:tcW w:w="737" w:type="dxa"/>
            <w:noWrap/>
            <w:vAlign w:val="center"/>
          </w:tcPr>
          <w:p>
            <w:pPr>
              <w:pStyle w:val="7"/>
              <w:spacing w:line="240" w:lineRule="auto"/>
              <w:jc w:val="center"/>
              <w:rPr>
                <w:rFonts w:hAnsi="宋体" w:cs="宋体"/>
                <w:szCs w:val="24"/>
              </w:rPr>
            </w:pPr>
          </w:p>
        </w:tc>
      </w:tr>
    </w:tbl>
    <w:p>
      <w:pPr>
        <w:pStyle w:val="7"/>
        <w:jc w:val="center"/>
        <w:rPr>
          <w:rFonts w:hAnsi="宋体" w:cs="宋体"/>
          <w:szCs w:val="21"/>
        </w:rPr>
      </w:pPr>
      <w:r>
        <w:rPr>
          <w:rFonts w:hint="eastAsia" w:hAnsi="宋体" w:cs="宋体"/>
          <w:szCs w:val="21"/>
        </w:rPr>
        <w:br w:type="page"/>
      </w:r>
      <w:r>
        <w:rPr>
          <w:rFonts w:hint="eastAsia" w:hAnsi="宋体" w:cs="宋体"/>
          <w:b/>
          <w:bCs w:val="0"/>
          <w:szCs w:val="21"/>
        </w:rPr>
        <w:t>续</w:t>
      </w:r>
      <w:r>
        <w:rPr>
          <w:rFonts w:hint="eastAsia" w:hAnsi="宋体" w:cs="SimSun,Bold"/>
          <w:b/>
          <w:kern w:val="0"/>
          <w:szCs w:val="21"/>
        </w:rPr>
        <w:t>表B.</w:t>
      </w:r>
      <w:r>
        <w:rPr>
          <w:rFonts w:hAnsi="宋体" w:cs="SimSun,Bold"/>
          <w:b/>
          <w:kern w:val="0"/>
          <w:szCs w:val="21"/>
        </w:rPr>
        <w:t>0.</w:t>
      </w:r>
      <w:r>
        <w:rPr>
          <w:rFonts w:hint="eastAsia" w:hAnsi="宋体" w:cs="SimSun,Bold"/>
          <w:b/>
          <w:kern w:val="0"/>
          <w:szCs w:val="21"/>
        </w:rPr>
        <w:t>4  文明施工评价表</w:t>
      </w:r>
    </w:p>
    <w:tbl>
      <w:tblPr>
        <w:tblStyle w:val="16"/>
        <w:tblW w:w="9263" w:type="dxa"/>
        <w:tblInd w:w="-3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805"/>
        <w:gridCol w:w="5879"/>
        <w:gridCol w:w="737"/>
        <w:gridCol w:w="737"/>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8" w:type="dxa"/>
            <w:noWrap/>
            <w:vAlign w:val="center"/>
          </w:tcPr>
          <w:p>
            <w:pPr>
              <w:pStyle w:val="7"/>
              <w:spacing w:line="240" w:lineRule="auto"/>
              <w:jc w:val="center"/>
              <w:rPr>
                <w:rFonts w:hAnsi="宋体" w:cs="宋体"/>
                <w:szCs w:val="24"/>
              </w:rPr>
            </w:pPr>
            <w:r>
              <w:rPr>
                <w:rFonts w:hint="eastAsia" w:hAnsi="宋体" w:cs="宋体"/>
                <w:szCs w:val="24"/>
              </w:rPr>
              <w:t>4</w:t>
            </w:r>
          </w:p>
        </w:tc>
        <w:tc>
          <w:tcPr>
            <w:tcW w:w="805" w:type="dxa"/>
            <w:noWrap/>
            <w:vAlign w:val="center"/>
          </w:tcPr>
          <w:p>
            <w:pPr>
              <w:pStyle w:val="7"/>
              <w:spacing w:line="240" w:lineRule="auto"/>
              <w:jc w:val="center"/>
              <w:rPr>
                <w:rFonts w:hAnsi="宋体" w:cs="宋体"/>
                <w:szCs w:val="24"/>
              </w:rPr>
            </w:pPr>
            <w:r>
              <w:rPr>
                <w:rFonts w:hint="eastAsia" w:hAnsi="宋体" w:cs="宋体"/>
                <w:szCs w:val="24"/>
              </w:rPr>
              <w:t>临时设施</w:t>
            </w:r>
          </w:p>
        </w:tc>
        <w:tc>
          <w:tcPr>
            <w:tcW w:w="5879" w:type="dxa"/>
            <w:noWrap/>
            <w:vAlign w:val="center"/>
          </w:tcPr>
          <w:p>
            <w:pPr>
              <w:pStyle w:val="7"/>
              <w:spacing w:line="290" w:lineRule="exact"/>
              <w:rPr>
                <w:rFonts w:hAnsi="宋体" w:cs="宋体"/>
                <w:szCs w:val="24"/>
              </w:rPr>
            </w:pPr>
            <w:r>
              <w:rPr>
                <w:rFonts w:hint="eastAsia" w:hAnsi="宋体" w:cs="宋体"/>
                <w:szCs w:val="24"/>
              </w:rPr>
              <w:t>在尚未竣工的建筑物内办公或住宿的，扣20分</w:t>
            </w:r>
          </w:p>
          <w:p>
            <w:pPr>
              <w:pStyle w:val="7"/>
              <w:spacing w:line="290" w:lineRule="exact"/>
              <w:rPr>
                <w:rFonts w:hAnsi="宋体" w:cs="宋体"/>
                <w:szCs w:val="24"/>
              </w:rPr>
            </w:pPr>
            <w:r>
              <w:rPr>
                <w:rFonts w:hint="eastAsia" w:hAnsi="宋体" w:cs="宋体"/>
                <w:szCs w:val="24"/>
              </w:rPr>
              <w:t>施工作业区与办公、生活区未按要求分开设置并保持安全距离的，扣20分</w:t>
            </w:r>
          </w:p>
          <w:p>
            <w:pPr>
              <w:pStyle w:val="7"/>
              <w:spacing w:line="290" w:lineRule="exact"/>
              <w:rPr>
                <w:rFonts w:hAnsi="宋体" w:cs="宋体"/>
                <w:szCs w:val="24"/>
              </w:rPr>
            </w:pPr>
            <w:r>
              <w:rPr>
                <w:rFonts w:hint="eastAsia" w:hAnsi="宋体" w:cs="宋体"/>
                <w:szCs w:val="24"/>
              </w:rPr>
              <w:t>会议室、库房和食堂未设在一层的，扣10分</w:t>
            </w:r>
          </w:p>
          <w:p>
            <w:pPr>
              <w:pStyle w:val="7"/>
              <w:spacing w:line="290" w:lineRule="exact"/>
              <w:rPr>
                <w:rFonts w:hAnsi="宋体" w:cs="宋体"/>
                <w:szCs w:val="24"/>
              </w:rPr>
            </w:pPr>
            <w:r>
              <w:rPr>
                <w:rFonts w:hint="eastAsia" w:hAnsi="宋体" w:cs="宋体"/>
                <w:szCs w:val="24"/>
              </w:rPr>
              <w:t>工人宿舍未配置空调的，扣5分</w:t>
            </w:r>
          </w:p>
          <w:p>
            <w:pPr>
              <w:pStyle w:val="7"/>
              <w:spacing w:line="290" w:lineRule="exact"/>
              <w:rPr>
                <w:rFonts w:hAnsi="宋体" w:cs="宋体"/>
                <w:szCs w:val="24"/>
              </w:rPr>
            </w:pPr>
            <w:r>
              <w:rPr>
                <w:rFonts w:hint="eastAsia" w:hAnsi="宋体" w:cs="宋体"/>
                <w:szCs w:val="24"/>
              </w:rPr>
              <w:t>施工现场未设置水冲式厕所或厕所内未铺设墙地砖、门窗不齐全的，扣3分</w:t>
            </w:r>
          </w:p>
          <w:p>
            <w:pPr>
              <w:pStyle w:val="7"/>
              <w:spacing w:line="290" w:lineRule="exact"/>
              <w:rPr>
                <w:rFonts w:hAnsi="宋体" w:cs="宋体"/>
                <w:szCs w:val="24"/>
              </w:rPr>
            </w:pPr>
            <w:r>
              <w:rPr>
                <w:rFonts w:hint="eastAsia" w:hAnsi="宋体" w:cs="宋体"/>
                <w:szCs w:val="24"/>
              </w:rPr>
              <w:t>高层建筑楼层内未按要求设置临时移动式厕所的，扣2-6分</w:t>
            </w:r>
          </w:p>
          <w:p>
            <w:pPr>
              <w:pStyle w:val="7"/>
              <w:spacing w:line="290" w:lineRule="exact"/>
              <w:rPr>
                <w:rFonts w:hAnsi="宋体" w:cs="宋体"/>
                <w:szCs w:val="24"/>
              </w:rPr>
            </w:pPr>
            <w:r>
              <w:rPr>
                <w:rFonts w:hint="eastAsia" w:hAnsi="宋体" w:cs="宋体"/>
                <w:szCs w:val="24"/>
              </w:rPr>
              <w:t>淋浴间内未设置满足需要的淋浴喷头或未设置储衣柜、挂衣架的，扣2分</w:t>
            </w:r>
          </w:p>
          <w:p>
            <w:pPr>
              <w:pStyle w:val="7"/>
              <w:spacing w:line="290" w:lineRule="exact"/>
              <w:rPr>
                <w:rFonts w:hAnsi="宋体" w:cs="宋体"/>
                <w:szCs w:val="24"/>
              </w:rPr>
            </w:pPr>
            <w:r>
              <w:rPr>
                <w:rFonts w:hint="eastAsia" w:hAnsi="宋体" w:cs="宋体"/>
                <w:szCs w:val="24"/>
              </w:rPr>
              <w:t>食堂未取得食品经营许可证的，扣3分；食品经营许可证未悬挂在制作间醒目位置的，扣2分</w:t>
            </w:r>
          </w:p>
          <w:p>
            <w:pPr>
              <w:pStyle w:val="7"/>
              <w:spacing w:line="290" w:lineRule="exact"/>
              <w:rPr>
                <w:rFonts w:hAnsi="宋体" w:cs="宋体"/>
                <w:szCs w:val="24"/>
              </w:rPr>
            </w:pPr>
            <w:r>
              <w:rPr>
                <w:rFonts w:hint="eastAsia" w:hAnsi="宋体" w:cs="宋体"/>
                <w:szCs w:val="24"/>
              </w:rPr>
              <w:t>炊事人员未取得健康证的，每人扣3分；炊事人员未穿戴工作服上岗的，每人扣2分</w:t>
            </w:r>
          </w:p>
          <w:p>
            <w:pPr>
              <w:pStyle w:val="7"/>
              <w:spacing w:line="290" w:lineRule="exact"/>
              <w:rPr>
                <w:rFonts w:hAnsi="宋体" w:cs="宋体"/>
                <w:szCs w:val="24"/>
              </w:rPr>
            </w:pPr>
            <w:r>
              <w:rPr>
                <w:rFonts w:hint="eastAsia" w:hAnsi="宋体" w:cs="宋体"/>
                <w:szCs w:val="24"/>
              </w:rPr>
              <w:t>施工现场未设置专门的茶水间和吸烟处的，扣2分</w:t>
            </w:r>
          </w:p>
          <w:p>
            <w:pPr>
              <w:pStyle w:val="7"/>
              <w:spacing w:line="290" w:lineRule="exact"/>
              <w:rPr>
                <w:spacing w:val="-5"/>
                <w:szCs w:val="24"/>
              </w:rPr>
            </w:pPr>
            <w:r>
              <w:rPr>
                <w:rFonts w:hint="eastAsia" w:hAnsi="宋体" w:cs="宋体"/>
                <w:szCs w:val="24"/>
              </w:rPr>
              <w:t>办公区、生活区垃圾未清运、卫生条件差的，扣2-5分</w:t>
            </w:r>
          </w:p>
        </w:tc>
        <w:tc>
          <w:tcPr>
            <w:tcW w:w="737" w:type="dxa"/>
            <w:noWrap/>
            <w:vAlign w:val="center"/>
          </w:tcPr>
          <w:p>
            <w:pPr>
              <w:pStyle w:val="7"/>
              <w:spacing w:line="240" w:lineRule="auto"/>
              <w:jc w:val="center"/>
              <w:rPr>
                <w:rFonts w:hAnsi="宋体" w:cs="宋体"/>
                <w:szCs w:val="24"/>
              </w:rPr>
            </w:pPr>
            <w:r>
              <w:rPr>
                <w:rFonts w:hint="eastAsia" w:hAnsi="宋体" w:cs="宋体"/>
                <w:szCs w:val="24"/>
              </w:rPr>
              <w:t>20</w:t>
            </w:r>
          </w:p>
        </w:tc>
        <w:tc>
          <w:tcPr>
            <w:tcW w:w="737" w:type="dxa"/>
            <w:noWrap/>
            <w:vAlign w:val="center"/>
          </w:tcPr>
          <w:p>
            <w:pPr>
              <w:pStyle w:val="7"/>
              <w:spacing w:line="240" w:lineRule="auto"/>
              <w:jc w:val="center"/>
              <w:rPr>
                <w:rFonts w:hAnsi="宋体" w:cs="宋体"/>
                <w:szCs w:val="24"/>
              </w:rPr>
            </w:pPr>
          </w:p>
        </w:tc>
        <w:tc>
          <w:tcPr>
            <w:tcW w:w="737" w:type="dxa"/>
            <w:noWrap/>
            <w:vAlign w:val="center"/>
          </w:tcPr>
          <w:p>
            <w:pPr>
              <w:pStyle w:val="7"/>
              <w:spacing w:line="240" w:lineRule="auto"/>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dxa"/>
            <w:noWrap/>
            <w:vAlign w:val="center"/>
          </w:tcPr>
          <w:p>
            <w:pPr>
              <w:pStyle w:val="7"/>
              <w:spacing w:line="240" w:lineRule="auto"/>
              <w:jc w:val="center"/>
              <w:rPr>
                <w:rFonts w:hAnsi="宋体" w:cs="宋体"/>
                <w:szCs w:val="24"/>
              </w:rPr>
            </w:pPr>
            <w:r>
              <w:rPr>
                <w:rFonts w:hint="eastAsia" w:hAnsi="宋体" w:cs="宋体"/>
                <w:szCs w:val="24"/>
              </w:rPr>
              <w:t>5</w:t>
            </w:r>
          </w:p>
        </w:tc>
        <w:tc>
          <w:tcPr>
            <w:tcW w:w="805" w:type="dxa"/>
            <w:noWrap/>
            <w:vAlign w:val="center"/>
          </w:tcPr>
          <w:p>
            <w:pPr>
              <w:pStyle w:val="7"/>
              <w:spacing w:line="240" w:lineRule="auto"/>
              <w:jc w:val="center"/>
              <w:rPr>
                <w:rFonts w:hAnsi="宋体" w:cs="宋体"/>
                <w:szCs w:val="24"/>
              </w:rPr>
            </w:pPr>
            <w:r>
              <w:rPr>
                <w:rFonts w:hint="eastAsia" w:hAnsi="宋体" w:cs="宋体"/>
                <w:szCs w:val="24"/>
              </w:rPr>
              <w:t>现场消防</w:t>
            </w:r>
          </w:p>
        </w:tc>
        <w:tc>
          <w:tcPr>
            <w:tcW w:w="5879" w:type="dxa"/>
            <w:noWrap/>
            <w:vAlign w:val="center"/>
          </w:tcPr>
          <w:p>
            <w:pPr>
              <w:pStyle w:val="7"/>
              <w:spacing w:line="290" w:lineRule="exact"/>
              <w:rPr>
                <w:rFonts w:hAnsi="宋体" w:cs="宋体"/>
                <w:szCs w:val="24"/>
              </w:rPr>
            </w:pPr>
            <w:r>
              <w:rPr>
                <w:rFonts w:hint="eastAsia" w:hAnsi="宋体" w:cs="宋体"/>
                <w:szCs w:val="24"/>
              </w:rPr>
              <w:t>未建立消防安全责任制度和制定消防措施的，扣10分</w:t>
            </w:r>
          </w:p>
          <w:p>
            <w:pPr>
              <w:pStyle w:val="7"/>
              <w:spacing w:line="290" w:lineRule="exact"/>
              <w:rPr>
                <w:rFonts w:hAnsi="宋体" w:cs="宋体"/>
                <w:szCs w:val="24"/>
              </w:rPr>
            </w:pPr>
            <w:r>
              <w:rPr>
                <w:rFonts w:hint="eastAsia" w:hAnsi="宋体" w:cs="宋体"/>
                <w:szCs w:val="24"/>
              </w:rPr>
              <w:t>现场临时设施未采用符合防火规范要求的材料搭建的，扣10分</w:t>
            </w:r>
          </w:p>
          <w:p>
            <w:pPr>
              <w:pStyle w:val="7"/>
              <w:spacing w:line="290" w:lineRule="exact"/>
              <w:rPr>
                <w:rFonts w:hAnsi="宋体" w:cs="宋体"/>
                <w:szCs w:val="24"/>
              </w:rPr>
            </w:pPr>
            <w:r>
              <w:rPr>
                <w:rFonts w:hint="eastAsia" w:hAnsi="宋体" w:cs="宋体"/>
                <w:szCs w:val="24"/>
              </w:rPr>
              <w:t>办公区、生活区的通道、楼梯处未设置应急疏散、逃生指示标识和应急照明灯的，扣5分</w:t>
            </w:r>
          </w:p>
          <w:p>
            <w:pPr>
              <w:pStyle w:val="7"/>
              <w:spacing w:line="290" w:lineRule="exact"/>
              <w:rPr>
                <w:rFonts w:hAnsi="宋体" w:cs="宋体"/>
                <w:szCs w:val="24"/>
              </w:rPr>
            </w:pPr>
            <w:r>
              <w:rPr>
                <w:rFonts w:hint="eastAsia" w:hAnsi="宋体" w:cs="宋体"/>
                <w:szCs w:val="24"/>
              </w:rPr>
              <w:t>高层建筑未设置消防水源、消火栓泵、消火栓、水带等的，扣3-15分</w:t>
            </w:r>
          </w:p>
          <w:p>
            <w:pPr>
              <w:pStyle w:val="7"/>
              <w:spacing w:line="290" w:lineRule="exact"/>
              <w:rPr>
                <w:rFonts w:hAnsi="宋体" w:cs="宋体"/>
                <w:szCs w:val="24"/>
              </w:rPr>
            </w:pPr>
            <w:r>
              <w:rPr>
                <w:rFonts w:hint="eastAsia" w:hAnsi="宋体" w:cs="宋体"/>
                <w:szCs w:val="24"/>
              </w:rPr>
              <w:t>灭火器材等消防设施配置、布局不合理，或失效的，扣5分</w:t>
            </w:r>
          </w:p>
          <w:p>
            <w:pPr>
              <w:pStyle w:val="7"/>
              <w:spacing w:line="290" w:lineRule="exact"/>
              <w:rPr>
                <w:rFonts w:hAnsi="宋体" w:cs="宋体"/>
                <w:szCs w:val="24"/>
              </w:rPr>
            </w:pPr>
            <w:r>
              <w:rPr>
                <w:rFonts w:hint="eastAsia" w:hAnsi="宋体" w:cs="宋体"/>
                <w:szCs w:val="24"/>
              </w:rPr>
              <w:t>动火作业未履行审批手续或无专人监护的，扣5分</w:t>
            </w:r>
          </w:p>
        </w:tc>
        <w:tc>
          <w:tcPr>
            <w:tcW w:w="737" w:type="dxa"/>
            <w:noWrap/>
            <w:vAlign w:val="center"/>
          </w:tcPr>
          <w:p>
            <w:pPr>
              <w:pStyle w:val="7"/>
              <w:spacing w:line="240" w:lineRule="auto"/>
              <w:jc w:val="center"/>
              <w:rPr>
                <w:rFonts w:hAnsi="宋体" w:cs="宋体"/>
                <w:szCs w:val="24"/>
              </w:rPr>
            </w:pPr>
            <w:r>
              <w:rPr>
                <w:rFonts w:hint="eastAsia" w:hAnsi="宋体" w:cs="宋体"/>
                <w:szCs w:val="24"/>
              </w:rPr>
              <w:t>15</w:t>
            </w:r>
          </w:p>
        </w:tc>
        <w:tc>
          <w:tcPr>
            <w:tcW w:w="737" w:type="dxa"/>
            <w:noWrap/>
            <w:vAlign w:val="center"/>
          </w:tcPr>
          <w:p>
            <w:pPr>
              <w:pStyle w:val="7"/>
              <w:spacing w:line="240" w:lineRule="auto"/>
              <w:jc w:val="center"/>
              <w:rPr>
                <w:rFonts w:hAnsi="宋体" w:cs="宋体"/>
                <w:szCs w:val="24"/>
              </w:rPr>
            </w:pPr>
          </w:p>
        </w:tc>
        <w:tc>
          <w:tcPr>
            <w:tcW w:w="737" w:type="dxa"/>
            <w:noWrap/>
            <w:vAlign w:val="center"/>
          </w:tcPr>
          <w:p>
            <w:pPr>
              <w:pStyle w:val="7"/>
              <w:spacing w:line="240" w:lineRule="auto"/>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dxa"/>
            <w:noWrap/>
            <w:vAlign w:val="center"/>
          </w:tcPr>
          <w:p>
            <w:pPr>
              <w:pStyle w:val="7"/>
              <w:spacing w:line="240" w:lineRule="auto"/>
              <w:jc w:val="center"/>
              <w:rPr>
                <w:rFonts w:hAnsi="宋体" w:cs="宋体"/>
                <w:szCs w:val="24"/>
              </w:rPr>
            </w:pPr>
            <w:r>
              <w:rPr>
                <w:rFonts w:hint="eastAsia" w:hAnsi="宋体" w:cs="宋体"/>
                <w:szCs w:val="24"/>
              </w:rPr>
              <w:t>6</w:t>
            </w:r>
          </w:p>
        </w:tc>
        <w:tc>
          <w:tcPr>
            <w:tcW w:w="805" w:type="dxa"/>
            <w:noWrap/>
            <w:vAlign w:val="center"/>
          </w:tcPr>
          <w:p>
            <w:pPr>
              <w:pStyle w:val="7"/>
              <w:spacing w:line="240" w:lineRule="auto"/>
              <w:jc w:val="center"/>
              <w:rPr>
                <w:rFonts w:hAnsi="宋体" w:cs="宋体"/>
                <w:szCs w:val="24"/>
              </w:rPr>
            </w:pPr>
            <w:r>
              <w:rPr>
                <w:rFonts w:hint="eastAsia" w:hAnsi="宋体" w:cs="宋体"/>
                <w:szCs w:val="24"/>
              </w:rPr>
              <w:t>施工现场防尘</w:t>
            </w:r>
          </w:p>
        </w:tc>
        <w:tc>
          <w:tcPr>
            <w:tcW w:w="5879" w:type="dxa"/>
            <w:noWrap/>
            <w:vAlign w:val="center"/>
          </w:tcPr>
          <w:p>
            <w:pPr>
              <w:pStyle w:val="7"/>
              <w:spacing w:line="290" w:lineRule="exact"/>
              <w:rPr>
                <w:rFonts w:hAnsi="宋体" w:cs="宋体"/>
                <w:szCs w:val="24"/>
              </w:rPr>
            </w:pPr>
            <w:r>
              <w:rPr>
                <w:rFonts w:hint="eastAsia" w:hAnsi="宋体" w:cs="宋体"/>
                <w:szCs w:val="24"/>
              </w:rPr>
              <w:t>未使用扬尘在线监测设备进行实时监测的，扣15分</w:t>
            </w:r>
          </w:p>
          <w:p>
            <w:pPr>
              <w:pStyle w:val="7"/>
              <w:spacing w:line="290" w:lineRule="exact"/>
              <w:rPr>
                <w:rFonts w:hAnsi="宋体" w:cs="宋体"/>
                <w:szCs w:val="24"/>
              </w:rPr>
            </w:pPr>
            <w:r>
              <w:rPr>
                <w:rFonts w:hint="eastAsia" w:hAnsi="宋体" w:cs="宋体"/>
                <w:szCs w:val="24"/>
              </w:rPr>
              <w:t>施工现场未设置高压喷雾水系统等降尘措施的，扣10分</w:t>
            </w:r>
          </w:p>
          <w:p>
            <w:pPr>
              <w:pStyle w:val="7"/>
              <w:spacing w:line="290" w:lineRule="exact"/>
              <w:rPr>
                <w:rFonts w:hAnsi="宋体" w:cs="宋体"/>
                <w:szCs w:val="24"/>
              </w:rPr>
            </w:pPr>
            <w:r>
              <w:rPr>
                <w:rFonts w:hint="eastAsia" w:hAnsi="宋体" w:cs="宋体"/>
                <w:szCs w:val="24"/>
              </w:rPr>
              <w:t>施工现场的主要通道及办公、生活区未进行硬化处理的，扣10分；</w:t>
            </w:r>
          </w:p>
          <w:p>
            <w:pPr>
              <w:pStyle w:val="7"/>
              <w:spacing w:line="290" w:lineRule="exact"/>
              <w:rPr>
                <w:rFonts w:hAnsi="宋体" w:cs="宋体"/>
                <w:b/>
                <w:szCs w:val="24"/>
              </w:rPr>
            </w:pPr>
            <w:r>
              <w:rPr>
                <w:rFonts w:hint="eastAsia"/>
                <w:spacing w:val="-5"/>
                <w:szCs w:val="24"/>
              </w:rPr>
              <w:t>道路有积水、泥浆的，扣5-10分</w:t>
            </w:r>
          </w:p>
          <w:p>
            <w:pPr>
              <w:pStyle w:val="7"/>
              <w:spacing w:line="290" w:lineRule="exact"/>
              <w:rPr>
                <w:rFonts w:hAnsi="宋体" w:cs="宋体"/>
                <w:szCs w:val="24"/>
              </w:rPr>
            </w:pPr>
            <w:r>
              <w:rPr>
                <w:rFonts w:hint="eastAsia" w:hAnsi="宋体" w:cs="宋体"/>
                <w:szCs w:val="24"/>
              </w:rPr>
              <w:t>施工现场裸露场地未视情况采取覆盖、植被、洒水或固化等抑尘措施的，扣5分</w:t>
            </w:r>
          </w:p>
        </w:tc>
        <w:tc>
          <w:tcPr>
            <w:tcW w:w="737" w:type="dxa"/>
            <w:noWrap/>
            <w:vAlign w:val="center"/>
          </w:tcPr>
          <w:p>
            <w:pPr>
              <w:pStyle w:val="7"/>
              <w:spacing w:line="240" w:lineRule="auto"/>
              <w:jc w:val="center"/>
              <w:rPr>
                <w:rFonts w:hAnsi="宋体" w:cs="宋体"/>
                <w:szCs w:val="24"/>
              </w:rPr>
            </w:pPr>
            <w:r>
              <w:rPr>
                <w:rFonts w:hint="eastAsia" w:hAnsi="宋体" w:cs="宋体"/>
                <w:szCs w:val="24"/>
              </w:rPr>
              <w:t>20</w:t>
            </w:r>
          </w:p>
        </w:tc>
        <w:tc>
          <w:tcPr>
            <w:tcW w:w="737" w:type="dxa"/>
            <w:noWrap/>
            <w:vAlign w:val="center"/>
          </w:tcPr>
          <w:p>
            <w:pPr>
              <w:pStyle w:val="7"/>
              <w:spacing w:line="240" w:lineRule="auto"/>
              <w:jc w:val="center"/>
              <w:rPr>
                <w:rFonts w:hAnsi="宋体" w:cs="宋体"/>
                <w:szCs w:val="24"/>
              </w:rPr>
            </w:pPr>
          </w:p>
        </w:tc>
        <w:tc>
          <w:tcPr>
            <w:tcW w:w="737" w:type="dxa"/>
            <w:noWrap/>
            <w:vAlign w:val="center"/>
          </w:tcPr>
          <w:p>
            <w:pPr>
              <w:pStyle w:val="7"/>
              <w:spacing w:line="240" w:lineRule="auto"/>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2" w:type="dxa"/>
            <w:gridSpan w:val="3"/>
            <w:noWrap/>
            <w:vAlign w:val="center"/>
          </w:tcPr>
          <w:p>
            <w:pPr>
              <w:pStyle w:val="7"/>
              <w:spacing w:line="240" w:lineRule="auto"/>
              <w:jc w:val="center"/>
              <w:rPr>
                <w:rFonts w:hAnsi="宋体" w:cs="宋体"/>
                <w:szCs w:val="24"/>
              </w:rPr>
            </w:pPr>
            <w:r>
              <w:rPr>
                <w:rFonts w:hint="eastAsia" w:hAnsi="宋体" w:cs="宋体"/>
                <w:szCs w:val="24"/>
              </w:rPr>
              <w:t>合计</w:t>
            </w:r>
          </w:p>
        </w:tc>
        <w:tc>
          <w:tcPr>
            <w:tcW w:w="737" w:type="dxa"/>
            <w:noWrap/>
            <w:vAlign w:val="center"/>
          </w:tcPr>
          <w:p>
            <w:pPr>
              <w:pStyle w:val="7"/>
              <w:spacing w:line="240" w:lineRule="auto"/>
              <w:jc w:val="center"/>
              <w:rPr>
                <w:rFonts w:hAnsi="宋体" w:cs="宋体"/>
                <w:szCs w:val="24"/>
              </w:rPr>
            </w:pPr>
            <w:r>
              <w:rPr>
                <w:rFonts w:hint="eastAsia" w:hAnsi="宋体" w:cs="宋体"/>
                <w:szCs w:val="24"/>
              </w:rPr>
              <w:t>100</w:t>
            </w:r>
          </w:p>
        </w:tc>
        <w:tc>
          <w:tcPr>
            <w:tcW w:w="737" w:type="dxa"/>
            <w:noWrap/>
            <w:vAlign w:val="center"/>
          </w:tcPr>
          <w:p>
            <w:pPr>
              <w:pStyle w:val="7"/>
              <w:spacing w:line="240" w:lineRule="auto"/>
              <w:jc w:val="center"/>
              <w:rPr>
                <w:rFonts w:hAnsi="宋体" w:cs="宋体"/>
                <w:szCs w:val="24"/>
              </w:rPr>
            </w:pPr>
          </w:p>
        </w:tc>
        <w:tc>
          <w:tcPr>
            <w:tcW w:w="737" w:type="dxa"/>
            <w:noWrap/>
            <w:vAlign w:val="center"/>
          </w:tcPr>
          <w:p>
            <w:pPr>
              <w:pStyle w:val="7"/>
              <w:spacing w:line="240" w:lineRule="auto"/>
              <w:jc w:val="center"/>
              <w:rPr>
                <w:rFonts w:hAnsi="宋体" w:cs="宋体"/>
                <w:szCs w:val="24"/>
              </w:rPr>
            </w:pPr>
          </w:p>
        </w:tc>
      </w:tr>
    </w:tbl>
    <w:p>
      <w:pPr>
        <w:pStyle w:val="7"/>
        <w:rPr>
          <w:rFonts w:hAnsi="宋体" w:cs="宋体"/>
          <w:b/>
          <w:szCs w:val="21"/>
        </w:rPr>
      </w:pPr>
      <w:r>
        <w:rPr>
          <w:rFonts w:hint="eastAsia" w:hAnsi="宋体" w:cs="宋体"/>
          <w:szCs w:val="24"/>
        </w:rPr>
        <w:t>评价人员：</w:t>
      </w:r>
      <w:r>
        <w:rPr>
          <w:rFonts w:hint="eastAsia" w:hAnsi="宋体"/>
          <w:szCs w:val="24"/>
        </w:rPr>
        <w:t xml:space="preserve">                                              年    月    日</w:t>
      </w:r>
    </w:p>
    <w:p>
      <w:pPr>
        <w:pStyle w:val="7"/>
        <w:spacing w:line="360" w:lineRule="exact"/>
        <w:jc w:val="left"/>
        <w:rPr>
          <w:rFonts w:hAnsi="宋体"/>
          <w:szCs w:val="24"/>
        </w:rPr>
      </w:pPr>
    </w:p>
    <w:p>
      <w:pPr>
        <w:pStyle w:val="7"/>
        <w:jc w:val="center"/>
        <w:rPr>
          <w:rFonts w:hAnsi="宋体" w:cs="宋体"/>
          <w:b/>
          <w:bCs w:val="0"/>
          <w:szCs w:val="24"/>
        </w:rPr>
      </w:pPr>
    </w:p>
    <w:p>
      <w:pPr>
        <w:pStyle w:val="7"/>
        <w:jc w:val="center"/>
        <w:rPr>
          <w:rFonts w:hAnsi="宋体" w:cs="SimSun,Bold"/>
          <w:b/>
          <w:kern w:val="0"/>
          <w:szCs w:val="21"/>
        </w:rPr>
      </w:pPr>
      <w:r>
        <w:rPr>
          <w:rFonts w:hint="eastAsia" w:hAnsi="宋体" w:cs="宋体"/>
          <w:szCs w:val="21"/>
        </w:rPr>
        <w:br w:type="page"/>
      </w:r>
      <w:r>
        <w:rPr>
          <w:rFonts w:hint="eastAsia" w:hAnsi="宋体" w:cs="SimSun,Bold"/>
          <w:b/>
          <w:kern w:val="0"/>
          <w:szCs w:val="21"/>
        </w:rPr>
        <w:t>表B</w:t>
      </w:r>
      <w:r>
        <w:rPr>
          <w:rFonts w:hAnsi="宋体" w:cs="SimSun,Bold"/>
          <w:b/>
          <w:kern w:val="0"/>
          <w:szCs w:val="21"/>
        </w:rPr>
        <w:t>.0.</w:t>
      </w:r>
      <w:r>
        <w:rPr>
          <w:rFonts w:hint="eastAsia" w:hAnsi="宋体" w:cs="SimSun,Bold"/>
          <w:b/>
          <w:kern w:val="0"/>
          <w:szCs w:val="21"/>
        </w:rPr>
        <w:t>5  绿色施工评价表</w:t>
      </w:r>
    </w:p>
    <w:tbl>
      <w:tblPr>
        <w:tblStyle w:val="16"/>
        <w:tblW w:w="882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770"/>
        <w:gridCol w:w="5251"/>
        <w:gridCol w:w="737"/>
        <w:gridCol w:w="737"/>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2" w:type="dxa"/>
            <w:noWrap/>
            <w:vAlign w:val="center"/>
          </w:tcPr>
          <w:p>
            <w:pPr>
              <w:pStyle w:val="7"/>
              <w:spacing w:line="240" w:lineRule="auto"/>
              <w:jc w:val="center"/>
              <w:rPr>
                <w:rFonts w:hAnsi="宋体" w:cs="宋体"/>
                <w:szCs w:val="24"/>
              </w:rPr>
            </w:pPr>
            <w:r>
              <w:rPr>
                <w:rFonts w:hint="eastAsia" w:hAnsi="宋体" w:cs="宋体"/>
                <w:szCs w:val="24"/>
              </w:rPr>
              <w:t>序号</w:t>
            </w:r>
          </w:p>
        </w:tc>
        <w:tc>
          <w:tcPr>
            <w:tcW w:w="770" w:type="dxa"/>
            <w:noWrap/>
            <w:vAlign w:val="center"/>
          </w:tcPr>
          <w:p>
            <w:pPr>
              <w:pStyle w:val="7"/>
              <w:spacing w:line="240" w:lineRule="auto"/>
              <w:jc w:val="center"/>
              <w:rPr>
                <w:rFonts w:hAnsi="宋体" w:cs="宋体"/>
                <w:szCs w:val="24"/>
              </w:rPr>
            </w:pPr>
            <w:r>
              <w:rPr>
                <w:rFonts w:hint="eastAsia" w:hAnsi="宋体" w:cs="宋体"/>
                <w:szCs w:val="24"/>
              </w:rPr>
              <w:t>评价</w:t>
            </w:r>
          </w:p>
          <w:p>
            <w:pPr>
              <w:pStyle w:val="7"/>
              <w:spacing w:line="240" w:lineRule="auto"/>
              <w:jc w:val="center"/>
              <w:rPr>
                <w:rFonts w:hAnsi="宋体" w:cs="宋体"/>
                <w:szCs w:val="24"/>
              </w:rPr>
            </w:pPr>
            <w:r>
              <w:rPr>
                <w:rFonts w:hint="eastAsia" w:hAnsi="宋体" w:cs="宋体"/>
                <w:szCs w:val="24"/>
              </w:rPr>
              <w:t>项目</w:t>
            </w:r>
          </w:p>
        </w:tc>
        <w:tc>
          <w:tcPr>
            <w:tcW w:w="5251" w:type="dxa"/>
            <w:noWrap/>
            <w:vAlign w:val="center"/>
          </w:tcPr>
          <w:p>
            <w:pPr>
              <w:pStyle w:val="7"/>
              <w:spacing w:line="240" w:lineRule="auto"/>
              <w:jc w:val="center"/>
              <w:rPr>
                <w:rFonts w:hAnsi="宋体" w:cs="宋体"/>
                <w:szCs w:val="24"/>
              </w:rPr>
            </w:pPr>
            <w:r>
              <w:rPr>
                <w:rFonts w:hint="eastAsia" w:hAnsi="宋体" w:cs="宋体"/>
                <w:szCs w:val="24"/>
              </w:rPr>
              <w:t>评  价  标  准</w:t>
            </w:r>
          </w:p>
        </w:tc>
        <w:tc>
          <w:tcPr>
            <w:tcW w:w="737" w:type="dxa"/>
            <w:noWrap/>
            <w:vAlign w:val="center"/>
          </w:tcPr>
          <w:p>
            <w:pPr>
              <w:pStyle w:val="7"/>
              <w:spacing w:line="240" w:lineRule="auto"/>
              <w:jc w:val="center"/>
              <w:rPr>
                <w:rFonts w:hAnsi="宋体" w:cs="宋体"/>
                <w:szCs w:val="24"/>
              </w:rPr>
            </w:pPr>
            <w:r>
              <w:rPr>
                <w:rFonts w:hint="eastAsia" w:hAnsi="宋体" w:cs="宋体"/>
                <w:szCs w:val="24"/>
              </w:rPr>
              <w:t>应得</w:t>
            </w:r>
          </w:p>
          <w:p>
            <w:pPr>
              <w:pStyle w:val="7"/>
              <w:spacing w:line="240" w:lineRule="auto"/>
              <w:jc w:val="center"/>
              <w:rPr>
                <w:rFonts w:hAnsi="宋体" w:cs="宋体"/>
                <w:szCs w:val="24"/>
              </w:rPr>
            </w:pPr>
            <w:r>
              <w:rPr>
                <w:rFonts w:hint="eastAsia" w:hAnsi="宋体" w:cs="宋体"/>
                <w:szCs w:val="24"/>
              </w:rPr>
              <w:t>分</w:t>
            </w:r>
          </w:p>
        </w:tc>
        <w:tc>
          <w:tcPr>
            <w:tcW w:w="737" w:type="dxa"/>
            <w:noWrap/>
            <w:vAlign w:val="center"/>
          </w:tcPr>
          <w:p>
            <w:pPr>
              <w:pStyle w:val="7"/>
              <w:spacing w:line="240" w:lineRule="auto"/>
              <w:jc w:val="center"/>
              <w:rPr>
                <w:rFonts w:hAnsi="宋体" w:cs="宋体"/>
                <w:szCs w:val="24"/>
              </w:rPr>
            </w:pPr>
            <w:r>
              <w:rPr>
                <w:rFonts w:hint="eastAsia" w:hAnsi="宋体" w:cs="宋体"/>
                <w:szCs w:val="24"/>
              </w:rPr>
              <w:t>扣减分</w:t>
            </w:r>
          </w:p>
        </w:tc>
        <w:tc>
          <w:tcPr>
            <w:tcW w:w="737" w:type="dxa"/>
            <w:noWrap/>
            <w:vAlign w:val="center"/>
          </w:tcPr>
          <w:p>
            <w:pPr>
              <w:pStyle w:val="7"/>
              <w:spacing w:line="240" w:lineRule="auto"/>
              <w:jc w:val="center"/>
              <w:rPr>
                <w:rFonts w:hAnsi="宋体" w:cs="宋体"/>
                <w:szCs w:val="24"/>
              </w:rPr>
            </w:pPr>
            <w:r>
              <w:rPr>
                <w:rFonts w:hint="eastAsia" w:hAnsi="宋体" w:cs="宋体"/>
                <w:szCs w:val="24"/>
              </w:rPr>
              <w:t>实得</w:t>
            </w:r>
          </w:p>
          <w:p>
            <w:pPr>
              <w:pStyle w:val="7"/>
              <w:spacing w:line="240" w:lineRule="auto"/>
              <w:jc w:val="center"/>
              <w:rPr>
                <w:rFonts w:hAnsi="宋体" w:cs="宋体"/>
                <w:szCs w:val="24"/>
              </w:rPr>
            </w:pPr>
            <w:r>
              <w:rPr>
                <w:rFonts w:hint="eastAsia" w:hAnsi="宋体" w:cs="宋体"/>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noWrap/>
            <w:vAlign w:val="center"/>
          </w:tcPr>
          <w:p>
            <w:pPr>
              <w:pStyle w:val="7"/>
              <w:spacing w:line="240" w:lineRule="auto"/>
              <w:jc w:val="center"/>
              <w:rPr>
                <w:rFonts w:hAnsi="宋体" w:cs="宋体"/>
                <w:szCs w:val="24"/>
              </w:rPr>
            </w:pPr>
            <w:r>
              <w:rPr>
                <w:rFonts w:hint="eastAsia" w:hAnsi="宋体" w:cs="宋体"/>
                <w:szCs w:val="24"/>
              </w:rPr>
              <w:t>1</w:t>
            </w:r>
          </w:p>
        </w:tc>
        <w:tc>
          <w:tcPr>
            <w:tcW w:w="770" w:type="dxa"/>
            <w:noWrap/>
            <w:vAlign w:val="center"/>
          </w:tcPr>
          <w:p>
            <w:pPr>
              <w:pStyle w:val="7"/>
              <w:spacing w:line="240" w:lineRule="auto"/>
              <w:jc w:val="center"/>
              <w:rPr>
                <w:rFonts w:hAnsi="宋体" w:cs="宋体"/>
                <w:szCs w:val="24"/>
              </w:rPr>
            </w:pPr>
            <w:r>
              <w:rPr>
                <w:rFonts w:hint="eastAsia" w:hAnsi="宋体" w:cs="宋体"/>
                <w:szCs w:val="24"/>
              </w:rPr>
              <w:t>管理措施</w:t>
            </w:r>
          </w:p>
        </w:tc>
        <w:tc>
          <w:tcPr>
            <w:tcW w:w="5251" w:type="dxa"/>
            <w:noWrap/>
            <w:vAlign w:val="center"/>
          </w:tcPr>
          <w:p>
            <w:pPr>
              <w:widowControl/>
              <w:jc w:val="left"/>
              <w:rPr>
                <w:rFonts w:ascii="宋体" w:hAnsi="宋体" w:cs="宋体"/>
                <w:color w:val="000000" w:themeColor="text1"/>
              </w:rPr>
            </w:pPr>
            <w:r>
              <w:rPr>
                <w:rFonts w:hint="eastAsia" w:ascii="宋体" w:hAnsi="宋体" w:cs="宋体"/>
                <w:color w:val="000000" w:themeColor="text1"/>
              </w:rPr>
              <w:t>未制定绿色施工方案（措施）的，扣10分</w:t>
            </w:r>
          </w:p>
          <w:p>
            <w:pPr>
              <w:pStyle w:val="7"/>
              <w:spacing w:line="260" w:lineRule="exact"/>
              <w:rPr>
                <w:rFonts w:hAnsi="宋体" w:cs="宋体"/>
                <w:color w:val="000000" w:themeColor="text1"/>
                <w:szCs w:val="24"/>
              </w:rPr>
            </w:pPr>
            <w:r>
              <w:rPr>
                <w:rFonts w:hint="eastAsia" w:hAnsi="宋体" w:cs="宋体"/>
                <w:color w:val="000000" w:themeColor="text1"/>
                <w:szCs w:val="24"/>
              </w:rPr>
              <w:t>未对绿色施工进行交底的，扣5分</w:t>
            </w:r>
          </w:p>
        </w:tc>
        <w:tc>
          <w:tcPr>
            <w:tcW w:w="737" w:type="dxa"/>
            <w:noWrap/>
            <w:vAlign w:val="center"/>
          </w:tcPr>
          <w:p>
            <w:pPr>
              <w:pStyle w:val="7"/>
              <w:spacing w:line="240" w:lineRule="auto"/>
              <w:jc w:val="center"/>
              <w:rPr>
                <w:rFonts w:hAnsi="宋体" w:cs="宋体"/>
                <w:color w:val="000000" w:themeColor="text1"/>
                <w:szCs w:val="24"/>
              </w:rPr>
            </w:pPr>
            <w:r>
              <w:rPr>
                <w:rFonts w:hint="eastAsia" w:hAnsi="宋体" w:cs="宋体"/>
                <w:color w:val="000000" w:themeColor="text1"/>
                <w:szCs w:val="24"/>
              </w:rPr>
              <w:t>15</w:t>
            </w:r>
          </w:p>
        </w:tc>
        <w:tc>
          <w:tcPr>
            <w:tcW w:w="737" w:type="dxa"/>
            <w:noWrap/>
            <w:vAlign w:val="center"/>
          </w:tcPr>
          <w:p>
            <w:pPr>
              <w:pStyle w:val="7"/>
              <w:spacing w:line="240" w:lineRule="auto"/>
              <w:jc w:val="center"/>
              <w:rPr>
                <w:rFonts w:hAnsi="宋体" w:cs="宋体"/>
                <w:color w:val="000000" w:themeColor="text1"/>
                <w:szCs w:val="24"/>
              </w:rPr>
            </w:pPr>
          </w:p>
        </w:tc>
        <w:tc>
          <w:tcPr>
            <w:tcW w:w="737" w:type="dxa"/>
            <w:noWrap/>
            <w:vAlign w:val="center"/>
          </w:tcPr>
          <w:p>
            <w:pPr>
              <w:pStyle w:val="7"/>
              <w:spacing w:line="240" w:lineRule="auto"/>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noWrap/>
            <w:vAlign w:val="center"/>
          </w:tcPr>
          <w:p>
            <w:pPr>
              <w:pStyle w:val="7"/>
              <w:spacing w:line="240" w:lineRule="auto"/>
              <w:jc w:val="center"/>
              <w:rPr>
                <w:rFonts w:hAnsi="宋体" w:cs="宋体"/>
                <w:szCs w:val="24"/>
              </w:rPr>
            </w:pPr>
            <w:r>
              <w:rPr>
                <w:rFonts w:hint="eastAsia" w:hAnsi="宋体" w:cs="宋体"/>
                <w:szCs w:val="24"/>
              </w:rPr>
              <w:t>2</w:t>
            </w:r>
          </w:p>
        </w:tc>
        <w:tc>
          <w:tcPr>
            <w:tcW w:w="770" w:type="dxa"/>
            <w:noWrap/>
            <w:vAlign w:val="center"/>
          </w:tcPr>
          <w:p>
            <w:pPr>
              <w:pStyle w:val="7"/>
              <w:spacing w:line="240" w:lineRule="auto"/>
              <w:jc w:val="center"/>
              <w:rPr>
                <w:rFonts w:hAnsi="宋体" w:cs="宋体"/>
                <w:szCs w:val="24"/>
              </w:rPr>
            </w:pPr>
            <w:r>
              <w:rPr>
                <w:rFonts w:hint="eastAsia" w:hAnsi="宋体" w:cs="宋体"/>
                <w:szCs w:val="24"/>
              </w:rPr>
              <w:t>节水措施</w:t>
            </w:r>
          </w:p>
        </w:tc>
        <w:tc>
          <w:tcPr>
            <w:tcW w:w="5251" w:type="dxa"/>
            <w:noWrap/>
            <w:vAlign w:val="center"/>
          </w:tcPr>
          <w:p>
            <w:pPr>
              <w:widowControl/>
              <w:jc w:val="left"/>
              <w:rPr>
                <w:rFonts w:ascii="宋体" w:hAnsi="宋体" w:cs="宋体"/>
                <w:color w:val="000000" w:themeColor="text1"/>
              </w:rPr>
            </w:pPr>
            <w:r>
              <w:rPr>
                <w:rFonts w:hint="eastAsia" w:ascii="宋体" w:hAnsi="宋体" w:cs="宋体"/>
                <w:color w:val="000000" w:themeColor="text1"/>
              </w:rPr>
              <w:t>未建立雨水收集或基坑降水回收利用系统的，扣10分</w:t>
            </w:r>
          </w:p>
          <w:p>
            <w:pPr>
              <w:widowControl/>
              <w:jc w:val="left"/>
              <w:rPr>
                <w:rFonts w:ascii="宋体" w:hAnsi="宋体" w:cs="宋体"/>
                <w:color w:val="000000" w:themeColor="text1"/>
              </w:rPr>
            </w:pPr>
            <w:r>
              <w:rPr>
                <w:rFonts w:hint="eastAsia" w:ascii="宋体" w:hAnsi="宋体" w:cs="宋体"/>
                <w:color w:val="000000" w:themeColor="text1"/>
              </w:rPr>
              <w:t>未采用节水器具的</w:t>
            </w:r>
            <w:r>
              <w:rPr>
                <w:rFonts w:hint="eastAsia" w:hAnsi="宋体" w:cs="宋体"/>
                <w:color w:val="000000" w:themeColor="text1"/>
              </w:rPr>
              <w:t>或未</w:t>
            </w:r>
            <w:r>
              <w:rPr>
                <w:rFonts w:hint="eastAsia" w:ascii="宋体" w:hAnsi="宋体" w:cs="宋体"/>
                <w:color w:val="000000" w:themeColor="text1"/>
              </w:rPr>
              <w:t>设置节水标识的，扣5分</w:t>
            </w:r>
          </w:p>
        </w:tc>
        <w:tc>
          <w:tcPr>
            <w:tcW w:w="737" w:type="dxa"/>
            <w:noWrap/>
            <w:vAlign w:val="center"/>
          </w:tcPr>
          <w:p>
            <w:pPr>
              <w:pStyle w:val="7"/>
              <w:spacing w:line="240" w:lineRule="auto"/>
              <w:jc w:val="center"/>
              <w:rPr>
                <w:rFonts w:hAnsi="宋体" w:cs="宋体"/>
                <w:color w:val="000000" w:themeColor="text1"/>
                <w:szCs w:val="24"/>
              </w:rPr>
            </w:pPr>
            <w:r>
              <w:rPr>
                <w:rFonts w:hint="eastAsia" w:hAnsi="宋体" w:cs="宋体"/>
                <w:color w:val="000000" w:themeColor="text1"/>
                <w:szCs w:val="24"/>
              </w:rPr>
              <w:t>15</w:t>
            </w:r>
          </w:p>
        </w:tc>
        <w:tc>
          <w:tcPr>
            <w:tcW w:w="737" w:type="dxa"/>
            <w:noWrap/>
            <w:vAlign w:val="center"/>
          </w:tcPr>
          <w:p>
            <w:pPr>
              <w:pStyle w:val="7"/>
              <w:spacing w:line="240" w:lineRule="auto"/>
              <w:jc w:val="center"/>
              <w:rPr>
                <w:rFonts w:hAnsi="宋体" w:cs="宋体"/>
                <w:color w:val="000000" w:themeColor="text1"/>
                <w:szCs w:val="24"/>
              </w:rPr>
            </w:pPr>
          </w:p>
        </w:tc>
        <w:tc>
          <w:tcPr>
            <w:tcW w:w="737" w:type="dxa"/>
            <w:noWrap/>
            <w:vAlign w:val="center"/>
          </w:tcPr>
          <w:p>
            <w:pPr>
              <w:pStyle w:val="7"/>
              <w:spacing w:line="240" w:lineRule="auto"/>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noWrap/>
            <w:vAlign w:val="center"/>
          </w:tcPr>
          <w:p>
            <w:pPr>
              <w:pStyle w:val="7"/>
              <w:spacing w:line="240" w:lineRule="auto"/>
              <w:jc w:val="center"/>
              <w:rPr>
                <w:rFonts w:hAnsi="宋体" w:cs="宋体"/>
                <w:szCs w:val="24"/>
              </w:rPr>
            </w:pPr>
            <w:r>
              <w:rPr>
                <w:rFonts w:hint="eastAsia" w:hAnsi="宋体" w:cs="宋体"/>
                <w:szCs w:val="24"/>
              </w:rPr>
              <w:t>3</w:t>
            </w:r>
          </w:p>
        </w:tc>
        <w:tc>
          <w:tcPr>
            <w:tcW w:w="770" w:type="dxa"/>
            <w:noWrap/>
            <w:vAlign w:val="center"/>
          </w:tcPr>
          <w:p>
            <w:pPr>
              <w:pStyle w:val="7"/>
              <w:spacing w:line="240" w:lineRule="auto"/>
              <w:jc w:val="center"/>
              <w:rPr>
                <w:rFonts w:hAnsi="宋体" w:cs="宋体"/>
                <w:szCs w:val="24"/>
              </w:rPr>
            </w:pPr>
            <w:r>
              <w:rPr>
                <w:rFonts w:hint="eastAsia" w:hAnsi="宋体" w:cs="宋体"/>
                <w:szCs w:val="24"/>
              </w:rPr>
              <w:t>节材措施</w:t>
            </w:r>
          </w:p>
        </w:tc>
        <w:tc>
          <w:tcPr>
            <w:tcW w:w="5251" w:type="dxa"/>
            <w:noWrap/>
            <w:vAlign w:val="center"/>
          </w:tcPr>
          <w:p>
            <w:pPr>
              <w:widowControl/>
              <w:jc w:val="left"/>
              <w:rPr>
                <w:rFonts w:ascii="宋体" w:hAnsi="宋体" w:cs="宋体"/>
                <w:color w:val="000000" w:themeColor="text1"/>
                <w:kern w:val="0"/>
              </w:rPr>
            </w:pPr>
            <w:r>
              <w:rPr>
                <w:rFonts w:hint="eastAsia" w:ascii="宋体" w:hAnsi="宋体" w:cs="宋体"/>
                <w:color w:val="000000" w:themeColor="text1"/>
                <w:kern w:val="0"/>
              </w:rPr>
              <w:t>未采用管件合一或高周转率模架系统的，扣2分</w:t>
            </w:r>
          </w:p>
          <w:p>
            <w:pPr>
              <w:widowControl/>
              <w:jc w:val="left"/>
              <w:rPr>
                <w:rFonts w:ascii="宋体" w:hAnsi="宋体" w:cs="宋体"/>
                <w:color w:val="000000" w:themeColor="text1"/>
                <w:kern w:val="0"/>
              </w:rPr>
            </w:pPr>
            <w:r>
              <w:rPr>
                <w:rFonts w:hint="eastAsia" w:ascii="宋体" w:hAnsi="宋体" w:cs="宋体"/>
                <w:color w:val="000000" w:themeColor="text1"/>
                <w:kern w:val="0"/>
              </w:rPr>
              <w:t>未对可回收利用物资分类回收或再利用的，扣3分</w:t>
            </w:r>
          </w:p>
          <w:p>
            <w:pPr>
              <w:widowControl/>
              <w:jc w:val="left"/>
              <w:rPr>
                <w:rFonts w:ascii="宋体" w:hAnsi="宋体" w:cs="宋体"/>
                <w:color w:val="000000" w:themeColor="text1"/>
                <w:kern w:val="0"/>
              </w:rPr>
            </w:pPr>
            <w:r>
              <w:rPr>
                <w:rFonts w:hint="eastAsia" w:ascii="宋体" w:hAnsi="宋体" w:cs="宋体"/>
                <w:color w:val="000000" w:themeColor="text1"/>
                <w:kern w:val="0"/>
              </w:rPr>
              <w:t>未使用可周转安全防护设施的，扣5分</w:t>
            </w:r>
          </w:p>
          <w:p>
            <w:pPr>
              <w:pStyle w:val="7"/>
              <w:spacing w:line="260" w:lineRule="exact"/>
              <w:rPr>
                <w:rFonts w:hAnsi="宋体" w:cs="宋体"/>
                <w:color w:val="000000" w:themeColor="text1"/>
                <w:szCs w:val="24"/>
              </w:rPr>
            </w:pPr>
            <w:r>
              <w:rPr>
                <w:rFonts w:hint="eastAsia" w:hAnsi="宋体" w:cs="宋体"/>
                <w:color w:val="000000" w:themeColor="text1"/>
                <w:kern w:val="0"/>
                <w:szCs w:val="24"/>
              </w:rPr>
              <w:t>未选用装配式临时用房的，扣5分</w:t>
            </w:r>
          </w:p>
        </w:tc>
        <w:tc>
          <w:tcPr>
            <w:tcW w:w="737" w:type="dxa"/>
            <w:noWrap/>
            <w:vAlign w:val="center"/>
          </w:tcPr>
          <w:p>
            <w:pPr>
              <w:pStyle w:val="7"/>
              <w:spacing w:line="240" w:lineRule="auto"/>
              <w:jc w:val="center"/>
              <w:rPr>
                <w:rFonts w:hAnsi="宋体" w:cs="宋体"/>
                <w:color w:val="000000" w:themeColor="text1"/>
                <w:szCs w:val="24"/>
              </w:rPr>
            </w:pPr>
            <w:r>
              <w:rPr>
                <w:rFonts w:hint="eastAsia" w:hAnsi="宋体" w:cs="宋体"/>
                <w:color w:val="000000" w:themeColor="text1"/>
                <w:szCs w:val="24"/>
              </w:rPr>
              <w:t>15</w:t>
            </w:r>
          </w:p>
        </w:tc>
        <w:tc>
          <w:tcPr>
            <w:tcW w:w="737" w:type="dxa"/>
            <w:noWrap/>
            <w:vAlign w:val="center"/>
          </w:tcPr>
          <w:p>
            <w:pPr>
              <w:pStyle w:val="7"/>
              <w:spacing w:line="240" w:lineRule="auto"/>
              <w:jc w:val="center"/>
              <w:rPr>
                <w:rFonts w:hAnsi="宋体" w:cs="宋体"/>
                <w:color w:val="000000" w:themeColor="text1"/>
                <w:szCs w:val="24"/>
              </w:rPr>
            </w:pPr>
          </w:p>
        </w:tc>
        <w:tc>
          <w:tcPr>
            <w:tcW w:w="737" w:type="dxa"/>
            <w:noWrap/>
            <w:vAlign w:val="center"/>
          </w:tcPr>
          <w:p>
            <w:pPr>
              <w:pStyle w:val="7"/>
              <w:spacing w:line="240" w:lineRule="auto"/>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2" w:type="dxa"/>
            <w:noWrap/>
            <w:vAlign w:val="center"/>
          </w:tcPr>
          <w:p>
            <w:pPr>
              <w:pStyle w:val="7"/>
              <w:spacing w:line="240" w:lineRule="auto"/>
              <w:jc w:val="center"/>
              <w:rPr>
                <w:rFonts w:hAnsi="宋体" w:cs="宋体"/>
                <w:szCs w:val="24"/>
              </w:rPr>
            </w:pPr>
            <w:r>
              <w:rPr>
                <w:rFonts w:hint="eastAsia" w:hAnsi="宋体" w:cs="宋体"/>
                <w:szCs w:val="24"/>
              </w:rPr>
              <w:t>4</w:t>
            </w:r>
          </w:p>
        </w:tc>
        <w:tc>
          <w:tcPr>
            <w:tcW w:w="770" w:type="dxa"/>
            <w:noWrap/>
            <w:vAlign w:val="center"/>
          </w:tcPr>
          <w:p>
            <w:pPr>
              <w:pStyle w:val="7"/>
              <w:spacing w:line="240" w:lineRule="auto"/>
              <w:jc w:val="center"/>
              <w:rPr>
                <w:rFonts w:hAnsi="宋体" w:cs="宋体"/>
                <w:szCs w:val="24"/>
              </w:rPr>
            </w:pPr>
            <w:r>
              <w:rPr>
                <w:rFonts w:hint="eastAsia" w:hAnsi="宋体" w:cs="宋体"/>
                <w:szCs w:val="24"/>
              </w:rPr>
              <w:t>节能措施</w:t>
            </w:r>
          </w:p>
        </w:tc>
        <w:tc>
          <w:tcPr>
            <w:tcW w:w="5251" w:type="dxa"/>
            <w:noWrap/>
            <w:vAlign w:val="center"/>
          </w:tcPr>
          <w:p>
            <w:pPr>
              <w:widowControl/>
              <w:jc w:val="left"/>
              <w:rPr>
                <w:rFonts w:ascii="宋体" w:hAnsi="宋体" w:cs="宋体"/>
                <w:color w:val="000000" w:themeColor="text1"/>
                <w:kern w:val="0"/>
              </w:rPr>
            </w:pPr>
            <w:r>
              <w:rPr>
                <w:rFonts w:hint="eastAsia" w:ascii="宋体" w:hAnsi="宋体" w:cs="宋体"/>
                <w:color w:val="000000" w:themeColor="text1"/>
                <w:kern w:val="0"/>
              </w:rPr>
              <w:t>临时设施内未使用太阳能、空气能等节能环保设备设施的，扣10分</w:t>
            </w:r>
          </w:p>
          <w:p>
            <w:pPr>
              <w:pStyle w:val="7"/>
              <w:spacing w:line="260" w:lineRule="exact"/>
              <w:rPr>
                <w:rFonts w:hAnsi="宋体" w:cs="宋体"/>
                <w:color w:val="000000" w:themeColor="text1"/>
                <w:szCs w:val="24"/>
              </w:rPr>
            </w:pPr>
            <w:r>
              <w:rPr>
                <w:rFonts w:hint="eastAsia" w:hAnsi="宋体" w:cs="宋体"/>
                <w:color w:val="000000" w:themeColor="text1"/>
                <w:kern w:val="0"/>
                <w:szCs w:val="24"/>
              </w:rPr>
              <w:t>未使用节能灯具或未采取声控、光控等节能措施的，扣5分</w:t>
            </w:r>
          </w:p>
        </w:tc>
        <w:tc>
          <w:tcPr>
            <w:tcW w:w="737" w:type="dxa"/>
            <w:noWrap/>
            <w:vAlign w:val="center"/>
          </w:tcPr>
          <w:p>
            <w:pPr>
              <w:pStyle w:val="7"/>
              <w:spacing w:line="240" w:lineRule="auto"/>
              <w:jc w:val="center"/>
              <w:rPr>
                <w:rFonts w:hAnsi="宋体" w:cs="宋体"/>
                <w:color w:val="000000" w:themeColor="text1"/>
                <w:szCs w:val="24"/>
              </w:rPr>
            </w:pPr>
            <w:r>
              <w:rPr>
                <w:rFonts w:hint="eastAsia" w:hAnsi="宋体" w:cs="宋体"/>
                <w:color w:val="000000" w:themeColor="text1"/>
                <w:szCs w:val="24"/>
              </w:rPr>
              <w:t>15</w:t>
            </w:r>
          </w:p>
        </w:tc>
        <w:tc>
          <w:tcPr>
            <w:tcW w:w="737" w:type="dxa"/>
            <w:noWrap/>
            <w:vAlign w:val="center"/>
          </w:tcPr>
          <w:p>
            <w:pPr>
              <w:pStyle w:val="7"/>
              <w:spacing w:line="240" w:lineRule="auto"/>
              <w:jc w:val="center"/>
              <w:rPr>
                <w:rFonts w:hAnsi="宋体" w:cs="宋体"/>
                <w:color w:val="000000" w:themeColor="text1"/>
                <w:szCs w:val="24"/>
              </w:rPr>
            </w:pPr>
          </w:p>
        </w:tc>
        <w:tc>
          <w:tcPr>
            <w:tcW w:w="737" w:type="dxa"/>
            <w:noWrap/>
            <w:vAlign w:val="center"/>
          </w:tcPr>
          <w:p>
            <w:pPr>
              <w:pStyle w:val="7"/>
              <w:spacing w:line="240" w:lineRule="auto"/>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noWrap/>
            <w:vAlign w:val="center"/>
          </w:tcPr>
          <w:p>
            <w:pPr>
              <w:pStyle w:val="7"/>
              <w:spacing w:line="240" w:lineRule="auto"/>
              <w:jc w:val="center"/>
              <w:rPr>
                <w:rFonts w:hAnsi="宋体" w:cs="宋体"/>
                <w:szCs w:val="24"/>
              </w:rPr>
            </w:pPr>
            <w:r>
              <w:rPr>
                <w:rFonts w:hint="eastAsia" w:hAnsi="宋体" w:cs="宋体"/>
                <w:szCs w:val="24"/>
              </w:rPr>
              <w:t>5</w:t>
            </w:r>
          </w:p>
        </w:tc>
        <w:tc>
          <w:tcPr>
            <w:tcW w:w="770" w:type="dxa"/>
            <w:noWrap/>
            <w:vAlign w:val="center"/>
          </w:tcPr>
          <w:p>
            <w:pPr>
              <w:pStyle w:val="7"/>
              <w:spacing w:line="240" w:lineRule="auto"/>
              <w:jc w:val="center"/>
              <w:rPr>
                <w:rFonts w:hAnsi="宋体" w:cs="宋体"/>
                <w:szCs w:val="24"/>
              </w:rPr>
            </w:pPr>
            <w:r>
              <w:rPr>
                <w:rFonts w:hint="eastAsia" w:hAnsi="宋体" w:cs="宋体"/>
                <w:szCs w:val="24"/>
              </w:rPr>
              <w:t>水土污染防治</w:t>
            </w:r>
          </w:p>
        </w:tc>
        <w:tc>
          <w:tcPr>
            <w:tcW w:w="5251" w:type="dxa"/>
            <w:noWrap/>
            <w:vAlign w:val="center"/>
          </w:tcPr>
          <w:p>
            <w:pPr>
              <w:widowControl/>
              <w:jc w:val="left"/>
              <w:rPr>
                <w:rFonts w:ascii="宋体" w:hAnsi="宋体" w:cs="宋体"/>
                <w:color w:val="000000" w:themeColor="text1"/>
                <w:kern w:val="0"/>
              </w:rPr>
            </w:pPr>
            <w:r>
              <w:rPr>
                <w:rFonts w:hint="eastAsia" w:ascii="宋体" w:hAnsi="宋体" w:cs="宋体"/>
                <w:color w:val="000000" w:themeColor="text1"/>
                <w:kern w:val="0"/>
              </w:rPr>
              <w:t>未编制或落实建筑垃圾处置方案的，扣5分</w:t>
            </w:r>
          </w:p>
          <w:p>
            <w:pPr>
              <w:widowControl/>
              <w:jc w:val="left"/>
              <w:rPr>
                <w:rFonts w:ascii="宋体" w:hAnsi="宋体" w:cs="宋体"/>
                <w:color w:val="000000" w:themeColor="text1"/>
                <w:kern w:val="0"/>
              </w:rPr>
            </w:pPr>
            <w:r>
              <w:rPr>
                <w:rFonts w:hint="eastAsia" w:ascii="宋体" w:hAnsi="宋体" w:cs="宋体"/>
                <w:color w:val="000000" w:themeColor="text1"/>
                <w:kern w:val="0"/>
              </w:rPr>
              <w:t>未设置厨房隔油池的，扣3分</w:t>
            </w:r>
          </w:p>
          <w:p>
            <w:pPr>
              <w:widowControl/>
              <w:jc w:val="left"/>
              <w:rPr>
                <w:rFonts w:ascii="宋体" w:hAnsi="宋体" w:cs="宋体"/>
                <w:color w:val="000000" w:themeColor="text1"/>
                <w:kern w:val="0"/>
              </w:rPr>
            </w:pPr>
            <w:r>
              <w:rPr>
                <w:rFonts w:hint="eastAsia" w:ascii="宋体" w:hAnsi="宋体" w:cs="宋体"/>
                <w:color w:val="000000" w:themeColor="text1"/>
                <w:kern w:val="0"/>
              </w:rPr>
              <w:t>未设置临时厕所化粪池的，扣5分</w:t>
            </w:r>
          </w:p>
          <w:p>
            <w:pPr>
              <w:widowControl/>
              <w:jc w:val="left"/>
              <w:rPr>
                <w:rFonts w:ascii="宋体" w:hAnsi="宋体" w:cs="宋体"/>
                <w:color w:val="000000" w:themeColor="text1"/>
                <w:kern w:val="0"/>
              </w:rPr>
            </w:pPr>
            <w:r>
              <w:rPr>
                <w:rFonts w:hint="eastAsia" w:ascii="宋体" w:hAnsi="宋体" w:cs="宋体"/>
                <w:color w:val="000000" w:themeColor="text1"/>
                <w:kern w:val="0"/>
              </w:rPr>
              <w:t>油料和化学溶剂未设置防渗漏专用库房的，扣2分</w:t>
            </w:r>
          </w:p>
          <w:p>
            <w:pPr>
              <w:widowControl/>
              <w:jc w:val="left"/>
              <w:rPr>
                <w:rFonts w:ascii="宋体" w:hAnsi="宋体" w:cs="宋体"/>
                <w:color w:val="000000" w:themeColor="text1"/>
                <w:kern w:val="0"/>
              </w:rPr>
            </w:pPr>
            <w:r>
              <w:rPr>
                <w:rFonts w:hint="eastAsia" w:ascii="宋体" w:hAnsi="宋体" w:cs="宋体"/>
                <w:color w:val="000000" w:themeColor="text1"/>
                <w:kern w:val="0"/>
              </w:rPr>
              <w:t>废弃的油料和化学溶剂等废物未集中处理、随意倾倒的，扣3分</w:t>
            </w:r>
          </w:p>
          <w:p>
            <w:pPr>
              <w:widowControl/>
              <w:jc w:val="left"/>
              <w:rPr>
                <w:rFonts w:ascii="宋体" w:hAnsi="宋体" w:cs="宋体"/>
                <w:color w:val="000000" w:themeColor="text1"/>
              </w:rPr>
            </w:pPr>
            <w:r>
              <w:rPr>
                <w:rFonts w:hint="eastAsia" w:ascii="宋体" w:hAnsi="宋体" w:cs="宋体"/>
                <w:color w:val="000000" w:themeColor="text1"/>
                <w:kern w:val="0"/>
              </w:rPr>
              <w:t>废弃的降水井未及时回填或封闭井口的，扣2分</w:t>
            </w:r>
          </w:p>
        </w:tc>
        <w:tc>
          <w:tcPr>
            <w:tcW w:w="737" w:type="dxa"/>
            <w:noWrap/>
            <w:vAlign w:val="center"/>
          </w:tcPr>
          <w:p>
            <w:pPr>
              <w:pStyle w:val="7"/>
              <w:spacing w:line="240" w:lineRule="auto"/>
              <w:jc w:val="center"/>
              <w:rPr>
                <w:rFonts w:hAnsi="宋体" w:cs="宋体"/>
                <w:color w:val="000000" w:themeColor="text1"/>
                <w:szCs w:val="24"/>
              </w:rPr>
            </w:pPr>
            <w:r>
              <w:rPr>
                <w:rFonts w:hint="eastAsia" w:hAnsi="宋体" w:cs="宋体"/>
                <w:color w:val="000000" w:themeColor="text1"/>
                <w:szCs w:val="24"/>
              </w:rPr>
              <w:t>20</w:t>
            </w:r>
          </w:p>
        </w:tc>
        <w:tc>
          <w:tcPr>
            <w:tcW w:w="737" w:type="dxa"/>
            <w:noWrap/>
            <w:vAlign w:val="center"/>
          </w:tcPr>
          <w:p>
            <w:pPr>
              <w:pStyle w:val="7"/>
              <w:spacing w:line="240" w:lineRule="auto"/>
              <w:jc w:val="center"/>
              <w:rPr>
                <w:rFonts w:hAnsi="宋体" w:cs="宋体"/>
                <w:color w:val="000000" w:themeColor="text1"/>
                <w:szCs w:val="24"/>
              </w:rPr>
            </w:pPr>
          </w:p>
        </w:tc>
        <w:tc>
          <w:tcPr>
            <w:tcW w:w="737" w:type="dxa"/>
            <w:noWrap/>
            <w:vAlign w:val="center"/>
          </w:tcPr>
          <w:p>
            <w:pPr>
              <w:pStyle w:val="7"/>
              <w:spacing w:line="240" w:lineRule="auto"/>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noWrap/>
            <w:vAlign w:val="center"/>
          </w:tcPr>
          <w:p>
            <w:pPr>
              <w:pStyle w:val="7"/>
              <w:spacing w:line="240" w:lineRule="auto"/>
              <w:jc w:val="center"/>
              <w:rPr>
                <w:rFonts w:hAnsi="宋体" w:cs="宋体"/>
                <w:szCs w:val="24"/>
              </w:rPr>
            </w:pPr>
            <w:r>
              <w:rPr>
                <w:rFonts w:hint="eastAsia" w:hAnsi="宋体" w:cs="宋体"/>
                <w:szCs w:val="24"/>
              </w:rPr>
              <w:t>6</w:t>
            </w:r>
          </w:p>
        </w:tc>
        <w:tc>
          <w:tcPr>
            <w:tcW w:w="770" w:type="dxa"/>
            <w:noWrap/>
            <w:vAlign w:val="center"/>
          </w:tcPr>
          <w:p>
            <w:pPr>
              <w:pStyle w:val="7"/>
              <w:spacing w:line="240" w:lineRule="auto"/>
              <w:jc w:val="center"/>
              <w:rPr>
                <w:rFonts w:hAnsi="宋体" w:cs="宋体"/>
                <w:szCs w:val="24"/>
              </w:rPr>
            </w:pPr>
            <w:r>
              <w:rPr>
                <w:rFonts w:hint="eastAsia" w:hAnsi="宋体" w:cs="宋体"/>
                <w:szCs w:val="24"/>
              </w:rPr>
              <w:t>施工噪音及光污染防治</w:t>
            </w:r>
          </w:p>
        </w:tc>
        <w:tc>
          <w:tcPr>
            <w:tcW w:w="5251" w:type="dxa"/>
            <w:noWrap/>
            <w:vAlign w:val="center"/>
          </w:tcPr>
          <w:p>
            <w:pPr>
              <w:widowControl/>
              <w:jc w:val="left"/>
              <w:rPr>
                <w:rFonts w:ascii="宋体" w:hAnsi="宋体" w:cs="宋体"/>
                <w:color w:val="000000" w:themeColor="text1"/>
                <w:kern w:val="0"/>
              </w:rPr>
            </w:pPr>
            <w:r>
              <w:rPr>
                <w:rFonts w:hint="eastAsia" w:ascii="宋体" w:hAnsi="宋体" w:cs="宋体"/>
                <w:color w:val="000000" w:themeColor="text1"/>
                <w:kern w:val="0"/>
              </w:rPr>
              <w:t>未对场界噪声排放进行监测、记录和控制的，扣5分</w:t>
            </w:r>
          </w:p>
          <w:p>
            <w:pPr>
              <w:widowControl/>
              <w:jc w:val="left"/>
              <w:rPr>
                <w:rFonts w:ascii="宋体" w:hAnsi="宋体" w:cs="宋体"/>
                <w:color w:val="000000" w:themeColor="text1"/>
                <w:kern w:val="0"/>
              </w:rPr>
            </w:pPr>
            <w:r>
              <w:rPr>
                <w:rFonts w:hint="eastAsia" w:ascii="宋体" w:hAnsi="宋体" w:cs="宋体"/>
                <w:color w:val="000000" w:themeColor="text1"/>
                <w:kern w:val="0"/>
              </w:rPr>
              <w:t>未选用低噪声、低振动设备的，扣5分</w:t>
            </w:r>
          </w:p>
          <w:p>
            <w:pPr>
              <w:widowControl/>
              <w:jc w:val="left"/>
              <w:rPr>
                <w:rFonts w:ascii="宋体" w:hAnsi="宋体" w:cs="宋体"/>
                <w:color w:val="000000" w:themeColor="text1"/>
                <w:kern w:val="0"/>
              </w:rPr>
            </w:pPr>
            <w:r>
              <w:rPr>
                <w:rFonts w:hint="eastAsia" w:ascii="宋体" w:hAnsi="宋体" w:cs="宋体"/>
                <w:color w:val="000000" w:themeColor="text1"/>
                <w:kern w:val="0"/>
              </w:rPr>
              <w:t>强噪音设备设置在靠近居民区一侧的，未采用隔声、吸声材料搭设防护棚或屏障的，扣5分</w:t>
            </w:r>
          </w:p>
          <w:p>
            <w:pPr>
              <w:pStyle w:val="7"/>
              <w:spacing w:line="260" w:lineRule="exact"/>
              <w:rPr>
                <w:rFonts w:hAnsi="宋体" w:cs="宋体"/>
                <w:color w:val="000000" w:themeColor="text1"/>
                <w:szCs w:val="24"/>
              </w:rPr>
            </w:pPr>
            <w:r>
              <w:rPr>
                <w:rFonts w:hint="eastAsia" w:hAnsi="宋体" w:cs="宋体"/>
                <w:color w:val="000000" w:themeColor="text1"/>
                <w:kern w:val="0"/>
                <w:szCs w:val="24"/>
              </w:rPr>
              <w:t>未采取限时施工、遮光或封闭等光污染防治措施的，扣5分</w:t>
            </w:r>
          </w:p>
        </w:tc>
        <w:tc>
          <w:tcPr>
            <w:tcW w:w="737" w:type="dxa"/>
            <w:noWrap/>
            <w:vAlign w:val="center"/>
          </w:tcPr>
          <w:p>
            <w:pPr>
              <w:pStyle w:val="7"/>
              <w:spacing w:line="240" w:lineRule="auto"/>
              <w:jc w:val="center"/>
              <w:rPr>
                <w:rFonts w:hAnsi="宋体" w:cs="宋体"/>
                <w:color w:val="000000" w:themeColor="text1"/>
                <w:szCs w:val="24"/>
              </w:rPr>
            </w:pPr>
            <w:r>
              <w:rPr>
                <w:rFonts w:hint="eastAsia" w:hAnsi="宋体" w:cs="宋体"/>
                <w:color w:val="000000" w:themeColor="text1"/>
                <w:szCs w:val="24"/>
              </w:rPr>
              <w:t>20</w:t>
            </w:r>
          </w:p>
        </w:tc>
        <w:tc>
          <w:tcPr>
            <w:tcW w:w="737" w:type="dxa"/>
            <w:noWrap/>
            <w:vAlign w:val="center"/>
          </w:tcPr>
          <w:p>
            <w:pPr>
              <w:pStyle w:val="7"/>
              <w:spacing w:line="240" w:lineRule="auto"/>
              <w:jc w:val="center"/>
              <w:rPr>
                <w:rFonts w:hAnsi="宋体" w:cs="宋体"/>
                <w:color w:val="000000" w:themeColor="text1"/>
                <w:szCs w:val="24"/>
              </w:rPr>
            </w:pPr>
          </w:p>
        </w:tc>
        <w:tc>
          <w:tcPr>
            <w:tcW w:w="737" w:type="dxa"/>
            <w:noWrap/>
            <w:vAlign w:val="center"/>
          </w:tcPr>
          <w:p>
            <w:pPr>
              <w:pStyle w:val="7"/>
              <w:spacing w:line="240" w:lineRule="auto"/>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3" w:type="dxa"/>
            <w:gridSpan w:val="3"/>
            <w:noWrap/>
            <w:vAlign w:val="center"/>
          </w:tcPr>
          <w:p>
            <w:pPr>
              <w:pStyle w:val="7"/>
              <w:spacing w:line="240" w:lineRule="auto"/>
              <w:jc w:val="center"/>
              <w:rPr>
                <w:rFonts w:hAnsi="宋体" w:cs="宋体"/>
                <w:szCs w:val="24"/>
              </w:rPr>
            </w:pPr>
            <w:r>
              <w:rPr>
                <w:rFonts w:hint="eastAsia" w:hAnsi="宋体" w:cs="宋体"/>
                <w:szCs w:val="24"/>
              </w:rPr>
              <w:t>合计</w:t>
            </w:r>
          </w:p>
        </w:tc>
        <w:tc>
          <w:tcPr>
            <w:tcW w:w="737" w:type="dxa"/>
            <w:noWrap/>
            <w:vAlign w:val="center"/>
          </w:tcPr>
          <w:p>
            <w:pPr>
              <w:pStyle w:val="7"/>
              <w:spacing w:line="240" w:lineRule="auto"/>
              <w:jc w:val="center"/>
              <w:rPr>
                <w:rFonts w:hAnsi="宋体" w:cs="宋体"/>
                <w:szCs w:val="24"/>
              </w:rPr>
            </w:pPr>
            <w:r>
              <w:rPr>
                <w:rFonts w:hint="eastAsia" w:hAnsi="宋体" w:cs="宋体"/>
                <w:szCs w:val="24"/>
              </w:rPr>
              <w:t>100</w:t>
            </w:r>
          </w:p>
        </w:tc>
        <w:tc>
          <w:tcPr>
            <w:tcW w:w="737" w:type="dxa"/>
            <w:noWrap/>
            <w:vAlign w:val="center"/>
          </w:tcPr>
          <w:p>
            <w:pPr>
              <w:pStyle w:val="7"/>
              <w:spacing w:line="240" w:lineRule="auto"/>
              <w:jc w:val="center"/>
              <w:rPr>
                <w:rFonts w:hAnsi="宋体" w:cs="宋体"/>
                <w:szCs w:val="24"/>
              </w:rPr>
            </w:pPr>
          </w:p>
        </w:tc>
        <w:tc>
          <w:tcPr>
            <w:tcW w:w="737" w:type="dxa"/>
            <w:noWrap/>
            <w:vAlign w:val="center"/>
          </w:tcPr>
          <w:p>
            <w:pPr>
              <w:pStyle w:val="7"/>
              <w:spacing w:line="240" w:lineRule="auto"/>
              <w:jc w:val="center"/>
              <w:rPr>
                <w:rFonts w:hAnsi="宋体" w:cs="宋体"/>
                <w:szCs w:val="24"/>
              </w:rPr>
            </w:pPr>
          </w:p>
        </w:tc>
      </w:tr>
    </w:tbl>
    <w:p>
      <w:pPr>
        <w:pStyle w:val="7"/>
        <w:rPr>
          <w:rFonts w:hAnsi="宋体" w:cs="宋体"/>
          <w:b/>
          <w:szCs w:val="21"/>
        </w:rPr>
      </w:pPr>
      <w:r>
        <w:rPr>
          <w:rFonts w:hint="eastAsia" w:hAnsi="宋体" w:cs="宋体"/>
          <w:szCs w:val="24"/>
        </w:rPr>
        <w:t>评价人员：</w:t>
      </w:r>
      <w:r>
        <w:rPr>
          <w:rFonts w:hint="eastAsia" w:hAnsi="宋体"/>
          <w:szCs w:val="24"/>
        </w:rPr>
        <w:t xml:space="preserve">                                              年    月    日</w:t>
      </w:r>
    </w:p>
    <w:p>
      <w:pPr>
        <w:spacing w:line="360" w:lineRule="auto"/>
        <w:rPr>
          <w:rFonts w:ascii="宋体" w:hAnsi="宋体" w:cs="宋体"/>
        </w:rPr>
      </w:pPr>
    </w:p>
    <w:p>
      <w:pPr>
        <w:pStyle w:val="7"/>
        <w:jc w:val="center"/>
        <w:rPr>
          <w:rFonts w:hAnsi="宋体" w:cs="SimSun,Bold"/>
          <w:b/>
          <w:kern w:val="0"/>
          <w:szCs w:val="21"/>
        </w:rPr>
      </w:pPr>
    </w:p>
    <w:p>
      <w:pPr>
        <w:pStyle w:val="7"/>
        <w:jc w:val="center"/>
        <w:rPr>
          <w:rFonts w:hAnsi="宋体" w:cs="SimSun,Bold"/>
          <w:b/>
          <w:kern w:val="0"/>
          <w:szCs w:val="21"/>
        </w:rPr>
      </w:pPr>
    </w:p>
    <w:p>
      <w:pPr>
        <w:pStyle w:val="7"/>
        <w:jc w:val="center"/>
        <w:rPr>
          <w:rFonts w:hAnsi="宋体" w:cs="SimSun,Bold"/>
          <w:b/>
          <w:kern w:val="0"/>
          <w:szCs w:val="21"/>
        </w:rPr>
      </w:pPr>
    </w:p>
    <w:p>
      <w:pPr>
        <w:pStyle w:val="7"/>
        <w:jc w:val="center"/>
        <w:rPr>
          <w:rFonts w:hAnsi="宋体" w:cs="SimSun,Bold"/>
          <w:b/>
          <w:kern w:val="0"/>
          <w:szCs w:val="21"/>
        </w:rPr>
      </w:pPr>
    </w:p>
    <w:p>
      <w:pPr>
        <w:pStyle w:val="7"/>
        <w:jc w:val="center"/>
        <w:rPr>
          <w:rFonts w:hAnsi="宋体" w:cs="SimSun,Bold"/>
          <w:b/>
          <w:kern w:val="0"/>
          <w:szCs w:val="21"/>
        </w:rPr>
      </w:pPr>
    </w:p>
    <w:p>
      <w:pPr>
        <w:pStyle w:val="7"/>
        <w:jc w:val="center"/>
        <w:rPr>
          <w:rFonts w:hAnsi="宋体" w:cs="SimSun,Bold"/>
          <w:b/>
          <w:kern w:val="0"/>
          <w:szCs w:val="21"/>
        </w:rPr>
      </w:pPr>
    </w:p>
    <w:p>
      <w:pPr>
        <w:pStyle w:val="7"/>
        <w:jc w:val="center"/>
        <w:rPr>
          <w:rFonts w:hAnsi="宋体" w:cs="SimSun,Bold"/>
          <w:b/>
          <w:kern w:val="0"/>
          <w:szCs w:val="21"/>
        </w:rPr>
      </w:pPr>
      <w:r>
        <w:rPr>
          <w:rFonts w:hint="eastAsia" w:hAnsi="宋体" w:cs="SimSun,Bold"/>
          <w:b/>
          <w:kern w:val="0"/>
          <w:szCs w:val="21"/>
        </w:rPr>
        <w:t>表B.0.6  脚手架及模板支架评价表</w:t>
      </w:r>
    </w:p>
    <w:tbl>
      <w:tblPr>
        <w:tblStyle w:val="16"/>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766"/>
        <w:gridCol w:w="5194"/>
        <w:gridCol w:w="795"/>
        <w:gridCol w:w="815"/>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exact"/>
        </w:trPr>
        <w:tc>
          <w:tcPr>
            <w:tcW w:w="652" w:type="dxa"/>
            <w:noWrap/>
            <w:vAlign w:val="center"/>
          </w:tcPr>
          <w:p>
            <w:pPr>
              <w:pStyle w:val="7"/>
              <w:spacing w:line="240" w:lineRule="auto"/>
              <w:jc w:val="center"/>
              <w:rPr>
                <w:rFonts w:hAnsi="宋体" w:cs="宋体"/>
                <w:szCs w:val="24"/>
              </w:rPr>
            </w:pPr>
            <w:r>
              <w:rPr>
                <w:rFonts w:hint="eastAsia" w:hAnsi="宋体" w:cs="宋体"/>
                <w:szCs w:val="24"/>
              </w:rPr>
              <w:t>序号</w:t>
            </w:r>
          </w:p>
        </w:tc>
        <w:tc>
          <w:tcPr>
            <w:tcW w:w="766" w:type="dxa"/>
            <w:noWrap/>
            <w:vAlign w:val="center"/>
          </w:tcPr>
          <w:p>
            <w:pPr>
              <w:pStyle w:val="7"/>
              <w:spacing w:line="240" w:lineRule="auto"/>
              <w:jc w:val="center"/>
              <w:rPr>
                <w:rFonts w:hAnsi="宋体" w:cs="宋体"/>
                <w:szCs w:val="24"/>
              </w:rPr>
            </w:pPr>
            <w:r>
              <w:rPr>
                <w:rFonts w:hint="eastAsia" w:hAnsi="宋体" w:cs="宋体"/>
                <w:szCs w:val="24"/>
              </w:rPr>
              <w:t>评价</w:t>
            </w:r>
          </w:p>
          <w:p>
            <w:pPr>
              <w:pStyle w:val="7"/>
              <w:spacing w:line="240" w:lineRule="auto"/>
              <w:jc w:val="center"/>
              <w:rPr>
                <w:rFonts w:hAnsi="宋体" w:cs="宋体"/>
                <w:szCs w:val="24"/>
              </w:rPr>
            </w:pPr>
            <w:r>
              <w:rPr>
                <w:rFonts w:hint="eastAsia" w:hAnsi="宋体" w:cs="宋体"/>
                <w:szCs w:val="24"/>
              </w:rPr>
              <w:t>项目</w:t>
            </w:r>
          </w:p>
        </w:tc>
        <w:tc>
          <w:tcPr>
            <w:tcW w:w="5194" w:type="dxa"/>
            <w:noWrap/>
            <w:vAlign w:val="center"/>
          </w:tcPr>
          <w:p>
            <w:pPr>
              <w:pStyle w:val="7"/>
              <w:spacing w:line="240" w:lineRule="auto"/>
              <w:jc w:val="center"/>
              <w:rPr>
                <w:rFonts w:hAnsi="宋体" w:cs="宋体"/>
                <w:szCs w:val="24"/>
              </w:rPr>
            </w:pPr>
            <w:r>
              <w:rPr>
                <w:rFonts w:hint="eastAsia" w:hAnsi="宋体" w:cs="宋体"/>
                <w:szCs w:val="24"/>
              </w:rPr>
              <w:t>评 价 标 准</w:t>
            </w:r>
          </w:p>
        </w:tc>
        <w:tc>
          <w:tcPr>
            <w:tcW w:w="795" w:type="dxa"/>
            <w:noWrap/>
            <w:vAlign w:val="center"/>
          </w:tcPr>
          <w:p>
            <w:pPr>
              <w:pStyle w:val="7"/>
              <w:spacing w:line="240" w:lineRule="auto"/>
              <w:jc w:val="center"/>
              <w:rPr>
                <w:rFonts w:hAnsi="宋体" w:cs="宋体"/>
                <w:szCs w:val="24"/>
              </w:rPr>
            </w:pPr>
            <w:r>
              <w:rPr>
                <w:rFonts w:hint="eastAsia" w:hAnsi="宋体" w:cs="宋体"/>
                <w:szCs w:val="24"/>
              </w:rPr>
              <w:t>应得分</w:t>
            </w:r>
          </w:p>
        </w:tc>
        <w:tc>
          <w:tcPr>
            <w:tcW w:w="815" w:type="dxa"/>
            <w:noWrap/>
            <w:vAlign w:val="center"/>
          </w:tcPr>
          <w:p>
            <w:pPr>
              <w:pStyle w:val="7"/>
              <w:spacing w:line="240" w:lineRule="auto"/>
              <w:jc w:val="center"/>
              <w:rPr>
                <w:rFonts w:hAnsi="宋体" w:cs="宋体"/>
                <w:szCs w:val="24"/>
              </w:rPr>
            </w:pPr>
            <w:r>
              <w:rPr>
                <w:rFonts w:hint="eastAsia" w:hAnsi="宋体" w:cs="宋体"/>
                <w:szCs w:val="24"/>
              </w:rPr>
              <w:t>扣减分</w:t>
            </w:r>
          </w:p>
        </w:tc>
        <w:tc>
          <w:tcPr>
            <w:tcW w:w="709" w:type="dxa"/>
            <w:noWrap/>
            <w:vAlign w:val="center"/>
          </w:tcPr>
          <w:p>
            <w:pPr>
              <w:pStyle w:val="7"/>
              <w:spacing w:line="240" w:lineRule="auto"/>
              <w:jc w:val="center"/>
              <w:rPr>
                <w:rFonts w:hAnsi="宋体" w:cs="宋体"/>
                <w:szCs w:val="24"/>
              </w:rPr>
            </w:pPr>
            <w:r>
              <w:rPr>
                <w:rFonts w:hint="eastAsia" w:hAnsi="宋体" w:cs="宋体"/>
                <w:szCs w:val="24"/>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noWrap/>
            <w:vAlign w:val="center"/>
          </w:tcPr>
          <w:p>
            <w:pPr>
              <w:pStyle w:val="7"/>
              <w:spacing w:line="240" w:lineRule="auto"/>
              <w:jc w:val="center"/>
              <w:rPr>
                <w:rFonts w:hAnsi="宋体"/>
                <w:szCs w:val="24"/>
              </w:rPr>
            </w:pPr>
            <w:r>
              <w:rPr>
                <w:rFonts w:hint="eastAsia" w:hAnsi="宋体"/>
                <w:szCs w:val="24"/>
              </w:rPr>
              <w:t>1</w:t>
            </w:r>
          </w:p>
        </w:tc>
        <w:tc>
          <w:tcPr>
            <w:tcW w:w="766" w:type="dxa"/>
            <w:noWrap/>
            <w:vAlign w:val="center"/>
          </w:tcPr>
          <w:p>
            <w:pPr>
              <w:widowControl/>
              <w:jc w:val="center"/>
              <w:textAlignment w:val="center"/>
              <w:rPr>
                <w:rFonts w:ascii="宋体" w:hAnsi="宋体" w:cs="宋体"/>
                <w:color w:val="000000"/>
                <w:kern w:val="0"/>
              </w:rPr>
            </w:pPr>
            <w:r>
              <w:rPr>
                <w:rFonts w:hint="eastAsia" w:ascii="宋体" w:hAnsi="宋体" w:cs="宋体"/>
                <w:color w:val="000000"/>
                <w:kern w:val="0"/>
              </w:rPr>
              <w:t>方案</w:t>
            </w:r>
          </w:p>
          <w:p>
            <w:pPr>
              <w:widowControl/>
              <w:jc w:val="center"/>
              <w:textAlignment w:val="center"/>
              <w:rPr>
                <w:rFonts w:hAnsi="宋体"/>
              </w:rPr>
            </w:pPr>
            <w:r>
              <w:rPr>
                <w:rFonts w:hint="eastAsia" w:ascii="宋体" w:hAnsi="宋体" w:cs="宋体"/>
                <w:color w:val="000000"/>
                <w:kern w:val="0"/>
              </w:rPr>
              <w:t>管理</w:t>
            </w:r>
          </w:p>
        </w:tc>
        <w:tc>
          <w:tcPr>
            <w:tcW w:w="5194" w:type="dxa"/>
            <w:noWrap/>
            <w:vAlign w:val="center"/>
          </w:tcPr>
          <w:p>
            <w:pPr>
              <w:pStyle w:val="7"/>
              <w:spacing w:line="240" w:lineRule="auto"/>
              <w:rPr>
                <w:rFonts w:hAnsi="宋体"/>
                <w:szCs w:val="24"/>
              </w:rPr>
            </w:pPr>
            <w:r>
              <w:rPr>
                <w:rFonts w:hint="eastAsia" w:hAnsi="宋体"/>
                <w:szCs w:val="24"/>
              </w:rPr>
              <w:t>未按规定编制专项施工方案的，扣20分</w:t>
            </w:r>
          </w:p>
          <w:p>
            <w:pPr>
              <w:pStyle w:val="7"/>
              <w:spacing w:line="240" w:lineRule="auto"/>
              <w:rPr>
                <w:rFonts w:hAnsi="宋体"/>
                <w:szCs w:val="24"/>
              </w:rPr>
            </w:pPr>
            <w:r>
              <w:rPr>
                <w:rFonts w:hint="eastAsia" w:hAnsi="宋体"/>
                <w:szCs w:val="24"/>
              </w:rPr>
              <w:t>审批手续不齐全的，扣10分</w:t>
            </w:r>
          </w:p>
        </w:tc>
        <w:tc>
          <w:tcPr>
            <w:tcW w:w="795" w:type="dxa"/>
            <w:noWrap/>
            <w:vAlign w:val="center"/>
          </w:tcPr>
          <w:p>
            <w:pPr>
              <w:pStyle w:val="7"/>
              <w:spacing w:line="240" w:lineRule="auto"/>
              <w:jc w:val="center"/>
              <w:rPr>
                <w:rFonts w:hAnsi="宋体"/>
                <w:szCs w:val="24"/>
              </w:rPr>
            </w:pPr>
            <w:r>
              <w:rPr>
                <w:rFonts w:hint="eastAsia" w:hAnsi="宋体"/>
                <w:szCs w:val="24"/>
              </w:rPr>
              <w:t>20</w:t>
            </w:r>
          </w:p>
        </w:tc>
        <w:tc>
          <w:tcPr>
            <w:tcW w:w="815" w:type="dxa"/>
            <w:noWrap/>
            <w:vAlign w:val="center"/>
          </w:tcPr>
          <w:p>
            <w:pPr>
              <w:pStyle w:val="7"/>
              <w:spacing w:line="240" w:lineRule="auto"/>
              <w:jc w:val="center"/>
              <w:rPr>
                <w:rFonts w:hAnsi="宋体"/>
                <w:szCs w:val="24"/>
              </w:rPr>
            </w:pPr>
          </w:p>
        </w:tc>
        <w:tc>
          <w:tcPr>
            <w:tcW w:w="709" w:type="dxa"/>
            <w:noWrap/>
            <w:vAlign w:val="center"/>
          </w:tcPr>
          <w:p>
            <w:pPr>
              <w:pStyle w:val="7"/>
              <w:spacing w:line="240" w:lineRule="auto"/>
              <w:rPr>
                <w:rFonts w:hAnsi="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noWrap/>
            <w:vAlign w:val="center"/>
          </w:tcPr>
          <w:p>
            <w:pPr>
              <w:pStyle w:val="7"/>
              <w:spacing w:line="240" w:lineRule="auto"/>
              <w:jc w:val="center"/>
              <w:rPr>
                <w:rFonts w:hAnsi="宋体"/>
                <w:szCs w:val="24"/>
              </w:rPr>
            </w:pPr>
            <w:r>
              <w:rPr>
                <w:rFonts w:hint="eastAsia" w:hAnsi="宋体"/>
                <w:szCs w:val="24"/>
              </w:rPr>
              <w:t>2</w:t>
            </w:r>
          </w:p>
        </w:tc>
        <w:tc>
          <w:tcPr>
            <w:tcW w:w="766" w:type="dxa"/>
            <w:noWrap/>
            <w:vAlign w:val="center"/>
          </w:tcPr>
          <w:p>
            <w:pPr>
              <w:widowControl/>
              <w:jc w:val="center"/>
              <w:textAlignment w:val="center"/>
              <w:rPr>
                <w:rFonts w:ascii="宋体" w:hAnsi="宋体" w:cs="宋体"/>
                <w:color w:val="000000"/>
                <w:kern w:val="0"/>
              </w:rPr>
            </w:pPr>
            <w:r>
              <w:rPr>
                <w:rFonts w:hint="eastAsia" w:ascii="宋体" w:hAnsi="宋体" w:cs="宋体"/>
                <w:color w:val="000000"/>
                <w:kern w:val="0"/>
              </w:rPr>
              <w:t>人员</w:t>
            </w:r>
          </w:p>
          <w:p>
            <w:pPr>
              <w:widowControl/>
              <w:jc w:val="center"/>
              <w:textAlignment w:val="center"/>
              <w:rPr>
                <w:rFonts w:hAnsi="宋体"/>
              </w:rPr>
            </w:pPr>
            <w:r>
              <w:rPr>
                <w:rFonts w:hint="eastAsia" w:ascii="宋体" w:hAnsi="宋体" w:cs="宋体"/>
                <w:color w:val="000000"/>
                <w:kern w:val="0"/>
              </w:rPr>
              <w:t>管理</w:t>
            </w:r>
          </w:p>
        </w:tc>
        <w:tc>
          <w:tcPr>
            <w:tcW w:w="5194" w:type="dxa"/>
            <w:noWrap/>
            <w:vAlign w:val="center"/>
          </w:tcPr>
          <w:p>
            <w:pPr>
              <w:pStyle w:val="7"/>
              <w:spacing w:line="240" w:lineRule="auto"/>
              <w:rPr>
                <w:rFonts w:hAnsi="宋体"/>
                <w:szCs w:val="24"/>
              </w:rPr>
            </w:pPr>
            <w:r>
              <w:rPr>
                <w:rFonts w:hint="eastAsia" w:hAnsi="宋体"/>
                <w:szCs w:val="24"/>
              </w:rPr>
              <w:t>脚手架、模板支架搭拆人员未持证上岗的，扣10分</w:t>
            </w:r>
          </w:p>
          <w:p>
            <w:pPr>
              <w:pStyle w:val="7"/>
              <w:spacing w:line="240" w:lineRule="auto"/>
              <w:rPr>
                <w:rFonts w:hAnsi="宋体"/>
                <w:szCs w:val="24"/>
              </w:rPr>
            </w:pPr>
            <w:r>
              <w:rPr>
                <w:rFonts w:hint="eastAsia" w:hAnsi="宋体"/>
                <w:szCs w:val="24"/>
              </w:rPr>
              <w:t>未对脚手架、模板支架搭拆人员进行安全技术交底的，每人扣3分</w:t>
            </w:r>
          </w:p>
        </w:tc>
        <w:tc>
          <w:tcPr>
            <w:tcW w:w="795" w:type="dxa"/>
            <w:noWrap/>
            <w:vAlign w:val="center"/>
          </w:tcPr>
          <w:p>
            <w:pPr>
              <w:pStyle w:val="7"/>
              <w:spacing w:line="240" w:lineRule="auto"/>
              <w:jc w:val="center"/>
              <w:rPr>
                <w:rFonts w:hAnsi="宋体"/>
                <w:szCs w:val="24"/>
              </w:rPr>
            </w:pPr>
            <w:r>
              <w:rPr>
                <w:rFonts w:hint="eastAsia" w:hAnsi="宋体"/>
                <w:szCs w:val="24"/>
              </w:rPr>
              <w:t>15</w:t>
            </w:r>
          </w:p>
        </w:tc>
        <w:tc>
          <w:tcPr>
            <w:tcW w:w="815" w:type="dxa"/>
            <w:noWrap/>
            <w:vAlign w:val="center"/>
          </w:tcPr>
          <w:p>
            <w:pPr>
              <w:pStyle w:val="7"/>
              <w:spacing w:line="240" w:lineRule="auto"/>
              <w:rPr>
                <w:rFonts w:hAnsi="宋体"/>
                <w:szCs w:val="24"/>
              </w:rPr>
            </w:pPr>
          </w:p>
        </w:tc>
        <w:tc>
          <w:tcPr>
            <w:tcW w:w="709" w:type="dxa"/>
            <w:noWrap/>
            <w:vAlign w:val="center"/>
          </w:tcPr>
          <w:p>
            <w:pPr>
              <w:pStyle w:val="7"/>
              <w:spacing w:line="240" w:lineRule="auto"/>
              <w:rPr>
                <w:rFonts w:hAnsi="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noWrap/>
            <w:vAlign w:val="center"/>
          </w:tcPr>
          <w:p>
            <w:pPr>
              <w:pStyle w:val="7"/>
              <w:spacing w:line="240" w:lineRule="auto"/>
              <w:jc w:val="center"/>
              <w:rPr>
                <w:rFonts w:hAnsi="宋体"/>
                <w:szCs w:val="24"/>
              </w:rPr>
            </w:pPr>
            <w:r>
              <w:rPr>
                <w:rFonts w:hint="eastAsia" w:hAnsi="宋体"/>
                <w:szCs w:val="24"/>
              </w:rPr>
              <w:t>3</w:t>
            </w:r>
          </w:p>
        </w:tc>
        <w:tc>
          <w:tcPr>
            <w:tcW w:w="766" w:type="dxa"/>
            <w:noWrap/>
            <w:vAlign w:val="center"/>
          </w:tcPr>
          <w:p>
            <w:pPr>
              <w:widowControl/>
              <w:jc w:val="center"/>
              <w:textAlignment w:val="center"/>
              <w:rPr>
                <w:rFonts w:ascii="宋体" w:hAnsi="宋体" w:cs="宋体"/>
                <w:color w:val="000000"/>
                <w:kern w:val="0"/>
              </w:rPr>
            </w:pPr>
            <w:r>
              <w:rPr>
                <w:rFonts w:hint="eastAsia" w:ascii="宋体" w:hAnsi="宋体" w:cs="宋体"/>
                <w:color w:val="000000"/>
                <w:kern w:val="0"/>
              </w:rPr>
              <w:t>架体</w:t>
            </w:r>
          </w:p>
          <w:p>
            <w:pPr>
              <w:widowControl/>
              <w:jc w:val="center"/>
              <w:textAlignment w:val="center"/>
              <w:rPr>
                <w:rFonts w:hAnsi="宋体"/>
              </w:rPr>
            </w:pPr>
            <w:r>
              <w:rPr>
                <w:rFonts w:hint="eastAsia" w:ascii="宋体" w:hAnsi="宋体" w:cs="宋体"/>
                <w:color w:val="000000"/>
                <w:kern w:val="0"/>
              </w:rPr>
              <w:t>基础</w:t>
            </w:r>
          </w:p>
        </w:tc>
        <w:tc>
          <w:tcPr>
            <w:tcW w:w="5194" w:type="dxa"/>
            <w:noWrap/>
            <w:vAlign w:val="center"/>
          </w:tcPr>
          <w:p>
            <w:pPr>
              <w:pStyle w:val="7"/>
              <w:spacing w:line="240" w:lineRule="auto"/>
              <w:rPr>
                <w:rFonts w:hAnsi="宋体"/>
                <w:szCs w:val="24"/>
              </w:rPr>
            </w:pPr>
            <w:r>
              <w:rPr>
                <w:rFonts w:hint="eastAsia" w:hAnsi="宋体"/>
                <w:szCs w:val="24"/>
              </w:rPr>
              <w:t>基础不平整或不满足承载力和变形要求的，扣10分</w:t>
            </w:r>
          </w:p>
          <w:p>
            <w:pPr>
              <w:pStyle w:val="7"/>
              <w:spacing w:line="240" w:lineRule="auto"/>
              <w:rPr>
                <w:rFonts w:hAnsi="宋体"/>
                <w:szCs w:val="24"/>
              </w:rPr>
            </w:pPr>
            <w:r>
              <w:rPr>
                <w:rFonts w:hint="eastAsia" w:hAnsi="宋体"/>
                <w:szCs w:val="24"/>
              </w:rPr>
              <w:t>未设置排水措施或基础积水的，扣5分</w:t>
            </w:r>
          </w:p>
        </w:tc>
        <w:tc>
          <w:tcPr>
            <w:tcW w:w="795" w:type="dxa"/>
            <w:noWrap/>
            <w:vAlign w:val="center"/>
          </w:tcPr>
          <w:p>
            <w:pPr>
              <w:pStyle w:val="7"/>
              <w:spacing w:line="240" w:lineRule="auto"/>
              <w:jc w:val="center"/>
              <w:rPr>
                <w:rFonts w:hAnsi="宋体"/>
                <w:szCs w:val="24"/>
              </w:rPr>
            </w:pPr>
            <w:r>
              <w:rPr>
                <w:rFonts w:hint="eastAsia" w:hAnsi="宋体"/>
                <w:szCs w:val="24"/>
              </w:rPr>
              <w:t>15</w:t>
            </w:r>
          </w:p>
        </w:tc>
        <w:tc>
          <w:tcPr>
            <w:tcW w:w="815" w:type="dxa"/>
            <w:noWrap/>
            <w:vAlign w:val="center"/>
          </w:tcPr>
          <w:p>
            <w:pPr>
              <w:pStyle w:val="7"/>
              <w:spacing w:line="240" w:lineRule="auto"/>
              <w:rPr>
                <w:rFonts w:hAnsi="宋体"/>
                <w:szCs w:val="24"/>
              </w:rPr>
            </w:pPr>
          </w:p>
        </w:tc>
        <w:tc>
          <w:tcPr>
            <w:tcW w:w="709" w:type="dxa"/>
            <w:noWrap/>
            <w:vAlign w:val="center"/>
          </w:tcPr>
          <w:p>
            <w:pPr>
              <w:pStyle w:val="7"/>
              <w:spacing w:line="240" w:lineRule="auto"/>
              <w:rPr>
                <w:rFonts w:hAnsi="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0" w:hRule="atLeast"/>
        </w:trPr>
        <w:tc>
          <w:tcPr>
            <w:tcW w:w="652" w:type="dxa"/>
            <w:noWrap/>
            <w:vAlign w:val="center"/>
          </w:tcPr>
          <w:p>
            <w:pPr>
              <w:pStyle w:val="7"/>
              <w:spacing w:line="240" w:lineRule="auto"/>
              <w:jc w:val="center"/>
              <w:rPr>
                <w:rFonts w:hAnsi="宋体"/>
                <w:szCs w:val="24"/>
              </w:rPr>
            </w:pPr>
            <w:r>
              <w:rPr>
                <w:rFonts w:hint="eastAsia" w:hAnsi="宋体"/>
                <w:szCs w:val="24"/>
              </w:rPr>
              <w:t>4</w:t>
            </w:r>
          </w:p>
        </w:tc>
        <w:tc>
          <w:tcPr>
            <w:tcW w:w="766" w:type="dxa"/>
            <w:noWrap/>
            <w:vAlign w:val="center"/>
          </w:tcPr>
          <w:p>
            <w:pPr>
              <w:widowControl/>
              <w:jc w:val="center"/>
              <w:textAlignment w:val="center"/>
              <w:rPr>
                <w:rFonts w:hAnsi="宋体"/>
              </w:rPr>
            </w:pPr>
            <w:r>
              <w:rPr>
                <w:rFonts w:hint="eastAsia" w:ascii="宋体" w:hAnsi="宋体" w:cs="宋体"/>
                <w:color w:val="000000"/>
                <w:kern w:val="0"/>
              </w:rPr>
              <w:t>脚手架</w:t>
            </w:r>
          </w:p>
        </w:tc>
        <w:tc>
          <w:tcPr>
            <w:tcW w:w="5194" w:type="dxa"/>
            <w:noWrap/>
            <w:vAlign w:val="center"/>
          </w:tcPr>
          <w:p>
            <w:pPr>
              <w:pStyle w:val="7"/>
              <w:spacing w:line="240" w:lineRule="auto"/>
              <w:jc w:val="left"/>
              <w:rPr>
                <w:rFonts w:hAnsi="宋体"/>
                <w:szCs w:val="24"/>
              </w:rPr>
            </w:pPr>
            <w:r>
              <w:rPr>
                <w:rFonts w:hint="eastAsia" w:hAnsi="宋体"/>
                <w:szCs w:val="24"/>
              </w:rPr>
              <w:t>未按照专项施工方案要求施工的，扣10-20分</w:t>
            </w:r>
          </w:p>
          <w:p>
            <w:pPr>
              <w:pStyle w:val="7"/>
              <w:spacing w:line="240" w:lineRule="auto"/>
              <w:jc w:val="left"/>
              <w:rPr>
                <w:rFonts w:hAnsi="宋体"/>
                <w:szCs w:val="24"/>
              </w:rPr>
            </w:pPr>
            <w:r>
              <w:rPr>
                <w:rFonts w:hint="eastAsia" w:hAnsi="宋体"/>
                <w:szCs w:val="24"/>
              </w:rPr>
              <w:t xml:space="preserve">架体搭设后未验收合格即投入使用的，扣20分                                  </w:t>
            </w:r>
          </w:p>
          <w:p>
            <w:pPr>
              <w:pStyle w:val="7"/>
              <w:spacing w:line="240" w:lineRule="auto"/>
              <w:jc w:val="left"/>
              <w:rPr>
                <w:rFonts w:hAnsi="宋体"/>
                <w:szCs w:val="24"/>
              </w:rPr>
            </w:pPr>
            <w:r>
              <w:rPr>
                <w:rFonts w:hint="eastAsia" w:hAnsi="宋体"/>
                <w:szCs w:val="24"/>
              </w:rPr>
              <w:t>架体材料、构配件无合格证等质量证明文件的，扣10分</w:t>
            </w:r>
          </w:p>
          <w:p>
            <w:pPr>
              <w:pStyle w:val="7"/>
              <w:spacing w:line="240" w:lineRule="auto"/>
              <w:jc w:val="left"/>
              <w:rPr>
                <w:rFonts w:hAnsi="宋体"/>
                <w:szCs w:val="24"/>
              </w:rPr>
            </w:pPr>
            <w:r>
              <w:rPr>
                <w:rFonts w:hint="eastAsia" w:hAnsi="宋体"/>
                <w:szCs w:val="24"/>
              </w:rPr>
              <w:t>杆件未做防腐刷漆处理的，扣5-10分</w:t>
            </w:r>
          </w:p>
          <w:p>
            <w:pPr>
              <w:pStyle w:val="7"/>
              <w:spacing w:line="240" w:lineRule="auto"/>
              <w:jc w:val="left"/>
              <w:rPr>
                <w:rFonts w:hAnsi="宋体"/>
                <w:szCs w:val="24"/>
              </w:rPr>
            </w:pPr>
            <w:r>
              <w:rPr>
                <w:rFonts w:hint="eastAsia" w:hAnsi="宋体"/>
                <w:szCs w:val="24"/>
              </w:rPr>
              <w:t>架体底部、作业层、立面封闭不严的，每处扣5分</w:t>
            </w:r>
          </w:p>
          <w:p>
            <w:pPr>
              <w:pStyle w:val="7"/>
              <w:spacing w:line="240" w:lineRule="auto"/>
              <w:jc w:val="left"/>
              <w:rPr>
                <w:rFonts w:hAnsi="宋体"/>
                <w:szCs w:val="24"/>
              </w:rPr>
            </w:pPr>
            <w:r>
              <w:rPr>
                <w:rFonts w:hint="eastAsia" w:hAnsi="宋体"/>
                <w:szCs w:val="24"/>
              </w:rPr>
              <w:t>立杆、水平杆、剪刀撑、斜杆等构造措施不符合规范要求的，每处扣5分</w:t>
            </w:r>
          </w:p>
          <w:p>
            <w:pPr>
              <w:pStyle w:val="7"/>
              <w:spacing w:line="240" w:lineRule="auto"/>
              <w:jc w:val="left"/>
              <w:rPr>
                <w:rFonts w:hAnsi="宋体"/>
                <w:szCs w:val="24"/>
              </w:rPr>
            </w:pPr>
            <w:r>
              <w:rPr>
                <w:rFonts w:hint="eastAsia" w:hAnsi="宋体"/>
                <w:szCs w:val="24"/>
              </w:rPr>
              <w:t xml:space="preserve">连墙件缺失或连墙件间距大于规范或方案要求的，每处扣5分                                                                 </w:t>
            </w:r>
          </w:p>
          <w:p>
            <w:pPr>
              <w:pStyle w:val="7"/>
              <w:spacing w:line="240" w:lineRule="auto"/>
              <w:jc w:val="left"/>
              <w:rPr>
                <w:rFonts w:hAnsi="宋体"/>
                <w:szCs w:val="24"/>
              </w:rPr>
            </w:pPr>
            <w:r>
              <w:rPr>
                <w:rFonts w:hint="eastAsia" w:hAnsi="宋体"/>
                <w:szCs w:val="24"/>
              </w:rPr>
              <w:t xml:space="preserve">悬挑式脚手架型钢、吊耳、拉杆等主要悬挑构件的材质及固定措施与施工方案不符合的，扣10-20分                                                                                                        架体与建筑物拉结方式与方案不符合的，扣5-10分                                                          </w:t>
            </w:r>
          </w:p>
          <w:p>
            <w:pPr>
              <w:pStyle w:val="7"/>
              <w:spacing w:line="240" w:lineRule="auto"/>
              <w:jc w:val="left"/>
              <w:rPr>
                <w:rFonts w:hAnsi="宋体"/>
                <w:szCs w:val="24"/>
              </w:rPr>
            </w:pPr>
            <w:r>
              <w:rPr>
                <w:rFonts w:hint="eastAsia" w:hAnsi="宋体"/>
                <w:szCs w:val="24"/>
              </w:rPr>
              <w:t>附着式升降脚手架的防倾覆、防坠落或同步升降控制装置不符合设计或规范要求的，每处扣10分</w:t>
            </w:r>
          </w:p>
          <w:p>
            <w:pPr>
              <w:pStyle w:val="7"/>
              <w:spacing w:line="240" w:lineRule="auto"/>
              <w:jc w:val="left"/>
              <w:rPr>
                <w:rFonts w:hAnsi="宋体"/>
                <w:szCs w:val="24"/>
              </w:rPr>
            </w:pPr>
            <w:r>
              <w:rPr>
                <w:rFonts w:hint="eastAsia" w:hAnsi="宋体"/>
                <w:szCs w:val="24"/>
              </w:rPr>
              <w:t>附着式升降脚手架使用过程中架体悬臂高度大于架体高度2/5或大于6米的，扣10-20分</w:t>
            </w:r>
          </w:p>
          <w:p>
            <w:pPr>
              <w:pStyle w:val="7"/>
              <w:spacing w:line="240" w:lineRule="auto"/>
              <w:jc w:val="left"/>
              <w:rPr>
                <w:rFonts w:hAnsi="宋体"/>
                <w:szCs w:val="24"/>
              </w:rPr>
            </w:pPr>
            <w:r>
              <w:rPr>
                <w:rFonts w:hint="eastAsia" w:hAnsi="宋体"/>
                <w:szCs w:val="24"/>
              </w:rPr>
              <w:t>装配式建筑工程外挂架的结构件、安全防护措施等不符合设计及规范要求的，扣10-20分</w:t>
            </w:r>
          </w:p>
        </w:tc>
        <w:tc>
          <w:tcPr>
            <w:tcW w:w="795" w:type="dxa"/>
            <w:noWrap/>
            <w:vAlign w:val="center"/>
          </w:tcPr>
          <w:p>
            <w:pPr>
              <w:pStyle w:val="7"/>
              <w:spacing w:line="240" w:lineRule="auto"/>
              <w:jc w:val="center"/>
              <w:rPr>
                <w:rFonts w:hAnsi="宋体"/>
                <w:szCs w:val="24"/>
              </w:rPr>
            </w:pPr>
            <w:r>
              <w:rPr>
                <w:rFonts w:hint="eastAsia" w:hAnsi="宋体"/>
                <w:szCs w:val="24"/>
              </w:rPr>
              <w:t>30</w:t>
            </w:r>
          </w:p>
        </w:tc>
        <w:tc>
          <w:tcPr>
            <w:tcW w:w="815" w:type="dxa"/>
            <w:noWrap/>
            <w:vAlign w:val="center"/>
          </w:tcPr>
          <w:p>
            <w:pPr>
              <w:pStyle w:val="7"/>
              <w:spacing w:line="240" w:lineRule="auto"/>
              <w:rPr>
                <w:rFonts w:hAnsi="宋体"/>
                <w:szCs w:val="24"/>
              </w:rPr>
            </w:pPr>
          </w:p>
        </w:tc>
        <w:tc>
          <w:tcPr>
            <w:tcW w:w="709" w:type="dxa"/>
            <w:noWrap/>
            <w:vAlign w:val="center"/>
          </w:tcPr>
          <w:p>
            <w:pPr>
              <w:pStyle w:val="7"/>
              <w:spacing w:line="240" w:lineRule="auto"/>
              <w:rPr>
                <w:rFonts w:hAnsi="宋体"/>
                <w:szCs w:val="24"/>
              </w:rPr>
            </w:pPr>
          </w:p>
        </w:tc>
      </w:tr>
    </w:tbl>
    <w:p>
      <w:pPr>
        <w:pStyle w:val="7"/>
        <w:jc w:val="center"/>
        <w:rPr>
          <w:rFonts w:hAnsi="宋体" w:cs="SimSun,Bold"/>
          <w:b/>
          <w:kern w:val="0"/>
          <w:szCs w:val="21"/>
        </w:rPr>
      </w:pPr>
      <w:r>
        <w:rPr>
          <w:rFonts w:hint="eastAsia" w:hAnsi="宋体"/>
          <w:szCs w:val="21"/>
        </w:rPr>
        <w:br w:type="page"/>
      </w:r>
      <w:r>
        <w:rPr>
          <w:rFonts w:hint="eastAsia" w:hAnsi="宋体"/>
          <w:b/>
          <w:bCs w:val="0"/>
          <w:szCs w:val="21"/>
        </w:rPr>
        <w:t>续</w:t>
      </w:r>
      <w:r>
        <w:rPr>
          <w:rFonts w:hint="eastAsia" w:hAnsi="宋体" w:cs="SimSun,Bold"/>
          <w:b/>
          <w:kern w:val="0"/>
          <w:szCs w:val="21"/>
        </w:rPr>
        <w:t>表B.0.6  脚手架及模板支架评价表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
        <w:gridCol w:w="763"/>
        <w:gridCol w:w="5212"/>
        <w:gridCol w:w="788"/>
        <w:gridCol w:w="82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dxa"/>
            <w:noWrap/>
            <w:vAlign w:val="center"/>
          </w:tcPr>
          <w:p>
            <w:pPr>
              <w:pStyle w:val="7"/>
              <w:spacing w:line="240" w:lineRule="auto"/>
              <w:jc w:val="center"/>
              <w:rPr>
                <w:rFonts w:hAnsi="宋体"/>
                <w:szCs w:val="24"/>
              </w:rPr>
            </w:pPr>
            <w:r>
              <w:rPr>
                <w:rFonts w:hint="eastAsia" w:hAnsi="宋体"/>
                <w:szCs w:val="24"/>
              </w:rPr>
              <w:t>5</w:t>
            </w:r>
          </w:p>
        </w:tc>
        <w:tc>
          <w:tcPr>
            <w:tcW w:w="763" w:type="dxa"/>
            <w:noWrap/>
            <w:vAlign w:val="center"/>
          </w:tcPr>
          <w:p>
            <w:pPr>
              <w:widowControl/>
              <w:jc w:val="center"/>
              <w:textAlignment w:val="center"/>
              <w:rPr>
                <w:rFonts w:ascii="宋体" w:hAnsi="宋体" w:cs="宋体"/>
                <w:color w:val="000000"/>
                <w:kern w:val="0"/>
              </w:rPr>
            </w:pPr>
            <w:r>
              <w:rPr>
                <w:rFonts w:hint="eastAsia" w:ascii="宋体" w:hAnsi="宋体" w:cs="宋体"/>
                <w:color w:val="000000"/>
                <w:kern w:val="0"/>
              </w:rPr>
              <w:t>模板</w:t>
            </w:r>
          </w:p>
          <w:p>
            <w:pPr>
              <w:widowControl/>
              <w:jc w:val="center"/>
              <w:textAlignment w:val="center"/>
              <w:rPr>
                <w:rFonts w:hAnsi="宋体"/>
              </w:rPr>
            </w:pPr>
            <w:r>
              <w:rPr>
                <w:rFonts w:hint="eastAsia" w:ascii="宋体" w:hAnsi="宋体" w:cs="宋体"/>
                <w:color w:val="000000"/>
                <w:kern w:val="0"/>
              </w:rPr>
              <w:t>支架</w:t>
            </w:r>
          </w:p>
        </w:tc>
        <w:tc>
          <w:tcPr>
            <w:tcW w:w="5212" w:type="dxa"/>
            <w:noWrap/>
            <w:vAlign w:val="center"/>
          </w:tcPr>
          <w:p>
            <w:pPr>
              <w:pStyle w:val="7"/>
              <w:spacing w:line="240" w:lineRule="auto"/>
              <w:rPr>
                <w:rFonts w:hAnsi="宋体"/>
                <w:szCs w:val="24"/>
              </w:rPr>
            </w:pPr>
            <w:r>
              <w:rPr>
                <w:rFonts w:hint="eastAsia" w:hAnsi="宋体"/>
                <w:szCs w:val="24"/>
              </w:rPr>
              <w:t>未按照专项施工方案要求搭拆的，扣10-20分</w:t>
            </w:r>
          </w:p>
          <w:p>
            <w:pPr>
              <w:pStyle w:val="7"/>
              <w:spacing w:line="240" w:lineRule="auto"/>
              <w:rPr>
                <w:rFonts w:hAnsi="宋体"/>
                <w:szCs w:val="24"/>
              </w:rPr>
            </w:pPr>
            <w:r>
              <w:rPr>
                <w:rFonts w:hint="eastAsia" w:hAnsi="宋体"/>
                <w:szCs w:val="24"/>
              </w:rPr>
              <w:t>搭设后未组织验收合格即进行下一道工序施工的，扣10分</w:t>
            </w:r>
          </w:p>
          <w:p>
            <w:pPr>
              <w:pStyle w:val="7"/>
              <w:spacing w:line="240" w:lineRule="auto"/>
              <w:rPr>
                <w:rFonts w:hAnsi="宋体"/>
                <w:szCs w:val="24"/>
              </w:rPr>
            </w:pPr>
            <w:r>
              <w:rPr>
                <w:rFonts w:hint="eastAsia" w:hAnsi="宋体"/>
                <w:szCs w:val="24"/>
              </w:rPr>
              <w:t xml:space="preserve">滑模、爬模爬升及模板支架拆除时，混凝土强度未达到设计或规范要求的，扣20分 </w:t>
            </w:r>
          </w:p>
          <w:p>
            <w:pPr>
              <w:pStyle w:val="7"/>
              <w:spacing w:line="240" w:lineRule="auto"/>
              <w:jc w:val="left"/>
              <w:rPr>
                <w:rFonts w:hAnsi="宋体"/>
                <w:szCs w:val="24"/>
              </w:rPr>
            </w:pPr>
            <w:r>
              <w:rPr>
                <w:rFonts w:hint="eastAsia" w:hAnsi="宋体"/>
                <w:szCs w:val="24"/>
              </w:rPr>
              <w:t>架体材料、构配件无合格证等质量证明文件的，扣10分</w:t>
            </w:r>
          </w:p>
          <w:p>
            <w:pPr>
              <w:pStyle w:val="7"/>
              <w:spacing w:line="240" w:lineRule="auto"/>
              <w:jc w:val="left"/>
              <w:rPr>
                <w:rFonts w:hAnsi="宋体"/>
                <w:szCs w:val="24"/>
              </w:rPr>
            </w:pPr>
            <w:r>
              <w:rPr>
                <w:rFonts w:hint="eastAsia" w:hAnsi="宋体"/>
                <w:szCs w:val="24"/>
              </w:rPr>
              <w:t>独立架体高宽比大于规范要求的，扣10分</w:t>
            </w:r>
          </w:p>
          <w:p>
            <w:pPr>
              <w:pStyle w:val="7"/>
              <w:spacing w:line="240" w:lineRule="auto"/>
              <w:jc w:val="left"/>
              <w:rPr>
                <w:rFonts w:hAnsi="宋体"/>
                <w:szCs w:val="24"/>
              </w:rPr>
            </w:pPr>
            <w:r>
              <w:rPr>
                <w:rFonts w:hint="eastAsia" w:hAnsi="宋体"/>
                <w:szCs w:val="24"/>
              </w:rPr>
              <w:t>支架立杆接长采用搭接方式的，扣10分</w:t>
            </w:r>
          </w:p>
          <w:p>
            <w:pPr>
              <w:pStyle w:val="7"/>
              <w:spacing w:line="240" w:lineRule="auto"/>
              <w:jc w:val="left"/>
              <w:rPr>
                <w:rFonts w:hAnsi="宋体"/>
                <w:szCs w:val="24"/>
              </w:rPr>
            </w:pPr>
            <w:r>
              <w:rPr>
                <w:rFonts w:hint="eastAsia" w:hAnsi="宋体"/>
                <w:szCs w:val="24"/>
              </w:rPr>
              <w:t>纵横向水平杆、剪刀撑、斜杆等构造措施不符合规范要求的，每处扣5分</w:t>
            </w:r>
          </w:p>
          <w:p>
            <w:pPr>
              <w:pStyle w:val="7"/>
              <w:spacing w:line="240" w:lineRule="auto"/>
              <w:jc w:val="left"/>
              <w:rPr>
                <w:rFonts w:hAnsi="宋体"/>
                <w:color w:val="000000" w:themeColor="text1"/>
                <w:szCs w:val="24"/>
              </w:rPr>
            </w:pPr>
            <w:r>
              <w:rPr>
                <w:rFonts w:hint="eastAsia" w:hAnsi="宋体"/>
                <w:color w:val="000000" w:themeColor="text1"/>
                <w:szCs w:val="24"/>
              </w:rPr>
              <w:t xml:space="preserve">高大模板支撑体系支架顶部未使用可调托撑的，扣2-10分          </w:t>
            </w:r>
          </w:p>
        </w:tc>
        <w:tc>
          <w:tcPr>
            <w:tcW w:w="788" w:type="dxa"/>
            <w:noWrap/>
            <w:vAlign w:val="center"/>
          </w:tcPr>
          <w:p>
            <w:pPr>
              <w:pStyle w:val="7"/>
              <w:spacing w:line="240" w:lineRule="auto"/>
              <w:jc w:val="center"/>
              <w:rPr>
                <w:rFonts w:hAnsi="宋体"/>
                <w:szCs w:val="24"/>
              </w:rPr>
            </w:pPr>
            <w:r>
              <w:rPr>
                <w:rFonts w:hint="eastAsia" w:hAnsi="宋体"/>
                <w:szCs w:val="24"/>
              </w:rPr>
              <w:t>20</w:t>
            </w:r>
          </w:p>
        </w:tc>
        <w:tc>
          <w:tcPr>
            <w:tcW w:w="825" w:type="dxa"/>
            <w:noWrap/>
            <w:vAlign w:val="center"/>
          </w:tcPr>
          <w:p>
            <w:pPr>
              <w:pStyle w:val="7"/>
              <w:spacing w:line="240" w:lineRule="auto"/>
              <w:rPr>
                <w:rFonts w:hAnsi="宋体"/>
                <w:szCs w:val="24"/>
              </w:rPr>
            </w:pPr>
          </w:p>
        </w:tc>
        <w:tc>
          <w:tcPr>
            <w:tcW w:w="615" w:type="dxa"/>
            <w:noWrap/>
            <w:vAlign w:val="center"/>
          </w:tcPr>
          <w:p>
            <w:pPr>
              <w:pStyle w:val="7"/>
              <w:spacing w:line="240" w:lineRule="auto"/>
              <w:rPr>
                <w:rFonts w:hAnsi="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8" w:type="dxa"/>
            <w:gridSpan w:val="3"/>
            <w:noWrap/>
          </w:tcPr>
          <w:p>
            <w:pPr>
              <w:pStyle w:val="7"/>
              <w:jc w:val="center"/>
              <w:rPr>
                <w:rFonts w:hAnsi="宋体" w:cs="SimSun,Bold"/>
                <w:b/>
                <w:kern w:val="0"/>
                <w:szCs w:val="21"/>
              </w:rPr>
            </w:pPr>
            <w:r>
              <w:rPr>
                <w:rFonts w:hint="eastAsia" w:hAnsi="宋体"/>
                <w:szCs w:val="21"/>
              </w:rPr>
              <w:t>合计</w:t>
            </w:r>
          </w:p>
        </w:tc>
        <w:tc>
          <w:tcPr>
            <w:tcW w:w="788" w:type="dxa"/>
            <w:noWrap/>
          </w:tcPr>
          <w:p>
            <w:pPr>
              <w:pStyle w:val="7"/>
              <w:jc w:val="center"/>
              <w:rPr>
                <w:rFonts w:hAnsi="宋体" w:cs="SimSun,Bold"/>
                <w:b/>
                <w:kern w:val="0"/>
                <w:szCs w:val="21"/>
              </w:rPr>
            </w:pPr>
            <w:r>
              <w:rPr>
                <w:rFonts w:hint="eastAsia" w:hAnsi="宋体"/>
                <w:szCs w:val="21"/>
              </w:rPr>
              <w:t>100</w:t>
            </w:r>
          </w:p>
        </w:tc>
        <w:tc>
          <w:tcPr>
            <w:tcW w:w="825" w:type="dxa"/>
            <w:noWrap/>
          </w:tcPr>
          <w:p>
            <w:pPr>
              <w:pStyle w:val="7"/>
              <w:jc w:val="center"/>
              <w:rPr>
                <w:rFonts w:hAnsi="宋体" w:cs="SimSun,Bold"/>
                <w:b/>
                <w:kern w:val="0"/>
                <w:szCs w:val="21"/>
              </w:rPr>
            </w:pPr>
          </w:p>
        </w:tc>
        <w:tc>
          <w:tcPr>
            <w:tcW w:w="615" w:type="dxa"/>
            <w:noWrap/>
          </w:tcPr>
          <w:p>
            <w:pPr>
              <w:pStyle w:val="7"/>
              <w:jc w:val="center"/>
              <w:rPr>
                <w:rFonts w:hAnsi="宋体" w:cs="SimSun,Bold"/>
                <w:b/>
                <w:kern w:val="0"/>
                <w:szCs w:val="21"/>
              </w:rPr>
            </w:pPr>
          </w:p>
        </w:tc>
      </w:tr>
    </w:tbl>
    <w:p>
      <w:pPr>
        <w:pStyle w:val="7"/>
        <w:rPr>
          <w:rFonts w:hAnsi="宋体" w:cs="宋体"/>
          <w:b/>
          <w:szCs w:val="21"/>
        </w:rPr>
      </w:pPr>
      <w:r>
        <w:rPr>
          <w:rFonts w:hint="eastAsia" w:hAnsi="宋体" w:cs="宋体"/>
          <w:szCs w:val="24"/>
        </w:rPr>
        <w:t>评价人员：</w:t>
      </w:r>
      <w:r>
        <w:rPr>
          <w:rFonts w:hint="eastAsia" w:hAnsi="宋体"/>
          <w:szCs w:val="24"/>
        </w:rPr>
        <w:t xml:space="preserve">                                              年    月    日</w:t>
      </w: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ascii="宋体" w:hAnsi="宋体" w:cs="SimSun,Bold"/>
          <w:b/>
          <w:kern w:val="0"/>
          <w:szCs w:val="21"/>
        </w:rPr>
      </w:pPr>
    </w:p>
    <w:p>
      <w:pPr>
        <w:spacing w:beforeLines="50" w:afterLines="50" w:line="400" w:lineRule="exact"/>
        <w:jc w:val="center"/>
        <w:rPr>
          <w:rFonts w:hAnsi="宋体"/>
          <w:sz w:val="18"/>
          <w:szCs w:val="18"/>
        </w:rPr>
      </w:pPr>
      <w:r>
        <w:rPr>
          <w:rFonts w:hint="eastAsia" w:ascii="宋体" w:hAnsi="宋体" w:cs="SimSun,Bold"/>
          <w:b/>
          <w:kern w:val="0"/>
          <w:szCs w:val="21"/>
        </w:rPr>
        <w:t>表B.</w:t>
      </w:r>
      <w:r>
        <w:rPr>
          <w:rFonts w:ascii="宋体" w:hAnsi="宋体" w:cs="SimSun,Bold"/>
          <w:b/>
          <w:kern w:val="0"/>
          <w:szCs w:val="21"/>
        </w:rPr>
        <w:t>0.</w:t>
      </w:r>
      <w:r>
        <w:rPr>
          <w:rFonts w:hint="eastAsia" w:ascii="宋体" w:hAnsi="宋体" w:cs="SimSun,Bold"/>
          <w:b/>
          <w:kern w:val="0"/>
          <w:szCs w:val="21"/>
        </w:rPr>
        <w:t>7  高处作业评价表</w:t>
      </w:r>
    </w:p>
    <w:tbl>
      <w:tblPr>
        <w:tblStyle w:val="16"/>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866"/>
        <w:gridCol w:w="5194"/>
        <w:gridCol w:w="795"/>
        <w:gridCol w:w="815"/>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exact"/>
        </w:trPr>
        <w:tc>
          <w:tcPr>
            <w:tcW w:w="552" w:type="dxa"/>
            <w:noWrap/>
            <w:vAlign w:val="center"/>
          </w:tcPr>
          <w:p>
            <w:pPr>
              <w:pStyle w:val="7"/>
              <w:spacing w:line="240" w:lineRule="auto"/>
              <w:rPr>
                <w:rFonts w:hAnsi="宋体"/>
                <w:szCs w:val="24"/>
              </w:rPr>
            </w:pPr>
            <w:r>
              <w:rPr>
                <w:rFonts w:hint="eastAsia" w:hAnsi="宋体"/>
                <w:szCs w:val="24"/>
              </w:rPr>
              <w:t>序号</w:t>
            </w:r>
          </w:p>
        </w:tc>
        <w:tc>
          <w:tcPr>
            <w:tcW w:w="866" w:type="dxa"/>
            <w:noWrap/>
            <w:vAlign w:val="center"/>
          </w:tcPr>
          <w:p>
            <w:pPr>
              <w:pStyle w:val="7"/>
              <w:spacing w:line="240" w:lineRule="auto"/>
              <w:jc w:val="center"/>
              <w:rPr>
                <w:rFonts w:hAnsi="宋体"/>
                <w:szCs w:val="24"/>
              </w:rPr>
            </w:pPr>
            <w:r>
              <w:rPr>
                <w:rFonts w:hint="eastAsia" w:hAnsi="宋体"/>
                <w:szCs w:val="24"/>
              </w:rPr>
              <w:t>评价</w:t>
            </w:r>
          </w:p>
          <w:p>
            <w:pPr>
              <w:pStyle w:val="7"/>
              <w:spacing w:line="240" w:lineRule="auto"/>
              <w:jc w:val="center"/>
              <w:rPr>
                <w:rFonts w:hAnsi="宋体"/>
                <w:szCs w:val="24"/>
              </w:rPr>
            </w:pPr>
            <w:r>
              <w:rPr>
                <w:rFonts w:hint="eastAsia" w:hAnsi="宋体"/>
                <w:szCs w:val="24"/>
              </w:rPr>
              <w:t>项目</w:t>
            </w:r>
          </w:p>
        </w:tc>
        <w:tc>
          <w:tcPr>
            <w:tcW w:w="5194" w:type="dxa"/>
            <w:noWrap/>
            <w:vAlign w:val="center"/>
          </w:tcPr>
          <w:p>
            <w:pPr>
              <w:pStyle w:val="7"/>
              <w:spacing w:line="240" w:lineRule="auto"/>
              <w:rPr>
                <w:rFonts w:hAnsi="宋体"/>
                <w:color w:val="000000" w:themeColor="text1"/>
                <w:szCs w:val="24"/>
              </w:rPr>
            </w:pPr>
            <w:r>
              <w:rPr>
                <w:rFonts w:hint="eastAsia" w:hAnsi="宋体"/>
                <w:szCs w:val="24"/>
              </w:rPr>
              <w:t xml:space="preserve">                 </w:t>
            </w:r>
            <w:r>
              <w:rPr>
                <w:rFonts w:hint="eastAsia" w:hAnsi="宋体"/>
                <w:color w:val="000000" w:themeColor="text1"/>
                <w:szCs w:val="24"/>
              </w:rPr>
              <w:t xml:space="preserve"> 评 价 标 准</w:t>
            </w:r>
          </w:p>
        </w:tc>
        <w:tc>
          <w:tcPr>
            <w:tcW w:w="795" w:type="dxa"/>
            <w:noWrap/>
            <w:vAlign w:val="center"/>
          </w:tcPr>
          <w:p>
            <w:pPr>
              <w:pStyle w:val="7"/>
              <w:spacing w:line="240" w:lineRule="auto"/>
              <w:jc w:val="center"/>
              <w:rPr>
                <w:rFonts w:hAnsi="宋体"/>
                <w:szCs w:val="24"/>
              </w:rPr>
            </w:pPr>
            <w:r>
              <w:rPr>
                <w:rFonts w:hint="eastAsia" w:hAnsi="宋体"/>
                <w:szCs w:val="24"/>
              </w:rPr>
              <w:t>应得分</w:t>
            </w:r>
          </w:p>
        </w:tc>
        <w:tc>
          <w:tcPr>
            <w:tcW w:w="815" w:type="dxa"/>
            <w:noWrap/>
            <w:vAlign w:val="center"/>
          </w:tcPr>
          <w:p>
            <w:pPr>
              <w:pStyle w:val="7"/>
              <w:spacing w:line="240" w:lineRule="auto"/>
              <w:jc w:val="center"/>
              <w:rPr>
                <w:rFonts w:hAnsi="宋体"/>
                <w:szCs w:val="24"/>
              </w:rPr>
            </w:pPr>
            <w:r>
              <w:rPr>
                <w:rFonts w:hint="eastAsia" w:hAnsi="宋体"/>
                <w:szCs w:val="24"/>
              </w:rPr>
              <w:t>扣减分</w:t>
            </w:r>
          </w:p>
        </w:tc>
        <w:tc>
          <w:tcPr>
            <w:tcW w:w="709" w:type="dxa"/>
            <w:noWrap/>
            <w:vAlign w:val="center"/>
          </w:tcPr>
          <w:p>
            <w:pPr>
              <w:pStyle w:val="7"/>
              <w:spacing w:line="240" w:lineRule="auto"/>
              <w:jc w:val="center"/>
              <w:rPr>
                <w:rFonts w:hAnsi="宋体"/>
                <w:szCs w:val="24"/>
              </w:rPr>
            </w:pPr>
            <w:r>
              <w:rPr>
                <w:rFonts w:hint="eastAsia" w:hAnsi="宋体"/>
                <w:szCs w:val="24"/>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dxa"/>
            <w:noWrap/>
            <w:vAlign w:val="center"/>
          </w:tcPr>
          <w:p>
            <w:pPr>
              <w:pStyle w:val="7"/>
              <w:spacing w:line="240" w:lineRule="auto"/>
              <w:jc w:val="center"/>
              <w:rPr>
                <w:rFonts w:hAnsi="宋体"/>
                <w:color w:val="000000" w:themeColor="text1"/>
                <w:szCs w:val="24"/>
              </w:rPr>
            </w:pPr>
            <w:r>
              <w:rPr>
                <w:rFonts w:hint="eastAsia" w:hAnsi="宋体"/>
                <w:color w:val="000000" w:themeColor="text1"/>
                <w:szCs w:val="24"/>
              </w:rPr>
              <w:t>1</w:t>
            </w:r>
          </w:p>
        </w:tc>
        <w:tc>
          <w:tcPr>
            <w:tcW w:w="866" w:type="dxa"/>
            <w:noWrap/>
            <w:vAlign w:val="center"/>
          </w:tcPr>
          <w:p>
            <w:pPr>
              <w:widowControl/>
              <w:jc w:val="center"/>
              <w:textAlignment w:val="center"/>
              <w:rPr>
                <w:rFonts w:hAnsi="宋体"/>
                <w:color w:val="000000" w:themeColor="text1"/>
              </w:rPr>
            </w:pPr>
            <w:r>
              <w:rPr>
                <w:rFonts w:hint="eastAsia" w:ascii="宋体" w:hAnsi="宋体" w:cs="宋体"/>
                <w:color w:val="000000" w:themeColor="text1"/>
                <w:kern w:val="0"/>
              </w:rPr>
              <w:t>安全防护用品</w:t>
            </w:r>
          </w:p>
        </w:tc>
        <w:tc>
          <w:tcPr>
            <w:tcW w:w="5194" w:type="dxa"/>
            <w:noWrap/>
            <w:vAlign w:val="center"/>
          </w:tcPr>
          <w:p>
            <w:pPr>
              <w:pStyle w:val="7"/>
              <w:spacing w:line="240" w:lineRule="auto"/>
              <w:rPr>
                <w:rFonts w:hAnsi="宋体"/>
                <w:color w:val="000000" w:themeColor="text1"/>
                <w:szCs w:val="24"/>
              </w:rPr>
            </w:pPr>
            <w:r>
              <w:rPr>
                <w:rFonts w:hint="eastAsia" w:hAnsi="宋体"/>
                <w:color w:val="000000" w:themeColor="text1"/>
                <w:szCs w:val="24"/>
              </w:rPr>
              <w:t>使用不合格的安全帽、安全带等劳动防护用品的，扣10分</w:t>
            </w:r>
          </w:p>
          <w:p>
            <w:pPr>
              <w:pStyle w:val="7"/>
              <w:spacing w:line="240" w:lineRule="auto"/>
              <w:rPr>
                <w:rFonts w:hAnsi="宋体"/>
                <w:color w:val="000000" w:themeColor="text1"/>
                <w:szCs w:val="24"/>
              </w:rPr>
            </w:pPr>
            <w:r>
              <w:rPr>
                <w:rFonts w:hint="eastAsia" w:hAnsi="宋体"/>
                <w:color w:val="000000" w:themeColor="text1"/>
                <w:szCs w:val="24"/>
              </w:rPr>
              <w:t>作业人员未正确佩戴安全帽、安全带等劳动防护用品的，每人扣2分</w:t>
            </w:r>
          </w:p>
          <w:p>
            <w:pPr>
              <w:pStyle w:val="7"/>
              <w:spacing w:line="240" w:lineRule="auto"/>
              <w:rPr>
                <w:rFonts w:hAnsi="宋体"/>
                <w:color w:val="000000" w:themeColor="text1"/>
                <w:szCs w:val="24"/>
              </w:rPr>
            </w:pPr>
            <w:r>
              <w:rPr>
                <w:rFonts w:hint="eastAsia" w:hAnsi="宋体"/>
                <w:color w:val="000000" w:themeColor="text1"/>
                <w:szCs w:val="24"/>
              </w:rPr>
              <w:t>未实施安全防护用品采购、验收、保管、使用和报废制度的，扣2分</w:t>
            </w:r>
          </w:p>
        </w:tc>
        <w:tc>
          <w:tcPr>
            <w:tcW w:w="795" w:type="dxa"/>
            <w:noWrap/>
            <w:vAlign w:val="center"/>
          </w:tcPr>
          <w:p>
            <w:pPr>
              <w:pStyle w:val="7"/>
              <w:spacing w:line="240" w:lineRule="auto"/>
              <w:jc w:val="center"/>
              <w:rPr>
                <w:rFonts w:hAnsi="宋体"/>
                <w:szCs w:val="24"/>
              </w:rPr>
            </w:pPr>
            <w:r>
              <w:rPr>
                <w:rFonts w:hint="eastAsia" w:hAnsi="宋体"/>
                <w:szCs w:val="24"/>
              </w:rPr>
              <w:t>10</w:t>
            </w:r>
          </w:p>
        </w:tc>
        <w:tc>
          <w:tcPr>
            <w:tcW w:w="815" w:type="dxa"/>
            <w:noWrap/>
            <w:vAlign w:val="center"/>
          </w:tcPr>
          <w:p>
            <w:pPr>
              <w:pStyle w:val="7"/>
              <w:spacing w:line="240" w:lineRule="auto"/>
              <w:rPr>
                <w:rFonts w:hAnsi="宋体"/>
                <w:szCs w:val="24"/>
              </w:rPr>
            </w:pPr>
          </w:p>
        </w:tc>
        <w:tc>
          <w:tcPr>
            <w:tcW w:w="709" w:type="dxa"/>
            <w:noWrap/>
            <w:vAlign w:val="center"/>
          </w:tcPr>
          <w:p>
            <w:pPr>
              <w:pStyle w:val="7"/>
              <w:spacing w:line="240" w:lineRule="auto"/>
              <w:rPr>
                <w:rFonts w:hAnsi="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dxa"/>
            <w:noWrap/>
            <w:vAlign w:val="center"/>
          </w:tcPr>
          <w:p>
            <w:pPr>
              <w:pStyle w:val="7"/>
              <w:spacing w:line="240" w:lineRule="auto"/>
              <w:jc w:val="center"/>
              <w:rPr>
                <w:rFonts w:hAnsi="宋体"/>
                <w:color w:val="000000" w:themeColor="text1"/>
                <w:szCs w:val="24"/>
              </w:rPr>
            </w:pPr>
            <w:r>
              <w:rPr>
                <w:rFonts w:hint="eastAsia" w:hAnsi="宋体"/>
                <w:color w:val="000000" w:themeColor="text1"/>
                <w:szCs w:val="24"/>
              </w:rPr>
              <w:t>2</w:t>
            </w:r>
          </w:p>
        </w:tc>
        <w:tc>
          <w:tcPr>
            <w:tcW w:w="866" w:type="dxa"/>
            <w:noWrap/>
            <w:vAlign w:val="center"/>
          </w:tcPr>
          <w:p>
            <w:pPr>
              <w:widowControl/>
              <w:jc w:val="center"/>
              <w:textAlignment w:val="center"/>
              <w:rPr>
                <w:rFonts w:ascii="宋体" w:hAnsi="宋体" w:cs="宋体"/>
                <w:color w:val="000000" w:themeColor="text1"/>
                <w:kern w:val="0"/>
              </w:rPr>
            </w:pPr>
            <w:r>
              <w:rPr>
                <w:rFonts w:hint="eastAsia" w:ascii="宋体" w:hAnsi="宋体" w:cs="宋体"/>
                <w:color w:val="000000" w:themeColor="text1"/>
                <w:kern w:val="0"/>
              </w:rPr>
              <w:t>安全通道</w:t>
            </w:r>
          </w:p>
        </w:tc>
        <w:tc>
          <w:tcPr>
            <w:tcW w:w="5194" w:type="dxa"/>
            <w:noWrap/>
            <w:vAlign w:val="center"/>
          </w:tcPr>
          <w:p>
            <w:pPr>
              <w:pStyle w:val="7"/>
              <w:spacing w:line="240" w:lineRule="auto"/>
              <w:rPr>
                <w:rFonts w:hAnsi="宋体"/>
                <w:color w:val="000000" w:themeColor="text1"/>
                <w:szCs w:val="24"/>
              </w:rPr>
            </w:pPr>
            <w:r>
              <w:rPr>
                <w:rFonts w:hint="eastAsia" w:hAnsi="宋体"/>
                <w:color w:val="000000" w:themeColor="text1"/>
                <w:szCs w:val="24"/>
              </w:rPr>
              <w:t>未搭设防护棚或防护不严、不牢固的，扣5-10分</w:t>
            </w:r>
          </w:p>
          <w:p>
            <w:pPr>
              <w:pStyle w:val="7"/>
              <w:spacing w:line="240" w:lineRule="auto"/>
              <w:rPr>
                <w:rFonts w:hAnsi="宋体"/>
                <w:color w:val="000000" w:themeColor="text1"/>
                <w:szCs w:val="24"/>
              </w:rPr>
            </w:pPr>
            <w:r>
              <w:rPr>
                <w:rFonts w:hint="eastAsia" w:hAnsi="宋体"/>
                <w:color w:val="000000" w:themeColor="text1"/>
                <w:szCs w:val="24"/>
              </w:rPr>
              <w:t>防护棚宽度小于通道口宽度的，每处扣2分</w:t>
            </w:r>
          </w:p>
          <w:p>
            <w:pPr>
              <w:pStyle w:val="7"/>
              <w:spacing w:line="240" w:lineRule="auto"/>
              <w:rPr>
                <w:rFonts w:hAnsi="宋体"/>
                <w:color w:val="000000" w:themeColor="text1"/>
                <w:szCs w:val="24"/>
              </w:rPr>
            </w:pPr>
            <w:r>
              <w:rPr>
                <w:rFonts w:hint="eastAsia" w:hAnsi="宋体"/>
                <w:color w:val="000000" w:themeColor="text1"/>
                <w:szCs w:val="24"/>
              </w:rPr>
              <w:t>防护棚长度不符合坠落半径要求的，每处扣5分</w:t>
            </w:r>
          </w:p>
          <w:p>
            <w:pPr>
              <w:pStyle w:val="7"/>
              <w:spacing w:line="240" w:lineRule="auto"/>
              <w:rPr>
                <w:rFonts w:hAnsi="宋体"/>
                <w:color w:val="000000" w:themeColor="text1"/>
                <w:szCs w:val="24"/>
              </w:rPr>
            </w:pPr>
            <w:r>
              <w:rPr>
                <w:rFonts w:hint="eastAsia" w:hAnsi="宋体"/>
                <w:color w:val="000000" w:themeColor="text1"/>
                <w:szCs w:val="24"/>
              </w:rPr>
              <w:t>建筑物高度超过24m，防护棚顶部未采用双层防护的，每处扣5分</w:t>
            </w:r>
          </w:p>
          <w:p>
            <w:pPr>
              <w:pStyle w:val="7"/>
              <w:spacing w:line="240" w:lineRule="auto"/>
              <w:rPr>
                <w:rFonts w:hAnsi="宋体"/>
                <w:color w:val="000000" w:themeColor="text1"/>
                <w:szCs w:val="24"/>
              </w:rPr>
            </w:pPr>
            <w:r>
              <w:rPr>
                <w:rFonts w:hint="eastAsia" w:hAnsi="宋体"/>
                <w:color w:val="000000" w:themeColor="text1"/>
                <w:szCs w:val="24"/>
              </w:rPr>
              <w:t>防护棚的材质不符合规范要求的，扣5分</w:t>
            </w:r>
          </w:p>
        </w:tc>
        <w:tc>
          <w:tcPr>
            <w:tcW w:w="795" w:type="dxa"/>
            <w:noWrap/>
            <w:vAlign w:val="center"/>
          </w:tcPr>
          <w:p>
            <w:pPr>
              <w:pStyle w:val="7"/>
              <w:spacing w:line="240" w:lineRule="auto"/>
              <w:jc w:val="center"/>
              <w:rPr>
                <w:rFonts w:hAnsi="宋体"/>
                <w:color w:val="000000" w:themeColor="text1"/>
                <w:szCs w:val="24"/>
              </w:rPr>
            </w:pPr>
            <w:r>
              <w:rPr>
                <w:rFonts w:hint="eastAsia" w:hAnsi="宋体"/>
                <w:color w:val="000000" w:themeColor="text1"/>
                <w:szCs w:val="24"/>
              </w:rPr>
              <w:t>10</w:t>
            </w:r>
          </w:p>
        </w:tc>
        <w:tc>
          <w:tcPr>
            <w:tcW w:w="815" w:type="dxa"/>
            <w:noWrap/>
            <w:vAlign w:val="center"/>
          </w:tcPr>
          <w:p>
            <w:pPr>
              <w:pStyle w:val="7"/>
              <w:spacing w:line="240" w:lineRule="auto"/>
              <w:rPr>
                <w:rFonts w:hAnsi="宋体"/>
                <w:color w:val="FF0000"/>
                <w:szCs w:val="24"/>
              </w:rPr>
            </w:pPr>
          </w:p>
        </w:tc>
        <w:tc>
          <w:tcPr>
            <w:tcW w:w="709" w:type="dxa"/>
            <w:noWrap/>
            <w:vAlign w:val="center"/>
          </w:tcPr>
          <w:p>
            <w:pPr>
              <w:pStyle w:val="7"/>
              <w:spacing w:line="240" w:lineRule="auto"/>
              <w:rPr>
                <w:rFonts w:hAnsi="宋体"/>
                <w:color w:val="FF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552" w:type="dxa"/>
            <w:noWrap/>
            <w:vAlign w:val="center"/>
          </w:tcPr>
          <w:p>
            <w:pPr>
              <w:pStyle w:val="7"/>
              <w:spacing w:line="240" w:lineRule="auto"/>
              <w:jc w:val="center"/>
              <w:rPr>
                <w:rFonts w:hAnsi="宋体"/>
                <w:color w:val="000000" w:themeColor="text1"/>
                <w:szCs w:val="24"/>
              </w:rPr>
            </w:pPr>
            <w:r>
              <w:rPr>
                <w:rFonts w:hint="eastAsia" w:hAnsi="宋体"/>
                <w:color w:val="000000" w:themeColor="text1"/>
                <w:szCs w:val="24"/>
              </w:rPr>
              <w:t>3</w:t>
            </w:r>
          </w:p>
        </w:tc>
        <w:tc>
          <w:tcPr>
            <w:tcW w:w="866" w:type="dxa"/>
            <w:noWrap/>
            <w:vAlign w:val="center"/>
          </w:tcPr>
          <w:p>
            <w:pPr>
              <w:widowControl/>
              <w:jc w:val="center"/>
              <w:textAlignment w:val="center"/>
              <w:rPr>
                <w:rFonts w:hAnsi="宋体"/>
                <w:color w:val="000000" w:themeColor="text1"/>
              </w:rPr>
            </w:pPr>
            <w:r>
              <w:rPr>
                <w:rFonts w:hint="eastAsia" w:ascii="宋体" w:hAnsi="宋体" w:cs="宋体"/>
                <w:color w:val="000000" w:themeColor="text1"/>
                <w:kern w:val="0"/>
              </w:rPr>
              <w:t>临边洞口防护</w:t>
            </w:r>
          </w:p>
        </w:tc>
        <w:tc>
          <w:tcPr>
            <w:tcW w:w="5194" w:type="dxa"/>
            <w:noWrap/>
            <w:vAlign w:val="center"/>
          </w:tcPr>
          <w:p>
            <w:pPr>
              <w:pStyle w:val="7"/>
              <w:spacing w:line="240" w:lineRule="auto"/>
              <w:rPr>
                <w:rFonts w:hAnsi="宋体"/>
                <w:color w:val="000000" w:themeColor="text1"/>
                <w:szCs w:val="24"/>
              </w:rPr>
            </w:pPr>
            <w:r>
              <w:rPr>
                <w:rFonts w:hint="eastAsia" w:hAnsi="宋体"/>
                <w:color w:val="000000" w:themeColor="text1"/>
                <w:szCs w:val="24"/>
              </w:rPr>
              <w:t>临边、洞口无安全防护措施的，每处扣5分</w:t>
            </w:r>
          </w:p>
          <w:p>
            <w:pPr>
              <w:pStyle w:val="7"/>
              <w:spacing w:line="240" w:lineRule="auto"/>
              <w:rPr>
                <w:rFonts w:hAnsi="宋体"/>
                <w:color w:val="000000" w:themeColor="text1"/>
                <w:szCs w:val="24"/>
              </w:rPr>
            </w:pPr>
            <w:r>
              <w:rPr>
                <w:rFonts w:hint="eastAsia" w:hAnsi="宋体"/>
                <w:color w:val="000000" w:themeColor="text1"/>
                <w:szCs w:val="24"/>
              </w:rPr>
              <w:t xml:space="preserve">防护设施不严密的，每处扣2分   </w:t>
            </w:r>
          </w:p>
          <w:p>
            <w:pPr>
              <w:pStyle w:val="7"/>
              <w:spacing w:line="240" w:lineRule="auto"/>
              <w:rPr>
                <w:rFonts w:hAnsi="宋体"/>
                <w:color w:val="000000" w:themeColor="text1"/>
                <w:szCs w:val="24"/>
              </w:rPr>
            </w:pPr>
            <w:r>
              <w:rPr>
                <w:rFonts w:hint="eastAsia" w:hAnsi="宋体"/>
                <w:color w:val="000000" w:themeColor="text1"/>
                <w:szCs w:val="24"/>
              </w:rPr>
              <w:t>防护设施未使用定型化、工具化的，每处扣5分</w:t>
            </w:r>
          </w:p>
          <w:p>
            <w:pPr>
              <w:pStyle w:val="7"/>
              <w:spacing w:line="240" w:lineRule="auto"/>
              <w:jc w:val="left"/>
              <w:rPr>
                <w:rFonts w:hAnsi="宋体"/>
                <w:color w:val="000000" w:themeColor="text1"/>
                <w:szCs w:val="24"/>
              </w:rPr>
            </w:pPr>
            <w:r>
              <w:rPr>
                <w:rFonts w:hint="eastAsia" w:hAnsi="宋体"/>
                <w:color w:val="000000" w:themeColor="text1"/>
                <w:szCs w:val="24"/>
              </w:rPr>
              <w:t>防护设施高度、强度、稳定性不满足要求的，每处扣5分                                                                            电梯井道内未采取水平防护措施的，每处扣5分</w:t>
            </w:r>
          </w:p>
        </w:tc>
        <w:tc>
          <w:tcPr>
            <w:tcW w:w="795" w:type="dxa"/>
            <w:noWrap/>
            <w:vAlign w:val="center"/>
          </w:tcPr>
          <w:p>
            <w:pPr>
              <w:pStyle w:val="7"/>
              <w:spacing w:line="240" w:lineRule="auto"/>
              <w:jc w:val="center"/>
              <w:rPr>
                <w:rFonts w:hAnsi="宋体"/>
                <w:szCs w:val="24"/>
              </w:rPr>
            </w:pPr>
            <w:r>
              <w:rPr>
                <w:rFonts w:hint="eastAsia" w:hAnsi="宋体"/>
                <w:szCs w:val="24"/>
              </w:rPr>
              <w:t>20</w:t>
            </w:r>
          </w:p>
        </w:tc>
        <w:tc>
          <w:tcPr>
            <w:tcW w:w="815" w:type="dxa"/>
            <w:noWrap/>
            <w:vAlign w:val="center"/>
          </w:tcPr>
          <w:p>
            <w:pPr>
              <w:pStyle w:val="7"/>
              <w:spacing w:line="240" w:lineRule="auto"/>
              <w:rPr>
                <w:rFonts w:hAnsi="宋体"/>
                <w:szCs w:val="24"/>
              </w:rPr>
            </w:pPr>
          </w:p>
        </w:tc>
        <w:tc>
          <w:tcPr>
            <w:tcW w:w="709" w:type="dxa"/>
            <w:noWrap/>
            <w:vAlign w:val="center"/>
          </w:tcPr>
          <w:p>
            <w:pPr>
              <w:pStyle w:val="7"/>
              <w:spacing w:line="240" w:lineRule="auto"/>
              <w:rPr>
                <w:rFonts w:hAnsi="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dxa"/>
            <w:noWrap/>
            <w:vAlign w:val="center"/>
          </w:tcPr>
          <w:p>
            <w:pPr>
              <w:pStyle w:val="7"/>
              <w:spacing w:line="240" w:lineRule="auto"/>
              <w:jc w:val="center"/>
              <w:rPr>
                <w:rFonts w:hAnsi="宋体"/>
                <w:color w:val="000000" w:themeColor="text1"/>
                <w:szCs w:val="24"/>
              </w:rPr>
            </w:pPr>
            <w:r>
              <w:rPr>
                <w:rFonts w:hint="eastAsia" w:hAnsi="宋体"/>
                <w:color w:val="000000" w:themeColor="text1"/>
                <w:szCs w:val="24"/>
              </w:rPr>
              <w:t>4</w:t>
            </w:r>
          </w:p>
        </w:tc>
        <w:tc>
          <w:tcPr>
            <w:tcW w:w="866" w:type="dxa"/>
            <w:noWrap/>
            <w:vAlign w:val="center"/>
          </w:tcPr>
          <w:p>
            <w:pPr>
              <w:widowControl/>
              <w:jc w:val="center"/>
              <w:textAlignment w:val="center"/>
              <w:rPr>
                <w:rFonts w:ascii="宋体" w:hAnsi="宋体" w:cs="宋体"/>
                <w:color w:val="000000" w:themeColor="text1"/>
                <w:kern w:val="0"/>
              </w:rPr>
            </w:pPr>
            <w:r>
              <w:rPr>
                <w:rFonts w:hint="eastAsia" w:ascii="宋体" w:hAnsi="宋体" w:cs="宋体"/>
                <w:color w:val="000000" w:themeColor="text1"/>
                <w:kern w:val="0"/>
              </w:rPr>
              <w:t>操作</w:t>
            </w:r>
          </w:p>
          <w:p>
            <w:pPr>
              <w:widowControl/>
              <w:jc w:val="center"/>
              <w:textAlignment w:val="center"/>
              <w:rPr>
                <w:rFonts w:hAnsi="宋体"/>
                <w:color w:val="000000" w:themeColor="text1"/>
              </w:rPr>
            </w:pPr>
            <w:r>
              <w:rPr>
                <w:rFonts w:hint="eastAsia" w:ascii="宋体" w:hAnsi="宋体" w:cs="宋体"/>
                <w:color w:val="000000" w:themeColor="text1"/>
                <w:kern w:val="0"/>
              </w:rPr>
              <w:t>平台</w:t>
            </w:r>
          </w:p>
        </w:tc>
        <w:tc>
          <w:tcPr>
            <w:tcW w:w="5194" w:type="dxa"/>
            <w:noWrap/>
            <w:vAlign w:val="center"/>
          </w:tcPr>
          <w:p>
            <w:pPr>
              <w:pStyle w:val="7"/>
              <w:spacing w:line="240" w:lineRule="auto"/>
              <w:jc w:val="left"/>
              <w:rPr>
                <w:rFonts w:hAnsi="宋体"/>
                <w:color w:val="000000" w:themeColor="text1"/>
                <w:szCs w:val="24"/>
              </w:rPr>
            </w:pPr>
            <w:r>
              <w:rPr>
                <w:rFonts w:hint="eastAsia" w:hAnsi="宋体"/>
                <w:color w:val="000000" w:themeColor="text1"/>
                <w:szCs w:val="24"/>
              </w:rPr>
              <w:t>未编制专项施工方案的，扣10分</w:t>
            </w:r>
          </w:p>
          <w:p>
            <w:pPr>
              <w:pStyle w:val="7"/>
              <w:spacing w:line="240" w:lineRule="auto"/>
              <w:jc w:val="left"/>
              <w:rPr>
                <w:rFonts w:hAnsi="宋体"/>
                <w:color w:val="000000" w:themeColor="text1"/>
                <w:szCs w:val="24"/>
              </w:rPr>
            </w:pPr>
            <w:r>
              <w:rPr>
                <w:rFonts w:hint="eastAsia" w:hAnsi="宋体"/>
                <w:color w:val="000000" w:themeColor="text1"/>
                <w:szCs w:val="24"/>
              </w:rPr>
              <w:t>未经验收合格即投入使用的，扣5分</w:t>
            </w:r>
          </w:p>
          <w:p>
            <w:pPr>
              <w:pStyle w:val="7"/>
              <w:spacing w:line="240" w:lineRule="auto"/>
              <w:jc w:val="left"/>
              <w:rPr>
                <w:rFonts w:hAnsi="宋体"/>
                <w:color w:val="000000" w:themeColor="text1"/>
                <w:szCs w:val="24"/>
              </w:rPr>
            </w:pPr>
            <w:r>
              <w:rPr>
                <w:rFonts w:hint="eastAsia" w:hAnsi="宋体"/>
                <w:color w:val="000000" w:themeColor="text1"/>
                <w:szCs w:val="24"/>
              </w:rPr>
              <w:t>未设置验收合格牌或荷载限定标牌的，每项扣2分</w:t>
            </w:r>
          </w:p>
          <w:p>
            <w:pPr>
              <w:pStyle w:val="7"/>
              <w:spacing w:line="240" w:lineRule="auto"/>
              <w:jc w:val="left"/>
              <w:rPr>
                <w:rFonts w:hAnsi="宋体"/>
                <w:color w:val="000000" w:themeColor="text1"/>
                <w:szCs w:val="24"/>
              </w:rPr>
            </w:pPr>
            <w:r>
              <w:rPr>
                <w:rFonts w:hint="eastAsia" w:hAnsi="宋体"/>
                <w:color w:val="000000" w:themeColor="text1"/>
                <w:szCs w:val="24"/>
              </w:rPr>
              <w:t>平立面防护高度不足或防护不严的，扣5分</w:t>
            </w:r>
          </w:p>
          <w:p>
            <w:pPr>
              <w:pStyle w:val="7"/>
              <w:spacing w:line="240" w:lineRule="auto"/>
              <w:jc w:val="left"/>
              <w:rPr>
                <w:rFonts w:hAnsi="宋体"/>
                <w:color w:val="000000" w:themeColor="text1"/>
                <w:szCs w:val="24"/>
              </w:rPr>
            </w:pPr>
            <w:r>
              <w:rPr>
                <w:rFonts w:hint="eastAsia" w:hAnsi="宋体"/>
                <w:color w:val="000000" w:themeColor="text1"/>
                <w:szCs w:val="24"/>
              </w:rPr>
              <w:t>悬挑式操作平台的搁置点、拉结点、支撑点未设置在稳定的主体结构上,且未做可靠连接的，扣5分</w:t>
            </w:r>
          </w:p>
        </w:tc>
        <w:tc>
          <w:tcPr>
            <w:tcW w:w="795" w:type="dxa"/>
            <w:noWrap/>
            <w:vAlign w:val="center"/>
          </w:tcPr>
          <w:p>
            <w:pPr>
              <w:pStyle w:val="7"/>
              <w:spacing w:line="240" w:lineRule="auto"/>
              <w:jc w:val="center"/>
              <w:rPr>
                <w:rFonts w:hAnsi="宋体"/>
                <w:szCs w:val="24"/>
              </w:rPr>
            </w:pPr>
            <w:r>
              <w:rPr>
                <w:rFonts w:hint="eastAsia" w:hAnsi="宋体"/>
                <w:szCs w:val="24"/>
              </w:rPr>
              <w:t>10</w:t>
            </w:r>
          </w:p>
        </w:tc>
        <w:tc>
          <w:tcPr>
            <w:tcW w:w="815" w:type="dxa"/>
            <w:noWrap/>
            <w:vAlign w:val="center"/>
          </w:tcPr>
          <w:p>
            <w:pPr>
              <w:pStyle w:val="7"/>
              <w:spacing w:line="240" w:lineRule="auto"/>
              <w:rPr>
                <w:rFonts w:hAnsi="宋体"/>
                <w:szCs w:val="24"/>
              </w:rPr>
            </w:pPr>
          </w:p>
        </w:tc>
        <w:tc>
          <w:tcPr>
            <w:tcW w:w="709" w:type="dxa"/>
            <w:noWrap/>
            <w:vAlign w:val="center"/>
          </w:tcPr>
          <w:p>
            <w:pPr>
              <w:pStyle w:val="7"/>
              <w:spacing w:line="240" w:lineRule="auto"/>
              <w:rPr>
                <w:rFonts w:hAnsi="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2" w:type="dxa"/>
            <w:noWrap/>
            <w:vAlign w:val="center"/>
          </w:tcPr>
          <w:p>
            <w:pPr>
              <w:pStyle w:val="7"/>
              <w:spacing w:line="240" w:lineRule="auto"/>
              <w:jc w:val="center"/>
              <w:rPr>
                <w:rFonts w:hAnsi="宋体"/>
                <w:szCs w:val="24"/>
              </w:rPr>
            </w:pPr>
            <w:r>
              <w:rPr>
                <w:rFonts w:hint="eastAsia" w:hAnsi="宋体"/>
                <w:szCs w:val="24"/>
              </w:rPr>
              <w:t>5</w:t>
            </w:r>
          </w:p>
        </w:tc>
        <w:tc>
          <w:tcPr>
            <w:tcW w:w="866" w:type="dxa"/>
            <w:noWrap/>
            <w:vAlign w:val="center"/>
          </w:tcPr>
          <w:p>
            <w:pPr>
              <w:widowControl/>
              <w:jc w:val="center"/>
              <w:textAlignment w:val="center"/>
              <w:rPr>
                <w:rFonts w:hAnsi="宋体"/>
              </w:rPr>
            </w:pPr>
            <w:r>
              <w:rPr>
                <w:rFonts w:hint="eastAsia" w:ascii="宋体" w:hAnsi="宋体" w:cs="宋体"/>
                <w:color w:val="000000"/>
                <w:kern w:val="0"/>
              </w:rPr>
              <w:t>高处作业吊篮</w:t>
            </w:r>
          </w:p>
        </w:tc>
        <w:tc>
          <w:tcPr>
            <w:tcW w:w="5194" w:type="dxa"/>
            <w:noWrap/>
            <w:vAlign w:val="center"/>
          </w:tcPr>
          <w:p>
            <w:pPr>
              <w:pStyle w:val="7"/>
              <w:spacing w:line="240" w:lineRule="auto"/>
              <w:rPr>
                <w:rFonts w:hAnsi="宋体"/>
                <w:szCs w:val="24"/>
              </w:rPr>
            </w:pPr>
            <w:r>
              <w:rPr>
                <w:rFonts w:hint="eastAsia" w:hAnsi="宋体"/>
                <w:szCs w:val="24"/>
              </w:rPr>
              <w:t>未编制安拆方案或未按照方案实施的，扣10-20分</w:t>
            </w:r>
          </w:p>
          <w:p>
            <w:pPr>
              <w:pStyle w:val="7"/>
              <w:spacing w:line="240" w:lineRule="auto"/>
              <w:rPr>
                <w:rFonts w:hAnsi="宋体"/>
                <w:szCs w:val="24"/>
              </w:rPr>
            </w:pPr>
            <w:r>
              <w:rPr>
                <w:rFonts w:hint="eastAsia" w:hAnsi="宋体"/>
                <w:szCs w:val="24"/>
              </w:rPr>
              <w:t>未安装防坠安全锁或安全锁失灵的，每处扣10分</w:t>
            </w:r>
          </w:p>
          <w:p>
            <w:pPr>
              <w:pStyle w:val="7"/>
              <w:spacing w:line="240" w:lineRule="auto"/>
              <w:rPr>
                <w:rFonts w:hAnsi="宋体"/>
                <w:szCs w:val="24"/>
              </w:rPr>
            </w:pPr>
            <w:r>
              <w:rPr>
                <w:rFonts w:hint="eastAsia" w:hAnsi="宋体"/>
                <w:szCs w:val="24"/>
              </w:rPr>
              <w:t>安全锁超过标定期限仍在使用的，每处扣10分</w:t>
            </w:r>
          </w:p>
          <w:p>
            <w:pPr>
              <w:pStyle w:val="7"/>
              <w:spacing w:line="240" w:lineRule="auto"/>
              <w:rPr>
                <w:rFonts w:hAnsi="宋体"/>
                <w:szCs w:val="24"/>
                <w:highlight w:val="yellow"/>
              </w:rPr>
            </w:pPr>
            <w:r>
              <w:rPr>
                <w:rFonts w:hint="eastAsia" w:hAnsi="宋体"/>
                <w:szCs w:val="24"/>
              </w:rPr>
              <w:t>安全绳未固定在建筑物可靠位置的，每处扣5分</w:t>
            </w:r>
          </w:p>
          <w:p>
            <w:pPr>
              <w:pStyle w:val="7"/>
              <w:spacing w:line="240" w:lineRule="auto"/>
              <w:rPr>
                <w:rFonts w:hAnsi="宋体"/>
                <w:szCs w:val="24"/>
              </w:rPr>
            </w:pPr>
            <w:r>
              <w:rPr>
                <w:rFonts w:hint="eastAsia" w:hAnsi="宋体"/>
                <w:szCs w:val="24"/>
              </w:rPr>
              <w:t>未经验收合格即投入使用的，扣10分</w:t>
            </w:r>
          </w:p>
        </w:tc>
        <w:tc>
          <w:tcPr>
            <w:tcW w:w="795" w:type="dxa"/>
            <w:noWrap/>
            <w:vAlign w:val="center"/>
          </w:tcPr>
          <w:p>
            <w:pPr>
              <w:pStyle w:val="7"/>
              <w:spacing w:line="240" w:lineRule="auto"/>
              <w:jc w:val="center"/>
              <w:rPr>
                <w:rFonts w:hAnsi="宋体"/>
                <w:szCs w:val="24"/>
              </w:rPr>
            </w:pPr>
            <w:r>
              <w:rPr>
                <w:rFonts w:hint="eastAsia" w:hAnsi="宋体"/>
                <w:szCs w:val="24"/>
              </w:rPr>
              <w:t>20</w:t>
            </w:r>
          </w:p>
        </w:tc>
        <w:tc>
          <w:tcPr>
            <w:tcW w:w="815" w:type="dxa"/>
            <w:noWrap/>
            <w:vAlign w:val="center"/>
          </w:tcPr>
          <w:p>
            <w:pPr>
              <w:pStyle w:val="7"/>
              <w:spacing w:line="240" w:lineRule="auto"/>
              <w:jc w:val="center"/>
              <w:rPr>
                <w:rFonts w:hAnsi="宋体"/>
                <w:szCs w:val="24"/>
              </w:rPr>
            </w:pPr>
          </w:p>
        </w:tc>
        <w:tc>
          <w:tcPr>
            <w:tcW w:w="709" w:type="dxa"/>
            <w:noWrap/>
            <w:vAlign w:val="center"/>
          </w:tcPr>
          <w:p>
            <w:pPr>
              <w:pStyle w:val="7"/>
              <w:spacing w:line="240" w:lineRule="auto"/>
              <w:rPr>
                <w:rFonts w:hAnsi="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2" w:type="dxa"/>
            <w:noWrap/>
            <w:vAlign w:val="center"/>
          </w:tcPr>
          <w:p>
            <w:pPr>
              <w:pStyle w:val="7"/>
              <w:spacing w:line="240" w:lineRule="auto"/>
              <w:jc w:val="center"/>
              <w:rPr>
                <w:rFonts w:hAnsi="宋体"/>
                <w:szCs w:val="24"/>
              </w:rPr>
            </w:pPr>
            <w:r>
              <w:rPr>
                <w:rFonts w:hint="eastAsia" w:hAnsi="宋体"/>
                <w:szCs w:val="24"/>
              </w:rPr>
              <w:t>6</w:t>
            </w:r>
          </w:p>
        </w:tc>
        <w:tc>
          <w:tcPr>
            <w:tcW w:w="866" w:type="dxa"/>
            <w:noWrap/>
            <w:vAlign w:val="center"/>
          </w:tcPr>
          <w:p>
            <w:pPr>
              <w:widowControl/>
              <w:jc w:val="center"/>
              <w:textAlignment w:val="center"/>
              <w:rPr>
                <w:rFonts w:hAnsi="宋体"/>
              </w:rPr>
            </w:pPr>
            <w:r>
              <w:rPr>
                <w:rFonts w:hint="eastAsia" w:ascii="宋体" w:hAnsi="宋体" w:cs="宋体"/>
                <w:color w:val="000000"/>
                <w:kern w:val="0"/>
              </w:rPr>
              <w:t>钢结构安装</w:t>
            </w:r>
          </w:p>
        </w:tc>
        <w:tc>
          <w:tcPr>
            <w:tcW w:w="5194" w:type="dxa"/>
            <w:noWrap/>
            <w:vAlign w:val="center"/>
          </w:tcPr>
          <w:p>
            <w:pPr>
              <w:pStyle w:val="7"/>
              <w:spacing w:line="240" w:lineRule="auto"/>
              <w:jc w:val="left"/>
              <w:rPr>
                <w:rFonts w:hAnsi="宋体"/>
                <w:szCs w:val="24"/>
              </w:rPr>
            </w:pPr>
            <w:r>
              <w:rPr>
                <w:rFonts w:hint="eastAsia" w:hAnsi="宋体"/>
                <w:szCs w:val="24"/>
              </w:rPr>
              <w:t>未编制专项施工方案的，扣10分                     钢结构安装时未按要求设置防失稳、防高坠措施的，扣5-10分</w:t>
            </w:r>
          </w:p>
        </w:tc>
        <w:tc>
          <w:tcPr>
            <w:tcW w:w="795" w:type="dxa"/>
            <w:noWrap/>
            <w:vAlign w:val="center"/>
          </w:tcPr>
          <w:p>
            <w:pPr>
              <w:pStyle w:val="7"/>
              <w:spacing w:line="240" w:lineRule="auto"/>
              <w:jc w:val="center"/>
              <w:rPr>
                <w:rFonts w:hAnsi="宋体"/>
                <w:szCs w:val="24"/>
              </w:rPr>
            </w:pPr>
            <w:r>
              <w:rPr>
                <w:rFonts w:hint="eastAsia" w:hAnsi="宋体"/>
                <w:szCs w:val="24"/>
              </w:rPr>
              <w:t>10</w:t>
            </w:r>
          </w:p>
        </w:tc>
        <w:tc>
          <w:tcPr>
            <w:tcW w:w="815" w:type="dxa"/>
            <w:noWrap/>
            <w:vAlign w:val="center"/>
          </w:tcPr>
          <w:p>
            <w:pPr>
              <w:pStyle w:val="7"/>
              <w:spacing w:line="240" w:lineRule="auto"/>
              <w:rPr>
                <w:rFonts w:hAnsi="宋体"/>
                <w:szCs w:val="24"/>
              </w:rPr>
            </w:pPr>
          </w:p>
        </w:tc>
        <w:tc>
          <w:tcPr>
            <w:tcW w:w="709" w:type="dxa"/>
            <w:noWrap/>
            <w:vAlign w:val="center"/>
          </w:tcPr>
          <w:p>
            <w:pPr>
              <w:pStyle w:val="7"/>
              <w:spacing w:line="240" w:lineRule="auto"/>
              <w:rPr>
                <w:rFonts w:hAnsi="宋体"/>
                <w:szCs w:val="24"/>
              </w:rPr>
            </w:pPr>
          </w:p>
        </w:tc>
      </w:tr>
    </w:tbl>
    <w:p>
      <w:pPr>
        <w:spacing w:line="360" w:lineRule="auto"/>
        <w:jc w:val="center"/>
        <w:rPr>
          <w:rFonts w:hAnsi="宋体"/>
          <w:color w:val="000000" w:themeColor="text1"/>
          <w:szCs w:val="21"/>
        </w:rPr>
      </w:pPr>
      <w:r>
        <w:rPr>
          <w:rFonts w:hint="eastAsia" w:hAnsi="宋体"/>
          <w:szCs w:val="21"/>
        </w:rPr>
        <w:br w:type="page"/>
      </w:r>
      <w:r>
        <w:rPr>
          <w:rFonts w:hint="eastAsia" w:hAnsi="宋体"/>
          <w:b/>
          <w:bCs w:val="0"/>
          <w:szCs w:val="21"/>
        </w:rPr>
        <w:t>续</w:t>
      </w:r>
      <w:r>
        <w:rPr>
          <w:rFonts w:hint="eastAsia" w:ascii="宋体" w:hAnsi="宋体" w:cs="SimSun,Bold"/>
          <w:b/>
          <w:kern w:val="0"/>
          <w:szCs w:val="21"/>
        </w:rPr>
        <w:t>表B.</w:t>
      </w:r>
      <w:r>
        <w:rPr>
          <w:rFonts w:ascii="宋体" w:hAnsi="宋体" w:cs="SimSun,Bold"/>
          <w:b/>
          <w:kern w:val="0"/>
          <w:szCs w:val="21"/>
        </w:rPr>
        <w:t>0.</w:t>
      </w:r>
      <w:r>
        <w:rPr>
          <w:rFonts w:hint="eastAsia" w:ascii="宋体" w:hAnsi="宋体" w:cs="SimSun,Bold"/>
          <w:b/>
          <w:kern w:val="0"/>
          <w:szCs w:val="21"/>
        </w:rPr>
        <w:t>7  高处作业评价表</w:t>
      </w:r>
    </w:p>
    <w:tbl>
      <w:tblPr>
        <w:tblStyle w:val="16"/>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866"/>
        <w:gridCol w:w="5194"/>
        <w:gridCol w:w="795"/>
        <w:gridCol w:w="815"/>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2" w:type="dxa"/>
            <w:noWrap/>
            <w:vAlign w:val="center"/>
          </w:tcPr>
          <w:p>
            <w:pPr>
              <w:pStyle w:val="7"/>
              <w:spacing w:line="240" w:lineRule="auto"/>
              <w:jc w:val="center"/>
              <w:rPr>
                <w:rFonts w:hAnsi="宋体"/>
                <w:szCs w:val="24"/>
              </w:rPr>
            </w:pPr>
            <w:r>
              <w:rPr>
                <w:rFonts w:hint="eastAsia" w:hAnsi="宋体"/>
                <w:szCs w:val="24"/>
              </w:rPr>
              <w:t>7</w:t>
            </w:r>
          </w:p>
        </w:tc>
        <w:tc>
          <w:tcPr>
            <w:tcW w:w="866" w:type="dxa"/>
            <w:noWrap/>
            <w:vAlign w:val="center"/>
          </w:tcPr>
          <w:p>
            <w:pPr>
              <w:widowControl/>
              <w:jc w:val="center"/>
              <w:textAlignment w:val="center"/>
              <w:rPr>
                <w:rFonts w:ascii="宋体" w:hAnsi="宋体" w:cs="宋体"/>
                <w:color w:val="000000"/>
                <w:kern w:val="0"/>
              </w:rPr>
            </w:pPr>
            <w:r>
              <w:rPr>
                <w:rFonts w:hint="eastAsia" w:ascii="宋体" w:hAnsi="宋体" w:cs="宋体"/>
                <w:color w:val="000000"/>
                <w:kern w:val="0"/>
              </w:rPr>
              <w:t>移动式升降工</w:t>
            </w:r>
          </w:p>
          <w:p>
            <w:pPr>
              <w:widowControl/>
              <w:jc w:val="center"/>
              <w:textAlignment w:val="center"/>
              <w:rPr>
                <w:rFonts w:ascii="宋体" w:hAnsi="宋体" w:cs="宋体"/>
                <w:color w:val="000000"/>
                <w:kern w:val="0"/>
              </w:rPr>
            </w:pPr>
            <w:r>
              <w:rPr>
                <w:rFonts w:hint="eastAsia" w:ascii="宋体" w:hAnsi="宋体" w:cs="宋体"/>
                <w:color w:val="000000"/>
                <w:kern w:val="0"/>
              </w:rPr>
              <w:t>作平台</w:t>
            </w:r>
          </w:p>
        </w:tc>
        <w:tc>
          <w:tcPr>
            <w:tcW w:w="5194" w:type="dxa"/>
            <w:noWrap/>
            <w:vAlign w:val="center"/>
          </w:tcPr>
          <w:p>
            <w:pPr>
              <w:pStyle w:val="7"/>
              <w:spacing w:line="240" w:lineRule="auto"/>
              <w:rPr>
                <w:rFonts w:hAnsi="宋体"/>
                <w:szCs w:val="24"/>
              </w:rPr>
            </w:pPr>
            <w:r>
              <w:rPr>
                <w:rFonts w:hint="eastAsia" w:hAnsi="宋体"/>
                <w:szCs w:val="24"/>
              </w:rPr>
              <w:t>无产品质量合格证明文件和产品说明书的，扣10分</w:t>
            </w:r>
          </w:p>
          <w:p>
            <w:pPr>
              <w:pStyle w:val="7"/>
              <w:spacing w:line="240" w:lineRule="auto"/>
              <w:rPr>
                <w:rFonts w:hAnsi="宋体"/>
                <w:szCs w:val="24"/>
              </w:rPr>
            </w:pPr>
            <w:r>
              <w:rPr>
                <w:rFonts w:hint="eastAsia" w:hAnsi="宋体"/>
                <w:szCs w:val="24"/>
              </w:rPr>
              <w:t>未组织验收的，扣5分</w:t>
            </w:r>
          </w:p>
          <w:p>
            <w:pPr>
              <w:pStyle w:val="7"/>
              <w:spacing w:line="240" w:lineRule="auto"/>
              <w:rPr>
                <w:rFonts w:hAnsi="宋体"/>
                <w:szCs w:val="21"/>
              </w:rPr>
            </w:pPr>
            <w:r>
              <w:rPr>
                <w:rFonts w:hint="eastAsia" w:hAnsi="宋体"/>
                <w:szCs w:val="21"/>
              </w:rPr>
              <w:t>车辆行驶路线不明确或不满足安全行驶要求的；停放基础不平整、不稳固的，每项扣5分</w:t>
            </w:r>
          </w:p>
          <w:p>
            <w:pPr>
              <w:pStyle w:val="7"/>
              <w:spacing w:line="240" w:lineRule="auto"/>
              <w:rPr>
                <w:rFonts w:hAnsi="宋体"/>
                <w:szCs w:val="24"/>
              </w:rPr>
            </w:pPr>
            <w:r>
              <w:rPr>
                <w:rFonts w:hint="eastAsia" w:hAnsi="宋体"/>
                <w:szCs w:val="24"/>
              </w:rPr>
              <w:t>工作平台的防护高度不符合安全要求的，扣5分</w:t>
            </w:r>
          </w:p>
          <w:p>
            <w:pPr>
              <w:pStyle w:val="7"/>
              <w:spacing w:line="240" w:lineRule="auto"/>
              <w:rPr>
                <w:rFonts w:hAnsi="宋体"/>
                <w:szCs w:val="24"/>
              </w:rPr>
            </w:pPr>
            <w:r>
              <w:rPr>
                <w:rFonts w:hint="eastAsia" w:hAnsi="宋体"/>
                <w:szCs w:val="24"/>
              </w:rPr>
              <w:t>作业时平台内超过2人的，扣5分</w:t>
            </w:r>
          </w:p>
          <w:p>
            <w:pPr>
              <w:pStyle w:val="7"/>
              <w:spacing w:line="240" w:lineRule="auto"/>
              <w:rPr>
                <w:rFonts w:hAnsi="宋体"/>
                <w:szCs w:val="24"/>
              </w:rPr>
            </w:pPr>
            <w:r>
              <w:rPr>
                <w:rFonts w:hint="eastAsia" w:hAnsi="宋体"/>
                <w:szCs w:val="24"/>
              </w:rPr>
              <w:t>无声光报警装置的，扣3分</w:t>
            </w:r>
          </w:p>
        </w:tc>
        <w:tc>
          <w:tcPr>
            <w:tcW w:w="795" w:type="dxa"/>
            <w:noWrap/>
            <w:vAlign w:val="center"/>
          </w:tcPr>
          <w:p>
            <w:pPr>
              <w:pStyle w:val="7"/>
              <w:spacing w:line="240" w:lineRule="auto"/>
              <w:jc w:val="center"/>
              <w:rPr>
                <w:rFonts w:hAnsi="宋体"/>
                <w:szCs w:val="24"/>
              </w:rPr>
            </w:pPr>
            <w:r>
              <w:rPr>
                <w:rFonts w:hint="eastAsia" w:hAnsi="宋体"/>
                <w:szCs w:val="24"/>
              </w:rPr>
              <w:t>10</w:t>
            </w:r>
          </w:p>
        </w:tc>
        <w:tc>
          <w:tcPr>
            <w:tcW w:w="815" w:type="dxa"/>
            <w:noWrap/>
            <w:vAlign w:val="center"/>
          </w:tcPr>
          <w:p>
            <w:pPr>
              <w:pStyle w:val="7"/>
              <w:spacing w:line="240" w:lineRule="auto"/>
              <w:rPr>
                <w:rFonts w:hAnsi="宋体"/>
                <w:szCs w:val="24"/>
              </w:rPr>
            </w:pPr>
          </w:p>
        </w:tc>
        <w:tc>
          <w:tcPr>
            <w:tcW w:w="709" w:type="dxa"/>
            <w:noWrap/>
            <w:vAlign w:val="center"/>
          </w:tcPr>
          <w:p>
            <w:pPr>
              <w:pStyle w:val="7"/>
              <w:spacing w:line="240" w:lineRule="auto"/>
              <w:rPr>
                <w:rFonts w:hAnsi="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2" w:type="dxa"/>
            <w:noWrap/>
            <w:vAlign w:val="center"/>
          </w:tcPr>
          <w:p>
            <w:pPr>
              <w:pStyle w:val="7"/>
              <w:spacing w:line="240" w:lineRule="auto"/>
              <w:jc w:val="center"/>
              <w:rPr>
                <w:rFonts w:hAnsi="宋体"/>
                <w:szCs w:val="24"/>
              </w:rPr>
            </w:pPr>
            <w:r>
              <w:rPr>
                <w:rFonts w:hint="eastAsia" w:hAnsi="宋体"/>
                <w:szCs w:val="24"/>
              </w:rPr>
              <w:t>8</w:t>
            </w:r>
          </w:p>
        </w:tc>
        <w:tc>
          <w:tcPr>
            <w:tcW w:w="866" w:type="dxa"/>
            <w:noWrap/>
            <w:vAlign w:val="center"/>
          </w:tcPr>
          <w:p>
            <w:pPr>
              <w:widowControl/>
              <w:jc w:val="center"/>
              <w:textAlignment w:val="center"/>
              <w:rPr>
                <w:rFonts w:ascii="宋体" w:hAnsi="宋体" w:cs="宋体"/>
                <w:color w:val="000000"/>
                <w:kern w:val="0"/>
              </w:rPr>
            </w:pPr>
            <w:r>
              <w:rPr>
                <w:rFonts w:hint="eastAsia" w:ascii="宋体" w:hAnsi="宋体" w:cs="宋体"/>
                <w:color w:val="000000"/>
                <w:kern w:val="0"/>
              </w:rPr>
              <w:t>交叉作业</w:t>
            </w:r>
          </w:p>
        </w:tc>
        <w:tc>
          <w:tcPr>
            <w:tcW w:w="5194" w:type="dxa"/>
            <w:noWrap/>
            <w:vAlign w:val="center"/>
          </w:tcPr>
          <w:p>
            <w:pPr>
              <w:pStyle w:val="7"/>
              <w:spacing w:line="240" w:lineRule="auto"/>
              <w:rPr>
                <w:rFonts w:hAnsi="宋体"/>
                <w:color w:val="000000" w:themeColor="text1"/>
                <w:szCs w:val="24"/>
              </w:rPr>
            </w:pPr>
            <w:r>
              <w:rPr>
                <w:rFonts w:hint="eastAsia" w:hAnsi="宋体"/>
                <w:color w:val="000000" w:themeColor="text1"/>
                <w:szCs w:val="21"/>
              </w:rPr>
              <w:t>坠落半径范围内交叉作业未设置安全防护隔离措施的，扣10分</w:t>
            </w:r>
          </w:p>
        </w:tc>
        <w:tc>
          <w:tcPr>
            <w:tcW w:w="795" w:type="dxa"/>
            <w:noWrap/>
            <w:vAlign w:val="center"/>
          </w:tcPr>
          <w:p>
            <w:pPr>
              <w:pStyle w:val="7"/>
              <w:spacing w:line="240" w:lineRule="auto"/>
              <w:jc w:val="center"/>
              <w:rPr>
                <w:rFonts w:hAnsi="宋体"/>
                <w:szCs w:val="24"/>
              </w:rPr>
            </w:pPr>
            <w:r>
              <w:rPr>
                <w:rFonts w:hint="eastAsia" w:hAnsi="宋体"/>
                <w:szCs w:val="24"/>
              </w:rPr>
              <w:t>10</w:t>
            </w:r>
          </w:p>
        </w:tc>
        <w:tc>
          <w:tcPr>
            <w:tcW w:w="815" w:type="dxa"/>
            <w:noWrap/>
            <w:vAlign w:val="center"/>
          </w:tcPr>
          <w:p>
            <w:pPr>
              <w:pStyle w:val="7"/>
              <w:spacing w:line="240" w:lineRule="auto"/>
              <w:rPr>
                <w:rFonts w:hAnsi="宋体"/>
                <w:szCs w:val="24"/>
              </w:rPr>
            </w:pPr>
          </w:p>
        </w:tc>
        <w:tc>
          <w:tcPr>
            <w:tcW w:w="709" w:type="dxa"/>
            <w:noWrap/>
            <w:vAlign w:val="center"/>
          </w:tcPr>
          <w:p>
            <w:pPr>
              <w:pStyle w:val="7"/>
              <w:spacing w:line="240" w:lineRule="auto"/>
              <w:rPr>
                <w:rFonts w:hAnsi="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612" w:type="dxa"/>
            <w:gridSpan w:val="3"/>
            <w:noWrap/>
            <w:vAlign w:val="center"/>
          </w:tcPr>
          <w:p>
            <w:pPr>
              <w:pStyle w:val="7"/>
              <w:spacing w:line="240" w:lineRule="auto"/>
              <w:jc w:val="center"/>
              <w:rPr>
                <w:rFonts w:hAnsi="宋体"/>
                <w:szCs w:val="24"/>
              </w:rPr>
            </w:pPr>
            <w:r>
              <w:rPr>
                <w:rFonts w:hint="eastAsia" w:hAnsi="宋体"/>
                <w:szCs w:val="24"/>
              </w:rPr>
              <w:t xml:space="preserve">合计                                                                  </w:t>
            </w:r>
          </w:p>
        </w:tc>
        <w:tc>
          <w:tcPr>
            <w:tcW w:w="795" w:type="dxa"/>
            <w:noWrap/>
            <w:vAlign w:val="center"/>
          </w:tcPr>
          <w:p>
            <w:pPr>
              <w:pStyle w:val="7"/>
              <w:spacing w:line="240" w:lineRule="auto"/>
              <w:jc w:val="center"/>
              <w:rPr>
                <w:rFonts w:hAnsi="宋体"/>
                <w:szCs w:val="24"/>
              </w:rPr>
            </w:pPr>
            <w:r>
              <w:rPr>
                <w:rFonts w:hint="eastAsia" w:hAnsi="宋体"/>
                <w:szCs w:val="24"/>
              </w:rPr>
              <w:t>100</w:t>
            </w:r>
          </w:p>
        </w:tc>
        <w:tc>
          <w:tcPr>
            <w:tcW w:w="815" w:type="dxa"/>
            <w:noWrap/>
            <w:vAlign w:val="center"/>
          </w:tcPr>
          <w:p>
            <w:pPr>
              <w:pStyle w:val="7"/>
              <w:spacing w:line="240" w:lineRule="auto"/>
              <w:rPr>
                <w:rFonts w:hAnsi="宋体"/>
                <w:szCs w:val="24"/>
              </w:rPr>
            </w:pPr>
          </w:p>
        </w:tc>
        <w:tc>
          <w:tcPr>
            <w:tcW w:w="709" w:type="dxa"/>
            <w:noWrap/>
            <w:vAlign w:val="center"/>
          </w:tcPr>
          <w:p>
            <w:pPr>
              <w:pStyle w:val="7"/>
              <w:spacing w:line="240" w:lineRule="auto"/>
              <w:rPr>
                <w:rFonts w:hAnsi="宋体"/>
                <w:szCs w:val="24"/>
              </w:rPr>
            </w:pPr>
          </w:p>
        </w:tc>
      </w:tr>
    </w:tbl>
    <w:p>
      <w:pPr>
        <w:pStyle w:val="7"/>
        <w:rPr>
          <w:rFonts w:hAnsi="宋体" w:cs="宋体"/>
          <w:b/>
          <w:szCs w:val="21"/>
        </w:rPr>
      </w:pPr>
      <w:r>
        <w:rPr>
          <w:rFonts w:hint="eastAsia" w:hAnsi="宋体" w:cs="宋体"/>
          <w:szCs w:val="24"/>
        </w:rPr>
        <w:t>评价人员：</w:t>
      </w:r>
      <w:r>
        <w:rPr>
          <w:rFonts w:hint="eastAsia" w:hAnsi="宋体"/>
          <w:szCs w:val="24"/>
        </w:rPr>
        <w:t xml:space="preserve">                                              年    月    日</w:t>
      </w: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p>
    <w:p>
      <w:pPr>
        <w:spacing w:line="360" w:lineRule="auto"/>
        <w:jc w:val="center"/>
        <w:rPr>
          <w:rFonts w:ascii="宋体" w:hAnsi="宋体" w:cs="SimSun,Bold"/>
          <w:b/>
          <w:kern w:val="0"/>
          <w:szCs w:val="21"/>
        </w:rPr>
      </w:pPr>
      <w:r>
        <w:rPr>
          <w:rFonts w:hint="eastAsia" w:ascii="宋体" w:hAnsi="宋体" w:cs="SimSun,Bold"/>
          <w:b/>
          <w:kern w:val="0"/>
          <w:szCs w:val="21"/>
        </w:rPr>
        <w:t>表B.</w:t>
      </w:r>
      <w:r>
        <w:rPr>
          <w:rFonts w:ascii="宋体" w:hAnsi="宋体" w:cs="SimSun,Bold"/>
          <w:b/>
          <w:kern w:val="0"/>
          <w:szCs w:val="21"/>
        </w:rPr>
        <w:t xml:space="preserve">0.8  </w:t>
      </w:r>
      <w:r>
        <w:rPr>
          <w:rFonts w:hint="eastAsia" w:ascii="宋体" w:hAnsi="宋体" w:cs="SimSun,Bold"/>
          <w:b/>
          <w:kern w:val="0"/>
          <w:szCs w:val="21"/>
        </w:rPr>
        <w:t>临时用电评价表</w:t>
      </w:r>
    </w:p>
    <w:tbl>
      <w:tblPr>
        <w:tblStyle w:val="16"/>
        <w:tblW w:w="8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848"/>
        <w:gridCol w:w="5386"/>
        <w:gridCol w:w="737"/>
        <w:gridCol w:w="737"/>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noWrap/>
            <w:vAlign w:val="center"/>
          </w:tcPr>
          <w:p>
            <w:pPr>
              <w:pStyle w:val="7"/>
              <w:spacing w:line="240" w:lineRule="auto"/>
              <w:jc w:val="center"/>
              <w:rPr>
                <w:rFonts w:hAnsi="宋体" w:cs="宋体"/>
                <w:szCs w:val="24"/>
              </w:rPr>
            </w:pPr>
            <w:r>
              <w:rPr>
                <w:rFonts w:hint="eastAsia" w:hAnsi="宋体" w:cs="宋体"/>
                <w:szCs w:val="24"/>
              </w:rPr>
              <w:t>序号</w:t>
            </w:r>
          </w:p>
        </w:tc>
        <w:tc>
          <w:tcPr>
            <w:tcW w:w="848" w:type="dxa"/>
            <w:noWrap/>
            <w:vAlign w:val="center"/>
          </w:tcPr>
          <w:p>
            <w:pPr>
              <w:pStyle w:val="7"/>
              <w:spacing w:line="240" w:lineRule="auto"/>
              <w:jc w:val="center"/>
              <w:rPr>
                <w:rFonts w:hAnsi="宋体" w:cs="宋体"/>
                <w:szCs w:val="24"/>
              </w:rPr>
            </w:pPr>
            <w:r>
              <w:rPr>
                <w:rFonts w:hint="eastAsia" w:hAnsi="宋体" w:cs="宋体"/>
                <w:szCs w:val="24"/>
              </w:rPr>
              <w:t>评价</w:t>
            </w:r>
          </w:p>
          <w:p>
            <w:pPr>
              <w:pStyle w:val="7"/>
              <w:spacing w:line="240" w:lineRule="auto"/>
              <w:jc w:val="center"/>
              <w:rPr>
                <w:rFonts w:hAnsi="宋体" w:cs="宋体"/>
                <w:szCs w:val="24"/>
              </w:rPr>
            </w:pPr>
            <w:r>
              <w:rPr>
                <w:rFonts w:hint="eastAsia" w:hAnsi="宋体" w:cs="宋体"/>
                <w:szCs w:val="24"/>
              </w:rPr>
              <w:t>项目</w:t>
            </w:r>
          </w:p>
        </w:tc>
        <w:tc>
          <w:tcPr>
            <w:tcW w:w="5386" w:type="dxa"/>
            <w:noWrap/>
            <w:vAlign w:val="center"/>
          </w:tcPr>
          <w:p>
            <w:pPr>
              <w:pStyle w:val="7"/>
              <w:spacing w:line="240" w:lineRule="auto"/>
              <w:jc w:val="center"/>
              <w:rPr>
                <w:rFonts w:hAnsi="宋体" w:cs="宋体"/>
                <w:szCs w:val="24"/>
              </w:rPr>
            </w:pPr>
            <w:r>
              <w:rPr>
                <w:rFonts w:hint="eastAsia" w:hAnsi="宋体" w:cs="宋体"/>
                <w:szCs w:val="24"/>
              </w:rPr>
              <w:t>评 价 标 准</w:t>
            </w:r>
          </w:p>
        </w:tc>
        <w:tc>
          <w:tcPr>
            <w:tcW w:w="737" w:type="dxa"/>
            <w:noWrap/>
            <w:vAlign w:val="center"/>
          </w:tcPr>
          <w:p>
            <w:pPr>
              <w:pStyle w:val="7"/>
              <w:spacing w:line="240" w:lineRule="auto"/>
              <w:jc w:val="center"/>
              <w:rPr>
                <w:rFonts w:hAnsi="宋体" w:cs="宋体"/>
                <w:szCs w:val="24"/>
              </w:rPr>
            </w:pPr>
            <w:r>
              <w:rPr>
                <w:rFonts w:hint="eastAsia" w:hAnsi="宋体" w:cs="宋体"/>
                <w:szCs w:val="24"/>
              </w:rPr>
              <w:t>应得分</w:t>
            </w:r>
          </w:p>
        </w:tc>
        <w:tc>
          <w:tcPr>
            <w:tcW w:w="737" w:type="dxa"/>
            <w:noWrap/>
            <w:vAlign w:val="center"/>
          </w:tcPr>
          <w:p>
            <w:pPr>
              <w:pStyle w:val="7"/>
              <w:spacing w:line="240" w:lineRule="auto"/>
              <w:jc w:val="center"/>
              <w:rPr>
                <w:rFonts w:hAnsi="宋体" w:cs="宋体"/>
                <w:szCs w:val="24"/>
              </w:rPr>
            </w:pPr>
            <w:r>
              <w:rPr>
                <w:rFonts w:hint="eastAsia" w:hAnsi="宋体" w:cs="宋体"/>
                <w:szCs w:val="24"/>
              </w:rPr>
              <w:t>扣减分</w:t>
            </w:r>
          </w:p>
        </w:tc>
        <w:tc>
          <w:tcPr>
            <w:tcW w:w="737" w:type="dxa"/>
            <w:noWrap/>
            <w:vAlign w:val="center"/>
          </w:tcPr>
          <w:p>
            <w:pPr>
              <w:pStyle w:val="7"/>
              <w:spacing w:line="240" w:lineRule="auto"/>
              <w:jc w:val="center"/>
              <w:rPr>
                <w:rFonts w:hAnsi="宋体" w:cs="宋体"/>
                <w:szCs w:val="24"/>
              </w:rPr>
            </w:pPr>
            <w:r>
              <w:rPr>
                <w:rFonts w:hint="eastAsia" w:hAnsi="宋体" w:cs="宋体"/>
                <w:szCs w:val="24"/>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noWrap/>
            <w:vAlign w:val="center"/>
          </w:tcPr>
          <w:p>
            <w:pPr>
              <w:pStyle w:val="7"/>
              <w:spacing w:line="260" w:lineRule="exact"/>
              <w:jc w:val="center"/>
              <w:rPr>
                <w:rFonts w:hAnsi="宋体" w:cs="宋体"/>
                <w:szCs w:val="24"/>
              </w:rPr>
            </w:pPr>
            <w:r>
              <w:rPr>
                <w:rFonts w:hint="eastAsia" w:hAnsi="宋体" w:cs="宋体"/>
                <w:szCs w:val="24"/>
              </w:rPr>
              <w:t>1</w:t>
            </w:r>
          </w:p>
        </w:tc>
        <w:tc>
          <w:tcPr>
            <w:tcW w:w="848" w:type="dxa"/>
            <w:noWrap/>
            <w:vAlign w:val="center"/>
          </w:tcPr>
          <w:p>
            <w:pPr>
              <w:pStyle w:val="7"/>
              <w:spacing w:line="260" w:lineRule="exact"/>
              <w:jc w:val="center"/>
              <w:rPr>
                <w:rFonts w:hAnsi="宋体" w:cs="宋体"/>
                <w:szCs w:val="24"/>
              </w:rPr>
            </w:pPr>
            <w:r>
              <w:rPr>
                <w:rFonts w:hint="eastAsia" w:hAnsi="宋体" w:cs="宋体"/>
                <w:szCs w:val="24"/>
              </w:rPr>
              <w:t>施工组织设计与人员管理</w:t>
            </w:r>
          </w:p>
        </w:tc>
        <w:tc>
          <w:tcPr>
            <w:tcW w:w="5386" w:type="dxa"/>
            <w:noWrap/>
            <w:vAlign w:val="center"/>
          </w:tcPr>
          <w:p>
            <w:pPr>
              <w:pStyle w:val="7"/>
              <w:spacing w:line="260" w:lineRule="exact"/>
              <w:rPr>
                <w:rFonts w:hAnsi="宋体" w:cs="宋体"/>
                <w:szCs w:val="24"/>
              </w:rPr>
            </w:pPr>
            <w:r>
              <w:rPr>
                <w:rFonts w:hint="eastAsia" w:hAnsi="宋体" w:cs="宋体"/>
                <w:szCs w:val="24"/>
              </w:rPr>
              <w:t>未制定临时用电工程组织设计或审批手续不齐全的，扣10分</w:t>
            </w:r>
          </w:p>
          <w:p>
            <w:pPr>
              <w:pStyle w:val="7"/>
              <w:spacing w:line="260" w:lineRule="exact"/>
              <w:rPr>
                <w:rFonts w:hAnsi="宋体" w:cs="宋体"/>
                <w:szCs w:val="24"/>
              </w:rPr>
            </w:pPr>
            <w:r>
              <w:rPr>
                <w:rFonts w:hint="eastAsia" w:hAnsi="宋体" w:cs="宋体"/>
                <w:szCs w:val="24"/>
              </w:rPr>
              <w:t>临时用电工程未经验收合格投入使用的，扣10分</w:t>
            </w:r>
          </w:p>
          <w:p>
            <w:pPr>
              <w:pStyle w:val="7"/>
              <w:spacing w:line="260" w:lineRule="exact"/>
              <w:rPr>
                <w:rFonts w:hAnsi="宋体" w:cs="宋体"/>
                <w:szCs w:val="24"/>
              </w:rPr>
            </w:pPr>
            <w:r>
              <w:rPr>
                <w:rFonts w:hint="eastAsia" w:hAnsi="宋体" w:cs="宋体"/>
                <w:szCs w:val="24"/>
              </w:rPr>
              <w:t xml:space="preserve">未对电工进行安全技术交底的，扣5分 </w:t>
            </w:r>
          </w:p>
        </w:tc>
        <w:tc>
          <w:tcPr>
            <w:tcW w:w="737" w:type="dxa"/>
            <w:noWrap/>
            <w:vAlign w:val="center"/>
          </w:tcPr>
          <w:p>
            <w:pPr>
              <w:pStyle w:val="7"/>
              <w:spacing w:line="260" w:lineRule="exact"/>
              <w:jc w:val="center"/>
              <w:rPr>
                <w:rFonts w:hAnsi="宋体" w:cs="宋体"/>
                <w:szCs w:val="24"/>
              </w:rPr>
            </w:pPr>
            <w:r>
              <w:rPr>
                <w:rFonts w:hint="eastAsia" w:hAnsi="宋体" w:cs="宋体"/>
                <w:szCs w:val="24"/>
              </w:rPr>
              <w:t>10</w:t>
            </w:r>
          </w:p>
        </w:tc>
        <w:tc>
          <w:tcPr>
            <w:tcW w:w="737" w:type="dxa"/>
            <w:noWrap/>
            <w:vAlign w:val="center"/>
          </w:tcPr>
          <w:p>
            <w:pPr>
              <w:pStyle w:val="7"/>
              <w:spacing w:line="260" w:lineRule="exact"/>
              <w:jc w:val="center"/>
              <w:rPr>
                <w:rFonts w:hAnsi="宋体" w:cs="宋体"/>
                <w:szCs w:val="24"/>
              </w:rPr>
            </w:pPr>
          </w:p>
        </w:tc>
        <w:tc>
          <w:tcPr>
            <w:tcW w:w="737" w:type="dxa"/>
            <w:noWrap/>
            <w:vAlign w:val="center"/>
          </w:tcPr>
          <w:p>
            <w:pPr>
              <w:pStyle w:val="7"/>
              <w:spacing w:line="260" w:lineRule="exact"/>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noWrap/>
            <w:vAlign w:val="center"/>
          </w:tcPr>
          <w:p>
            <w:pPr>
              <w:pStyle w:val="7"/>
              <w:spacing w:line="260" w:lineRule="exact"/>
              <w:jc w:val="center"/>
              <w:rPr>
                <w:rFonts w:hAnsi="宋体" w:cs="宋体"/>
                <w:szCs w:val="24"/>
              </w:rPr>
            </w:pPr>
            <w:r>
              <w:rPr>
                <w:rFonts w:hint="eastAsia" w:hAnsi="宋体" w:cs="宋体"/>
                <w:szCs w:val="24"/>
              </w:rPr>
              <w:t>2</w:t>
            </w:r>
          </w:p>
        </w:tc>
        <w:tc>
          <w:tcPr>
            <w:tcW w:w="848" w:type="dxa"/>
            <w:noWrap/>
            <w:vAlign w:val="center"/>
          </w:tcPr>
          <w:p>
            <w:pPr>
              <w:pStyle w:val="7"/>
              <w:spacing w:line="260" w:lineRule="exact"/>
              <w:jc w:val="center"/>
              <w:rPr>
                <w:rFonts w:hAnsi="宋体" w:cs="宋体"/>
                <w:szCs w:val="24"/>
              </w:rPr>
            </w:pPr>
            <w:r>
              <w:rPr>
                <w:rFonts w:hint="eastAsia" w:hAnsi="宋体" w:cs="宋体"/>
                <w:szCs w:val="24"/>
              </w:rPr>
              <w:t>外电防护及配电室</w:t>
            </w:r>
          </w:p>
        </w:tc>
        <w:tc>
          <w:tcPr>
            <w:tcW w:w="5386" w:type="dxa"/>
            <w:noWrap/>
            <w:vAlign w:val="center"/>
          </w:tcPr>
          <w:p>
            <w:pPr>
              <w:pStyle w:val="7"/>
              <w:spacing w:line="260" w:lineRule="exact"/>
              <w:rPr>
                <w:rFonts w:hAnsi="宋体" w:cs="宋体"/>
                <w:szCs w:val="24"/>
              </w:rPr>
            </w:pPr>
            <w:r>
              <w:rPr>
                <w:rFonts w:hint="eastAsia" w:hAnsi="宋体" w:cs="宋体"/>
                <w:szCs w:val="24"/>
              </w:rPr>
              <w:t>外电线路与脚手架、起重机械、场内机动车道之间的安全距离不符合规范要求且未采取防护措施的，扣20分</w:t>
            </w:r>
          </w:p>
          <w:p>
            <w:pPr>
              <w:pStyle w:val="7"/>
              <w:spacing w:line="260" w:lineRule="exact"/>
              <w:rPr>
                <w:rFonts w:hAnsi="宋体" w:cs="宋体"/>
                <w:szCs w:val="24"/>
              </w:rPr>
            </w:pPr>
            <w:r>
              <w:rPr>
                <w:rFonts w:hint="eastAsia" w:hAnsi="宋体" w:cs="宋体"/>
                <w:szCs w:val="24"/>
              </w:rPr>
              <w:t>防护设施与外电线路的安全距离及搭设方式不符合规范要求的，扣10分</w:t>
            </w:r>
          </w:p>
          <w:p>
            <w:pPr>
              <w:pStyle w:val="7"/>
              <w:spacing w:line="260" w:lineRule="exact"/>
              <w:rPr>
                <w:rFonts w:hAnsi="宋体" w:cs="宋体"/>
                <w:szCs w:val="24"/>
              </w:rPr>
            </w:pPr>
            <w:r>
              <w:rPr>
                <w:rFonts w:hint="eastAsia" w:hAnsi="宋体" w:cs="宋体"/>
                <w:szCs w:val="24"/>
              </w:rPr>
              <w:t xml:space="preserve">配电室未配备灭火器材的，或配备灭火器材不适用于电气火灾的，扣10分 </w:t>
            </w:r>
          </w:p>
          <w:p>
            <w:pPr>
              <w:pStyle w:val="7"/>
              <w:spacing w:line="260" w:lineRule="exact"/>
              <w:rPr>
                <w:rFonts w:hAnsi="宋体" w:cs="宋体"/>
                <w:szCs w:val="24"/>
              </w:rPr>
            </w:pPr>
            <w:r>
              <w:rPr>
                <w:rFonts w:hint="eastAsia" w:hAnsi="宋体" w:cs="宋体"/>
                <w:szCs w:val="24"/>
              </w:rPr>
              <w:t xml:space="preserve">配电室未设警示标志、未采取通风、防止雨雪侵入和小动物进入等措施的，扣5分 </w:t>
            </w:r>
          </w:p>
          <w:p>
            <w:pPr>
              <w:pStyle w:val="7"/>
              <w:spacing w:line="260" w:lineRule="exact"/>
              <w:rPr>
                <w:rFonts w:hAnsi="宋体" w:cs="宋体"/>
                <w:szCs w:val="24"/>
              </w:rPr>
            </w:pPr>
            <w:r>
              <w:rPr>
                <w:rFonts w:hint="eastAsia" w:hAnsi="宋体" w:cs="宋体"/>
                <w:szCs w:val="24"/>
              </w:rPr>
              <w:t>配电室未按规范要求配备应急照明的，每处扣2分</w:t>
            </w:r>
          </w:p>
        </w:tc>
        <w:tc>
          <w:tcPr>
            <w:tcW w:w="737" w:type="dxa"/>
            <w:noWrap/>
            <w:vAlign w:val="center"/>
          </w:tcPr>
          <w:p>
            <w:pPr>
              <w:pStyle w:val="7"/>
              <w:spacing w:line="260" w:lineRule="exact"/>
              <w:jc w:val="center"/>
              <w:rPr>
                <w:rFonts w:hAnsi="宋体" w:cs="宋体"/>
                <w:szCs w:val="24"/>
              </w:rPr>
            </w:pPr>
            <w:r>
              <w:rPr>
                <w:rFonts w:hint="eastAsia" w:hAnsi="宋体" w:cs="宋体"/>
                <w:szCs w:val="24"/>
              </w:rPr>
              <w:t>20</w:t>
            </w:r>
          </w:p>
        </w:tc>
        <w:tc>
          <w:tcPr>
            <w:tcW w:w="737" w:type="dxa"/>
            <w:noWrap/>
            <w:vAlign w:val="center"/>
          </w:tcPr>
          <w:p>
            <w:pPr>
              <w:pStyle w:val="7"/>
              <w:spacing w:line="260" w:lineRule="exact"/>
              <w:jc w:val="center"/>
              <w:rPr>
                <w:rFonts w:hAnsi="宋体" w:cs="宋体"/>
                <w:szCs w:val="24"/>
              </w:rPr>
            </w:pPr>
          </w:p>
        </w:tc>
        <w:tc>
          <w:tcPr>
            <w:tcW w:w="737" w:type="dxa"/>
            <w:noWrap/>
            <w:vAlign w:val="center"/>
          </w:tcPr>
          <w:p>
            <w:pPr>
              <w:pStyle w:val="7"/>
              <w:spacing w:line="260" w:lineRule="exact"/>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noWrap/>
            <w:vAlign w:val="center"/>
          </w:tcPr>
          <w:p>
            <w:pPr>
              <w:pStyle w:val="7"/>
              <w:spacing w:line="260" w:lineRule="exact"/>
              <w:jc w:val="center"/>
              <w:rPr>
                <w:rFonts w:hAnsi="宋体" w:cs="宋体"/>
                <w:szCs w:val="24"/>
              </w:rPr>
            </w:pPr>
            <w:r>
              <w:rPr>
                <w:rFonts w:hint="eastAsia" w:hAnsi="宋体" w:cs="宋体"/>
                <w:szCs w:val="24"/>
              </w:rPr>
              <w:t>3</w:t>
            </w:r>
          </w:p>
        </w:tc>
        <w:tc>
          <w:tcPr>
            <w:tcW w:w="848" w:type="dxa"/>
            <w:noWrap/>
            <w:vAlign w:val="center"/>
          </w:tcPr>
          <w:p>
            <w:pPr>
              <w:pStyle w:val="7"/>
              <w:spacing w:line="260" w:lineRule="exact"/>
              <w:jc w:val="center"/>
              <w:rPr>
                <w:rFonts w:hAnsi="宋体" w:cs="宋体"/>
                <w:szCs w:val="24"/>
              </w:rPr>
            </w:pPr>
            <w:r>
              <w:rPr>
                <w:rFonts w:hint="eastAsia" w:hAnsi="宋体" w:cs="宋体"/>
                <w:szCs w:val="24"/>
              </w:rPr>
              <w:t>配电</w:t>
            </w:r>
          </w:p>
          <w:p>
            <w:pPr>
              <w:pStyle w:val="7"/>
              <w:spacing w:line="260" w:lineRule="exact"/>
              <w:jc w:val="center"/>
              <w:rPr>
                <w:rFonts w:hAnsi="宋体" w:cs="宋体"/>
                <w:szCs w:val="24"/>
              </w:rPr>
            </w:pPr>
            <w:r>
              <w:rPr>
                <w:rFonts w:hint="eastAsia" w:hAnsi="宋体" w:cs="宋体"/>
                <w:szCs w:val="24"/>
              </w:rPr>
              <w:t>系统</w:t>
            </w:r>
          </w:p>
        </w:tc>
        <w:tc>
          <w:tcPr>
            <w:tcW w:w="5386" w:type="dxa"/>
            <w:noWrap/>
            <w:vAlign w:val="center"/>
          </w:tcPr>
          <w:p>
            <w:pPr>
              <w:pStyle w:val="7"/>
              <w:spacing w:line="260" w:lineRule="exact"/>
              <w:rPr>
                <w:rFonts w:hAnsi="宋体" w:cs="宋体"/>
                <w:szCs w:val="24"/>
              </w:rPr>
            </w:pPr>
            <w:r>
              <w:rPr>
                <w:rFonts w:hint="eastAsia" w:hAnsi="宋体" w:cs="宋体"/>
                <w:szCs w:val="24"/>
              </w:rPr>
              <w:t>施工现场专用的电源中性点直接接地的低压配电系统未采用TN-S接零保护系统的，扣20分</w:t>
            </w:r>
          </w:p>
          <w:p>
            <w:pPr>
              <w:pStyle w:val="7"/>
              <w:spacing w:line="260" w:lineRule="exact"/>
              <w:rPr>
                <w:rFonts w:hAnsi="宋体" w:cs="宋体"/>
                <w:szCs w:val="24"/>
              </w:rPr>
            </w:pPr>
            <w:r>
              <w:rPr>
                <w:rFonts w:hint="eastAsia" w:hAnsi="宋体" w:cs="宋体"/>
                <w:szCs w:val="24"/>
              </w:rPr>
              <w:t xml:space="preserve">机械设备及电气设备的保护接地导体（PE）未做重复接地，每处扣2分 </w:t>
            </w:r>
          </w:p>
          <w:p>
            <w:pPr>
              <w:pStyle w:val="7"/>
              <w:spacing w:line="260" w:lineRule="exact"/>
              <w:rPr>
                <w:rFonts w:hAnsi="宋体" w:cs="宋体"/>
                <w:szCs w:val="24"/>
              </w:rPr>
            </w:pPr>
            <w:r>
              <w:rPr>
                <w:rFonts w:hint="eastAsia" w:hAnsi="宋体" w:cs="宋体"/>
                <w:szCs w:val="24"/>
              </w:rPr>
              <w:t>保护接地导体（PE）、接地导体和保护联结导体的设置、安装及接地装置的材料不符合规范要求的，每处扣2分</w:t>
            </w:r>
          </w:p>
          <w:p>
            <w:pPr>
              <w:pStyle w:val="7"/>
              <w:spacing w:line="260" w:lineRule="exact"/>
              <w:rPr>
                <w:rFonts w:hAnsi="宋体" w:cs="宋体"/>
                <w:szCs w:val="24"/>
              </w:rPr>
            </w:pPr>
            <w:r>
              <w:rPr>
                <w:rFonts w:hint="eastAsia" w:hAnsi="宋体" w:cs="宋体"/>
                <w:szCs w:val="24"/>
              </w:rPr>
              <w:t xml:space="preserve">塔式起重机、物料提升机、施工升降机、脚手架防雷措施不符合规范要求的，每处扣2分  </w:t>
            </w:r>
          </w:p>
        </w:tc>
        <w:tc>
          <w:tcPr>
            <w:tcW w:w="737" w:type="dxa"/>
            <w:noWrap/>
            <w:vAlign w:val="center"/>
          </w:tcPr>
          <w:p>
            <w:pPr>
              <w:pStyle w:val="7"/>
              <w:spacing w:line="260" w:lineRule="exact"/>
              <w:jc w:val="center"/>
              <w:rPr>
                <w:rFonts w:hAnsi="宋体" w:cs="宋体"/>
                <w:szCs w:val="24"/>
              </w:rPr>
            </w:pPr>
            <w:r>
              <w:rPr>
                <w:rFonts w:hint="eastAsia" w:hAnsi="宋体" w:cs="宋体"/>
                <w:szCs w:val="24"/>
              </w:rPr>
              <w:t>20</w:t>
            </w:r>
          </w:p>
        </w:tc>
        <w:tc>
          <w:tcPr>
            <w:tcW w:w="737" w:type="dxa"/>
            <w:noWrap/>
            <w:vAlign w:val="center"/>
          </w:tcPr>
          <w:p>
            <w:pPr>
              <w:pStyle w:val="7"/>
              <w:spacing w:line="260" w:lineRule="exact"/>
              <w:jc w:val="center"/>
              <w:rPr>
                <w:rFonts w:hAnsi="宋体" w:cs="宋体"/>
                <w:szCs w:val="24"/>
              </w:rPr>
            </w:pPr>
          </w:p>
        </w:tc>
        <w:tc>
          <w:tcPr>
            <w:tcW w:w="737" w:type="dxa"/>
            <w:noWrap/>
            <w:vAlign w:val="center"/>
          </w:tcPr>
          <w:p>
            <w:pPr>
              <w:pStyle w:val="7"/>
              <w:spacing w:line="260" w:lineRule="exact"/>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noWrap/>
            <w:vAlign w:val="center"/>
          </w:tcPr>
          <w:p>
            <w:pPr>
              <w:pStyle w:val="7"/>
              <w:spacing w:line="260" w:lineRule="exact"/>
              <w:jc w:val="center"/>
              <w:rPr>
                <w:rFonts w:hAnsi="宋体" w:cs="宋体"/>
                <w:szCs w:val="24"/>
              </w:rPr>
            </w:pPr>
            <w:r>
              <w:rPr>
                <w:rFonts w:hint="eastAsia" w:hAnsi="宋体" w:cs="宋体"/>
                <w:szCs w:val="24"/>
              </w:rPr>
              <w:t>4</w:t>
            </w:r>
          </w:p>
        </w:tc>
        <w:tc>
          <w:tcPr>
            <w:tcW w:w="848" w:type="dxa"/>
            <w:noWrap/>
            <w:vAlign w:val="center"/>
          </w:tcPr>
          <w:p>
            <w:pPr>
              <w:pStyle w:val="7"/>
              <w:spacing w:line="260" w:lineRule="exact"/>
              <w:jc w:val="center"/>
              <w:rPr>
                <w:rFonts w:hAnsi="宋体" w:cs="宋体"/>
                <w:szCs w:val="24"/>
              </w:rPr>
            </w:pPr>
            <w:r>
              <w:rPr>
                <w:rFonts w:hint="eastAsia" w:hAnsi="宋体" w:cs="宋体"/>
                <w:szCs w:val="24"/>
              </w:rPr>
              <w:t>配电</w:t>
            </w:r>
          </w:p>
          <w:p>
            <w:pPr>
              <w:pStyle w:val="7"/>
              <w:spacing w:line="260" w:lineRule="exact"/>
              <w:jc w:val="center"/>
              <w:rPr>
                <w:rFonts w:hAnsi="宋体" w:cs="宋体"/>
                <w:szCs w:val="24"/>
              </w:rPr>
            </w:pPr>
            <w:r>
              <w:rPr>
                <w:rFonts w:hint="eastAsia" w:hAnsi="宋体" w:cs="宋体"/>
                <w:szCs w:val="24"/>
              </w:rPr>
              <w:t>线路</w:t>
            </w:r>
          </w:p>
        </w:tc>
        <w:tc>
          <w:tcPr>
            <w:tcW w:w="5386" w:type="dxa"/>
            <w:noWrap/>
            <w:vAlign w:val="center"/>
          </w:tcPr>
          <w:p>
            <w:pPr>
              <w:pStyle w:val="7"/>
              <w:spacing w:line="260" w:lineRule="exact"/>
              <w:rPr>
                <w:rFonts w:hAnsi="宋体" w:cs="宋体"/>
                <w:szCs w:val="24"/>
              </w:rPr>
            </w:pPr>
            <w:r>
              <w:rPr>
                <w:rFonts w:hint="eastAsia" w:hAnsi="宋体" w:cs="宋体"/>
                <w:szCs w:val="24"/>
              </w:rPr>
              <w:t>电缆沿地面明设，沿脚手架、塔式起重机、施工升降机、物料提升机、树木等敷设或敷设不符合规范要求的，扣10分</w:t>
            </w:r>
          </w:p>
          <w:p>
            <w:pPr>
              <w:pStyle w:val="7"/>
              <w:spacing w:line="260" w:lineRule="exact"/>
              <w:rPr>
                <w:rFonts w:hAnsi="宋体" w:cs="宋体"/>
                <w:strike/>
                <w:color w:val="FF0000"/>
                <w:szCs w:val="24"/>
              </w:rPr>
            </w:pPr>
            <w:r>
              <w:rPr>
                <w:rFonts w:hint="eastAsia" w:hAnsi="宋体" w:cs="宋体"/>
                <w:szCs w:val="24"/>
              </w:rPr>
              <w:t>埋地电缆未按要求设置</w:t>
            </w:r>
            <w:r>
              <w:rPr>
                <w:spacing w:val="-13"/>
                <w:szCs w:val="24"/>
              </w:rPr>
              <w:t>标识桩</w:t>
            </w:r>
            <w:r>
              <w:rPr>
                <w:rFonts w:hint="eastAsia"/>
                <w:spacing w:val="-13"/>
                <w:szCs w:val="24"/>
              </w:rPr>
              <w:t>的</w:t>
            </w:r>
            <w:r>
              <w:rPr>
                <w:rFonts w:hint="eastAsia" w:hAnsi="宋体" w:cs="宋体"/>
                <w:szCs w:val="24"/>
              </w:rPr>
              <w:t>，扣2分</w:t>
            </w:r>
          </w:p>
          <w:p>
            <w:pPr>
              <w:pStyle w:val="7"/>
              <w:spacing w:line="260" w:lineRule="exact"/>
              <w:rPr>
                <w:rFonts w:hAnsi="宋体" w:cs="宋体"/>
                <w:szCs w:val="24"/>
              </w:rPr>
            </w:pPr>
            <w:r>
              <w:rPr>
                <w:rFonts w:hint="eastAsia" w:hAnsi="宋体" w:cs="宋体"/>
                <w:szCs w:val="24"/>
              </w:rPr>
              <w:t>室内明敷主干线距地面高度低于2.5m的，每处扣2分</w:t>
            </w:r>
          </w:p>
          <w:p>
            <w:pPr>
              <w:pStyle w:val="7"/>
              <w:spacing w:line="260" w:lineRule="exact"/>
              <w:rPr>
                <w:rFonts w:hAnsi="宋体" w:cs="宋体"/>
                <w:szCs w:val="24"/>
              </w:rPr>
            </w:pPr>
            <w:r>
              <w:rPr>
                <w:rFonts w:hint="eastAsia" w:hAnsi="宋体" w:cs="宋体"/>
                <w:szCs w:val="24"/>
              </w:rPr>
              <w:t>保护接地导体（PE）材质、规格及颜色不符合规范要求的，每处扣2分</w:t>
            </w:r>
          </w:p>
        </w:tc>
        <w:tc>
          <w:tcPr>
            <w:tcW w:w="737" w:type="dxa"/>
            <w:noWrap/>
            <w:vAlign w:val="center"/>
          </w:tcPr>
          <w:p>
            <w:pPr>
              <w:pStyle w:val="7"/>
              <w:spacing w:line="260" w:lineRule="exact"/>
              <w:jc w:val="center"/>
              <w:rPr>
                <w:rFonts w:hAnsi="宋体" w:cs="宋体"/>
                <w:szCs w:val="24"/>
              </w:rPr>
            </w:pPr>
            <w:r>
              <w:rPr>
                <w:rFonts w:hint="eastAsia" w:hAnsi="宋体" w:cs="宋体"/>
                <w:szCs w:val="24"/>
              </w:rPr>
              <w:t>10</w:t>
            </w:r>
          </w:p>
        </w:tc>
        <w:tc>
          <w:tcPr>
            <w:tcW w:w="737" w:type="dxa"/>
            <w:noWrap/>
            <w:vAlign w:val="center"/>
          </w:tcPr>
          <w:p>
            <w:pPr>
              <w:pStyle w:val="7"/>
              <w:spacing w:line="260" w:lineRule="exact"/>
              <w:jc w:val="center"/>
              <w:rPr>
                <w:rFonts w:hAnsi="宋体" w:cs="宋体"/>
                <w:szCs w:val="24"/>
              </w:rPr>
            </w:pPr>
          </w:p>
        </w:tc>
        <w:tc>
          <w:tcPr>
            <w:tcW w:w="737" w:type="dxa"/>
            <w:noWrap/>
            <w:vAlign w:val="center"/>
          </w:tcPr>
          <w:p>
            <w:pPr>
              <w:pStyle w:val="7"/>
              <w:spacing w:line="260" w:lineRule="exact"/>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noWrap/>
            <w:vAlign w:val="center"/>
          </w:tcPr>
          <w:p>
            <w:pPr>
              <w:pStyle w:val="7"/>
              <w:spacing w:line="260" w:lineRule="exact"/>
              <w:jc w:val="center"/>
              <w:rPr>
                <w:rFonts w:hAnsi="宋体" w:cs="宋体"/>
                <w:szCs w:val="24"/>
              </w:rPr>
            </w:pPr>
            <w:r>
              <w:rPr>
                <w:rFonts w:hint="eastAsia" w:hAnsi="宋体" w:cs="宋体"/>
                <w:szCs w:val="24"/>
              </w:rPr>
              <w:t>5</w:t>
            </w:r>
          </w:p>
        </w:tc>
        <w:tc>
          <w:tcPr>
            <w:tcW w:w="848" w:type="dxa"/>
            <w:noWrap/>
            <w:vAlign w:val="center"/>
          </w:tcPr>
          <w:p>
            <w:pPr>
              <w:pStyle w:val="7"/>
              <w:spacing w:line="260" w:lineRule="exact"/>
              <w:jc w:val="center"/>
              <w:rPr>
                <w:rFonts w:hAnsi="宋体" w:cs="宋体"/>
                <w:szCs w:val="24"/>
              </w:rPr>
            </w:pPr>
            <w:r>
              <w:rPr>
                <w:rFonts w:hint="eastAsia" w:hAnsi="宋体" w:cs="宋体"/>
                <w:szCs w:val="24"/>
              </w:rPr>
              <w:t>配电</w:t>
            </w:r>
          </w:p>
          <w:p>
            <w:pPr>
              <w:pStyle w:val="7"/>
              <w:spacing w:line="260" w:lineRule="exact"/>
              <w:jc w:val="center"/>
              <w:rPr>
                <w:rFonts w:hAnsi="宋体" w:cs="宋体"/>
                <w:szCs w:val="24"/>
              </w:rPr>
            </w:pPr>
            <w:r>
              <w:rPr>
                <w:rFonts w:hint="eastAsia" w:hAnsi="宋体" w:cs="宋体"/>
                <w:szCs w:val="24"/>
              </w:rPr>
              <w:t>装置</w:t>
            </w:r>
          </w:p>
        </w:tc>
        <w:tc>
          <w:tcPr>
            <w:tcW w:w="5386" w:type="dxa"/>
            <w:noWrap/>
            <w:vAlign w:val="center"/>
          </w:tcPr>
          <w:p>
            <w:pPr>
              <w:pStyle w:val="7"/>
              <w:spacing w:line="260" w:lineRule="exact"/>
              <w:rPr>
                <w:rFonts w:hAnsi="宋体" w:cs="宋体"/>
                <w:szCs w:val="24"/>
              </w:rPr>
            </w:pPr>
            <w:r>
              <w:rPr>
                <w:rFonts w:hint="eastAsia" w:hAnsi="宋体" w:cs="宋体"/>
                <w:szCs w:val="24"/>
              </w:rPr>
              <w:t>未采用三级配电二级</w:t>
            </w:r>
            <w:r>
              <w:rPr>
                <w:spacing w:val="-10"/>
                <w:szCs w:val="24"/>
              </w:rPr>
              <w:t>剩余电流动作保护系统</w:t>
            </w:r>
            <w:r>
              <w:rPr>
                <w:rFonts w:hint="eastAsia" w:hAnsi="宋体" w:cs="宋体"/>
                <w:szCs w:val="24"/>
              </w:rPr>
              <w:t>的，扣20分</w:t>
            </w:r>
          </w:p>
          <w:p>
            <w:pPr>
              <w:pStyle w:val="7"/>
              <w:spacing w:line="260" w:lineRule="exact"/>
              <w:rPr>
                <w:rFonts w:hAnsi="宋体" w:cs="宋体"/>
                <w:szCs w:val="24"/>
              </w:rPr>
            </w:pPr>
            <w:r>
              <w:rPr>
                <w:rFonts w:hint="eastAsia" w:hAnsi="宋体" w:cs="宋体"/>
                <w:szCs w:val="24"/>
              </w:rPr>
              <w:t>用电设备未分别设置开关箱和</w:t>
            </w:r>
            <w:r>
              <w:rPr>
                <w:spacing w:val="-4"/>
                <w:szCs w:val="24"/>
              </w:rPr>
              <w:t>剩余电流动作保护器</w:t>
            </w:r>
            <w:r>
              <w:rPr>
                <w:rFonts w:hint="eastAsia" w:hAnsi="宋体" w:cs="宋体"/>
                <w:szCs w:val="24"/>
              </w:rPr>
              <w:t>的，扣10分</w:t>
            </w:r>
          </w:p>
          <w:p>
            <w:pPr>
              <w:pStyle w:val="7"/>
              <w:spacing w:line="260" w:lineRule="exact"/>
              <w:rPr>
                <w:rFonts w:hAnsi="宋体" w:cs="宋体"/>
                <w:szCs w:val="24"/>
              </w:rPr>
            </w:pPr>
            <w:r>
              <w:rPr>
                <w:rFonts w:hint="eastAsia" w:hAnsi="宋体" w:cs="宋体"/>
                <w:szCs w:val="24"/>
              </w:rPr>
              <w:t>隔离开关、</w:t>
            </w:r>
            <w:r>
              <w:rPr>
                <w:rFonts w:hint="eastAsia"/>
                <w:spacing w:val="-4"/>
                <w:szCs w:val="24"/>
              </w:rPr>
              <w:t>断路器</w:t>
            </w:r>
            <w:r>
              <w:rPr>
                <w:rFonts w:hint="eastAsia" w:hAnsi="宋体" w:cs="宋体"/>
                <w:szCs w:val="24"/>
              </w:rPr>
              <w:t>未采用可见分断点，或参数不匹配的，扣10分</w:t>
            </w:r>
          </w:p>
          <w:p>
            <w:pPr>
              <w:pStyle w:val="7"/>
              <w:spacing w:line="260" w:lineRule="exact"/>
              <w:rPr>
                <w:rFonts w:hAnsi="宋体" w:cs="宋体"/>
                <w:szCs w:val="24"/>
              </w:rPr>
            </w:pPr>
            <w:r>
              <w:rPr>
                <w:rFonts w:hint="eastAsia" w:hAnsi="宋体" w:cs="宋体"/>
                <w:szCs w:val="24"/>
              </w:rPr>
              <w:t>剩余电流动作保护器的安装、使用和参数不符合规范要求的，扣10分</w:t>
            </w:r>
          </w:p>
          <w:p>
            <w:pPr>
              <w:pStyle w:val="7"/>
              <w:spacing w:line="260" w:lineRule="exact"/>
              <w:rPr>
                <w:rFonts w:hAnsi="宋体" w:cs="宋体"/>
                <w:szCs w:val="24"/>
              </w:rPr>
            </w:pPr>
            <w:r>
              <w:rPr>
                <w:rFonts w:hint="eastAsia" w:hAnsi="宋体" w:cs="宋体"/>
                <w:szCs w:val="24"/>
              </w:rPr>
              <w:t>未设置系统接线图和分路标记的，每处扣2分</w:t>
            </w:r>
          </w:p>
          <w:p>
            <w:pPr>
              <w:pStyle w:val="7"/>
              <w:spacing w:line="260" w:lineRule="exact"/>
              <w:rPr>
                <w:rFonts w:hAnsi="宋体" w:cs="宋体"/>
                <w:szCs w:val="24"/>
              </w:rPr>
            </w:pPr>
            <w:r>
              <w:rPr>
                <w:rFonts w:hint="eastAsia" w:hAnsi="宋体" w:cs="宋体"/>
                <w:szCs w:val="24"/>
              </w:rPr>
              <w:t>箱体及其安装位置、高度、周边通道不符合规范要求的，每处扣2分</w:t>
            </w:r>
          </w:p>
          <w:p>
            <w:pPr>
              <w:pStyle w:val="7"/>
              <w:spacing w:line="260" w:lineRule="exact"/>
              <w:rPr>
                <w:rFonts w:hAnsi="宋体" w:cs="宋体"/>
                <w:szCs w:val="24"/>
              </w:rPr>
            </w:pPr>
            <w:r>
              <w:rPr>
                <w:rFonts w:hint="eastAsia" w:hAnsi="宋体" w:cs="宋体"/>
                <w:szCs w:val="24"/>
              </w:rPr>
              <w:t>电箱使用不符合规定的，每处扣2分</w:t>
            </w:r>
          </w:p>
          <w:p>
            <w:pPr>
              <w:pStyle w:val="7"/>
              <w:spacing w:line="260" w:lineRule="exact"/>
              <w:rPr>
                <w:rFonts w:hAnsi="宋体" w:cs="宋体"/>
                <w:szCs w:val="24"/>
              </w:rPr>
            </w:pPr>
            <w:r>
              <w:rPr>
                <w:rFonts w:hint="eastAsia" w:hAnsi="宋体" w:cs="宋体"/>
                <w:szCs w:val="24"/>
              </w:rPr>
              <w:t>电焊机未采用专用开关箱的，每处扣2分</w:t>
            </w:r>
          </w:p>
        </w:tc>
        <w:tc>
          <w:tcPr>
            <w:tcW w:w="737" w:type="dxa"/>
            <w:noWrap/>
            <w:vAlign w:val="center"/>
          </w:tcPr>
          <w:p>
            <w:pPr>
              <w:pStyle w:val="7"/>
              <w:spacing w:line="260" w:lineRule="exact"/>
              <w:jc w:val="center"/>
              <w:rPr>
                <w:rFonts w:hAnsi="宋体" w:cs="宋体"/>
                <w:szCs w:val="24"/>
              </w:rPr>
            </w:pPr>
            <w:r>
              <w:rPr>
                <w:rFonts w:hint="eastAsia" w:hAnsi="宋体" w:cs="宋体"/>
                <w:szCs w:val="24"/>
              </w:rPr>
              <w:t>20</w:t>
            </w:r>
          </w:p>
        </w:tc>
        <w:tc>
          <w:tcPr>
            <w:tcW w:w="737" w:type="dxa"/>
            <w:noWrap/>
            <w:vAlign w:val="center"/>
          </w:tcPr>
          <w:p>
            <w:pPr>
              <w:pStyle w:val="7"/>
              <w:spacing w:line="260" w:lineRule="exact"/>
              <w:jc w:val="center"/>
              <w:rPr>
                <w:rFonts w:hAnsi="宋体" w:cs="宋体"/>
                <w:szCs w:val="24"/>
              </w:rPr>
            </w:pPr>
          </w:p>
        </w:tc>
        <w:tc>
          <w:tcPr>
            <w:tcW w:w="737" w:type="dxa"/>
            <w:noWrap/>
            <w:vAlign w:val="center"/>
          </w:tcPr>
          <w:p>
            <w:pPr>
              <w:pStyle w:val="7"/>
              <w:spacing w:line="260" w:lineRule="exact"/>
              <w:jc w:val="center"/>
              <w:rPr>
                <w:rFonts w:hAnsi="宋体" w:cs="宋体"/>
                <w:szCs w:val="24"/>
              </w:rPr>
            </w:pPr>
          </w:p>
        </w:tc>
      </w:tr>
    </w:tbl>
    <w:p>
      <w:pPr>
        <w:spacing w:line="360" w:lineRule="auto"/>
        <w:jc w:val="center"/>
        <w:rPr>
          <w:rFonts w:hAnsi="宋体" w:cs="宋体"/>
          <w:szCs w:val="21"/>
        </w:rPr>
      </w:pPr>
      <w:r>
        <w:rPr>
          <w:rFonts w:hint="eastAsia" w:hAnsi="宋体" w:cs="宋体"/>
          <w:szCs w:val="21"/>
        </w:rPr>
        <w:br w:type="page"/>
      </w:r>
      <w:r>
        <w:rPr>
          <w:rFonts w:hint="eastAsia" w:ascii="宋体" w:hAnsi="宋体" w:cs="SimSun,Bold"/>
          <w:b/>
          <w:kern w:val="0"/>
          <w:szCs w:val="21"/>
        </w:rPr>
        <w:t>续表B.</w:t>
      </w:r>
      <w:r>
        <w:rPr>
          <w:rFonts w:ascii="宋体" w:hAnsi="宋体" w:cs="SimSun,Bold"/>
          <w:b/>
          <w:kern w:val="0"/>
          <w:szCs w:val="21"/>
        </w:rPr>
        <w:t xml:space="preserve">0.8  </w:t>
      </w:r>
      <w:r>
        <w:rPr>
          <w:rFonts w:hint="eastAsia" w:ascii="宋体" w:hAnsi="宋体" w:cs="SimSun,Bold"/>
          <w:b/>
          <w:kern w:val="0"/>
          <w:szCs w:val="21"/>
        </w:rPr>
        <w:t>临时用电评价表</w:t>
      </w:r>
    </w:p>
    <w:tbl>
      <w:tblPr>
        <w:tblStyle w:val="16"/>
        <w:tblW w:w="8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848"/>
        <w:gridCol w:w="5386"/>
        <w:gridCol w:w="737"/>
        <w:gridCol w:w="737"/>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noWrap/>
            <w:vAlign w:val="center"/>
          </w:tcPr>
          <w:p>
            <w:pPr>
              <w:pStyle w:val="7"/>
              <w:spacing w:line="260" w:lineRule="exact"/>
              <w:jc w:val="center"/>
              <w:rPr>
                <w:rFonts w:hAnsi="宋体" w:cs="宋体"/>
                <w:szCs w:val="24"/>
              </w:rPr>
            </w:pPr>
            <w:r>
              <w:rPr>
                <w:rFonts w:hint="eastAsia" w:hAnsi="宋体" w:cs="宋体"/>
                <w:szCs w:val="24"/>
              </w:rPr>
              <w:t>6</w:t>
            </w:r>
          </w:p>
        </w:tc>
        <w:tc>
          <w:tcPr>
            <w:tcW w:w="848" w:type="dxa"/>
            <w:noWrap/>
            <w:vAlign w:val="center"/>
          </w:tcPr>
          <w:p>
            <w:pPr>
              <w:pStyle w:val="7"/>
              <w:spacing w:line="260" w:lineRule="exact"/>
              <w:jc w:val="center"/>
              <w:rPr>
                <w:rFonts w:hAnsi="宋体" w:cs="宋体"/>
                <w:szCs w:val="24"/>
              </w:rPr>
            </w:pPr>
            <w:r>
              <w:rPr>
                <w:rFonts w:hint="eastAsia" w:hAnsi="宋体" w:cs="宋体"/>
                <w:szCs w:val="24"/>
              </w:rPr>
              <w:t>现场</w:t>
            </w:r>
          </w:p>
          <w:p>
            <w:pPr>
              <w:pStyle w:val="7"/>
              <w:spacing w:line="260" w:lineRule="exact"/>
              <w:jc w:val="center"/>
              <w:rPr>
                <w:rFonts w:hAnsi="宋体" w:cs="宋体"/>
                <w:szCs w:val="24"/>
              </w:rPr>
            </w:pPr>
            <w:r>
              <w:rPr>
                <w:rFonts w:hint="eastAsia" w:hAnsi="宋体" w:cs="宋体"/>
                <w:szCs w:val="24"/>
              </w:rPr>
              <w:t>照明</w:t>
            </w:r>
          </w:p>
        </w:tc>
        <w:tc>
          <w:tcPr>
            <w:tcW w:w="5386" w:type="dxa"/>
            <w:noWrap/>
            <w:vAlign w:val="center"/>
          </w:tcPr>
          <w:p>
            <w:pPr>
              <w:pStyle w:val="7"/>
              <w:spacing w:line="260" w:lineRule="exact"/>
              <w:rPr>
                <w:rFonts w:hAnsi="宋体" w:cs="宋体"/>
                <w:szCs w:val="24"/>
              </w:rPr>
            </w:pPr>
            <w:r>
              <w:rPr>
                <w:rFonts w:hint="eastAsia" w:hAnsi="宋体" w:cs="宋体"/>
                <w:szCs w:val="24"/>
              </w:rPr>
              <w:t>特殊场所未使用36V及以下安全特低电压的，扣10分</w:t>
            </w:r>
          </w:p>
          <w:p>
            <w:pPr>
              <w:pStyle w:val="7"/>
              <w:spacing w:line="260" w:lineRule="exact"/>
              <w:rPr>
                <w:rFonts w:hAnsi="宋体" w:cs="宋体"/>
                <w:szCs w:val="24"/>
              </w:rPr>
            </w:pPr>
            <w:r>
              <w:rPr>
                <w:rFonts w:hint="eastAsia" w:hAnsi="宋体" w:cs="宋体"/>
                <w:szCs w:val="24"/>
              </w:rPr>
              <w:t>照明用电与动力用电混用的，每处扣2分</w:t>
            </w:r>
          </w:p>
          <w:p>
            <w:pPr>
              <w:pStyle w:val="7"/>
              <w:spacing w:line="260" w:lineRule="exact"/>
              <w:rPr>
                <w:rFonts w:hAnsi="宋体" w:cs="宋体"/>
                <w:szCs w:val="24"/>
              </w:rPr>
            </w:pPr>
            <w:r>
              <w:rPr>
                <w:rFonts w:hint="eastAsia" w:hAnsi="宋体" w:cs="宋体"/>
                <w:szCs w:val="24"/>
              </w:rPr>
              <w:t>灯具金属外壳未与保护接地导体（PE）</w:t>
            </w:r>
            <w:r>
              <w:rPr>
                <w:spacing w:val="-2"/>
                <w:szCs w:val="24"/>
              </w:rPr>
              <w:t>做</w:t>
            </w:r>
            <w:r>
              <w:rPr>
                <w:spacing w:val="-3"/>
                <w:szCs w:val="24"/>
              </w:rPr>
              <w:t>电气连接</w:t>
            </w:r>
            <w:r>
              <w:rPr>
                <w:rFonts w:hint="eastAsia" w:hAnsi="宋体" w:cs="宋体"/>
                <w:szCs w:val="24"/>
              </w:rPr>
              <w:t>的，每处扣2分</w:t>
            </w:r>
          </w:p>
          <w:p>
            <w:pPr>
              <w:pStyle w:val="7"/>
              <w:spacing w:line="260" w:lineRule="exact"/>
              <w:rPr>
                <w:rFonts w:hAnsi="宋体" w:cs="宋体"/>
                <w:szCs w:val="24"/>
              </w:rPr>
            </w:pPr>
            <w:r>
              <w:rPr>
                <w:rFonts w:hint="eastAsia" w:hAnsi="宋体" w:cs="宋体"/>
                <w:szCs w:val="24"/>
              </w:rPr>
              <w:t>灯具与地面、易燃物之间小于安全距离的，每处扣2分</w:t>
            </w:r>
          </w:p>
        </w:tc>
        <w:tc>
          <w:tcPr>
            <w:tcW w:w="737" w:type="dxa"/>
            <w:noWrap/>
            <w:vAlign w:val="center"/>
          </w:tcPr>
          <w:p>
            <w:pPr>
              <w:pStyle w:val="7"/>
              <w:spacing w:line="260" w:lineRule="exact"/>
              <w:jc w:val="center"/>
              <w:rPr>
                <w:rFonts w:hAnsi="宋体" w:cs="宋体"/>
                <w:szCs w:val="24"/>
              </w:rPr>
            </w:pPr>
            <w:r>
              <w:rPr>
                <w:rFonts w:hint="eastAsia" w:hAnsi="宋体" w:cs="宋体"/>
                <w:szCs w:val="24"/>
              </w:rPr>
              <w:t>10</w:t>
            </w:r>
          </w:p>
        </w:tc>
        <w:tc>
          <w:tcPr>
            <w:tcW w:w="737" w:type="dxa"/>
            <w:noWrap/>
            <w:vAlign w:val="center"/>
          </w:tcPr>
          <w:p>
            <w:pPr>
              <w:pStyle w:val="7"/>
              <w:spacing w:line="260" w:lineRule="exact"/>
              <w:jc w:val="center"/>
              <w:rPr>
                <w:rFonts w:hAnsi="宋体" w:cs="宋体"/>
                <w:szCs w:val="24"/>
              </w:rPr>
            </w:pPr>
          </w:p>
        </w:tc>
        <w:tc>
          <w:tcPr>
            <w:tcW w:w="737" w:type="dxa"/>
            <w:noWrap/>
            <w:vAlign w:val="center"/>
          </w:tcPr>
          <w:p>
            <w:pPr>
              <w:pStyle w:val="7"/>
              <w:spacing w:line="260" w:lineRule="exact"/>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noWrap/>
            <w:vAlign w:val="center"/>
          </w:tcPr>
          <w:p>
            <w:pPr>
              <w:pStyle w:val="7"/>
              <w:spacing w:line="260" w:lineRule="exact"/>
              <w:jc w:val="center"/>
              <w:rPr>
                <w:rFonts w:hAnsi="宋体"/>
                <w:szCs w:val="24"/>
              </w:rPr>
            </w:pPr>
            <w:r>
              <w:rPr>
                <w:rFonts w:hint="eastAsia" w:hAnsi="宋体" w:cs="宋体"/>
                <w:szCs w:val="24"/>
              </w:rPr>
              <w:t>7</w:t>
            </w:r>
          </w:p>
        </w:tc>
        <w:tc>
          <w:tcPr>
            <w:tcW w:w="848" w:type="dxa"/>
            <w:noWrap/>
            <w:vAlign w:val="center"/>
          </w:tcPr>
          <w:p>
            <w:pPr>
              <w:pStyle w:val="7"/>
              <w:spacing w:line="260" w:lineRule="exact"/>
              <w:jc w:val="center"/>
              <w:rPr>
                <w:rFonts w:hAnsi="宋体" w:cs="宋体"/>
                <w:szCs w:val="24"/>
              </w:rPr>
            </w:pPr>
            <w:r>
              <w:rPr>
                <w:rFonts w:hint="eastAsia" w:hAnsi="宋体" w:cs="宋体"/>
                <w:szCs w:val="24"/>
              </w:rPr>
              <w:t>用电</w:t>
            </w:r>
          </w:p>
          <w:p>
            <w:pPr>
              <w:pStyle w:val="7"/>
              <w:spacing w:line="260" w:lineRule="exact"/>
              <w:jc w:val="center"/>
              <w:rPr>
                <w:rFonts w:hAnsi="宋体"/>
                <w:szCs w:val="24"/>
              </w:rPr>
            </w:pPr>
            <w:r>
              <w:rPr>
                <w:rFonts w:hint="eastAsia" w:hAnsi="宋体" w:cs="宋体"/>
                <w:szCs w:val="24"/>
              </w:rPr>
              <w:t>档案</w:t>
            </w:r>
          </w:p>
        </w:tc>
        <w:tc>
          <w:tcPr>
            <w:tcW w:w="5386" w:type="dxa"/>
            <w:noWrap/>
            <w:vAlign w:val="center"/>
          </w:tcPr>
          <w:p>
            <w:pPr>
              <w:pStyle w:val="7"/>
              <w:spacing w:line="260" w:lineRule="exact"/>
              <w:rPr>
                <w:rFonts w:hAnsi="宋体" w:cs="宋体"/>
                <w:szCs w:val="24"/>
              </w:rPr>
            </w:pPr>
            <w:r>
              <w:rPr>
                <w:rFonts w:hint="eastAsia" w:hAnsi="宋体" w:cs="宋体"/>
                <w:szCs w:val="24"/>
              </w:rPr>
              <w:t>电工巡查记录、接地电阻检测记录及剩余电流动作保护器测试记录等未按规定填写，或记录不真实的，扣3-5分</w:t>
            </w:r>
          </w:p>
          <w:p>
            <w:pPr>
              <w:pStyle w:val="7"/>
              <w:spacing w:line="260" w:lineRule="exact"/>
              <w:rPr>
                <w:rFonts w:hAnsi="宋体" w:cs="宋体"/>
                <w:szCs w:val="24"/>
              </w:rPr>
            </w:pPr>
            <w:r>
              <w:rPr>
                <w:rFonts w:hint="eastAsia" w:hAnsi="宋体" w:cs="宋体"/>
                <w:szCs w:val="24"/>
              </w:rPr>
              <w:t>用电管理档案资料不齐全的，扣5分</w:t>
            </w:r>
          </w:p>
        </w:tc>
        <w:tc>
          <w:tcPr>
            <w:tcW w:w="737" w:type="dxa"/>
            <w:noWrap/>
            <w:vAlign w:val="center"/>
          </w:tcPr>
          <w:p>
            <w:pPr>
              <w:pStyle w:val="7"/>
              <w:spacing w:line="260" w:lineRule="exact"/>
              <w:jc w:val="center"/>
              <w:rPr>
                <w:rFonts w:hAnsi="宋体"/>
                <w:szCs w:val="24"/>
              </w:rPr>
            </w:pPr>
            <w:r>
              <w:rPr>
                <w:rFonts w:hint="eastAsia" w:hAnsi="宋体" w:cs="宋体"/>
                <w:szCs w:val="24"/>
              </w:rPr>
              <w:t>10</w:t>
            </w:r>
          </w:p>
        </w:tc>
        <w:tc>
          <w:tcPr>
            <w:tcW w:w="737" w:type="dxa"/>
            <w:noWrap/>
            <w:vAlign w:val="center"/>
          </w:tcPr>
          <w:p>
            <w:pPr>
              <w:pStyle w:val="7"/>
              <w:spacing w:line="260" w:lineRule="exact"/>
              <w:jc w:val="center"/>
              <w:rPr>
                <w:rFonts w:hAnsi="宋体" w:cs="宋体"/>
                <w:szCs w:val="24"/>
              </w:rPr>
            </w:pPr>
          </w:p>
        </w:tc>
        <w:tc>
          <w:tcPr>
            <w:tcW w:w="737" w:type="dxa"/>
            <w:noWrap/>
            <w:vAlign w:val="center"/>
          </w:tcPr>
          <w:p>
            <w:pPr>
              <w:pStyle w:val="7"/>
              <w:spacing w:line="260" w:lineRule="exact"/>
              <w:jc w:val="center"/>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0" w:type="dxa"/>
            <w:gridSpan w:val="3"/>
            <w:noWrap/>
            <w:vAlign w:val="center"/>
          </w:tcPr>
          <w:p>
            <w:pPr>
              <w:pStyle w:val="7"/>
              <w:spacing w:line="260" w:lineRule="exact"/>
              <w:jc w:val="center"/>
              <w:rPr>
                <w:rFonts w:hAnsi="宋体" w:cs="宋体"/>
                <w:szCs w:val="24"/>
              </w:rPr>
            </w:pPr>
            <w:r>
              <w:rPr>
                <w:rFonts w:hint="eastAsia" w:hAnsi="宋体"/>
                <w:szCs w:val="24"/>
              </w:rPr>
              <w:t>合计</w:t>
            </w:r>
          </w:p>
        </w:tc>
        <w:tc>
          <w:tcPr>
            <w:tcW w:w="737" w:type="dxa"/>
            <w:noWrap/>
            <w:vAlign w:val="center"/>
          </w:tcPr>
          <w:p>
            <w:pPr>
              <w:pStyle w:val="7"/>
              <w:spacing w:line="260" w:lineRule="exact"/>
              <w:jc w:val="center"/>
              <w:rPr>
                <w:rFonts w:hAnsi="宋体" w:cs="宋体"/>
                <w:szCs w:val="24"/>
              </w:rPr>
            </w:pPr>
            <w:r>
              <w:rPr>
                <w:rFonts w:hint="eastAsia" w:hAnsi="宋体" w:cs="宋体"/>
                <w:szCs w:val="24"/>
              </w:rPr>
              <w:t>100</w:t>
            </w:r>
          </w:p>
        </w:tc>
        <w:tc>
          <w:tcPr>
            <w:tcW w:w="737" w:type="dxa"/>
            <w:noWrap/>
            <w:vAlign w:val="center"/>
          </w:tcPr>
          <w:p>
            <w:pPr>
              <w:pStyle w:val="7"/>
              <w:spacing w:line="260" w:lineRule="exact"/>
              <w:jc w:val="center"/>
              <w:rPr>
                <w:rFonts w:hAnsi="宋体" w:cs="宋体"/>
                <w:szCs w:val="24"/>
              </w:rPr>
            </w:pPr>
          </w:p>
        </w:tc>
        <w:tc>
          <w:tcPr>
            <w:tcW w:w="737" w:type="dxa"/>
            <w:noWrap/>
            <w:vAlign w:val="center"/>
          </w:tcPr>
          <w:p>
            <w:pPr>
              <w:pStyle w:val="7"/>
              <w:spacing w:line="260" w:lineRule="exact"/>
              <w:jc w:val="center"/>
              <w:rPr>
                <w:rFonts w:hAnsi="宋体" w:cs="宋体"/>
                <w:szCs w:val="24"/>
              </w:rPr>
            </w:pPr>
          </w:p>
        </w:tc>
      </w:tr>
    </w:tbl>
    <w:p>
      <w:pPr>
        <w:pStyle w:val="7"/>
        <w:rPr>
          <w:rFonts w:hAnsi="宋体" w:cs="宋体"/>
          <w:b/>
          <w:szCs w:val="21"/>
        </w:rPr>
      </w:pPr>
      <w:r>
        <w:rPr>
          <w:rFonts w:hint="eastAsia" w:hAnsi="宋体" w:cs="宋体"/>
          <w:szCs w:val="24"/>
        </w:rPr>
        <w:t>评价人员：</w:t>
      </w:r>
      <w:r>
        <w:rPr>
          <w:rFonts w:hint="eastAsia" w:hAnsi="宋体"/>
          <w:szCs w:val="24"/>
        </w:rPr>
        <w:t xml:space="preserve">                                              年    月    日</w:t>
      </w: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sz w:val="18"/>
          <w:szCs w:val="18"/>
        </w:rPr>
      </w:pPr>
    </w:p>
    <w:p>
      <w:pPr>
        <w:spacing w:beforeLines="50" w:afterLines="50" w:line="400" w:lineRule="exact"/>
        <w:jc w:val="center"/>
        <w:rPr>
          <w:rFonts w:hAnsi="宋体" w:cs="宋体"/>
          <w:b/>
        </w:rPr>
      </w:pPr>
      <w:r>
        <w:rPr>
          <w:rFonts w:hint="eastAsia" w:ascii="宋体" w:hAnsi="宋体" w:cs="SimSun,Bold"/>
          <w:b/>
          <w:kern w:val="0"/>
          <w:szCs w:val="21"/>
        </w:rPr>
        <w:t>表</w:t>
      </w:r>
      <w:r>
        <w:rPr>
          <w:rFonts w:ascii="宋体" w:hAnsi="宋体" w:cs="SimSun,Bold"/>
          <w:b/>
          <w:kern w:val="0"/>
          <w:szCs w:val="21"/>
        </w:rPr>
        <w:t>B</w:t>
      </w:r>
      <w:r>
        <w:rPr>
          <w:rFonts w:hint="eastAsia" w:ascii="宋体" w:hAnsi="宋体" w:cs="SimSun,Bold"/>
          <w:b/>
          <w:kern w:val="0"/>
          <w:szCs w:val="21"/>
        </w:rPr>
        <w:t>.0.9建筑</w:t>
      </w:r>
      <w:r>
        <w:rPr>
          <w:rFonts w:ascii="宋体" w:hAnsi="宋体" w:cs="SimSun,Bold"/>
          <w:b/>
          <w:kern w:val="0"/>
          <w:szCs w:val="21"/>
        </w:rPr>
        <w:t>机械设备</w:t>
      </w:r>
      <w:r>
        <w:rPr>
          <w:rFonts w:hint="eastAsia" w:ascii="宋体" w:hAnsi="宋体" w:cs="SimSun,Bold"/>
          <w:b/>
          <w:kern w:val="0"/>
          <w:szCs w:val="21"/>
        </w:rPr>
        <w:t>评价表</w:t>
      </w:r>
    </w:p>
    <w:tbl>
      <w:tblPr>
        <w:tblStyle w:val="16"/>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726"/>
        <w:gridCol w:w="5409"/>
        <w:gridCol w:w="827"/>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exact"/>
        </w:trPr>
        <w:tc>
          <w:tcPr>
            <w:tcW w:w="552" w:type="dxa"/>
            <w:noWrap/>
            <w:vAlign w:val="center"/>
          </w:tcPr>
          <w:p>
            <w:pPr>
              <w:pStyle w:val="7"/>
              <w:spacing w:line="240" w:lineRule="auto"/>
              <w:rPr>
                <w:rFonts w:hAnsi="宋体" w:cs="宋体"/>
                <w:szCs w:val="24"/>
              </w:rPr>
            </w:pPr>
            <w:r>
              <w:rPr>
                <w:rFonts w:hint="eastAsia" w:hAnsi="宋体" w:cs="宋体"/>
                <w:szCs w:val="24"/>
              </w:rPr>
              <w:t>序号</w:t>
            </w:r>
          </w:p>
        </w:tc>
        <w:tc>
          <w:tcPr>
            <w:tcW w:w="726" w:type="dxa"/>
            <w:noWrap/>
            <w:vAlign w:val="center"/>
          </w:tcPr>
          <w:p>
            <w:pPr>
              <w:pStyle w:val="7"/>
              <w:spacing w:line="240" w:lineRule="auto"/>
              <w:jc w:val="center"/>
              <w:rPr>
                <w:rFonts w:hAnsi="宋体" w:cs="宋体"/>
                <w:szCs w:val="24"/>
              </w:rPr>
            </w:pPr>
            <w:r>
              <w:rPr>
                <w:rFonts w:hint="eastAsia" w:hAnsi="宋体" w:cs="宋体"/>
                <w:szCs w:val="24"/>
              </w:rPr>
              <w:t xml:space="preserve">评价 </w:t>
            </w:r>
          </w:p>
          <w:p>
            <w:pPr>
              <w:pStyle w:val="7"/>
              <w:spacing w:line="240" w:lineRule="auto"/>
              <w:jc w:val="center"/>
              <w:rPr>
                <w:rFonts w:hAnsi="宋体" w:cs="宋体"/>
                <w:szCs w:val="24"/>
              </w:rPr>
            </w:pPr>
            <w:r>
              <w:rPr>
                <w:rFonts w:hint="eastAsia" w:hAnsi="宋体" w:cs="宋体"/>
                <w:szCs w:val="24"/>
              </w:rPr>
              <w:t>项目</w:t>
            </w:r>
          </w:p>
        </w:tc>
        <w:tc>
          <w:tcPr>
            <w:tcW w:w="5409" w:type="dxa"/>
            <w:noWrap/>
            <w:vAlign w:val="center"/>
          </w:tcPr>
          <w:p>
            <w:pPr>
              <w:pStyle w:val="7"/>
              <w:spacing w:line="240" w:lineRule="auto"/>
              <w:jc w:val="center"/>
              <w:rPr>
                <w:rFonts w:hAnsi="宋体" w:cs="宋体"/>
                <w:szCs w:val="24"/>
              </w:rPr>
            </w:pPr>
            <w:r>
              <w:rPr>
                <w:rFonts w:hint="eastAsia" w:hAnsi="宋体" w:cs="宋体"/>
                <w:szCs w:val="24"/>
              </w:rPr>
              <w:t>评价标准</w:t>
            </w:r>
          </w:p>
        </w:tc>
        <w:tc>
          <w:tcPr>
            <w:tcW w:w="827" w:type="dxa"/>
            <w:noWrap/>
            <w:vAlign w:val="center"/>
          </w:tcPr>
          <w:p>
            <w:pPr>
              <w:pStyle w:val="7"/>
              <w:spacing w:line="240" w:lineRule="auto"/>
              <w:jc w:val="center"/>
              <w:rPr>
                <w:rFonts w:hAnsi="宋体" w:cs="宋体"/>
                <w:szCs w:val="24"/>
              </w:rPr>
            </w:pPr>
            <w:r>
              <w:rPr>
                <w:rFonts w:hint="eastAsia" w:hAnsi="宋体" w:cs="宋体"/>
                <w:szCs w:val="24"/>
              </w:rPr>
              <w:t>应得分</w:t>
            </w:r>
          </w:p>
        </w:tc>
        <w:tc>
          <w:tcPr>
            <w:tcW w:w="708" w:type="dxa"/>
            <w:noWrap/>
            <w:vAlign w:val="center"/>
          </w:tcPr>
          <w:p>
            <w:pPr>
              <w:pStyle w:val="7"/>
              <w:spacing w:line="240" w:lineRule="auto"/>
              <w:jc w:val="center"/>
              <w:rPr>
                <w:rFonts w:hAnsi="宋体" w:cs="宋体"/>
                <w:szCs w:val="24"/>
              </w:rPr>
            </w:pPr>
            <w:r>
              <w:rPr>
                <w:rFonts w:hint="eastAsia" w:hAnsi="宋体" w:cs="宋体"/>
                <w:szCs w:val="24"/>
              </w:rPr>
              <w:t>扣减分</w:t>
            </w:r>
          </w:p>
        </w:tc>
        <w:tc>
          <w:tcPr>
            <w:tcW w:w="709" w:type="dxa"/>
            <w:noWrap/>
            <w:vAlign w:val="center"/>
          </w:tcPr>
          <w:p>
            <w:pPr>
              <w:pStyle w:val="7"/>
              <w:spacing w:line="240" w:lineRule="auto"/>
              <w:jc w:val="center"/>
              <w:rPr>
                <w:rFonts w:hAnsi="宋体" w:cs="宋体"/>
                <w:szCs w:val="24"/>
              </w:rPr>
            </w:pPr>
            <w:r>
              <w:rPr>
                <w:rFonts w:hint="eastAsia" w:hAnsi="宋体" w:cs="宋体"/>
                <w:szCs w:val="24"/>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dxa"/>
            <w:noWrap/>
            <w:vAlign w:val="center"/>
          </w:tcPr>
          <w:p>
            <w:pPr>
              <w:pStyle w:val="7"/>
              <w:spacing w:line="240" w:lineRule="auto"/>
              <w:jc w:val="center"/>
              <w:rPr>
                <w:rFonts w:hAnsi="宋体" w:cs="宋体"/>
                <w:szCs w:val="24"/>
              </w:rPr>
            </w:pPr>
            <w:r>
              <w:rPr>
                <w:rFonts w:hint="eastAsia" w:hAnsi="宋体" w:cs="宋体"/>
                <w:szCs w:val="24"/>
              </w:rPr>
              <w:t>1</w:t>
            </w:r>
          </w:p>
        </w:tc>
        <w:tc>
          <w:tcPr>
            <w:tcW w:w="726" w:type="dxa"/>
            <w:noWrap/>
            <w:vAlign w:val="center"/>
          </w:tcPr>
          <w:p>
            <w:pPr>
              <w:pStyle w:val="7"/>
              <w:spacing w:line="240" w:lineRule="auto"/>
              <w:jc w:val="center"/>
              <w:rPr>
                <w:rFonts w:hAnsi="宋体" w:cs="宋体"/>
                <w:szCs w:val="24"/>
              </w:rPr>
            </w:pPr>
            <w:r>
              <w:rPr>
                <w:rFonts w:hint="eastAsia" w:hAnsi="宋体" w:cs="宋体"/>
                <w:szCs w:val="24"/>
              </w:rPr>
              <w:t>安全管理</w:t>
            </w:r>
          </w:p>
        </w:tc>
        <w:tc>
          <w:tcPr>
            <w:tcW w:w="5409" w:type="dxa"/>
            <w:noWrap/>
            <w:vAlign w:val="center"/>
          </w:tcPr>
          <w:p>
            <w:pPr>
              <w:pStyle w:val="7"/>
              <w:spacing w:line="240" w:lineRule="auto"/>
              <w:rPr>
                <w:rFonts w:hAnsi="宋体" w:cs="宋体"/>
                <w:szCs w:val="24"/>
              </w:rPr>
            </w:pPr>
            <w:r>
              <w:rPr>
                <w:rFonts w:hint="eastAsia" w:hAnsi="宋体" w:cs="宋体"/>
                <w:szCs w:val="24"/>
              </w:rPr>
              <w:t>建筑起重机械安拆、起重吊装等作业未编制专项施工方案的，扣20分；审批手续不齐全的，扣10分</w:t>
            </w:r>
          </w:p>
          <w:p>
            <w:pPr>
              <w:pStyle w:val="7"/>
              <w:spacing w:line="240" w:lineRule="auto"/>
              <w:rPr>
                <w:rFonts w:hAnsi="宋体" w:cs="宋体"/>
                <w:szCs w:val="24"/>
              </w:rPr>
            </w:pPr>
            <w:r>
              <w:rPr>
                <w:rFonts w:hint="eastAsia" w:hAnsi="宋体" w:cs="宋体"/>
                <w:szCs w:val="24"/>
              </w:rPr>
              <w:t>建筑起重机械无制造许可证或质量合格证明文件的，扣20分</w:t>
            </w:r>
          </w:p>
          <w:p>
            <w:pPr>
              <w:pStyle w:val="7"/>
              <w:spacing w:line="240" w:lineRule="auto"/>
              <w:rPr>
                <w:rFonts w:hAnsi="宋体" w:cs="宋体"/>
                <w:szCs w:val="24"/>
              </w:rPr>
            </w:pPr>
            <w:r>
              <w:rPr>
                <w:rFonts w:hint="eastAsia" w:hAnsi="宋体" w:cs="宋体"/>
                <w:szCs w:val="24"/>
              </w:rPr>
              <w:t>建筑起重机械未经安拆告知、检测、联合验收、使用登记的，扣10分</w:t>
            </w:r>
          </w:p>
          <w:p>
            <w:pPr>
              <w:pStyle w:val="7"/>
              <w:spacing w:line="240" w:lineRule="auto"/>
              <w:rPr>
                <w:rFonts w:hAnsi="宋体" w:cs="宋体"/>
                <w:szCs w:val="24"/>
              </w:rPr>
            </w:pPr>
            <w:r>
              <w:rPr>
                <w:rFonts w:hint="eastAsia" w:hAnsi="宋体" w:cs="宋体"/>
                <w:szCs w:val="24"/>
              </w:rPr>
              <w:t>未按要求进行维保或维保记录不全的，扣3-10分</w:t>
            </w:r>
          </w:p>
          <w:p>
            <w:pPr>
              <w:pStyle w:val="7"/>
              <w:spacing w:line="240" w:lineRule="auto"/>
              <w:rPr>
                <w:rFonts w:hAnsi="宋体" w:cs="宋体"/>
                <w:szCs w:val="24"/>
              </w:rPr>
            </w:pPr>
            <w:r>
              <w:rPr>
                <w:rFonts w:hint="eastAsia" w:hAnsi="宋体" w:cs="宋体"/>
                <w:szCs w:val="24"/>
              </w:rPr>
              <w:t>未按要求</w:t>
            </w:r>
            <w:r>
              <w:rPr>
                <w:rFonts w:hint="eastAsia" w:hAnsi="宋体"/>
                <w:szCs w:val="24"/>
              </w:rPr>
              <w:t>进行班前检查或无记录的，扣2-5分</w:t>
            </w:r>
          </w:p>
        </w:tc>
        <w:tc>
          <w:tcPr>
            <w:tcW w:w="827" w:type="dxa"/>
            <w:noWrap/>
            <w:vAlign w:val="center"/>
          </w:tcPr>
          <w:p>
            <w:pPr>
              <w:pStyle w:val="7"/>
              <w:spacing w:line="240" w:lineRule="auto"/>
              <w:jc w:val="center"/>
              <w:rPr>
                <w:rFonts w:hAnsi="宋体" w:cs="宋体"/>
                <w:szCs w:val="24"/>
              </w:rPr>
            </w:pPr>
            <w:r>
              <w:rPr>
                <w:rFonts w:hint="eastAsia" w:hAnsi="宋体" w:cs="宋体"/>
                <w:szCs w:val="24"/>
              </w:rPr>
              <w:t>20</w:t>
            </w:r>
          </w:p>
        </w:tc>
        <w:tc>
          <w:tcPr>
            <w:tcW w:w="708" w:type="dxa"/>
            <w:noWrap/>
            <w:vAlign w:val="center"/>
          </w:tcPr>
          <w:p>
            <w:pPr>
              <w:pStyle w:val="7"/>
              <w:spacing w:line="240" w:lineRule="auto"/>
              <w:rPr>
                <w:rFonts w:hAnsi="宋体" w:cs="宋体"/>
                <w:szCs w:val="24"/>
              </w:rPr>
            </w:pPr>
          </w:p>
        </w:tc>
        <w:tc>
          <w:tcPr>
            <w:tcW w:w="709" w:type="dxa"/>
            <w:noWrap/>
            <w:vAlign w:val="center"/>
          </w:tcPr>
          <w:p>
            <w:pPr>
              <w:pStyle w:val="7"/>
              <w:spacing w:line="240" w:lineRule="auto"/>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dxa"/>
            <w:noWrap/>
            <w:vAlign w:val="center"/>
          </w:tcPr>
          <w:p>
            <w:pPr>
              <w:pStyle w:val="7"/>
              <w:spacing w:line="240" w:lineRule="auto"/>
              <w:jc w:val="center"/>
              <w:rPr>
                <w:rFonts w:hAnsi="宋体" w:cs="宋体"/>
                <w:szCs w:val="24"/>
              </w:rPr>
            </w:pPr>
            <w:r>
              <w:rPr>
                <w:rFonts w:hint="eastAsia" w:hAnsi="宋体" w:cs="宋体"/>
                <w:szCs w:val="24"/>
              </w:rPr>
              <w:t>2</w:t>
            </w:r>
          </w:p>
        </w:tc>
        <w:tc>
          <w:tcPr>
            <w:tcW w:w="726" w:type="dxa"/>
            <w:noWrap/>
            <w:vAlign w:val="center"/>
          </w:tcPr>
          <w:p>
            <w:pPr>
              <w:widowControl/>
              <w:jc w:val="center"/>
              <w:rPr>
                <w:rFonts w:ascii="宋体" w:hAnsi="宋体"/>
              </w:rPr>
            </w:pPr>
            <w:r>
              <w:rPr>
                <w:rFonts w:hint="eastAsia" w:ascii="宋体" w:hAnsi="宋体"/>
              </w:rPr>
              <w:t>基础与</w:t>
            </w:r>
          </w:p>
          <w:p>
            <w:pPr>
              <w:pStyle w:val="7"/>
              <w:spacing w:line="240" w:lineRule="auto"/>
              <w:rPr>
                <w:rFonts w:hAnsi="宋体" w:cs="宋体"/>
                <w:szCs w:val="24"/>
              </w:rPr>
            </w:pPr>
            <w:r>
              <w:rPr>
                <w:rFonts w:hint="eastAsia" w:hAnsi="宋体"/>
                <w:szCs w:val="24"/>
              </w:rPr>
              <w:t>附着</w:t>
            </w:r>
          </w:p>
        </w:tc>
        <w:tc>
          <w:tcPr>
            <w:tcW w:w="5409" w:type="dxa"/>
            <w:noWrap/>
            <w:vAlign w:val="center"/>
          </w:tcPr>
          <w:p>
            <w:pPr>
              <w:pStyle w:val="7"/>
              <w:spacing w:line="240" w:lineRule="auto"/>
              <w:rPr>
                <w:rFonts w:hAnsi="宋体"/>
                <w:szCs w:val="24"/>
              </w:rPr>
            </w:pPr>
            <w:r>
              <w:rPr>
                <w:rFonts w:hint="eastAsia" w:hAnsi="宋体" w:cs="宋体"/>
                <w:szCs w:val="24"/>
              </w:rPr>
              <w:t>基础</w:t>
            </w:r>
            <w:r>
              <w:rPr>
                <w:rFonts w:hint="eastAsia" w:hAnsi="宋体"/>
                <w:szCs w:val="24"/>
              </w:rPr>
              <w:t>承载力及坡度不符合要求的，扣3-10分</w:t>
            </w:r>
          </w:p>
          <w:p>
            <w:pPr>
              <w:pStyle w:val="7"/>
              <w:spacing w:line="240" w:lineRule="auto"/>
              <w:rPr>
                <w:rFonts w:hAnsi="宋体"/>
                <w:szCs w:val="24"/>
              </w:rPr>
            </w:pPr>
            <w:r>
              <w:rPr>
                <w:rFonts w:hint="eastAsia" w:hAnsi="宋体"/>
                <w:szCs w:val="24"/>
              </w:rPr>
              <w:t>汽车式起重机、混凝土泵车等支腿支设不符合要求的，扣3-10分</w:t>
            </w:r>
          </w:p>
          <w:p>
            <w:pPr>
              <w:pStyle w:val="7"/>
              <w:spacing w:line="240" w:lineRule="auto"/>
              <w:rPr>
                <w:rFonts w:hAnsi="宋体"/>
                <w:szCs w:val="24"/>
              </w:rPr>
            </w:pPr>
            <w:r>
              <w:rPr>
                <w:rFonts w:hint="eastAsia" w:hAnsi="宋体" w:cs="宋体"/>
                <w:szCs w:val="24"/>
              </w:rPr>
              <w:t>建筑起重机械附着装置的结构形式、角度、水平距离等不能满足产品说明书要求且未进行设计计算和审批的，</w:t>
            </w:r>
            <w:r>
              <w:rPr>
                <w:rFonts w:hint="eastAsia" w:hAnsi="宋体"/>
                <w:szCs w:val="24"/>
              </w:rPr>
              <w:t>扣5-10分</w:t>
            </w:r>
          </w:p>
          <w:p>
            <w:pPr>
              <w:pStyle w:val="7"/>
              <w:spacing w:line="240" w:lineRule="auto"/>
              <w:rPr>
                <w:rFonts w:hAnsi="宋体"/>
                <w:szCs w:val="24"/>
              </w:rPr>
            </w:pPr>
            <w:r>
              <w:rPr>
                <w:rFonts w:hint="eastAsia" w:hAnsi="宋体" w:cs="宋体"/>
                <w:szCs w:val="24"/>
              </w:rPr>
              <w:t>建筑</w:t>
            </w:r>
            <w:r>
              <w:rPr>
                <w:rFonts w:hint="eastAsia" w:hAnsi="宋体"/>
                <w:szCs w:val="24"/>
              </w:rPr>
              <w:t>起重机械附着前后的垂直度检查记录缺失的，扣2-5分</w:t>
            </w:r>
          </w:p>
        </w:tc>
        <w:tc>
          <w:tcPr>
            <w:tcW w:w="827" w:type="dxa"/>
            <w:noWrap/>
            <w:vAlign w:val="center"/>
          </w:tcPr>
          <w:p>
            <w:pPr>
              <w:pStyle w:val="7"/>
              <w:spacing w:line="240" w:lineRule="auto"/>
              <w:jc w:val="center"/>
              <w:rPr>
                <w:rFonts w:hAnsi="宋体" w:cs="宋体"/>
                <w:szCs w:val="24"/>
              </w:rPr>
            </w:pPr>
            <w:r>
              <w:rPr>
                <w:rFonts w:hint="eastAsia" w:hAnsi="宋体" w:cs="宋体"/>
                <w:szCs w:val="24"/>
              </w:rPr>
              <w:t>10</w:t>
            </w:r>
          </w:p>
        </w:tc>
        <w:tc>
          <w:tcPr>
            <w:tcW w:w="708" w:type="dxa"/>
            <w:noWrap/>
            <w:vAlign w:val="center"/>
          </w:tcPr>
          <w:p>
            <w:pPr>
              <w:pStyle w:val="7"/>
              <w:spacing w:line="240" w:lineRule="auto"/>
              <w:rPr>
                <w:rFonts w:hAnsi="宋体" w:cs="宋体"/>
                <w:szCs w:val="24"/>
              </w:rPr>
            </w:pPr>
          </w:p>
        </w:tc>
        <w:tc>
          <w:tcPr>
            <w:tcW w:w="709" w:type="dxa"/>
            <w:noWrap/>
            <w:vAlign w:val="center"/>
          </w:tcPr>
          <w:p>
            <w:pPr>
              <w:pStyle w:val="7"/>
              <w:spacing w:line="240" w:lineRule="auto"/>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dxa"/>
            <w:noWrap/>
            <w:vAlign w:val="center"/>
          </w:tcPr>
          <w:p>
            <w:pPr>
              <w:pStyle w:val="7"/>
              <w:spacing w:line="240" w:lineRule="auto"/>
              <w:jc w:val="center"/>
              <w:rPr>
                <w:rFonts w:hAnsi="宋体" w:cs="宋体"/>
                <w:szCs w:val="24"/>
              </w:rPr>
            </w:pPr>
            <w:r>
              <w:rPr>
                <w:rFonts w:hint="eastAsia" w:hAnsi="宋体" w:cs="宋体"/>
                <w:szCs w:val="24"/>
              </w:rPr>
              <w:t>3</w:t>
            </w:r>
          </w:p>
        </w:tc>
        <w:tc>
          <w:tcPr>
            <w:tcW w:w="726" w:type="dxa"/>
            <w:noWrap/>
            <w:vAlign w:val="center"/>
          </w:tcPr>
          <w:p>
            <w:pPr>
              <w:pStyle w:val="7"/>
              <w:spacing w:line="240" w:lineRule="auto"/>
              <w:jc w:val="center"/>
              <w:rPr>
                <w:rFonts w:hAnsi="宋体" w:cs="宋体"/>
                <w:szCs w:val="24"/>
              </w:rPr>
            </w:pPr>
            <w:r>
              <w:rPr>
                <w:rFonts w:hint="eastAsia" w:hAnsi="宋体"/>
                <w:szCs w:val="24"/>
              </w:rPr>
              <w:t>结构设施</w:t>
            </w:r>
          </w:p>
        </w:tc>
        <w:tc>
          <w:tcPr>
            <w:tcW w:w="5409" w:type="dxa"/>
            <w:noWrap/>
            <w:vAlign w:val="center"/>
          </w:tcPr>
          <w:p>
            <w:pPr>
              <w:pStyle w:val="7"/>
              <w:spacing w:line="240" w:lineRule="auto"/>
              <w:rPr>
                <w:rFonts w:hAnsi="宋体"/>
                <w:szCs w:val="24"/>
              </w:rPr>
            </w:pPr>
            <w:r>
              <w:rPr>
                <w:rFonts w:hint="eastAsia" w:hAnsi="宋体"/>
                <w:szCs w:val="24"/>
              </w:rPr>
              <w:t>结构件出现严重变形、开焊、裂纹、锈蚀等现象的，扣</w:t>
            </w:r>
            <w:r>
              <w:rPr>
                <w:rFonts w:hint="eastAsia" w:hAnsi="宋体" w:cs="宋体"/>
                <w:szCs w:val="24"/>
              </w:rPr>
              <w:t>5-10</w:t>
            </w:r>
            <w:r>
              <w:rPr>
                <w:rFonts w:hint="eastAsia" w:hAnsi="宋体"/>
                <w:szCs w:val="24"/>
              </w:rPr>
              <w:t>分</w:t>
            </w:r>
          </w:p>
          <w:p>
            <w:pPr>
              <w:pStyle w:val="7"/>
              <w:spacing w:line="240" w:lineRule="auto"/>
              <w:rPr>
                <w:rFonts w:hAnsi="宋体" w:cs="宋体"/>
                <w:szCs w:val="24"/>
              </w:rPr>
            </w:pPr>
            <w:r>
              <w:rPr>
                <w:rFonts w:hint="eastAsia" w:hAnsi="宋体" w:cs="宋体"/>
                <w:szCs w:val="24"/>
              </w:rPr>
              <w:t>螺栓、销轴、紧固件的连接不符合规范要求的，扣2-5分</w:t>
            </w:r>
          </w:p>
          <w:p>
            <w:pPr>
              <w:pStyle w:val="7"/>
              <w:spacing w:line="240" w:lineRule="auto"/>
              <w:rPr>
                <w:rFonts w:hAnsi="宋体" w:cs="宋体"/>
                <w:szCs w:val="24"/>
              </w:rPr>
            </w:pPr>
            <w:r>
              <w:rPr>
                <w:rFonts w:hint="eastAsia" w:hAnsi="宋体" w:cs="宋体"/>
                <w:szCs w:val="24"/>
              </w:rPr>
              <w:t>平台、走道、护栏等安全设施不符合规范要求的，扣2-5分</w:t>
            </w:r>
          </w:p>
        </w:tc>
        <w:tc>
          <w:tcPr>
            <w:tcW w:w="827" w:type="dxa"/>
            <w:noWrap/>
            <w:vAlign w:val="center"/>
          </w:tcPr>
          <w:p>
            <w:pPr>
              <w:pStyle w:val="7"/>
              <w:spacing w:line="240" w:lineRule="auto"/>
              <w:jc w:val="center"/>
              <w:rPr>
                <w:rFonts w:hAnsi="宋体" w:cs="宋体"/>
                <w:szCs w:val="24"/>
              </w:rPr>
            </w:pPr>
            <w:r>
              <w:rPr>
                <w:rFonts w:hint="eastAsia" w:hAnsi="宋体" w:cs="宋体"/>
                <w:szCs w:val="24"/>
              </w:rPr>
              <w:t>10</w:t>
            </w:r>
          </w:p>
        </w:tc>
        <w:tc>
          <w:tcPr>
            <w:tcW w:w="708" w:type="dxa"/>
            <w:noWrap/>
            <w:vAlign w:val="center"/>
          </w:tcPr>
          <w:p>
            <w:pPr>
              <w:pStyle w:val="7"/>
              <w:spacing w:line="240" w:lineRule="auto"/>
              <w:rPr>
                <w:rFonts w:hAnsi="宋体" w:cs="宋体"/>
                <w:szCs w:val="24"/>
              </w:rPr>
            </w:pPr>
          </w:p>
        </w:tc>
        <w:tc>
          <w:tcPr>
            <w:tcW w:w="709" w:type="dxa"/>
            <w:noWrap/>
            <w:vAlign w:val="center"/>
          </w:tcPr>
          <w:p>
            <w:pPr>
              <w:pStyle w:val="7"/>
              <w:spacing w:line="240" w:lineRule="auto"/>
              <w:rPr>
                <w:rFonts w:hAnsi="宋体" w:cs="宋体"/>
                <w:szCs w:val="24"/>
              </w:rPr>
            </w:pPr>
          </w:p>
        </w:tc>
      </w:tr>
    </w:tbl>
    <w:p>
      <w:pPr>
        <w:pStyle w:val="7"/>
        <w:jc w:val="center"/>
        <w:rPr>
          <w:rFonts w:hAnsi="宋体" w:cs="宋体"/>
          <w:szCs w:val="21"/>
        </w:rPr>
      </w:pPr>
      <w:r>
        <w:rPr>
          <w:rFonts w:hint="eastAsia" w:hAnsi="宋体" w:cs="宋体"/>
          <w:szCs w:val="21"/>
        </w:rPr>
        <w:br w:type="page"/>
      </w:r>
      <w:r>
        <w:rPr>
          <w:rFonts w:hint="eastAsia" w:hAnsi="宋体" w:cs="宋体"/>
          <w:b/>
          <w:bCs w:val="0"/>
          <w:szCs w:val="21"/>
        </w:rPr>
        <w:t>续</w:t>
      </w:r>
      <w:r>
        <w:rPr>
          <w:rFonts w:hint="eastAsia" w:hAnsi="宋体" w:cs="SimSun,Bold"/>
          <w:b/>
          <w:kern w:val="0"/>
          <w:szCs w:val="21"/>
        </w:rPr>
        <w:t>表</w:t>
      </w:r>
      <w:r>
        <w:rPr>
          <w:rFonts w:hAnsi="宋体" w:cs="SimSun,Bold"/>
          <w:b/>
          <w:kern w:val="0"/>
          <w:szCs w:val="21"/>
        </w:rPr>
        <w:t>B</w:t>
      </w:r>
      <w:r>
        <w:rPr>
          <w:rFonts w:hint="eastAsia" w:hAnsi="宋体" w:cs="SimSun,Bold"/>
          <w:b/>
          <w:kern w:val="0"/>
          <w:szCs w:val="21"/>
        </w:rPr>
        <w:t>.0.9建筑</w:t>
      </w:r>
      <w:r>
        <w:rPr>
          <w:rFonts w:hAnsi="宋体" w:cs="SimSun,Bold"/>
          <w:b/>
          <w:kern w:val="0"/>
          <w:szCs w:val="21"/>
        </w:rPr>
        <w:t>机械</w:t>
      </w:r>
      <w:r>
        <w:rPr>
          <w:rFonts w:hint="eastAsia" w:hAnsi="宋体" w:cs="SimSun,Bold"/>
          <w:b/>
          <w:kern w:val="0"/>
          <w:szCs w:val="21"/>
        </w:rPr>
        <w:t>设备评价表</w:t>
      </w:r>
    </w:p>
    <w:tbl>
      <w:tblPr>
        <w:tblStyle w:val="16"/>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726"/>
        <w:gridCol w:w="5409"/>
        <w:gridCol w:w="827"/>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atLeast"/>
        </w:trPr>
        <w:tc>
          <w:tcPr>
            <w:tcW w:w="552" w:type="dxa"/>
            <w:noWrap/>
            <w:vAlign w:val="center"/>
          </w:tcPr>
          <w:p>
            <w:pPr>
              <w:pStyle w:val="7"/>
              <w:spacing w:line="240" w:lineRule="auto"/>
              <w:jc w:val="center"/>
              <w:rPr>
                <w:rFonts w:hAnsi="宋体" w:cs="宋体"/>
                <w:szCs w:val="24"/>
              </w:rPr>
            </w:pPr>
            <w:r>
              <w:rPr>
                <w:rFonts w:hint="eastAsia" w:hAnsi="宋体" w:cs="宋体"/>
                <w:szCs w:val="24"/>
              </w:rPr>
              <w:t>4</w:t>
            </w:r>
          </w:p>
        </w:tc>
        <w:tc>
          <w:tcPr>
            <w:tcW w:w="726" w:type="dxa"/>
            <w:noWrap/>
            <w:vAlign w:val="center"/>
          </w:tcPr>
          <w:p>
            <w:pPr>
              <w:pStyle w:val="7"/>
              <w:spacing w:line="240" w:lineRule="auto"/>
              <w:jc w:val="center"/>
              <w:rPr>
                <w:rFonts w:hAnsi="宋体" w:cs="宋体"/>
                <w:szCs w:val="24"/>
              </w:rPr>
            </w:pPr>
            <w:r>
              <w:rPr>
                <w:rFonts w:hint="eastAsia" w:hAnsi="宋体" w:cs="宋体"/>
                <w:szCs w:val="24"/>
              </w:rPr>
              <w:t>安全与</w:t>
            </w:r>
          </w:p>
          <w:p>
            <w:pPr>
              <w:pStyle w:val="7"/>
              <w:spacing w:line="240" w:lineRule="auto"/>
              <w:jc w:val="center"/>
              <w:rPr>
                <w:rFonts w:hAnsi="宋体" w:cs="宋体"/>
                <w:szCs w:val="24"/>
              </w:rPr>
            </w:pPr>
            <w:r>
              <w:rPr>
                <w:rFonts w:hint="eastAsia" w:hAnsi="宋体" w:cs="宋体"/>
                <w:szCs w:val="24"/>
              </w:rPr>
              <w:t>保护装置</w:t>
            </w:r>
          </w:p>
        </w:tc>
        <w:tc>
          <w:tcPr>
            <w:tcW w:w="5409" w:type="dxa"/>
            <w:noWrap/>
            <w:vAlign w:val="center"/>
          </w:tcPr>
          <w:p>
            <w:pPr>
              <w:pStyle w:val="7"/>
              <w:spacing w:line="240" w:lineRule="auto"/>
              <w:rPr>
                <w:rFonts w:hAnsi="宋体" w:cs="宋体"/>
                <w:szCs w:val="24"/>
              </w:rPr>
            </w:pPr>
            <w:r>
              <w:rPr>
                <w:rFonts w:hint="eastAsia" w:hAnsi="宋体" w:cs="宋体"/>
                <w:szCs w:val="24"/>
              </w:rPr>
              <w:t>载荷限制、行程限位等装置不灵敏或无效的，扣10-30分</w:t>
            </w:r>
          </w:p>
          <w:p>
            <w:pPr>
              <w:pStyle w:val="7"/>
              <w:spacing w:line="240" w:lineRule="auto"/>
              <w:rPr>
                <w:rFonts w:hAnsi="宋体" w:cs="宋体"/>
                <w:szCs w:val="24"/>
              </w:rPr>
            </w:pPr>
            <w:r>
              <w:rPr>
                <w:rFonts w:hint="eastAsia" w:hAnsi="宋体" w:cs="宋体"/>
                <w:szCs w:val="24"/>
              </w:rPr>
              <w:t>施工升降机防坠安全器超过有效标定期限的，扣30分</w:t>
            </w:r>
          </w:p>
          <w:p>
            <w:pPr>
              <w:pStyle w:val="7"/>
              <w:spacing w:line="240" w:lineRule="auto"/>
              <w:rPr>
                <w:rFonts w:hAnsi="宋体" w:cs="宋体"/>
                <w:szCs w:val="24"/>
              </w:rPr>
            </w:pPr>
            <w:r>
              <w:rPr>
                <w:rFonts w:hint="eastAsia" w:hAnsi="宋体" w:cs="宋体"/>
                <w:szCs w:val="24"/>
              </w:rPr>
              <w:t>手柄零位保护、机械联锁、急停开关、吊钩保险、滑轮防脱、卷筒钢丝绳防脱、障碍灯、风速仪、安全钩、缓冲器等装置缺失或失效的，每处扣5分</w:t>
            </w:r>
          </w:p>
          <w:p>
            <w:pPr>
              <w:pStyle w:val="7"/>
              <w:spacing w:line="240" w:lineRule="auto"/>
              <w:rPr>
                <w:rFonts w:hAnsi="宋体" w:cs="宋体"/>
                <w:szCs w:val="24"/>
              </w:rPr>
            </w:pPr>
            <w:r>
              <w:rPr>
                <w:rFonts w:hint="eastAsia" w:hAnsi="宋体" w:cs="宋体"/>
                <w:szCs w:val="24"/>
              </w:rPr>
              <w:t>土石方机械、起重机械等大型移动机械未设置声光报警装置或回转作业区域未设置警戒线的，每处扣5分</w:t>
            </w:r>
          </w:p>
          <w:p>
            <w:pPr>
              <w:pStyle w:val="7"/>
              <w:spacing w:line="240" w:lineRule="auto"/>
              <w:rPr>
                <w:rFonts w:hAnsi="宋体" w:cs="宋体"/>
                <w:szCs w:val="24"/>
              </w:rPr>
            </w:pPr>
            <w:r>
              <w:rPr>
                <w:rFonts w:hint="eastAsia" w:hAnsi="宋体" w:cs="宋体"/>
                <w:szCs w:val="24"/>
              </w:rPr>
              <w:t>机械传动部位未设置防护罩的，每处扣3分</w:t>
            </w:r>
          </w:p>
        </w:tc>
        <w:tc>
          <w:tcPr>
            <w:tcW w:w="827" w:type="dxa"/>
            <w:noWrap/>
            <w:vAlign w:val="center"/>
          </w:tcPr>
          <w:p>
            <w:pPr>
              <w:pStyle w:val="7"/>
              <w:spacing w:line="240" w:lineRule="auto"/>
              <w:jc w:val="center"/>
              <w:rPr>
                <w:rFonts w:hAnsi="宋体" w:cs="宋体"/>
                <w:szCs w:val="24"/>
              </w:rPr>
            </w:pPr>
            <w:r>
              <w:rPr>
                <w:rFonts w:hint="eastAsia" w:hAnsi="宋体" w:cs="宋体"/>
                <w:szCs w:val="24"/>
              </w:rPr>
              <w:t>30</w:t>
            </w:r>
          </w:p>
        </w:tc>
        <w:tc>
          <w:tcPr>
            <w:tcW w:w="708" w:type="dxa"/>
            <w:noWrap/>
            <w:vAlign w:val="center"/>
          </w:tcPr>
          <w:p>
            <w:pPr>
              <w:pStyle w:val="7"/>
              <w:spacing w:line="240" w:lineRule="auto"/>
              <w:rPr>
                <w:rFonts w:hAnsi="宋体" w:cs="宋体"/>
                <w:szCs w:val="24"/>
              </w:rPr>
            </w:pPr>
          </w:p>
        </w:tc>
        <w:tc>
          <w:tcPr>
            <w:tcW w:w="709" w:type="dxa"/>
            <w:noWrap/>
            <w:vAlign w:val="center"/>
          </w:tcPr>
          <w:p>
            <w:pPr>
              <w:pStyle w:val="7"/>
              <w:spacing w:line="240" w:lineRule="auto"/>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dxa"/>
            <w:noWrap/>
            <w:vAlign w:val="center"/>
          </w:tcPr>
          <w:p>
            <w:pPr>
              <w:pStyle w:val="7"/>
              <w:spacing w:line="240" w:lineRule="auto"/>
              <w:jc w:val="center"/>
              <w:rPr>
                <w:rFonts w:hAnsi="宋体" w:cs="宋体"/>
                <w:szCs w:val="24"/>
              </w:rPr>
            </w:pPr>
            <w:r>
              <w:rPr>
                <w:rFonts w:hint="eastAsia" w:hAnsi="宋体" w:cs="宋体"/>
                <w:szCs w:val="24"/>
              </w:rPr>
              <w:t>5</w:t>
            </w:r>
          </w:p>
        </w:tc>
        <w:tc>
          <w:tcPr>
            <w:tcW w:w="726" w:type="dxa"/>
            <w:noWrap/>
            <w:vAlign w:val="center"/>
          </w:tcPr>
          <w:p>
            <w:pPr>
              <w:pStyle w:val="7"/>
              <w:spacing w:line="240" w:lineRule="auto"/>
              <w:jc w:val="center"/>
              <w:rPr>
                <w:rFonts w:hAnsi="宋体" w:cs="宋体"/>
                <w:szCs w:val="24"/>
              </w:rPr>
            </w:pPr>
            <w:r>
              <w:rPr>
                <w:rFonts w:hint="eastAsia" w:hAnsi="宋体" w:cs="宋体"/>
                <w:szCs w:val="24"/>
              </w:rPr>
              <w:t>安全使用</w:t>
            </w:r>
          </w:p>
        </w:tc>
        <w:tc>
          <w:tcPr>
            <w:tcW w:w="5409" w:type="dxa"/>
            <w:noWrap/>
            <w:vAlign w:val="center"/>
          </w:tcPr>
          <w:p>
            <w:pPr>
              <w:pStyle w:val="7"/>
              <w:spacing w:line="240" w:lineRule="auto"/>
              <w:rPr>
                <w:rFonts w:hAnsi="宋体"/>
                <w:szCs w:val="24"/>
              </w:rPr>
            </w:pPr>
            <w:r>
              <w:rPr>
                <w:rFonts w:hint="eastAsia" w:hAnsi="宋体"/>
                <w:szCs w:val="24"/>
              </w:rPr>
              <w:t>建筑起重机械未按要求安装、使用人脸（指纹）识别系统的，每处扣5分</w:t>
            </w:r>
          </w:p>
          <w:p>
            <w:pPr>
              <w:pStyle w:val="7"/>
              <w:spacing w:line="240" w:lineRule="auto"/>
              <w:rPr>
                <w:rFonts w:hAnsi="宋体"/>
                <w:szCs w:val="24"/>
              </w:rPr>
            </w:pPr>
            <w:r>
              <w:rPr>
                <w:rFonts w:hint="eastAsia" w:hAnsi="宋体"/>
                <w:szCs w:val="24"/>
              </w:rPr>
              <w:t>司机室遮挡视线或未配备灭火器的，每处扣3分</w:t>
            </w:r>
          </w:p>
          <w:p>
            <w:pPr>
              <w:pStyle w:val="7"/>
              <w:spacing w:line="240" w:lineRule="auto"/>
              <w:rPr>
                <w:rFonts w:hAnsi="宋体"/>
                <w:szCs w:val="24"/>
              </w:rPr>
            </w:pPr>
            <w:r>
              <w:rPr>
                <w:rFonts w:hint="eastAsia" w:hAnsi="宋体"/>
                <w:szCs w:val="24"/>
              </w:rPr>
              <w:t>机械设备之间或机械设备与输电线路、障碍物、基坑及作业人员安全距离不足或未制定安全措施的，扣5-15分</w:t>
            </w:r>
          </w:p>
          <w:p>
            <w:pPr>
              <w:pStyle w:val="7"/>
              <w:spacing w:line="240" w:lineRule="auto"/>
              <w:rPr>
                <w:rFonts w:hAnsi="宋体"/>
                <w:szCs w:val="24"/>
              </w:rPr>
            </w:pPr>
            <w:r>
              <w:rPr>
                <w:rFonts w:hint="eastAsia" w:hAnsi="宋体"/>
                <w:szCs w:val="24"/>
              </w:rPr>
              <w:t>违规载人或超速行驶的，扣</w:t>
            </w:r>
            <w:r>
              <w:rPr>
                <w:rFonts w:hint="eastAsia" w:hAnsi="宋体" w:cs="宋体"/>
                <w:szCs w:val="24"/>
              </w:rPr>
              <w:t>5-15</w:t>
            </w:r>
            <w:r>
              <w:rPr>
                <w:rFonts w:hint="eastAsia" w:hAnsi="宋体"/>
                <w:szCs w:val="24"/>
              </w:rPr>
              <w:t>分</w:t>
            </w:r>
          </w:p>
        </w:tc>
        <w:tc>
          <w:tcPr>
            <w:tcW w:w="827" w:type="dxa"/>
            <w:noWrap/>
            <w:vAlign w:val="center"/>
          </w:tcPr>
          <w:p>
            <w:pPr>
              <w:pStyle w:val="7"/>
              <w:spacing w:line="240" w:lineRule="auto"/>
              <w:jc w:val="center"/>
              <w:rPr>
                <w:rFonts w:hAnsi="宋体" w:cs="宋体"/>
                <w:szCs w:val="24"/>
              </w:rPr>
            </w:pPr>
            <w:r>
              <w:rPr>
                <w:rFonts w:hint="eastAsia" w:hAnsi="宋体" w:cs="宋体"/>
                <w:szCs w:val="24"/>
              </w:rPr>
              <w:t>15</w:t>
            </w:r>
          </w:p>
        </w:tc>
        <w:tc>
          <w:tcPr>
            <w:tcW w:w="708" w:type="dxa"/>
            <w:noWrap/>
            <w:vAlign w:val="center"/>
          </w:tcPr>
          <w:p>
            <w:pPr>
              <w:pStyle w:val="7"/>
              <w:spacing w:line="240" w:lineRule="auto"/>
              <w:rPr>
                <w:rFonts w:hAnsi="宋体" w:cs="宋体"/>
                <w:szCs w:val="24"/>
              </w:rPr>
            </w:pPr>
          </w:p>
        </w:tc>
        <w:tc>
          <w:tcPr>
            <w:tcW w:w="709" w:type="dxa"/>
            <w:noWrap/>
            <w:vAlign w:val="center"/>
          </w:tcPr>
          <w:p>
            <w:pPr>
              <w:pStyle w:val="7"/>
              <w:spacing w:line="240" w:lineRule="auto"/>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dxa"/>
            <w:noWrap/>
            <w:vAlign w:val="center"/>
          </w:tcPr>
          <w:p>
            <w:pPr>
              <w:pStyle w:val="7"/>
              <w:spacing w:line="240" w:lineRule="auto"/>
              <w:jc w:val="center"/>
              <w:rPr>
                <w:rFonts w:hAnsi="宋体" w:cs="宋体"/>
                <w:szCs w:val="24"/>
              </w:rPr>
            </w:pPr>
            <w:r>
              <w:rPr>
                <w:rFonts w:hint="eastAsia" w:hAnsi="宋体" w:cs="宋体"/>
                <w:szCs w:val="24"/>
              </w:rPr>
              <w:t>6</w:t>
            </w:r>
          </w:p>
        </w:tc>
        <w:tc>
          <w:tcPr>
            <w:tcW w:w="726" w:type="dxa"/>
            <w:noWrap/>
            <w:vAlign w:val="center"/>
          </w:tcPr>
          <w:p>
            <w:pPr>
              <w:pStyle w:val="7"/>
              <w:spacing w:line="240" w:lineRule="auto"/>
              <w:jc w:val="center"/>
              <w:rPr>
                <w:rFonts w:hAnsi="宋体" w:cs="宋体"/>
                <w:szCs w:val="24"/>
              </w:rPr>
            </w:pPr>
            <w:r>
              <w:rPr>
                <w:rFonts w:hint="eastAsia" w:hAnsi="宋体" w:cs="宋体"/>
                <w:szCs w:val="24"/>
              </w:rPr>
              <w:t>起重吊装</w:t>
            </w:r>
          </w:p>
        </w:tc>
        <w:tc>
          <w:tcPr>
            <w:tcW w:w="5409" w:type="dxa"/>
            <w:noWrap/>
            <w:vAlign w:val="center"/>
          </w:tcPr>
          <w:p>
            <w:pPr>
              <w:pStyle w:val="7"/>
              <w:spacing w:line="240" w:lineRule="auto"/>
              <w:rPr>
                <w:rFonts w:hAnsi="宋体"/>
                <w:szCs w:val="24"/>
              </w:rPr>
            </w:pPr>
            <w:r>
              <w:rPr>
                <w:rFonts w:hint="eastAsia" w:hAnsi="宋体"/>
                <w:szCs w:val="24"/>
              </w:rPr>
              <w:t>吊索具与吊物不匹配或达报废标准未更换的，扣5-15分</w:t>
            </w:r>
          </w:p>
          <w:p>
            <w:pPr>
              <w:pStyle w:val="7"/>
              <w:spacing w:line="240" w:lineRule="auto"/>
              <w:rPr>
                <w:rFonts w:hAnsi="宋体"/>
                <w:szCs w:val="24"/>
              </w:rPr>
            </w:pPr>
            <w:r>
              <w:rPr>
                <w:rFonts w:hint="eastAsia" w:hAnsi="宋体"/>
                <w:szCs w:val="24"/>
              </w:rPr>
              <w:t>吊点位置及强度不满足吊装要求的，扣5-15分</w:t>
            </w:r>
          </w:p>
          <w:p>
            <w:pPr>
              <w:pStyle w:val="7"/>
              <w:spacing w:line="240" w:lineRule="auto"/>
              <w:rPr>
                <w:rFonts w:hAnsi="宋体"/>
                <w:szCs w:val="24"/>
              </w:rPr>
            </w:pPr>
            <w:r>
              <w:rPr>
                <w:rFonts w:hint="eastAsia" w:hAnsi="宋体"/>
                <w:szCs w:val="24"/>
              </w:rPr>
              <w:t>吊装作业违反相关安全规定的，扣5-15分</w:t>
            </w:r>
          </w:p>
        </w:tc>
        <w:tc>
          <w:tcPr>
            <w:tcW w:w="827" w:type="dxa"/>
            <w:noWrap/>
            <w:vAlign w:val="center"/>
          </w:tcPr>
          <w:p>
            <w:pPr>
              <w:pStyle w:val="7"/>
              <w:spacing w:line="240" w:lineRule="auto"/>
              <w:jc w:val="center"/>
              <w:rPr>
                <w:rFonts w:hAnsi="宋体" w:cs="宋体"/>
                <w:szCs w:val="24"/>
              </w:rPr>
            </w:pPr>
            <w:r>
              <w:rPr>
                <w:rFonts w:hint="eastAsia" w:hAnsi="宋体" w:cs="宋体"/>
                <w:szCs w:val="24"/>
              </w:rPr>
              <w:t>15</w:t>
            </w:r>
          </w:p>
        </w:tc>
        <w:tc>
          <w:tcPr>
            <w:tcW w:w="708" w:type="dxa"/>
            <w:noWrap/>
            <w:vAlign w:val="center"/>
          </w:tcPr>
          <w:p>
            <w:pPr>
              <w:pStyle w:val="7"/>
              <w:spacing w:line="240" w:lineRule="auto"/>
              <w:rPr>
                <w:rFonts w:hAnsi="宋体" w:cs="宋体"/>
                <w:szCs w:val="24"/>
              </w:rPr>
            </w:pPr>
          </w:p>
        </w:tc>
        <w:tc>
          <w:tcPr>
            <w:tcW w:w="709" w:type="dxa"/>
            <w:noWrap/>
            <w:vAlign w:val="center"/>
          </w:tcPr>
          <w:p>
            <w:pPr>
              <w:pStyle w:val="7"/>
              <w:spacing w:line="240" w:lineRule="auto"/>
              <w:rPr>
                <w:rFonts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687" w:type="dxa"/>
            <w:gridSpan w:val="3"/>
            <w:noWrap/>
            <w:vAlign w:val="center"/>
          </w:tcPr>
          <w:p>
            <w:pPr>
              <w:pStyle w:val="7"/>
              <w:spacing w:line="240" w:lineRule="auto"/>
              <w:jc w:val="center"/>
              <w:rPr>
                <w:rFonts w:hAnsi="宋体" w:cs="宋体"/>
                <w:szCs w:val="24"/>
              </w:rPr>
            </w:pPr>
            <w:r>
              <w:rPr>
                <w:rFonts w:hint="eastAsia" w:hAnsi="宋体" w:cs="宋体"/>
                <w:szCs w:val="24"/>
              </w:rPr>
              <w:t>合计</w:t>
            </w:r>
          </w:p>
        </w:tc>
        <w:tc>
          <w:tcPr>
            <w:tcW w:w="827" w:type="dxa"/>
            <w:noWrap/>
            <w:vAlign w:val="center"/>
          </w:tcPr>
          <w:p>
            <w:pPr>
              <w:pStyle w:val="7"/>
              <w:spacing w:line="240" w:lineRule="auto"/>
              <w:jc w:val="center"/>
              <w:rPr>
                <w:rFonts w:hAnsi="宋体" w:cs="宋体"/>
                <w:szCs w:val="24"/>
              </w:rPr>
            </w:pPr>
            <w:r>
              <w:rPr>
                <w:rFonts w:hint="eastAsia" w:hAnsi="宋体" w:cs="宋体"/>
                <w:szCs w:val="24"/>
              </w:rPr>
              <w:t>100</w:t>
            </w:r>
          </w:p>
        </w:tc>
        <w:tc>
          <w:tcPr>
            <w:tcW w:w="708" w:type="dxa"/>
            <w:noWrap/>
            <w:vAlign w:val="center"/>
          </w:tcPr>
          <w:p>
            <w:pPr>
              <w:pStyle w:val="7"/>
              <w:spacing w:line="240" w:lineRule="auto"/>
              <w:rPr>
                <w:rFonts w:hAnsi="宋体" w:cs="宋体"/>
                <w:szCs w:val="24"/>
              </w:rPr>
            </w:pPr>
          </w:p>
        </w:tc>
        <w:tc>
          <w:tcPr>
            <w:tcW w:w="709" w:type="dxa"/>
            <w:noWrap/>
            <w:vAlign w:val="center"/>
          </w:tcPr>
          <w:p>
            <w:pPr>
              <w:pStyle w:val="7"/>
              <w:spacing w:line="240" w:lineRule="auto"/>
              <w:rPr>
                <w:rFonts w:hAnsi="宋体" w:cs="宋体"/>
                <w:szCs w:val="24"/>
              </w:rPr>
            </w:pPr>
          </w:p>
        </w:tc>
      </w:tr>
    </w:tbl>
    <w:p>
      <w:pPr>
        <w:pStyle w:val="7"/>
        <w:rPr>
          <w:rFonts w:hAnsi="宋体" w:cs="宋体"/>
          <w:b/>
          <w:szCs w:val="21"/>
        </w:rPr>
      </w:pPr>
      <w:r>
        <w:rPr>
          <w:rFonts w:hint="eastAsia" w:hAnsi="宋体" w:cs="宋体"/>
          <w:szCs w:val="24"/>
        </w:rPr>
        <w:t>评价人员：</w:t>
      </w:r>
      <w:r>
        <w:rPr>
          <w:rFonts w:hint="eastAsia" w:hAnsi="宋体"/>
          <w:szCs w:val="24"/>
        </w:rPr>
        <w:t xml:space="preserve">                                              年    月    日</w:t>
      </w:r>
    </w:p>
    <w:p>
      <w:pPr>
        <w:pStyle w:val="7"/>
        <w:spacing w:line="260" w:lineRule="exact"/>
        <w:rPr>
          <w:rFonts w:hAnsi="宋体" w:cs="宋体"/>
          <w:b/>
          <w:bCs w:val="0"/>
        </w:rPr>
      </w:pPr>
    </w:p>
    <w:p>
      <w:pPr>
        <w:spacing w:line="480" w:lineRule="exact"/>
        <w:jc w:val="center"/>
        <w:rPr>
          <w:rFonts w:hAnsi="宋体" w:cs="宋体"/>
          <w:b/>
          <w:bCs w:val="0"/>
        </w:rPr>
        <w:sectPr>
          <w:headerReference r:id="rId15" w:type="default"/>
          <w:footerReference r:id="rId16" w:type="default"/>
          <w:pgSz w:w="11906" w:h="16838"/>
          <w:pgMar w:top="1134" w:right="1644" w:bottom="1134" w:left="1797" w:header="851" w:footer="992" w:gutter="0"/>
          <w:cols w:space="720" w:num="1"/>
          <w:docGrid w:type="lines" w:linePitch="312" w:charSpace="0"/>
        </w:sectPr>
      </w:pPr>
    </w:p>
    <w:p>
      <w:pPr>
        <w:spacing w:line="480" w:lineRule="exact"/>
        <w:jc w:val="center"/>
        <w:rPr>
          <w:rFonts w:hAnsi="宋体" w:cs="宋体"/>
          <w:b/>
          <w:bCs w:val="0"/>
        </w:rPr>
      </w:pPr>
    </w:p>
    <w:p>
      <w:pPr>
        <w:pStyle w:val="7"/>
        <w:spacing w:before="240" w:after="240" w:line="240" w:lineRule="auto"/>
        <w:jc w:val="center"/>
        <w:rPr>
          <w:rFonts w:hAnsi="宋体" w:cs="宋体"/>
          <w:b/>
          <w:bCs w:val="0"/>
          <w:szCs w:val="24"/>
        </w:rPr>
      </w:pPr>
      <w:r>
        <w:rPr>
          <w:rFonts w:hint="eastAsia" w:hAnsi="宋体" w:cs="宋体"/>
          <w:b/>
          <w:bCs w:val="0"/>
          <w:szCs w:val="24"/>
        </w:rPr>
        <w:t>引用标准名录</w:t>
      </w:r>
    </w:p>
    <w:p>
      <w:pPr>
        <w:pStyle w:val="7"/>
        <w:spacing w:line="240" w:lineRule="auto"/>
        <w:rPr>
          <w:rFonts w:hAnsi="宋体" w:cs="宋体"/>
          <w:bCs w:val="0"/>
          <w:szCs w:val="24"/>
        </w:rPr>
      </w:pPr>
      <w:r>
        <w:rPr>
          <w:rFonts w:hint="eastAsia" w:hAnsi="宋体" w:cs="宋体"/>
          <w:b/>
          <w:szCs w:val="24"/>
        </w:rPr>
        <w:t>1</w:t>
      </w:r>
      <w:r>
        <w:rPr>
          <w:rFonts w:hint="eastAsia" w:hAnsi="宋体" w:cs="宋体"/>
          <w:bCs w:val="0"/>
          <w:szCs w:val="24"/>
        </w:rPr>
        <w:t>《建筑施工安全检查标准》JGJ59</w:t>
      </w:r>
    </w:p>
    <w:p>
      <w:pPr>
        <w:rPr>
          <w:rFonts w:ascii="宋体" w:hAnsi="宋体" w:cs="宋体"/>
          <w:bCs w:val="0"/>
        </w:rPr>
      </w:pPr>
      <w:r>
        <w:rPr>
          <w:rFonts w:hint="eastAsia" w:ascii="宋体" w:hAnsi="宋体" w:cs="宋体"/>
          <w:b/>
        </w:rPr>
        <w:t>2</w:t>
      </w:r>
      <w:r>
        <w:rPr>
          <w:rFonts w:hint="eastAsia" w:ascii="宋体" w:hAnsi="宋体" w:cs="宋体"/>
          <w:bCs w:val="0"/>
        </w:rPr>
        <w:t>《建筑与市政施工现场安全卫生与职业健康通用规范》GB55034</w:t>
      </w:r>
    </w:p>
    <w:p>
      <w:pPr>
        <w:pStyle w:val="7"/>
        <w:spacing w:line="240" w:lineRule="auto"/>
        <w:rPr>
          <w:rFonts w:hAnsi="宋体" w:cs="宋体"/>
          <w:bCs w:val="0"/>
          <w:szCs w:val="24"/>
        </w:rPr>
      </w:pPr>
      <w:r>
        <w:rPr>
          <w:rFonts w:hint="eastAsia" w:hAnsi="宋体" w:cs="宋体"/>
          <w:b/>
          <w:szCs w:val="24"/>
        </w:rPr>
        <w:t>3</w:t>
      </w:r>
      <w:r>
        <w:rPr>
          <w:rFonts w:hint="eastAsia" w:hAnsi="宋体" w:cs="宋体"/>
          <w:bCs w:val="0"/>
          <w:color w:val="000000"/>
          <w:szCs w:val="24"/>
          <w:shd w:val="clear" w:color="auto" w:fill="FFFFFF"/>
        </w:rPr>
        <w:t>《建设工程监理规范》GB/T50319</w:t>
      </w:r>
    </w:p>
    <w:p>
      <w:pPr>
        <w:pStyle w:val="7"/>
        <w:spacing w:line="240" w:lineRule="auto"/>
        <w:rPr>
          <w:rFonts w:hAnsi="宋体" w:cs="宋体"/>
          <w:bCs w:val="0"/>
          <w:szCs w:val="24"/>
        </w:rPr>
      </w:pPr>
      <w:r>
        <w:rPr>
          <w:rFonts w:hint="eastAsia" w:hAnsi="宋体" w:cs="宋体"/>
          <w:b/>
          <w:szCs w:val="24"/>
        </w:rPr>
        <w:t>4</w:t>
      </w:r>
      <w:r>
        <w:rPr>
          <w:rFonts w:hint="eastAsia" w:hAnsi="宋体" w:cs="宋体"/>
          <w:bCs w:val="0"/>
          <w:szCs w:val="24"/>
        </w:rPr>
        <w:t>《施工现场临时建筑物技术规范》JGJ／T188</w:t>
      </w:r>
    </w:p>
    <w:p>
      <w:pPr>
        <w:pStyle w:val="7"/>
        <w:spacing w:line="240" w:lineRule="auto"/>
        <w:rPr>
          <w:rFonts w:hAnsi="宋体" w:cs="宋体"/>
          <w:bCs w:val="0"/>
          <w:szCs w:val="24"/>
        </w:rPr>
      </w:pPr>
      <w:r>
        <w:rPr>
          <w:rFonts w:hint="eastAsia" w:hAnsi="宋体" w:cs="宋体"/>
          <w:b/>
          <w:szCs w:val="24"/>
        </w:rPr>
        <w:t>5</w:t>
      </w:r>
      <w:r>
        <w:rPr>
          <w:rFonts w:hint="eastAsia" w:hAnsi="宋体" w:cs="宋体"/>
          <w:bCs w:val="0"/>
          <w:szCs w:val="24"/>
        </w:rPr>
        <w:t>《建设工程施工现场环境与卫生标准》JGJ146</w:t>
      </w:r>
    </w:p>
    <w:p>
      <w:pPr>
        <w:pStyle w:val="7"/>
        <w:spacing w:line="240" w:lineRule="auto"/>
        <w:rPr>
          <w:rFonts w:hAnsi="宋体" w:cs="宋体"/>
          <w:bCs w:val="0"/>
          <w:szCs w:val="24"/>
        </w:rPr>
      </w:pPr>
      <w:r>
        <w:rPr>
          <w:rFonts w:hint="eastAsia" w:hAnsi="宋体" w:cs="宋体"/>
          <w:b/>
          <w:szCs w:val="24"/>
        </w:rPr>
        <w:t>6</w:t>
      </w:r>
      <w:r>
        <w:rPr>
          <w:rFonts w:hint="eastAsia" w:hAnsi="宋体" w:cs="宋体"/>
          <w:bCs w:val="0"/>
          <w:szCs w:val="24"/>
        </w:rPr>
        <w:t>《建设工程施工现场消防安全技术规范》GB50720</w:t>
      </w:r>
    </w:p>
    <w:p>
      <w:pPr>
        <w:rPr>
          <w:rStyle w:val="22"/>
          <w:rFonts w:ascii="宋体" w:hAnsi="宋体" w:cs="宋体"/>
          <w:bCs w:val="0"/>
          <w:color w:val="auto"/>
          <w:u w:val="none"/>
        </w:rPr>
      </w:pPr>
      <w:r>
        <w:rPr>
          <w:rFonts w:hint="eastAsia" w:ascii="宋体" w:hAnsi="宋体" w:cs="宋体"/>
          <w:b/>
        </w:rPr>
        <w:t>7</w:t>
      </w:r>
      <w:r>
        <w:rPr>
          <w:rStyle w:val="22"/>
          <w:rFonts w:hint="eastAsia" w:ascii="宋体" w:hAnsi="宋体" w:cs="宋体"/>
          <w:bCs w:val="0"/>
          <w:color w:val="auto"/>
          <w:u w:val="none"/>
        </w:rPr>
        <w:t>《建筑与市政工程绿色施工评价标准》GB/T50640</w:t>
      </w:r>
    </w:p>
    <w:p>
      <w:pPr>
        <w:rPr>
          <w:rStyle w:val="22"/>
          <w:rFonts w:ascii="宋体" w:hAnsi="宋体" w:cs="宋体"/>
          <w:bCs w:val="0"/>
          <w:color w:val="auto"/>
          <w:u w:val="none"/>
        </w:rPr>
      </w:pPr>
      <w:r>
        <w:rPr>
          <w:rFonts w:hint="eastAsia" w:ascii="宋体" w:hAnsi="宋体" w:cs="宋体"/>
          <w:b/>
        </w:rPr>
        <w:t>8</w:t>
      </w:r>
      <w:r>
        <w:rPr>
          <w:rStyle w:val="22"/>
          <w:rFonts w:hint="eastAsia" w:ascii="宋体" w:hAnsi="宋体" w:cs="宋体"/>
          <w:bCs w:val="0"/>
          <w:color w:val="auto"/>
          <w:u w:val="none"/>
        </w:rPr>
        <w:t>《建筑工程绿色施工规范》GB/T50905</w:t>
      </w:r>
    </w:p>
    <w:p>
      <w:pPr>
        <w:rPr>
          <w:rStyle w:val="22"/>
          <w:rFonts w:ascii="宋体" w:hAnsi="宋体" w:cs="宋体"/>
          <w:bCs w:val="0"/>
          <w:color w:val="auto"/>
          <w:u w:val="none"/>
        </w:rPr>
      </w:pPr>
      <w:r>
        <w:rPr>
          <w:rFonts w:hint="eastAsia" w:ascii="宋体" w:hAnsi="宋体" w:cs="宋体"/>
          <w:b/>
        </w:rPr>
        <w:t>9</w:t>
      </w:r>
      <w:r>
        <w:rPr>
          <w:rStyle w:val="22"/>
          <w:rFonts w:hint="eastAsia" w:ascii="宋体" w:hAnsi="宋体" w:cs="宋体"/>
          <w:bCs w:val="0"/>
          <w:color w:val="auto"/>
          <w:u w:val="none"/>
        </w:rPr>
        <w:t>《建筑施工场界环境噪声排放标准》GB12523</w:t>
      </w:r>
    </w:p>
    <w:p>
      <w:pPr>
        <w:rPr>
          <w:rFonts w:ascii="宋体" w:hAnsi="宋体" w:cs="宋体"/>
          <w:bCs w:val="0"/>
          <w:color w:val="000000"/>
          <w:shd w:val="clear" w:color="auto" w:fill="FFFFFF"/>
        </w:rPr>
      </w:pPr>
      <w:r>
        <w:rPr>
          <w:rFonts w:hint="eastAsia" w:ascii="宋体" w:hAnsi="宋体" w:cs="宋体"/>
          <w:b/>
          <w:color w:val="000000"/>
          <w:shd w:val="clear" w:color="auto" w:fill="FFFFFF"/>
        </w:rPr>
        <w:t>10</w:t>
      </w:r>
      <w:r>
        <w:rPr>
          <w:rFonts w:hint="eastAsia" w:ascii="宋体" w:hAnsi="宋体" w:cs="宋体"/>
          <w:bCs w:val="0"/>
          <w:color w:val="000000"/>
          <w:shd w:val="clear" w:color="auto" w:fill="FFFFFF"/>
        </w:rPr>
        <w:t>《施工脚手架通用规范》GB55023</w:t>
      </w:r>
    </w:p>
    <w:p>
      <w:pPr>
        <w:rPr>
          <w:rFonts w:ascii="宋体" w:hAnsi="宋体" w:cs="宋体"/>
          <w:bCs w:val="0"/>
          <w:color w:val="000000"/>
          <w:shd w:val="clear" w:color="auto" w:fill="FFFFFF"/>
        </w:rPr>
      </w:pPr>
      <w:r>
        <w:rPr>
          <w:rFonts w:hint="eastAsia" w:ascii="宋体" w:hAnsi="宋体" w:cs="宋体"/>
          <w:b/>
          <w:color w:val="000000"/>
          <w:shd w:val="clear" w:color="auto" w:fill="FFFFFF"/>
        </w:rPr>
        <w:t>11</w:t>
      </w:r>
      <w:r>
        <w:rPr>
          <w:rFonts w:hint="eastAsia" w:ascii="宋体" w:hAnsi="宋体" w:cs="宋体"/>
          <w:bCs w:val="0"/>
          <w:color w:val="000000"/>
          <w:shd w:val="clear" w:color="auto" w:fill="FFFFFF"/>
        </w:rPr>
        <w:t>《建筑施工扣件式钢管脚手架安全技术规范》JGJ130</w:t>
      </w:r>
    </w:p>
    <w:p>
      <w:pPr>
        <w:rPr>
          <w:rFonts w:ascii="宋体" w:hAnsi="宋体" w:cs="宋体"/>
          <w:bCs w:val="0"/>
          <w:color w:val="000000"/>
          <w:shd w:val="clear" w:color="auto" w:fill="FFFFFF"/>
        </w:rPr>
      </w:pPr>
      <w:r>
        <w:rPr>
          <w:rFonts w:hint="eastAsia" w:ascii="宋体" w:hAnsi="宋体" w:cs="宋体"/>
          <w:b/>
          <w:color w:val="000000"/>
          <w:shd w:val="clear" w:color="auto" w:fill="FFFFFF"/>
        </w:rPr>
        <w:t>12</w:t>
      </w:r>
      <w:r>
        <w:rPr>
          <w:rFonts w:hint="eastAsia" w:ascii="宋体" w:hAnsi="宋体" w:cs="宋体"/>
          <w:bCs w:val="0"/>
          <w:color w:val="000000"/>
          <w:shd w:val="clear" w:color="auto" w:fill="FFFFFF"/>
        </w:rPr>
        <w:t>《建筑施工承插型盘扣式钢管脚手架安全技术标准》JGJ/T231</w:t>
      </w:r>
    </w:p>
    <w:p>
      <w:pPr>
        <w:rPr>
          <w:rFonts w:ascii="宋体" w:hAnsi="宋体" w:cs="宋体"/>
          <w:bCs w:val="0"/>
          <w:color w:val="000000"/>
          <w:shd w:val="clear" w:color="auto" w:fill="FFFFFF"/>
        </w:rPr>
      </w:pPr>
      <w:r>
        <w:rPr>
          <w:rFonts w:hint="eastAsia" w:ascii="宋体" w:hAnsi="宋体" w:cs="宋体"/>
          <w:b/>
          <w:color w:val="000000"/>
          <w:shd w:val="clear" w:color="auto" w:fill="FFFFFF"/>
        </w:rPr>
        <w:t>13</w:t>
      </w:r>
      <w:r>
        <w:rPr>
          <w:rFonts w:hint="eastAsia" w:ascii="宋体" w:hAnsi="宋体" w:cs="宋体"/>
          <w:bCs w:val="0"/>
          <w:color w:val="000000"/>
          <w:shd w:val="clear" w:color="auto" w:fill="FFFFFF"/>
        </w:rPr>
        <w:t>《建筑施工工具式脚手架安全技术规范》JGJ202</w:t>
      </w:r>
    </w:p>
    <w:p>
      <w:pPr>
        <w:rPr>
          <w:rFonts w:ascii="宋体" w:hAnsi="宋体" w:cs="宋体"/>
          <w:bCs w:val="0"/>
          <w:color w:val="000000"/>
          <w:shd w:val="clear" w:color="auto" w:fill="FFFFFF"/>
        </w:rPr>
      </w:pPr>
      <w:r>
        <w:rPr>
          <w:rFonts w:hint="eastAsia" w:ascii="宋体" w:hAnsi="宋体" w:cs="宋体"/>
          <w:b/>
          <w:color w:val="000000"/>
          <w:shd w:val="clear" w:color="auto" w:fill="FFFFFF"/>
        </w:rPr>
        <w:t>14</w:t>
      </w:r>
      <w:r>
        <w:rPr>
          <w:rFonts w:hint="eastAsia" w:ascii="宋体" w:hAnsi="宋体" w:cs="宋体"/>
          <w:bCs w:val="0"/>
          <w:color w:val="000000"/>
          <w:shd w:val="clear" w:color="auto" w:fill="FFFFFF"/>
        </w:rPr>
        <w:t>《建筑施工模板安全技术规范》JGJ162</w:t>
      </w:r>
    </w:p>
    <w:p>
      <w:pPr>
        <w:pStyle w:val="7"/>
        <w:spacing w:line="240" w:lineRule="auto"/>
        <w:rPr>
          <w:rFonts w:hAnsi="宋体" w:cs="宋体"/>
          <w:bCs w:val="0"/>
          <w:szCs w:val="24"/>
        </w:rPr>
      </w:pPr>
      <w:r>
        <w:rPr>
          <w:rFonts w:hint="eastAsia" w:hAnsi="宋体" w:cs="宋体"/>
          <w:b/>
          <w:szCs w:val="24"/>
        </w:rPr>
        <w:t>15</w:t>
      </w:r>
      <w:r>
        <w:rPr>
          <w:rFonts w:hint="eastAsia" w:hAnsi="宋体" w:cs="宋体"/>
          <w:bCs w:val="0"/>
          <w:szCs w:val="24"/>
        </w:rPr>
        <w:t>《建筑施工高处作业安全技术规范》JGJ80</w:t>
      </w:r>
    </w:p>
    <w:p>
      <w:pPr>
        <w:pStyle w:val="7"/>
        <w:spacing w:line="240" w:lineRule="auto"/>
        <w:rPr>
          <w:rFonts w:hAnsi="宋体" w:cs="宋体"/>
          <w:bCs w:val="0"/>
          <w:color w:val="000000"/>
          <w:szCs w:val="24"/>
          <w:shd w:val="clear" w:color="auto" w:fill="FFFFFF"/>
        </w:rPr>
      </w:pPr>
      <w:r>
        <w:rPr>
          <w:rFonts w:hint="eastAsia" w:hAnsi="宋体" w:cs="宋体"/>
          <w:b/>
          <w:color w:val="000000"/>
          <w:szCs w:val="24"/>
          <w:shd w:val="clear" w:color="auto" w:fill="FFFFFF"/>
        </w:rPr>
        <w:t>16</w:t>
      </w:r>
      <w:r>
        <w:rPr>
          <w:rFonts w:hint="eastAsia" w:hAnsi="宋体" w:cs="宋体"/>
          <w:bCs w:val="0"/>
          <w:color w:val="000000"/>
          <w:szCs w:val="24"/>
          <w:shd w:val="clear" w:color="auto" w:fill="FFFFFF"/>
        </w:rPr>
        <w:t>《头部防护-安全帽》GB2811</w:t>
      </w:r>
    </w:p>
    <w:p>
      <w:pPr>
        <w:pStyle w:val="7"/>
        <w:spacing w:line="240" w:lineRule="auto"/>
        <w:rPr>
          <w:rFonts w:hAnsi="宋体" w:cs="宋体"/>
          <w:bCs w:val="0"/>
          <w:color w:val="000000"/>
          <w:szCs w:val="24"/>
          <w:shd w:val="clear" w:color="auto" w:fill="FFFFFF"/>
        </w:rPr>
      </w:pPr>
      <w:r>
        <w:rPr>
          <w:rFonts w:hint="eastAsia" w:hAnsi="宋体" w:cs="宋体"/>
          <w:b/>
          <w:color w:val="000000"/>
          <w:szCs w:val="24"/>
          <w:shd w:val="clear" w:color="auto" w:fill="FFFFFF"/>
        </w:rPr>
        <w:t>17</w:t>
      </w:r>
      <w:r>
        <w:rPr>
          <w:rFonts w:hint="eastAsia" w:hAnsi="宋体" w:cs="宋体"/>
          <w:bCs w:val="0"/>
          <w:color w:val="000000"/>
          <w:szCs w:val="24"/>
          <w:shd w:val="clear" w:color="auto" w:fill="FFFFFF"/>
        </w:rPr>
        <w:t>《坠落防护安全带》GB6095</w:t>
      </w:r>
    </w:p>
    <w:p>
      <w:pPr>
        <w:pStyle w:val="7"/>
        <w:spacing w:line="240" w:lineRule="auto"/>
        <w:rPr>
          <w:rFonts w:hAnsi="宋体" w:cs="宋体"/>
          <w:bCs w:val="0"/>
          <w:color w:val="000000"/>
          <w:szCs w:val="24"/>
          <w:shd w:val="clear" w:color="auto" w:fill="FFFFFF"/>
        </w:rPr>
      </w:pPr>
      <w:r>
        <w:rPr>
          <w:rFonts w:hint="eastAsia" w:hAnsi="宋体" w:cs="宋体"/>
          <w:b/>
          <w:color w:val="000000"/>
          <w:szCs w:val="24"/>
          <w:shd w:val="clear" w:color="auto" w:fill="FFFFFF"/>
        </w:rPr>
        <w:t>18</w:t>
      </w:r>
      <w:r>
        <w:rPr>
          <w:rFonts w:hint="eastAsia" w:hAnsi="宋体" w:cs="宋体"/>
          <w:bCs w:val="0"/>
          <w:color w:val="000000"/>
          <w:szCs w:val="24"/>
          <w:shd w:val="clear" w:color="auto" w:fill="FFFFFF"/>
        </w:rPr>
        <w:t>《安全网》GB5725</w:t>
      </w:r>
    </w:p>
    <w:p>
      <w:pPr>
        <w:rPr>
          <w:rFonts w:ascii="宋体" w:hAnsi="宋体" w:cs="宋体"/>
          <w:bCs w:val="0"/>
          <w:shd w:val="clear" w:color="auto" w:fill="FFFFFF"/>
        </w:rPr>
      </w:pPr>
      <w:r>
        <w:rPr>
          <w:rFonts w:hint="eastAsia" w:ascii="宋体" w:hAnsi="宋体" w:cs="宋体"/>
          <w:b/>
          <w:shd w:val="clear" w:color="auto" w:fill="FFFFFF"/>
        </w:rPr>
        <w:t>19</w:t>
      </w:r>
      <w:r>
        <w:rPr>
          <w:rFonts w:hint="eastAsia" w:ascii="宋体" w:hAnsi="宋体" w:cs="宋体"/>
          <w:bCs w:val="0"/>
          <w:shd w:val="clear" w:color="auto" w:fill="FFFFFF"/>
        </w:rPr>
        <w:t>《移动式升降工作平台安全规则、检查、维护和操作》GB/T27548</w:t>
      </w:r>
    </w:p>
    <w:p>
      <w:pPr>
        <w:rPr>
          <w:rFonts w:ascii="宋体" w:hAnsi="宋体" w:cs="宋体"/>
          <w:bCs w:val="0"/>
          <w:shd w:val="clear" w:color="auto" w:fill="FFFFFF"/>
        </w:rPr>
      </w:pPr>
      <w:r>
        <w:rPr>
          <w:rFonts w:hint="eastAsia" w:ascii="宋体" w:hAnsi="宋体" w:cs="宋体"/>
          <w:b/>
        </w:rPr>
        <w:t>20</w:t>
      </w:r>
      <w:r>
        <w:rPr>
          <w:rFonts w:hint="eastAsia" w:ascii="宋体" w:hAnsi="宋体" w:cs="宋体"/>
          <w:bCs w:val="0"/>
        </w:rPr>
        <w:t>《移动式升降工作平台设计计算、安全要求和测试方法》GB25849</w:t>
      </w:r>
    </w:p>
    <w:p>
      <w:pPr>
        <w:pStyle w:val="7"/>
        <w:spacing w:line="240" w:lineRule="auto"/>
        <w:rPr>
          <w:rFonts w:hAnsi="宋体" w:cs="宋体"/>
          <w:bCs w:val="0"/>
          <w:szCs w:val="24"/>
        </w:rPr>
      </w:pPr>
      <w:r>
        <w:rPr>
          <w:rFonts w:hint="eastAsia" w:hAnsi="宋体" w:cs="宋体"/>
          <w:b/>
          <w:szCs w:val="24"/>
        </w:rPr>
        <w:t>21</w:t>
      </w:r>
      <w:r>
        <w:rPr>
          <w:rFonts w:hint="eastAsia" w:hAnsi="宋体" w:cs="宋体"/>
          <w:bCs w:val="0"/>
          <w:szCs w:val="24"/>
        </w:rPr>
        <w:t>《</w:t>
      </w:r>
      <w:r>
        <w:rPr>
          <w:rFonts w:hint="eastAsia" w:hAnsi="宋体" w:cs="宋体"/>
          <w:bCs w:val="0"/>
        </w:rPr>
        <w:t>建筑与市政工程施工现场临时用电安全技术标准</w:t>
      </w:r>
      <w:r>
        <w:rPr>
          <w:rFonts w:hint="eastAsia" w:hAnsi="宋体" w:cs="宋体"/>
          <w:bCs w:val="0"/>
          <w:szCs w:val="24"/>
        </w:rPr>
        <w:t>》JGJ/T46</w:t>
      </w:r>
    </w:p>
    <w:p>
      <w:pPr>
        <w:pStyle w:val="7"/>
        <w:spacing w:line="240" w:lineRule="auto"/>
        <w:rPr>
          <w:rFonts w:hAnsi="宋体" w:cs="宋体"/>
          <w:bCs w:val="0"/>
          <w:szCs w:val="24"/>
        </w:rPr>
      </w:pPr>
      <w:r>
        <w:rPr>
          <w:rFonts w:hint="eastAsia" w:hAnsi="宋体" w:cs="宋体"/>
          <w:b/>
          <w:szCs w:val="24"/>
        </w:rPr>
        <w:t>22</w:t>
      </w:r>
      <w:r>
        <w:rPr>
          <w:rFonts w:hint="eastAsia" w:hAnsi="宋体" w:cs="宋体"/>
          <w:bCs w:val="0"/>
          <w:szCs w:val="24"/>
        </w:rPr>
        <w:t>《塔式起重机安全规程》GB5144</w:t>
      </w:r>
    </w:p>
    <w:p>
      <w:pPr>
        <w:pStyle w:val="7"/>
        <w:spacing w:line="240" w:lineRule="auto"/>
        <w:rPr>
          <w:rFonts w:hAnsi="宋体" w:cs="宋体"/>
          <w:bCs w:val="0"/>
          <w:szCs w:val="24"/>
        </w:rPr>
      </w:pPr>
      <w:r>
        <w:rPr>
          <w:rFonts w:hint="eastAsia" w:hAnsi="宋体" w:cs="宋体"/>
          <w:b/>
          <w:szCs w:val="24"/>
        </w:rPr>
        <w:t>23</w:t>
      </w:r>
      <w:r>
        <w:rPr>
          <w:rFonts w:hint="eastAsia" w:hAnsi="宋体" w:cs="宋体"/>
          <w:bCs w:val="0"/>
          <w:szCs w:val="24"/>
        </w:rPr>
        <w:t>《建筑施工塔式起重机安装、使用、拆卸安全技术规程》JGJ196</w:t>
      </w:r>
    </w:p>
    <w:p>
      <w:pPr>
        <w:pStyle w:val="7"/>
        <w:spacing w:line="240" w:lineRule="auto"/>
        <w:rPr>
          <w:rFonts w:hAnsi="宋体" w:cs="宋体"/>
          <w:bCs w:val="0"/>
          <w:szCs w:val="24"/>
        </w:rPr>
      </w:pPr>
      <w:r>
        <w:rPr>
          <w:rFonts w:hint="eastAsia" w:hAnsi="宋体" w:cs="宋体"/>
          <w:b/>
          <w:szCs w:val="24"/>
        </w:rPr>
        <w:t>24</w:t>
      </w:r>
      <w:r>
        <w:rPr>
          <w:rFonts w:hint="eastAsia" w:hAnsi="宋体" w:cs="宋体"/>
          <w:bCs w:val="0"/>
          <w:szCs w:val="24"/>
        </w:rPr>
        <w:t>《施工升降机安全使用规程》GB/T34023</w:t>
      </w:r>
    </w:p>
    <w:p>
      <w:pPr>
        <w:pStyle w:val="7"/>
        <w:spacing w:line="240" w:lineRule="auto"/>
        <w:rPr>
          <w:rFonts w:hAnsi="宋体" w:cs="宋体"/>
          <w:bCs w:val="0"/>
          <w:szCs w:val="24"/>
        </w:rPr>
      </w:pPr>
      <w:r>
        <w:rPr>
          <w:rFonts w:hint="eastAsia" w:hAnsi="宋体" w:cs="宋体"/>
          <w:b/>
          <w:szCs w:val="24"/>
        </w:rPr>
        <w:t>25</w:t>
      </w:r>
      <w:r>
        <w:rPr>
          <w:rFonts w:hint="eastAsia" w:hAnsi="宋体" w:cs="宋体"/>
          <w:bCs w:val="0"/>
          <w:szCs w:val="24"/>
        </w:rPr>
        <w:t>《建筑施工升降机安装、使用、拆卸安全技术规程》JGJ215</w:t>
      </w:r>
    </w:p>
    <w:p>
      <w:pPr>
        <w:pStyle w:val="7"/>
        <w:spacing w:line="240" w:lineRule="auto"/>
        <w:rPr>
          <w:rFonts w:hAnsi="宋体" w:cs="宋体"/>
          <w:bCs w:val="0"/>
          <w:szCs w:val="24"/>
        </w:rPr>
      </w:pPr>
      <w:r>
        <w:rPr>
          <w:rFonts w:hint="eastAsia" w:hAnsi="宋体" w:cs="宋体"/>
          <w:b/>
          <w:szCs w:val="24"/>
        </w:rPr>
        <w:t>26</w:t>
      </w:r>
      <w:r>
        <w:rPr>
          <w:rFonts w:hint="eastAsia" w:hAnsi="宋体" w:cs="宋体"/>
          <w:bCs w:val="0"/>
          <w:szCs w:val="24"/>
        </w:rPr>
        <w:t>《起重机钢丝绳保养、维护、检验和报废》GB/T5972</w:t>
      </w:r>
    </w:p>
    <w:p>
      <w:pPr>
        <w:pStyle w:val="7"/>
        <w:spacing w:line="240" w:lineRule="auto"/>
        <w:rPr>
          <w:rFonts w:hAnsi="宋体" w:cs="宋体"/>
          <w:bCs w:val="0"/>
          <w:szCs w:val="24"/>
        </w:rPr>
      </w:pPr>
      <w:r>
        <w:rPr>
          <w:rFonts w:hint="eastAsia" w:hAnsi="宋体" w:cs="宋体"/>
          <w:b/>
          <w:szCs w:val="24"/>
        </w:rPr>
        <w:t>27</w:t>
      </w:r>
      <w:r>
        <w:rPr>
          <w:rFonts w:hint="eastAsia" w:hAnsi="宋体" w:cs="宋体"/>
          <w:bCs w:val="0"/>
          <w:szCs w:val="24"/>
        </w:rPr>
        <w:t>《施工现场机械设备检查技术规程》JGJ160</w:t>
      </w:r>
    </w:p>
    <w:p>
      <w:pPr>
        <w:pStyle w:val="7"/>
        <w:spacing w:line="240" w:lineRule="auto"/>
        <w:rPr>
          <w:rFonts w:hAnsi="宋体" w:cs="宋体"/>
          <w:bCs w:val="0"/>
          <w:szCs w:val="24"/>
        </w:rPr>
      </w:pPr>
      <w:r>
        <w:rPr>
          <w:rFonts w:hint="eastAsia" w:hAnsi="宋体" w:cs="宋体"/>
          <w:b/>
          <w:bCs w:val="0"/>
          <w:szCs w:val="24"/>
        </w:rPr>
        <w:t>28</w:t>
      </w:r>
      <w:r>
        <w:rPr>
          <w:rFonts w:hint="eastAsia" w:hAnsi="宋体" w:cs="宋体"/>
          <w:bCs w:val="0"/>
          <w:szCs w:val="24"/>
        </w:rPr>
        <w:t>《建筑机械使用安全技术规程》JGJ33</w:t>
      </w:r>
    </w:p>
    <w:p>
      <w:pPr>
        <w:pStyle w:val="7"/>
        <w:spacing w:line="240" w:lineRule="auto"/>
        <w:rPr>
          <w:rFonts w:hAnsi="宋体" w:cs="宋体"/>
          <w:bCs w:val="0"/>
          <w:szCs w:val="24"/>
        </w:rPr>
      </w:pPr>
      <w:r>
        <w:rPr>
          <w:rFonts w:hint="eastAsia" w:hAnsi="宋体" w:cs="宋体"/>
          <w:b/>
          <w:szCs w:val="24"/>
        </w:rPr>
        <w:t>29</w:t>
      </w:r>
      <w:r>
        <w:rPr>
          <w:rFonts w:hint="eastAsia" w:hAnsi="宋体" w:cs="宋体"/>
          <w:bCs w:val="0"/>
          <w:szCs w:val="24"/>
        </w:rPr>
        <w:t>《建筑施工起重吊装安全技术规范》JGJ276</w:t>
      </w: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szCs w:val="24"/>
        </w:rPr>
      </w:pPr>
    </w:p>
    <w:p>
      <w:pPr>
        <w:pStyle w:val="7"/>
        <w:spacing w:line="360" w:lineRule="exact"/>
        <w:rPr>
          <w:rFonts w:hAnsi="宋体" w:cs="宋体"/>
        </w:rPr>
      </w:pPr>
    </w:p>
    <w:p>
      <w:pPr>
        <w:pStyle w:val="7"/>
        <w:spacing w:line="360" w:lineRule="exact"/>
        <w:jc w:val="center"/>
        <w:rPr>
          <w:rFonts w:hAnsi="宋体" w:cs="宋体"/>
        </w:rPr>
      </w:pPr>
    </w:p>
    <w:p>
      <w:pPr>
        <w:pStyle w:val="7"/>
        <w:spacing w:line="360" w:lineRule="exact"/>
        <w:jc w:val="center"/>
        <w:rPr>
          <w:rFonts w:hAnsi="宋体" w:cs="宋体"/>
        </w:rPr>
      </w:pPr>
    </w:p>
    <w:p>
      <w:pPr>
        <w:pStyle w:val="7"/>
        <w:spacing w:line="360" w:lineRule="exact"/>
        <w:jc w:val="center"/>
        <w:rPr>
          <w:rFonts w:hAnsi="宋体" w:cs="宋体"/>
        </w:rPr>
      </w:pPr>
      <w:r>
        <w:rPr>
          <w:rFonts w:hint="eastAsia" w:hAnsi="宋体" w:cs="宋体"/>
        </w:rPr>
        <w:t>安徽省工程建设地方标准</w:t>
      </w:r>
    </w:p>
    <w:p>
      <w:pPr>
        <w:pStyle w:val="7"/>
        <w:spacing w:line="360" w:lineRule="exact"/>
        <w:jc w:val="center"/>
        <w:rPr>
          <w:rFonts w:hAnsi="宋体" w:cs="宋体"/>
          <w:szCs w:val="24"/>
        </w:rPr>
      </w:pPr>
    </w:p>
    <w:p>
      <w:pPr>
        <w:spacing w:line="360" w:lineRule="auto"/>
        <w:jc w:val="center"/>
        <w:rPr>
          <w:rFonts w:ascii="宋体" w:hAnsi="宋体" w:cs="宋体"/>
          <w:b/>
          <w:bCs w:val="0"/>
          <w:sz w:val="32"/>
          <w:szCs w:val="32"/>
        </w:rPr>
      </w:pPr>
      <w:r>
        <w:rPr>
          <w:rFonts w:hint="eastAsia" w:ascii="宋体" w:hAnsi="宋体" w:cs="宋体"/>
          <w:b/>
          <w:bCs w:val="0"/>
          <w:sz w:val="32"/>
          <w:szCs w:val="32"/>
        </w:rPr>
        <w:t>建筑安全生产标准化示范工地评价标准</w:t>
      </w:r>
    </w:p>
    <w:p>
      <w:pPr>
        <w:spacing w:line="360" w:lineRule="auto"/>
        <w:jc w:val="center"/>
        <w:rPr>
          <w:rFonts w:ascii="宋体" w:hAnsi="宋体" w:cs="宋体"/>
          <w:b/>
          <w:bCs w:val="0"/>
          <w:sz w:val="32"/>
          <w:szCs w:val="32"/>
          <w:highlight w:val="yellow"/>
        </w:rPr>
      </w:pPr>
    </w:p>
    <w:p>
      <w:pPr>
        <w:spacing w:line="360" w:lineRule="auto"/>
        <w:jc w:val="center"/>
        <w:rPr>
          <w:rFonts w:ascii="宋体" w:hAnsi="宋体" w:cs="宋体"/>
          <w:b/>
          <w:bCs w:val="0"/>
          <w:sz w:val="32"/>
          <w:szCs w:val="32"/>
        </w:rPr>
      </w:pPr>
    </w:p>
    <w:p>
      <w:pPr>
        <w:pStyle w:val="12"/>
        <w:tabs>
          <w:tab w:val="right" w:leader="dot" w:pos="8450"/>
        </w:tabs>
        <w:spacing w:line="360" w:lineRule="auto"/>
        <w:jc w:val="center"/>
        <w:rPr>
          <w:rFonts w:ascii="宋体" w:hAnsi="宋体" w:cs="宋体"/>
          <w:b w:val="0"/>
          <w:kern w:val="0"/>
          <w:sz w:val="32"/>
          <w:szCs w:val="32"/>
        </w:rPr>
      </w:pPr>
      <w:bookmarkStart w:id="25" w:name="_Toc437346470"/>
      <w:r>
        <w:rPr>
          <w:rFonts w:hint="eastAsia" w:ascii="宋体" w:hAnsi="宋体" w:cs="宋体"/>
          <w:b w:val="0"/>
          <w:kern w:val="0"/>
          <w:sz w:val="32"/>
          <w:szCs w:val="32"/>
        </w:rPr>
        <w:t>条文说明</w:t>
      </w:r>
      <w:bookmarkEnd w:id="25"/>
    </w:p>
    <w:p>
      <w:pPr>
        <w:pStyle w:val="12"/>
        <w:tabs>
          <w:tab w:val="right" w:leader="dot" w:pos="8450"/>
        </w:tabs>
        <w:spacing w:line="360" w:lineRule="auto"/>
        <w:jc w:val="center"/>
        <w:rPr>
          <w:rFonts w:ascii="Calibri" w:hAnsi="Calibri"/>
          <w:b w:val="0"/>
          <w:bCs w:val="0"/>
          <w:caps w:val="0"/>
          <w:sz w:val="28"/>
          <w:szCs w:val="28"/>
        </w:rPr>
      </w:pPr>
      <w:r>
        <w:rPr>
          <w:rFonts w:ascii="Calibri" w:hAnsi="Calibri" w:eastAsia="Segoe UI" w:cs="Segoe UI"/>
          <w:b w:val="0"/>
          <w:bCs w:val="0"/>
          <w:caps w:val="0"/>
          <w:sz w:val="28"/>
          <w:szCs w:val="28"/>
          <w:shd w:val="clear" w:color="auto" w:fill="FFFFFF"/>
        </w:rPr>
        <w:t>Explanation of provisions</w:t>
      </w: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jc w:val="center"/>
        <w:outlineLvl w:val="0"/>
        <w:rPr>
          <w:rFonts w:ascii="宋体" w:hAnsi="宋体" w:cs="宋体"/>
          <w:b/>
          <w:kern w:val="0"/>
          <w:sz w:val="32"/>
          <w:szCs w:val="32"/>
        </w:rPr>
      </w:pPr>
    </w:p>
    <w:p>
      <w:pPr>
        <w:tabs>
          <w:tab w:val="left" w:pos="210"/>
          <w:tab w:val="left" w:pos="927"/>
          <w:tab w:val="center" w:pos="4156"/>
          <w:tab w:val="center" w:pos="6979"/>
        </w:tabs>
        <w:autoSpaceDE w:val="0"/>
        <w:autoSpaceDN w:val="0"/>
        <w:adjustRightInd w:val="0"/>
        <w:spacing w:line="360" w:lineRule="auto"/>
        <w:outlineLvl w:val="0"/>
        <w:rPr>
          <w:rFonts w:ascii="宋体" w:hAnsi="宋体" w:cs="宋体"/>
          <w:b/>
          <w:kern w:val="0"/>
          <w:sz w:val="32"/>
          <w:szCs w:val="32"/>
        </w:rPr>
      </w:pPr>
    </w:p>
    <w:p>
      <w:pPr>
        <w:rPr>
          <w:rFonts w:hint="eastAsia" w:ascii="宋体" w:hAnsi="宋体" w:cs="宋体"/>
          <w:b/>
          <w:kern w:val="0"/>
          <w:sz w:val="32"/>
          <w:szCs w:val="32"/>
        </w:rPr>
      </w:pPr>
      <w:r>
        <w:rPr>
          <w:rFonts w:hint="eastAsia" w:ascii="宋体" w:hAnsi="宋体" w:cs="宋体"/>
          <w:b/>
          <w:kern w:val="0"/>
          <w:sz w:val="32"/>
          <w:szCs w:val="32"/>
        </w:rPr>
        <w:br w:type="page"/>
      </w:r>
    </w:p>
    <w:p>
      <w:pPr>
        <w:spacing w:before="240" w:after="240"/>
        <w:jc w:val="center"/>
        <w:rPr>
          <w:rFonts w:ascii="宋体" w:hAnsi="宋体" w:cs="宋体"/>
          <w:b/>
          <w:kern w:val="0"/>
          <w:sz w:val="32"/>
          <w:szCs w:val="32"/>
        </w:rPr>
      </w:pPr>
      <w:bookmarkStart w:id="26" w:name="_GoBack"/>
      <w:bookmarkEnd w:id="26"/>
      <w:r>
        <w:rPr>
          <w:rFonts w:hint="eastAsia" w:ascii="宋体" w:hAnsi="宋体" w:cs="宋体"/>
          <w:b/>
          <w:kern w:val="0"/>
          <w:sz w:val="32"/>
          <w:szCs w:val="32"/>
        </w:rPr>
        <w:t>3  检查评定项目</w:t>
      </w:r>
    </w:p>
    <w:p>
      <w:pPr>
        <w:pStyle w:val="13"/>
        <w:tabs>
          <w:tab w:val="right" w:leader="dot" w:pos="8450"/>
        </w:tabs>
        <w:spacing w:beforeLines="100" w:afterLines="100" w:line="360" w:lineRule="auto"/>
        <w:jc w:val="center"/>
        <w:rPr>
          <w:rFonts w:ascii="宋体" w:hAnsi="宋体" w:cs="宋体"/>
          <w:b/>
          <w:sz w:val="24"/>
          <w:szCs w:val="24"/>
          <w:shd w:val="clear" w:color="auto" w:fill="FFFFFF"/>
        </w:rPr>
      </w:pPr>
      <w:r>
        <w:rPr>
          <w:rFonts w:hint="eastAsia" w:ascii="宋体" w:hAnsi="宋体" w:cs="宋体"/>
          <w:b/>
          <w:sz w:val="24"/>
          <w:szCs w:val="24"/>
          <w:shd w:val="clear" w:color="auto" w:fill="FFFFFF"/>
        </w:rPr>
        <w:t>3.3  施工单位安全管理</w:t>
      </w:r>
    </w:p>
    <w:p>
      <w:pPr>
        <w:spacing w:line="360" w:lineRule="auto"/>
        <w:rPr>
          <w:rFonts w:ascii="宋体" w:hAnsi="宋体" w:cs="宋体"/>
          <w:kern w:val="0"/>
        </w:rPr>
      </w:pPr>
      <w:r>
        <w:rPr>
          <w:rFonts w:hint="eastAsia" w:ascii="宋体" w:hAnsi="宋体" w:cs="宋体"/>
          <w:b/>
          <w:kern w:val="0"/>
        </w:rPr>
        <w:t>3.3.3</w:t>
      </w:r>
      <w:r>
        <w:rPr>
          <w:rFonts w:hint="eastAsia" w:ascii="宋体" w:hAnsi="宋体" w:cs="宋体"/>
          <w:kern w:val="0"/>
        </w:rPr>
        <w:t xml:space="preserve">  安全生产责任制</w:t>
      </w:r>
    </w:p>
    <w:p>
      <w:pPr>
        <w:pStyle w:val="7"/>
        <w:ind w:firstLine="482" w:firstLineChars="200"/>
        <w:rPr>
          <w:rFonts w:hAnsi="宋体" w:cs="宋体"/>
          <w:szCs w:val="24"/>
          <w:shd w:val="clear" w:color="auto" w:fill="FFFFFF"/>
        </w:rPr>
      </w:pPr>
      <w:r>
        <w:rPr>
          <w:rFonts w:hint="eastAsia" w:hAnsi="宋体" w:cs="宋体"/>
          <w:b/>
          <w:szCs w:val="24"/>
          <w:shd w:val="clear" w:color="auto" w:fill="FFFFFF"/>
        </w:rPr>
        <w:t xml:space="preserve">1  </w:t>
      </w:r>
      <w:r>
        <w:rPr>
          <w:rFonts w:hint="eastAsia" w:hAnsi="宋体" w:cs="宋体"/>
          <w:bCs w:val="0"/>
          <w:szCs w:val="24"/>
          <w:shd w:val="clear" w:color="auto" w:fill="FFFFFF"/>
        </w:rPr>
        <w:t>工程项目部在开工前根据</w:t>
      </w:r>
      <w:r>
        <w:rPr>
          <w:rFonts w:hint="eastAsia" w:hAnsi="宋体" w:cs="宋体"/>
          <w:szCs w:val="24"/>
          <w:shd w:val="clear" w:color="auto" w:fill="FFFFFF"/>
        </w:rPr>
        <w:t>安全生产目标责任书规定，明确安全文明创建目标，并成立创建组织机构，对照本标准分不同施工阶段开展安全生产标准化自评工作，形成记录。</w:t>
      </w:r>
    </w:p>
    <w:p>
      <w:pPr>
        <w:pStyle w:val="7"/>
        <w:ind w:firstLine="482" w:firstLineChars="200"/>
        <w:rPr>
          <w:rFonts w:hAnsi="宋体" w:cs="宋体"/>
          <w:szCs w:val="24"/>
          <w:shd w:val="clear" w:color="auto" w:fill="FFFFFF"/>
        </w:rPr>
      </w:pPr>
      <w:r>
        <w:rPr>
          <w:rFonts w:hint="eastAsia" w:hAnsi="宋体" w:cs="宋体"/>
          <w:b/>
          <w:bCs w:val="0"/>
          <w:szCs w:val="24"/>
          <w:shd w:val="clear" w:color="auto" w:fill="FFFFFF"/>
        </w:rPr>
        <w:t>2</w:t>
      </w:r>
      <w:r>
        <w:rPr>
          <w:rFonts w:hint="eastAsia" w:hAnsi="宋体" w:cs="宋体"/>
          <w:szCs w:val="24"/>
          <w:shd w:val="clear" w:color="auto" w:fill="FFFFFF"/>
        </w:rPr>
        <w:t xml:space="preserve">  根据《建筑施工企业主要负责人、项目负责人和专职安全生产管理人员安全生产管理规定》（住房和城乡建设部令第17号），专职安全生产管理人员应当每天在施工现场开展安全检查，现场监督危大工程专项施工方案的实施。发现事故隐患，应当立即处理，不能处理的，应当及时报告项目负责人和企业安全生产管理机构，并将检查和处理情况记录在安全日志中。</w:t>
      </w:r>
    </w:p>
    <w:p>
      <w:pPr>
        <w:pStyle w:val="7"/>
        <w:ind w:firstLine="482" w:firstLineChars="200"/>
        <w:rPr>
          <w:rFonts w:hAnsi="宋体" w:cs="宋体"/>
          <w:szCs w:val="24"/>
          <w:shd w:val="clear" w:color="auto" w:fill="FFFFFF"/>
        </w:rPr>
      </w:pPr>
      <w:r>
        <w:rPr>
          <w:rFonts w:hint="eastAsia" w:hAnsi="宋体" w:cs="宋体"/>
          <w:b/>
          <w:kern w:val="0"/>
        </w:rPr>
        <w:t xml:space="preserve">3  </w:t>
      </w:r>
      <w:r>
        <w:rPr>
          <w:rFonts w:hint="eastAsia" w:hAnsi="宋体" w:cs="宋体"/>
          <w:kern w:val="0"/>
        </w:rPr>
        <w:t>按照财政部 应急管理部颁发的《企业安全生产费用提取和使用管理办法》（财资〔2022〕136号）规定提取并足额投入安全生产费用，建立费用使用台账。安全生产费用主要用于</w:t>
      </w:r>
      <w:r>
        <w:rPr>
          <w:rFonts w:hint="eastAsia" w:hAnsi="宋体" w:cs="宋体"/>
          <w:szCs w:val="24"/>
          <w:shd w:val="clear" w:color="auto" w:fill="FFFFFF"/>
        </w:rPr>
        <w:t>完善、改造和维护安全防护设施；应急救援技术装备、应急救援队伍建设、应急预案制修订与应急演练支出；开展施工现场重大危险源检测、评估、安全风险分级管控和事故隐患排查整改；工程项目安全生产信息化建设支出；安全生产检查、评估评价、咨询和标准化建设支出；配备和更新现场作业人员安全防护用品支出；安全生产宣传、教育、培训支出；安全生产新技术、新标准、新工艺、新装备的推广应用支出；安全设施及特种设备检测检验、检定校准支出；安全生产责任保险支出；与安全生产直接相关的其他支出。</w:t>
      </w:r>
    </w:p>
    <w:p>
      <w:pPr>
        <w:pStyle w:val="7"/>
        <w:ind w:firstLine="482" w:firstLineChars="200"/>
        <w:rPr>
          <w:rFonts w:hAnsi="宋体" w:cs="宋体"/>
          <w:szCs w:val="24"/>
          <w:shd w:val="clear" w:color="auto" w:fill="FFFFFF"/>
        </w:rPr>
      </w:pPr>
      <w:r>
        <w:rPr>
          <w:rFonts w:hint="eastAsia" w:hAnsi="宋体" w:cs="宋体"/>
          <w:b/>
          <w:bCs w:val="0"/>
          <w:szCs w:val="24"/>
          <w:shd w:val="clear" w:color="auto" w:fill="FFFFFF"/>
        </w:rPr>
        <w:t>4</w:t>
      </w:r>
      <w:r>
        <w:rPr>
          <w:rFonts w:hint="eastAsia" w:hAnsi="宋体" w:cs="宋体"/>
          <w:szCs w:val="24"/>
          <w:shd w:val="clear" w:color="auto" w:fill="FFFFFF"/>
        </w:rPr>
        <w:t xml:space="preserve">  依法购买安全生产责任保险，发挥保险机构参与风险评估管控和事故预防功能，保障建筑施工从业人员的权益。安全生产责任保险主要用于安全生产教育培训和职业病防治宣传教育；安全风险辨识、评估、控制和安全评价；安全生产标准化、信息化建设；生产安全事故隐患排查；安全生产应急预案编制和应急救援演练；安全生产科技推广应用；其他有关事故预防工作。</w:t>
      </w:r>
    </w:p>
    <w:p>
      <w:pPr>
        <w:spacing w:line="360" w:lineRule="auto"/>
        <w:ind w:firstLine="482" w:firstLineChars="200"/>
        <w:rPr>
          <w:rFonts w:ascii="宋体" w:hAnsi="宋体" w:cs="宋体"/>
          <w:kern w:val="0"/>
        </w:rPr>
      </w:pPr>
      <w:r>
        <w:rPr>
          <w:rFonts w:hint="eastAsia" w:ascii="宋体" w:hAnsi="宋体" w:cs="宋体"/>
          <w:b/>
          <w:bCs w:val="0"/>
          <w:shd w:val="clear" w:color="auto" w:fill="FFFFFF"/>
        </w:rPr>
        <w:t xml:space="preserve">5  </w:t>
      </w:r>
      <w:r>
        <w:rPr>
          <w:rFonts w:hint="eastAsia" w:ascii="宋体" w:hAnsi="宋体" w:cs="宋体"/>
          <w:shd w:val="clear" w:color="auto" w:fill="FFFFFF"/>
        </w:rPr>
        <w:t>专职安全生产管理人员证书的企业名称与项目施工单位不一致时，应及时变更证书。</w:t>
      </w:r>
    </w:p>
    <w:p>
      <w:pPr>
        <w:spacing w:line="360" w:lineRule="auto"/>
        <w:rPr>
          <w:rFonts w:ascii="宋体" w:hAnsi="宋体" w:cs="宋体"/>
          <w:kern w:val="0"/>
        </w:rPr>
      </w:pPr>
      <w:r>
        <w:rPr>
          <w:rFonts w:hint="eastAsia" w:ascii="宋体" w:hAnsi="宋体" w:cs="宋体"/>
          <w:b/>
          <w:kern w:val="0"/>
        </w:rPr>
        <w:t>3.3.7</w:t>
      </w:r>
      <w:r>
        <w:rPr>
          <w:rFonts w:hint="eastAsia" w:ascii="宋体" w:hAnsi="宋体" w:cs="宋体"/>
          <w:kern w:val="0"/>
        </w:rPr>
        <w:t xml:space="preserve">  安全检查</w:t>
      </w:r>
    </w:p>
    <w:p>
      <w:pPr>
        <w:pStyle w:val="7"/>
        <w:ind w:firstLine="480" w:firstLineChars="200"/>
        <w:rPr>
          <w:rFonts w:hAnsi="宋体" w:cs="宋体"/>
          <w:szCs w:val="24"/>
          <w:shd w:val="clear" w:color="auto" w:fill="FFFFFF"/>
        </w:rPr>
      </w:pPr>
      <w:r>
        <w:rPr>
          <w:rFonts w:hint="eastAsia" w:hAnsi="宋体" w:cs="宋体"/>
          <w:szCs w:val="24"/>
          <w:shd w:val="clear" w:color="auto" w:fill="FFFFFF"/>
        </w:rPr>
        <w:t>根据不同施工阶段对工程项目进行安全风险辨识和风险评估，列出风险点分级清单，制定相应管控措施，开展事故隐患排查，即时整改。</w:t>
      </w:r>
    </w:p>
    <w:p>
      <w:pPr>
        <w:pStyle w:val="13"/>
        <w:tabs>
          <w:tab w:val="right" w:leader="dot" w:pos="8450"/>
        </w:tabs>
        <w:spacing w:beforeLines="100" w:afterLines="100" w:line="360" w:lineRule="auto"/>
        <w:jc w:val="center"/>
        <w:rPr>
          <w:rFonts w:ascii="宋体" w:hAnsi="宋体" w:cs="宋体"/>
          <w:b/>
          <w:sz w:val="24"/>
          <w:szCs w:val="24"/>
          <w:shd w:val="clear" w:color="auto" w:fill="FFFFFF"/>
        </w:rPr>
      </w:pPr>
      <w:r>
        <w:rPr>
          <w:rFonts w:hint="eastAsia" w:ascii="宋体" w:hAnsi="宋体" w:cs="宋体"/>
          <w:b/>
          <w:sz w:val="24"/>
          <w:szCs w:val="24"/>
          <w:shd w:val="clear" w:color="auto" w:fill="FFFFFF"/>
        </w:rPr>
        <w:t>3.4  文明施工</w:t>
      </w:r>
    </w:p>
    <w:p>
      <w:pPr>
        <w:pStyle w:val="7"/>
        <w:rPr>
          <w:rFonts w:hAnsi="宋体" w:cs="宋体"/>
          <w:szCs w:val="24"/>
        </w:rPr>
      </w:pPr>
      <w:r>
        <w:rPr>
          <w:rFonts w:hint="eastAsia" w:hAnsi="宋体" w:cs="宋体"/>
          <w:b/>
          <w:szCs w:val="24"/>
        </w:rPr>
        <w:t>3.4.3</w:t>
      </w:r>
      <w:r>
        <w:rPr>
          <w:rFonts w:hint="eastAsia" w:hAnsi="宋体" w:cs="宋体"/>
          <w:szCs w:val="24"/>
        </w:rPr>
        <w:t xml:space="preserve"> 工程整体形象</w:t>
      </w:r>
    </w:p>
    <w:p>
      <w:pPr>
        <w:pStyle w:val="7"/>
        <w:ind w:firstLine="480" w:firstLineChars="200"/>
        <w:rPr>
          <w:rFonts w:hAnsi="宋体" w:cs="宋体"/>
          <w:szCs w:val="24"/>
        </w:rPr>
      </w:pPr>
      <w:r>
        <w:rPr>
          <w:rFonts w:hint="eastAsia" w:hAnsi="宋体" w:cs="宋体"/>
          <w:szCs w:val="24"/>
        </w:rPr>
        <w:t>工地沿四周连续设置封闭围挡，围挡材料选用砌体、金属板材等硬性材料，并做到坚固、稳定、整洁和美观。围挡外立面设置体现安全生产、文明创建等内容的宣传图文。</w:t>
      </w:r>
    </w:p>
    <w:p>
      <w:pPr>
        <w:pStyle w:val="7"/>
        <w:rPr>
          <w:rFonts w:hAnsi="宋体" w:cs="宋体"/>
          <w:szCs w:val="24"/>
        </w:rPr>
      </w:pPr>
      <w:r>
        <w:rPr>
          <w:rFonts w:hint="eastAsia" w:hAnsi="宋体" w:cs="宋体"/>
          <w:b/>
          <w:szCs w:val="24"/>
        </w:rPr>
        <w:t>3.4.4</w:t>
      </w:r>
      <w:r>
        <w:rPr>
          <w:rFonts w:hint="eastAsia" w:hAnsi="宋体" w:cs="宋体"/>
          <w:szCs w:val="24"/>
        </w:rPr>
        <w:t>现场出入口及道路</w:t>
      </w:r>
    </w:p>
    <w:p>
      <w:pPr>
        <w:pStyle w:val="7"/>
        <w:ind w:firstLine="480" w:firstLineChars="200"/>
        <w:rPr>
          <w:rFonts w:hAnsi="宋体" w:cs="宋体"/>
          <w:szCs w:val="24"/>
        </w:rPr>
      </w:pPr>
      <w:r>
        <w:rPr>
          <w:rFonts w:hint="eastAsia" w:hAnsi="宋体" w:cs="宋体"/>
          <w:szCs w:val="24"/>
        </w:rPr>
        <w:t>在施工现场进出口处设置工程概况牌、管理人员名单及监督电话牌、消防保卫牌、安全生产牌、文明施工牌、工伤保险公示牌、绿色施工牌、环境保护牌、扬尘防治牌、工资发放公示牌、危大工程公示牌及施工现场总平面图等。</w:t>
      </w:r>
    </w:p>
    <w:p>
      <w:pPr>
        <w:pStyle w:val="7"/>
        <w:rPr>
          <w:rFonts w:hAnsi="宋体" w:cs="宋体"/>
          <w:szCs w:val="24"/>
        </w:rPr>
      </w:pPr>
      <w:r>
        <w:rPr>
          <w:rFonts w:hint="eastAsia" w:hAnsi="宋体" w:cs="宋体"/>
          <w:b/>
          <w:szCs w:val="24"/>
        </w:rPr>
        <w:t>3.4.6</w:t>
      </w:r>
      <w:r>
        <w:rPr>
          <w:rFonts w:hint="eastAsia" w:hAnsi="宋体" w:cs="宋体"/>
          <w:szCs w:val="24"/>
        </w:rPr>
        <w:t xml:space="preserve">  临时设施</w:t>
      </w:r>
    </w:p>
    <w:p>
      <w:pPr>
        <w:pStyle w:val="7"/>
        <w:ind w:firstLine="480" w:firstLineChars="200"/>
        <w:rPr>
          <w:rFonts w:hAnsi="宋体" w:cs="宋体"/>
          <w:szCs w:val="24"/>
        </w:rPr>
      </w:pPr>
      <w:r>
        <w:rPr>
          <w:rFonts w:hint="eastAsia" w:hAnsi="宋体" w:cs="宋体"/>
          <w:szCs w:val="24"/>
        </w:rPr>
        <w:t>现场临时设施的布置应满足现场防火、灭火及人员安全疏散的要求。临时设施所选用的材料符合环保和消防的要求，其构件的燃烧性能等级为A级。</w:t>
      </w:r>
    </w:p>
    <w:p>
      <w:pPr>
        <w:pStyle w:val="7"/>
        <w:rPr>
          <w:rFonts w:hAnsi="宋体" w:cs="宋体"/>
          <w:szCs w:val="24"/>
        </w:rPr>
      </w:pPr>
      <w:r>
        <w:rPr>
          <w:rFonts w:hint="eastAsia" w:hAnsi="宋体" w:cs="宋体"/>
          <w:b/>
          <w:szCs w:val="24"/>
        </w:rPr>
        <w:t>3.4.7</w:t>
      </w:r>
      <w:r>
        <w:rPr>
          <w:rFonts w:hint="eastAsia" w:hAnsi="宋体" w:cs="宋体"/>
          <w:szCs w:val="24"/>
        </w:rPr>
        <w:t xml:space="preserve">  现场消防</w:t>
      </w:r>
    </w:p>
    <w:p>
      <w:pPr>
        <w:pStyle w:val="7"/>
        <w:ind w:firstLine="480" w:firstLineChars="200"/>
        <w:rPr>
          <w:rFonts w:hAnsi="宋体" w:cs="宋体"/>
          <w:szCs w:val="24"/>
        </w:rPr>
      </w:pPr>
      <w:r>
        <w:rPr>
          <w:rFonts w:hint="eastAsia" w:hAnsi="宋体" w:cs="宋体"/>
          <w:szCs w:val="24"/>
        </w:rPr>
        <w:t>施工现场设置灭火器材、临时消防给水系统和应急照明等临时消防设施。建筑高度大于24m的在建工程，设置临时室内消防给水系统。每个场所灭火器数量不应少于2具。</w:t>
      </w:r>
    </w:p>
    <w:p>
      <w:pPr>
        <w:spacing w:line="360" w:lineRule="auto"/>
        <w:rPr>
          <w:rFonts w:ascii="宋体" w:hAnsi="宋体" w:cs="宋体"/>
        </w:rPr>
      </w:pPr>
      <w:r>
        <w:rPr>
          <w:rFonts w:hint="eastAsia" w:ascii="宋体" w:hAnsi="宋体" w:cs="宋体"/>
          <w:b/>
        </w:rPr>
        <w:t xml:space="preserve">3.4.8  </w:t>
      </w:r>
      <w:r>
        <w:rPr>
          <w:rFonts w:hint="eastAsia" w:ascii="宋体" w:hAnsi="宋体" w:cs="宋体"/>
        </w:rPr>
        <w:t>施工现场防尘</w:t>
      </w:r>
    </w:p>
    <w:p>
      <w:pPr>
        <w:pStyle w:val="7"/>
        <w:ind w:firstLine="480" w:firstLineChars="200"/>
        <w:rPr>
          <w:rFonts w:hAnsi="宋体" w:cs="宋体"/>
          <w:bCs w:val="0"/>
          <w:szCs w:val="24"/>
          <w:shd w:val="clear" w:color="auto" w:fill="FFFFFF"/>
        </w:rPr>
      </w:pPr>
      <w:r>
        <w:rPr>
          <w:rFonts w:hint="eastAsia" w:hAnsi="宋体" w:cs="宋体"/>
          <w:szCs w:val="24"/>
        </w:rPr>
        <w:t>根据《安徽省重污染天气应急预案》发布黄色预警，启动Ⅲ级时，</w:t>
      </w:r>
      <w:r>
        <w:rPr>
          <w:rFonts w:hint="eastAsia" w:hAnsi="宋体" w:cs="宋体"/>
          <w:kern w:val="0"/>
          <w:szCs w:val="24"/>
        </w:rPr>
        <w:t>停止渣土运输作业；</w:t>
      </w:r>
      <w:r>
        <w:rPr>
          <w:rFonts w:hint="eastAsia" w:hAnsi="宋体" w:cs="宋体"/>
          <w:szCs w:val="24"/>
        </w:rPr>
        <w:t>施工工地停止土石方、建筑拆除、建筑外墙喷涂粉刷、护坡喷浆、混凝土搅拌等作业。在保持日常道路清扫保洁的基础上，根据空气相对湿度、气温等气象条件，加密洒水降尘作业。</w:t>
      </w:r>
    </w:p>
    <w:p>
      <w:pPr>
        <w:spacing w:line="480" w:lineRule="exact"/>
        <w:rPr>
          <w:rFonts w:ascii="宋体" w:hAnsi="宋体" w:cs="宋体"/>
          <w:b/>
        </w:rPr>
        <w:sectPr>
          <w:footerReference r:id="rId17" w:type="default"/>
          <w:pgSz w:w="11906" w:h="16838"/>
          <w:pgMar w:top="1327" w:right="1646" w:bottom="1440" w:left="1800" w:header="851" w:footer="992" w:gutter="0"/>
          <w:cols w:space="720" w:num="1"/>
          <w:docGrid w:type="lines" w:linePitch="312" w:charSpace="0"/>
        </w:sectPr>
      </w:pPr>
    </w:p>
    <w:p>
      <w:pPr>
        <w:pStyle w:val="13"/>
        <w:tabs>
          <w:tab w:val="right" w:leader="dot" w:pos="8450"/>
        </w:tabs>
        <w:spacing w:beforeLines="100" w:afterLines="100" w:line="360" w:lineRule="auto"/>
        <w:jc w:val="center"/>
        <w:rPr>
          <w:rFonts w:ascii="宋体" w:hAnsi="宋体" w:cs="宋体"/>
          <w:b/>
          <w:sz w:val="24"/>
          <w:szCs w:val="24"/>
          <w:shd w:val="clear" w:color="auto" w:fill="FFFFFF"/>
        </w:rPr>
      </w:pPr>
      <w:r>
        <w:rPr>
          <w:rFonts w:hint="eastAsia" w:ascii="宋体" w:hAnsi="宋体" w:cs="宋体"/>
          <w:b/>
          <w:sz w:val="24"/>
          <w:szCs w:val="24"/>
          <w:shd w:val="clear" w:color="auto" w:fill="FFFFFF"/>
        </w:rPr>
        <w:t>3.5  绿色施工</w:t>
      </w:r>
    </w:p>
    <w:p>
      <w:pPr>
        <w:pStyle w:val="7"/>
        <w:rPr>
          <w:rFonts w:hAnsi="宋体" w:cs="宋体"/>
          <w:szCs w:val="24"/>
        </w:rPr>
      </w:pPr>
      <w:r>
        <w:rPr>
          <w:rFonts w:hint="eastAsia" w:hAnsi="宋体" w:cs="宋体"/>
          <w:b/>
          <w:szCs w:val="24"/>
        </w:rPr>
        <w:t>3.5.5</w:t>
      </w:r>
      <w:r>
        <w:rPr>
          <w:rFonts w:hint="eastAsia" w:hAnsi="宋体" w:cs="宋体"/>
          <w:szCs w:val="24"/>
        </w:rPr>
        <w:t xml:space="preserve"> 节材措施</w:t>
      </w:r>
    </w:p>
    <w:p>
      <w:pPr>
        <w:pStyle w:val="7"/>
        <w:ind w:firstLine="480" w:firstLineChars="200"/>
        <w:rPr>
          <w:rFonts w:hAnsi="宋体" w:cs="宋体"/>
          <w:szCs w:val="24"/>
        </w:rPr>
      </w:pPr>
      <w:r>
        <w:rPr>
          <w:rFonts w:hint="eastAsia" w:hAnsi="宋体" w:cs="宋体"/>
          <w:szCs w:val="24"/>
        </w:rPr>
        <w:t>现场应按照《建筑与市政工程绿色施工评价标准》GB/T50640要求，采用承插型盘扣式钢管脚手架等管件合一和高周转率的脚手架和支撑体系。</w:t>
      </w:r>
    </w:p>
    <w:p>
      <w:pPr>
        <w:pStyle w:val="7"/>
        <w:rPr>
          <w:rFonts w:hAnsi="宋体" w:cs="宋体"/>
          <w:szCs w:val="24"/>
        </w:rPr>
      </w:pPr>
      <w:r>
        <w:rPr>
          <w:rFonts w:hint="eastAsia" w:hAnsi="宋体" w:cs="宋体"/>
          <w:b/>
          <w:szCs w:val="24"/>
        </w:rPr>
        <w:t>3.5.6</w:t>
      </w:r>
      <w:r>
        <w:rPr>
          <w:rFonts w:hint="eastAsia" w:hAnsi="宋体" w:cs="宋体"/>
          <w:szCs w:val="24"/>
        </w:rPr>
        <w:t xml:space="preserve">  节能措施</w:t>
      </w:r>
    </w:p>
    <w:p>
      <w:pPr>
        <w:pStyle w:val="7"/>
        <w:ind w:firstLine="480" w:firstLineChars="200"/>
        <w:rPr>
          <w:rFonts w:hAnsi="宋体" w:cs="宋体"/>
          <w:szCs w:val="24"/>
        </w:rPr>
      </w:pPr>
      <w:r>
        <w:rPr>
          <w:rFonts w:hint="eastAsia" w:hAnsi="宋体" w:cs="宋体"/>
          <w:szCs w:val="24"/>
        </w:rPr>
        <w:t>现场应制定节能措施，并选用节能、高效、环保的施工机械和设备，宜利用太阳能、空气能等可再生能源，无直接采光的施工通道和施工区域照明宜采用声控、光控及延时等控制方式。</w:t>
      </w:r>
    </w:p>
    <w:p>
      <w:pPr>
        <w:pStyle w:val="7"/>
        <w:rPr>
          <w:rFonts w:hAnsi="宋体" w:cs="宋体"/>
          <w:szCs w:val="24"/>
        </w:rPr>
      </w:pPr>
      <w:r>
        <w:rPr>
          <w:rFonts w:hint="eastAsia" w:hAnsi="宋体" w:cs="宋体"/>
          <w:b/>
          <w:szCs w:val="24"/>
        </w:rPr>
        <w:t>3.5.8</w:t>
      </w:r>
      <w:r>
        <w:rPr>
          <w:rFonts w:hint="eastAsia" w:hAnsi="宋体" w:cs="宋体"/>
          <w:szCs w:val="24"/>
        </w:rPr>
        <w:t> 施工噪音及光污染防治 </w:t>
      </w:r>
    </w:p>
    <w:p>
      <w:pPr>
        <w:pStyle w:val="7"/>
        <w:ind w:firstLine="480" w:firstLineChars="200"/>
        <w:rPr>
          <w:rFonts w:hAnsi="宋体" w:cs="宋体"/>
          <w:szCs w:val="24"/>
        </w:rPr>
      </w:pPr>
      <w:r>
        <w:rPr>
          <w:rFonts w:hint="eastAsia" w:hAnsi="宋体" w:cs="宋体"/>
          <w:szCs w:val="24"/>
        </w:rPr>
        <w:t>施工现场场界噪音排放符合现行国家标准《建筑施工场界环境噪声排放标准》GB12523的规定。施工现场对噪声进行实时监测，场界环境噪声排放昼间不应超过70dB,夜间不应超过55dB。因生产工艺要求或其他特殊要求，确需进行夜间施工的，报环保部门批准同意后方可施工。</w:t>
      </w:r>
    </w:p>
    <w:p>
      <w:pPr>
        <w:pStyle w:val="7"/>
        <w:ind w:firstLine="480" w:firstLineChars="200"/>
        <w:rPr>
          <w:rFonts w:hAnsi="宋体" w:cs="宋体"/>
          <w:szCs w:val="24"/>
        </w:rPr>
      </w:pPr>
      <w:r>
        <w:rPr>
          <w:rFonts w:hint="eastAsia" w:hAnsi="宋体" w:cs="宋体"/>
          <w:szCs w:val="24"/>
        </w:rPr>
        <w:t>根据现场和周边环境采取限时施工、遮光和全封闭等避免或减少施工过程中光污染的措施。</w:t>
      </w:r>
    </w:p>
    <w:p>
      <w:pPr>
        <w:pStyle w:val="13"/>
        <w:tabs>
          <w:tab w:val="right" w:leader="dot" w:pos="8450"/>
        </w:tabs>
        <w:spacing w:beforeLines="100" w:afterLines="100" w:line="360" w:lineRule="auto"/>
        <w:jc w:val="center"/>
        <w:rPr>
          <w:rFonts w:ascii="宋体" w:hAnsi="宋体" w:cs="宋体"/>
          <w:b/>
          <w:sz w:val="24"/>
          <w:szCs w:val="24"/>
          <w:shd w:val="clear" w:color="auto" w:fill="FFFFFF"/>
        </w:rPr>
      </w:pPr>
      <w:r>
        <w:rPr>
          <w:rFonts w:hint="eastAsia" w:ascii="宋体" w:hAnsi="宋体" w:cs="宋体"/>
          <w:b/>
          <w:sz w:val="24"/>
          <w:szCs w:val="24"/>
          <w:shd w:val="clear" w:color="auto" w:fill="FFFFFF"/>
        </w:rPr>
        <w:t>3.7  高处作业</w:t>
      </w:r>
    </w:p>
    <w:p>
      <w:pPr>
        <w:pStyle w:val="31"/>
        <w:shd w:val="clear" w:color="auto" w:fill="FFFFFF"/>
        <w:spacing w:beforeAutospacing="0" w:afterAutospacing="0" w:line="360" w:lineRule="auto"/>
        <w:jc w:val="both"/>
      </w:pPr>
      <w:r>
        <w:rPr>
          <w:rFonts w:hint="eastAsia"/>
          <w:b/>
        </w:rPr>
        <w:t>3.7.9</w:t>
      </w:r>
      <w:r>
        <w:rPr>
          <w:rFonts w:hint="eastAsia"/>
        </w:rPr>
        <w:t xml:space="preserve">   移动式升降工作平台  </w:t>
      </w:r>
    </w:p>
    <w:p>
      <w:pPr>
        <w:pStyle w:val="31"/>
        <w:shd w:val="clear" w:color="auto" w:fill="FFFFFF"/>
        <w:spacing w:beforeAutospacing="0" w:afterAutospacing="0" w:line="360" w:lineRule="auto"/>
        <w:ind w:firstLine="480" w:firstLineChars="200"/>
        <w:jc w:val="both"/>
      </w:pPr>
      <w:r>
        <w:rPr>
          <w:rFonts w:hint="eastAsia"/>
        </w:rPr>
        <w:t>指用来运载人员、工具和材料到工作位置的设备，包括现场使用的移动式高空作业平台、高空作业车，应符合《移动式升降工作平台设计计算、安全要求和测试方法》GB25849要求。</w:t>
      </w:r>
    </w:p>
    <w:p>
      <w:pPr>
        <w:pStyle w:val="13"/>
        <w:tabs>
          <w:tab w:val="right" w:leader="dot" w:pos="8450"/>
        </w:tabs>
        <w:spacing w:beforeLines="100" w:afterLines="100" w:line="360" w:lineRule="auto"/>
        <w:jc w:val="center"/>
        <w:rPr>
          <w:rFonts w:ascii="宋体" w:hAnsi="宋体" w:cs="宋体"/>
          <w:b/>
          <w:sz w:val="24"/>
          <w:szCs w:val="24"/>
          <w:shd w:val="clear" w:color="auto" w:fill="FFFFFF"/>
        </w:rPr>
      </w:pPr>
      <w:r>
        <w:rPr>
          <w:rFonts w:hint="eastAsia" w:ascii="宋体" w:hAnsi="宋体" w:cs="宋体"/>
          <w:b/>
          <w:sz w:val="24"/>
          <w:szCs w:val="24"/>
          <w:shd w:val="clear" w:color="auto" w:fill="FFFFFF"/>
        </w:rPr>
        <w:t>3.9  建筑机械设备</w:t>
      </w:r>
    </w:p>
    <w:p>
      <w:pPr>
        <w:pStyle w:val="36"/>
        <w:widowControl/>
        <w:rPr>
          <w:rFonts w:hint="default"/>
          <w:b/>
          <w:sz w:val="24"/>
          <w:szCs w:val="24"/>
        </w:rPr>
      </w:pPr>
      <w:r>
        <w:rPr>
          <w:b/>
          <w:sz w:val="24"/>
          <w:szCs w:val="24"/>
        </w:rPr>
        <w:t xml:space="preserve">3.9.1  </w:t>
      </w:r>
      <w:r>
        <w:rPr>
          <w:sz w:val="24"/>
          <w:szCs w:val="24"/>
        </w:rPr>
        <w:t>建筑机械设备包括：建筑起重机械、土石方机械、运输机械、桩工机械、混凝土机械、钢筋加工机械、木工机械、焊接机械等。</w:t>
      </w:r>
    </w:p>
    <w:p>
      <w:pPr>
        <w:pStyle w:val="36"/>
        <w:widowControl/>
        <w:rPr>
          <w:rFonts w:hint="default"/>
          <w:sz w:val="24"/>
          <w:szCs w:val="24"/>
        </w:rPr>
      </w:pPr>
      <w:r>
        <w:rPr>
          <w:b/>
          <w:sz w:val="24"/>
          <w:szCs w:val="24"/>
        </w:rPr>
        <w:t>3.9.8</w:t>
      </w:r>
      <w:r>
        <w:rPr>
          <w:sz w:val="24"/>
          <w:szCs w:val="24"/>
        </w:rPr>
        <w:t>起重吊装</w:t>
      </w:r>
    </w:p>
    <w:p>
      <w:pPr>
        <w:pStyle w:val="36"/>
        <w:widowControl/>
        <w:ind w:firstLine="480" w:firstLineChars="200"/>
        <w:rPr>
          <w:rFonts w:hint="default"/>
          <w:sz w:val="24"/>
          <w:szCs w:val="24"/>
        </w:rPr>
      </w:pPr>
      <w:r>
        <w:rPr>
          <w:sz w:val="24"/>
          <w:szCs w:val="24"/>
        </w:rPr>
        <w:t>起重作业时应安排专人指挥，吊物起吊时应确保吊物在起重机吊杆顶的正下方；严禁吊运荷载不明的物件；起吊时构件上严禁站人，起重机严禁载运人员；严禁在已吊起的构件下方作业或穿行；吊物应绑扎牢固，不得在吊物上堆放或悬挂其他物件，散装物宜使用料斗、吊笼等容器进行吊运；吊装作业区域四周应设置明显标志，严禁非操作人员入内；</w:t>
      </w:r>
      <w:r>
        <w:rPr>
          <w:bCs w:val="0"/>
          <w:sz w:val="24"/>
          <w:szCs w:val="24"/>
        </w:rPr>
        <w:t>大雨、雾、大雪及六级以上大风等恶劣天气应停止吊装作业，夜间施工应有足够的照明；</w:t>
      </w:r>
      <w:r>
        <w:rPr>
          <w:sz w:val="24"/>
          <w:szCs w:val="24"/>
        </w:rPr>
        <w:t>暂停作业时，对吊装作业中未形成稳定体系的部分，必须采取临时固定措施。</w:t>
      </w:r>
    </w:p>
    <w:p>
      <w:pPr>
        <w:spacing w:line="360" w:lineRule="auto"/>
        <w:jc w:val="center"/>
        <w:rPr>
          <w:rFonts w:ascii="宋体" w:hAnsi="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SimSun,Bold">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93385"/>
      <w:docPartObj>
        <w:docPartGallery w:val="AutoText"/>
      </w:docPartObj>
    </w:sdtPr>
    <w:sdtContent>
      <w:p>
        <w:pPr>
          <w:pStyle w:val="10"/>
          <w:jc w:val="center"/>
        </w:pPr>
        <w:r>
          <w:fldChar w:fldCharType="begin"/>
        </w:r>
        <w:r>
          <w:instrText xml:space="preserve"> PAGE   \* MERGEFORMAT </w:instrText>
        </w:r>
        <w:r>
          <w:fldChar w:fldCharType="separate"/>
        </w:r>
        <w:r>
          <w:rPr>
            <w:lang w:val="zh-CN"/>
          </w:rPr>
          <w:t>34</w:t>
        </w:r>
        <w:r>
          <w:rPr>
            <w:lang w:val="zh-CN"/>
          </w:rPr>
          <w:fldChar w:fldCharType="end"/>
        </w:r>
      </w:p>
    </w:sdtContent>
  </w:sdt>
  <w:p>
    <w:pPr>
      <w:pStyle w:val="10"/>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1651"/>
      <w:docPartObj>
        <w:docPartGallery w:val="AutoText"/>
      </w:docPartObj>
    </w:sdtPr>
    <w:sdtContent>
      <w:p>
        <w:pPr>
          <w:pStyle w:val="10"/>
          <w:jc w:val="center"/>
        </w:pPr>
        <w:r>
          <w:fldChar w:fldCharType="begin"/>
        </w:r>
        <w:r>
          <w:instrText xml:space="preserve"> PAGE   \* MERGEFORMAT </w:instrText>
        </w:r>
        <w:r>
          <w:fldChar w:fldCharType="separate"/>
        </w:r>
        <w:r>
          <w:rPr>
            <w:lang w:val="zh-CN"/>
          </w:rPr>
          <w:t>38</w:t>
        </w:r>
        <w:r>
          <w:rPr>
            <w:lang w:val="zh-CN"/>
          </w:rPr>
          <w:fldChar w:fldCharType="end"/>
        </w:r>
      </w:p>
    </w:sdtContent>
  </w:sdt>
  <w:p>
    <w:pPr>
      <w:pStyle w:val="1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20"/>
      </w:rPr>
    </w:pPr>
    <w:r>
      <w:fldChar w:fldCharType="begin"/>
    </w:r>
    <w:r>
      <w:rPr>
        <w:rStyle w:val="20"/>
      </w:rPr>
      <w:instrText xml:space="preserve">PAGE  </w:instrText>
    </w:r>
    <w:r>
      <w:fldChar w:fldCharType="end"/>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1650"/>
      <w:docPartObj>
        <w:docPartGallery w:val="AutoText"/>
      </w:docPartObj>
    </w:sdtPr>
    <w:sdtContent>
      <w:p>
        <w:pPr>
          <w:pStyle w:val="10"/>
          <w:jc w:val="center"/>
        </w:pPr>
        <w:r>
          <w:fldChar w:fldCharType="begin"/>
        </w:r>
        <w:r>
          <w:instrText xml:space="preserve"> PAGE   \* MERGEFORMAT </w:instrText>
        </w:r>
        <w:r>
          <w:fldChar w:fldCharType="separate"/>
        </w:r>
        <w:r>
          <w:rPr>
            <w:lang w:val="zh-CN"/>
          </w:rPr>
          <w:t>16</w:t>
        </w:r>
        <w:r>
          <w:rPr>
            <w:lang w:val="zh-CN"/>
          </w:rPr>
          <w:fldChar w:fldCharType="end"/>
        </w:r>
      </w:p>
    </w:sdtContent>
  </w:sdt>
  <w:p>
    <w:pPr>
      <w:pStyle w:val="10"/>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93380"/>
      <w:docPartObj>
        <w:docPartGallery w:val="AutoText"/>
      </w:docPartObj>
    </w:sdtPr>
    <w:sdtContent>
      <w:p>
        <w:pPr>
          <w:pStyle w:val="10"/>
          <w:jc w:val="center"/>
        </w:pPr>
        <w:r>
          <w:fldChar w:fldCharType="begin"/>
        </w:r>
        <w:r>
          <w:instrText xml:space="preserve"> PAGE   \* MERGEFORMAT </w:instrText>
        </w:r>
        <w:r>
          <w:fldChar w:fldCharType="separate"/>
        </w:r>
        <w:r>
          <w:rPr>
            <w:lang w:val="zh-CN"/>
          </w:rPr>
          <w:t>18</w:t>
        </w:r>
        <w:r>
          <w:rPr>
            <w:lang w:val="zh-CN"/>
          </w:rPr>
          <w:fldChar w:fldCharType="end"/>
        </w:r>
      </w:p>
    </w:sdtContent>
  </w:sdt>
  <w:p>
    <w:pPr>
      <w:pStyle w:val="10"/>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93383"/>
      <w:docPartObj>
        <w:docPartGallery w:val="AutoText"/>
      </w:docPartObj>
    </w:sdtPr>
    <w:sdtContent>
      <w:p>
        <w:pPr>
          <w:pStyle w:val="10"/>
          <w:jc w:val="center"/>
        </w:pPr>
        <w:r>
          <w:fldChar w:fldCharType="begin"/>
        </w:r>
        <w:r>
          <w:instrText xml:space="preserve"> PAGE   \* MERGEFORMAT </w:instrText>
        </w:r>
        <w:r>
          <w:fldChar w:fldCharType="separate"/>
        </w:r>
        <w:r>
          <w:rPr>
            <w:lang w:val="zh-CN"/>
          </w:rPr>
          <w:t>19</w:t>
        </w:r>
        <w:r>
          <w:rPr>
            <w:lang w:val="zh-CN"/>
          </w:rPr>
          <w:fldChar w:fldCharType="end"/>
        </w:r>
      </w:p>
    </w:sdtContent>
  </w:sdt>
  <w:p>
    <w:pPr>
      <w:pStyle w:val="1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MjY2OGFlZjdiMDkyMmU3Y2M3NGEzMmY5ODE2OTJlMzAifQ=="/>
  </w:docVars>
  <w:rsids>
    <w:rsidRoot w:val="00172A27"/>
    <w:rsid w:val="00004403"/>
    <w:rsid w:val="00024177"/>
    <w:rsid w:val="00031CAE"/>
    <w:rsid w:val="00040FB8"/>
    <w:rsid w:val="00052BDD"/>
    <w:rsid w:val="00055A30"/>
    <w:rsid w:val="00061586"/>
    <w:rsid w:val="000B3242"/>
    <w:rsid w:val="000B5F64"/>
    <w:rsid w:val="000D5B3B"/>
    <w:rsid w:val="000E60BE"/>
    <w:rsid w:val="000F003A"/>
    <w:rsid w:val="001135A9"/>
    <w:rsid w:val="00133C55"/>
    <w:rsid w:val="001476F5"/>
    <w:rsid w:val="001551F1"/>
    <w:rsid w:val="00155832"/>
    <w:rsid w:val="00162684"/>
    <w:rsid w:val="00162F62"/>
    <w:rsid w:val="0016557A"/>
    <w:rsid w:val="0016732B"/>
    <w:rsid w:val="00172A27"/>
    <w:rsid w:val="0017474C"/>
    <w:rsid w:val="001860BC"/>
    <w:rsid w:val="001865C2"/>
    <w:rsid w:val="001936AD"/>
    <w:rsid w:val="001A048B"/>
    <w:rsid w:val="001A2C45"/>
    <w:rsid w:val="001C1307"/>
    <w:rsid w:val="001C569F"/>
    <w:rsid w:val="001D6742"/>
    <w:rsid w:val="001E6691"/>
    <w:rsid w:val="001F0DC7"/>
    <w:rsid w:val="00224026"/>
    <w:rsid w:val="0022458E"/>
    <w:rsid w:val="002256AA"/>
    <w:rsid w:val="00233B57"/>
    <w:rsid w:val="002405E4"/>
    <w:rsid w:val="0024261C"/>
    <w:rsid w:val="002546AB"/>
    <w:rsid w:val="002606DC"/>
    <w:rsid w:val="00290052"/>
    <w:rsid w:val="002A303D"/>
    <w:rsid w:val="002A674D"/>
    <w:rsid w:val="002B26E5"/>
    <w:rsid w:val="002C55BD"/>
    <w:rsid w:val="002C6C0A"/>
    <w:rsid w:val="002D1F39"/>
    <w:rsid w:val="002F22EE"/>
    <w:rsid w:val="002F40DC"/>
    <w:rsid w:val="00302B23"/>
    <w:rsid w:val="0034704B"/>
    <w:rsid w:val="003644C9"/>
    <w:rsid w:val="0036652F"/>
    <w:rsid w:val="0038040A"/>
    <w:rsid w:val="003917DB"/>
    <w:rsid w:val="003932CC"/>
    <w:rsid w:val="003B1602"/>
    <w:rsid w:val="003C2535"/>
    <w:rsid w:val="003C6A5A"/>
    <w:rsid w:val="003D3174"/>
    <w:rsid w:val="003D31F6"/>
    <w:rsid w:val="003E4C0D"/>
    <w:rsid w:val="003E567B"/>
    <w:rsid w:val="003E6ADA"/>
    <w:rsid w:val="0040087A"/>
    <w:rsid w:val="0041043E"/>
    <w:rsid w:val="00417EF4"/>
    <w:rsid w:val="00434A31"/>
    <w:rsid w:val="00436054"/>
    <w:rsid w:val="00440B62"/>
    <w:rsid w:val="0044315C"/>
    <w:rsid w:val="00454B17"/>
    <w:rsid w:val="004611A4"/>
    <w:rsid w:val="004633F6"/>
    <w:rsid w:val="00467F6E"/>
    <w:rsid w:val="00484232"/>
    <w:rsid w:val="00490914"/>
    <w:rsid w:val="0049161B"/>
    <w:rsid w:val="004D76B8"/>
    <w:rsid w:val="004D7B1D"/>
    <w:rsid w:val="004D7B3B"/>
    <w:rsid w:val="004E76B9"/>
    <w:rsid w:val="00502387"/>
    <w:rsid w:val="005070C0"/>
    <w:rsid w:val="00512A33"/>
    <w:rsid w:val="005148A4"/>
    <w:rsid w:val="00515125"/>
    <w:rsid w:val="00515542"/>
    <w:rsid w:val="005278BE"/>
    <w:rsid w:val="00543014"/>
    <w:rsid w:val="00543C7E"/>
    <w:rsid w:val="00551993"/>
    <w:rsid w:val="0056278D"/>
    <w:rsid w:val="00575D8B"/>
    <w:rsid w:val="00590574"/>
    <w:rsid w:val="00590A4A"/>
    <w:rsid w:val="00593090"/>
    <w:rsid w:val="00597DE9"/>
    <w:rsid w:val="005C575D"/>
    <w:rsid w:val="005D2C07"/>
    <w:rsid w:val="005E3CEA"/>
    <w:rsid w:val="005F6036"/>
    <w:rsid w:val="005F6725"/>
    <w:rsid w:val="0060311B"/>
    <w:rsid w:val="006043BD"/>
    <w:rsid w:val="0062461A"/>
    <w:rsid w:val="00626EA8"/>
    <w:rsid w:val="00631534"/>
    <w:rsid w:val="00632DC1"/>
    <w:rsid w:val="00640DEF"/>
    <w:rsid w:val="00676DC3"/>
    <w:rsid w:val="006A0A28"/>
    <w:rsid w:val="006B2376"/>
    <w:rsid w:val="006B4F9C"/>
    <w:rsid w:val="006C1953"/>
    <w:rsid w:val="006C3258"/>
    <w:rsid w:val="006D6959"/>
    <w:rsid w:val="006E4A11"/>
    <w:rsid w:val="006E69FE"/>
    <w:rsid w:val="006F2C1C"/>
    <w:rsid w:val="006F796F"/>
    <w:rsid w:val="00701BF0"/>
    <w:rsid w:val="0070789F"/>
    <w:rsid w:val="007151EB"/>
    <w:rsid w:val="007179A5"/>
    <w:rsid w:val="00727234"/>
    <w:rsid w:val="00767A8C"/>
    <w:rsid w:val="00773736"/>
    <w:rsid w:val="00776293"/>
    <w:rsid w:val="0078010A"/>
    <w:rsid w:val="00780B51"/>
    <w:rsid w:val="007840C2"/>
    <w:rsid w:val="0078576F"/>
    <w:rsid w:val="00795DFB"/>
    <w:rsid w:val="007B7742"/>
    <w:rsid w:val="007C01FC"/>
    <w:rsid w:val="007D4105"/>
    <w:rsid w:val="007F0150"/>
    <w:rsid w:val="008062E3"/>
    <w:rsid w:val="00813366"/>
    <w:rsid w:val="00822BA4"/>
    <w:rsid w:val="008432D0"/>
    <w:rsid w:val="008476C1"/>
    <w:rsid w:val="008714DF"/>
    <w:rsid w:val="00892A39"/>
    <w:rsid w:val="008A3E96"/>
    <w:rsid w:val="008C0218"/>
    <w:rsid w:val="008C1851"/>
    <w:rsid w:val="008C72E0"/>
    <w:rsid w:val="008D3C5F"/>
    <w:rsid w:val="008D4426"/>
    <w:rsid w:val="008D671E"/>
    <w:rsid w:val="008E5A48"/>
    <w:rsid w:val="008E67EB"/>
    <w:rsid w:val="008F0822"/>
    <w:rsid w:val="008F14E6"/>
    <w:rsid w:val="008F28BB"/>
    <w:rsid w:val="00905CD7"/>
    <w:rsid w:val="00921654"/>
    <w:rsid w:val="009309A7"/>
    <w:rsid w:val="0093511B"/>
    <w:rsid w:val="00946898"/>
    <w:rsid w:val="00952352"/>
    <w:rsid w:val="00981F95"/>
    <w:rsid w:val="009908DB"/>
    <w:rsid w:val="009A05EE"/>
    <w:rsid w:val="009A3BBD"/>
    <w:rsid w:val="009A3EA4"/>
    <w:rsid w:val="009A6E7B"/>
    <w:rsid w:val="009D00E2"/>
    <w:rsid w:val="009D3CFF"/>
    <w:rsid w:val="009D75EA"/>
    <w:rsid w:val="00A26BFE"/>
    <w:rsid w:val="00A3133B"/>
    <w:rsid w:val="00A363B4"/>
    <w:rsid w:val="00A40373"/>
    <w:rsid w:val="00A40ED1"/>
    <w:rsid w:val="00A80A8B"/>
    <w:rsid w:val="00AA751B"/>
    <w:rsid w:val="00AB290D"/>
    <w:rsid w:val="00AC1ED5"/>
    <w:rsid w:val="00AC331B"/>
    <w:rsid w:val="00AD29BD"/>
    <w:rsid w:val="00AE4750"/>
    <w:rsid w:val="00AF5F5D"/>
    <w:rsid w:val="00B10681"/>
    <w:rsid w:val="00B14113"/>
    <w:rsid w:val="00B14C6A"/>
    <w:rsid w:val="00B21375"/>
    <w:rsid w:val="00B2665A"/>
    <w:rsid w:val="00B2686C"/>
    <w:rsid w:val="00B41AD8"/>
    <w:rsid w:val="00B50A7D"/>
    <w:rsid w:val="00B66FC4"/>
    <w:rsid w:val="00B80C82"/>
    <w:rsid w:val="00B83B6D"/>
    <w:rsid w:val="00B8695A"/>
    <w:rsid w:val="00B930B2"/>
    <w:rsid w:val="00B964AA"/>
    <w:rsid w:val="00BA4357"/>
    <w:rsid w:val="00BA49AA"/>
    <w:rsid w:val="00BA6B4F"/>
    <w:rsid w:val="00BA7AD8"/>
    <w:rsid w:val="00BB0388"/>
    <w:rsid w:val="00BB4529"/>
    <w:rsid w:val="00BC7AC4"/>
    <w:rsid w:val="00BE4614"/>
    <w:rsid w:val="00BE6852"/>
    <w:rsid w:val="00C0070A"/>
    <w:rsid w:val="00C042B6"/>
    <w:rsid w:val="00C076C8"/>
    <w:rsid w:val="00C1383F"/>
    <w:rsid w:val="00C15BB2"/>
    <w:rsid w:val="00C41E9A"/>
    <w:rsid w:val="00C422F1"/>
    <w:rsid w:val="00C50144"/>
    <w:rsid w:val="00C51BD9"/>
    <w:rsid w:val="00C53905"/>
    <w:rsid w:val="00C54B30"/>
    <w:rsid w:val="00C703C6"/>
    <w:rsid w:val="00C73EA1"/>
    <w:rsid w:val="00C84870"/>
    <w:rsid w:val="00C87D0C"/>
    <w:rsid w:val="00C95495"/>
    <w:rsid w:val="00CA2769"/>
    <w:rsid w:val="00CC37AE"/>
    <w:rsid w:val="00D11356"/>
    <w:rsid w:val="00D4145B"/>
    <w:rsid w:val="00D41DF0"/>
    <w:rsid w:val="00D513B9"/>
    <w:rsid w:val="00D71479"/>
    <w:rsid w:val="00D74DBB"/>
    <w:rsid w:val="00D8177D"/>
    <w:rsid w:val="00D8306D"/>
    <w:rsid w:val="00D83C3E"/>
    <w:rsid w:val="00D870DE"/>
    <w:rsid w:val="00D912E4"/>
    <w:rsid w:val="00D9329D"/>
    <w:rsid w:val="00DC5F44"/>
    <w:rsid w:val="00DD4F08"/>
    <w:rsid w:val="00DD79EC"/>
    <w:rsid w:val="00DE1A31"/>
    <w:rsid w:val="00DE7B52"/>
    <w:rsid w:val="00DF6A38"/>
    <w:rsid w:val="00E05EBF"/>
    <w:rsid w:val="00E12E27"/>
    <w:rsid w:val="00E20C02"/>
    <w:rsid w:val="00E2317E"/>
    <w:rsid w:val="00E26722"/>
    <w:rsid w:val="00E307FB"/>
    <w:rsid w:val="00E3097A"/>
    <w:rsid w:val="00E34A61"/>
    <w:rsid w:val="00E34F6C"/>
    <w:rsid w:val="00E41D20"/>
    <w:rsid w:val="00E82C68"/>
    <w:rsid w:val="00E848C3"/>
    <w:rsid w:val="00EA1906"/>
    <w:rsid w:val="00ED63F1"/>
    <w:rsid w:val="00EF6798"/>
    <w:rsid w:val="00F04C59"/>
    <w:rsid w:val="00F07776"/>
    <w:rsid w:val="00F10217"/>
    <w:rsid w:val="00F13F12"/>
    <w:rsid w:val="00F338A3"/>
    <w:rsid w:val="00F3773C"/>
    <w:rsid w:val="00F60B98"/>
    <w:rsid w:val="00F62A64"/>
    <w:rsid w:val="00F6758A"/>
    <w:rsid w:val="00F81669"/>
    <w:rsid w:val="00FA4146"/>
    <w:rsid w:val="00FA768A"/>
    <w:rsid w:val="00FD7AF7"/>
    <w:rsid w:val="00FF5E27"/>
    <w:rsid w:val="03685798"/>
    <w:rsid w:val="03B24C65"/>
    <w:rsid w:val="03D26879"/>
    <w:rsid w:val="049B096A"/>
    <w:rsid w:val="04CC6CCA"/>
    <w:rsid w:val="04F521E3"/>
    <w:rsid w:val="05CB09FF"/>
    <w:rsid w:val="06B03869"/>
    <w:rsid w:val="07AA2FDF"/>
    <w:rsid w:val="083E17A8"/>
    <w:rsid w:val="084762C4"/>
    <w:rsid w:val="08AE6343"/>
    <w:rsid w:val="0957193B"/>
    <w:rsid w:val="096B4234"/>
    <w:rsid w:val="09B802CA"/>
    <w:rsid w:val="0A39232D"/>
    <w:rsid w:val="0A530F50"/>
    <w:rsid w:val="0BFE6C9A"/>
    <w:rsid w:val="0C405504"/>
    <w:rsid w:val="0C594D61"/>
    <w:rsid w:val="0C5C07DC"/>
    <w:rsid w:val="0CD362C2"/>
    <w:rsid w:val="0E4017EB"/>
    <w:rsid w:val="0E7E0DB9"/>
    <w:rsid w:val="0E867C11"/>
    <w:rsid w:val="0ECE329B"/>
    <w:rsid w:val="0F1F7BDB"/>
    <w:rsid w:val="0F904EC1"/>
    <w:rsid w:val="0FD43E0E"/>
    <w:rsid w:val="105B3F67"/>
    <w:rsid w:val="108D2CE2"/>
    <w:rsid w:val="10EF12A7"/>
    <w:rsid w:val="11470A90"/>
    <w:rsid w:val="116E6670"/>
    <w:rsid w:val="11BD66AA"/>
    <w:rsid w:val="125C471A"/>
    <w:rsid w:val="13021765"/>
    <w:rsid w:val="133631BD"/>
    <w:rsid w:val="13594C27"/>
    <w:rsid w:val="135C5FAF"/>
    <w:rsid w:val="13750B8D"/>
    <w:rsid w:val="14A94DEB"/>
    <w:rsid w:val="1534372C"/>
    <w:rsid w:val="15D17AEF"/>
    <w:rsid w:val="160D58FB"/>
    <w:rsid w:val="163B172F"/>
    <w:rsid w:val="18251383"/>
    <w:rsid w:val="18694BF1"/>
    <w:rsid w:val="18A1732B"/>
    <w:rsid w:val="18F338FE"/>
    <w:rsid w:val="19283CA8"/>
    <w:rsid w:val="1A1B310D"/>
    <w:rsid w:val="1A5D33EF"/>
    <w:rsid w:val="1AE32243"/>
    <w:rsid w:val="1B0E4A1F"/>
    <w:rsid w:val="1BB05AD7"/>
    <w:rsid w:val="1C3B5CE8"/>
    <w:rsid w:val="1C8C6AE5"/>
    <w:rsid w:val="1DA57E92"/>
    <w:rsid w:val="1DA8730C"/>
    <w:rsid w:val="1DE51D2C"/>
    <w:rsid w:val="1E763007"/>
    <w:rsid w:val="1F811C64"/>
    <w:rsid w:val="1FCE27C7"/>
    <w:rsid w:val="20ED54A0"/>
    <w:rsid w:val="21387EC4"/>
    <w:rsid w:val="2149055F"/>
    <w:rsid w:val="217A696B"/>
    <w:rsid w:val="21A12149"/>
    <w:rsid w:val="21A4738B"/>
    <w:rsid w:val="21D31BFB"/>
    <w:rsid w:val="21F736EC"/>
    <w:rsid w:val="241E2512"/>
    <w:rsid w:val="24F62062"/>
    <w:rsid w:val="25853024"/>
    <w:rsid w:val="25A3175A"/>
    <w:rsid w:val="261457BF"/>
    <w:rsid w:val="26CB663D"/>
    <w:rsid w:val="274719E5"/>
    <w:rsid w:val="275F7865"/>
    <w:rsid w:val="282B4F1B"/>
    <w:rsid w:val="282C47E5"/>
    <w:rsid w:val="284C0B84"/>
    <w:rsid w:val="295D104C"/>
    <w:rsid w:val="2A462F55"/>
    <w:rsid w:val="2A497822"/>
    <w:rsid w:val="2AC722C1"/>
    <w:rsid w:val="2B7351BD"/>
    <w:rsid w:val="2D3043FB"/>
    <w:rsid w:val="2D4A3D55"/>
    <w:rsid w:val="2E0209AA"/>
    <w:rsid w:val="2E1E3D80"/>
    <w:rsid w:val="2E530C6F"/>
    <w:rsid w:val="2FEE5E2E"/>
    <w:rsid w:val="3024123E"/>
    <w:rsid w:val="305A0077"/>
    <w:rsid w:val="306F0994"/>
    <w:rsid w:val="3088725B"/>
    <w:rsid w:val="309D61D2"/>
    <w:rsid w:val="316867E0"/>
    <w:rsid w:val="33BC72B7"/>
    <w:rsid w:val="34126601"/>
    <w:rsid w:val="346C3F1B"/>
    <w:rsid w:val="347F740C"/>
    <w:rsid w:val="3581297F"/>
    <w:rsid w:val="367C09E9"/>
    <w:rsid w:val="37456622"/>
    <w:rsid w:val="37E34E12"/>
    <w:rsid w:val="388A1731"/>
    <w:rsid w:val="3A556FA7"/>
    <w:rsid w:val="3B0A6B5A"/>
    <w:rsid w:val="3CAC1566"/>
    <w:rsid w:val="3CE84C78"/>
    <w:rsid w:val="3E87247F"/>
    <w:rsid w:val="3FEF631E"/>
    <w:rsid w:val="40A97D4D"/>
    <w:rsid w:val="40B97F68"/>
    <w:rsid w:val="40E55514"/>
    <w:rsid w:val="412D7875"/>
    <w:rsid w:val="416458E7"/>
    <w:rsid w:val="421B789E"/>
    <w:rsid w:val="42565AE3"/>
    <w:rsid w:val="43827BD5"/>
    <w:rsid w:val="440E4E30"/>
    <w:rsid w:val="446F4653"/>
    <w:rsid w:val="44761A07"/>
    <w:rsid w:val="44B31FAC"/>
    <w:rsid w:val="44E45743"/>
    <w:rsid w:val="45DB716F"/>
    <w:rsid w:val="461113BE"/>
    <w:rsid w:val="4631143E"/>
    <w:rsid w:val="46A625D9"/>
    <w:rsid w:val="46D600AD"/>
    <w:rsid w:val="46FC7F19"/>
    <w:rsid w:val="482C6361"/>
    <w:rsid w:val="48995EE4"/>
    <w:rsid w:val="48B156E1"/>
    <w:rsid w:val="48F409A8"/>
    <w:rsid w:val="490E3CB9"/>
    <w:rsid w:val="496F4A23"/>
    <w:rsid w:val="49D56585"/>
    <w:rsid w:val="4A454DAB"/>
    <w:rsid w:val="4ADF76BB"/>
    <w:rsid w:val="4B7E614E"/>
    <w:rsid w:val="4B920BD1"/>
    <w:rsid w:val="4BD81518"/>
    <w:rsid w:val="4CE65890"/>
    <w:rsid w:val="4D82178B"/>
    <w:rsid w:val="4DEA6AA2"/>
    <w:rsid w:val="4E0F02B7"/>
    <w:rsid w:val="4E152AC9"/>
    <w:rsid w:val="4E784041"/>
    <w:rsid w:val="4EBB21ED"/>
    <w:rsid w:val="4F075432"/>
    <w:rsid w:val="4FA72771"/>
    <w:rsid w:val="501C04EC"/>
    <w:rsid w:val="5022520B"/>
    <w:rsid w:val="51002523"/>
    <w:rsid w:val="51506800"/>
    <w:rsid w:val="51A96C75"/>
    <w:rsid w:val="51E11F6A"/>
    <w:rsid w:val="51E952C3"/>
    <w:rsid w:val="51F54151"/>
    <w:rsid w:val="522D3402"/>
    <w:rsid w:val="523D2DBA"/>
    <w:rsid w:val="525F0BD4"/>
    <w:rsid w:val="53764934"/>
    <w:rsid w:val="53C20715"/>
    <w:rsid w:val="547A6B30"/>
    <w:rsid w:val="54844B8B"/>
    <w:rsid w:val="55841D62"/>
    <w:rsid w:val="558B026F"/>
    <w:rsid w:val="55FD3626"/>
    <w:rsid w:val="56D43C4D"/>
    <w:rsid w:val="57037D69"/>
    <w:rsid w:val="57383183"/>
    <w:rsid w:val="576C3AA5"/>
    <w:rsid w:val="579064AC"/>
    <w:rsid w:val="57A852D8"/>
    <w:rsid w:val="57BD5228"/>
    <w:rsid w:val="57F86260"/>
    <w:rsid w:val="580F3ADD"/>
    <w:rsid w:val="588875E4"/>
    <w:rsid w:val="58B5733F"/>
    <w:rsid w:val="58E36EC9"/>
    <w:rsid w:val="59763939"/>
    <w:rsid w:val="5A5544C4"/>
    <w:rsid w:val="5A8A1C5C"/>
    <w:rsid w:val="5ABB6C22"/>
    <w:rsid w:val="5B5B71F7"/>
    <w:rsid w:val="5C425529"/>
    <w:rsid w:val="5C940612"/>
    <w:rsid w:val="5E510478"/>
    <w:rsid w:val="5F3A0610"/>
    <w:rsid w:val="5F76323F"/>
    <w:rsid w:val="5FCF0D11"/>
    <w:rsid w:val="60261490"/>
    <w:rsid w:val="612E684E"/>
    <w:rsid w:val="62A0552A"/>
    <w:rsid w:val="63686B03"/>
    <w:rsid w:val="63815A7B"/>
    <w:rsid w:val="638A735E"/>
    <w:rsid w:val="639B73FD"/>
    <w:rsid w:val="63AE015C"/>
    <w:rsid w:val="63FD6F73"/>
    <w:rsid w:val="657C0F27"/>
    <w:rsid w:val="668C2438"/>
    <w:rsid w:val="66C33EDD"/>
    <w:rsid w:val="670D3AF6"/>
    <w:rsid w:val="67CD1ACB"/>
    <w:rsid w:val="67D85766"/>
    <w:rsid w:val="6861763C"/>
    <w:rsid w:val="698D34F0"/>
    <w:rsid w:val="6A7C3812"/>
    <w:rsid w:val="6AEE00CC"/>
    <w:rsid w:val="6B405AFC"/>
    <w:rsid w:val="6B69471A"/>
    <w:rsid w:val="6D246547"/>
    <w:rsid w:val="6D3032F0"/>
    <w:rsid w:val="6E8479ED"/>
    <w:rsid w:val="703B4AE4"/>
    <w:rsid w:val="706758D9"/>
    <w:rsid w:val="709575CF"/>
    <w:rsid w:val="70A355DB"/>
    <w:rsid w:val="70C42D2B"/>
    <w:rsid w:val="70CC66D6"/>
    <w:rsid w:val="715616D6"/>
    <w:rsid w:val="72A42E14"/>
    <w:rsid w:val="73BC75AA"/>
    <w:rsid w:val="74065409"/>
    <w:rsid w:val="747800B5"/>
    <w:rsid w:val="74980757"/>
    <w:rsid w:val="74CE4179"/>
    <w:rsid w:val="75815647"/>
    <w:rsid w:val="75DE0D2C"/>
    <w:rsid w:val="76C8046D"/>
    <w:rsid w:val="7727386D"/>
    <w:rsid w:val="772E314E"/>
    <w:rsid w:val="77FB370B"/>
    <w:rsid w:val="78085BF3"/>
    <w:rsid w:val="78183B02"/>
    <w:rsid w:val="78CD063F"/>
    <w:rsid w:val="792A36F1"/>
    <w:rsid w:val="79A034AD"/>
    <w:rsid w:val="79A731EA"/>
    <w:rsid w:val="79AB7324"/>
    <w:rsid w:val="7A04063C"/>
    <w:rsid w:val="7B6018A2"/>
    <w:rsid w:val="7B841A35"/>
    <w:rsid w:val="7C5B4929"/>
    <w:rsid w:val="7E6873EC"/>
    <w:rsid w:val="7ECC43E5"/>
    <w:rsid w:val="7EDB0513"/>
    <w:rsid w:val="7EFE7EFE"/>
    <w:rsid w:val="7F100914"/>
    <w:rsid w:val="7F5C59BA"/>
    <w:rsid w:val="7F7F05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Cs/>
      <w:kern w:val="2"/>
      <w:sz w:val="24"/>
      <w:szCs w:val="24"/>
      <w:lang w:val="en-US" w:eastAsia="zh-CN" w:bidi="ar-SA"/>
    </w:rPr>
  </w:style>
  <w:style w:type="paragraph" w:styleId="2">
    <w:name w:val="heading 1"/>
    <w:basedOn w:val="1"/>
    <w:next w:val="1"/>
    <w:qFormat/>
    <w:uiPriority w:val="0"/>
    <w:pPr>
      <w:keepNext/>
      <w:keepLines/>
      <w:spacing w:line="578" w:lineRule="auto"/>
      <w:outlineLvl w:val="0"/>
    </w:pPr>
    <w:rPr>
      <w:b/>
      <w:kern w:val="44"/>
      <w:sz w:val="44"/>
      <w:szCs w:val="44"/>
    </w:rPr>
  </w:style>
  <w:style w:type="paragraph" w:styleId="3">
    <w:name w:val="heading 2"/>
    <w:basedOn w:val="1"/>
    <w:next w:val="1"/>
    <w:qFormat/>
    <w:uiPriority w:val="0"/>
    <w:pPr>
      <w:jc w:val="left"/>
      <w:outlineLvl w:val="1"/>
    </w:pPr>
    <w:rPr>
      <w:rFonts w:hint="eastAsia" w:ascii="宋体" w:hAnsi="宋体"/>
      <w:b/>
      <w:kern w:val="0"/>
    </w:rPr>
  </w:style>
  <w:style w:type="character" w:default="1" w:styleId="18">
    <w:name w:val="Default Paragraph Font"/>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semiHidden/>
    <w:qFormat/>
    <w:uiPriority w:val="0"/>
    <w:rPr>
      <w:rFonts w:ascii="宋体" w:hAnsi="宋体" w:cs="宋体"/>
      <w:sz w:val="22"/>
      <w:szCs w:val="22"/>
      <w:lang w:eastAsia="en-US"/>
    </w:rPr>
  </w:style>
  <w:style w:type="paragraph" w:styleId="6">
    <w:name w:val="toc 3"/>
    <w:basedOn w:val="1"/>
    <w:next w:val="1"/>
    <w:unhideWhenUsed/>
    <w:uiPriority w:val="39"/>
    <w:pPr>
      <w:widowControl/>
      <w:spacing w:line="259" w:lineRule="auto"/>
      <w:ind w:left="440"/>
      <w:jc w:val="left"/>
    </w:pPr>
    <w:rPr>
      <w:rFonts w:ascii="Calibri" w:hAnsi="Calibri"/>
      <w:kern w:val="0"/>
      <w:sz w:val="22"/>
      <w:szCs w:val="22"/>
    </w:rPr>
  </w:style>
  <w:style w:type="paragraph" w:styleId="7">
    <w:name w:val="Plain Text"/>
    <w:basedOn w:val="1"/>
    <w:qFormat/>
    <w:uiPriority w:val="0"/>
    <w:pPr>
      <w:spacing w:line="360" w:lineRule="auto"/>
    </w:pPr>
    <w:rPr>
      <w:rFonts w:ascii="宋体" w:hAnsi="Courier New"/>
      <w:szCs w:val="20"/>
    </w:rPr>
  </w:style>
  <w:style w:type="paragraph" w:styleId="8">
    <w:name w:val="Date"/>
    <w:basedOn w:val="1"/>
    <w:next w:val="1"/>
    <w:uiPriority w:val="0"/>
    <w:pPr>
      <w:ind w:left="100" w:leftChars="2500"/>
    </w:pPr>
  </w:style>
  <w:style w:type="paragraph" w:styleId="9">
    <w:name w:val="Balloon Text"/>
    <w:basedOn w:val="1"/>
    <w:semiHidden/>
    <w:uiPriority w:val="0"/>
    <w:rPr>
      <w:sz w:val="18"/>
      <w:szCs w:val="18"/>
    </w:rPr>
  </w:style>
  <w:style w:type="paragraph" w:styleId="10">
    <w:name w:val="footer"/>
    <w:basedOn w:val="1"/>
    <w:link w:val="23"/>
    <w:qFormat/>
    <w:uiPriority w:val="99"/>
    <w:pPr>
      <w:tabs>
        <w:tab w:val="center" w:pos="4153"/>
        <w:tab w:val="right" w:pos="8306"/>
      </w:tabs>
      <w:snapToGrid w:val="0"/>
      <w:jc w:val="left"/>
    </w:pPr>
    <w:rPr>
      <w:bCs w:val="0"/>
      <w:sz w:val="18"/>
      <w:szCs w:val="18"/>
    </w:rPr>
  </w:style>
  <w:style w:type="paragraph" w:styleId="11">
    <w:name w:val="header"/>
    <w:basedOn w:val="1"/>
    <w:link w:val="47"/>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jc w:val="left"/>
    </w:pPr>
    <w:rPr>
      <w:b/>
      <w:caps/>
      <w:sz w:val="20"/>
      <w:szCs w:val="20"/>
    </w:rPr>
  </w:style>
  <w:style w:type="paragraph" w:styleId="13">
    <w:name w:val="toc 2"/>
    <w:basedOn w:val="1"/>
    <w:next w:val="1"/>
    <w:qFormat/>
    <w:uiPriority w:val="39"/>
    <w:pPr>
      <w:ind w:left="210"/>
      <w:jc w:val="left"/>
    </w:pPr>
    <w:rPr>
      <w:smallCaps/>
      <w:sz w:val="20"/>
      <w:szCs w:val="20"/>
    </w:rPr>
  </w:style>
  <w:style w:type="paragraph" w:styleId="14">
    <w:name w:val="Normal (Web)"/>
    <w:basedOn w:val="1"/>
    <w:qFormat/>
    <w:uiPriority w:val="0"/>
  </w:style>
  <w:style w:type="paragraph" w:styleId="15">
    <w:name w:val="Title"/>
    <w:basedOn w:val="1"/>
    <w:next w:val="1"/>
    <w:link w:val="24"/>
    <w:qFormat/>
    <w:uiPriority w:val="0"/>
    <w:pPr>
      <w:jc w:val="center"/>
      <w:outlineLvl w:val="0"/>
    </w:pPr>
    <w:rPr>
      <w:rFonts w:ascii="Calibri Light" w:hAnsi="Calibri Light"/>
      <w:b/>
      <w:sz w:val="32"/>
      <w:szCs w:val="32"/>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basedOn w:val="18"/>
    <w:qFormat/>
    <w:uiPriority w:val="0"/>
    <w:rPr>
      <w:b/>
    </w:rPr>
  </w:style>
  <w:style w:type="character" w:styleId="20">
    <w:name w:val="page number"/>
    <w:basedOn w:val="18"/>
    <w:qFormat/>
    <w:uiPriority w:val="0"/>
  </w:style>
  <w:style w:type="character" w:styleId="21">
    <w:name w:val="Emphasis"/>
    <w:qFormat/>
    <w:uiPriority w:val="0"/>
    <w:rPr>
      <w:i/>
    </w:rPr>
  </w:style>
  <w:style w:type="character" w:styleId="22">
    <w:name w:val="Hyperlink"/>
    <w:qFormat/>
    <w:uiPriority w:val="99"/>
    <w:rPr>
      <w:color w:val="0000FF"/>
      <w:u w:val="single"/>
    </w:rPr>
  </w:style>
  <w:style w:type="character" w:customStyle="1" w:styleId="23">
    <w:name w:val="页脚 Char"/>
    <w:link w:val="10"/>
    <w:uiPriority w:val="99"/>
    <w:rPr>
      <w:kern w:val="2"/>
      <w:sz w:val="18"/>
      <w:szCs w:val="18"/>
    </w:rPr>
  </w:style>
  <w:style w:type="character" w:customStyle="1" w:styleId="24">
    <w:name w:val="标题 Char"/>
    <w:link w:val="15"/>
    <w:uiPriority w:val="0"/>
    <w:rPr>
      <w:rFonts w:ascii="Calibri Light" w:hAnsi="Calibri Light" w:cs="Times New Roman"/>
      <w:b/>
      <w:bCs/>
      <w:kern w:val="2"/>
      <w:sz w:val="32"/>
      <w:szCs w:val="32"/>
    </w:rPr>
  </w:style>
  <w:style w:type="paragraph" w:customStyle="1" w:styleId="25">
    <w:name w:val="reader-word-layer reader-word-s2-27"/>
    <w:basedOn w:val="1"/>
    <w:qFormat/>
    <w:uiPriority w:val="0"/>
    <w:pPr>
      <w:widowControl/>
      <w:spacing w:beforeAutospacing="1" w:afterAutospacing="1"/>
      <w:jc w:val="left"/>
    </w:pPr>
    <w:rPr>
      <w:rFonts w:ascii="宋体" w:hAnsi="宋体" w:cs="宋体"/>
      <w:kern w:val="0"/>
    </w:rPr>
  </w:style>
  <w:style w:type="paragraph" w:customStyle="1" w:styleId="26">
    <w:name w:val="reader-word-layer reader-word-s1-18"/>
    <w:basedOn w:val="1"/>
    <w:qFormat/>
    <w:uiPriority w:val="0"/>
    <w:pPr>
      <w:widowControl/>
      <w:spacing w:beforeAutospacing="1" w:afterAutospacing="1"/>
      <w:jc w:val="left"/>
    </w:pPr>
    <w:rPr>
      <w:rFonts w:ascii="宋体" w:hAnsi="宋体" w:cs="宋体"/>
      <w:kern w:val="0"/>
    </w:rPr>
  </w:style>
  <w:style w:type="paragraph" w:customStyle="1" w:styleId="27">
    <w:name w:val="reader-word-layer reader-word-s1-21"/>
    <w:basedOn w:val="1"/>
    <w:qFormat/>
    <w:uiPriority w:val="0"/>
    <w:pPr>
      <w:widowControl/>
      <w:spacing w:beforeAutospacing="1" w:afterAutospacing="1"/>
      <w:jc w:val="left"/>
    </w:pPr>
    <w:rPr>
      <w:rFonts w:ascii="宋体" w:hAnsi="宋体" w:cs="宋体"/>
      <w:kern w:val="0"/>
    </w:rPr>
  </w:style>
  <w:style w:type="paragraph" w:customStyle="1" w:styleId="28">
    <w:name w:val="reader-word-layer reader-word-s4-3 reader-word-s4-8"/>
    <w:basedOn w:val="1"/>
    <w:qFormat/>
    <w:uiPriority w:val="0"/>
    <w:pPr>
      <w:widowControl/>
      <w:spacing w:beforeAutospacing="1" w:afterAutospacing="1"/>
      <w:jc w:val="left"/>
    </w:pPr>
    <w:rPr>
      <w:rFonts w:ascii="宋体" w:hAnsi="宋体" w:cs="宋体"/>
      <w:kern w:val="0"/>
    </w:rPr>
  </w:style>
  <w:style w:type="paragraph" w:customStyle="1" w:styleId="29">
    <w:name w:val="reader-word-layer reader-word-s1-9"/>
    <w:basedOn w:val="1"/>
    <w:qFormat/>
    <w:uiPriority w:val="0"/>
    <w:pPr>
      <w:widowControl/>
      <w:spacing w:beforeAutospacing="1" w:afterAutospacing="1"/>
      <w:jc w:val="left"/>
    </w:pPr>
    <w:rPr>
      <w:rFonts w:ascii="宋体" w:hAnsi="宋体" w:cs="宋体"/>
      <w:kern w:val="0"/>
    </w:rPr>
  </w:style>
  <w:style w:type="paragraph" w:customStyle="1" w:styleId="30">
    <w:name w:val="_Style 29"/>
    <w:basedOn w:val="2"/>
    <w:next w:val="1"/>
    <w:qFormat/>
    <w:uiPriority w:val="39"/>
    <w:pPr>
      <w:widowControl/>
      <w:spacing w:line="259" w:lineRule="auto"/>
      <w:jc w:val="left"/>
      <w:outlineLvl w:val="9"/>
    </w:pPr>
    <w:rPr>
      <w:rFonts w:ascii="Calibri Light" w:hAnsi="Calibri Light"/>
      <w:b w:val="0"/>
      <w:bCs w:val="0"/>
      <w:color w:val="2E74B5"/>
      <w:kern w:val="0"/>
      <w:sz w:val="32"/>
      <w:szCs w:val="32"/>
    </w:rPr>
  </w:style>
  <w:style w:type="paragraph" w:customStyle="1" w:styleId="31">
    <w:name w:val="reader-word-layer reader-word-s3-5"/>
    <w:basedOn w:val="1"/>
    <w:qFormat/>
    <w:uiPriority w:val="0"/>
    <w:pPr>
      <w:widowControl/>
      <w:spacing w:beforeAutospacing="1" w:afterAutospacing="1"/>
      <w:jc w:val="left"/>
    </w:pPr>
    <w:rPr>
      <w:rFonts w:ascii="宋体" w:hAnsi="宋体" w:cs="宋体"/>
      <w:kern w:val="0"/>
    </w:rPr>
  </w:style>
  <w:style w:type="paragraph" w:customStyle="1" w:styleId="32">
    <w:name w:val="reader-word-layer reader-word-s3-9"/>
    <w:basedOn w:val="1"/>
    <w:qFormat/>
    <w:uiPriority w:val="0"/>
    <w:pPr>
      <w:widowControl/>
      <w:spacing w:beforeAutospacing="1" w:afterAutospacing="1"/>
      <w:jc w:val="left"/>
    </w:pPr>
    <w:rPr>
      <w:rFonts w:ascii="宋体" w:hAnsi="宋体" w:cs="宋体"/>
      <w:kern w:val="0"/>
    </w:rPr>
  </w:style>
  <w:style w:type="paragraph" w:customStyle="1" w:styleId="33">
    <w:name w:val="reader-word-layer reader-word-s2-22"/>
    <w:basedOn w:val="1"/>
    <w:qFormat/>
    <w:uiPriority w:val="0"/>
    <w:pPr>
      <w:widowControl/>
      <w:spacing w:beforeAutospacing="1" w:afterAutospacing="1"/>
      <w:jc w:val="left"/>
    </w:pPr>
    <w:rPr>
      <w:rFonts w:ascii="宋体" w:hAnsi="宋体" w:cs="宋体"/>
      <w:kern w:val="0"/>
    </w:rPr>
  </w:style>
  <w:style w:type="paragraph" w:customStyle="1" w:styleId="34">
    <w:name w:val="reader-word-layer reader-word-s1-3 reader-word-s1-24"/>
    <w:basedOn w:val="1"/>
    <w:qFormat/>
    <w:uiPriority w:val="0"/>
    <w:pPr>
      <w:widowControl/>
      <w:spacing w:beforeAutospacing="1" w:afterAutospacing="1"/>
      <w:jc w:val="left"/>
    </w:pPr>
    <w:rPr>
      <w:rFonts w:ascii="宋体" w:hAnsi="宋体" w:cs="宋体"/>
      <w:kern w:val="0"/>
    </w:rPr>
  </w:style>
  <w:style w:type="paragraph" w:customStyle="1" w:styleId="35">
    <w:name w:val="reader-word-layer reader-word-s4-3"/>
    <w:basedOn w:val="1"/>
    <w:qFormat/>
    <w:uiPriority w:val="0"/>
    <w:pPr>
      <w:widowControl/>
      <w:spacing w:beforeAutospacing="1" w:afterAutospacing="1"/>
      <w:jc w:val="left"/>
    </w:pPr>
    <w:rPr>
      <w:rFonts w:ascii="宋体" w:hAnsi="宋体" w:cs="宋体"/>
      <w:kern w:val="0"/>
    </w:rPr>
  </w:style>
  <w:style w:type="paragraph" w:customStyle="1" w:styleId="36">
    <w:name w:val="p15"/>
    <w:basedOn w:val="1"/>
    <w:qFormat/>
    <w:uiPriority w:val="0"/>
    <w:pPr>
      <w:spacing w:line="360" w:lineRule="auto"/>
    </w:pPr>
    <w:rPr>
      <w:rFonts w:hint="eastAsia" w:ascii="宋体" w:hAnsi="宋体" w:cs="宋体"/>
      <w:kern w:val="0"/>
      <w:sz w:val="21"/>
      <w:szCs w:val="21"/>
    </w:rPr>
  </w:style>
  <w:style w:type="paragraph" w:customStyle="1" w:styleId="37">
    <w:name w:val="reader-word-layer reader-word-s1-17"/>
    <w:basedOn w:val="1"/>
    <w:qFormat/>
    <w:uiPriority w:val="0"/>
    <w:pPr>
      <w:widowControl/>
      <w:spacing w:beforeAutospacing="1" w:afterAutospacing="1"/>
      <w:jc w:val="left"/>
    </w:pPr>
    <w:rPr>
      <w:rFonts w:ascii="宋体" w:hAnsi="宋体" w:cs="宋体"/>
      <w:kern w:val="0"/>
    </w:rPr>
  </w:style>
  <w:style w:type="paragraph" w:customStyle="1" w:styleId="38">
    <w:name w:val="reader-word-layer reader-word-s2-33"/>
    <w:basedOn w:val="1"/>
    <w:qFormat/>
    <w:uiPriority w:val="0"/>
    <w:pPr>
      <w:widowControl/>
      <w:spacing w:beforeAutospacing="1" w:afterAutospacing="1"/>
      <w:jc w:val="left"/>
    </w:pPr>
    <w:rPr>
      <w:rFonts w:ascii="宋体" w:hAnsi="宋体" w:cs="宋体"/>
      <w:kern w:val="0"/>
    </w:rPr>
  </w:style>
  <w:style w:type="paragraph" w:customStyle="1" w:styleId="39">
    <w:name w:val="reader-word-layer reader-word-s2-14 reader-word-s2-27"/>
    <w:basedOn w:val="1"/>
    <w:qFormat/>
    <w:uiPriority w:val="0"/>
    <w:pPr>
      <w:widowControl/>
      <w:spacing w:beforeAutospacing="1" w:afterAutospacing="1"/>
      <w:jc w:val="left"/>
    </w:pPr>
    <w:rPr>
      <w:rFonts w:ascii="宋体" w:hAnsi="宋体" w:cs="宋体"/>
      <w:kern w:val="0"/>
    </w:rPr>
  </w:style>
  <w:style w:type="paragraph" w:customStyle="1" w:styleId="40">
    <w:name w:val="reader-word-layer reader-word-s1-3"/>
    <w:basedOn w:val="1"/>
    <w:qFormat/>
    <w:uiPriority w:val="0"/>
    <w:pPr>
      <w:widowControl/>
      <w:spacing w:beforeAutospacing="1" w:afterAutospacing="1"/>
      <w:jc w:val="left"/>
    </w:pPr>
    <w:rPr>
      <w:rFonts w:ascii="宋体" w:hAnsi="宋体" w:cs="宋体"/>
      <w:kern w:val="0"/>
    </w:rPr>
  </w:style>
  <w:style w:type="paragraph" w:customStyle="1" w:styleId="41">
    <w:name w:val="reader-word-layer reader-word-s4-6"/>
    <w:basedOn w:val="1"/>
    <w:qFormat/>
    <w:uiPriority w:val="0"/>
    <w:pPr>
      <w:widowControl/>
      <w:spacing w:beforeAutospacing="1" w:afterAutospacing="1"/>
      <w:jc w:val="left"/>
    </w:pPr>
    <w:rPr>
      <w:rFonts w:ascii="宋体" w:hAnsi="宋体" w:cs="宋体"/>
      <w:kern w:val="0"/>
    </w:rPr>
  </w:style>
  <w:style w:type="paragraph" w:customStyle="1" w:styleId="42">
    <w:name w:val="reader-word-layer reader-word-s2-19"/>
    <w:basedOn w:val="1"/>
    <w:qFormat/>
    <w:uiPriority w:val="0"/>
    <w:pPr>
      <w:widowControl/>
      <w:spacing w:beforeAutospacing="1" w:afterAutospacing="1"/>
      <w:jc w:val="left"/>
    </w:pPr>
    <w:rPr>
      <w:rFonts w:ascii="宋体" w:hAnsi="宋体" w:cs="宋体"/>
      <w:kern w:val="0"/>
    </w:rPr>
  </w:style>
  <w:style w:type="paragraph" w:customStyle="1" w:styleId="43">
    <w:name w:val="reader-word-layer reader-word-s1-14"/>
    <w:basedOn w:val="1"/>
    <w:qFormat/>
    <w:uiPriority w:val="0"/>
    <w:pPr>
      <w:widowControl/>
      <w:spacing w:beforeAutospacing="1" w:afterAutospacing="1"/>
      <w:jc w:val="left"/>
    </w:pPr>
    <w:rPr>
      <w:rFonts w:ascii="宋体" w:hAnsi="宋体" w:cs="宋体"/>
      <w:kern w:val="0"/>
    </w:rPr>
  </w:style>
  <w:style w:type="paragraph" w:customStyle="1" w:styleId="44">
    <w:name w:val="_Style 2"/>
    <w:basedOn w:val="2"/>
    <w:next w:val="1"/>
    <w:qFormat/>
    <w:uiPriority w:val="39"/>
    <w:pPr>
      <w:widowControl/>
      <w:spacing w:line="259" w:lineRule="auto"/>
      <w:jc w:val="left"/>
      <w:outlineLvl w:val="9"/>
    </w:pPr>
    <w:rPr>
      <w:rFonts w:ascii="Calibri Light" w:hAnsi="Calibri Light"/>
      <w:b w:val="0"/>
      <w:bCs w:val="0"/>
      <w:color w:val="2E74B5"/>
      <w:kern w:val="0"/>
      <w:sz w:val="32"/>
      <w:szCs w:val="32"/>
    </w:rPr>
  </w:style>
  <w:style w:type="paragraph" w:styleId="45">
    <w:name w:val="No Spacing"/>
    <w:link w:val="46"/>
    <w:qFormat/>
    <w:uiPriority w:val="1"/>
    <w:rPr>
      <w:rFonts w:asciiTheme="minorHAnsi" w:hAnsiTheme="minorHAnsi" w:eastAsiaTheme="minorEastAsia" w:cstheme="minorBidi"/>
      <w:sz w:val="22"/>
      <w:szCs w:val="22"/>
      <w:lang w:val="en-US" w:eastAsia="zh-CN" w:bidi="ar-SA"/>
    </w:rPr>
  </w:style>
  <w:style w:type="character" w:customStyle="1" w:styleId="46">
    <w:name w:val="无间隔 Char"/>
    <w:basedOn w:val="18"/>
    <w:link w:val="45"/>
    <w:uiPriority w:val="1"/>
    <w:rPr>
      <w:rFonts w:asciiTheme="minorHAnsi" w:hAnsiTheme="minorHAnsi" w:eastAsiaTheme="minorEastAsia" w:cstheme="minorBidi"/>
      <w:sz w:val="22"/>
      <w:szCs w:val="22"/>
    </w:rPr>
  </w:style>
  <w:style w:type="character" w:customStyle="1" w:styleId="47">
    <w:name w:val="页眉 Char"/>
    <w:basedOn w:val="18"/>
    <w:link w:val="11"/>
    <w:uiPriority w:val="99"/>
    <w:rPr>
      <w:bCs/>
      <w:kern w:val="2"/>
      <w:sz w:val="18"/>
      <w:szCs w:val="18"/>
    </w:rPr>
  </w:style>
  <w:style w:type="paragraph" w:customStyle="1" w:styleId="48">
    <w:name w:val="_Style 291"/>
    <w:basedOn w:val="2"/>
    <w:next w:val="1"/>
    <w:qFormat/>
    <w:uiPriority w:val="39"/>
    <w:pPr>
      <w:widowControl/>
      <w:spacing w:line="259" w:lineRule="auto"/>
      <w:jc w:val="left"/>
      <w:outlineLvl w:val="9"/>
    </w:pPr>
    <w:rPr>
      <w:rFonts w:ascii="Calibri Light" w:hAnsi="Calibri Light"/>
      <w:b w:val="0"/>
      <w:bCs w:val="0"/>
      <w:color w:val="2E74B5"/>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2.wmf"/><Relationship Id="rId21" Type="http://schemas.openxmlformats.org/officeDocument/2006/relationships/oleObject" Target="embeddings/oleObject2.bin"/><Relationship Id="rId20" Type="http://schemas.openxmlformats.org/officeDocument/2006/relationships/image" Target="media/image1.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theme" Target="theme/theme1.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header" Target="header4.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70D962-40AE-474D-8C5B-375E8E042FE4}">
  <ds:schemaRefs/>
</ds:datastoreItem>
</file>

<file path=docProps/app.xml><?xml version="1.0" encoding="utf-8"?>
<Properties xmlns="http://schemas.openxmlformats.org/officeDocument/2006/extended-properties" xmlns:vt="http://schemas.openxmlformats.org/officeDocument/2006/docPropsVTypes">
  <Template>Normal.dotm</Template>
  <Pages>45</Pages>
  <Words>4118</Words>
  <Characters>23473</Characters>
  <Lines>195</Lines>
  <Paragraphs>55</Paragraphs>
  <TotalTime>314</TotalTime>
  <ScaleCrop>false</ScaleCrop>
  <LinksUpToDate>false</LinksUpToDate>
  <CharactersWithSpaces>27536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2024-12-17T08:53:00Z</dcterms:created>
  <dc:creator>asus</dc:creator>
  <cp:lastModifiedBy>ying123lin163com</cp:lastModifiedBy>
  <cp:lastPrinted>2024-12-20T02:48:00Z</cp:lastPrinted>
  <dcterms:modified xsi:type="dcterms:W3CDTF">2024-12-20T08:47:18Z</dcterms:modified>
  <dc:title>DB34</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ECB868BF3BFD4E278245A4F8095099C1_13</vt:lpwstr>
  </property>
</Properties>
</file>