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before="312" w:after="312" w:line="680" w:lineRule="exact"/>
        <w:jc w:val="center"/>
        <w:textAlignment w:val="center"/>
        <w:rPr>
          <w:rFonts w:hint="eastAsia" w:ascii="Times New Roman" w:hAnsi="Times New Roman" w:eastAsia="宋体" w:cs="Times New Roman"/>
          <w:b/>
          <w:color w:val="000000" w:themeColor="text1"/>
          <w:sz w:val="44"/>
          <w:szCs w:val="44"/>
          <w:u w:val="none"/>
        </w:rPr>
      </w:pPr>
      <w:bookmarkStart w:id="0" w:name="_Toc137066733"/>
      <w:bookmarkStart w:id="1" w:name="_Toc137050130"/>
      <w:bookmarkStart w:id="2" w:name="_Toc140052614"/>
      <w:bookmarkStart w:id="3" w:name="_Toc139814544"/>
      <w:bookmarkStart w:id="4" w:name="_Toc135234901"/>
      <w:bookmarkStart w:id="5" w:name="_Toc31702"/>
      <w:bookmarkStart w:id="6" w:name="_Toc184275271"/>
      <w:bookmarkStart w:id="7" w:name="_Toc27559"/>
    </w:p>
    <w:p>
      <w:pPr>
        <w:adjustRightInd w:val="0"/>
        <w:spacing w:before="312" w:after="312" w:line="680" w:lineRule="exact"/>
        <w:jc w:val="center"/>
        <w:textAlignment w:val="center"/>
        <w:rPr>
          <w:rFonts w:hint="eastAsia" w:ascii="Times New Roman" w:hAnsi="Times New Roman" w:eastAsia="宋体" w:cs="Times New Roman"/>
          <w:b/>
          <w:color w:val="000000" w:themeColor="text1"/>
          <w:sz w:val="44"/>
          <w:szCs w:val="44"/>
          <w:u w:val="none"/>
        </w:rPr>
      </w:pPr>
    </w:p>
    <w:p>
      <w:pPr>
        <w:adjustRightInd w:val="0"/>
        <w:spacing w:before="312" w:after="312" w:line="680" w:lineRule="exact"/>
        <w:jc w:val="center"/>
        <w:textAlignment w:val="center"/>
        <w:rPr>
          <w:rFonts w:ascii="Times New Roman" w:hAnsi="Times New Roman" w:eastAsia="宋体" w:cs="Times New Roman"/>
          <w:b/>
          <w:color w:val="000000" w:themeColor="text1"/>
          <w:sz w:val="44"/>
          <w:szCs w:val="44"/>
          <w:u w:val="none"/>
        </w:rPr>
      </w:pPr>
      <w:r>
        <w:rPr>
          <w:rFonts w:hint="eastAsia" w:ascii="Times New Roman" w:hAnsi="Times New Roman" w:eastAsia="宋体" w:cs="Times New Roman"/>
          <w:b/>
          <w:color w:val="000000" w:themeColor="text1"/>
          <w:sz w:val="44"/>
          <w:szCs w:val="44"/>
          <w:u w:val="none"/>
        </w:rPr>
        <w:t>建筑光储直柔电气系统设计标准</w:t>
      </w: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bookmarkStart w:id="8" w:name="_Toc207781878"/>
      <w:bookmarkStart w:id="9" w:name="_Toc207596292"/>
      <w:bookmarkStart w:id="10" w:name="_Toc212891139"/>
      <w:r>
        <w:rPr>
          <w:rFonts w:ascii="Times New Roman" w:hAnsi="Times New Roman" w:eastAsia="宋体" w:cs="Times New Roman"/>
          <w:b/>
          <w:color w:val="000000" w:themeColor="text1"/>
          <w:kern w:val="0"/>
          <w:sz w:val="44"/>
          <w:szCs w:val="44"/>
          <w:u w:val="none"/>
        </w:rPr>
        <w:t>（</w:t>
      </w:r>
      <w:r>
        <w:rPr>
          <w:rFonts w:hint="eastAsia" w:ascii="Times New Roman" w:hAnsi="Times New Roman" w:eastAsia="宋体" w:cs="Times New Roman"/>
          <w:b/>
          <w:color w:val="000000" w:themeColor="text1"/>
          <w:kern w:val="0"/>
          <w:sz w:val="44"/>
          <w:szCs w:val="44"/>
          <w:u w:val="none"/>
        </w:rPr>
        <w:t>征求意见稿</w:t>
      </w:r>
      <w:r>
        <w:rPr>
          <w:rFonts w:ascii="Times New Roman" w:hAnsi="Times New Roman" w:eastAsia="宋体" w:cs="Times New Roman"/>
          <w:b/>
          <w:color w:val="000000" w:themeColor="text1"/>
          <w:kern w:val="0"/>
          <w:sz w:val="44"/>
          <w:szCs w:val="44"/>
          <w:u w:val="none"/>
        </w:rPr>
        <w:t>）</w:t>
      </w:r>
      <w:bookmarkEnd w:id="8"/>
      <w:bookmarkEnd w:id="9"/>
      <w:bookmarkEnd w:id="10"/>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widowControl/>
        <w:pBdr>
          <w:bottom w:val="single" w:color="auto" w:sz="6" w:space="1"/>
        </w:pBdr>
        <w:spacing w:beforeAutospacing="0" w:afterAutospacing="0" w:line="240" w:lineRule="auto"/>
        <w:jc w:val="center"/>
        <w:rPr>
          <w:rFonts w:ascii="Times New Roman" w:hAnsi="Times New Roman" w:eastAsia="宋体" w:cs="Times New Roman"/>
          <w:b/>
          <w:color w:val="000000" w:themeColor="text1"/>
          <w:kern w:val="0"/>
          <w:sz w:val="44"/>
          <w:szCs w:val="44"/>
          <w:u w:val="none"/>
        </w:rPr>
      </w:pPr>
    </w:p>
    <w:p>
      <w:pPr>
        <w:rPr>
          <w:rFonts w:hint="eastAsia" w:ascii="仿宋" w:hAnsi="仿宋" w:cs="仿宋"/>
          <w:b/>
          <w:color w:val="000000" w:themeColor="text1"/>
          <w:sz w:val="32"/>
          <w:szCs w:val="32"/>
        </w:rPr>
      </w:pPr>
      <w:bookmarkStart w:id="11" w:name="_Toc36420909"/>
      <w:bookmarkStart w:id="12" w:name="_Toc166662369"/>
      <w:bookmarkStart w:id="13" w:name="_Toc175027844"/>
      <w:bookmarkStart w:id="14" w:name="_Toc25180009"/>
      <w:bookmarkStart w:id="15" w:name="_Toc25086522"/>
      <w:r>
        <w:rPr>
          <w:rFonts w:hint="eastAsia" w:ascii="仿宋" w:hAnsi="仿宋" w:cs="仿宋"/>
          <w:b/>
          <w:color w:val="000000" w:themeColor="text1"/>
          <w:sz w:val="32"/>
          <w:szCs w:val="32"/>
        </w:rPr>
        <w:br w:type="page"/>
      </w:r>
    </w:p>
    <w:p>
      <w:pPr>
        <w:spacing w:line="360" w:lineRule="auto"/>
        <w:jc w:val="center"/>
        <w:rPr>
          <w:rFonts w:ascii="Times New Roman" w:hAnsi="Times New Roman" w:eastAsia="宋体" w:cs="Times New Roman"/>
          <w:b/>
          <w:color w:val="000000" w:themeColor="text1"/>
          <w:sz w:val="32"/>
          <w:szCs w:val="32"/>
        </w:rPr>
      </w:pPr>
      <w:r>
        <w:rPr>
          <w:rFonts w:hint="eastAsia" w:ascii="仿宋" w:hAnsi="仿宋" w:cs="仿宋"/>
          <w:b/>
          <w:color w:val="000000" w:themeColor="text1"/>
          <w:sz w:val="32"/>
          <w:szCs w:val="32"/>
        </w:rPr>
        <w:t>前    言</w:t>
      </w:r>
      <w:bookmarkEnd w:id="11"/>
      <w:bookmarkEnd w:id="12"/>
      <w:bookmarkEnd w:id="13"/>
      <w:bookmarkEnd w:id="14"/>
      <w:bookmarkEnd w:id="15"/>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本标准是根据</w:t>
      </w:r>
      <w:bookmarkStart w:id="16" w:name="_Hlk43890149"/>
      <w:r>
        <w:rPr>
          <w:rFonts w:hint="eastAsia" w:ascii="Times New Roman" w:hAnsi="Times New Roman" w:cs="Times New Roman" w:eastAsiaTheme="minorEastAsia"/>
          <w:color w:val="000000" w:themeColor="text1"/>
          <w:sz w:val="21"/>
          <w:szCs w:val="21"/>
        </w:rPr>
        <w:t>安徽省市场监督管理局</w:t>
      </w:r>
      <w:bookmarkEnd w:id="16"/>
      <w:r>
        <w:rPr>
          <w:rFonts w:hint="eastAsia" w:ascii="Times New Roman" w:hAnsi="Times New Roman" w:cs="Times New Roman" w:eastAsiaTheme="minorEastAsia"/>
          <w:color w:val="000000" w:themeColor="text1"/>
          <w:sz w:val="21"/>
          <w:szCs w:val="21"/>
        </w:rPr>
        <w:t>《安徽省市场监督管理局关于下达2023年第三批安徽省地方标准制修订计划的通知》（皖市监函〔2023〕622号）</w:t>
      </w:r>
      <w:r>
        <w:rPr>
          <w:rFonts w:ascii="Times New Roman" w:hAnsi="Times New Roman" w:cs="Times New Roman" w:eastAsiaTheme="minorEastAsia"/>
          <w:color w:val="000000" w:themeColor="text1"/>
          <w:sz w:val="21"/>
          <w:szCs w:val="21"/>
        </w:rPr>
        <w:t>的要求，编制组经广泛深入的调查研究，认真总结实践经验，参考相关的国家、行业标准，并在广泛征求意见的基础上，编制本标准。</w:t>
      </w:r>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本标准共分十章，主要内容有：</w:t>
      </w: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总则；</w:t>
      </w: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术语；</w:t>
      </w:r>
      <w:r>
        <w:rPr>
          <w:rFonts w:ascii="Times New Roman" w:hAnsi="Times New Roman" w:cs="Times New Roman" w:eastAsiaTheme="minorEastAsia"/>
          <w:color w:val="000000" w:themeColor="text1"/>
          <w:sz w:val="21"/>
          <w:szCs w:val="21"/>
        </w:rPr>
        <w:t xml:space="preserve">3 </w:t>
      </w:r>
      <w:r>
        <w:rPr>
          <w:rFonts w:hint="eastAsia" w:ascii="Times New Roman" w:hAnsi="Times New Roman" w:cs="Times New Roman" w:eastAsiaTheme="minorEastAsia"/>
          <w:color w:val="000000" w:themeColor="text1"/>
          <w:sz w:val="21"/>
          <w:szCs w:val="21"/>
        </w:rPr>
        <w:t>基本规定；4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建筑光伏系统；5</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建筑储能系统；6建筑供</w:t>
      </w:r>
      <w:r>
        <w:rPr>
          <w:rFonts w:ascii="Times New Roman" w:hAnsi="Times New Roman" w:cs="Times New Roman" w:eastAsiaTheme="minorEastAsia"/>
          <w:color w:val="000000" w:themeColor="text1"/>
          <w:sz w:val="21"/>
          <w:szCs w:val="21"/>
        </w:rPr>
        <w:t xml:space="preserve">配电系统；7 </w:t>
      </w:r>
      <w:r>
        <w:rPr>
          <w:rFonts w:hint="eastAsia" w:ascii="Times New Roman" w:hAnsi="Times New Roman" w:cs="Times New Roman" w:eastAsiaTheme="minorEastAsia"/>
          <w:color w:val="000000" w:themeColor="text1"/>
          <w:sz w:val="21"/>
          <w:szCs w:val="21"/>
        </w:rPr>
        <w:t>柔性控制；</w:t>
      </w:r>
      <w:r>
        <w:rPr>
          <w:rFonts w:ascii="Times New Roman" w:hAnsi="Times New Roman" w:cs="Times New Roman" w:eastAsiaTheme="minorEastAsia"/>
          <w:color w:val="000000" w:themeColor="text1"/>
          <w:sz w:val="21"/>
          <w:szCs w:val="21"/>
        </w:rPr>
        <w:t xml:space="preserve">8 </w:t>
      </w:r>
      <w:r>
        <w:rPr>
          <w:rFonts w:hint="eastAsia" w:ascii="Times New Roman" w:hAnsi="Times New Roman" w:cs="Times New Roman" w:eastAsiaTheme="minorEastAsia"/>
          <w:color w:val="000000" w:themeColor="text1"/>
          <w:sz w:val="21"/>
          <w:szCs w:val="21"/>
        </w:rPr>
        <w:t>通信及数字化；</w:t>
      </w:r>
      <w:r>
        <w:rPr>
          <w:rFonts w:ascii="Times New Roman" w:hAnsi="Times New Roman" w:cs="Times New Roman" w:eastAsiaTheme="minorEastAsia"/>
          <w:color w:val="000000" w:themeColor="text1"/>
          <w:sz w:val="21"/>
          <w:szCs w:val="21"/>
        </w:rPr>
        <w:t xml:space="preserve">9 </w:t>
      </w:r>
      <w:r>
        <w:rPr>
          <w:rFonts w:hint="eastAsia" w:ascii="Times New Roman" w:hAnsi="Times New Roman" w:cs="Times New Roman" w:eastAsiaTheme="minorEastAsia"/>
          <w:color w:val="000000" w:themeColor="text1"/>
          <w:sz w:val="21"/>
          <w:szCs w:val="21"/>
        </w:rPr>
        <w:t>其他专业。</w:t>
      </w:r>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本标准由安徽省住房和城乡建设厅负责归口管理，由安徽华电工</w:t>
      </w:r>
      <w:bookmarkStart w:id="173" w:name="_GoBack"/>
      <w:bookmarkEnd w:id="173"/>
      <w:r>
        <w:rPr>
          <w:rFonts w:hint="eastAsia" w:ascii="Times New Roman" w:hAnsi="Times New Roman" w:cs="Times New Roman" w:eastAsiaTheme="minorEastAsia"/>
          <w:color w:val="000000" w:themeColor="text1"/>
          <w:sz w:val="21"/>
          <w:szCs w:val="21"/>
        </w:rPr>
        <w:t>程咨询设计有限公司负责具体技术内容的解释。本标准在执行过程中，请各单位注意总结经验，积累资料，将有关意见和建议及时反馈给安徽华电工程咨询设计有限公司（地址：合肥市金寨路</w:t>
      </w:r>
      <w:r>
        <w:rPr>
          <w:rFonts w:ascii="Times New Roman" w:hAnsi="Times New Roman" w:cs="Times New Roman" w:eastAsiaTheme="minorEastAsia"/>
          <w:color w:val="000000" w:themeColor="text1"/>
          <w:sz w:val="21"/>
          <w:szCs w:val="21"/>
        </w:rPr>
        <w:t>122号；邮政编码230001）。</w:t>
      </w:r>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本标准主编单位、参编单位和主要起草人：</w:t>
      </w:r>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主编单位：安徽华电工程咨询设计有限公司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合肥工业大学设计院（集团）有限公司</w:t>
      </w:r>
    </w:p>
    <w:p>
      <w:pPr>
        <w:spacing w:line="460" w:lineRule="exact"/>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参编单位：国网安徽综合能源服务有限公司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国网合肥供电公司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合肥工业大学</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中国能源建设集团安徽省电力设计院有限公司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安徽省能源集团有限公司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安徽省建筑设计研究总院股份有限公司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安徽省城乡规划设计研究院有限公司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安徽瑞能电力工程设计有限公司</w:t>
      </w:r>
    </w:p>
    <w:p>
      <w:pPr>
        <w:spacing w:line="460" w:lineRule="exact"/>
        <w:ind w:firstLine="1470" w:firstLineChars="7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黄山开创电力勘察设计院有限公司</w:t>
      </w:r>
    </w:p>
    <w:p>
      <w:pPr>
        <w:spacing w:line="460" w:lineRule="exact"/>
        <w:ind w:firstLine="420" w:firstLineChars="200"/>
        <w:jc w:val="left"/>
        <w:rPr>
          <w:rFonts w:hint="eastAsia" w:ascii="Times New Roman" w:hAnsi="Times New Roman" w:cs="Times New Roman" w:eastAsiaTheme="minorEastAsia"/>
          <w:color w:val="000000" w:themeColor="text1"/>
          <w:sz w:val="21"/>
          <w:szCs w:val="21"/>
          <w:lang w:val="en-US" w:eastAsia="zh-CN"/>
        </w:rPr>
      </w:pPr>
      <w:r>
        <w:rPr>
          <w:rFonts w:hint="eastAsia" w:ascii="Times New Roman" w:hAnsi="Times New Roman" w:cs="Times New Roman" w:eastAsiaTheme="minorEastAsia"/>
          <w:color w:val="000000" w:themeColor="text1"/>
          <w:sz w:val="21"/>
          <w:szCs w:val="21"/>
        </w:rPr>
        <w:t>主要起草人：</w:t>
      </w:r>
      <w:r>
        <w:rPr>
          <w:rFonts w:hint="eastAsia" w:ascii="Times New Roman" w:hAnsi="Times New Roman" w:cs="Times New Roman" w:eastAsiaTheme="minorEastAsia"/>
          <w:color w:val="000000" w:themeColor="text1"/>
          <w:sz w:val="21"/>
          <w:szCs w:val="21"/>
          <w:lang w:val="en-US" w:eastAsia="zh-CN"/>
        </w:rPr>
        <w:t xml:space="preserve">万 力 谈  超 王友亮 张 赟 孟 磊 张光亚 都伟杰 路 健 汪 锐 贾鲁峰 </w:t>
      </w:r>
    </w:p>
    <w:p>
      <w:pPr>
        <w:keepNext w:val="0"/>
        <w:keepLines w:val="0"/>
        <w:pageBreakBefore w:val="0"/>
        <w:widowControl w:val="0"/>
        <w:kinsoku/>
        <w:wordWrap/>
        <w:overflowPunct/>
        <w:topLinePunct w:val="0"/>
        <w:autoSpaceDE/>
        <w:autoSpaceDN/>
        <w:bidi w:val="0"/>
        <w:adjustRightInd/>
        <w:snapToGrid/>
        <w:spacing w:line="460" w:lineRule="exact"/>
        <w:ind w:left="1260" w:leftChars="450" w:firstLine="420" w:firstLineChars="200"/>
        <w:jc w:val="left"/>
        <w:textAlignment w:val="auto"/>
        <w:rPr>
          <w:rFonts w:hint="eastAsia" w:ascii="Times New Roman" w:hAnsi="Times New Roman" w:cs="Times New Roman" w:eastAsiaTheme="minorEastAsia"/>
          <w:color w:val="000000" w:themeColor="text1"/>
          <w:sz w:val="21"/>
          <w:szCs w:val="21"/>
          <w:lang w:val="en-US" w:eastAsia="zh-CN"/>
        </w:rPr>
      </w:pPr>
      <w:r>
        <w:rPr>
          <w:rFonts w:hint="eastAsia" w:ascii="Times New Roman" w:hAnsi="Times New Roman" w:cs="Times New Roman" w:eastAsiaTheme="minorEastAsia"/>
          <w:color w:val="000000" w:themeColor="text1"/>
          <w:sz w:val="21"/>
          <w:szCs w:val="21"/>
          <w:lang w:val="en-US" w:eastAsia="zh-CN"/>
        </w:rPr>
        <w:t xml:space="preserve">陈 伟 郑少将 吴 睿 沈成彤 祝 健 李洪林 曾海兵 汤晓刚 苏昌瑞 </w:t>
      </w:r>
    </w:p>
    <w:p>
      <w:pPr>
        <w:keepNext w:val="0"/>
        <w:keepLines w:val="0"/>
        <w:pageBreakBefore w:val="0"/>
        <w:widowControl w:val="0"/>
        <w:kinsoku/>
        <w:wordWrap/>
        <w:overflowPunct/>
        <w:topLinePunct w:val="0"/>
        <w:autoSpaceDE/>
        <w:autoSpaceDN/>
        <w:bidi w:val="0"/>
        <w:adjustRightInd/>
        <w:snapToGrid/>
        <w:spacing w:line="460" w:lineRule="exact"/>
        <w:ind w:left="1260" w:leftChars="450" w:firstLine="420" w:firstLineChars="200"/>
        <w:jc w:val="left"/>
        <w:textAlignment w:val="auto"/>
        <w:rPr>
          <w:rFonts w:hint="default" w:ascii="Times New Roman" w:hAnsi="Times New Roman" w:cs="Times New Roman" w:eastAsiaTheme="minorEastAsia"/>
          <w:color w:val="000000" w:themeColor="text1"/>
          <w:sz w:val="21"/>
          <w:szCs w:val="21"/>
          <w:lang w:val="en-US" w:eastAsia="zh-CN"/>
        </w:rPr>
      </w:pPr>
      <w:r>
        <w:rPr>
          <w:rFonts w:hint="eastAsia" w:ascii="Times New Roman" w:hAnsi="Times New Roman" w:cs="Times New Roman" w:eastAsiaTheme="minorEastAsia"/>
          <w:color w:val="000000" w:themeColor="text1"/>
          <w:sz w:val="21"/>
          <w:szCs w:val="21"/>
          <w:lang w:val="en-US" w:eastAsia="zh-CN"/>
        </w:rPr>
        <w:t>姚 康 江蔚然 张 健 王小向 凌卫清 张国峰</w:t>
      </w:r>
    </w:p>
    <w:p>
      <w:pPr>
        <w:spacing w:line="460" w:lineRule="exact"/>
        <w:ind w:firstLine="420" w:firstLineChars="200"/>
        <w:rPr>
          <w:rFonts w:ascii="Times New Roman" w:hAnsi="Times New Roman" w:cs="Times New Roman"/>
          <w:color w:val="000000" w:themeColor="text1"/>
        </w:rPr>
      </w:pPr>
      <w:r>
        <w:rPr>
          <w:rFonts w:hint="eastAsia" w:ascii="Times New Roman" w:hAnsi="Times New Roman" w:cs="Times New Roman" w:eastAsiaTheme="minorEastAsia"/>
          <w:color w:val="000000" w:themeColor="text1"/>
          <w:sz w:val="21"/>
          <w:szCs w:val="21"/>
        </w:rPr>
        <w:t>主要审查人：</w:t>
      </w:r>
      <w:r>
        <w:rPr>
          <w:rFonts w:ascii="Times New Roman" w:hAnsi="Times New Roman" w:cs="Times New Roman"/>
          <w:color w:val="000000" w:themeColor="text1"/>
        </w:rPr>
        <w:br w:type="page"/>
      </w:r>
    </w:p>
    <w:p>
      <w:pPr>
        <w:rPr>
          <w:rFonts w:ascii="Times New Roman" w:hAnsi="Times New Roman" w:cs="Times New Roman"/>
          <w:color w:val="000000" w:themeColor="text1"/>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keepNext/>
        <w:keepLines/>
        <w:spacing w:before="340" w:after="156" w:line="578" w:lineRule="auto"/>
        <w:jc w:val="center"/>
        <w:outlineLvl w:val="0"/>
        <w:rPr>
          <w:rFonts w:ascii="Times New Roman" w:hAnsi="Times New Roman" w:eastAsia="宋体" w:cs="Times New Roman"/>
          <w:b/>
          <w:bCs/>
          <w:color w:val="000000" w:themeColor="text1"/>
          <w:kern w:val="44"/>
          <w:sz w:val="28"/>
          <w:szCs w:val="36"/>
        </w:rPr>
      </w:pPr>
      <w:bookmarkStart w:id="17" w:name="_Toc140052612"/>
      <w:bookmarkStart w:id="18" w:name="_Toc185705280"/>
      <w:bookmarkStart w:id="19" w:name="_Toc22261"/>
      <w:bookmarkStart w:id="20" w:name="_Toc137066731"/>
      <w:bookmarkStart w:id="21" w:name="_Toc8844"/>
      <w:bookmarkStart w:id="22" w:name="_Toc12852"/>
      <w:bookmarkStart w:id="23" w:name="_Toc17126"/>
      <w:bookmarkStart w:id="24" w:name="_Toc140160765"/>
      <w:bookmarkStart w:id="25" w:name="_Toc5256"/>
      <w:bookmarkStart w:id="26" w:name="_Toc133575124"/>
      <w:bookmarkStart w:id="27" w:name="_Toc137050128"/>
      <w:bookmarkStart w:id="28" w:name="_Toc139814542"/>
      <w:bookmarkStart w:id="29" w:name="_Toc15777"/>
      <w:bookmarkStart w:id="30" w:name="_Toc135234899"/>
      <w:bookmarkStart w:id="31" w:name="_Toc1699"/>
      <w:bookmarkStart w:id="32" w:name="_Toc22875"/>
      <w:bookmarkStart w:id="33" w:name="_Toc16435"/>
      <w:bookmarkStart w:id="34" w:name="_Toc30170"/>
      <w:bookmarkStart w:id="35" w:name="_Toc32543"/>
      <w:r>
        <w:rPr>
          <w:rFonts w:ascii="Times New Roman" w:hAnsi="Times New Roman" w:eastAsia="宋体" w:cs="Times New Roman"/>
          <w:b/>
          <w:bCs/>
          <w:color w:val="000000" w:themeColor="text1"/>
          <w:kern w:val="44"/>
          <w:sz w:val="28"/>
          <w:szCs w:val="36"/>
        </w:rPr>
        <w:t>目  次</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13"/>
        <w:tabs>
          <w:tab w:val="right" w:leader="dot" w:pos="8306"/>
        </w:tabs>
        <w:rPr>
          <w:sz w:val="21"/>
          <w:szCs w:val="21"/>
        </w:rPr>
      </w:pPr>
      <w:r>
        <w:rPr>
          <w:rFonts w:ascii="Times New Roman" w:hAnsi="Times New Roman" w:eastAsia="宋体" w:cs="Times New Roman"/>
          <w:b/>
          <w:bCs/>
          <w:caps/>
          <w:smallCaps/>
          <w:color w:val="000000" w:themeColor="text1"/>
          <w:sz w:val="21"/>
          <w:szCs w:val="21"/>
        </w:rPr>
        <w:fldChar w:fldCharType="begin"/>
      </w:r>
      <w:r>
        <w:rPr>
          <w:rFonts w:ascii="Times New Roman" w:hAnsi="Times New Roman" w:eastAsia="宋体" w:cs="Times New Roman"/>
          <w:b/>
          <w:bCs/>
          <w:caps/>
          <w:smallCaps/>
          <w:color w:val="000000" w:themeColor="text1"/>
          <w:sz w:val="21"/>
          <w:szCs w:val="21"/>
        </w:rPr>
        <w:instrText xml:space="preserve"> TOC \o "1-2" \h \z \u </w:instrText>
      </w:r>
      <w:r>
        <w:rPr>
          <w:rFonts w:ascii="Times New Roman" w:hAnsi="Times New Roman" w:eastAsia="宋体" w:cs="Times New Roman"/>
          <w:b/>
          <w:bCs/>
          <w:caps/>
          <w:smallCaps/>
          <w:color w:val="000000" w:themeColor="text1"/>
          <w:sz w:val="21"/>
          <w:szCs w:val="21"/>
        </w:rPr>
        <w:fldChar w:fldCharType="separate"/>
      </w:r>
      <w:r>
        <w:rPr>
          <w:rFonts w:eastAsia="宋体" w:cs="Times New Roman"/>
          <w:color w:val="000000" w:themeColor="text1"/>
          <w:sz w:val="21"/>
          <w:szCs w:val="21"/>
        </w:rPr>
        <w:fldChar w:fldCharType="begin"/>
      </w:r>
      <w:r>
        <w:rPr>
          <w:rFonts w:eastAsia="宋体" w:cs="Times New Roman"/>
          <w:sz w:val="21"/>
          <w:szCs w:val="21"/>
        </w:rPr>
        <w:instrText xml:space="preserve"> HYPERLINK \l _Toc1334 </w:instrText>
      </w:r>
      <w:r>
        <w:rPr>
          <w:rFonts w:eastAsia="宋体" w:cs="Times New Roman"/>
          <w:sz w:val="21"/>
          <w:szCs w:val="21"/>
        </w:rPr>
        <w:fldChar w:fldCharType="separate"/>
      </w:r>
      <w:r>
        <w:rPr>
          <w:rFonts w:ascii="Times New Roman" w:hAnsi="Times New Roman" w:cs="Times New Roman" w:eastAsiaTheme="minorEastAsia"/>
          <w:bCs/>
          <w:kern w:val="44"/>
          <w:sz w:val="21"/>
          <w:szCs w:val="21"/>
        </w:rPr>
        <w:t>1 总  则</w:t>
      </w:r>
      <w:r>
        <w:rPr>
          <w:sz w:val="21"/>
          <w:szCs w:val="21"/>
        </w:rPr>
        <w:tab/>
      </w:r>
      <w:r>
        <w:rPr>
          <w:sz w:val="21"/>
          <w:szCs w:val="21"/>
        </w:rPr>
        <w:fldChar w:fldCharType="begin"/>
      </w:r>
      <w:r>
        <w:rPr>
          <w:sz w:val="21"/>
          <w:szCs w:val="21"/>
        </w:rPr>
        <w:instrText xml:space="preserve"> PAGEREF _Toc1334 \h </w:instrText>
      </w:r>
      <w:r>
        <w:rPr>
          <w:sz w:val="21"/>
          <w:szCs w:val="21"/>
        </w:rPr>
        <w:fldChar w:fldCharType="separate"/>
      </w:r>
      <w:r>
        <w:rPr>
          <w:sz w:val="21"/>
          <w:szCs w:val="21"/>
        </w:rPr>
        <w:t>1</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_Toc30496 </w:instrText>
      </w:r>
      <w:r>
        <w:rPr>
          <w:rFonts w:eastAsia="宋体" w:cs="Times New Roman"/>
          <w:sz w:val="21"/>
          <w:szCs w:val="21"/>
        </w:rPr>
        <w:fldChar w:fldCharType="separate"/>
      </w:r>
      <w:r>
        <w:rPr>
          <w:rFonts w:ascii="Times New Roman" w:hAnsi="Times New Roman" w:cs="Times New Roman" w:eastAsiaTheme="minorEastAsia"/>
          <w:bCs/>
          <w:kern w:val="44"/>
          <w:sz w:val="21"/>
          <w:szCs w:val="21"/>
        </w:rPr>
        <w:t>2 术语</w:t>
      </w:r>
      <w:r>
        <w:rPr>
          <w:sz w:val="21"/>
          <w:szCs w:val="21"/>
        </w:rPr>
        <w:tab/>
      </w:r>
      <w:r>
        <w:rPr>
          <w:sz w:val="21"/>
          <w:szCs w:val="21"/>
        </w:rPr>
        <w:fldChar w:fldCharType="begin"/>
      </w:r>
      <w:r>
        <w:rPr>
          <w:sz w:val="21"/>
          <w:szCs w:val="21"/>
        </w:rPr>
        <w:instrText xml:space="preserve"> PAGEREF _Toc30496 \h </w:instrText>
      </w:r>
      <w:r>
        <w:rPr>
          <w:sz w:val="21"/>
          <w:szCs w:val="21"/>
        </w:rPr>
        <w:fldChar w:fldCharType="separate"/>
      </w:r>
      <w:r>
        <w:rPr>
          <w:sz w:val="21"/>
          <w:szCs w:val="21"/>
        </w:rPr>
        <w:t>2</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_Toc17565 </w:instrText>
      </w:r>
      <w:r>
        <w:rPr>
          <w:rFonts w:eastAsia="宋体" w:cs="Times New Roman"/>
          <w:sz w:val="21"/>
          <w:szCs w:val="21"/>
        </w:rPr>
        <w:fldChar w:fldCharType="separate"/>
      </w:r>
      <w:r>
        <w:rPr>
          <w:rFonts w:ascii="Times New Roman" w:hAnsi="Times New Roman" w:cs="Times New Roman" w:eastAsiaTheme="minorEastAsia"/>
          <w:bCs/>
          <w:kern w:val="44"/>
          <w:sz w:val="21"/>
          <w:szCs w:val="21"/>
        </w:rPr>
        <w:t>3 基本规定</w:t>
      </w:r>
      <w:r>
        <w:rPr>
          <w:sz w:val="21"/>
          <w:szCs w:val="21"/>
        </w:rPr>
        <w:tab/>
      </w:r>
      <w:r>
        <w:rPr>
          <w:sz w:val="21"/>
          <w:szCs w:val="21"/>
        </w:rPr>
        <w:fldChar w:fldCharType="begin"/>
      </w:r>
      <w:r>
        <w:rPr>
          <w:sz w:val="21"/>
          <w:szCs w:val="21"/>
        </w:rPr>
        <w:instrText xml:space="preserve"> PAGEREF _Toc17565 \h </w:instrText>
      </w:r>
      <w:r>
        <w:rPr>
          <w:sz w:val="21"/>
          <w:szCs w:val="21"/>
        </w:rPr>
        <w:fldChar w:fldCharType="separate"/>
      </w:r>
      <w:r>
        <w:rPr>
          <w:sz w:val="21"/>
          <w:szCs w:val="21"/>
        </w:rPr>
        <w:t>4</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_Toc24489 </w:instrText>
      </w:r>
      <w:r>
        <w:rPr>
          <w:rFonts w:eastAsia="宋体" w:cs="Times New Roman"/>
          <w:sz w:val="21"/>
          <w:szCs w:val="21"/>
        </w:rPr>
        <w:fldChar w:fldCharType="separate"/>
      </w:r>
      <w:r>
        <w:rPr>
          <w:rFonts w:ascii="Times New Roman" w:hAnsi="Times New Roman" w:cs="Times New Roman" w:eastAsiaTheme="minorEastAsia"/>
          <w:bCs/>
          <w:kern w:val="44"/>
          <w:sz w:val="21"/>
          <w:szCs w:val="21"/>
        </w:rPr>
        <w:t>4</w:t>
      </w:r>
      <w:r>
        <w:rPr>
          <w:rFonts w:hint="eastAsia" w:ascii="Times New Roman" w:hAnsi="Times New Roman" w:cs="Times New Roman" w:eastAsiaTheme="minorEastAsia"/>
          <w:bCs/>
          <w:kern w:val="44"/>
          <w:sz w:val="21"/>
          <w:szCs w:val="21"/>
        </w:rPr>
        <w:t xml:space="preserve"> </w:t>
      </w:r>
      <w:r>
        <w:rPr>
          <w:rFonts w:ascii="Times New Roman" w:hAnsi="Times New Roman" w:cs="Times New Roman" w:eastAsiaTheme="minorEastAsia"/>
          <w:bCs/>
          <w:kern w:val="44"/>
          <w:sz w:val="21"/>
          <w:szCs w:val="21"/>
        </w:rPr>
        <w:t>建筑光伏系统</w:t>
      </w:r>
      <w:r>
        <w:rPr>
          <w:sz w:val="21"/>
          <w:szCs w:val="21"/>
        </w:rPr>
        <w:tab/>
      </w:r>
      <w:r>
        <w:rPr>
          <w:sz w:val="21"/>
          <w:szCs w:val="21"/>
        </w:rPr>
        <w:fldChar w:fldCharType="begin"/>
      </w:r>
      <w:r>
        <w:rPr>
          <w:sz w:val="21"/>
          <w:szCs w:val="21"/>
        </w:rPr>
        <w:instrText xml:space="preserve"> PAGEREF _Toc24489 \h </w:instrText>
      </w:r>
      <w:r>
        <w:rPr>
          <w:sz w:val="21"/>
          <w:szCs w:val="21"/>
        </w:rPr>
        <w:fldChar w:fldCharType="separate"/>
      </w:r>
      <w:r>
        <w:rPr>
          <w:sz w:val="21"/>
          <w:szCs w:val="21"/>
        </w:rPr>
        <w:t>5</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_Toc31850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4.1</w:t>
      </w:r>
      <w:r>
        <w:rPr>
          <w:rFonts w:ascii="Times New Roman" w:hAnsi="Times New Roman" w:cs="Times New Roman" w:eastAsiaTheme="majorEastAsia"/>
          <w:bCs/>
          <w:sz w:val="21"/>
          <w:szCs w:val="21"/>
        </w:rPr>
        <w:t xml:space="preserve"> </w:t>
      </w:r>
      <w:r>
        <w:rPr>
          <w:rFonts w:hint="eastAsia" w:ascii="Times New Roman" w:hAnsi="Times New Roman" w:cs="Times New Roman" w:eastAsiaTheme="majorEastAsia"/>
          <w:bCs/>
          <w:sz w:val="21"/>
          <w:szCs w:val="21"/>
        </w:rPr>
        <w:t>一般规定</w:t>
      </w:r>
      <w:r>
        <w:rPr>
          <w:sz w:val="21"/>
          <w:szCs w:val="21"/>
        </w:rPr>
        <w:tab/>
      </w:r>
      <w:r>
        <w:rPr>
          <w:sz w:val="21"/>
          <w:szCs w:val="21"/>
        </w:rPr>
        <w:fldChar w:fldCharType="begin"/>
      </w:r>
      <w:r>
        <w:rPr>
          <w:sz w:val="21"/>
          <w:szCs w:val="21"/>
        </w:rPr>
        <w:instrText xml:space="preserve"> PAGEREF _Toc31850 \h </w:instrText>
      </w:r>
      <w:r>
        <w:rPr>
          <w:sz w:val="21"/>
          <w:szCs w:val="21"/>
        </w:rPr>
        <w:fldChar w:fldCharType="separate"/>
      </w:r>
      <w:r>
        <w:rPr>
          <w:sz w:val="21"/>
          <w:szCs w:val="21"/>
        </w:rPr>
        <w:t>5</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_Toc13095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4</w:t>
      </w:r>
      <w:r>
        <w:rPr>
          <w:rFonts w:ascii="Times New Roman" w:hAnsi="Times New Roman" w:cs="Times New Roman" w:eastAsiaTheme="majorEastAsia"/>
          <w:bCs/>
          <w:sz w:val="21"/>
          <w:szCs w:val="21"/>
        </w:rPr>
        <w:t>.</w:t>
      </w:r>
      <w:r>
        <w:rPr>
          <w:rFonts w:hint="eastAsia" w:ascii="Times New Roman" w:hAnsi="Times New Roman" w:cs="Times New Roman" w:eastAsiaTheme="majorEastAsia"/>
          <w:bCs/>
          <w:sz w:val="21"/>
          <w:szCs w:val="21"/>
        </w:rPr>
        <w:t>2</w:t>
      </w:r>
      <w:r>
        <w:rPr>
          <w:rFonts w:ascii="Times New Roman" w:hAnsi="Times New Roman" w:cs="Times New Roman" w:eastAsiaTheme="majorEastAsia"/>
          <w:bCs/>
          <w:sz w:val="21"/>
          <w:szCs w:val="21"/>
        </w:rPr>
        <w:t xml:space="preserve"> 发电系统设计</w:t>
      </w:r>
      <w:r>
        <w:rPr>
          <w:sz w:val="21"/>
          <w:szCs w:val="21"/>
        </w:rPr>
        <w:tab/>
      </w:r>
      <w:r>
        <w:rPr>
          <w:sz w:val="21"/>
          <w:szCs w:val="21"/>
        </w:rPr>
        <w:fldChar w:fldCharType="begin"/>
      </w:r>
      <w:r>
        <w:rPr>
          <w:sz w:val="21"/>
          <w:szCs w:val="21"/>
        </w:rPr>
        <w:instrText xml:space="preserve"> PAGEREF _Toc13095 \h </w:instrText>
      </w:r>
      <w:r>
        <w:rPr>
          <w:sz w:val="21"/>
          <w:szCs w:val="21"/>
        </w:rPr>
        <w:fldChar w:fldCharType="separate"/>
      </w:r>
      <w:r>
        <w:rPr>
          <w:sz w:val="21"/>
          <w:szCs w:val="21"/>
        </w:rPr>
        <w:t>5</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_Toc9189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4.3</w:t>
      </w:r>
      <w:r>
        <w:rPr>
          <w:rFonts w:ascii="Times New Roman" w:hAnsi="Times New Roman" w:cs="Times New Roman" w:eastAsiaTheme="majorEastAsia"/>
          <w:bCs/>
          <w:sz w:val="21"/>
          <w:szCs w:val="21"/>
        </w:rPr>
        <w:t>系统接入</w:t>
      </w:r>
      <w:r>
        <w:rPr>
          <w:sz w:val="21"/>
          <w:szCs w:val="21"/>
        </w:rPr>
        <w:tab/>
      </w:r>
      <w:r>
        <w:rPr>
          <w:sz w:val="21"/>
          <w:szCs w:val="21"/>
        </w:rPr>
        <w:fldChar w:fldCharType="begin"/>
      </w:r>
      <w:r>
        <w:rPr>
          <w:sz w:val="21"/>
          <w:szCs w:val="21"/>
        </w:rPr>
        <w:instrText xml:space="preserve"> PAGEREF _Toc9189 \h </w:instrText>
      </w:r>
      <w:r>
        <w:rPr>
          <w:sz w:val="21"/>
          <w:szCs w:val="21"/>
        </w:rPr>
        <w:fldChar w:fldCharType="separate"/>
      </w:r>
      <w:r>
        <w:rPr>
          <w:sz w:val="21"/>
          <w:szCs w:val="21"/>
        </w:rPr>
        <w:t>6</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_Toc7932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4.4设备及材料</w:t>
      </w:r>
      <w:r>
        <w:rPr>
          <w:sz w:val="21"/>
          <w:szCs w:val="21"/>
        </w:rPr>
        <w:tab/>
      </w:r>
      <w:r>
        <w:rPr>
          <w:sz w:val="21"/>
          <w:szCs w:val="21"/>
        </w:rPr>
        <w:fldChar w:fldCharType="begin"/>
      </w:r>
      <w:r>
        <w:rPr>
          <w:sz w:val="21"/>
          <w:szCs w:val="21"/>
        </w:rPr>
        <w:instrText xml:space="preserve"> PAGEREF _Toc7932 \h </w:instrText>
      </w:r>
      <w:r>
        <w:rPr>
          <w:sz w:val="21"/>
          <w:szCs w:val="21"/>
        </w:rPr>
        <w:fldChar w:fldCharType="separate"/>
      </w:r>
      <w:r>
        <w:rPr>
          <w:sz w:val="21"/>
          <w:szCs w:val="21"/>
        </w:rPr>
        <w:t>7</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_Toc24885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4.5 建筑和结构</w:t>
      </w:r>
      <w:r>
        <w:rPr>
          <w:sz w:val="21"/>
          <w:szCs w:val="21"/>
        </w:rPr>
        <w:tab/>
      </w:r>
      <w:r>
        <w:rPr>
          <w:sz w:val="21"/>
          <w:szCs w:val="21"/>
        </w:rPr>
        <w:fldChar w:fldCharType="begin"/>
      </w:r>
      <w:r>
        <w:rPr>
          <w:sz w:val="21"/>
          <w:szCs w:val="21"/>
        </w:rPr>
        <w:instrText xml:space="preserve"> PAGEREF _Toc24885 \h </w:instrText>
      </w:r>
      <w:r>
        <w:rPr>
          <w:sz w:val="21"/>
          <w:szCs w:val="21"/>
        </w:rPr>
        <w:fldChar w:fldCharType="separate"/>
      </w:r>
      <w:r>
        <w:rPr>
          <w:sz w:val="21"/>
          <w:szCs w:val="21"/>
        </w:rPr>
        <w:t>9</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_Toc28092 </w:instrText>
      </w:r>
      <w:r>
        <w:rPr>
          <w:rFonts w:eastAsia="宋体" w:cs="Times New Roman"/>
          <w:sz w:val="21"/>
          <w:szCs w:val="21"/>
        </w:rPr>
        <w:fldChar w:fldCharType="separate"/>
      </w:r>
      <w:r>
        <w:rPr>
          <w:rFonts w:ascii="Times New Roman" w:hAnsi="Times New Roman" w:cs="Times New Roman" w:eastAsiaTheme="minorEastAsia"/>
          <w:bCs/>
          <w:kern w:val="44"/>
          <w:sz w:val="21"/>
          <w:szCs w:val="21"/>
        </w:rPr>
        <w:t>5</w:t>
      </w:r>
      <w:r>
        <w:rPr>
          <w:rFonts w:hint="eastAsia" w:ascii="Times New Roman" w:hAnsi="Times New Roman" w:cs="Times New Roman" w:eastAsiaTheme="minorEastAsia"/>
          <w:bCs/>
          <w:kern w:val="44"/>
          <w:sz w:val="21"/>
          <w:szCs w:val="21"/>
        </w:rPr>
        <w:t>建筑储能系统</w:t>
      </w:r>
      <w:r>
        <w:rPr>
          <w:sz w:val="21"/>
          <w:szCs w:val="21"/>
        </w:rPr>
        <w:tab/>
      </w:r>
      <w:r>
        <w:rPr>
          <w:sz w:val="21"/>
          <w:szCs w:val="21"/>
        </w:rPr>
        <w:fldChar w:fldCharType="begin"/>
      </w:r>
      <w:r>
        <w:rPr>
          <w:sz w:val="21"/>
          <w:szCs w:val="21"/>
        </w:rPr>
        <w:instrText xml:space="preserve"> PAGEREF _Toc28092 \h </w:instrText>
      </w:r>
      <w:r>
        <w:rPr>
          <w:sz w:val="21"/>
          <w:szCs w:val="21"/>
        </w:rPr>
        <w:fldChar w:fldCharType="separate"/>
      </w:r>
      <w:r>
        <w:rPr>
          <w:sz w:val="21"/>
          <w:szCs w:val="21"/>
        </w:rPr>
        <w:t>10</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_Toc17797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.1一般规定</w:t>
      </w:r>
      <w:r>
        <w:rPr>
          <w:sz w:val="21"/>
          <w:szCs w:val="21"/>
        </w:rPr>
        <w:tab/>
      </w:r>
      <w:r>
        <w:rPr>
          <w:sz w:val="21"/>
          <w:szCs w:val="21"/>
        </w:rPr>
        <w:fldChar w:fldCharType="begin"/>
      </w:r>
      <w:r>
        <w:rPr>
          <w:sz w:val="21"/>
          <w:szCs w:val="21"/>
        </w:rPr>
        <w:instrText xml:space="preserve"> PAGEREF _Toc17797 \h </w:instrText>
      </w:r>
      <w:r>
        <w:rPr>
          <w:sz w:val="21"/>
          <w:szCs w:val="21"/>
        </w:rPr>
        <w:fldChar w:fldCharType="separate"/>
      </w:r>
      <w:r>
        <w:rPr>
          <w:sz w:val="21"/>
          <w:szCs w:val="21"/>
        </w:rPr>
        <w:t>10</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_Toc8515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 xml:space="preserve">.2 </w:t>
      </w:r>
      <w:r>
        <w:rPr>
          <w:rFonts w:hint="eastAsia" w:ascii="Times New Roman" w:hAnsi="Times New Roman" w:cs="Times New Roman" w:eastAsiaTheme="majorEastAsia"/>
          <w:bCs/>
          <w:sz w:val="21"/>
          <w:szCs w:val="21"/>
        </w:rPr>
        <w:t>储能系统设计</w:t>
      </w:r>
      <w:r>
        <w:rPr>
          <w:sz w:val="21"/>
          <w:szCs w:val="21"/>
        </w:rPr>
        <w:tab/>
      </w:r>
      <w:r>
        <w:rPr>
          <w:sz w:val="21"/>
          <w:szCs w:val="21"/>
        </w:rPr>
        <w:fldChar w:fldCharType="begin"/>
      </w:r>
      <w:r>
        <w:rPr>
          <w:sz w:val="21"/>
          <w:szCs w:val="21"/>
        </w:rPr>
        <w:instrText xml:space="preserve"> PAGEREF _Toc8515 \h </w:instrText>
      </w:r>
      <w:r>
        <w:rPr>
          <w:sz w:val="21"/>
          <w:szCs w:val="21"/>
        </w:rPr>
        <w:fldChar w:fldCharType="separate"/>
      </w:r>
      <w:r>
        <w:rPr>
          <w:sz w:val="21"/>
          <w:szCs w:val="21"/>
        </w:rPr>
        <w:t>10</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_Toc4909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w:t>
      </w:r>
      <w:r>
        <w:rPr>
          <w:rFonts w:hint="eastAsia" w:ascii="Times New Roman" w:hAnsi="Times New Roman" w:cs="Times New Roman" w:eastAsiaTheme="majorEastAsia"/>
          <w:bCs/>
          <w:sz w:val="21"/>
          <w:szCs w:val="21"/>
        </w:rPr>
        <w:t>3</w:t>
      </w:r>
      <w:r>
        <w:rPr>
          <w:rFonts w:ascii="Times New Roman" w:hAnsi="Times New Roman" w:cs="Times New Roman" w:eastAsiaTheme="majorEastAsia"/>
          <w:bCs/>
          <w:sz w:val="21"/>
          <w:szCs w:val="21"/>
        </w:rPr>
        <w:t xml:space="preserve"> 系统接入</w:t>
      </w:r>
      <w:r>
        <w:rPr>
          <w:sz w:val="21"/>
          <w:szCs w:val="21"/>
        </w:rPr>
        <w:tab/>
      </w:r>
      <w:r>
        <w:rPr>
          <w:sz w:val="21"/>
          <w:szCs w:val="21"/>
        </w:rPr>
        <w:fldChar w:fldCharType="begin"/>
      </w:r>
      <w:r>
        <w:rPr>
          <w:sz w:val="21"/>
          <w:szCs w:val="21"/>
        </w:rPr>
        <w:instrText xml:space="preserve"> PAGEREF _Toc4909 \h </w:instrText>
      </w:r>
      <w:r>
        <w:rPr>
          <w:sz w:val="21"/>
          <w:szCs w:val="21"/>
        </w:rPr>
        <w:fldChar w:fldCharType="separate"/>
      </w:r>
      <w:r>
        <w:rPr>
          <w:sz w:val="21"/>
          <w:szCs w:val="21"/>
        </w:rPr>
        <w:t>11</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_Toc25262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.4</w:t>
      </w:r>
      <w:r>
        <w:rPr>
          <w:rFonts w:hint="eastAsia" w:ascii="Times New Roman" w:hAnsi="Times New Roman" w:cs="Times New Roman" w:eastAsiaTheme="majorEastAsia"/>
          <w:bCs/>
          <w:sz w:val="21"/>
          <w:szCs w:val="21"/>
        </w:rPr>
        <w:t xml:space="preserve"> 设备及材料</w:t>
      </w:r>
      <w:r>
        <w:rPr>
          <w:sz w:val="21"/>
          <w:szCs w:val="21"/>
        </w:rPr>
        <w:tab/>
      </w:r>
      <w:r>
        <w:rPr>
          <w:sz w:val="21"/>
          <w:szCs w:val="21"/>
        </w:rPr>
        <w:fldChar w:fldCharType="begin"/>
      </w:r>
      <w:r>
        <w:rPr>
          <w:sz w:val="21"/>
          <w:szCs w:val="21"/>
        </w:rPr>
        <w:instrText xml:space="preserve"> PAGEREF _Toc25262 \h </w:instrText>
      </w:r>
      <w:r>
        <w:rPr>
          <w:sz w:val="21"/>
          <w:szCs w:val="21"/>
        </w:rPr>
        <w:fldChar w:fldCharType="separate"/>
      </w:r>
      <w:r>
        <w:rPr>
          <w:sz w:val="21"/>
          <w:szCs w:val="21"/>
        </w:rPr>
        <w:t>11</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_Toc9821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.5</w:t>
      </w:r>
      <w:r>
        <w:rPr>
          <w:rFonts w:hint="eastAsia" w:ascii="Times New Roman" w:hAnsi="Times New Roman" w:cs="Times New Roman" w:eastAsiaTheme="majorEastAsia"/>
          <w:bCs/>
          <w:sz w:val="21"/>
          <w:szCs w:val="21"/>
        </w:rPr>
        <w:t xml:space="preserve"> 建筑和结构</w:t>
      </w:r>
      <w:r>
        <w:rPr>
          <w:sz w:val="21"/>
          <w:szCs w:val="21"/>
        </w:rPr>
        <w:tab/>
      </w:r>
      <w:r>
        <w:rPr>
          <w:sz w:val="21"/>
          <w:szCs w:val="21"/>
        </w:rPr>
        <w:fldChar w:fldCharType="begin"/>
      </w:r>
      <w:r>
        <w:rPr>
          <w:sz w:val="21"/>
          <w:szCs w:val="21"/>
        </w:rPr>
        <w:instrText xml:space="preserve"> PAGEREF _Toc9821 \h </w:instrText>
      </w:r>
      <w:r>
        <w:rPr>
          <w:sz w:val="21"/>
          <w:szCs w:val="21"/>
        </w:rPr>
        <w:fldChar w:fldCharType="separate"/>
      </w:r>
      <w:r>
        <w:rPr>
          <w:sz w:val="21"/>
          <w:szCs w:val="21"/>
        </w:rPr>
        <w:t>12</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_Toc7916 </w:instrText>
      </w:r>
      <w:r>
        <w:rPr>
          <w:rFonts w:eastAsia="宋体" w:cs="Times New Roman"/>
          <w:sz w:val="21"/>
          <w:szCs w:val="21"/>
        </w:rPr>
        <w:fldChar w:fldCharType="separate"/>
      </w:r>
      <w:r>
        <w:rPr>
          <w:rFonts w:hint="eastAsia" w:ascii="Times New Roman" w:hAnsi="Times New Roman" w:cs="Times New Roman" w:eastAsiaTheme="minorEastAsia"/>
          <w:bCs/>
          <w:kern w:val="44"/>
          <w:sz w:val="21"/>
          <w:szCs w:val="21"/>
        </w:rPr>
        <w:t>6</w:t>
      </w:r>
      <w:r>
        <w:rPr>
          <w:rFonts w:ascii="Times New Roman" w:hAnsi="Times New Roman" w:cs="Times New Roman" w:eastAsiaTheme="minorEastAsia"/>
          <w:bCs/>
          <w:kern w:val="44"/>
          <w:sz w:val="21"/>
          <w:szCs w:val="21"/>
        </w:rPr>
        <w:t xml:space="preserve"> </w:t>
      </w:r>
      <w:r>
        <w:rPr>
          <w:rFonts w:hint="eastAsia" w:ascii="Times New Roman" w:hAnsi="Times New Roman" w:cs="Times New Roman" w:eastAsiaTheme="minorEastAsia"/>
          <w:bCs/>
          <w:kern w:val="44"/>
          <w:sz w:val="21"/>
          <w:szCs w:val="21"/>
        </w:rPr>
        <w:t>建筑供配电</w:t>
      </w:r>
      <w:r>
        <w:rPr>
          <w:rFonts w:ascii="Times New Roman" w:hAnsi="Times New Roman" w:cs="Times New Roman" w:eastAsiaTheme="minorEastAsia"/>
          <w:bCs/>
          <w:kern w:val="44"/>
          <w:sz w:val="21"/>
          <w:szCs w:val="21"/>
        </w:rPr>
        <w:t>系统</w:t>
      </w:r>
      <w:r>
        <w:rPr>
          <w:sz w:val="21"/>
          <w:szCs w:val="21"/>
        </w:rPr>
        <w:tab/>
      </w:r>
      <w:r>
        <w:rPr>
          <w:sz w:val="21"/>
          <w:szCs w:val="21"/>
        </w:rPr>
        <w:fldChar w:fldCharType="begin"/>
      </w:r>
      <w:r>
        <w:rPr>
          <w:sz w:val="21"/>
          <w:szCs w:val="21"/>
        </w:rPr>
        <w:instrText xml:space="preserve"> PAGEREF _Toc7916 \h </w:instrText>
      </w:r>
      <w:r>
        <w:rPr>
          <w:sz w:val="21"/>
          <w:szCs w:val="21"/>
        </w:rPr>
        <w:fldChar w:fldCharType="separate"/>
      </w:r>
      <w:r>
        <w:rPr>
          <w:sz w:val="21"/>
          <w:szCs w:val="21"/>
        </w:rPr>
        <w:t>13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_Toc7128 </w:instrText>
      </w:r>
      <w:r>
        <w:rPr>
          <w:rFonts w:eastAsia="宋体" w:cs="Times New Roman"/>
          <w:sz w:val="21"/>
          <w:szCs w:val="21"/>
        </w:rPr>
        <w:fldChar w:fldCharType="separate"/>
      </w:r>
      <w:r>
        <w:rPr>
          <w:rFonts w:hint="eastAsia" w:ascii="Times New Roman" w:hAnsi="Times New Roman" w:eastAsia="宋体" w:cs="Times New Roman"/>
          <w:bCs/>
          <w:sz w:val="21"/>
          <w:szCs w:val="21"/>
        </w:rPr>
        <w:t>6.1 总体规划</w:t>
      </w:r>
      <w:r>
        <w:rPr>
          <w:sz w:val="21"/>
          <w:szCs w:val="21"/>
        </w:rPr>
        <w:tab/>
      </w:r>
      <w:r>
        <w:rPr>
          <w:sz w:val="21"/>
          <w:szCs w:val="21"/>
        </w:rPr>
        <w:fldChar w:fldCharType="begin"/>
      </w:r>
      <w:r>
        <w:rPr>
          <w:sz w:val="21"/>
          <w:szCs w:val="21"/>
        </w:rPr>
        <w:instrText xml:space="preserve"> PAGEREF _Toc7128 \h </w:instrText>
      </w:r>
      <w:r>
        <w:rPr>
          <w:sz w:val="21"/>
          <w:szCs w:val="21"/>
        </w:rPr>
        <w:fldChar w:fldCharType="separate"/>
      </w:r>
      <w:r>
        <w:rPr>
          <w:sz w:val="21"/>
          <w:szCs w:val="21"/>
        </w:rPr>
        <w:t>13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_Toc7423 </w:instrText>
      </w:r>
      <w:r>
        <w:rPr>
          <w:rFonts w:eastAsia="宋体" w:cs="Times New Roman"/>
          <w:sz w:val="21"/>
          <w:szCs w:val="21"/>
        </w:rPr>
        <w:fldChar w:fldCharType="separate"/>
      </w:r>
      <w:r>
        <w:rPr>
          <w:rFonts w:hint="eastAsia" w:ascii="Times New Roman" w:hAnsi="Times New Roman" w:eastAsia="宋体" w:cs="Times New Roman"/>
          <w:bCs/>
          <w:sz w:val="21"/>
          <w:szCs w:val="21"/>
        </w:rPr>
        <w:t>6.2 电压等级</w:t>
      </w:r>
      <w:r>
        <w:rPr>
          <w:sz w:val="21"/>
          <w:szCs w:val="21"/>
        </w:rPr>
        <w:tab/>
      </w:r>
      <w:r>
        <w:rPr>
          <w:sz w:val="21"/>
          <w:szCs w:val="21"/>
        </w:rPr>
        <w:fldChar w:fldCharType="begin"/>
      </w:r>
      <w:r>
        <w:rPr>
          <w:sz w:val="21"/>
          <w:szCs w:val="21"/>
        </w:rPr>
        <w:instrText xml:space="preserve"> PAGEREF _Toc7423 \h </w:instrText>
      </w:r>
      <w:r>
        <w:rPr>
          <w:sz w:val="21"/>
          <w:szCs w:val="21"/>
        </w:rPr>
        <w:fldChar w:fldCharType="separate"/>
      </w:r>
      <w:r>
        <w:rPr>
          <w:sz w:val="21"/>
          <w:szCs w:val="21"/>
        </w:rPr>
        <w:t>13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_Toc28345 </w:instrText>
      </w:r>
      <w:r>
        <w:rPr>
          <w:rFonts w:eastAsia="宋体" w:cs="Times New Roman"/>
          <w:sz w:val="21"/>
          <w:szCs w:val="21"/>
        </w:rPr>
        <w:fldChar w:fldCharType="separate"/>
      </w:r>
      <w:r>
        <w:rPr>
          <w:rFonts w:hint="eastAsia" w:ascii="Times New Roman" w:hAnsi="Times New Roman" w:eastAsia="宋体" w:cs="Times New Roman"/>
          <w:bCs/>
          <w:sz w:val="21"/>
          <w:szCs w:val="21"/>
        </w:rPr>
        <w:t>6.3</w:t>
      </w:r>
      <w:r>
        <w:rPr>
          <w:rFonts w:ascii="Times New Roman" w:hAnsi="Times New Roman" w:cs="Times New Roman" w:eastAsiaTheme="majorEastAsia"/>
          <w:bCs/>
          <w:sz w:val="21"/>
          <w:szCs w:val="21"/>
        </w:rPr>
        <w:t xml:space="preserve"> 负荷需求分析</w:t>
      </w:r>
      <w:r>
        <w:rPr>
          <w:sz w:val="21"/>
          <w:szCs w:val="21"/>
        </w:rPr>
        <w:tab/>
      </w:r>
      <w:r>
        <w:rPr>
          <w:sz w:val="21"/>
          <w:szCs w:val="21"/>
        </w:rPr>
        <w:fldChar w:fldCharType="begin"/>
      </w:r>
      <w:r>
        <w:rPr>
          <w:sz w:val="21"/>
          <w:szCs w:val="21"/>
        </w:rPr>
        <w:instrText xml:space="preserve"> PAGEREF _Toc28345 \h </w:instrText>
      </w:r>
      <w:r>
        <w:rPr>
          <w:sz w:val="21"/>
          <w:szCs w:val="21"/>
        </w:rPr>
        <w:fldChar w:fldCharType="separate"/>
      </w:r>
      <w:r>
        <w:rPr>
          <w:sz w:val="21"/>
          <w:szCs w:val="21"/>
        </w:rPr>
        <w:t>13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_Toc810 </w:instrText>
      </w:r>
      <w:r>
        <w:rPr>
          <w:rFonts w:eastAsia="宋体" w:cs="Times New Roman"/>
          <w:sz w:val="21"/>
          <w:szCs w:val="21"/>
        </w:rPr>
        <w:fldChar w:fldCharType="separate"/>
      </w:r>
      <w:r>
        <w:rPr>
          <w:rFonts w:hint="eastAsia" w:ascii="Times New Roman" w:hAnsi="Times New Roman" w:eastAsia="宋体" w:cs="Times New Roman"/>
          <w:bCs/>
          <w:sz w:val="21"/>
          <w:szCs w:val="21"/>
        </w:rPr>
        <w:t>6.4</w:t>
      </w:r>
      <w:r>
        <w:rPr>
          <w:rFonts w:ascii="Times New Roman" w:hAnsi="Times New Roman" w:cs="Times New Roman" w:eastAsiaTheme="majorEastAsia"/>
          <w:bCs/>
          <w:sz w:val="21"/>
          <w:szCs w:val="21"/>
        </w:rPr>
        <w:t xml:space="preserve"> 系统架构</w:t>
      </w:r>
      <w:r>
        <w:rPr>
          <w:sz w:val="21"/>
          <w:szCs w:val="21"/>
        </w:rPr>
        <w:tab/>
      </w:r>
      <w:r>
        <w:rPr>
          <w:sz w:val="21"/>
          <w:szCs w:val="21"/>
        </w:rPr>
        <w:fldChar w:fldCharType="begin"/>
      </w:r>
      <w:r>
        <w:rPr>
          <w:sz w:val="21"/>
          <w:szCs w:val="21"/>
        </w:rPr>
        <w:instrText xml:space="preserve"> PAGEREF _Toc810 \h </w:instrText>
      </w:r>
      <w:r>
        <w:rPr>
          <w:sz w:val="21"/>
          <w:szCs w:val="21"/>
        </w:rPr>
        <w:fldChar w:fldCharType="separate"/>
      </w:r>
      <w:r>
        <w:rPr>
          <w:sz w:val="21"/>
          <w:szCs w:val="21"/>
        </w:rPr>
        <w:t>14</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_Toc19819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6</w:t>
      </w:r>
      <w:r>
        <w:rPr>
          <w:rFonts w:ascii="Times New Roman" w:hAnsi="Times New Roman" w:cs="Times New Roman" w:eastAsiaTheme="majorEastAsia"/>
          <w:bCs/>
          <w:sz w:val="21"/>
          <w:szCs w:val="21"/>
        </w:rPr>
        <w:t>.</w:t>
      </w:r>
      <w:r>
        <w:rPr>
          <w:rFonts w:hint="eastAsia" w:ascii="Times New Roman" w:hAnsi="Times New Roman" w:cs="Times New Roman" w:eastAsiaTheme="majorEastAsia"/>
          <w:bCs/>
          <w:sz w:val="21"/>
          <w:szCs w:val="21"/>
        </w:rPr>
        <w:t>5</w:t>
      </w:r>
      <w:r>
        <w:rPr>
          <w:rFonts w:ascii="Times New Roman" w:hAnsi="Times New Roman" w:cs="Times New Roman" w:eastAsiaTheme="majorEastAsia"/>
          <w:bCs/>
          <w:sz w:val="21"/>
          <w:szCs w:val="21"/>
        </w:rPr>
        <w:t xml:space="preserve"> </w:t>
      </w:r>
      <w:r>
        <w:rPr>
          <w:rFonts w:hint="eastAsia" w:ascii="Times New Roman" w:hAnsi="Times New Roman" w:cs="Times New Roman" w:eastAsiaTheme="majorEastAsia"/>
          <w:bCs/>
          <w:sz w:val="21"/>
          <w:szCs w:val="21"/>
        </w:rPr>
        <w:t>交/</w:t>
      </w:r>
      <w:r>
        <w:rPr>
          <w:rFonts w:ascii="Times New Roman" w:hAnsi="Times New Roman" w:cs="Times New Roman" w:eastAsiaTheme="majorEastAsia"/>
          <w:bCs/>
          <w:sz w:val="21"/>
          <w:szCs w:val="21"/>
        </w:rPr>
        <w:t>直流配电</w:t>
      </w:r>
      <w:r>
        <w:rPr>
          <w:sz w:val="21"/>
          <w:szCs w:val="21"/>
        </w:rPr>
        <w:tab/>
      </w:r>
      <w:r>
        <w:rPr>
          <w:sz w:val="21"/>
          <w:szCs w:val="21"/>
        </w:rPr>
        <w:fldChar w:fldCharType="begin"/>
      </w:r>
      <w:r>
        <w:rPr>
          <w:sz w:val="21"/>
          <w:szCs w:val="21"/>
        </w:rPr>
        <w:instrText xml:space="preserve"> PAGEREF _Toc19819 \h </w:instrText>
      </w:r>
      <w:r>
        <w:rPr>
          <w:sz w:val="21"/>
          <w:szCs w:val="21"/>
        </w:rPr>
        <w:fldChar w:fldCharType="separate"/>
      </w:r>
      <w:r>
        <w:rPr>
          <w:sz w:val="21"/>
          <w:szCs w:val="21"/>
        </w:rPr>
        <w:t>14</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_Toc10904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6.6 继电保护</w:t>
      </w:r>
      <w:r>
        <w:rPr>
          <w:sz w:val="21"/>
          <w:szCs w:val="21"/>
        </w:rPr>
        <w:tab/>
      </w:r>
      <w:r>
        <w:rPr>
          <w:sz w:val="21"/>
          <w:szCs w:val="21"/>
        </w:rPr>
        <w:fldChar w:fldCharType="begin"/>
      </w:r>
      <w:r>
        <w:rPr>
          <w:sz w:val="21"/>
          <w:szCs w:val="21"/>
        </w:rPr>
        <w:instrText xml:space="preserve"> PAGEREF _Toc10904 \h </w:instrText>
      </w:r>
      <w:r>
        <w:rPr>
          <w:sz w:val="21"/>
          <w:szCs w:val="21"/>
        </w:rPr>
        <w:fldChar w:fldCharType="separate"/>
      </w:r>
      <w:r>
        <w:rPr>
          <w:sz w:val="21"/>
          <w:szCs w:val="21"/>
        </w:rPr>
        <w:t>16</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_Toc10030 </w:instrText>
      </w:r>
      <w:r>
        <w:rPr>
          <w:rFonts w:eastAsia="宋体" w:cs="Times New Roman"/>
          <w:sz w:val="21"/>
          <w:szCs w:val="21"/>
        </w:rPr>
        <w:fldChar w:fldCharType="separate"/>
      </w:r>
      <w:r>
        <w:rPr>
          <w:rFonts w:cs="Times New Roman" w:eastAsiaTheme="majorEastAsia"/>
          <w:bCs/>
          <w:sz w:val="21"/>
          <w:szCs w:val="21"/>
        </w:rPr>
        <w:t xml:space="preserve">7 </w:t>
      </w:r>
      <w:r>
        <w:rPr>
          <w:rFonts w:hint="eastAsia" w:cs="Times New Roman" w:eastAsiaTheme="majorEastAsia"/>
          <w:bCs/>
          <w:sz w:val="21"/>
          <w:szCs w:val="21"/>
        </w:rPr>
        <w:t>柔性控制</w:t>
      </w:r>
      <w:r>
        <w:rPr>
          <w:sz w:val="21"/>
          <w:szCs w:val="21"/>
        </w:rPr>
        <w:tab/>
      </w:r>
      <w:r>
        <w:rPr>
          <w:sz w:val="21"/>
          <w:szCs w:val="21"/>
        </w:rPr>
        <w:fldChar w:fldCharType="begin"/>
      </w:r>
      <w:r>
        <w:rPr>
          <w:sz w:val="21"/>
          <w:szCs w:val="21"/>
        </w:rPr>
        <w:instrText xml:space="preserve"> PAGEREF _Toc10030 \h </w:instrText>
      </w:r>
      <w:r>
        <w:rPr>
          <w:sz w:val="21"/>
          <w:szCs w:val="21"/>
        </w:rPr>
        <w:fldChar w:fldCharType="separate"/>
      </w:r>
      <w:r>
        <w:rPr>
          <w:sz w:val="21"/>
          <w:szCs w:val="21"/>
        </w:rPr>
        <w:t>18</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_Toc23880 </w:instrText>
      </w:r>
      <w:r>
        <w:rPr>
          <w:rFonts w:eastAsia="宋体" w:cs="Times New Roman"/>
          <w:sz w:val="21"/>
          <w:szCs w:val="21"/>
        </w:rPr>
        <w:fldChar w:fldCharType="separate"/>
      </w:r>
      <w:r>
        <w:rPr>
          <w:rFonts w:ascii="Times New Roman" w:hAnsi="Times New Roman" w:cs="Times New Roman" w:eastAsiaTheme="majorEastAsia"/>
          <w:bCs/>
          <w:sz w:val="21"/>
          <w:szCs w:val="21"/>
        </w:rPr>
        <w:t xml:space="preserve">7.1 </w:t>
      </w:r>
      <w:r>
        <w:rPr>
          <w:rFonts w:hint="eastAsia" w:ascii="Times New Roman" w:hAnsi="Times New Roman" w:cs="Times New Roman" w:eastAsiaTheme="majorEastAsia"/>
          <w:bCs/>
          <w:sz w:val="21"/>
          <w:szCs w:val="21"/>
        </w:rPr>
        <w:t>一般规定</w:t>
      </w:r>
      <w:r>
        <w:rPr>
          <w:sz w:val="21"/>
          <w:szCs w:val="21"/>
        </w:rPr>
        <w:tab/>
      </w:r>
      <w:r>
        <w:rPr>
          <w:sz w:val="21"/>
          <w:szCs w:val="21"/>
        </w:rPr>
        <w:fldChar w:fldCharType="begin"/>
      </w:r>
      <w:r>
        <w:rPr>
          <w:sz w:val="21"/>
          <w:szCs w:val="21"/>
        </w:rPr>
        <w:instrText xml:space="preserve"> PAGEREF _Toc23880 \h </w:instrText>
      </w:r>
      <w:r>
        <w:rPr>
          <w:sz w:val="21"/>
          <w:szCs w:val="21"/>
        </w:rPr>
        <w:fldChar w:fldCharType="separate"/>
      </w:r>
      <w:r>
        <w:rPr>
          <w:sz w:val="21"/>
          <w:szCs w:val="21"/>
        </w:rPr>
        <w:t>18</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_Toc16088 </w:instrText>
      </w:r>
      <w:r>
        <w:rPr>
          <w:rFonts w:eastAsia="宋体" w:cs="Times New Roman"/>
          <w:sz w:val="21"/>
          <w:szCs w:val="21"/>
        </w:rPr>
        <w:fldChar w:fldCharType="separate"/>
      </w:r>
      <w:r>
        <w:rPr>
          <w:rFonts w:ascii="Times New Roman" w:hAnsi="Times New Roman" w:cs="Times New Roman" w:eastAsiaTheme="majorEastAsia"/>
          <w:bCs/>
          <w:sz w:val="21"/>
          <w:szCs w:val="21"/>
        </w:rPr>
        <w:t xml:space="preserve">7.2 </w:t>
      </w:r>
      <w:r>
        <w:rPr>
          <w:rFonts w:hint="eastAsia" w:ascii="Times New Roman" w:hAnsi="Times New Roman" w:cs="Times New Roman" w:eastAsiaTheme="majorEastAsia"/>
          <w:bCs/>
          <w:sz w:val="21"/>
          <w:szCs w:val="21"/>
        </w:rPr>
        <w:t>系统配置</w:t>
      </w:r>
      <w:r>
        <w:rPr>
          <w:sz w:val="21"/>
          <w:szCs w:val="21"/>
        </w:rPr>
        <w:tab/>
      </w:r>
      <w:r>
        <w:rPr>
          <w:sz w:val="21"/>
          <w:szCs w:val="21"/>
        </w:rPr>
        <w:fldChar w:fldCharType="begin"/>
      </w:r>
      <w:r>
        <w:rPr>
          <w:sz w:val="21"/>
          <w:szCs w:val="21"/>
        </w:rPr>
        <w:instrText xml:space="preserve"> PAGEREF _Toc16088 \h </w:instrText>
      </w:r>
      <w:r>
        <w:rPr>
          <w:sz w:val="21"/>
          <w:szCs w:val="21"/>
        </w:rPr>
        <w:fldChar w:fldCharType="separate"/>
      </w:r>
      <w:r>
        <w:rPr>
          <w:sz w:val="21"/>
          <w:szCs w:val="21"/>
        </w:rPr>
        <w:t>18</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_Toc14396 </w:instrText>
      </w:r>
      <w:r>
        <w:rPr>
          <w:rFonts w:eastAsia="宋体" w:cs="Times New Roman"/>
          <w:sz w:val="21"/>
          <w:szCs w:val="21"/>
        </w:rPr>
        <w:fldChar w:fldCharType="separate"/>
      </w:r>
      <w:r>
        <w:rPr>
          <w:rFonts w:ascii="Times New Roman" w:hAnsi="Times New Roman" w:cs="Times New Roman" w:eastAsiaTheme="majorEastAsia"/>
          <w:bCs/>
          <w:sz w:val="21"/>
          <w:szCs w:val="21"/>
        </w:rPr>
        <w:t xml:space="preserve">7.3 </w:t>
      </w:r>
      <w:r>
        <w:rPr>
          <w:rFonts w:hint="eastAsia" w:ascii="Times New Roman" w:hAnsi="Times New Roman" w:cs="Times New Roman" w:eastAsiaTheme="majorEastAsia"/>
          <w:bCs/>
          <w:sz w:val="21"/>
          <w:szCs w:val="21"/>
        </w:rPr>
        <w:t>系统功能</w:t>
      </w:r>
      <w:r>
        <w:rPr>
          <w:sz w:val="21"/>
          <w:szCs w:val="21"/>
        </w:rPr>
        <w:tab/>
      </w:r>
      <w:r>
        <w:rPr>
          <w:sz w:val="21"/>
          <w:szCs w:val="21"/>
        </w:rPr>
        <w:fldChar w:fldCharType="begin"/>
      </w:r>
      <w:r>
        <w:rPr>
          <w:sz w:val="21"/>
          <w:szCs w:val="21"/>
        </w:rPr>
        <w:instrText xml:space="preserve"> PAGEREF _Toc14396 \h </w:instrText>
      </w:r>
      <w:r>
        <w:rPr>
          <w:sz w:val="21"/>
          <w:szCs w:val="21"/>
        </w:rPr>
        <w:fldChar w:fldCharType="separate"/>
      </w:r>
      <w:r>
        <w:rPr>
          <w:sz w:val="21"/>
          <w:szCs w:val="21"/>
        </w:rPr>
        <w:t>18</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_Toc13509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7.4</w:t>
      </w:r>
      <w:r>
        <w:rPr>
          <w:rFonts w:ascii="Times New Roman" w:hAnsi="Times New Roman" w:cs="Times New Roman" w:eastAsiaTheme="majorEastAsia"/>
          <w:bCs/>
          <w:sz w:val="21"/>
          <w:szCs w:val="21"/>
        </w:rPr>
        <w:t>电动汽车充电</w:t>
      </w:r>
      <w:r>
        <w:rPr>
          <w:rFonts w:hint="eastAsia" w:ascii="Times New Roman" w:hAnsi="Times New Roman" w:cs="Times New Roman" w:eastAsiaTheme="majorEastAsia"/>
          <w:bCs/>
          <w:sz w:val="21"/>
          <w:szCs w:val="21"/>
        </w:rPr>
        <w:t>桩</w:t>
      </w:r>
      <w:r>
        <w:rPr>
          <w:sz w:val="21"/>
          <w:szCs w:val="21"/>
        </w:rPr>
        <w:tab/>
      </w:r>
      <w:r>
        <w:rPr>
          <w:sz w:val="21"/>
          <w:szCs w:val="21"/>
        </w:rPr>
        <w:fldChar w:fldCharType="begin"/>
      </w:r>
      <w:r>
        <w:rPr>
          <w:sz w:val="21"/>
          <w:szCs w:val="21"/>
        </w:rPr>
        <w:instrText xml:space="preserve"> PAGEREF _Toc13509 \h </w:instrText>
      </w:r>
      <w:r>
        <w:rPr>
          <w:sz w:val="21"/>
          <w:szCs w:val="21"/>
        </w:rPr>
        <w:fldChar w:fldCharType="separate"/>
      </w:r>
      <w:r>
        <w:rPr>
          <w:sz w:val="21"/>
          <w:szCs w:val="21"/>
        </w:rPr>
        <w:t>19</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_Toc31806 </w:instrText>
      </w:r>
      <w:r>
        <w:rPr>
          <w:rFonts w:eastAsia="宋体" w:cs="Times New Roman"/>
          <w:sz w:val="21"/>
          <w:szCs w:val="21"/>
        </w:rPr>
        <w:fldChar w:fldCharType="separate"/>
      </w:r>
      <w:r>
        <w:rPr>
          <w:rFonts w:cs="Times New Roman"/>
          <w:bCs/>
          <w:sz w:val="21"/>
          <w:szCs w:val="21"/>
        </w:rPr>
        <w:t>8</w:t>
      </w:r>
      <w:r>
        <w:rPr>
          <w:rFonts w:hint="eastAsia" w:cs="Times New Roman"/>
          <w:bCs/>
          <w:sz w:val="21"/>
          <w:szCs w:val="21"/>
        </w:rPr>
        <w:t xml:space="preserve"> 通信及</w:t>
      </w:r>
      <w:r>
        <w:rPr>
          <w:rFonts w:cs="Times New Roman"/>
          <w:bCs/>
          <w:sz w:val="21"/>
          <w:szCs w:val="21"/>
        </w:rPr>
        <w:t>数字化</w:t>
      </w:r>
      <w:r>
        <w:rPr>
          <w:sz w:val="21"/>
          <w:szCs w:val="21"/>
        </w:rPr>
        <w:tab/>
      </w:r>
      <w:r>
        <w:rPr>
          <w:sz w:val="21"/>
          <w:szCs w:val="21"/>
        </w:rPr>
        <w:fldChar w:fldCharType="begin"/>
      </w:r>
      <w:r>
        <w:rPr>
          <w:sz w:val="21"/>
          <w:szCs w:val="21"/>
        </w:rPr>
        <w:instrText xml:space="preserve"> PAGEREF _Toc31806 \h </w:instrText>
      </w:r>
      <w:r>
        <w:rPr>
          <w:sz w:val="21"/>
          <w:szCs w:val="21"/>
        </w:rPr>
        <w:fldChar w:fldCharType="separate"/>
      </w:r>
      <w:r>
        <w:rPr>
          <w:sz w:val="21"/>
          <w:szCs w:val="21"/>
        </w:rPr>
        <w:t>21</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_Toc18696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8</w:t>
      </w:r>
      <w:r>
        <w:rPr>
          <w:rFonts w:ascii="Times New Roman" w:hAnsi="Times New Roman" w:cs="Times New Roman" w:eastAsiaTheme="majorEastAsia"/>
          <w:bCs/>
          <w:sz w:val="21"/>
          <w:szCs w:val="21"/>
        </w:rPr>
        <w:t>.1</w:t>
      </w:r>
      <w:r>
        <w:rPr>
          <w:rFonts w:hint="eastAsia" w:ascii="Times New Roman" w:hAnsi="Times New Roman" w:cs="Times New Roman" w:eastAsiaTheme="majorEastAsia"/>
          <w:bCs/>
          <w:sz w:val="21"/>
          <w:szCs w:val="21"/>
        </w:rPr>
        <w:t>通信</w:t>
      </w:r>
      <w:r>
        <w:rPr>
          <w:sz w:val="21"/>
          <w:szCs w:val="21"/>
        </w:rPr>
        <w:tab/>
      </w:r>
      <w:r>
        <w:rPr>
          <w:sz w:val="21"/>
          <w:szCs w:val="21"/>
        </w:rPr>
        <w:fldChar w:fldCharType="begin"/>
      </w:r>
      <w:r>
        <w:rPr>
          <w:sz w:val="21"/>
          <w:szCs w:val="21"/>
        </w:rPr>
        <w:instrText xml:space="preserve"> PAGEREF _Toc18696 \h </w:instrText>
      </w:r>
      <w:r>
        <w:rPr>
          <w:sz w:val="21"/>
          <w:szCs w:val="21"/>
        </w:rPr>
        <w:fldChar w:fldCharType="separate"/>
      </w:r>
      <w:r>
        <w:rPr>
          <w:sz w:val="21"/>
          <w:szCs w:val="21"/>
        </w:rPr>
        <w:t>21</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_Toc10683 </w:instrText>
      </w:r>
      <w:r>
        <w:rPr>
          <w:rFonts w:eastAsia="宋体" w:cs="Times New Roman"/>
          <w:sz w:val="21"/>
          <w:szCs w:val="21"/>
        </w:rPr>
        <w:fldChar w:fldCharType="separate"/>
      </w:r>
      <w:r>
        <w:rPr>
          <w:rFonts w:ascii="Times New Roman" w:hAnsi="Times New Roman" w:cs="Times New Roman" w:eastAsiaTheme="majorEastAsia"/>
          <w:bCs/>
          <w:sz w:val="21"/>
          <w:szCs w:val="21"/>
        </w:rPr>
        <w:t>8.</w:t>
      </w:r>
      <w:r>
        <w:rPr>
          <w:rFonts w:hint="eastAsia" w:ascii="Times New Roman" w:hAnsi="Times New Roman" w:cs="Times New Roman" w:eastAsiaTheme="majorEastAsia"/>
          <w:bCs/>
          <w:sz w:val="21"/>
          <w:szCs w:val="21"/>
        </w:rPr>
        <w:t>2数字化</w:t>
      </w:r>
      <w:r>
        <w:rPr>
          <w:sz w:val="21"/>
          <w:szCs w:val="21"/>
        </w:rPr>
        <w:tab/>
      </w:r>
      <w:r>
        <w:rPr>
          <w:sz w:val="21"/>
          <w:szCs w:val="21"/>
        </w:rPr>
        <w:fldChar w:fldCharType="begin"/>
      </w:r>
      <w:r>
        <w:rPr>
          <w:sz w:val="21"/>
          <w:szCs w:val="21"/>
        </w:rPr>
        <w:instrText xml:space="preserve"> PAGEREF _Toc10683 \h </w:instrText>
      </w:r>
      <w:r>
        <w:rPr>
          <w:sz w:val="21"/>
          <w:szCs w:val="21"/>
        </w:rPr>
        <w:fldChar w:fldCharType="separate"/>
      </w:r>
      <w:r>
        <w:rPr>
          <w:sz w:val="21"/>
          <w:szCs w:val="21"/>
        </w:rPr>
        <w:t>21</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_Toc24668 </w:instrText>
      </w:r>
      <w:r>
        <w:rPr>
          <w:rFonts w:eastAsia="宋体" w:cs="Times New Roman"/>
          <w:sz w:val="21"/>
          <w:szCs w:val="21"/>
        </w:rPr>
        <w:fldChar w:fldCharType="separate"/>
      </w:r>
      <w:r>
        <w:rPr>
          <w:rFonts w:hint="eastAsia" w:cs="Times New Roman"/>
          <w:bCs/>
          <w:sz w:val="21"/>
          <w:szCs w:val="21"/>
        </w:rPr>
        <w:t>9</w:t>
      </w:r>
      <w:r>
        <w:rPr>
          <w:rFonts w:cs="Times New Roman"/>
          <w:bCs/>
          <w:sz w:val="21"/>
          <w:szCs w:val="21"/>
        </w:rPr>
        <w:t xml:space="preserve"> 其他专业</w:t>
      </w:r>
      <w:r>
        <w:rPr>
          <w:sz w:val="21"/>
          <w:szCs w:val="21"/>
        </w:rPr>
        <w:tab/>
      </w:r>
      <w:r>
        <w:rPr>
          <w:sz w:val="21"/>
          <w:szCs w:val="21"/>
        </w:rPr>
        <w:fldChar w:fldCharType="begin"/>
      </w:r>
      <w:r>
        <w:rPr>
          <w:sz w:val="21"/>
          <w:szCs w:val="21"/>
        </w:rPr>
        <w:instrText xml:space="preserve"> PAGEREF _Toc24668 \h </w:instrText>
      </w:r>
      <w:r>
        <w:rPr>
          <w:sz w:val="21"/>
          <w:szCs w:val="21"/>
        </w:rPr>
        <w:fldChar w:fldCharType="separate"/>
      </w:r>
      <w:r>
        <w:rPr>
          <w:sz w:val="21"/>
          <w:szCs w:val="21"/>
        </w:rPr>
        <w:t>23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_Toc26754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9</w:t>
      </w:r>
      <w:r>
        <w:rPr>
          <w:rFonts w:ascii="Times New Roman" w:hAnsi="Times New Roman" w:cs="Times New Roman" w:eastAsiaTheme="majorEastAsia"/>
          <w:bCs/>
          <w:sz w:val="21"/>
          <w:szCs w:val="21"/>
        </w:rPr>
        <w:t>.1一般规定</w:t>
      </w:r>
      <w:r>
        <w:rPr>
          <w:sz w:val="21"/>
          <w:szCs w:val="21"/>
        </w:rPr>
        <w:tab/>
      </w:r>
      <w:r>
        <w:rPr>
          <w:sz w:val="21"/>
          <w:szCs w:val="21"/>
        </w:rPr>
        <w:fldChar w:fldCharType="begin"/>
      </w:r>
      <w:r>
        <w:rPr>
          <w:sz w:val="21"/>
          <w:szCs w:val="21"/>
        </w:rPr>
        <w:instrText xml:space="preserve"> PAGEREF _Toc26754 \h </w:instrText>
      </w:r>
      <w:r>
        <w:rPr>
          <w:sz w:val="21"/>
          <w:szCs w:val="21"/>
        </w:rPr>
        <w:fldChar w:fldCharType="separate"/>
      </w:r>
      <w:r>
        <w:rPr>
          <w:sz w:val="21"/>
          <w:szCs w:val="21"/>
        </w:rPr>
        <w:t>23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_Toc26981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9</w:t>
      </w:r>
      <w:r>
        <w:rPr>
          <w:rFonts w:ascii="Times New Roman" w:hAnsi="Times New Roman" w:cs="Times New Roman" w:eastAsiaTheme="majorEastAsia"/>
          <w:bCs/>
          <w:sz w:val="21"/>
          <w:szCs w:val="21"/>
        </w:rPr>
        <w:t>.</w:t>
      </w:r>
      <w:r>
        <w:rPr>
          <w:rFonts w:hint="eastAsia" w:ascii="Times New Roman" w:hAnsi="Times New Roman" w:cs="Times New Roman" w:eastAsiaTheme="majorEastAsia"/>
          <w:bCs/>
          <w:sz w:val="21"/>
          <w:szCs w:val="21"/>
        </w:rPr>
        <w:t>2消防与</w:t>
      </w:r>
      <w:r>
        <w:rPr>
          <w:rFonts w:ascii="Times New Roman" w:hAnsi="Times New Roman" w:cs="Times New Roman" w:eastAsiaTheme="majorEastAsia"/>
          <w:bCs/>
          <w:sz w:val="21"/>
          <w:szCs w:val="21"/>
        </w:rPr>
        <w:t>安全</w:t>
      </w:r>
      <w:r>
        <w:rPr>
          <w:sz w:val="21"/>
          <w:szCs w:val="21"/>
        </w:rPr>
        <w:tab/>
      </w:r>
      <w:r>
        <w:rPr>
          <w:sz w:val="21"/>
          <w:szCs w:val="21"/>
        </w:rPr>
        <w:fldChar w:fldCharType="begin"/>
      </w:r>
      <w:r>
        <w:rPr>
          <w:sz w:val="21"/>
          <w:szCs w:val="21"/>
        </w:rPr>
        <w:instrText xml:space="preserve"> PAGEREF _Toc26981 \h </w:instrText>
      </w:r>
      <w:r>
        <w:rPr>
          <w:sz w:val="21"/>
          <w:szCs w:val="21"/>
        </w:rPr>
        <w:fldChar w:fldCharType="separate"/>
      </w:r>
      <w:r>
        <w:rPr>
          <w:sz w:val="21"/>
          <w:szCs w:val="21"/>
        </w:rPr>
        <w:t>23</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_Toc616 </w:instrText>
      </w:r>
      <w:r>
        <w:rPr>
          <w:rFonts w:eastAsia="宋体" w:cs="Times New Roman"/>
          <w:sz w:val="21"/>
          <w:szCs w:val="21"/>
        </w:rPr>
        <w:fldChar w:fldCharType="separate"/>
      </w:r>
      <w:r>
        <w:rPr>
          <w:rFonts w:hint="eastAsia" w:ascii="Times New Roman" w:hAnsi="Times New Roman" w:cs="Times New Roman" w:eastAsiaTheme="majorEastAsia"/>
          <w:bCs/>
          <w:sz w:val="21"/>
          <w:szCs w:val="21"/>
        </w:rPr>
        <w:t>9.3防雷与接地</w:t>
      </w:r>
      <w:r>
        <w:rPr>
          <w:sz w:val="21"/>
          <w:szCs w:val="21"/>
        </w:rPr>
        <w:tab/>
      </w:r>
      <w:r>
        <w:rPr>
          <w:sz w:val="21"/>
          <w:szCs w:val="21"/>
        </w:rPr>
        <w:fldChar w:fldCharType="begin"/>
      </w:r>
      <w:r>
        <w:rPr>
          <w:sz w:val="21"/>
          <w:szCs w:val="21"/>
        </w:rPr>
        <w:instrText xml:space="preserve"> PAGEREF _Toc616 \h </w:instrText>
      </w:r>
      <w:r>
        <w:rPr>
          <w:sz w:val="21"/>
          <w:szCs w:val="21"/>
        </w:rPr>
        <w:fldChar w:fldCharType="separate"/>
      </w:r>
      <w:r>
        <w:rPr>
          <w:sz w:val="21"/>
          <w:szCs w:val="21"/>
        </w:rPr>
        <w:t>24</w:t>
      </w:r>
      <w:r>
        <w:rPr>
          <w:sz w:val="21"/>
          <w:szCs w:val="21"/>
        </w:rPr>
        <w:fldChar w:fldCharType="end"/>
      </w:r>
      <w:r>
        <w:rPr>
          <w:rFonts w:eastAsia="宋体" w:cs="Times New Roman"/>
          <w:color w:val="000000" w:themeColor="text1"/>
          <w:sz w:val="21"/>
          <w:szCs w:val="21"/>
        </w:rPr>
        <w:fldChar w:fldCharType="end"/>
      </w:r>
    </w:p>
    <w:p>
      <w:pPr>
        <w:pStyle w:val="13"/>
        <w:tabs>
          <w:tab w:val="right" w:leader="dot" w:pos="8306"/>
        </w:tabs>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_Toc27976 </w:instrText>
      </w:r>
      <w:r>
        <w:rPr>
          <w:rFonts w:eastAsia="宋体" w:cs="Times New Roman"/>
          <w:sz w:val="21"/>
          <w:szCs w:val="21"/>
        </w:rPr>
        <w:fldChar w:fldCharType="separate"/>
      </w:r>
      <w:r>
        <w:rPr>
          <w:rFonts w:hint="eastAsia" w:asciiTheme="majorEastAsia" w:hAnsiTheme="majorEastAsia" w:eastAsiaTheme="majorEastAsia" w:cstheme="majorEastAsia"/>
          <w:bCs/>
          <w:sz w:val="21"/>
          <w:szCs w:val="21"/>
        </w:rPr>
        <w:t>用词说明</w:t>
      </w:r>
      <w:r>
        <w:rPr>
          <w:sz w:val="21"/>
          <w:szCs w:val="21"/>
        </w:rPr>
        <w:tab/>
      </w:r>
      <w:r>
        <w:rPr>
          <w:sz w:val="21"/>
          <w:szCs w:val="21"/>
        </w:rPr>
        <w:fldChar w:fldCharType="begin"/>
      </w:r>
      <w:r>
        <w:rPr>
          <w:sz w:val="21"/>
          <w:szCs w:val="21"/>
        </w:rPr>
        <w:instrText xml:space="preserve"> PAGEREF _Toc27976 \h </w:instrText>
      </w:r>
      <w:r>
        <w:rPr>
          <w:sz w:val="21"/>
          <w:szCs w:val="21"/>
        </w:rPr>
        <w:fldChar w:fldCharType="separate"/>
      </w:r>
      <w:r>
        <w:rPr>
          <w:sz w:val="21"/>
          <w:szCs w:val="21"/>
        </w:rPr>
        <w:t>26</w:t>
      </w:r>
      <w:r>
        <w:rPr>
          <w:sz w:val="21"/>
          <w:szCs w:val="21"/>
        </w:rPr>
        <w:fldChar w:fldCharType="end"/>
      </w:r>
      <w:r>
        <w:rPr>
          <w:rFonts w:eastAsia="宋体" w:cs="Times New Roman"/>
          <w:color w:val="000000" w:themeColor="text1"/>
          <w:sz w:val="21"/>
          <w:szCs w:val="21"/>
        </w:rPr>
        <w:fldChar w:fldCharType="end"/>
      </w:r>
    </w:p>
    <w:p>
      <w:pPr>
        <w:pStyle w:val="15"/>
        <w:tabs>
          <w:tab w:val="right" w:leader="dot" w:pos="8306"/>
        </w:tabs>
        <w:ind w:left="560"/>
        <w:rPr>
          <w:sz w:val="21"/>
          <w:szCs w:val="21"/>
        </w:rPr>
      </w:pPr>
      <w:r>
        <w:rPr>
          <w:rFonts w:eastAsia="宋体" w:cs="Times New Roman"/>
          <w:color w:val="000000" w:themeColor="text1"/>
          <w:sz w:val="21"/>
          <w:szCs w:val="21"/>
        </w:rPr>
        <w:fldChar w:fldCharType="begin"/>
      </w:r>
      <w:r>
        <w:rPr>
          <w:rFonts w:eastAsia="宋体" w:cs="Times New Roman"/>
          <w:sz w:val="21"/>
          <w:szCs w:val="21"/>
        </w:rPr>
        <w:instrText xml:space="preserve"> HYPERLINK \l _Toc12320 </w:instrText>
      </w:r>
      <w:r>
        <w:rPr>
          <w:rFonts w:eastAsia="宋体" w:cs="Times New Roman"/>
          <w:sz w:val="21"/>
          <w:szCs w:val="21"/>
        </w:rPr>
        <w:fldChar w:fldCharType="separate"/>
      </w:r>
      <w:r>
        <w:rPr>
          <w:rFonts w:hint="eastAsia" w:ascii="宋体" w:hAnsi="宋体" w:eastAsia="宋体" w:cs="宋体"/>
          <w:bCs/>
          <w:sz w:val="21"/>
          <w:szCs w:val="21"/>
        </w:rPr>
        <w:t>引用标准名录</w:t>
      </w:r>
      <w:r>
        <w:rPr>
          <w:sz w:val="21"/>
          <w:szCs w:val="21"/>
        </w:rPr>
        <w:tab/>
      </w:r>
      <w:r>
        <w:rPr>
          <w:sz w:val="21"/>
          <w:szCs w:val="21"/>
        </w:rPr>
        <w:fldChar w:fldCharType="begin"/>
      </w:r>
      <w:r>
        <w:rPr>
          <w:sz w:val="21"/>
          <w:szCs w:val="21"/>
        </w:rPr>
        <w:instrText xml:space="preserve"> PAGEREF _Toc12320 \h </w:instrText>
      </w:r>
      <w:r>
        <w:rPr>
          <w:sz w:val="21"/>
          <w:szCs w:val="21"/>
        </w:rPr>
        <w:fldChar w:fldCharType="separate"/>
      </w:r>
      <w:r>
        <w:rPr>
          <w:sz w:val="21"/>
          <w:szCs w:val="21"/>
        </w:rPr>
        <w:t>27</w:t>
      </w:r>
      <w:r>
        <w:rPr>
          <w:sz w:val="21"/>
          <w:szCs w:val="21"/>
        </w:rPr>
        <w:fldChar w:fldCharType="end"/>
      </w:r>
      <w:r>
        <w:rPr>
          <w:rFonts w:eastAsia="宋体" w:cs="Times New Roman"/>
          <w:color w:val="000000" w:themeColor="text1"/>
          <w:sz w:val="21"/>
          <w:szCs w:val="21"/>
        </w:rPr>
        <w:fldChar w:fldCharType="end"/>
      </w:r>
    </w:p>
    <w:p>
      <w:pPr>
        <w:pStyle w:val="2"/>
        <w:keepNext w:val="0"/>
        <w:keepLines w:val="0"/>
        <w:spacing w:beforeLines="50" w:afterLines="50" w:line="240" w:lineRule="auto"/>
        <w:rPr>
          <w:rFonts w:cs="Times New Roman"/>
          <w:bCs/>
          <w:color w:val="000000" w:themeColor="text1"/>
          <w:sz w:val="30"/>
          <w:szCs w:val="30"/>
        </w:rPr>
        <w:sectPr>
          <w:footerReference r:id="rId5" w:type="default"/>
          <w:pgSz w:w="11906" w:h="16838"/>
          <w:pgMar w:top="1440" w:right="1800" w:bottom="1440" w:left="1800" w:header="851" w:footer="992" w:gutter="0"/>
          <w:pgNumType w:start="1"/>
          <w:cols w:space="425" w:num="1"/>
          <w:docGrid w:type="lines" w:linePitch="312" w:charSpace="0"/>
        </w:sectPr>
      </w:pPr>
      <w:r>
        <w:rPr>
          <w:rFonts w:eastAsia="宋体" w:cs="Times New Roman"/>
          <w:color w:val="000000" w:themeColor="text1"/>
          <w:kern w:val="2"/>
          <w:sz w:val="21"/>
          <w:szCs w:val="21"/>
        </w:rPr>
        <w:fldChar w:fldCharType="end"/>
      </w:r>
    </w:p>
    <w:p>
      <w:pPr>
        <w:pStyle w:val="2"/>
      </w:pPr>
      <w:bookmarkStart w:id="36" w:name="_Toc13827"/>
      <w:bookmarkStart w:id="37" w:name="_Toc8362"/>
      <w:bookmarkStart w:id="38" w:name="_Toc1334"/>
      <w:r>
        <w:t>1 总  则</w:t>
      </w:r>
      <w:bookmarkEnd w:id="0"/>
      <w:bookmarkEnd w:id="1"/>
      <w:bookmarkEnd w:id="2"/>
      <w:bookmarkEnd w:id="3"/>
      <w:bookmarkEnd w:id="4"/>
      <w:bookmarkEnd w:id="36"/>
      <w:bookmarkEnd w:id="37"/>
      <w:bookmarkEnd w:id="38"/>
    </w:p>
    <w:bookmarkEnd w:id="5"/>
    <w:bookmarkEnd w:id="6"/>
    <w:bookmarkEnd w:id="7"/>
    <w:p>
      <w:pPr>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1.0.1</w:t>
      </w:r>
      <w:r>
        <w:rPr>
          <w:rFonts w:ascii="Times New Roman" w:hAnsi="Times New Roman" w:eastAsia="宋体" w:cs="Times New Roman"/>
          <w:b/>
          <w:bCs/>
          <w:color w:val="000000" w:themeColor="text1"/>
          <w:sz w:val="24"/>
          <w:szCs w:val="21"/>
        </w:rPr>
        <w:t xml:space="preserve"> </w:t>
      </w:r>
      <w:r>
        <w:rPr>
          <w:rFonts w:ascii="Times New Roman" w:hAnsi="Times New Roman" w:cs="Times New Roman" w:eastAsiaTheme="minorEastAsia"/>
          <w:color w:val="000000" w:themeColor="text1"/>
          <w:sz w:val="21"/>
          <w:szCs w:val="21"/>
        </w:rPr>
        <w:t>为贯彻落实国家双碳战略，优化建筑用能结构，提高建筑可再生能源的生产和消纳能力，规范</w:t>
      </w:r>
      <w:r>
        <w:rPr>
          <w:rFonts w:hint="eastAsia" w:ascii="Times New Roman" w:hAnsi="Times New Roman" w:cs="Times New Roman" w:eastAsiaTheme="minorEastAsia"/>
          <w:color w:val="000000" w:themeColor="text1"/>
          <w:sz w:val="21"/>
          <w:szCs w:val="21"/>
        </w:rPr>
        <w:t>我省</w:t>
      </w:r>
      <w:r>
        <w:rPr>
          <w:rFonts w:ascii="Times New Roman" w:hAnsi="Times New Roman" w:cs="Times New Roman" w:eastAsiaTheme="minorEastAsia"/>
          <w:color w:val="000000" w:themeColor="text1"/>
          <w:sz w:val="21"/>
          <w:szCs w:val="21"/>
        </w:rPr>
        <w:t>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设计，制定本标准。</w:t>
      </w:r>
    </w:p>
    <w:p>
      <w:pPr>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1.0.</w:t>
      </w:r>
      <w:r>
        <w:rPr>
          <w:rFonts w:hint="eastAsia" w:ascii="Times New Roman" w:hAnsi="Times New Roman" w:cs="Times New Roman" w:eastAsiaTheme="minorEastAsia"/>
          <w:color w:val="000000" w:themeColor="text1"/>
          <w:sz w:val="21"/>
          <w:szCs w:val="21"/>
        </w:rPr>
        <w:t xml:space="preserve">2 </w:t>
      </w:r>
      <w:r>
        <w:rPr>
          <w:rFonts w:ascii="Times New Roman" w:hAnsi="Times New Roman" w:cs="Times New Roman" w:eastAsiaTheme="minorEastAsia"/>
          <w:color w:val="000000" w:themeColor="text1"/>
          <w:sz w:val="21"/>
          <w:szCs w:val="21"/>
        </w:rPr>
        <w:t>建筑光储直柔</w:t>
      </w:r>
      <w:r>
        <w:rPr>
          <w:rFonts w:hint="eastAsia" w:ascii="Times New Roman" w:hAnsi="Times New Roman" w:cs="Times New Roman" w:eastAsiaTheme="minorEastAsia"/>
          <w:color w:val="000000" w:themeColor="text1"/>
          <w:sz w:val="21"/>
          <w:szCs w:val="21"/>
        </w:rPr>
        <w:t>电气系统的设计应满足环境保护相关标准的要求，确保生态环境安全</w:t>
      </w:r>
      <w:r>
        <w:rPr>
          <w:rFonts w:ascii="Times New Roman" w:hAnsi="Times New Roman" w:cs="Times New Roman" w:eastAsiaTheme="minorEastAsia"/>
          <w:color w:val="000000" w:themeColor="text1"/>
          <w:sz w:val="21"/>
          <w:szCs w:val="21"/>
        </w:rPr>
        <w:t>。</w:t>
      </w:r>
    </w:p>
    <w:p>
      <w:pPr>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1.0.</w:t>
      </w:r>
      <w:r>
        <w:rPr>
          <w:rFonts w:hint="eastAsia" w:ascii="Times New Roman" w:hAnsi="Times New Roman" w:cs="Times New Roman" w:eastAsiaTheme="minorEastAsia"/>
          <w:color w:val="000000" w:themeColor="text1"/>
          <w:sz w:val="21"/>
          <w:szCs w:val="21"/>
        </w:rPr>
        <w:t xml:space="preserve">3 </w:t>
      </w:r>
      <w:r>
        <w:rPr>
          <w:rFonts w:ascii="Times New Roman" w:hAnsi="Times New Roman" w:cs="Times New Roman" w:eastAsiaTheme="minorEastAsia"/>
          <w:color w:val="000000" w:themeColor="text1"/>
          <w:sz w:val="21"/>
          <w:szCs w:val="21"/>
        </w:rPr>
        <w:t>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的设计应以建筑绿色低碳发展为目标，适应</w:t>
      </w:r>
      <w:r>
        <w:rPr>
          <w:rFonts w:hint="eastAsia" w:ascii="Times New Roman" w:hAnsi="Times New Roman" w:cs="Times New Roman" w:eastAsiaTheme="minorEastAsia"/>
          <w:color w:val="000000" w:themeColor="text1"/>
          <w:sz w:val="21"/>
          <w:szCs w:val="21"/>
        </w:rPr>
        <w:t>建筑</w:t>
      </w:r>
      <w:r>
        <w:rPr>
          <w:rFonts w:ascii="Times New Roman" w:hAnsi="Times New Roman" w:cs="Times New Roman" w:eastAsiaTheme="minorEastAsia"/>
          <w:color w:val="000000" w:themeColor="text1"/>
          <w:sz w:val="21"/>
          <w:szCs w:val="21"/>
        </w:rPr>
        <w:t>光伏</w:t>
      </w:r>
      <w:r>
        <w:rPr>
          <w:rFonts w:hint="eastAsia" w:ascii="Times New Roman" w:hAnsi="Times New Roman" w:cs="Times New Roman" w:eastAsiaTheme="minorEastAsia"/>
          <w:color w:val="000000" w:themeColor="text1"/>
          <w:sz w:val="21"/>
          <w:szCs w:val="21"/>
        </w:rPr>
        <w:t>、建筑储能、电动汽车的</w:t>
      </w:r>
      <w:r>
        <w:rPr>
          <w:rFonts w:ascii="Times New Roman" w:hAnsi="Times New Roman" w:cs="Times New Roman" w:eastAsiaTheme="minorEastAsia"/>
          <w:color w:val="000000" w:themeColor="text1"/>
          <w:sz w:val="21"/>
          <w:szCs w:val="21"/>
        </w:rPr>
        <w:t>合理接入，使建筑供配电系统</w:t>
      </w:r>
      <w:r>
        <w:rPr>
          <w:rFonts w:hint="eastAsia" w:ascii="Times New Roman" w:hAnsi="Times New Roman" w:cs="Times New Roman" w:eastAsiaTheme="minorEastAsia"/>
          <w:color w:val="000000" w:themeColor="text1"/>
          <w:sz w:val="21"/>
          <w:szCs w:val="21"/>
        </w:rPr>
        <w:t>安全、高效、智能、灵活</w:t>
      </w:r>
      <w:r>
        <w:rPr>
          <w:rFonts w:ascii="Times New Roman" w:hAnsi="Times New Roman" w:cs="Times New Roman" w:eastAsiaTheme="minorEastAsia"/>
          <w:color w:val="000000" w:themeColor="text1"/>
          <w:sz w:val="21"/>
          <w:szCs w:val="21"/>
        </w:rPr>
        <w:t>。</w:t>
      </w:r>
    </w:p>
    <w:p>
      <w:pPr>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1.0.</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建筑</w:t>
      </w:r>
      <w:r>
        <w:rPr>
          <w:rFonts w:hint="eastAsia" w:ascii="Times New Roman" w:hAnsi="Times New Roman" w:cs="Times New Roman" w:eastAsiaTheme="minorEastAsia"/>
          <w:color w:val="000000" w:themeColor="text1"/>
          <w:sz w:val="21"/>
          <w:szCs w:val="21"/>
        </w:rPr>
        <w:t>光储直柔电气系统的设计应选择符合国家现行标准的产品，亦可釆用具有国际先进水平且满足系统需求的产品，严禁使用国家淘汰产品。</w:t>
      </w:r>
    </w:p>
    <w:p>
      <w:pPr>
        <w:spacing w:line="360" w:lineRule="auto"/>
        <w:jc w:val="left"/>
        <w:rPr>
          <w:rFonts w:ascii="Times New Roman" w:hAnsi="Times New Roman" w:cs="Times New Roman"/>
          <w:color w:val="000000" w:themeColor="text1"/>
          <w:sz w:val="24"/>
        </w:rPr>
      </w:pPr>
      <w:r>
        <w:rPr>
          <w:rFonts w:ascii="Times New Roman" w:hAnsi="Times New Roman" w:cs="Times New Roman" w:eastAsiaTheme="minorEastAsia"/>
          <w:color w:val="000000" w:themeColor="text1"/>
          <w:sz w:val="21"/>
          <w:szCs w:val="21"/>
        </w:rPr>
        <w:t>1.0.</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 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设计除应符合本标准外，尚应符合国家现行有关标准的规定。</w:t>
      </w:r>
    </w:p>
    <w:p>
      <w:pPr>
        <w:spacing w:line="360" w:lineRule="auto"/>
        <w:rPr>
          <w:rFonts w:ascii="Times New Roman" w:hAnsi="Times New Roman" w:eastAsia="宋体" w:cs="Times New Roman"/>
          <w:color w:val="000000" w:themeColor="text1"/>
          <w:sz w:val="21"/>
          <w:szCs w:val="21"/>
        </w:rPr>
      </w:pPr>
      <w:r>
        <w:rPr>
          <w:rFonts w:ascii="Times New Roman" w:hAnsi="Times New Roman" w:eastAsia="宋体" w:cs="Times New Roman"/>
          <w:color w:val="000000" w:themeColor="text1"/>
          <w:sz w:val="21"/>
          <w:szCs w:val="21"/>
        </w:rPr>
        <w:br w:type="page"/>
      </w:r>
    </w:p>
    <w:p>
      <w:pPr>
        <w:pStyle w:val="2"/>
      </w:pPr>
      <w:bookmarkStart w:id="39" w:name="_Toc18176"/>
      <w:bookmarkStart w:id="40" w:name="_Toc3176"/>
      <w:bookmarkStart w:id="41" w:name="_Toc14958"/>
      <w:bookmarkStart w:id="42" w:name="_Toc9934"/>
      <w:bookmarkStart w:id="43" w:name="_Toc184275272"/>
      <w:bookmarkStart w:id="44" w:name="_Toc30496"/>
      <w:r>
        <w:t>2 术语</w:t>
      </w:r>
      <w:bookmarkEnd w:id="39"/>
      <w:bookmarkEnd w:id="40"/>
      <w:bookmarkEnd w:id="41"/>
      <w:bookmarkEnd w:id="42"/>
      <w:bookmarkEnd w:id="43"/>
      <w:bookmarkEnd w:id="44"/>
    </w:p>
    <w:p>
      <w:pPr>
        <w:widowControl/>
        <w:spacing w:line="360" w:lineRule="auto"/>
        <w:ind w:firstLine="0" w:firstLineChars="0"/>
        <w:jc w:val="left"/>
        <w:rPr>
          <w:rFonts w:hint="eastAsia" w:ascii="Times New Roman" w:hAnsi="Times New Roman" w:cs="Times New Roman" w:eastAsiaTheme="minorEastAsia"/>
          <w:iCs/>
          <w:color w:val="000000" w:themeColor="text1"/>
          <w:sz w:val="21"/>
          <w:szCs w:val="21"/>
          <w:lang w:eastAsia="zh-CN"/>
        </w:rPr>
      </w:pPr>
      <w:r>
        <w:rPr>
          <w:rFonts w:ascii="Times New Roman" w:hAnsi="Times New Roman" w:cs="Times New Roman" w:eastAsiaTheme="minorEastAsia"/>
          <w:iCs/>
          <w:color w:val="000000" w:themeColor="text1"/>
          <w:sz w:val="21"/>
          <w:szCs w:val="21"/>
        </w:rPr>
        <w:t xml:space="preserve">2.0.1 </w:t>
      </w:r>
      <w:r>
        <w:rPr>
          <w:rFonts w:hint="eastAsia" w:ascii="Times New Roman" w:hAnsi="Times New Roman" w:cs="Times New Roman" w:eastAsiaTheme="minorEastAsia"/>
          <w:iCs/>
          <w:color w:val="000000" w:themeColor="text1"/>
          <w:sz w:val="21"/>
          <w:szCs w:val="21"/>
          <w:highlight w:val="none"/>
        </w:rPr>
        <w:t>光储直柔系统 solar DC system with energy storage for flexibility improvement</w:t>
      </w:r>
      <w:r>
        <w:rPr>
          <w:rFonts w:ascii="Times New Roman" w:hAnsi="Times New Roman" w:cs="Times New Roman" w:eastAsiaTheme="minorEastAsia"/>
          <w:iCs/>
          <w:color w:val="000000" w:themeColor="text1"/>
          <w:sz w:val="21"/>
          <w:szCs w:val="21"/>
        </w:rPr>
        <w:tab/>
      </w:r>
    </w:p>
    <w:p>
      <w:pPr>
        <w:widowControl/>
        <w:spacing w:line="360" w:lineRule="auto"/>
        <w:ind w:firstLine="0" w:firstLineChars="0"/>
        <w:jc w:val="left"/>
        <w:rPr>
          <w:rFonts w:ascii="Times New Roman" w:hAnsi="Times New Roman" w:cs="Times New Roman" w:eastAsiaTheme="minorEastAsia"/>
          <w:color w:val="000000" w:themeColor="text1"/>
          <w:sz w:val="21"/>
          <w:szCs w:val="22"/>
        </w:rPr>
      </w:pPr>
      <w:r>
        <w:rPr>
          <w:rFonts w:ascii="Times New Roman" w:hAnsi="Times New Roman" w:cs="Times New Roman" w:eastAsiaTheme="minorEastAsia"/>
          <w:color w:val="000000" w:themeColor="text1"/>
          <w:sz w:val="21"/>
          <w:szCs w:val="22"/>
        </w:rPr>
        <w:t xml:space="preserve">     </w:t>
      </w:r>
      <w:r>
        <w:rPr>
          <w:rFonts w:hint="eastAsia" w:ascii="Times New Roman" w:hAnsi="Times New Roman" w:cs="Times New Roman" w:eastAsiaTheme="minorEastAsia"/>
          <w:color w:val="000000" w:themeColor="text1"/>
          <w:sz w:val="21"/>
          <w:szCs w:val="22"/>
          <w:highlight w:val="none"/>
        </w:rPr>
        <w:t>配置建筑光伏和建筑储能，采用直流配电系统，且用电设备具备功率主动响应功能的新型建筑供配电系统。</w:t>
      </w:r>
    </w:p>
    <w:p>
      <w:pPr>
        <w:spacing w:line="360" w:lineRule="auto"/>
        <w:rPr>
          <w:rFonts w:ascii="Times New Roman" w:hAnsi="Times New Roman" w:cs="Times New Roman"/>
          <w:color w:val="000000" w:themeColor="text1"/>
          <w:sz w:val="24"/>
        </w:rPr>
      </w:pPr>
      <w:r>
        <w:rPr>
          <w:rFonts w:ascii="Times New Roman" w:hAnsi="Times New Roman" w:cs="Times New Roman" w:eastAsiaTheme="minorEastAsia"/>
          <w:iCs/>
          <w:color w:val="000000" w:themeColor="text1"/>
          <w:sz w:val="21"/>
          <w:szCs w:val="21"/>
        </w:rPr>
        <w:t>2.0.</w:t>
      </w:r>
      <w:r>
        <w:rPr>
          <w:rFonts w:hint="eastAsia" w:ascii="Times New Roman" w:hAnsi="Times New Roman" w:cs="Times New Roman" w:eastAsiaTheme="minorEastAsia"/>
          <w:iCs/>
          <w:color w:val="000000" w:themeColor="text1"/>
          <w:sz w:val="21"/>
          <w:szCs w:val="21"/>
        </w:rPr>
        <w:t>2</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建筑光伏</w:t>
      </w:r>
      <w:r>
        <w:rPr>
          <w:rFonts w:hint="eastAsia" w:ascii="Times New Roman" w:hAnsi="Times New Roman" w:cs="Times New Roman" w:eastAsiaTheme="minorEastAsia"/>
          <w:iCs/>
          <w:color w:val="000000" w:themeColor="text1"/>
          <w:sz w:val="21"/>
          <w:szCs w:val="21"/>
        </w:rPr>
        <w:t>系统</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building photovoltaics system</w:t>
      </w:r>
    </w:p>
    <w:p>
      <w:pPr>
        <w:widowControl/>
        <w:spacing w:line="360" w:lineRule="auto"/>
        <w:ind w:firstLine="420" w:firstLineChars="200"/>
        <w:jc w:val="left"/>
        <w:rPr>
          <w:rFonts w:ascii="Times New Roman" w:hAnsi="Times New Roman" w:cs="Times New Roman" w:eastAsiaTheme="minorEastAsia"/>
          <w:color w:val="000000" w:themeColor="text1"/>
          <w:sz w:val="21"/>
          <w:szCs w:val="22"/>
        </w:rPr>
      </w:pPr>
      <w:r>
        <w:rPr>
          <w:rFonts w:ascii="Times New Roman" w:hAnsi="Times New Roman" w:cs="Times New Roman" w:eastAsiaTheme="minorEastAsia"/>
          <w:color w:val="000000" w:themeColor="text1"/>
          <w:sz w:val="21"/>
          <w:szCs w:val="22"/>
          <w:lang w:val="zh-CN"/>
        </w:rPr>
        <w:t>安装在建筑物或其附属构筑物上</w:t>
      </w:r>
      <w:r>
        <w:rPr>
          <w:rFonts w:ascii="Times New Roman" w:hAnsi="Times New Roman" w:cs="Times New Roman" w:eastAsiaTheme="minorEastAsia"/>
          <w:color w:val="000000" w:themeColor="text1"/>
          <w:sz w:val="21"/>
          <w:szCs w:val="22"/>
        </w:rPr>
        <w:t>，</w:t>
      </w:r>
      <w:r>
        <w:rPr>
          <w:rFonts w:ascii="Times New Roman" w:hAnsi="Times New Roman" w:cs="Times New Roman" w:eastAsiaTheme="minorEastAsia"/>
          <w:color w:val="000000" w:themeColor="text1"/>
          <w:sz w:val="21"/>
          <w:szCs w:val="22"/>
          <w:lang w:val="zh-CN"/>
        </w:rPr>
        <w:t>利用光伏效应将太阳辐射能直接转换成电能的分布式发电系统。</w:t>
      </w:r>
    </w:p>
    <w:p>
      <w:pPr>
        <w:spacing w:line="360" w:lineRule="auto"/>
        <w:rPr>
          <w:rFonts w:ascii="Times New Roman" w:hAnsi="Times New Roman" w:cs="Times New Roman"/>
          <w:color w:val="000000" w:themeColor="text1"/>
          <w:sz w:val="24"/>
        </w:rPr>
      </w:pPr>
      <w:r>
        <w:rPr>
          <w:rFonts w:ascii="Times New Roman" w:hAnsi="Times New Roman" w:cs="Times New Roman" w:eastAsiaTheme="minorEastAsia"/>
          <w:iCs/>
          <w:color w:val="000000" w:themeColor="text1"/>
          <w:sz w:val="21"/>
          <w:szCs w:val="21"/>
        </w:rPr>
        <w:t>2.0.</w:t>
      </w:r>
      <w:r>
        <w:rPr>
          <w:rFonts w:hint="eastAsia" w:ascii="Times New Roman" w:hAnsi="Times New Roman" w:cs="Times New Roman" w:eastAsiaTheme="minorEastAsia"/>
          <w:iCs/>
          <w:color w:val="000000" w:themeColor="text1"/>
          <w:sz w:val="21"/>
          <w:szCs w:val="21"/>
        </w:rPr>
        <w:t>3</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建筑储能系统</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building</w:t>
      </w:r>
      <w:r>
        <w:rPr>
          <w:rFonts w:hint="eastAsia" w:ascii="Times New Roman" w:hAnsi="Times New Roman" w:cs="Times New Roman" w:eastAsiaTheme="minorEastAsia"/>
          <w:iCs/>
          <w:color w:val="000000" w:themeColor="text1"/>
          <w:sz w:val="21"/>
          <w:szCs w:val="21"/>
        </w:rPr>
        <w:t xml:space="preserve"> </w:t>
      </w:r>
      <w:r>
        <w:rPr>
          <w:rFonts w:ascii="Times New Roman" w:hAnsi="Times New Roman" w:cs="Times New Roman" w:eastAsiaTheme="minorEastAsia"/>
          <w:iCs/>
          <w:color w:val="000000" w:themeColor="text1"/>
          <w:sz w:val="21"/>
          <w:szCs w:val="21"/>
        </w:rPr>
        <w:t>energy storage system</w:t>
      </w:r>
      <w:r>
        <w:rPr>
          <w:rFonts w:ascii="Times New Roman" w:hAnsi="Times New Roman" w:cs="Times New Roman"/>
          <w:color w:val="000000" w:themeColor="text1"/>
          <w:sz w:val="24"/>
        </w:rPr>
        <w:t xml:space="preserve">  </w:t>
      </w:r>
    </w:p>
    <w:p>
      <w:pPr>
        <w:spacing w:line="360" w:lineRule="auto"/>
        <w:ind w:firstLine="420" w:firstLineChars="200"/>
        <w:rPr>
          <w:rFonts w:ascii="Times New Roman" w:hAnsi="Times New Roman" w:cs="Times New Roman" w:eastAsiaTheme="minorEastAsia"/>
          <w:color w:val="000000" w:themeColor="text1"/>
          <w:sz w:val="21"/>
          <w:szCs w:val="22"/>
          <w:lang w:val="zh-CN"/>
        </w:rPr>
      </w:pPr>
      <w:r>
        <w:rPr>
          <w:rFonts w:ascii="Times New Roman" w:hAnsi="Times New Roman" w:cs="Times New Roman" w:eastAsiaTheme="minorEastAsia"/>
          <w:color w:val="000000" w:themeColor="text1"/>
          <w:sz w:val="21"/>
          <w:szCs w:val="22"/>
          <w:lang w:val="zh-CN"/>
        </w:rPr>
        <w:t>布置在建筑基地内，服务于建筑整体用电柔性调节的分布式储能系统。</w:t>
      </w:r>
    </w:p>
    <w:p>
      <w:pPr>
        <w:spacing w:line="360" w:lineRule="auto"/>
        <w:rPr>
          <w:rFonts w:ascii="Times New Roman" w:hAnsi="Times New Roman" w:cs="Times New Roman"/>
          <w:color w:val="000000" w:themeColor="text1"/>
          <w:sz w:val="24"/>
        </w:rPr>
      </w:pPr>
      <w:r>
        <w:rPr>
          <w:rFonts w:ascii="Times New Roman" w:hAnsi="Times New Roman" w:cs="Times New Roman" w:eastAsiaTheme="minorEastAsia"/>
          <w:iCs/>
          <w:color w:val="000000" w:themeColor="text1"/>
          <w:sz w:val="21"/>
          <w:szCs w:val="21"/>
        </w:rPr>
        <w:t>2.0.</w:t>
      </w:r>
      <w:r>
        <w:rPr>
          <w:rFonts w:hint="eastAsia" w:ascii="Times New Roman" w:hAnsi="Times New Roman" w:cs="Times New Roman" w:eastAsiaTheme="minorEastAsia"/>
          <w:iCs/>
          <w:color w:val="000000" w:themeColor="text1"/>
          <w:sz w:val="21"/>
          <w:szCs w:val="21"/>
        </w:rPr>
        <w:t>4</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直流配电网</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DC power distribution system</w:t>
      </w:r>
      <w:r>
        <w:rPr>
          <w:rFonts w:ascii="Times New Roman" w:hAnsi="Times New Roman" w:cs="Times New Roman"/>
          <w:color w:val="000000" w:themeColor="text1"/>
          <w:sz w:val="24"/>
        </w:rPr>
        <w:t xml:space="preserve">   </w:t>
      </w:r>
    </w:p>
    <w:p>
      <w:pPr>
        <w:spacing w:line="360" w:lineRule="auto"/>
        <w:ind w:firstLine="420" w:firstLineChars="200"/>
        <w:rPr>
          <w:rFonts w:ascii="Times New Roman" w:hAnsi="Times New Roman" w:cs="Times New Roman" w:eastAsiaTheme="minorEastAsia"/>
          <w:color w:val="000000" w:themeColor="text1"/>
          <w:sz w:val="21"/>
          <w:szCs w:val="22"/>
        </w:rPr>
      </w:pPr>
      <w:r>
        <w:rPr>
          <w:rFonts w:ascii="Times New Roman" w:hAnsi="Times New Roman" w:cs="Times New Roman" w:eastAsiaTheme="minorEastAsia"/>
          <w:color w:val="000000" w:themeColor="text1"/>
          <w:sz w:val="21"/>
          <w:szCs w:val="22"/>
          <w:lang w:val="zh-CN"/>
        </w:rPr>
        <w:t>从电源侧</w:t>
      </w:r>
      <w:r>
        <w:rPr>
          <w:rFonts w:ascii="Times New Roman" w:hAnsi="Times New Roman" w:cs="Times New Roman" w:eastAsiaTheme="minorEastAsia"/>
          <w:color w:val="000000" w:themeColor="text1"/>
          <w:sz w:val="21"/>
          <w:szCs w:val="22"/>
        </w:rPr>
        <w:t>（</w:t>
      </w:r>
      <w:r>
        <w:rPr>
          <w:rFonts w:ascii="Times New Roman" w:hAnsi="Times New Roman" w:cs="Times New Roman" w:eastAsiaTheme="minorEastAsia"/>
          <w:color w:val="000000" w:themeColor="text1"/>
          <w:sz w:val="21"/>
          <w:szCs w:val="22"/>
          <w:lang w:val="zh-CN"/>
        </w:rPr>
        <w:t>输电网、发电设施、分布式电源等</w:t>
      </w:r>
      <w:r>
        <w:rPr>
          <w:rFonts w:ascii="Times New Roman" w:hAnsi="Times New Roman" w:cs="Times New Roman" w:eastAsiaTheme="minorEastAsia"/>
          <w:color w:val="000000" w:themeColor="text1"/>
          <w:sz w:val="21"/>
          <w:szCs w:val="22"/>
        </w:rPr>
        <w:t>）</w:t>
      </w:r>
      <w:r>
        <w:rPr>
          <w:rFonts w:ascii="Times New Roman" w:hAnsi="Times New Roman" w:cs="Times New Roman" w:eastAsiaTheme="minorEastAsia"/>
          <w:color w:val="000000" w:themeColor="text1"/>
          <w:sz w:val="21"/>
          <w:szCs w:val="22"/>
          <w:lang w:val="zh-CN"/>
        </w:rPr>
        <w:t>馈入电能</w:t>
      </w:r>
      <w:r>
        <w:rPr>
          <w:rFonts w:ascii="Times New Roman" w:hAnsi="Times New Roman" w:cs="Times New Roman" w:eastAsiaTheme="minorEastAsia"/>
          <w:color w:val="000000" w:themeColor="text1"/>
          <w:sz w:val="21"/>
          <w:szCs w:val="22"/>
        </w:rPr>
        <w:t>，</w:t>
      </w:r>
      <w:r>
        <w:rPr>
          <w:rFonts w:ascii="Times New Roman" w:hAnsi="Times New Roman" w:cs="Times New Roman" w:eastAsiaTheme="minorEastAsia"/>
          <w:color w:val="000000" w:themeColor="text1"/>
          <w:sz w:val="21"/>
          <w:szCs w:val="22"/>
          <w:lang w:val="zh-CN"/>
        </w:rPr>
        <w:t>并通过配电设施采用直流就地或逐级向各类用户分配电能的网络。</w:t>
      </w:r>
    </w:p>
    <w:p>
      <w:pPr>
        <w:spacing w:line="360" w:lineRule="auto"/>
        <w:rPr>
          <w:rFonts w:ascii="Times New Roman" w:hAnsi="Times New Roman" w:cs="Times New Roman"/>
          <w:color w:val="000000" w:themeColor="text1"/>
          <w:sz w:val="24"/>
        </w:rPr>
      </w:pPr>
      <w:r>
        <w:rPr>
          <w:rFonts w:ascii="Times New Roman" w:hAnsi="Times New Roman" w:cs="Times New Roman" w:eastAsiaTheme="minorEastAsia"/>
          <w:iCs/>
          <w:color w:val="000000" w:themeColor="text1"/>
          <w:sz w:val="21"/>
          <w:szCs w:val="21"/>
        </w:rPr>
        <w:t>2.0.</w:t>
      </w:r>
      <w:r>
        <w:rPr>
          <w:rFonts w:hint="eastAsia" w:ascii="Times New Roman" w:hAnsi="Times New Roman" w:cs="Times New Roman" w:eastAsiaTheme="minorEastAsia"/>
          <w:iCs/>
          <w:color w:val="000000" w:themeColor="text1"/>
          <w:sz w:val="21"/>
          <w:szCs w:val="21"/>
        </w:rPr>
        <w:t>5</w:t>
      </w:r>
      <w:r>
        <w:rPr>
          <w:rFonts w:ascii="Times New Roman" w:hAnsi="Times New Roman" w:eastAsia="宋体" w:cs="Times New Roman"/>
          <w:b/>
          <w:bCs/>
          <w:color w:val="000000" w:themeColor="text1"/>
          <w:sz w:val="24"/>
          <w:szCs w:val="21"/>
        </w:rPr>
        <w:t xml:space="preserve"> </w:t>
      </w:r>
      <w:r>
        <w:rPr>
          <w:rFonts w:ascii="Times New Roman" w:hAnsi="Times New Roman" w:cs="Times New Roman" w:eastAsiaTheme="minorEastAsia"/>
          <w:iCs/>
          <w:color w:val="000000" w:themeColor="text1"/>
          <w:sz w:val="21"/>
          <w:szCs w:val="21"/>
        </w:rPr>
        <w:t>用电柔性</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Flexible electricity consumption</w:t>
      </w:r>
      <w:r>
        <w:rPr>
          <w:rFonts w:ascii="Times New Roman" w:hAnsi="Times New Roman" w:cs="Times New Roman"/>
          <w:color w:val="000000" w:themeColor="text1"/>
          <w:sz w:val="24"/>
        </w:rPr>
        <w:t xml:space="preserve">     </w:t>
      </w:r>
    </w:p>
    <w:p>
      <w:pPr>
        <w:spacing w:line="360" w:lineRule="auto"/>
        <w:ind w:firstLine="420" w:firstLineChars="200"/>
        <w:rPr>
          <w:rFonts w:ascii="Times New Roman" w:hAnsi="Times New Roman" w:cs="Times New Roman" w:eastAsiaTheme="minorEastAsia"/>
          <w:color w:val="000000" w:themeColor="text1"/>
          <w:sz w:val="21"/>
          <w:szCs w:val="22"/>
        </w:rPr>
      </w:pPr>
      <w:r>
        <w:rPr>
          <w:rFonts w:ascii="Times New Roman" w:hAnsi="Times New Roman" w:cs="Times New Roman" w:eastAsiaTheme="minorEastAsia"/>
          <w:color w:val="000000" w:themeColor="text1"/>
          <w:sz w:val="21"/>
          <w:szCs w:val="22"/>
          <w:lang w:val="zh-CN"/>
        </w:rPr>
        <w:t>根据电力交互需求进行实时用电功率调节的能力</w:t>
      </w:r>
      <w:r>
        <w:rPr>
          <w:rFonts w:ascii="Times New Roman" w:hAnsi="Times New Roman" w:cs="Times New Roman" w:eastAsiaTheme="minorEastAsia"/>
          <w:color w:val="000000" w:themeColor="text1"/>
          <w:sz w:val="21"/>
          <w:szCs w:val="22"/>
        </w:rPr>
        <w:t>，</w:t>
      </w:r>
      <w:r>
        <w:rPr>
          <w:rFonts w:ascii="Times New Roman" w:hAnsi="Times New Roman" w:cs="Times New Roman" w:eastAsiaTheme="minorEastAsia"/>
          <w:color w:val="000000" w:themeColor="text1"/>
          <w:sz w:val="21"/>
          <w:szCs w:val="22"/>
          <w:lang w:val="zh-CN"/>
        </w:rPr>
        <w:t>分为设备用电柔性和建筑整体用电柔性。</w:t>
      </w:r>
    </w:p>
    <w:p>
      <w:pPr>
        <w:spacing w:line="360" w:lineRule="auto"/>
        <w:rPr>
          <w:rFonts w:ascii="Times New Roman" w:hAnsi="Times New Roman" w:cs="Times New Roman"/>
          <w:color w:val="000000" w:themeColor="text1"/>
          <w:sz w:val="24"/>
        </w:rPr>
      </w:pPr>
      <w:r>
        <w:rPr>
          <w:rFonts w:ascii="Times New Roman" w:hAnsi="Times New Roman" w:cs="Times New Roman" w:eastAsiaTheme="minorEastAsia"/>
          <w:iCs/>
          <w:color w:val="000000" w:themeColor="text1"/>
          <w:sz w:val="21"/>
          <w:szCs w:val="21"/>
        </w:rPr>
        <w:t>2.0.</w:t>
      </w:r>
      <w:r>
        <w:rPr>
          <w:rFonts w:hint="eastAsia" w:ascii="Times New Roman" w:hAnsi="Times New Roman" w:cs="Times New Roman" w:eastAsiaTheme="minorEastAsia"/>
          <w:iCs/>
          <w:color w:val="000000" w:themeColor="text1"/>
          <w:sz w:val="21"/>
          <w:szCs w:val="21"/>
        </w:rPr>
        <w:t>6</w:t>
      </w:r>
      <w:r>
        <w:rPr>
          <w:rFonts w:ascii="Times New Roman" w:hAnsi="Times New Roman" w:cs="Times New Roman"/>
          <w:color w:val="000000" w:themeColor="text1"/>
          <w:sz w:val="24"/>
        </w:rPr>
        <w:t xml:space="preserve"> </w:t>
      </w:r>
      <w:r>
        <w:rPr>
          <w:rFonts w:hint="eastAsia" w:ascii="Times New Roman" w:hAnsi="Times New Roman" w:cs="Times New Roman" w:eastAsiaTheme="minorEastAsia"/>
          <w:iCs/>
          <w:color w:val="000000" w:themeColor="text1"/>
          <w:sz w:val="21"/>
          <w:szCs w:val="21"/>
        </w:rPr>
        <w:t>建筑</w:t>
      </w:r>
      <w:r>
        <w:rPr>
          <w:rFonts w:ascii="Times New Roman" w:hAnsi="Times New Roman" w:cs="Times New Roman" w:eastAsiaTheme="minorEastAsia"/>
          <w:iCs/>
          <w:color w:val="000000" w:themeColor="text1"/>
          <w:sz w:val="21"/>
          <w:szCs w:val="21"/>
        </w:rPr>
        <w:t>光伏发电自用率</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building photovoltaics</w:t>
      </w:r>
      <w:r>
        <w:rPr>
          <w:rFonts w:hint="eastAsia" w:ascii="Times New Roman" w:hAnsi="Times New Roman" w:cs="Times New Roman" w:eastAsiaTheme="minorEastAsia"/>
          <w:iCs/>
          <w:color w:val="000000" w:themeColor="text1"/>
          <w:sz w:val="21"/>
          <w:szCs w:val="21"/>
        </w:rPr>
        <w:t xml:space="preserve"> power </w:t>
      </w:r>
      <w:r>
        <w:rPr>
          <w:rFonts w:ascii="Times New Roman" w:hAnsi="Times New Roman" w:cs="Times New Roman" w:eastAsiaTheme="minorEastAsia"/>
          <w:iCs/>
          <w:color w:val="000000" w:themeColor="text1"/>
          <w:sz w:val="21"/>
          <w:szCs w:val="21"/>
        </w:rPr>
        <w:t>self-consumption ratio</w:t>
      </w:r>
      <w:r>
        <w:rPr>
          <w:rFonts w:ascii="Times New Roman" w:hAnsi="Times New Roman" w:cs="Times New Roman"/>
          <w:color w:val="000000" w:themeColor="text1"/>
          <w:sz w:val="24"/>
        </w:rPr>
        <w:t xml:space="preserve">      </w:t>
      </w:r>
    </w:p>
    <w:p>
      <w:pPr>
        <w:spacing w:line="360" w:lineRule="auto"/>
        <w:ind w:firstLine="420" w:firstLineChars="200"/>
        <w:rPr>
          <w:rFonts w:ascii="Times New Roman" w:hAnsi="Times New Roman" w:cs="Times New Roman" w:eastAsiaTheme="minorEastAsia"/>
          <w:color w:val="000000" w:themeColor="text1"/>
          <w:sz w:val="21"/>
          <w:szCs w:val="22"/>
          <w:lang w:val="zh-CN"/>
        </w:rPr>
      </w:pPr>
      <w:r>
        <w:rPr>
          <w:rFonts w:ascii="Times New Roman" w:hAnsi="Times New Roman" w:cs="Times New Roman" w:eastAsiaTheme="minorEastAsia"/>
          <w:color w:val="000000" w:themeColor="text1"/>
          <w:sz w:val="21"/>
          <w:szCs w:val="22"/>
          <w:lang w:val="zh-CN"/>
        </w:rPr>
        <w:t>建筑物光伏发电系统直接利用部分的年光伏发电量与全年光伏发电总量的比值。</w:t>
      </w:r>
    </w:p>
    <w:p>
      <w:pPr>
        <w:spacing w:line="360" w:lineRule="auto"/>
        <w:rPr>
          <w:rFonts w:ascii="Times New Roman" w:hAnsi="Times New Roman" w:cs="Times New Roman" w:eastAsiaTheme="minorEastAsia"/>
          <w:color w:val="000000" w:themeColor="text1"/>
          <w:sz w:val="21"/>
          <w:szCs w:val="22"/>
          <w:lang w:val="zh-CN"/>
        </w:rPr>
      </w:pPr>
      <w:r>
        <w:rPr>
          <w:rFonts w:ascii="Times New Roman" w:hAnsi="Times New Roman" w:cs="Times New Roman" w:eastAsiaTheme="minorEastAsia"/>
          <w:iCs/>
          <w:color w:val="000000" w:themeColor="text1"/>
          <w:sz w:val="21"/>
          <w:szCs w:val="21"/>
          <w:lang w:val="zh-CN"/>
        </w:rPr>
        <w:t xml:space="preserve">2.0.7 </w:t>
      </w:r>
      <w:r>
        <w:rPr>
          <w:rFonts w:hint="eastAsia" w:ascii="Times New Roman" w:hAnsi="Times New Roman" w:cs="Times New Roman" w:eastAsiaTheme="minorEastAsia"/>
          <w:iCs/>
          <w:color w:val="000000" w:themeColor="text1"/>
          <w:sz w:val="21"/>
          <w:szCs w:val="21"/>
          <w:lang w:val="zh-CN"/>
        </w:rPr>
        <w:t xml:space="preserve">建筑储能利用率 </w:t>
      </w:r>
      <w:r>
        <w:rPr>
          <w:rFonts w:ascii="Times New Roman" w:hAnsi="Times New Roman" w:cs="Times New Roman" w:eastAsiaTheme="minorEastAsia"/>
          <w:iCs/>
          <w:color w:val="000000" w:themeColor="text1"/>
          <w:sz w:val="21"/>
          <w:szCs w:val="21"/>
          <w:lang w:val="zh-CN"/>
        </w:rPr>
        <w:t xml:space="preserve">Building energy storage usage factor    </w:t>
      </w:r>
      <w:r>
        <w:rPr>
          <w:rFonts w:ascii="Times New Roman" w:hAnsi="Times New Roman" w:cs="Times New Roman" w:eastAsiaTheme="minorEastAsia"/>
          <w:color w:val="000000" w:themeColor="text1"/>
          <w:sz w:val="21"/>
          <w:szCs w:val="22"/>
          <w:lang w:val="zh-CN"/>
        </w:rPr>
        <w:t xml:space="preserve"> </w:t>
      </w:r>
    </w:p>
    <w:p>
      <w:pPr>
        <w:spacing w:line="360" w:lineRule="auto"/>
        <w:ind w:firstLine="420" w:firstLineChars="200"/>
        <w:rPr>
          <w:rFonts w:ascii="Times New Roman" w:hAnsi="Times New Roman" w:eastAsia="楷体" w:cs="Times New Roman"/>
          <w:bCs/>
          <w:color w:val="000000" w:themeColor="text1"/>
          <w:sz w:val="21"/>
          <w:szCs w:val="21"/>
        </w:rPr>
      </w:pPr>
      <w:r>
        <w:rPr>
          <w:rFonts w:hint="eastAsia" w:ascii="Times New Roman" w:hAnsi="Times New Roman" w:cs="Times New Roman" w:eastAsiaTheme="minorEastAsia"/>
          <w:color w:val="000000" w:themeColor="text1"/>
          <w:sz w:val="21"/>
          <w:szCs w:val="22"/>
          <w:lang w:val="zh-CN"/>
        </w:rPr>
        <w:t>建筑储能设备年累计充电量与365</w:t>
      </w:r>
      <w:r>
        <w:rPr>
          <w:rFonts w:ascii="Times New Roman" w:hAnsi="Times New Roman" w:cs="Times New Roman" w:eastAsiaTheme="minorEastAsia"/>
          <w:color w:val="000000" w:themeColor="text1"/>
          <w:sz w:val="21"/>
          <w:szCs w:val="22"/>
          <w:lang w:val="zh-CN"/>
        </w:rPr>
        <w:t xml:space="preserve"> </w:t>
      </w:r>
      <w:r>
        <w:rPr>
          <w:rFonts w:hint="eastAsia" w:ascii="Times New Roman" w:hAnsi="Times New Roman" w:cs="Times New Roman" w:eastAsiaTheme="minorEastAsia"/>
          <w:color w:val="000000" w:themeColor="text1"/>
          <w:sz w:val="21"/>
          <w:szCs w:val="22"/>
          <w:lang w:val="zh-CN"/>
        </w:rPr>
        <w:t>倍储能容量的百分比。</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2.0.8</w:t>
      </w:r>
      <w:r>
        <w:rPr>
          <w:rFonts w:ascii="Times New Roman" w:hAnsi="Times New Roman" w:eastAsia="宋体" w:cs="Times New Roman"/>
          <w:b/>
          <w:bCs/>
          <w:color w:val="000000" w:themeColor="text1"/>
          <w:sz w:val="24"/>
          <w:szCs w:val="21"/>
        </w:rPr>
        <w:t xml:space="preserve"> </w:t>
      </w:r>
      <w:r>
        <w:rPr>
          <w:rFonts w:hint="eastAsia" w:ascii="Times New Roman" w:hAnsi="Times New Roman" w:cs="Times New Roman" w:eastAsiaTheme="minorEastAsia"/>
          <w:iCs/>
          <w:color w:val="000000" w:themeColor="text1"/>
          <w:sz w:val="21"/>
          <w:szCs w:val="21"/>
        </w:rPr>
        <w:t>建筑整体用电柔度</w:t>
      </w:r>
      <w:r>
        <w:rPr>
          <w:rFonts w:ascii="Times New Roman" w:hAnsi="Times New Roman" w:cs="Times New Roman"/>
          <w:color w:val="000000" w:themeColor="text1"/>
          <w:sz w:val="24"/>
        </w:rPr>
        <w:t xml:space="preserve"> </w:t>
      </w:r>
      <w:r>
        <w:rPr>
          <w:rFonts w:ascii="Times New Roman" w:hAnsi="Times New Roman" w:cs="Times New Roman" w:eastAsiaTheme="minorEastAsia"/>
          <w:iCs/>
          <w:color w:val="000000" w:themeColor="text1"/>
          <w:sz w:val="21"/>
          <w:szCs w:val="21"/>
        </w:rPr>
        <w:t>electrical demand fexibility of building</w:t>
      </w:r>
    </w:p>
    <w:p>
      <w:pPr>
        <w:spacing w:line="360" w:lineRule="auto"/>
        <w:ind w:firstLine="420" w:firstLineChars="200"/>
        <w:rPr>
          <w:rFonts w:ascii="Times New Roman" w:hAnsi="Times New Roman" w:cs="Times New Roman" w:eastAsiaTheme="minorEastAsia"/>
          <w:color w:val="000000" w:themeColor="text1"/>
          <w:sz w:val="21"/>
          <w:szCs w:val="22"/>
        </w:rPr>
      </w:pPr>
      <w:r>
        <w:rPr>
          <w:rFonts w:hint="eastAsia" w:ascii="Times New Roman" w:hAnsi="Times New Roman" w:cs="Times New Roman" w:eastAsiaTheme="minorEastAsia"/>
          <w:color w:val="000000" w:themeColor="text1"/>
          <w:sz w:val="21"/>
          <w:szCs w:val="22"/>
          <w:lang w:val="zh-CN"/>
        </w:rPr>
        <w:t>建筑根据柔性调节信号</w:t>
      </w:r>
      <w:r>
        <w:rPr>
          <w:rFonts w:hint="eastAsia" w:ascii="Times New Roman" w:hAnsi="Times New Roman" w:cs="Times New Roman" w:eastAsiaTheme="minorEastAsia"/>
          <w:color w:val="000000" w:themeColor="text1"/>
          <w:sz w:val="21"/>
          <w:szCs w:val="22"/>
        </w:rPr>
        <w:t>，</w:t>
      </w:r>
      <w:r>
        <w:rPr>
          <w:rFonts w:hint="eastAsia" w:ascii="Times New Roman" w:hAnsi="Times New Roman" w:cs="Times New Roman" w:eastAsiaTheme="minorEastAsia"/>
          <w:color w:val="000000" w:themeColor="text1"/>
          <w:sz w:val="21"/>
          <w:szCs w:val="22"/>
          <w:lang w:val="zh-CN"/>
        </w:rPr>
        <w:t>自身运行功率主动变化的幅度与不接受柔性调节信号状态下的用电功率的比值。</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2.0.9</w:t>
      </w:r>
      <w:r>
        <w:rPr>
          <w:rFonts w:ascii="Times New Roman" w:hAnsi="Times New Roman" w:cs="Times New Roman"/>
          <w:color w:val="000000" w:themeColor="text1"/>
          <w:sz w:val="24"/>
        </w:rPr>
        <w:t xml:space="preserve"> </w:t>
      </w:r>
      <w:r>
        <w:rPr>
          <w:rFonts w:hint="eastAsia" w:ascii="Times New Roman" w:hAnsi="Times New Roman" w:cs="Times New Roman" w:eastAsiaTheme="minorEastAsia"/>
          <w:iCs/>
          <w:color w:val="000000" w:themeColor="text1"/>
          <w:sz w:val="21"/>
          <w:szCs w:val="21"/>
        </w:rPr>
        <w:t>设备用电柔度</w:t>
      </w:r>
      <w:r>
        <w:rPr>
          <w:rFonts w:ascii="Times New Roman" w:hAnsi="Times New Roman" w:cs="Times New Roman" w:eastAsiaTheme="minorEastAsia"/>
          <w:iCs/>
          <w:color w:val="000000" w:themeColor="text1"/>
          <w:sz w:val="21"/>
          <w:szCs w:val="21"/>
        </w:rPr>
        <w:t xml:space="preserve"> electrical demand flexibility of</w:t>
      </w:r>
      <w:r>
        <w:rPr>
          <w:rFonts w:hint="eastAsia" w:ascii="Times New Roman" w:hAnsi="Times New Roman" w:cs="Times New Roman" w:eastAsiaTheme="minorEastAsia"/>
          <w:iCs/>
          <w:color w:val="000000" w:themeColor="text1"/>
          <w:sz w:val="21"/>
          <w:szCs w:val="21"/>
        </w:rPr>
        <w:t xml:space="preserve"> </w:t>
      </w:r>
      <w:r>
        <w:rPr>
          <w:rFonts w:ascii="Times New Roman" w:hAnsi="Times New Roman" w:cs="Times New Roman" w:eastAsiaTheme="minorEastAsia"/>
          <w:iCs/>
          <w:color w:val="000000" w:themeColor="text1"/>
          <w:sz w:val="21"/>
          <w:szCs w:val="21"/>
        </w:rPr>
        <w:t>equipment</w:t>
      </w:r>
    </w:p>
    <w:p>
      <w:pPr>
        <w:spacing w:line="360" w:lineRule="auto"/>
        <w:ind w:firstLine="420" w:firstLineChars="200"/>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用电设备根据柔性调节信号，主动变化后的运行功率与设备额定功率的比值。</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2.0.1</w:t>
      </w:r>
      <w:r>
        <w:rPr>
          <w:rFonts w:hint="eastAsia" w:ascii="Times New Roman" w:hAnsi="Times New Roman" w:cs="Times New Roman" w:eastAsiaTheme="minorEastAsia"/>
          <w:iCs/>
          <w:color w:val="000000" w:themeColor="text1"/>
          <w:sz w:val="21"/>
          <w:szCs w:val="21"/>
        </w:rPr>
        <w:t>0</w:t>
      </w:r>
      <w:r>
        <w:rPr>
          <w:rFonts w:ascii="Times New Roman" w:hAnsi="Times New Roman" w:cs="Times New Roman" w:eastAsiaTheme="minorEastAsia"/>
          <w:iCs/>
          <w:color w:val="000000" w:themeColor="text1"/>
          <w:sz w:val="21"/>
          <w:szCs w:val="21"/>
        </w:rPr>
        <w:t xml:space="preserve"> 功率主动响应 active power response (APR)</w:t>
      </w:r>
    </w:p>
    <w:p>
      <w:pPr>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设备根据直流母线电压变化，通过调整工作状态改变自身用电功率，对直流配电系统功率调整需求主动做出的响应。</w:t>
      </w:r>
    </w:p>
    <w:p>
      <w:pPr>
        <w:spacing w:line="360" w:lineRule="auto"/>
        <w:rPr>
          <w:rFonts w:ascii="Times New Roman" w:hAnsi="Times New Roman" w:cs="Times New Roman" w:eastAsiaTheme="minorEastAsia"/>
          <w:iCs/>
          <w:color w:val="000000" w:themeColor="text1"/>
          <w:sz w:val="21"/>
          <w:szCs w:val="21"/>
        </w:rPr>
      </w:pPr>
      <w:bookmarkStart w:id="45" w:name="_Toc25317"/>
      <w:bookmarkStart w:id="46" w:name="_Toc17746"/>
      <w:bookmarkStart w:id="47" w:name="_Toc23215"/>
      <w:bookmarkStart w:id="48" w:name="_Toc16263"/>
      <w:bookmarkStart w:id="49" w:name="_Toc20671"/>
      <w:bookmarkStart w:id="50" w:name="_Toc7917"/>
      <w:bookmarkStart w:id="51" w:name="_Toc31853"/>
      <w:bookmarkStart w:id="52" w:name="_Toc19249"/>
      <w:bookmarkStart w:id="53" w:name="_Toc8546"/>
      <w:bookmarkStart w:id="54" w:name="_Toc184275274"/>
      <w:bookmarkStart w:id="55" w:name="_Toc25265"/>
      <w:bookmarkStart w:id="56" w:name="_Toc14512"/>
      <w:bookmarkStart w:id="57" w:name="_Toc1921"/>
      <w:bookmarkStart w:id="58" w:name="_Toc14518"/>
      <w:bookmarkStart w:id="59" w:name="_Toc8304"/>
      <w:bookmarkStart w:id="60" w:name="_Toc9591"/>
      <w:r>
        <w:rPr>
          <w:rFonts w:ascii="Times New Roman" w:hAnsi="Times New Roman" w:cs="Times New Roman" w:eastAsiaTheme="minorEastAsia"/>
          <w:iCs/>
          <w:color w:val="000000" w:themeColor="text1"/>
          <w:sz w:val="21"/>
          <w:szCs w:val="21"/>
        </w:rPr>
        <w:t>2.0.1</w:t>
      </w:r>
      <w:r>
        <w:rPr>
          <w:rFonts w:hint="eastAsia" w:ascii="Times New Roman" w:hAnsi="Times New Roman" w:cs="Times New Roman" w:eastAsiaTheme="minorEastAsia"/>
          <w:iCs/>
          <w:color w:val="000000" w:themeColor="text1"/>
          <w:sz w:val="21"/>
          <w:szCs w:val="21"/>
        </w:rPr>
        <w:t>1</w:t>
      </w:r>
      <w:r>
        <w:rPr>
          <w:rFonts w:ascii="Times New Roman" w:hAnsi="Times New Roman" w:cs="Times New Roman" w:eastAsiaTheme="minorEastAsia"/>
          <w:iCs/>
          <w:color w:val="000000" w:themeColor="text1"/>
          <w:sz w:val="21"/>
          <w:szCs w:val="21"/>
        </w:rPr>
        <w:t xml:space="preserve"> 变换器 power router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Times New Roman" w:hAnsi="Times New Roman" w:cs="Times New Roman" w:eastAsiaTheme="minorEastAsia"/>
          <w:iCs/>
          <w:color w:val="000000" w:themeColor="text1"/>
          <w:sz w:val="21"/>
          <w:szCs w:val="21"/>
        </w:rPr>
        <w:t xml:space="preserve">     </w:t>
      </w:r>
    </w:p>
    <w:p>
      <w:pPr>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具备不同电气参数的电能之间电能变换、传递和路由功能，可实现电气物理系统与信息系统的融合，能与上层系统协调，并控制和管理其接入的电源、储能和负荷，是支撑建筑</w:t>
      </w:r>
      <w:r>
        <w:rPr>
          <w:rFonts w:hint="eastAsia" w:ascii="Times New Roman" w:hAnsi="Times New Roman" w:cs="Times New Roman" w:eastAsiaTheme="minorEastAsia"/>
          <w:iCs/>
          <w:color w:val="000000" w:themeColor="text1"/>
          <w:sz w:val="21"/>
          <w:szCs w:val="21"/>
        </w:rPr>
        <w:t>光储直柔电气系统</w:t>
      </w:r>
      <w:r>
        <w:rPr>
          <w:rFonts w:ascii="Times New Roman" w:hAnsi="Times New Roman" w:cs="Times New Roman" w:eastAsiaTheme="minorEastAsia"/>
          <w:iCs/>
          <w:color w:val="000000" w:themeColor="text1"/>
          <w:sz w:val="21"/>
          <w:szCs w:val="21"/>
        </w:rPr>
        <w:t>的核心装备之一 。</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2.0.12 V2B Vehicle-to-building</w:t>
      </w:r>
    </w:p>
    <w:p>
      <w:pPr>
        <w:spacing w:line="360" w:lineRule="auto"/>
        <w:ind w:firstLine="420" w:firstLineChars="200"/>
        <w:rPr>
          <w:rFonts w:hint="eastAsia"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V2B是指电动汽车动力蓄电池通过充放电装置与</w:t>
      </w:r>
      <w:r>
        <w:rPr>
          <w:rFonts w:hint="eastAsia" w:ascii="Times New Roman" w:hAnsi="Times New Roman" w:cs="Times New Roman" w:eastAsiaTheme="minorEastAsia"/>
          <w:iCs/>
          <w:color w:val="000000" w:themeColor="text1"/>
          <w:sz w:val="21"/>
          <w:szCs w:val="21"/>
        </w:rPr>
        <w:t>建筑供配电系统相连，作为储能单元参与建筑供电的运行方式，实现双向能量流动。</w:t>
      </w: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ind w:firstLine="420" w:firstLineChars="200"/>
        <w:rPr>
          <w:rFonts w:hint="eastAsia" w:ascii="Times New Roman" w:hAnsi="Times New Roman" w:cs="Times New Roman" w:eastAsiaTheme="minorEastAsia"/>
          <w:iCs/>
          <w:color w:val="000000" w:themeColor="text1"/>
          <w:sz w:val="21"/>
          <w:szCs w:val="21"/>
        </w:rPr>
      </w:pPr>
    </w:p>
    <w:p>
      <w:pPr>
        <w:spacing w:line="360" w:lineRule="auto"/>
        <w:rPr>
          <w:rFonts w:ascii="Times New Roman" w:hAnsi="Times New Roman" w:cs="Times New Roman" w:eastAsiaTheme="minorEastAsia"/>
          <w:iCs/>
          <w:color w:val="000000" w:themeColor="text1"/>
          <w:sz w:val="21"/>
          <w:szCs w:val="21"/>
        </w:rPr>
        <w:sectPr>
          <w:footerReference r:id="rId6" w:type="default"/>
          <w:pgSz w:w="11906" w:h="16838"/>
          <w:pgMar w:top="1440" w:right="1800" w:bottom="1440" w:left="1800" w:header="851" w:footer="992" w:gutter="0"/>
          <w:pgNumType w:start="1"/>
          <w:cols w:space="425" w:num="1"/>
          <w:docGrid w:type="lines" w:linePitch="312" w:charSpace="0"/>
        </w:sectPr>
      </w:pPr>
    </w:p>
    <w:p>
      <w:pPr>
        <w:pStyle w:val="2"/>
      </w:pPr>
      <w:bookmarkStart w:id="61" w:name="_Toc25128"/>
      <w:bookmarkStart w:id="62" w:name="_Toc30594"/>
      <w:bookmarkStart w:id="63" w:name="_Toc18422"/>
      <w:bookmarkStart w:id="64" w:name="_Toc2168"/>
      <w:bookmarkStart w:id="65" w:name="_Toc184275275"/>
      <w:bookmarkStart w:id="66" w:name="_Toc17565"/>
      <w:bookmarkStart w:id="67" w:name="_Toc1235"/>
      <w:r>
        <w:t>3 基本规定</w:t>
      </w:r>
      <w:bookmarkEnd w:id="61"/>
      <w:bookmarkEnd w:id="62"/>
      <w:bookmarkEnd w:id="63"/>
      <w:bookmarkEnd w:id="64"/>
      <w:bookmarkEnd w:id="65"/>
      <w:bookmarkEnd w:id="66"/>
      <w:bookmarkEnd w:id="67"/>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3.0.1</w:t>
      </w:r>
      <w:r>
        <w:rPr>
          <w:rFonts w:hint="eastAsia" w:ascii="Times New Roman" w:hAnsi="Times New Roman" w:cs="Times New Roman" w:eastAsiaTheme="minorEastAsia"/>
          <w:iCs/>
          <w:color w:val="000000" w:themeColor="text1"/>
          <w:sz w:val="21"/>
          <w:szCs w:val="21"/>
        </w:rPr>
        <w:t xml:space="preserve"> 建筑光储直柔电气系统应以提升能源利用效率、推动清洁能源的发展、促进电力系统的智能化和灵活性为目标，具备容量裕度、可再生能源接纳、负荷转移和自愈、潮流可控及与配电网协调交互能力。</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3.0.2 </w:t>
      </w:r>
      <w:r>
        <w:rPr>
          <w:rFonts w:hint="eastAsia" w:ascii="Times New Roman" w:hAnsi="Times New Roman" w:cs="Times New Roman" w:eastAsiaTheme="minorEastAsia"/>
          <w:iCs/>
          <w:color w:val="000000" w:themeColor="text1"/>
          <w:sz w:val="21"/>
          <w:szCs w:val="21"/>
        </w:rPr>
        <w:t>建筑光储直柔电气系统架构可包括建筑光伏系统、建筑储能系统、建筑供配电系统、柔性控制系统、通信和数字化及相关专业的全部或部分要素。</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3.0.3 </w:t>
      </w:r>
      <w:r>
        <w:rPr>
          <w:rFonts w:hint="eastAsia" w:ascii="Times New Roman" w:hAnsi="Times New Roman" w:cs="Times New Roman" w:eastAsiaTheme="minorEastAsia"/>
          <w:iCs/>
          <w:color w:val="000000" w:themeColor="text1"/>
          <w:sz w:val="21"/>
          <w:szCs w:val="21"/>
        </w:rPr>
        <w:t>建筑光储直柔电气系统应通过一体化协调控制，就地消纳可再生能源电力，实现系统的清洁、安全、可靠、智能和高效运行。</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3.0.4 </w:t>
      </w:r>
      <w:r>
        <w:rPr>
          <w:rFonts w:hint="eastAsia" w:ascii="Times New Roman" w:hAnsi="Times New Roman" w:cs="Times New Roman" w:eastAsiaTheme="minorEastAsia"/>
          <w:iCs/>
          <w:color w:val="000000" w:themeColor="text1"/>
          <w:sz w:val="21"/>
          <w:szCs w:val="21"/>
        </w:rPr>
        <w:t>建筑光储直柔电气系统应采用全部自用模式或自发自用余电上网模式。并应与建筑红线范围内全额上网的光伏系统和电储能系统及用房相对独立设置。</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3.0.5 </w:t>
      </w:r>
      <w:r>
        <w:rPr>
          <w:rFonts w:hint="eastAsia" w:ascii="Times New Roman" w:hAnsi="Times New Roman" w:cs="Times New Roman" w:eastAsiaTheme="minorEastAsia"/>
          <w:iCs/>
          <w:color w:val="000000" w:themeColor="text1"/>
          <w:sz w:val="21"/>
          <w:szCs w:val="21"/>
        </w:rPr>
        <w:t>建筑光伏和建筑储能的能耗应采用自动采集方式并纳入建筑能效监测系统。光储直柔电气系统的建筑应设置建筑能效监测系统。建筑能效监测系统的设计应符合《公共建筑能耗监测系统技术标准》</w:t>
      </w:r>
      <w:r>
        <w:rPr>
          <w:rFonts w:ascii="Times New Roman" w:hAnsi="Times New Roman" w:cs="Times New Roman" w:eastAsiaTheme="minorEastAsia"/>
          <w:iCs/>
          <w:color w:val="000000" w:themeColor="text1"/>
          <w:sz w:val="21"/>
          <w:szCs w:val="21"/>
        </w:rPr>
        <w:t>DB34/T 1922</w:t>
      </w:r>
      <w:r>
        <w:rPr>
          <w:rFonts w:hint="eastAsia" w:ascii="Times New Roman" w:hAnsi="Times New Roman" w:cs="Times New Roman" w:eastAsiaTheme="minorEastAsia"/>
          <w:iCs/>
          <w:color w:val="000000" w:themeColor="text1"/>
          <w:sz w:val="21"/>
          <w:szCs w:val="21"/>
        </w:rPr>
        <w:t>的有关规定。</w:t>
      </w:r>
      <w:r>
        <w:rPr>
          <w:rFonts w:ascii="Times New Roman" w:hAnsi="Times New Roman" w:cs="Times New Roman" w:eastAsiaTheme="minorEastAsia"/>
          <w:iCs/>
          <w:color w:val="000000" w:themeColor="text1"/>
          <w:sz w:val="21"/>
          <w:szCs w:val="21"/>
        </w:rPr>
        <w:t xml:space="preserve"> </w:t>
      </w:r>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3.0.</w:t>
      </w:r>
      <w:r>
        <w:rPr>
          <w:rFonts w:hint="eastAsia" w:ascii="Times New Roman" w:hAnsi="Times New Roman" w:cs="Times New Roman" w:eastAsiaTheme="minorEastAsia"/>
          <w:iCs/>
          <w:color w:val="000000" w:themeColor="text1"/>
          <w:sz w:val="21"/>
          <w:szCs w:val="21"/>
        </w:rPr>
        <w:t xml:space="preserve">6 建筑光储直柔电气系统设计还应符合国家现行标准《建筑电气与智能化通用规范》 </w:t>
      </w:r>
      <w:r>
        <w:rPr>
          <w:rFonts w:ascii="Times New Roman" w:hAnsi="Times New Roman" w:cs="Times New Roman" w:eastAsiaTheme="minorEastAsia"/>
          <w:iCs/>
          <w:color w:val="000000" w:themeColor="text1"/>
          <w:sz w:val="21"/>
          <w:szCs w:val="21"/>
        </w:rPr>
        <w:t>GB 55024</w:t>
      </w:r>
      <w:r>
        <w:rPr>
          <w:rFonts w:hint="eastAsia" w:ascii="Times New Roman" w:hAnsi="Times New Roman" w:cs="Times New Roman" w:eastAsiaTheme="minorEastAsia"/>
          <w:iCs/>
          <w:color w:val="000000" w:themeColor="text1"/>
          <w:sz w:val="21"/>
          <w:szCs w:val="21"/>
        </w:rPr>
        <w:t>、</w:t>
      </w:r>
      <w:r>
        <w:rPr>
          <w:rFonts w:ascii="Times New Roman" w:hAnsi="Times New Roman" w:cs="Times New Roman" w:eastAsiaTheme="minorEastAsia"/>
          <w:iCs/>
          <w:color w:val="000000" w:themeColor="text1"/>
          <w:sz w:val="21"/>
          <w:szCs w:val="21"/>
        </w:rPr>
        <w:t>《民用建筑电气设计标准》GB 51348</w:t>
      </w:r>
      <w:r>
        <w:rPr>
          <w:rFonts w:hint="eastAsia" w:ascii="Times New Roman" w:hAnsi="Times New Roman" w:cs="Times New Roman" w:eastAsiaTheme="minorEastAsia"/>
          <w:iCs/>
          <w:color w:val="000000" w:themeColor="text1"/>
          <w:sz w:val="21"/>
          <w:szCs w:val="21"/>
        </w:rPr>
        <w:t xml:space="preserve">和《供配电系统设计规范》 </w:t>
      </w:r>
      <w:r>
        <w:rPr>
          <w:rFonts w:ascii="Times New Roman" w:hAnsi="Times New Roman" w:cs="Times New Roman" w:eastAsiaTheme="minorEastAsia"/>
          <w:iCs/>
          <w:color w:val="000000" w:themeColor="text1"/>
          <w:sz w:val="21"/>
          <w:szCs w:val="21"/>
        </w:rPr>
        <w:t xml:space="preserve">GB </w:t>
      </w:r>
      <w:r>
        <w:rPr>
          <w:rFonts w:hint="eastAsia" w:ascii="Times New Roman" w:hAnsi="Times New Roman" w:cs="Times New Roman" w:eastAsiaTheme="minorEastAsia"/>
          <w:iCs/>
          <w:color w:val="000000" w:themeColor="text1"/>
          <w:sz w:val="21"/>
          <w:szCs w:val="21"/>
        </w:rPr>
        <w:t>50052等的有关规定。</w:t>
      </w:r>
    </w:p>
    <w:p>
      <w:pPr>
        <w:spacing w:line="360" w:lineRule="auto"/>
        <w:rPr>
          <w:rFonts w:ascii="Times New Roman" w:hAnsi="Times New Roman" w:eastAsia="宋体" w:cs="Times New Roman"/>
          <w:color w:val="000000" w:themeColor="text1"/>
          <w:sz w:val="21"/>
          <w:szCs w:val="21"/>
        </w:rPr>
      </w:pPr>
      <w:r>
        <w:rPr>
          <w:rFonts w:ascii="Times New Roman" w:hAnsi="Times New Roman" w:cs="Times New Roman" w:eastAsiaTheme="minorEastAsia"/>
          <w:iCs/>
          <w:color w:val="000000" w:themeColor="text1"/>
          <w:sz w:val="21"/>
          <w:szCs w:val="21"/>
        </w:rPr>
        <w:br w:type="page"/>
      </w:r>
    </w:p>
    <w:p>
      <w:pPr>
        <w:pStyle w:val="2"/>
      </w:pPr>
      <w:bookmarkStart w:id="68" w:name="_Toc14864"/>
      <w:bookmarkStart w:id="69" w:name="_Toc24489"/>
      <w:bookmarkStart w:id="70" w:name="_Toc20490"/>
      <w:bookmarkStart w:id="71" w:name="_Toc184275290"/>
      <w:bookmarkStart w:id="72" w:name="_Toc30358"/>
      <w:bookmarkStart w:id="73" w:name="_Toc27231"/>
      <w:bookmarkStart w:id="74" w:name="_Toc24196"/>
      <w:r>
        <w:t>4</w:t>
      </w:r>
      <w:r>
        <w:rPr>
          <w:rFonts w:hint="eastAsia"/>
        </w:rPr>
        <w:t xml:space="preserve"> </w:t>
      </w:r>
      <w:r>
        <w:t>建筑光伏系统</w:t>
      </w:r>
      <w:bookmarkEnd w:id="68"/>
      <w:bookmarkEnd w:id="69"/>
      <w:bookmarkEnd w:id="70"/>
      <w:bookmarkEnd w:id="71"/>
      <w:bookmarkStart w:id="75" w:name="_Toc184275291"/>
    </w:p>
    <w:p>
      <w:pPr>
        <w:pStyle w:val="3"/>
        <w:numPr>
          <w:ilvl w:val="255"/>
          <w:numId w:val="0"/>
        </w:numPr>
        <w:spacing w:before="157" w:beforeLines="50" w:after="0" w:line="360" w:lineRule="auto"/>
        <w:rPr>
          <w:rFonts w:ascii="Times New Roman" w:hAnsi="Times New Roman" w:cs="Times New Roman" w:eastAsiaTheme="majorEastAsia"/>
          <w:bCs/>
          <w:color w:val="000000" w:themeColor="text1"/>
          <w:sz w:val="28"/>
          <w:szCs w:val="28"/>
        </w:rPr>
      </w:pPr>
      <w:bookmarkStart w:id="76" w:name="_Toc22929"/>
      <w:bookmarkStart w:id="77" w:name="_Toc2699"/>
      <w:bookmarkStart w:id="78" w:name="_Toc31850"/>
      <w:r>
        <w:rPr>
          <w:rFonts w:hint="eastAsia" w:ascii="Times New Roman" w:hAnsi="Times New Roman" w:cs="Times New Roman" w:eastAsiaTheme="majorEastAsia"/>
          <w:bCs/>
          <w:color w:val="000000" w:themeColor="text1"/>
          <w:sz w:val="28"/>
          <w:szCs w:val="28"/>
        </w:rPr>
        <w:t>4.1</w:t>
      </w:r>
      <w:r>
        <w:rPr>
          <w:rFonts w:ascii="Times New Roman" w:hAnsi="Times New Roman" w:cs="Times New Roman" w:eastAsiaTheme="majorEastAsia"/>
          <w:bCs/>
          <w:color w:val="000000" w:themeColor="text1"/>
          <w:sz w:val="28"/>
          <w:szCs w:val="28"/>
        </w:rPr>
        <w:t xml:space="preserve"> </w:t>
      </w:r>
      <w:r>
        <w:rPr>
          <w:rFonts w:hint="eastAsia" w:ascii="Times New Roman" w:hAnsi="Times New Roman" w:cs="Times New Roman" w:eastAsiaTheme="majorEastAsia"/>
          <w:bCs/>
          <w:color w:val="000000" w:themeColor="text1"/>
          <w:sz w:val="28"/>
          <w:szCs w:val="28"/>
        </w:rPr>
        <w:t>一般规定</w:t>
      </w:r>
      <w:bookmarkEnd w:id="75"/>
      <w:bookmarkEnd w:id="76"/>
      <w:bookmarkEnd w:id="77"/>
      <w:bookmarkEnd w:id="78"/>
    </w:p>
    <w:p>
      <w:pPr>
        <w:widowControl/>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4.1.</w:t>
      </w:r>
      <w:r>
        <w:rPr>
          <w:rFonts w:hint="eastAsia" w:ascii="Times New Roman" w:hAnsi="Times New Roman" w:cs="Times New Roman" w:eastAsiaTheme="minorEastAsia"/>
          <w:iCs/>
          <w:color w:val="000000" w:themeColor="text1"/>
          <w:sz w:val="21"/>
          <w:szCs w:val="21"/>
        </w:rPr>
        <w:t>1</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建筑光伏系统根据安装形式的不同可分为以下两类：</w:t>
      </w:r>
    </w:p>
    <w:p>
      <w:pPr>
        <w:widowControl/>
        <w:spacing w:line="360" w:lineRule="auto"/>
        <w:ind w:left="210" w:leftChars="75" w:firstLine="210" w:firstLineChars="1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1 </w:t>
      </w:r>
      <w:r>
        <w:rPr>
          <w:rFonts w:hint="eastAsia" w:ascii="Times New Roman" w:hAnsi="Times New Roman" w:cs="Times New Roman" w:eastAsiaTheme="minorEastAsia"/>
          <w:iCs/>
          <w:color w:val="000000" w:themeColor="text1"/>
          <w:sz w:val="21"/>
          <w:szCs w:val="21"/>
        </w:rPr>
        <w:t>建筑光伏一体化系统（BIPV)：光伏发电设备作为建筑材料或构件，在建筑及其附属物上应用的形式；</w:t>
      </w:r>
    </w:p>
    <w:p>
      <w:pPr>
        <w:widowControl/>
        <w:spacing w:line="360" w:lineRule="auto"/>
        <w:ind w:left="210" w:leftChars="75" w:firstLine="210" w:firstLineChars="1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2 </w:t>
      </w:r>
      <w:r>
        <w:rPr>
          <w:rFonts w:hint="eastAsia" w:ascii="Times New Roman" w:hAnsi="Times New Roman" w:cs="Times New Roman" w:eastAsiaTheme="minorEastAsia"/>
          <w:iCs/>
          <w:color w:val="000000" w:themeColor="text1"/>
          <w:sz w:val="21"/>
          <w:szCs w:val="21"/>
        </w:rPr>
        <w:t>建筑附加光伏系统（BAPV)：光伏发电设备不作为建筑材料或构件，在建筑及其附属物上安装的形式。</w:t>
      </w:r>
    </w:p>
    <w:p>
      <w:pPr>
        <w:widowControl/>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4.</w:t>
      </w:r>
      <w:r>
        <w:rPr>
          <w:rFonts w:hint="eastAsia" w:ascii="Times New Roman" w:hAnsi="Times New Roman" w:cs="Times New Roman" w:eastAsiaTheme="minorEastAsia"/>
          <w:iCs/>
          <w:color w:val="000000" w:themeColor="text1"/>
          <w:sz w:val="21"/>
          <w:szCs w:val="21"/>
        </w:rPr>
        <w:t>1</w:t>
      </w:r>
      <w:r>
        <w:rPr>
          <w:rFonts w:ascii="Times New Roman" w:hAnsi="Times New Roman" w:cs="Times New Roman" w:eastAsiaTheme="minorEastAsia"/>
          <w:iCs/>
          <w:color w:val="000000" w:themeColor="text1"/>
          <w:sz w:val="21"/>
          <w:szCs w:val="21"/>
        </w:rPr>
        <w:t>.</w:t>
      </w:r>
      <w:r>
        <w:rPr>
          <w:rFonts w:hint="eastAsia" w:ascii="Times New Roman" w:hAnsi="Times New Roman" w:cs="Times New Roman" w:eastAsiaTheme="minorEastAsia"/>
          <w:iCs/>
          <w:color w:val="000000" w:themeColor="text1"/>
          <w:sz w:val="21"/>
          <w:szCs w:val="21"/>
        </w:rPr>
        <w:t>2</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建筑光伏系统的发电规模和形式应结合太阳能资源、建筑条件、安装和运输条件、负荷特点等因素确定，并应满足安全可靠、经济适用、环保美观，便于安装和维护的要求。</w:t>
      </w:r>
    </w:p>
    <w:p>
      <w:pPr>
        <w:widowControl/>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4.1.</w:t>
      </w:r>
      <w:r>
        <w:rPr>
          <w:rFonts w:hint="eastAsia" w:ascii="Times New Roman" w:hAnsi="Times New Roman" w:cs="Times New Roman" w:eastAsiaTheme="minorEastAsia"/>
          <w:iCs/>
          <w:color w:val="000000" w:themeColor="text1"/>
          <w:sz w:val="21"/>
          <w:szCs w:val="21"/>
        </w:rPr>
        <w:t>3</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建筑光伏系统设计应对当地太阳辐射资源进行分析，并应分析周围环境对太阳辐射和系统运行的影响。</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4.1.4建筑光伏接入电网应满足《电力系统安全稳定导则》GB 38755、《电力系统网源协调技术规范》DL/T 1870等相关国家和行业标准要求，统筹考虑建设条件、电网接入点等因素。</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4.1.5 建筑附加光伏系统不得影响既有建筑物消防疏散通道和消防设施的正常使用。</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4.1</w:t>
      </w:r>
      <w:r>
        <w:rPr>
          <w:rFonts w:ascii="Times New Roman" w:hAnsi="Times New Roman" w:cs="Times New Roman" w:eastAsiaTheme="minorEastAsia"/>
          <w:iCs/>
          <w:color w:val="000000" w:themeColor="text1"/>
          <w:sz w:val="21"/>
          <w:szCs w:val="21"/>
        </w:rPr>
        <w:t>.</w:t>
      </w:r>
      <w:r>
        <w:rPr>
          <w:rFonts w:hint="eastAsia" w:ascii="Times New Roman" w:hAnsi="Times New Roman" w:cs="Times New Roman" w:eastAsiaTheme="minorEastAsia"/>
          <w:iCs/>
          <w:color w:val="000000" w:themeColor="text1"/>
          <w:sz w:val="21"/>
          <w:szCs w:val="21"/>
        </w:rPr>
        <w:t>6 建筑光伏一体化系统</w:t>
      </w:r>
      <w:r>
        <w:rPr>
          <w:rFonts w:ascii="Times New Roman" w:hAnsi="Times New Roman" w:cs="Times New Roman" w:eastAsiaTheme="minorEastAsia"/>
          <w:iCs/>
          <w:color w:val="000000" w:themeColor="text1"/>
          <w:sz w:val="21"/>
          <w:szCs w:val="21"/>
        </w:rPr>
        <w:t>与建筑工程</w:t>
      </w:r>
      <w:r>
        <w:rPr>
          <w:rFonts w:hint="eastAsia" w:ascii="Times New Roman" w:hAnsi="Times New Roman" w:cs="Times New Roman" w:eastAsiaTheme="minorEastAsia"/>
          <w:iCs/>
          <w:color w:val="000000" w:themeColor="text1"/>
          <w:sz w:val="21"/>
          <w:szCs w:val="21"/>
        </w:rPr>
        <w:t>应</w:t>
      </w:r>
      <w:r>
        <w:rPr>
          <w:rFonts w:ascii="Times New Roman" w:hAnsi="Times New Roman" w:cs="Times New Roman" w:eastAsiaTheme="minorEastAsia"/>
          <w:iCs/>
          <w:color w:val="000000" w:themeColor="text1"/>
          <w:sz w:val="21"/>
          <w:szCs w:val="21"/>
        </w:rPr>
        <w:t>统一规划、一体化设计、同步施工和同步验收。</w:t>
      </w:r>
    </w:p>
    <w:p>
      <w:pPr>
        <w:widowControl/>
        <w:spacing w:line="360" w:lineRule="auto"/>
        <w:rPr>
          <w:rFonts w:ascii="Times New Roman" w:hAnsi="Times New Roman" w:cs="Times New Roman" w:eastAsiaTheme="minorEastAsia"/>
          <w:iCs/>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79" w:name="_Toc9586"/>
      <w:bookmarkStart w:id="80" w:name="_Toc13095"/>
      <w:bookmarkStart w:id="81" w:name="_Toc27252"/>
      <w:bookmarkStart w:id="82" w:name="_Toc184275292"/>
      <w:r>
        <w:rPr>
          <w:rFonts w:hint="eastAsia" w:ascii="Times New Roman" w:hAnsi="Times New Roman" w:cs="Times New Roman" w:eastAsiaTheme="majorEastAsia"/>
          <w:bCs/>
          <w:color w:val="000000" w:themeColor="text1"/>
          <w:sz w:val="28"/>
          <w:szCs w:val="28"/>
        </w:rPr>
        <w:t>4</w:t>
      </w:r>
      <w:r>
        <w:rPr>
          <w:rFonts w:ascii="Times New Roman" w:hAnsi="Times New Roman" w:cs="Times New Roman" w:eastAsiaTheme="majorEastAsia"/>
          <w:bCs/>
          <w:color w:val="000000" w:themeColor="text1"/>
          <w:sz w:val="28"/>
          <w:szCs w:val="28"/>
        </w:rPr>
        <w:t>.</w:t>
      </w:r>
      <w:r>
        <w:rPr>
          <w:rFonts w:hint="eastAsia" w:ascii="Times New Roman" w:hAnsi="Times New Roman" w:cs="Times New Roman" w:eastAsiaTheme="majorEastAsia"/>
          <w:bCs/>
          <w:color w:val="000000" w:themeColor="text1"/>
          <w:sz w:val="28"/>
          <w:szCs w:val="28"/>
        </w:rPr>
        <w:t>2</w:t>
      </w:r>
      <w:r>
        <w:rPr>
          <w:rFonts w:ascii="Times New Roman" w:hAnsi="Times New Roman" w:cs="Times New Roman" w:eastAsiaTheme="majorEastAsia"/>
          <w:bCs/>
          <w:color w:val="000000" w:themeColor="text1"/>
          <w:sz w:val="28"/>
          <w:szCs w:val="28"/>
        </w:rPr>
        <w:t xml:space="preserve"> 发电系统设计</w:t>
      </w:r>
      <w:bookmarkEnd w:id="79"/>
      <w:bookmarkEnd w:id="80"/>
      <w:bookmarkEnd w:id="81"/>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4.2.1 </w:t>
      </w:r>
      <w:r>
        <w:rPr>
          <w:rFonts w:hint="eastAsia" w:ascii="Times New Roman" w:hAnsi="Times New Roman" w:cs="Times New Roman" w:eastAsiaTheme="minorEastAsia"/>
          <w:iCs/>
          <w:color w:val="000000" w:themeColor="text1"/>
          <w:sz w:val="21"/>
          <w:szCs w:val="21"/>
        </w:rPr>
        <w:t>具备条件的建筑物宜安装建筑光伏</w:t>
      </w:r>
      <w:r>
        <w:rPr>
          <w:rFonts w:hint="eastAsia" w:ascii="Times New Roman" w:hAnsi="Times New Roman" w:cs="Times New Roman" w:eastAsiaTheme="minorEastAsia"/>
          <w:color w:val="000000" w:themeColor="text1"/>
          <w:sz w:val="21"/>
          <w:szCs w:val="21"/>
        </w:rPr>
        <w:t>设施</w:t>
      </w:r>
      <w:r>
        <w:rPr>
          <w:rFonts w:hint="eastAsia" w:ascii="Times New Roman" w:hAnsi="Times New Roman" w:cs="Times New Roman" w:eastAsiaTheme="minorEastAsia"/>
          <w:iCs/>
          <w:color w:val="000000" w:themeColor="text1"/>
          <w:sz w:val="21"/>
          <w:szCs w:val="21"/>
        </w:rPr>
        <w:t>，以下情况应安装建筑光伏</w:t>
      </w:r>
      <w:r>
        <w:rPr>
          <w:rFonts w:hint="eastAsia" w:ascii="Times New Roman" w:hAnsi="Times New Roman" w:cs="Times New Roman" w:eastAsiaTheme="minorEastAsia"/>
          <w:color w:val="000000" w:themeColor="text1"/>
          <w:sz w:val="21"/>
          <w:szCs w:val="21"/>
        </w:rPr>
        <w:t>设施</w:t>
      </w:r>
      <w:r>
        <w:rPr>
          <w:rFonts w:hint="eastAsia" w:ascii="Times New Roman" w:hAnsi="Times New Roman" w:cs="Times New Roman" w:eastAsiaTheme="minorEastAsia"/>
          <w:iCs/>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单体屋顶面积500m</w:t>
      </w:r>
      <w:r>
        <w:rPr>
          <w:rFonts w:ascii="Times New Roman" w:hAnsi="Times New Roman" w:cs="Times New Roman" w:eastAsiaTheme="minorEastAsia"/>
          <w:color w:val="000000" w:themeColor="text1"/>
          <w:sz w:val="21"/>
          <w:szCs w:val="21"/>
          <w:vertAlign w:val="superscript"/>
        </w:rPr>
        <w:t>2</w:t>
      </w:r>
      <w:r>
        <w:rPr>
          <w:rFonts w:hint="eastAsia" w:ascii="Times New Roman" w:hAnsi="Times New Roman" w:cs="Times New Roman" w:eastAsiaTheme="minorEastAsia"/>
          <w:color w:val="000000" w:themeColor="text1"/>
          <w:sz w:val="21"/>
          <w:szCs w:val="21"/>
        </w:rPr>
        <w:t>及以上的各类新建公共建筑，应同步建设建筑光伏一体化设施，光伏组件投影面积原则上不少于屋顶面积的50%；</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有玻璃幕墙、石材外墙或铝板外墙等设计要求的政府投资项目，墙面光伏组件面积不少于南、东、西三向墙面有效面积之和的10%；</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w:t>
      </w:r>
      <w:r>
        <w:rPr>
          <w:rFonts w:hint="eastAsia" w:ascii="Times New Roman" w:hAnsi="Times New Roman" w:cs="Times New Roman" w:eastAsiaTheme="minorEastAsia"/>
          <w:color w:val="000000" w:themeColor="text1"/>
          <w:sz w:val="21"/>
          <w:szCs w:val="21"/>
        </w:rPr>
        <w:t>单体屋顶面积1000m</w:t>
      </w:r>
      <w:r>
        <w:rPr>
          <w:rFonts w:ascii="Times New Roman" w:hAnsi="Times New Roman" w:cs="Times New Roman" w:eastAsiaTheme="minorEastAsia"/>
          <w:color w:val="000000" w:themeColor="text1"/>
          <w:sz w:val="21"/>
          <w:szCs w:val="21"/>
          <w:vertAlign w:val="superscript"/>
        </w:rPr>
        <w:t>2</w:t>
      </w:r>
      <w:r>
        <w:rPr>
          <w:rFonts w:hint="eastAsia" w:ascii="Times New Roman" w:hAnsi="Times New Roman" w:cs="Times New Roman" w:eastAsiaTheme="minorEastAsia"/>
          <w:color w:val="000000" w:themeColor="text1"/>
          <w:sz w:val="21"/>
          <w:szCs w:val="21"/>
        </w:rPr>
        <w:t>及以上的各级政府部门、学校、医院等既有公共建筑，应结合实际加装建筑光伏一体化设施，光伏组件投影面积不少于屋顶面积的50%，或者不少于南、东、西三向墙面有效面积之和的10%；</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 </w:t>
      </w:r>
      <w:r>
        <w:rPr>
          <w:rFonts w:hint="eastAsia" w:ascii="Times New Roman" w:hAnsi="Times New Roman" w:cs="Times New Roman" w:eastAsiaTheme="minorEastAsia"/>
          <w:color w:val="000000" w:themeColor="text1"/>
          <w:sz w:val="21"/>
          <w:szCs w:val="21"/>
        </w:rPr>
        <w:t>单体屋顶面积</w:t>
      </w:r>
      <w:r>
        <w:rPr>
          <w:rFonts w:ascii="Times New Roman" w:hAnsi="Times New Roman" w:cs="Times New Roman" w:eastAsiaTheme="minorEastAsia"/>
          <w:color w:val="000000" w:themeColor="text1"/>
          <w:sz w:val="21"/>
          <w:szCs w:val="21"/>
        </w:rPr>
        <w:t>1000m</w:t>
      </w:r>
      <w:r>
        <w:rPr>
          <w:rFonts w:ascii="Times New Roman" w:hAnsi="Times New Roman" w:cs="Times New Roman" w:eastAsiaTheme="minorEastAsia"/>
          <w:color w:val="000000" w:themeColor="text1"/>
          <w:sz w:val="21"/>
          <w:szCs w:val="21"/>
          <w:vertAlign w:val="superscript"/>
        </w:rPr>
        <w:t>2</w:t>
      </w:r>
      <w:r>
        <w:rPr>
          <w:rFonts w:hint="eastAsia" w:ascii="Times New Roman" w:hAnsi="Times New Roman" w:cs="Times New Roman" w:eastAsiaTheme="minorEastAsia"/>
          <w:color w:val="000000" w:themeColor="text1"/>
          <w:sz w:val="21"/>
          <w:szCs w:val="21"/>
        </w:rPr>
        <w:t>及以上的，光伏组件投影面积不少于屋顶面积的70%；单体屋顶面积1000</w:t>
      </w:r>
      <w:r>
        <w:rPr>
          <w:rFonts w:ascii="Times New Roman" w:hAnsi="Times New Roman" w:cs="Times New Roman" w:eastAsiaTheme="minorEastAsia"/>
          <w:color w:val="000000" w:themeColor="text1"/>
          <w:sz w:val="21"/>
          <w:szCs w:val="21"/>
        </w:rPr>
        <w:t>m</w:t>
      </w:r>
      <w:r>
        <w:rPr>
          <w:rFonts w:ascii="Times New Roman" w:hAnsi="Times New Roman" w:cs="Times New Roman" w:eastAsiaTheme="minorEastAsia"/>
          <w:color w:val="000000" w:themeColor="text1"/>
          <w:sz w:val="21"/>
          <w:szCs w:val="21"/>
          <w:vertAlign w:val="superscript"/>
        </w:rPr>
        <w:t>2</w:t>
      </w:r>
      <w:r>
        <w:rPr>
          <w:rFonts w:hint="eastAsia" w:ascii="Times New Roman" w:hAnsi="Times New Roman" w:cs="Times New Roman" w:eastAsiaTheme="minorEastAsia"/>
          <w:color w:val="000000" w:themeColor="text1"/>
          <w:sz w:val="21"/>
          <w:szCs w:val="21"/>
        </w:rPr>
        <w:t>以下的，光伏组件投影面积不少于屋顶面积的50%；设计要求有墙面光伏组件的，面积不少于南、东、西三向墙面有效面积之和的10%；</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w:t>
      </w:r>
      <w:r>
        <w:rPr>
          <w:rFonts w:hint="eastAsia" w:ascii="Times New Roman" w:hAnsi="Times New Roman" w:cs="Times New Roman" w:eastAsiaTheme="minorEastAsia"/>
          <w:color w:val="000000" w:themeColor="text1"/>
          <w:sz w:val="21"/>
          <w:szCs w:val="21"/>
        </w:rPr>
        <w:t xml:space="preserve"> 新建居住建筑采用建筑光伏一体化技术的，光伏组件投影面积原则上不少于屋顶面积的20%；</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6 </w:t>
      </w:r>
      <w:r>
        <w:rPr>
          <w:rFonts w:hint="eastAsia" w:ascii="Times New Roman" w:hAnsi="Times New Roman" w:cs="Times New Roman" w:eastAsiaTheme="minorEastAsia"/>
          <w:color w:val="000000" w:themeColor="text1"/>
          <w:sz w:val="21"/>
          <w:szCs w:val="21"/>
        </w:rPr>
        <w:t>其他标准和管理要求的情况。</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4.2.2</w:t>
      </w:r>
      <w:r>
        <w:rPr>
          <w:rFonts w:hint="eastAsia" w:ascii="Times New Roman" w:hAnsi="Times New Roman" w:cs="Times New Roman" w:eastAsiaTheme="minorEastAsia"/>
          <w:color w:val="000000" w:themeColor="text1"/>
          <w:sz w:val="21"/>
          <w:szCs w:val="21"/>
        </w:rPr>
        <w:t xml:space="preserve"> 车棚、围墙，工矿企业堆场防雨棚、遮阳棚，收费站、声屏障、围栏等建筑附属物，以及其他较长使用年限的临时建筑等宜安装建筑光伏设施。</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4.2.</w:t>
      </w:r>
      <w:r>
        <w:rPr>
          <w:rFonts w:hint="eastAsia" w:ascii="Times New Roman" w:hAnsi="Times New Roman" w:cs="Times New Roman" w:eastAsiaTheme="minorEastAsia"/>
          <w:color w:val="000000" w:themeColor="text1"/>
          <w:sz w:val="21"/>
          <w:szCs w:val="21"/>
        </w:rPr>
        <w:t>3 建筑光伏系统的光伏方阵应结合太阳辐照度、风速、雨水、积雪等气候条件及建筑朝向、屋顶结构、阴影遮挡、建筑造型等因素进行设计,经技术经济比较后确定方位角、倾角和阵列行距。</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4.2.</w:t>
      </w:r>
      <w:r>
        <w:rPr>
          <w:rFonts w:hint="eastAsia" w:ascii="Times New Roman" w:hAnsi="Times New Roman" w:cs="Times New Roman" w:eastAsiaTheme="minorEastAsia"/>
          <w:color w:val="000000" w:themeColor="text1"/>
          <w:sz w:val="21"/>
          <w:szCs w:val="21"/>
        </w:rPr>
        <w:t>4 建筑光伏系统光伏方阵宜采用固定式安装。</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4.2.</w:t>
      </w:r>
      <w:r>
        <w:rPr>
          <w:rFonts w:hint="eastAsia" w:ascii="Times New Roman" w:hAnsi="Times New Roman" w:cs="Times New Roman" w:eastAsiaTheme="minorEastAsia"/>
          <w:color w:val="000000" w:themeColor="text1"/>
          <w:sz w:val="21"/>
          <w:szCs w:val="21"/>
        </w:rPr>
        <w:t>5 建筑光伏组件按电池类型可分为晶体硅光伏组件、薄膜光伏组件及其他类型的光伏组件。太阳辐射量较高、直射分量较大的建、构筑物顶部宜选用晶体硅光伏组件。太阳辐射量较低、散射分量较大的建、构筑物墙面宜选用薄膜光伏组件。</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4.2</w:t>
      </w:r>
      <w:r>
        <w:rPr>
          <w:rFonts w:hint="eastAsia" w:ascii="Times New Roman" w:hAnsi="Times New Roman" w:cs="Times New Roman" w:eastAsiaTheme="minorEastAsia"/>
          <w:color w:val="000000" w:themeColor="text1"/>
          <w:sz w:val="21"/>
          <w:szCs w:val="21"/>
        </w:rPr>
        <w:t>.6建筑光伏发电系统宜采用组串式逆变器，就近接入建筑光储直柔电气系统。</w:t>
      </w:r>
    </w:p>
    <w:p>
      <w:pPr>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4.2.7 光伏方阵中同一组串中各光伏组件的电压、方阵朝向、安装倾角宜一致。光伏组件串的工作电压变化范围应在逆变器的最大功率跟踪电压范围内，组件串联数量应满足《光伏发电站设计规范》GB 50797的要求。</w:t>
      </w:r>
    </w:p>
    <w:p>
      <w:pPr>
        <w:spacing w:line="360" w:lineRule="auto"/>
        <w:jc w:val="left"/>
        <w:rPr>
          <w:rFonts w:hint="eastAsia"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4.2.8 建筑光伏系统的发电量应按不同的系统类型、组件类型、方阵布置及设备的配置进行计算，宜以每个并网点为单元，分单元计算发电量。各单元发电量计算方法应满足《光伏发电站设计规范》GB 50797及《</w:t>
      </w:r>
      <w:r>
        <w:rPr>
          <w:rFonts w:ascii="Times New Roman" w:hAnsi="Times New Roman" w:cs="Times New Roman" w:eastAsiaTheme="minorEastAsia"/>
          <w:color w:val="000000" w:themeColor="text1"/>
          <w:sz w:val="21"/>
          <w:szCs w:val="21"/>
        </w:rPr>
        <w:t>建筑光伏系统应用技术标准</w:t>
      </w:r>
      <w:r>
        <w:rPr>
          <w:rFonts w:hint="eastAsia" w:ascii="Times New Roman" w:hAnsi="Times New Roman" w:cs="Times New Roman" w:eastAsiaTheme="minorEastAsia"/>
          <w:color w:val="000000" w:themeColor="text1"/>
          <w:sz w:val="21"/>
          <w:szCs w:val="21"/>
        </w:rPr>
        <w:t>》</w:t>
      </w:r>
      <w:r>
        <w:rPr>
          <w:color w:val="000000" w:themeColor="text1"/>
        </w:rPr>
        <w:fldChar w:fldCharType="begin"/>
      </w:r>
      <w:r>
        <w:rPr>
          <w:color w:val="000000" w:themeColor="text1"/>
        </w:rPr>
        <w:instrText xml:space="preserve"> HYPERLINK "https://www.so.com/link?m=ux4CTiyUnhUUibPCVSOuIO6My/vu+UcbLRCQO0D68vltiyoZx8ZP713QT2b7ulaA4wFyrQTsE79m6T1e1kfPyAYI7qkicyFG80QSsR9DnGIfPX4Y9IbKIUJrKWry7dgGiUio6HqQhYBie7A98Sn3RTUZ7PHqSiQ4BYufgKLMuESYHjXsbkH8Vkr5jolcr7Db/ScAxrb6vyYJVvG8FKuM6vhxDwSxJxVYcRs3b8xapAGR300lm5vOScFunPnFGH+Ego202X1OZ+bySX9eZRPNam3UYl0xgVUrT" \t "https://www.so.com/_blank" </w:instrText>
      </w:r>
      <w:r>
        <w:rPr>
          <w:color w:val="000000" w:themeColor="text1"/>
        </w:rPr>
        <w:fldChar w:fldCharType="separate"/>
      </w:r>
      <w:r>
        <w:rPr>
          <w:rFonts w:ascii="Times New Roman" w:hAnsi="Times New Roman" w:cs="Times New Roman" w:eastAsiaTheme="minorEastAsia"/>
          <w:color w:val="000000" w:themeColor="text1"/>
          <w:sz w:val="21"/>
          <w:szCs w:val="21"/>
        </w:rPr>
        <w:t>GB</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T</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51368</w:t>
      </w:r>
      <w:r>
        <w:rPr>
          <w:rFonts w:ascii="Times New Roman" w:hAnsi="Times New Roman" w:cs="Times New Roman" w:eastAsiaTheme="minorEastAsia"/>
          <w:color w:val="000000" w:themeColor="text1"/>
          <w:sz w:val="21"/>
          <w:szCs w:val="21"/>
        </w:rPr>
        <w:fldChar w:fldCharType="end"/>
      </w:r>
      <w:r>
        <w:rPr>
          <w:rFonts w:hint="eastAsia" w:ascii="Times New Roman" w:hAnsi="Times New Roman" w:cs="Times New Roman" w:eastAsiaTheme="minorEastAsia"/>
          <w:color w:val="000000" w:themeColor="text1"/>
          <w:sz w:val="21"/>
          <w:szCs w:val="21"/>
        </w:rPr>
        <w:t>的要求。</w:t>
      </w:r>
      <w:bookmarkStart w:id="83" w:name="_Toc1238"/>
    </w:p>
    <w:p>
      <w:pPr>
        <w:spacing w:line="360" w:lineRule="auto"/>
        <w:jc w:val="left"/>
        <w:rPr>
          <w:rFonts w:hint="eastAsia"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eastAsia="宋体" w:cs="Times New Roman"/>
          <w:color w:val="000000" w:themeColor="text1"/>
          <w:sz w:val="30"/>
          <w:szCs w:val="30"/>
        </w:rPr>
      </w:pPr>
      <w:bookmarkStart w:id="84" w:name="_Toc22756"/>
      <w:bookmarkStart w:id="85" w:name="_Toc9189"/>
      <w:r>
        <w:rPr>
          <w:rFonts w:hint="eastAsia" w:ascii="Times New Roman" w:hAnsi="Times New Roman" w:cs="Times New Roman" w:eastAsiaTheme="majorEastAsia"/>
          <w:bCs/>
          <w:color w:val="000000" w:themeColor="text1"/>
          <w:sz w:val="28"/>
          <w:szCs w:val="28"/>
        </w:rPr>
        <w:t>4.3</w:t>
      </w:r>
      <w:r>
        <w:rPr>
          <w:rFonts w:ascii="Times New Roman" w:hAnsi="Times New Roman" w:cs="Times New Roman" w:eastAsiaTheme="majorEastAsia"/>
          <w:bCs/>
          <w:color w:val="000000" w:themeColor="text1"/>
          <w:sz w:val="28"/>
          <w:szCs w:val="28"/>
        </w:rPr>
        <w:t>系统接入</w:t>
      </w:r>
      <w:bookmarkEnd w:id="82"/>
      <w:bookmarkEnd w:id="83"/>
      <w:bookmarkEnd w:id="84"/>
      <w:bookmarkEnd w:id="85"/>
    </w:p>
    <w:p>
      <w:pPr>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4.3.1建筑光伏接入电网应根据《分布式电源接入电网承载力评估导则》DL/T</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2041要求逐级开展电网可接入容量计算，确保接入后电网安全稳定运行。在此基础上，开展建筑光伏接入方案可行性论证。</w:t>
      </w:r>
    </w:p>
    <w:p>
      <w:pPr>
        <w:widowControl/>
        <w:spacing w:line="360" w:lineRule="auto"/>
        <w:rPr>
          <w:rFonts w:hint="eastAsia"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4.3.</w:t>
      </w:r>
      <w:r>
        <w:rPr>
          <w:rFonts w:ascii="Times New Roman" w:hAnsi="Times New Roman" w:cs="Times New Roman" w:eastAsiaTheme="minorEastAsia"/>
          <w:iCs/>
          <w:color w:val="000000" w:themeColor="text1"/>
          <w:sz w:val="21"/>
          <w:szCs w:val="21"/>
          <w:highlight w:val="none"/>
        </w:rPr>
        <w:t>2</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建筑光伏接入系统原则上，应接入用户内部电网，</w:t>
      </w:r>
      <w:r>
        <w:rPr>
          <w:rFonts w:ascii="Times New Roman" w:hAnsi="Times New Roman" w:cs="Times New Roman" w:eastAsiaTheme="minorEastAsia"/>
          <w:iCs/>
          <w:color w:val="000000" w:themeColor="text1"/>
          <w:sz w:val="21"/>
          <w:szCs w:val="21"/>
        </w:rPr>
        <w:t xml:space="preserve"> </w:t>
      </w:r>
      <w:r>
        <w:rPr>
          <w:rFonts w:hint="eastAsia" w:ascii="Times New Roman" w:hAnsi="Times New Roman" w:cs="Times New Roman" w:eastAsiaTheme="minorEastAsia"/>
          <w:iCs/>
          <w:color w:val="000000" w:themeColor="text1"/>
          <w:sz w:val="21"/>
          <w:szCs w:val="21"/>
        </w:rPr>
        <w:t>并充分发挥既有进户线作用，合理确定接入用户内部电网的建筑光伏总规模容量。</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4.3</w:t>
      </w:r>
      <w:r>
        <w:rPr>
          <w:rFonts w:ascii="Times New Roman" w:hAnsi="Times New Roman" w:cs="Times New Roman" w:eastAsiaTheme="minorEastAsia"/>
          <w:iCs/>
          <w:color w:val="000000" w:themeColor="text1"/>
          <w:sz w:val="21"/>
          <w:szCs w:val="21"/>
        </w:rPr>
        <w:t>.</w:t>
      </w:r>
      <w:r>
        <w:rPr>
          <w:rFonts w:hint="eastAsia" w:ascii="Times New Roman" w:hAnsi="Times New Roman" w:cs="Times New Roman" w:eastAsiaTheme="minorEastAsia"/>
          <w:iCs/>
          <w:color w:val="000000" w:themeColor="text1"/>
          <w:sz w:val="21"/>
          <w:szCs w:val="21"/>
        </w:rPr>
        <w:t>3</w:t>
      </w:r>
      <w:r>
        <w:rPr>
          <w:rFonts w:ascii="Times New Roman" w:hAnsi="Times New Roman" w:cs="Times New Roman" w:eastAsiaTheme="minorEastAsia"/>
          <w:iCs/>
          <w:color w:val="000000" w:themeColor="text1"/>
          <w:sz w:val="21"/>
          <w:szCs w:val="21"/>
        </w:rPr>
        <w:t xml:space="preserve"> 建筑光伏</w:t>
      </w:r>
      <w:r>
        <w:rPr>
          <w:rFonts w:hint="eastAsia" w:ascii="Times New Roman" w:hAnsi="Times New Roman" w:cs="Times New Roman" w:eastAsiaTheme="minorEastAsia"/>
          <w:iCs/>
          <w:color w:val="000000" w:themeColor="text1"/>
          <w:sz w:val="21"/>
          <w:szCs w:val="21"/>
        </w:rPr>
        <w:t>系统</w:t>
      </w:r>
      <w:r>
        <w:rPr>
          <w:rFonts w:ascii="Times New Roman" w:hAnsi="Times New Roman" w:cs="Times New Roman" w:eastAsiaTheme="minorEastAsia"/>
          <w:iCs/>
          <w:color w:val="000000" w:themeColor="text1"/>
          <w:sz w:val="21"/>
          <w:szCs w:val="21"/>
        </w:rPr>
        <w:t>发电并网点应根据消纳能力及配电设施情况选择</w:t>
      </w:r>
      <w:r>
        <w:rPr>
          <w:rFonts w:hint="eastAsia" w:ascii="Times New Roman" w:hAnsi="Times New Roman" w:cs="Times New Roman" w:eastAsiaTheme="minorEastAsia"/>
          <w:iCs/>
          <w:color w:val="000000" w:themeColor="text1"/>
          <w:sz w:val="21"/>
          <w:szCs w:val="21"/>
        </w:rPr>
        <w:t>以下方式之一：</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1 </w:t>
      </w:r>
      <w:r>
        <w:rPr>
          <w:rFonts w:hint="eastAsia" w:ascii="Times New Roman" w:hAnsi="Times New Roman" w:cs="Times New Roman" w:eastAsiaTheme="minorEastAsia"/>
          <w:iCs/>
          <w:color w:val="000000" w:themeColor="text1"/>
          <w:sz w:val="21"/>
          <w:szCs w:val="21"/>
        </w:rPr>
        <w:t xml:space="preserve"> </w:t>
      </w:r>
      <w:r>
        <w:rPr>
          <w:rFonts w:ascii="Times New Roman" w:hAnsi="Times New Roman" w:cs="Times New Roman" w:eastAsiaTheme="minorEastAsia"/>
          <w:iCs/>
          <w:color w:val="000000" w:themeColor="text1"/>
          <w:sz w:val="21"/>
          <w:szCs w:val="21"/>
        </w:rPr>
        <w:t>直流750V并网点为建筑</w:t>
      </w:r>
      <w:r>
        <w:rPr>
          <w:rFonts w:hint="eastAsia" w:ascii="Times New Roman" w:hAnsi="Times New Roman" w:cs="Times New Roman" w:eastAsiaTheme="minorEastAsia"/>
          <w:iCs/>
          <w:color w:val="000000" w:themeColor="text1"/>
          <w:sz w:val="21"/>
          <w:szCs w:val="21"/>
        </w:rPr>
        <w:t>光储直柔电气系统</w:t>
      </w:r>
      <w:r>
        <w:rPr>
          <w:rFonts w:ascii="Times New Roman" w:hAnsi="Times New Roman" w:cs="Times New Roman" w:eastAsiaTheme="minorEastAsia"/>
          <w:iCs/>
          <w:color w:val="000000" w:themeColor="text1"/>
          <w:sz w:val="21"/>
          <w:szCs w:val="21"/>
        </w:rPr>
        <w:t>的直流母线</w:t>
      </w:r>
      <w:r>
        <w:rPr>
          <w:rFonts w:hint="eastAsia" w:ascii="Times New Roman" w:hAnsi="Times New Roman" w:cs="Times New Roman" w:eastAsiaTheme="minorEastAsia"/>
          <w:iCs/>
          <w:color w:val="000000" w:themeColor="text1"/>
          <w:sz w:val="21"/>
          <w:szCs w:val="21"/>
        </w:rPr>
        <w:t>；</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2 </w:t>
      </w:r>
      <w:r>
        <w:rPr>
          <w:rFonts w:hint="eastAsia" w:ascii="Times New Roman" w:hAnsi="Times New Roman" w:cs="Times New Roman" w:eastAsiaTheme="minorEastAsia"/>
          <w:iCs/>
          <w:color w:val="000000" w:themeColor="text1"/>
          <w:sz w:val="21"/>
          <w:szCs w:val="21"/>
        </w:rPr>
        <w:t xml:space="preserve"> </w:t>
      </w:r>
      <w:r>
        <w:rPr>
          <w:rFonts w:ascii="Times New Roman" w:hAnsi="Times New Roman" w:cs="Times New Roman" w:eastAsiaTheme="minorEastAsia"/>
          <w:iCs/>
          <w:color w:val="000000" w:themeColor="text1"/>
          <w:sz w:val="21"/>
          <w:szCs w:val="21"/>
        </w:rPr>
        <w:t>220/380V交流并网点为</w:t>
      </w:r>
      <w:r>
        <w:rPr>
          <w:rFonts w:hint="eastAsia" w:ascii="Times New Roman" w:hAnsi="Times New Roman" w:cs="Times New Roman" w:eastAsiaTheme="minorEastAsia"/>
          <w:iCs/>
          <w:color w:val="000000" w:themeColor="text1"/>
          <w:sz w:val="21"/>
          <w:szCs w:val="21"/>
        </w:rPr>
        <w:t>用户</w:t>
      </w:r>
      <w:r>
        <w:rPr>
          <w:rFonts w:ascii="Times New Roman" w:hAnsi="Times New Roman" w:cs="Times New Roman" w:eastAsiaTheme="minorEastAsia"/>
          <w:iCs/>
          <w:color w:val="000000" w:themeColor="text1"/>
          <w:sz w:val="21"/>
          <w:szCs w:val="21"/>
        </w:rPr>
        <w:t>配电箱/线路、配电室、箱变或柱上变压器低压母线</w:t>
      </w:r>
      <w:r>
        <w:rPr>
          <w:rFonts w:hint="eastAsia" w:ascii="Times New Roman" w:hAnsi="Times New Roman" w:cs="Times New Roman" w:eastAsiaTheme="minorEastAsia"/>
          <w:iCs/>
          <w:color w:val="000000" w:themeColor="text1"/>
          <w:sz w:val="21"/>
          <w:szCs w:val="21"/>
        </w:rPr>
        <w:t>；</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3 </w:t>
      </w:r>
      <w:r>
        <w:rPr>
          <w:rFonts w:hint="eastAsia" w:ascii="Times New Roman" w:hAnsi="Times New Roman" w:cs="Times New Roman" w:eastAsiaTheme="minorEastAsia"/>
          <w:iCs/>
          <w:color w:val="000000" w:themeColor="text1"/>
          <w:sz w:val="21"/>
          <w:szCs w:val="21"/>
        </w:rPr>
        <w:t xml:space="preserve"> </w:t>
      </w:r>
      <w:r>
        <w:rPr>
          <w:rFonts w:ascii="Times New Roman" w:hAnsi="Times New Roman" w:cs="Times New Roman" w:eastAsiaTheme="minorEastAsia"/>
          <w:iCs/>
          <w:color w:val="000000" w:themeColor="text1"/>
          <w:sz w:val="21"/>
          <w:szCs w:val="21"/>
        </w:rPr>
        <w:t>10kV</w:t>
      </w:r>
      <w:r>
        <w:rPr>
          <w:rFonts w:hint="eastAsia" w:ascii="Times New Roman" w:hAnsi="Times New Roman" w:cs="Times New Roman" w:eastAsiaTheme="minorEastAsia"/>
          <w:iCs/>
          <w:color w:val="000000" w:themeColor="text1"/>
          <w:sz w:val="21"/>
          <w:szCs w:val="21"/>
        </w:rPr>
        <w:t>（</w:t>
      </w:r>
      <w:r>
        <w:rPr>
          <w:rFonts w:ascii="Times New Roman" w:hAnsi="Times New Roman" w:cs="Times New Roman" w:eastAsiaTheme="minorEastAsia"/>
          <w:iCs/>
          <w:color w:val="000000" w:themeColor="text1"/>
          <w:sz w:val="21"/>
          <w:szCs w:val="21"/>
        </w:rPr>
        <w:t>20kV)交流并网点为</w:t>
      </w:r>
      <w:r>
        <w:rPr>
          <w:rFonts w:hint="eastAsia" w:ascii="Times New Roman" w:hAnsi="Times New Roman" w:cs="Times New Roman" w:eastAsiaTheme="minorEastAsia"/>
          <w:iCs/>
          <w:color w:val="000000" w:themeColor="text1"/>
          <w:sz w:val="21"/>
          <w:szCs w:val="21"/>
        </w:rPr>
        <w:t>用户</w:t>
      </w:r>
      <w:r>
        <w:rPr>
          <w:rFonts w:ascii="Times New Roman" w:hAnsi="Times New Roman" w:cs="Times New Roman" w:eastAsiaTheme="minorEastAsia"/>
          <w:iCs/>
          <w:color w:val="000000" w:themeColor="text1"/>
          <w:sz w:val="21"/>
          <w:szCs w:val="21"/>
        </w:rPr>
        <w:t>开关站、环网箱（室）、配电室或箱变10kV</w:t>
      </w:r>
      <w:r>
        <w:rPr>
          <w:rFonts w:hint="eastAsia" w:ascii="Times New Roman" w:hAnsi="Times New Roman" w:cs="Times New Roman" w:eastAsiaTheme="minorEastAsia"/>
          <w:iCs/>
          <w:color w:val="000000" w:themeColor="text1"/>
          <w:sz w:val="21"/>
          <w:szCs w:val="21"/>
        </w:rPr>
        <w:t>（</w:t>
      </w:r>
      <w:r>
        <w:rPr>
          <w:rFonts w:ascii="Times New Roman" w:hAnsi="Times New Roman" w:cs="Times New Roman" w:eastAsiaTheme="minorEastAsia"/>
          <w:iCs/>
          <w:color w:val="000000" w:themeColor="text1"/>
          <w:sz w:val="21"/>
          <w:szCs w:val="21"/>
        </w:rPr>
        <w:t>20kV)母线。</w:t>
      </w:r>
    </w:p>
    <w:p>
      <w:pPr>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采用交流接入的建筑光伏</w:t>
      </w:r>
      <w:r>
        <w:rPr>
          <w:rFonts w:ascii="Times New Roman" w:hAnsi="Times New Roman" w:cs="Times New Roman" w:eastAsiaTheme="minorEastAsia"/>
          <w:color w:val="000000" w:themeColor="text1"/>
          <w:sz w:val="21"/>
          <w:szCs w:val="21"/>
        </w:rPr>
        <w:t>系统</w:t>
      </w:r>
      <w:r>
        <w:rPr>
          <w:rFonts w:hint="eastAsia" w:ascii="Times New Roman" w:hAnsi="Times New Roman" w:cs="Times New Roman" w:eastAsiaTheme="minorEastAsia"/>
          <w:color w:val="000000" w:themeColor="text1"/>
          <w:sz w:val="21"/>
          <w:szCs w:val="21"/>
        </w:rPr>
        <w:t>，其并网点功率因数应在</w:t>
      </w:r>
      <w:r>
        <w:rPr>
          <w:rFonts w:ascii="Times New Roman" w:hAnsi="Times New Roman" w:cs="Times New Roman" w:eastAsiaTheme="minorEastAsia"/>
          <w:color w:val="000000" w:themeColor="text1"/>
          <w:sz w:val="21"/>
          <w:szCs w:val="21"/>
        </w:rPr>
        <w:t>0.9</w:t>
      </w:r>
      <w:r>
        <w:rPr>
          <w:rFonts w:hint="eastAsia" w:ascii="Times New Roman" w:hAnsi="Times New Roman" w:cs="Times New Roman" w:eastAsiaTheme="minorEastAsia"/>
          <w:color w:val="000000" w:themeColor="text1"/>
          <w:sz w:val="21"/>
          <w:szCs w:val="21"/>
        </w:rPr>
        <w:t>5（超前）~</w:t>
      </w:r>
      <w:r>
        <w:rPr>
          <w:rFonts w:ascii="Times New Roman" w:hAnsi="Times New Roman" w:cs="Times New Roman" w:eastAsiaTheme="minorEastAsia"/>
          <w:color w:val="000000" w:themeColor="text1"/>
          <w:sz w:val="21"/>
          <w:szCs w:val="21"/>
        </w:rPr>
        <w:t>0.9</w:t>
      </w:r>
      <w:r>
        <w:rPr>
          <w:rFonts w:hint="eastAsia" w:ascii="Times New Roman" w:hAnsi="Times New Roman" w:cs="Times New Roman" w:eastAsiaTheme="minorEastAsia"/>
          <w:color w:val="000000" w:themeColor="text1"/>
          <w:sz w:val="21"/>
          <w:szCs w:val="21"/>
        </w:rPr>
        <w:t>5（滞后）范围内连续可调</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当需安装辅助无功补偿装置时宜采用自动无功补偿型或动态无功补偿型。</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iCs/>
          <w:color w:val="000000" w:themeColor="text1"/>
          <w:sz w:val="21"/>
          <w:szCs w:val="21"/>
        </w:rPr>
        <w:t>4.3.5 建筑光伏系统还应符合现行国家标准《光伏发电接入配电网设计规范》GB/T 50865和《光伏发电系统接入配电网技术规定》GB/T 29319等的相关要求。</w:t>
      </w:r>
    </w:p>
    <w:p>
      <w:pPr>
        <w:widowControl/>
        <w:spacing w:line="360" w:lineRule="auto"/>
        <w:rPr>
          <w:rFonts w:ascii="Times New Roman" w:hAnsi="Times New Roman" w:cs="Times New Roman" w:eastAsiaTheme="minorEastAsia"/>
          <w:iCs/>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86" w:name="_Toc3645"/>
      <w:bookmarkStart w:id="87" w:name="_Toc184275294"/>
      <w:bookmarkStart w:id="88" w:name="_Toc30347"/>
      <w:bookmarkStart w:id="89" w:name="_Toc7932"/>
      <w:r>
        <w:rPr>
          <w:rFonts w:hint="eastAsia" w:ascii="Times New Roman" w:hAnsi="Times New Roman" w:cs="Times New Roman" w:eastAsiaTheme="majorEastAsia"/>
          <w:bCs/>
          <w:color w:val="000000" w:themeColor="text1"/>
          <w:sz w:val="28"/>
          <w:szCs w:val="28"/>
        </w:rPr>
        <w:t>4.4设备及材料</w:t>
      </w:r>
      <w:bookmarkEnd w:id="86"/>
      <w:bookmarkEnd w:id="87"/>
      <w:bookmarkEnd w:id="88"/>
      <w:bookmarkEnd w:id="89"/>
    </w:p>
    <w:p>
      <w:pPr>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4.4.1 </w:t>
      </w:r>
      <w:r>
        <w:rPr>
          <w:rFonts w:hint="eastAsia" w:ascii="Times New Roman" w:hAnsi="Times New Roman" w:cs="Times New Roman" w:eastAsiaTheme="minorEastAsia"/>
          <w:color w:val="000000" w:themeColor="text1"/>
          <w:sz w:val="21"/>
          <w:szCs w:val="21"/>
        </w:rPr>
        <w:t>建筑</w:t>
      </w:r>
      <w:r>
        <w:rPr>
          <w:rFonts w:ascii="Times New Roman" w:hAnsi="Times New Roman" w:cs="Times New Roman" w:eastAsiaTheme="minorEastAsia"/>
          <w:color w:val="000000" w:themeColor="text1"/>
          <w:sz w:val="21"/>
          <w:szCs w:val="21"/>
        </w:rPr>
        <w:t>光伏</w:t>
      </w:r>
      <w:r>
        <w:rPr>
          <w:rFonts w:hint="eastAsia" w:ascii="Times New Roman" w:hAnsi="Times New Roman" w:cs="Times New Roman" w:eastAsiaTheme="minorEastAsia"/>
          <w:color w:val="000000" w:themeColor="text1"/>
          <w:sz w:val="21"/>
          <w:szCs w:val="21"/>
        </w:rPr>
        <w:t>组件</w:t>
      </w:r>
      <w:r>
        <w:rPr>
          <w:rFonts w:ascii="Times New Roman" w:hAnsi="Times New Roman" w:cs="Times New Roman" w:eastAsiaTheme="minorEastAsia"/>
          <w:color w:val="000000" w:themeColor="text1"/>
          <w:sz w:val="21"/>
          <w:szCs w:val="21"/>
        </w:rPr>
        <w:t>应符合以下要求：</w:t>
      </w:r>
    </w:p>
    <w:p>
      <w:pPr>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1 </w:t>
      </w:r>
      <w:r>
        <w:rPr>
          <w:rFonts w:ascii="Times New Roman" w:hAnsi="Times New Roman" w:cs="Times New Roman" w:eastAsiaTheme="minorEastAsia"/>
          <w:color w:val="000000" w:themeColor="text1"/>
          <w:sz w:val="21"/>
          <w:szCs w:val="21"/>
        </w:rPr>
        <w:t>晶体硅光伏组件应符合现行国家标准《地面用晶体硅光伏组件 设计鉴定和定型》GB/T 9535 的有关规定</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薄膜光伏组件应符合现行国家标准《地面用薄膜光伏组件 设计鉴定和定型》GB/T 18911 的有关规定</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3 采用光伏夹层玻璃时应符合现行国家标准《建筑用太阳能光伏夹层玻璃》GB/T29551的有关规定；</w:t>
      </w:r>
    </w:p>
    <w:p>
      <w:pPr>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 采用光伏中空玻璃时应符合现行国家标准《建筑用太阳能光伏中空玻璃》GB/T29759的有关规定；</w:t>
      </w:r>
    </w:p>
    <w:p>
      <w:pPr>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 光伏组件的防火等级不应低于所在建筑物部位要求的材料防火等级。</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4.4.</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设备开断能力应根据并网点短路电流水平选择，并需留有一定裕度。开断设备应配置断路器并</w:t>
      </w:r>
      <w:r>
        <w:rPr>
          <w:rFonts w:hint="eastAsia" w:ascii="Times New Roman" w:hAnsi="Times New Roman" w:cs="Times New Roman" w:eastAsiaTheme="minorEastAsia"/>
          <w:color w:val="000000" w:themeColor="text1"/>
          <w:sz w:val="21"/>
          <w:szCs w:val="21"/>
        </w:rPr>
        <w:t>符合以下规定：</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光伏采用直流750V接入时，应选用直流专用断路器。开断设备应无极性，具备明显开断点、具备直流灭弧、双向开断故障电流功能。开断设备宜选用不自复方式</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光伏采用220/380V交流接入时，开断设备应设置明显开断点并具备开断故障电流能力。同时开断设备具备剩余电流保护、过电压保护、防孤岛保护、电能质量监测等功能并支持</w:t>
      </w:r>
      <w:r>
        <w:rPr>
          <w:rFonts w:hint="eastAsia" w:ascii="Times New Roman" w:hAnsi="Times New Roman" w:cs="Times New Roman" w:eastAsiaTheme="minorEastAsia"/>
          <w:color w:val="000000" w:themeColor="text1"/>
          <w:sz w:val="21"/>
          <w:szCs w:val="21"/>
        </w:rPr>
        <w:t>RS485、电力载波</w:t>
      </w:r>
      <w:r>
        <w:rPr>
          <w:rFonts w:ascii="Times New Roman" w:hAnsi="Times New Roman" w:cs="Times New Roman" w:eastAsiaTheme="minorEastAsia"/>
          <w:color w:val="000000" w:themeColor="text1"/>
          <w:sz w:val="21"/>
          <w:szCs w:val="21"/>
        </w:rPr>
        <w:t>等多种通信方式</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光伏采用10kV</w:t>
      </w:r>
      <w:r>
        <w:rPr>
          <w:rFonts w:hint="eastAsia" w:ascii="Times New Roman" w:hAnsi="Times New Roman" w:cs="Times New Roman" w:eastAsiaTheme="minorEastAsia"/>
          <w:color w:val="000000" w:themeColor="text1"/>
          <w:sz w:val="21"/>
          <w:szCs w:val="21"/>
        </w:rPr>
        <w:t>（20kV)</w:t>
      </w:r>
      <w:r>
        <w:rPr>
          <w:rFonts w:ascii="Times New Roman" w:hAnsi="Times New Roman" w:cs="Times New Roman" w:eastAsiaTheme="minorEastAsia"/>
          <w:color w:val="000000" w:themeColor="text1"/>
          <w:sz w:val="21"/>
          <w:szCs w:val="21"/>
        </w:rPr>
        <w:t>交流接入时，开断设备应具备接地、故障电流开断功能。开断设备应配置相应的保护装置，保护装置应具备过流保护、零序过流保护、电能质量监测等功能，并能将信息上送。</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 xml:space="preserve">3 </w:t>
      </w:r>
      <w:r>
        <w:rPr>
          <w:rFonts w:ascii="Times New Roman" w:hAnsi="Times New Roman" w:cs="Times New Roman" w:eastAsiaTheme="minorEastAsia"/>
          <w:color w:val="000000" w:themeColor="text1"/>
          <w:sz w:val="21"/>
          <w:szCs w:val="21"/>
        </w:rPr>
        <w:t>光伏并网变换器应支持最大功率点跟踪功能，并符合如下要求：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光伏直流并网变换器（DC/DC）应支持功率调节并具备防雷、剩余电流保护、直流过欠压保护、过流保护、直流主动灭弧等功能；</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 xml:space="preserve">光伏交流并网逆变器（DC/AC）应支持有功功率和无功功率调节并执行 </w:t>
      </w:r>
      <w:r>
        <w:rPr>
          <w:rFonts w:hint="eastAsia" w:ascii="Times New Roman" w:hAnsi="Times New Roman" w:cs="Times New Roman" w:eastAsiaTheme="minorEastAsia"/>
          <w:color w:val="000000" w:themeColor="text1"/>
          <w:sz w:val="21"/>
          <w:szCs w:val="21"/>
        </w:rPr>
        <w:t>《光伏发电并网逆变器技术要求》</w:t>
      </w:r>
      <w:r>
        <w:rPr>
          <w:rFonts w:ascii="Times New Roman" w:hAnsi="Times New Roman" w:cs="Times New Roman" w:eastAsiaTheme="minorEastAsia"/>
          <w:color w:val="000000" w:themeColor="text1"/>
          <w:sz w:val="21"/>
          <w:szCs w:val="21"/>
        </w:rPr>
        <w:t>GB/T37408相关要求；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光伏并网变换器应具备快速检测孤岛且检测到孤岛后立即断开与电网连接的能力</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 变换器外壳防护等级应符合现行国家标准《外壳防护等级(IP代码)》GB/T4208的有关规定，室内型不应低于IP20，室外型不应低于IP54。</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光伏配电柜（箱）应符合以下要求：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配电柜（箱）设计应符合现行国家标准《低压配电设计规范》GB 50054和《低压成套开关设备和控制设备 第 1 部分：总则》GB 7251.1的有关规定；</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配电柜（箱）箱体和铭牌宜采用金属材质；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配电柜（箱）面板上应有明显的带电警告标识；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 配电柜（箱）内宜采用铜母排，母排表面应光洁平整，不应有裂纹、划痕及变形扭曲；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 配电柜（箱）内各个电器元件、配线端部应有清晰且长期不易脱落和脱色的标记。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5建筑光伏电缆的选择与敷设</w:t>
      </w:r>
      <w:r>
        <w:rPr>
          <w:rFonts w:ascii="Times New Roman" w:hAnsi="Times New Roman" w:cs="Times New Roman" w:eastAsiaTheme="minorEastAsia"/>
          <w:color w:val="000000" w:themeColor="text1"/>
          <w:sz w:val="21"/>
          <w:szCs w:val="21"/>
        </w:rPr>
        <w:t xml:space="preserve">应符合以下要求：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1 建筑光伏电缆的选择与敷设,应符合现行国家标准《电力工程电缆设计标准》GB50217的规定；</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2 建筑光伏发电系统电缆应采用C类及以上阻燃电缆,电力电缆宜选择铜导体；</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3 建筑光伏发电系统中电缆的截面应结合长度进行选择，光伏系统交流电压降落不宜大于8%;光伏系统直流电压降落不宜大于2%,且应符合现行行业标准《电力工程直流电源系统设计技术规程》DL/T 5044的规定；</w:t>
      </w:r>
    </w:p>
    <w:p>
      <w:pPr>
        <w:widowControl/>
        <w:spacing w:line="360" w:lineRule="auto"/>
        <w:ind w:firstLine="420" w:firstLineChars="200"/>
        <w:jc w:val="left"/>
        <w:rPr>
          <w:rFonts w:ascii="Times New Roman" w:hAnsi="Times New Roman" w:cs="Times New Roman" w:eastAsiaTheme="minorEastAsia"/>
          <w:color w:val="000000" w:themeColor="text1"/>
          <w:sz w:val="21"/>
          <w:szCs w:val="21"/>
          <w:highlight w:val="yellow"/>
        </w:rPr>
      </w:pPr>
      <w:r>
        <w:rPr>
          <w:rFonts w:hint="eastAsia" w:ascii="Times New Roman" w:hAnsi="Times New Roman" w:cs="Times New Roman" w:eastAsiaTheme="minorEastAsia"/>
          <w:color w:val="000000" w:themeColor="text1"/>
          <w:sz w:val="21"/>
          <w:szCs w:val="21"/>
        </w:rPr>
        <w:t>4 在有腐蚀或特别潮湿的场所采用电缆桥架布线时，应根据腐蚀介质的不同采取相应的防护措施。</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4.4.6</w:t>
      </w:r>
      <w:r>
        <w:rPr>
          <w:rFonts w:hint="eastAsia" w:ascii="Times New Roman" w:hAnsi="Times New Roman" w:cs="Times New Roman" w:eastAsiaTheme="minorEastAsia"/>
          <w:color w:val="000000" w:themeColor="text1"/>
          <w:sz w:val="21"/>
          <w:szCs w:val="21"/>
        </w:rPr>
        <w:t xml:space="preserve"> 建筑光伏系统监测装置应符合以下要求：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1、监控系统的系统结构及配置、系统功能、性能指标、工作环境条件应符合现行国家标准《光伏发电站监控系统技术要求》GB/T31366的规定；</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建筑光伏系统监测装置应显示系统电压、电流、日发电量、累计发电量等参数；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w:t>
      </w:r>
      <w:r>
        <w:rPr>
          <w:rFonts w:hint="eastAsia" w:ascii="Times New Roman" w:hAnsi="Times New Roman" w:cs="Times New Roman" w:eastAsiaTheme="minorEastAsia"/>
          <w:color w:val="000000" w:themeColor="text1"/>
          <w:sz w:val="21"/>
          <w:szCs w:val="21"/>
        </w:rPr>
        <w:t xml:space="preserve"> 应有远传通讯接口，并宜纳入到柔性控制系统中管理；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 xml:space="preserve"> 分散设置的多个监测装置宜集成管理。</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 xml:space="preserve">7 </w:t>
      </w:r>
      <w:r>
        <w:rPr>
          <w:rFonts w:ascii="Times New Roman" w:hAnsi="Times New Roman" w:cs="Times New Roman" w:eastAsiaTheme="minorEastAsia"/>
          <w:color w:val="000000" w:themeColor="text1"/>
          <w:sz w:val="21"/>
          <w:szCs w:val="21"/>
        </w:rPr>
        <w:t>建筑光伏系统电气设计以及光伏组件、汇流箱、逆变器、变压器、电缆</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配电装置</w:t>
      </w:r>
      <w:r>
        <w:rPr>
          <w:rFonts w:hint="eastAsia" w:ascii="Times New Roman" w:hAnsi="Times New Roman" w:cs="Times New Roman" w:eastAsiaTheme="minorEastAsia"/>
          <w:color w:val="000000" w:themeColor="text1"/>
          <w:sz w:val="21"/>
          <w:szCs w:val="21"/>
        </w:rPr>
        <w:t>以及</w:t>
      </w:r>
      <w:r>
        <w:rPr>
          <w:rFonts w:ascii="Times New Roman" w:hAnsi="Times New Roman" w:cs="Times New Roman" w:eastAsiaTheme="minorEastAsia"/>
          <w:color w:val="000000" w:themeColor="text1"/>
          <w:sz w:val="21"/>
          <w:szCs w:val="21"/>
        </w:rPr>
        <w:t>电气二次设备的选择</w:t>
      </w:r>
      <w:r>
        <w:rPr>
          <w:rFonts w:hint="eastAsia" w:ascii="Times New Roman" w:hAnsi="Times New Roman" w:cs="Times New Roman" w:eastAsiaTheme="minorEastAsia"/>
          <w:color w:val="000000" w:themeColor="text1"/>
          <w:sz w:val="21"/>
          <w:szCs w:val="21"/>
        </w:rPr>
        <w:t>还</w:t>
      </w:r>
      <w:r>
        <w:rPr>
          <w:rFonts w:ascii="Times New Roman" w:hAnsi="Times New Roman" w:cs="Times New Roman" w:eastAsiaTheme="minorEastAsia"/>
          <w:color w:val="000000" w:themeColor="text1"/>
          <w:sz w:val="21"/>
          <w:szCs w:val="21"/>
        </w:rPr>
        <w:t>应符合《光伏发电站设计规范》GB 50797、《低压电气装置 第7-712部分 特殊装置或场所的要求 太阳能光伏(PV)电源系统》GB/T 16895.32</w:t>
      </w:r>
      <w:r>
        <w:rPr>
          <w:rFonts w:hint="eastAsia" w:ascii="Times New Roman" w:hAnsi="Times New Roman" w:cs="Times New Roman" w:eastAsiaTheme="minorEastAsia"/>
          <w:color w:val="000000" w:themeColor="text1"/>
          <w:sz w:val="21"/>
          <w:szCs w:val="21"/>
        </w:rPr>
        <w:t>等</w:t>
      </w:r>
      <w:r>
        <w:rPr>
          <w:rFonts w:ascii="Times New Roman" w:hAnsi="Times New Roman" w:cs="Times New Roman" w:eastAsiaTheme="minorEastAsia"/>
          <w:color w:val="000000" w:themeColor="text1"/>
          <w:sz w:val="21"/>
          <w:szCs w:val="21"/>
        </w:rPr>
        <w:t>的相关要求。</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90" w:name="_Toc26964"/>
      <w:bookmarkStart w:id="91" w:name="_Toc26704"/>
      <w:bookmarkStart w:id="92" w:name="_Toc184275295"/>
      <w:bookmarkStart w:id="93" w:name="_Toc24885"/>
      <w:r>
        <w:rPr>
          <w:rFonts w:hint="eastAsia" w:ascii="Times New Roman" w:hAnsi="Times New Roman" w:cs="Times New Roman" w:eastAsiaTheme="majorEastAsia"/>
          <w:bCs/>
          <w:color w:val="000000" w:themeColor="text1"/>
          <w:sz w:val="28"/>
          <w:szCs w:val="28"/>
        </w:rPr>
        <w:t>4.5 建筑和结构</w:t>
      </w:r>
      <w:bookmarkEnd w:id="90"/>
      <w:bookmarkEnd w:id="91"/>
      <w:bookmarkEnd w:id="92"/>
      <w:bookmarkEnd w:id="93"/>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4.5.1建筑光伏系统的结构构件计算，应包括重力荷载、屋面活荷载、检修荷载、雪荷载、风荷载和温度作用的效应。作用效应组合的计算方法应符合现行国家标准《建筑结构荷载规范》GB 50009的有关规定。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4.5.2偶然设计状况下建筑光伏系统的抗震设计，应计入地震作用的效应。作用效应组合应符合现行国家标准《建筑抗震设计规范》GB 50011的有关规定。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4.5.3建筑光伏在平屋面、坡屋面、阳台或平台、墙面、玻璃幕墙等场所的安装形式，应符合现行国家标准《建筑光伏系统应用技术标准》GB∕T 51368 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4.5.4 建筑光伏支架材料应符合现行行业标准《太阳能光伏系统支架通用技术要求》 JG∕T 490 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4.5.5 建筑光伏支架结构设计应符合现行国家标准《建筑光伏系统应用技术标准》 GB∕T 51368 和行业标准《光伏支架结构设计规程》NB∕T 10115 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4.5.6 建筑光伏系统荷载取值按《建筑结构荷载规范》GB 50009 的规定采用，并考虑施工检修荷载。对于体形、风环境比较复杂的光伏系统，风荷载取值若无可靠的参照依据，宜通过风洞实验确定风载。</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4.5.7 在既有建筑物上增设建筑光伏系统时，应根据建筑物的种类，分别按照现行国家标准《民用建筑可靠性鉴定标准》 GB 50292 和《工业建筑可靠性鉴定标准》GB 50144 的规定进行可靠性鉴定。还应按照现行国家标准《建筑抗震鉴定标准》GB 50023 的规定进行抗震鉴定。经抗震鉴定后需要进行抗震加固的建筑应按现行行业标准《建筑抗震加固技术规程》JGJ 116 的规定设计施工。</w:t>
      </w:r>
    </w:p>
    <w:p>
      <w:pPr>
        <w:widowControl/>
        <w:spacing w:line="360" w:lineRule="auto"/>
        <w:jc w:val="left"/>
        <w:rPr>
          <w:rFonts w:ascii="Times New Roman" w:hAnsi="Times New Roman" w:cs="Times New Roman" w:eastAsiaTheme="minorEastAsia"/>
          <w:color w:val="000000" w:themeColor="text1"/>
          <w:sz w:val="21"/>
          <w:szCs w:val="21"/>
        </w:rPr>
        <w:sectPr>
          <w:pgSz w:w="11906" w:h="16838"/>
          <w:pgMar w:top="1440" w:right="1800" w:bottom="1440" w:left="1800" w:header="851" w:footer="992" w:gutter="0"/>
          <w:cols w:space="425" w:num="1"/>
          <w:docGrid w:type="lines" w:linePitch="312" w:charSpace="0"/>
        </w:sectPr>
      </w:pPr>
    </w:p>
    <w:p>
      <w:pPr>
        <w:pStyle w:val="2"/>
      </w:pPr>
      <w:bookmarkStart w:id="94" w:name="_Toc187411727"/>
      <w:bookmarkStart w:id="95" w:name="_Toc28092"/>
      <w:bookmarkStart w:id="96" w:name="_Toc6852"/>
      <w:bookmarkStart w:id="97" w:name="_Toc12118"/>
      <w:r>
        <w:t>5</w:t>
      </w:r>
      <w:r>
        <w:rPr>
          <w:rFonts w:hint="eastAsia"/>
        </w:rPr>
        <w:t>建筑储能系统</w:t>
      </w:r>
      <w:bookmarkEnd w:id="94"/>
      <w:bookmarkEnd w:id="95"/>
      <w:bookmarkEnd w:id="96"/>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98" w:name="_Toc29773"/>
      <w:bookmarkStart w:id="99" w:name="_Toc187411728"/>
      <w:bookmarkStart w:id="100" w:name="_Toc17797"/>
      <w:r>
        <w:rPr>
          <w:rFonts w:hint="eastAsia" w:ascii="Times New Roman" w:hAnsi="Times New Roman" w:cs="Times New Roman" w:eastAsiaTheme="majorEastAsia"/>
          <w:bCs/>
          <w:color w:val="000000" w:themeColor="text1"/>
          <w:sz w:val="28"/>
          <w:szCs w:val="28"/>
        </w:rPr>
        <w:t>5</w:t>
      </w:r>
      <w:r>
        <w:rPr>
          <w:rFonts w:ascii="Times New Roman" w:hAnsi="Times New Roman" w:cs="Times New Roman" w:eastAsiaTheme="majorEastAsia"/>
          <w:bCs/>
          <w:color w:val="000000" w:themeColor="text1"/>
          <w:sz w:val="28"/>
          <w:szCs w:val="28"/>
        </w:rPr>
        <w:t>.1一般规定</w:t>
      </w:r>
      <w:bookmarkEnd w:id="98"/>
      <w:bookmarkEnd w:id="99"/>
      <w:bookmarkEnd w:id="100"/>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5.1.1 </w:t>
      </w:r>
      <w:r>
        <w:rPr>
          <w:rFonts w:hint="eastAsia" w:ascii="Times New Roman" w:hAnsi="Times New Roman" w:cs="Times New Roman" w:eastAsiaTheme="minorEastAsia"/>
          <w:color w:val="000000" w:themeColor="text1"/>
          <w:sz w:val="21"/>
          <w:szCs w:val="21"/>
        </w:rPr>
        <w:t>建筑储能系统宜优先设置电化学储能、V2B双向互动充放电设备和换电设备，或预留安装条件；当采用其他形式储能时，应符合现行相关标准的规定。</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5.1.2 </w:t>
      </w:r>
      <w:r>
        <w:rPr>
          <w:rFonts w:hint="eastAsia" w:ascii="Times New Roman" w:hAnsi="Times New Roman" w:cs="Times New Roman" w:eastAsiaTheme="minorEastAsia"/>
          <w:color w:val="000000" w:themeColor="text1"/>
          <w:sz w:val="21"/>
          <w:szCs w:val="21"/>
        </w:rPr>
        <w:t>建筑储能系统应由柔性控制系统统一监控，参与建筑整体用电柔性调节。</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储能系统的设计在满足安全性和可靠性的同时，宜优先采用新技术、新工艺、新设备、新材料。</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4 </w:t>
      </w:r>
      <w:r>
        <w:rPr>
          <w:rFonts w:ascii="Times New Roman" w:hAnsi="Times New Roman" w:cs="Times New Roman" w:eastAsiaTheme="minorEastAsia"/>
          <w:color w:val="000000" w:themeColor="text1"/>
          <w:sz w:val="21"/>
          <w:szCs w:val="21"/>
        </w:rPr>
        <w:t>储能系统应定期</w:t>
      </w:r>
      <w:r>
        <w:rPr>
          <w:rFonts w:hint="eastAsia" w:ascii="Times New Roman" w:hAnsi="Times New Roman" w:cs="Times New Roman" w:eastAsiaTheme="minorEastAsia"/>
          <w:color w:val="000000" w:themeColor="text1"/>
          <w:sz w:val="21"/>
          <w:szCs w:val="21"/>
        </w:rPr>
        <w:t>进行</w:t>
      </w:r>
      <w:r>
        <w:rPr>
          <w:rFonts w:ascii="Times New Roman" w:hAnsi="Times New Roman" w:cs="Times New Roman" w:eastAsiaTheme="minorEastAsia"/>
          <w:color w:val="000000" w:themeColor="text1"/>
          <w:sz w:val="21"/>
          <w:szCs w:val="21"/>
        </w:rPr>
        <w:t>维护和保养。</w:t>
      </w:r>
    </w:p>
    <w:p>
      <w:pPr>
        <w:spacing w:line="360" w:lineRule="auto"/>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01" w:name="_Toc187411729"/>
      <w:bookmarkStart w:id="102" w:name="_Toc15480"/>
      <w:bookmarkStart w:id="103" w:name="_Toc8515"/>
      <w:r>
        <w:rPr>
          <w:rFonts w:hint="eastAsia" w:ascii="Times New Roman" w:hAnsi="Times New Roman" w:cs="Times New Roman" w:eastAsiaTheme="majorEastAsia"/>
          <w:bCs/>
          <w:color w:val="000000" w:themeColor="text1"/>
          <w:sz w:val="28"/>
          <w:szCs w:val="28"/>
        </w:rPr>
        <w:t>5</w:t>
      </w:r>
      <w:r>
        <w:rPr>
          <w:rFonts w:ascii="Times New Roman" w:hAnsi="Times New Roman" w:cs="Times New Roman" w:eastAsiaTheme="majorEastAsia"/>
          <w:bCs/>
          <w:color w:val="000000" w:themeColor="text1"/>
          <w:sz w:val="28"/>
          <w:szCs w:val="28"/>
        </w:rPr>
        <w:t xml:space="preserve">.2 </w:t>
      </w:r>
      <w:r>
        <w:rPr>
          <w:rFonts w:hint="eastAsia" w:ascii="Times New Roman" w:hAnsi="Times New Roman" w:cs="Times New Roman" w:eastAsiaTheme="majorEastAsia"/>
          <w:bCs/>
          <w:color w:val="000000" w:themeColor="text1"/>
          <w:sz w:val="28"/>
          <w:szCs w:val="28"/>
        </w:rPr>
        <w:t>储能系统设计</w:t>
      </w:r>
      <w:bookmarkEnd w:id="101"/>
      <w:bookmarkEnd w:id="102"/>
      <w:bookmarkEnd w:id="103"/>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5.2.1 </w:t>
      </w:r>
      <w:r>
        <w:rPr>
          <w:rFonts w:hint="eastAsia" w:ascii="Times New Roman" w:hAnsi="Times New Roman" w:cs="Times New Roman" w:eastAsiaTheme="minorEastAsia"/>
          <w:color w:val="000000" w:themeColor="text1"/>
          <w:sz w:val="21"/>
          <w:szCs w:val="21"/>
        </w:rPr>
        <w:t>储能系统设计应综合考虑应用场景、储能系统技术特性、建设条件包括场地</w:t>
      </w:r>
      <w:r>
        <w:rPr>
          <w:rFonts w:hint="eastAsia" w:ascii="Times New Roman" w:hAnsi="Times New Roman" w:cs="Times New Roman" w:eastAsiaTheme="minorEastAsia"/>
          <w:iCs/>
          <w:color w:val="000000" w:themeColor="text1"/>
          <w:sz w:val="21"/>
          <w:szCs w:val="21"/>
        </w:rPr>
        <w:t>条件、供配电设施条件、</w:t>
      </w:r>
      <w:r>
        <w:rPr>
          <w:rFonts w:hint="eastAsia" w:ascii="Times New Roman" w:hAnsi="Times New Roman" w:cs="Times New Roman" w:eastAsiaTheme="minorEastAsia"/>
          <w:color w:val="000000" w:themeColor="text1"/>
          <w:sz w:val="21"/>
          <w:szCs w:val="21"/>
        </w:rPr>
        <w:t>并网接入条件、负荷消纳能力等因素，</w:t>
      </w:r>
      <w:r>
        <w:rPr>
          <w:rFonts w:hint="eastAsia" w:ascii="Times New Roman" w:hAnsi="Times New Roman" w:cs="Times New Roman" w:eastAsiaTheme="minorEastAsia"/>
          <w:iCs/>
          <w:color w:val="000000" w:themeColor="text1"/>
          <w:sz w:val="21"/>
          <w:szCs w:val="21"/>
        </w:rPr>
        <w:t>并应满足安全可靠、经济适用、节能环保、便于安装和维护的要求。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ascii="Times New Roman" w:hAnsi="Times New Roman" w:cs="Times New Roman" w:eastAsiaTheme="minorEastAsia"/>
          <w:color w:val="000000" w:themeColor="text1"/>
          <w:sz w:val="21"/>
          <w:szCs w:val="21"/>
          <w:highlight w:val="none"/>
        </w:rPr>
        <w:t>2</w:t>
      </w:r>
      <w:r>
        <w:rPr>
          <w:rFonts w:hint="eastAsia" w:ascii="Times New Roman" w:hAnsi="Times New Roman" w:cs="Times New Roman" w:eastAsiaTheme="minorEastAsia"/>
          <w:color w:val="000000" w:themeColor="text1"/>
          <w:sz w:val="21"/>
          <w:szCs w:val="21"/>
        </w:rPr>
        <w:t>电化学储能单元的额定功率应根据储能系统总容量、储能电池类型及特性、储能变换器性能、并网点电压等级及设备条件等，经技术经济性比较确定。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highlight w:val="none"/>
        </w:rPr>
        <w:t>3</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电化学储能系统根据储能单元容量宜选用组串式结构，也可采用集中式、级联式结构。</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ascii="Times New Roman" w:hAnsi="Times New Roman" w:cs="Times New Roman" w:eastAsiaTheme="minorEastAsia"/>
          <w:color w:val="000000" w:themeColor="text1"/>
          <w:sz w:val="21"/>
          <w:szCs w:val="21"/>
          <w:highlight w:val="none"/>
        </w:rPr>
        <w:t>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电池类型包括但不限于锂离子电池、铅酸/铅炭电池、液流电池、钠离子电池等，设计时应根据储能效率、循环寿命、能量密度、功率密度、充放电深度能力、自放电率和环境适应能力等因素进行技术经济比较后确定。</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hint="eastAsia" w:ascii="Times New Roman" w:hAnsi="Times New Roman" w:cs="Times New Roman" w:eastAsiaTheme="minorEastAsia"/>
          <w:color w:val="000000" w:themeColor="text1"/>
          <w:sz w:val="21"/>
          <w:szCs w:val="21"/>
          <w:highlight w:val="none"/>
        </w:rPr>
        <w:t>5</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电池管理系统应全面监测电池的运行状态，包含电池单体/模块/电池簇电压、电流、温度、电解液压力、流量和电池荷电量等，保护设定值满足安全运行要求。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hint="eastAsia" w:ascii="Times New Roman" w:hAnsi="Times New Roman" w:cs="Times New Roman" w:eastAsiaTheme="minorEastAsia"/>
          <w:color w:val="000000" w:themeColor="text1"/>
          <w:sz w:val="21"/>
          <w:szCs w:val="21"/>
          <w:highlight w:val="none"/>
        </w:rPr>
        <w:t>6</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电化学储能变流器应与储能电池特性、电池管理系统相匹配，满足储能系统应用需求，具备与柔性控制系统进行信息交互的功能。</w:t>
      </w:r>
    </w:p>
    <w:p>
      <w:pPr>
        <w:spacing w:line="360" w:lineRule="auto"/>
        <w:rPr>
          <w:rFonts w:ascii="Times New Roman" w:hAnsi="Times New Roman" w:cs="Times New Roman" w:eastAsiaTheme="minorEastAsia"/>
          <w:color w:val="000000" w:themeColor="text1"/>
          <w:sz w:val="21"/>
          <w:szCs w:val="21"/>
        </w:rPr>
      </w:pPr>
      <w:bookmarkStart w:id="104" w:name="_Toc2727"/>
      <w:r>
        <w:rPr>
          <w:rFonts w:ascii="Times New Roman" w:hAnsi="Times New Roman" w:cs="Times New Roman" w:eastAsiaTheme="minorEastAsia"/>
          <w:color w:val="000000" w:themeColor="text1"/>
          <w:sz w:val="21"/>
          <w:szCs w:val="21"/>
        </w:rPr>
        <w:t>5.2.</w:t>
      </w: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电化学储能系统设备的布置应遵循安全、可靠、适用的原则，便于安装、调试、操作、维护和检修。储能电池及其他电气设备的布置应满足带电设备的安全防护距离要求。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户外布置的电化学储能系统，设备的防污、防盐雾、防风沙、防湿热、防水、防严寒等性能应与安装环境条件相适应，外壳防护等级宜不低于IP</w:t>
      </w:r>
      <w:r>
        <w:rPr>
          <w:rFonts w:ascii="Times New Roman" w:hAnsi="Times New Roman" w:cs="Times New Roman" w:eastAsiaTheme="minorEastAsia"/>
          <w:color w:val="000000" w:themeColor="text1"/>
          <w:sz w:val="21"/>
          <w:szCs w:val="21"/>
        </w:rPr>
        <w:t>54</w:t>
      </w:r>
      <w:r>
        <w:rPr>
          <w:rFonts w:hint="eastAsia"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w:t>
      </w:r>
      <w:r>
        <w:rPr>
          <w:rFonts w:hint="eastAsia" w:ascii="Times New Roman" w:hAnsi="Times New Roman" w:cs="Times New Roman" w:eastAsiaTheme="minorEastAsia"/>
          <w:color w:val="000000" w:themeColor="text1"/>
          <w:sz w:val="21"/>
          <w:szCs w:val="21"/>
        </w:rPr>
        <w:t>9</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电化学储能系统不应贴邻或设置在甲、乙类厂房内，且不应设置在爆炸性气体、粉尘环境、腐蚀性气体的危险区域内。</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5.2.1</w:t>
      </w:r>
      <w:r>
        <w:rPr>
          <w:rFonts w:hint="eastAsia" w:ascii="Times New Roman" w:hAnsi="Times New Roman" w:cs="Times New Roman" w:eastAsiaTheme="minorEastAsia"/>
          <w:color w:val="000000" w:themeColor="text1"/>
          <w:sz w:val="21"/>
          <w:szCs w:val="21"/>
        </w:rPr>
        <w:t>0</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户外布置的储能系统宜采用电池预制</w:t>
      </w:r>
      <w:r>
        <w:rPr>
          <w:rFonts w:ascii="Times New Roman" w:hAnsi="Times New Roman" w:cs="Times New Roman" w:eastAsiaTheme="minorEastAsia"/>
          <w:color w:val="000000" w:themeColor="text1"/>
          <w:sz w:val="21"/>
          <w:szCs w:val="21"/>
        </w:rPr>
        <w:t>舱设备</w:t>
      </w:r>
      <w:r>
        <w:rPr>
          <w:rFonts w:hint="eastAsia" w:ascii="Times New Roman" w:hAnsi="Times New Roman" w:cs="Times New Roman" w:eastAsiaTheme="minorEastAsia"/>
          <w:color w:val="000000" w:themeColor="text1"/>
          <w:sz w:val="21"/>
          <w:szCs w:val="21"/>
        </w:rPr>
        <w:t>，电池预制舱设备距离内部道路路边不应小于1m</w:t>
      </w:r>
      <w:r>
        <w:rPr>
          <w:rFonts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5.2.1</w:t>
      </w:r>
      <w:r>
        <w:rPr>
          <w:rFonts w:hint="eastAsia" w:ascii="Times New Roman" w:hAnsi="Times New Roman" w:cs="Times New Roman" w:eastAsiaTheme="minorEastAsia"/>
          <w:color w:val="000000" w:themeColor="text1"/>
          <w:sz w:val="21"/>
          <w:szCs w:val="21"/>
        </w:rPr>
        <w:t>1</w:t>
      </w:r>
      <w:r>
        <w:rPr>
          <w:rFonts w:ascii="Times New Roman" w:hAnsi="Times New Roman" w:cs="Times New Roman" w:eastAsiaTheme="minorEastAsia"/>
          <w:color w:val="000000" w:themeColor="text1"/>
          <w:sz w:val="21"/>
          <w:szCs w:val="21"/>
        </w:rPr>
        <w:t xml:space="preserve"> 电化学</w:t>
      </w:r>
      <w:r>
        <w:rPr>
          <w:rFonts w:hint="eastAsia" w:ascii="Times New Roman" w:hAnsi="Times New Roman" w:cs="Times New Roman" w:eastAsiaTheme="minorEastAsia"/>
          <w:color w:val="000000" w:themeColor="text1"/>
          <w:sz w:val="21"/>
          <w:szCs w:val="21"/>
        </w:rPr>
        <w:t>储能系统设计还应符合《电化学储能电站设计规范》GB</w:t>
      </w:r>
      <w:r>
        <w:rPr>
          <w:rFonts w:ascii="Times New Roman" w:hAnsi="Times New Roman" w:cs="Times New Roman" w:eastAsiaTheme="minorEastAsia"/>
          <w:color w:val="000000" w:themeColor="text1"/>
          <w:sz w:val="21"/>
          <w:szCs w:val="21"/>
        </w:rPr>
        <w:t xml:space="preserve"> 51048</w:t>
      </w:r>
      <w:r>
        <w:rPr>
          <w:rFonts w:hint="eastAsia" w:ascii="Times New Roman" w:hAnsi="Times New Roman" w:cs="Times New Roman" w:eastAsiaTheme="minorEastAsia"/>
          <w:color w:val="000000" w:themeColor="text1"/>
          <w:sz w:val="21"/>
          <w:szCs w:val="21"/>
        </w:rPr>
        <w:t>等现行有关规范的规定。</w:t>
      </w:r>
      <w:bookmarkEnd w:id="104"/>
    </w:p>
    <w:p>
      <w:pPr>
        <w:spacing w:line="360" w:lineRule="auto"/>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05" w:name="_Toc12115"/>
      <w:bookmarkStart w:id="106" w:name="_Toc187411730"/>
      <w:bookmarkStart w:id="107" w:name="_Toc4909"/>
      <w:r>
        <w:rPr>
          <w:rFonts w:hint="eastAsia" w:ascii="Times New Roman" w:hAnsi="Times New Roman" w:cs="Times New Roman" w:eastAsiaTheme="majorEastAsia"/>
          <w:bCs/>
          <w:color w:val="000000" w:themeColor="text1"/>
          <w:sz w:val="28"/>
          <w:szCs w:val="28"/>
        </w:rPr>
        <w:t>5</w:t>
      </w:r>
      <w:r>
        <w:rPr>
          <w:rFonts w:ascii="Times New Roman" w:hAnsi="Times New Roman" w:cs="Times New Roman" w:eastAsiaTheme="majorEastAsia"/>
          <w:bCs/>
          <w:color w:val="000000" w:themeColor="text1"/>
          <w:sz w:val="28"/>
          <w:szCs w:val="28"/>
        </w:rPr>
        <w:t>.</w:t>
      </w:r>
      <w:r>
        <w:rPr>
          <w:rFonts w:hint="eastAsia" w:ascii="Times New Roman" w:hAnsi="Times New Roman" w:cs="Times New Roman" w:eastAsiaTheme="majorEastAsia"/>
          <w:bCs/>
          <w:color w:val="000000" w:themeColor="text1"/>
          <w:sz w:val="28"/>
          <w:szCs w:val="28"/>
        </w:rPr>
        <w:t>3</w:t>
      </w:r>
      <w:r>
        <w:rPr>
          <w:rFonts w:ascii="Times New Roman" w:hAnsi="Times New Roman" w:cs="Times New Roman" w:eastAsiaTheme="majorEastAsia"/>
          <w:bCs/>
          <w:color w:val="000000" w:themeColor="text1"/>
          <w:sz w:val="28"/>
          <w:szCs w:val="28"/>
        </w:rPr>
        <w:t xml:space="preserve"> 系统接入</w:t>
      </w:r>
      <w:bookmarkEnd w:id="105"/>
      <w:bookmarkEnd w:id="106"/>
      <w:bookmarkEnd w:id="107"/>
    </w:p>
    <w:p>
      <w:pPr>
        <w:widowControl/>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5.3.1 </w:t>
      </w:r>
      <w:r>
        <w:rPr>
          <w:rFonts w:hint="eastAsia" w:ascii="Times New Roman" w:hAnsi="Times New Roman" w:cs="Times New Roman" w:eastAsiaTheme="minorEastAsia"/>
          <w:color w:val="000000" w:themeColor="text1"/>
          <w:sz w:val="21"/>
          <w:szCs w:val="21"/>
        </w:rPr>
        <w:t>电化学储能系统接入建筑光储直柔电气系统的并网点应根据消纳能力及配电设施情况灵活选择：</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1  </w:t>
      </w:r>
      <w:r>
        <w:rPr>
          <w:rFonts w:hint="eastAsia" w:ascii="Times New Roman" w:hAnsi="Times New Roman" w:cs="Times New Roman" w:eastAsiaTheme="minorEastAsia"/>
          <w:iCs/>
          <w:color w:val="000000" w:themeColor="text1"/>
          <w:sz w:val="21"/>
          <w:szCs w:val="21"/>
        </w:rPr>
        <w:t>直流并网点为建筑光储直柔电气系统的直流母线；</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 xml:space="preserve">2  </w:t>
      </w:r>
      <w:r>
        <w:rPr>
          <w:rFonts w:hint="eastAsia" w:ascii="Times New Roman" w:hAnsi="Times New Roman" w:cs="Times New Roman" w:eastAsiaTheme="minorEastAsia"/>
          <w:iCs/>
          <w:color w:val="000000" w:themeColor="text1"/>
          <w:sz w:val="21"/>
          <w:szCs w:val="21"/>
        </w:rPr>
        <w:t>220/380V交流并网点为用户配电室、箱变或柱上变压器低压母线；</w:t>
      </w:r>
    </w:p>
    <w:p>
      <w:pPr>
        <w:widowControl/>
        <w:spacing w:line="360" w:lineRule="auto"/>
        <w:ind w:firstLine="420" w:firstLineChars="200"/>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iCs/>
          <w:color w:val="000000" w:themeColor="text1"/>
          <w:sz w:val="21"/>
          <w:szCs w:val="21"/>
        </w:rPr>
        <w:t>3  10kV</w:t>
      </w:r>
      <w:r>
        <w:rPr>
          <w:rFonts w:hint="eastAsia" w:ascii="Times New Roman" w:hAnsi="Times New Roman" w:cs="Times New Roman" w:eastAsiaTheme="minorEastAsia"/>
          <w:iCs/>
          <w:color w:val="000000" w:themeColor="text1"/>
          <w:sz w:val="21"/>
          <w:szCs w:val="21"/>
        </w:rPr>
        <w:t>（20kV）交流并网点为用户开关站、环网箱（室）、配电室或箱变10kV（20kV）母线。</w:t>
      </w:r>
    </w:p>
    <w:p>
      <w:pPr>
        <w:widowControl/>
        <w:spacing w:line="360" w:lineRule="auto"/>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电化学储能系</w:t>
      </w:r>
      <w:r>
        <w:rPr>
          <w:rFonts w:hint="eastAsia" w:ascii="Times New Roman" w:hAnsi="Times New Roman" w:cs="Times New Roman" w:eastAsiaTheme="minorEastAsia"/>
          <w:iCs/>
          <w:color w:val="000000" w:themeColor="text1"/>
          <w:sz w:val="21"/>
          <w:szCs w:val="21"/>
        </w:rPr>
        <w:t>统应直接接入用户内部配电设施，</w:t>
      </w:r>
      <w:r>
        <w:rPr>
          <w:rFonts w:ascii="Times New Roman" w:hAnsi="Times New Roman" w:cs="Times New Roman" w:eastAsiaTheme="minorEastAsia"/>
          <w:iCs/>
          <w:color w:val="000000" w:themeColor="text1"/>
          <w:sz w:val="21"/>
          <w:szCs w:val="21"/>
        </w:rPr>
        <w:t>接入电压等级</w:t>
      </w:r>
      <w:r>
        <w:rPr>
          <w:rFonts w:hint="eastAsia" w:ascii="Times New Roman" w:hAnsi="Times New Roman" w:cs="Times New Roman" w:eastAsiaTheme="minorEastAsia"/>
          <w:iCs/>
          <w:color w:val="000000" w:themeColor="text1"/>
          <w:sz w:val="21"/>
          <w:szCs w:val="21"/>
        </w:rPr>
        <w:t>宜</w:t>
      </w:r>
      <w:r>
        <w:rPr>
          <w:rFonts w:ascii="Times New Roman" w:hAnsi="Times New Roman" w:cs="Times New Roman" w:eastAsiaTheme="minorEastAsia"/>
          <w:iCs/>
          <w:color w:val="000000" w:themeColor="text1"/>
          <w:sz w:val="21"/>
          <w:szCs w:val="21"/>
        </w:rPr>
        <w:t>低于用户受电电压等级</w:t>
      </w:r>
      <w:r>
        <w:rPr>
          <w:rFonts w:hint="eastAsia" w:ascii="Times New Roman" w:hAnsi="Times New Roman" w:cs="Times New Roman" w:eastAsiaTheme="minorEastAsia"/>
          <w:iCs/>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w:t>
      </w:r>
      <w:r>
        <w:rPr>
          <w:rFonts w:ascii="Times New Roman" w:hAnsi="Times New Roman" w:cs="Times New Roman" w:eastAsiaTheme="minorEastAsia"/>
          <w:color w:val="000000" w:themeColor="text1"/>
          <w:sz w:val="21"/>
          <w:szCs w:val="21"/>
        </w:rPr>
        <w:t>储能系统的</w:t>
      </w:r>
      <w:r>
        <w:rPr>
          <w:rFonts w:hint="eastAsia" w:ascii="Times New Roman" w:hAnsi="Times New Roman" w:cs="Times New Roman" w:eastAsiaTheme="minorEastAsia"/>
          <w:color w:val="000000" w:themeColor="text1"/>
          <w:sz w:val="21"/>
          <w:szCs w:val="21"/>
        </w:rPr>
        <w:t>中性点接地方式</w:t>
      </w:r>
      <w:r>
        <w:rPr>
          <w:rFonts w:ascii="Times New Roman" w:hAnsi="Times New Roman" w:cs="Times New Roman" w:eastAsiaTheme="minorEastAsia"/>
          <w:color w:val="000000" w:themeColor="text1"/>
          <w:sz w:val="21"/>
          <w:szCs w:val="21"/>
        </w:rPr>
        <w:t>应与</w:t>
      </w:r>
      <w:r>
        <w:rPr>
          <w:rFonts w:hint="eastAsia" w:ascii="Times New Roman" w:hAnsi="Times New Roman" w:cs="Times New Roman" w:eastAsiaTheme="minorEastAsia"/>
          <w:color w:val="000000" w:themeColor="text1"/>
          <w:sz w:val="21"/>
          <w:szCs w:val="21"/>
        </w:rPr>
        <w:t>其所接入配电网</w:t>
      </w:r>
      <w:r>
        <w:rPr>
          <w:rFonts w:ascii="Times New Roman" w:hAnsi="Times New Roman" w:cs="Times New Roman" w:eastAsiaTheme="minorEastAsia"/>
          <w:color w:val="000000" w:themeColor="text1"/>
          <w:sz w:val="21"/>
          <w:szCs w:val="21"/>
        </w:rPr>
        <w:t>的接地</w:t>
      </w:r>
      <w:r>
        <w:rPr>
          <w:rFonts w:hint="eastAsia" w:ascii="Times New Roman" w:hAnsi="Times New Roman" w:cs="Times New Roman" w:eastAsiaTheme="minorEastAsia"/>
          <w:color w:val="000000" w:themeColor="text1"/>
          <w:sz w:val="21"/>
          <w:szCs w:val="21"/>
        </w:rPr>
        <w:t>方</w:t>
      </w:r>
      <w:r>
        <w:rPr>
          <w:rFonts w:ascii="Times New Roman" w:hAnsi="Times New Roman" w:cs="Times New Roman" w:eastAsiaTheme="minorEastAsia"/>
          <w:color w:val="000000" w:themeColor="text1"/>
          <w:sz w:val="21"/>
          <w:szCs w:val="21"/>
        </w:rPr>
        <w:t>式一致，不应抬高</w:t>
      </w:r>
      <w:r>
        <w:rPr>
          <w:rFonts w:hint="eastAsia" w:ascii="Times New Roman" w:hAnsi="Times New Roman" w:cs="Times New Roman" w:eastAsiaTheme="minorEastAsia"/>
          <w:color w:val="000000" w:themeColor="text1"/>
          <w:sz w:val="21"/>
          <w:szCs w:val="21"/>
        </w:rPr>
        <w:t>接入配电网</w:t>
      </w:r>
      <w:r>
        <w:rPr>
          <w:rFonts w:ascii="Times New Roman" w:hAnsi="Times New Roman" w:cs="Times New Roman" w:eastAsiaTheme="minorEastAsia"/>
          <w:color w:val="000000" w:themeColor="text1"/>
          <w:sz w:val="21"/>
          <w:szCs w:val="21"/>
        </w:rPr>
        <w:t>的过电压水平。</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采用交流接入的电化学</w:t>
      </w:r>
      <w:r>
        <w:rPr>
          <w:rFonts w:ascii="Times New Roman" w:hAnsi="Times New Roman" w:cs="Times New Roman" w:eastAsiaTheme="minorEastAsia"/>
          <w:color w:val="000000" w:themeColor="text1"/>
          <w:sz w:val="21"/>
          <w:szCs w:val="21"/>
        </w:rPr>
        <w:t>储能系统</w:t>
      </w:r>
      <w:r>
        <w:rPr>
          <w:rFonts w:hint="eastAsia" w:ascii="Times New Roman" w:hAnsi="Times New Roman" w:cs="Times New Roman" w:eastAsiaTheme="minorEastAsia"/>
          <w:color w:val="000000" w:themeColor="text1"/>
          <w:sz w:val="21"/>
          <w:szCs w:val="21"/>
        </w:rPr>
        <w:t>，其并网点功率因数应在</w:t>
      </w:r>
      <w:r>
        <w:rPr>
          <w:rFonts w:ascii="Times New Roman" w:hAnsi="Times New Roman" w:cs="Times New Roman" w:eastAsiaTheme="minorEastAsia"/>
          <w:color w:val="000000" w:themeColor="text1"/>
          <w:sz w:val="21"/>
          <w:szCs w:val="21"/>
        </w:rPr>
        <w:t>0.9</w:t>
      </w:r>
      <w:r>
        <w:rPr>
          <w:rFonts w:hint="eastAsia" w:ascii="Times New Roman" w:hAnsi="Times New Roman" w:cs="Times New Roman" w:eastAsiaTheme="minorEastAsia"/>
          <w:color w:val="000000" w:themeColor="text1"/>
          <w:sz w:val="21"/>
          <w:szCs w:val="21"/>
        </w:rPr>
        <w:t>（超前）~</w:t>
      </w:r>
      <w:r>
        <w:rPr>
          <w:rFonts w:ascii="Times New Roman" w:hAnsi="Times New Roman" w:cs="Times New Roman" w:eastAsiaTheme="minorEastAsia"/>
          <w:color w:val="000000" w:themeColor="text1"/>
          <w:sz w:val="21"/>
          <w:szCs w:val="21"/>
        </w:rPr>
        <w:t>0.9</w:t>
      </w:r>
      <w:r>
        <w:rPr>
          <w:rFonts w:hint="eastAsia" w:ascii="Times New Roman" w:hAnsi="Times New Roman" w:cs="Times New Roman" w:eastAsiaTheme="minorEastAsia"/>
          <w:color w:val="000000" w:themeColor="text1"/>
          <w:sz w:val="21"/>
          <w:szCs w:val="21"/>
        </w:rPr>
        <w:t>（滞后）范围内连续可调</w:t>
      </w:r>
      <w:r>
        <w:rPr>
          <w:rFonts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 电化学</w:t>
      </w:r>
      <w:r>
        <w:rPr>
          <w:rFonts w:ascii="Times New Roman" w:hAnsi="Times New Roman" w:cs="Times New Roman" w:eastAsiaTheme="minorEastAsia"/>
          <w:color w:val="000000" w:themeColor="text1"/>
          <w:sz w:val="21"/>
          <w:szCs w:val="21"/>
        </w:rPr>
        <w:t>储能系统接入</w:t>
      </w:r>
      <w:r>
        <w:rPr>
          <w:rFonts w:hint="eastAsia" w:ascii="Times New Roman" w:hAnsi="Times New Roman" w:cs="Times New Roman" w:eastAsiaTheme="minorEastAsia"/>
          <w:color w:val="000000" w:themeColor="text1"/>
          <w:sz w:val="21"/>
          <w:szCs w:val="21"/>
        </w:rPr>
        <w:t>建筑光储直柔电气系统还</w:t>
      </w:r>
      <w:r>
        <w:rPr>
          <w:rFonts w:ascii="Times New Roman" w:hAnsi="Times New Roman" w:cs="Times New Roman" w:eastAsiaTheme="minorEastAsia"/>
          <w:color w:val="000000" w:themeColor="text1"/>
          <w:sz w:val="21"/>
          <w:szCs w:val="21"/>
        </w:rPr>
        <w:t>应</w:t>
      </w:r>
      <w:r>
        <w:rPr>
          <w:rFonts w:hint="eastAsia" w:ascii="Times New Roman" w:hAnsi="Times New Roman" w:cs="Times New Roman" w:eastAsiaTheme="minorEastAsia"/>
          <w:color w:val="000000" w:themeColor="text1"/>
          <w:sz w:val="21"/>
          <w:szCs w:val="21"/>
        </w:rPr>
        <w:t>符合</w:t>
      </w:r>
      <w:r>
        <w:rPr>
          <w:rFonts w:ascii="Times New Roman" w:hAnsi="Times New Roman" w:cs="Times New Roman" w:eastAsiaTheme="minorEastAsia"/>
          <w:color w:val="000000" w:themeColor="text1"/>
          <w:sz w:val="21"/>
          <w:szCs w:val="21"/>
        </w:rPr>
        <w:t>《用户侧电化学储能系统接入配电网技术规定》GB/T 43526和《电化学储能系统接入配电网技术规定》NB/T 33015</w:t>
      </w:r>
      <w:r>
        <w:rPr>
          <w:rFonts w:hint="eastAsia" w:ascii="Times New Roman" w:hAnsi="Times New Roman" w:cs="Times New Roman" w:eastAsiaTheme="minorEastAsia"/>
          <w:color w:val="000000" w:themeColor="text1"/>
          <w:sz w:val="21"/>
          <w:szCs w:val="21"/>
        </w:rPr>
        <w:t>等</w:t>
      </w:r>
      <w:r>
        <w:rPr>
          <w:rFonts w:ascii="Times New Roman" w:hAnsi="Times New Roman" w:cs="Times New Roman" w:eastAsiaTheme="minorEastAsia"/>
          <w:color w:val="000000" w:themeColor="text1"/>
          <w:sz w:val="21"/>
          <w:szCs w:val="21"/>
        </w:rPr>
        <w:t>的</w:t>
      </w:r>
      <w:r>
        <w:rPr>
          <w:rFonts w:hint="eastAsia" w:ascii="Times New Roman" w:hAnsi="Times New Roman" w:cs="Times New Roman" w:eastAsiaTheme="minorEastAsia"/>
          <w:color w:val="000000" w:themeColor="text1"/>
          <w:sz w:val="21"/>
          <w:szCs w:val="21"/>
        </w:rPr>
        <w:t>有关规定</w:t>
      </w:r>
      <w:r>
        <w:rPr>
          <w:rFonts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color w:val="000000" w:themeColor="text1"/>
          <w:sz w:val="24"/>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08" w:name="_Toc187411731"/>
      <w:bookmarkStart w:id="109" w:name="_Toc25262"/>
      <w:bookmarkStart w:id="110" w:name="_Toc22429"/>
      <w:r>
        <w:rPr>
          <w:rFonts w:hint="eastAsia" w:ascii="Times New Roman" w:hAnsi="Times New Roman" w:cs="Times New Roman" w:eastAsiaTheme="majorEastAsia"/>
          <w:bCs/>
          <w:color w:val="000000" w:themeColor="text1"/>
          <w:sz w:val="28"/>
          <w:szCs w:val="28"/>
        </w:rPr>
        <w:t>5</w:t>
      </w:r>
      <w:r>
        <w:rPr>
          <w:rFonts w:ascii="Times New Roman" w:hAnsi="Times New Roman" w:cs="Times New Roman" w:eastAsiaTheme="majorEastAsia"/>
          <w:bCs/>
          <w:color w:val="000000" w:themeColor="text1"/>
          <w:sz w:val="28"/>
          <w:szCs w:val="28"/>
        </w:rPr>
        <w:t>.4</w:t>
      </w:r>
      <w:r>
        <w:rPr>
          <w:rFonts w:hint="eastAsia" w:ascii="Times New Roman" w:hAnsi="Times New Roman" w:cs="Times New Roman" w:eastAsiaTheme="majorEastAsia"/>
          <w:bCs/>
          <w:color w:val="000000" w:themeColor="text1"/>
          <w:sz w:val="28"/>
          <w:szCs w:val="28"/>
        </w:rPr>
        <w:t xml:space="preserve"> 设备及材料</w:t>
      </w:r>
      <w:bookmarkEnd w:id="108"/>
      <w:bookmarkEnd w:id="109"/>
      <w:bookmarkEnd w:id="110"/>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5.4</w:t>
      </w: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电化学</w:t>
      </w:r>
      <w:r>
        <w:rPr>
          <w:rFonts w:ascii="Times New Roman" w:hAnsi="Times New Roman" w:cs="Times New Roman" w:eastAsiaTheme="minorEastAsia"/>
          <w:color w:val="000000" w:themeColor="text1"/>
          <w:sz w:val="21"/>
          <w:szCs w:val="21"/>
        </w:rPr>
        <w:t>储能系统所选储能电池、电池管理系统、储能变流器等设备应通过型式试验，其选型和配置应能满足应用场景需求。</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.4.2 </w:t>
      </w:r>
      <w:r>
        <w:rPr>
          <w:rFonts w:hint="eastAsia" w:ascii="Times New Roman" w:hAnsi="Times New Roman" w:cs="Times New Roman" w:eastAsiaTheme="minorEastAsia"/>
          <w:color w:val="000000" w:themeColor="text1"/>
          <w:sz w:val="21"/>
          <w:szCs w:val="21"/>
        </w:rPr>
        <w:t>锂离子电池应符合《电力储能用锂离子电池》GB</w:t>
      </w:r>
      <w:r>
        <w:rPr>
          <w:rFonts w:ascii="Times New Roman" w:hAnsi="Times New Roman" w:cs="Times New Roman" w:eastAsiaTheme="minorEastAsia"/>
          <w:color w:val="000000" w:themeColor="text1"/>
          <w:sz w:val="21"/>
          <w:szCs w:val="21"/>
        </w:rPr>
        <w:t>/T 36276</w:t>
      </w:r>
      <w:r>
        <w:rPr>
          <w:rFonts w:hint="eastAsia" w:ascii="Times New Roman" w:hAnsi="Times New Roman" w:cs="Times New Roman" w:eastAsiaTheme="minorEastAsia"/>
          <w:color w:val="000000" w:themeColor="text1"/>
          <w:sz w:val="21"/>
          <w:szCs w:val="21"/>
        </w:rPr>
        <w:t>的有关规定；铅炭电池应符合《电力储能用铅炭电池》GB</w:t>
      </w:r>
      <w:r>
        <w:rPr>
          <w:rFonts w:ascii="Times New Roman" w:hAnsi="Times New Roman" w:cs="Times New Roman" w:eastAsiaTheme="minorEastAsia"/>
          <w:color w:val="000000" w:themeColor="text1"/>
          <w:sz w:val="21"/>
          <w:szCs w:val="21"/>
        </w:rPr>
        <w:t>/T 36280</w:t>
      </w:r>
      <w:r>
        <w:rPr>
          <w:rFonts w:hint="eastAsia" w:ascii="Times New Roman" w:hAnsi="Times New Roman" w:cs="Times New Roman" w:eastAsiaTheme="minorEastAsia"/>
          <w:color w:val="000000" w:themeColor="text1"/>
          <w:sz w:val="21"/>
          <w:szCs w:val="21"/>
        </w:rPr>
        <w:t>的有关规定；全钒液流电池应符合《全钒液流电池通用技术条件》GB</w:t>
      </w:r>
      <w:r>
        <w:rPr>
          <w:rFonts w:ascii="Times New Roman" w:hAnsi="Times New Roman" w:cs="Times New Roman" w:eastAsiaTheme="minorEastAsia"/>
          <w:color w:val="000000" w:themeColor="text1"/>
          <w:sz w:val="21"/>
          <w:szCs w:val="21"/>
        </w:rPr>
        <w:t>/T 32509</w:t>
      </w:r>
      <w:r>
        <w:rPr>
          <w:rFonts w:hint="eastAsia" w:ascii="Times New Roman" w:hAnsi="Times New Roman" w:cs="Times New Roman" w:eastAsiaTheme="minorEastAsia"/>
          <w:color w:val="000000" w:themeColor="text1"/>
          <w:sz w:val="21"/>
          <w:szCs w:val="21"/>
        </w:rPr>
        <w:t>、《全钒液流电池安全要求》GB</w:t>
      </w:r>
      <w:r>
        <w:rPr>
          <w:rFonts w:ascii="Times New Roman" w:hAnsi="Times New Roman" w:cs="Times New Roman" w:eastAsiaTheme="minorEastAsia"/>
          <w:color w:val="000000" w:themeColor="text1"/>
          <w:sz w:val="21"/>
          <w:szCs w:val="21"/>
        </w:rPr>
        <w:t>/T 34866</w:t>
      </w:r>
      <w:r>
        <w:rPr>
          <w:rFonts w:hint="eastAsia" w:ascii="Times New Roman" w:hAnsi="Times New Roman" w:cs="Times New Roman" w:eastAsiaTheme="minorEastAsia"/>
          <w:color w:val="000000" w:themeColor="text1"/>
          <w:sz w:val="21"/>
          <w:szCs w:val="21"/>
        </w:rPr>
        <w:t>的有关规定；钠离子电池的技术要求应满足《电力储能电站钠离子电池技术规范》GB</w:t>
      </w:r>
      <w:r>
        <w:rPr>
          <w:rFonts w:ascii="Times New Roman" w:hAnsi="Times New Roman" w:cs="Times New Roman" w:eastAsiaTheme="minorEastAsia"/>
          <w:color w:val="000000" w:themeColor="text1"/>
          <w:sz w:val="21"/>
          <w:szCs w:val="21"/>
        </w:rPr>
        <w:t>/T 44265</w:t>
      </w:r>
      <w:r>
        <w:rPr>
          <w:rFonts w:hint="eastAsia" w:ascii="Times New Roman" w:hAnsi="Times New Roman" w:cs="Times New Roman" w:eastAsiaTheme="minorEastAsia"/>
          <w:color w:val="000000" w:themeColor="text1"/>
          <w:sz w:val="21"/>
          <w:szCs w:val="21"/>
        </w:rPr>
        <w:t>的相关要求。</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5.4.</w:t>
      </w:r>
      <w:r>
        <w:rPr>
          <w:rFonts w:ascii="Times New Roman" w:hAnsi="Times New Roman" w:cs="Times New Roman" w:eastAsiaTheme="minorEastAsia"/>
          <w:color w:val="000000" w:themeColor="text1"/>
          <w:sz w:val="21"/>
          <w:szCs w:val="21"/>
        </w:rPr>
        <w:t xml:space="preserve">3 </w:t>
      </w:r>
      <w:r>
        <w:rPr>
          <w:rFonts w:hint="eastAsia" w:ascii="Times New Roman" w:hAnsi="Times New Roman" w:cs="Times New Roman" w:eastAsiaTheme="minorEastAsia"/>
          <w:color w:val="000000" w:themeColor="text1"/>
          <w:sz w:val="21"/>
          <w:szCs w:val="21"/>
        </w:rPr>
        <w:t>电池</w:t>
      </w:r>
      <w:r>
        <w:rPr>
          <w:rFonts w:ascii="Times New Roman" w:hAnsi="Times New Roman" w:cs="Times New Roman" w:eastAsiaTheme="minorEastAsia"/>
          <w:color w:val="000000" w:themeColor="text1"/>
          <w:sz w:val="21"/>
          <w:szCs w:val="21"/>
        </w:rPr>
        <w:t>管理系统的</w:t>
      </w:r>
      <w:r>
        <w:rPr>
          <w:rFonts w:hint="eastAsia" w:ascii="Times New Roman" w:hAnsi="Times New Roman" w:cs="Times New Roman" w:eastAsiaTheme="minorEastAsia"/>
          <w:color w:val="000000" w:themeColor="text1"/>
          <w:sz w:val="21"/>
          <w:szCs w:val="21"/>
        </w:rPr>
        <w:t>技术</w:t>
      </w:r>
      <w:r>
        <w:rPr>
          <w:rFonts w:ascii="Times New Roman" w:hAnsi="Times New Roman" w:cs="Times New Roman" w:eastAsiaTheme="minorEastAsia"/>
          <w:color w:val="000000" w:themeColor="text1"/>
          <w:sz w:val="21"/>
          <w:szCs w:val="21"/>
        </w:rPr>
        <w:t>要求应符合</w:t>
      </w:r>
      <w:r>
        <w:rPr>
          <w:rFonts w:hint="eastAsia" w:ascii="Times New Roman" w:hAnsi="Times New Roman" w:cs="Times New Roman" w:eastAsiaTheme="minorEastAsia"/>
          <w:color w:val="000000" w:themeColor="text1"/>
          <w:sz w:val="21"/>
          <w:szCs w:val="21"/>
        </w:rPr>
        <w:t>《电力储能用电池管理系统》</w:t>
      </w:r>
      <w:r>
        <w:rPr>
          <w:rFonts w:ascii="Times New Roman" w:hAnsi="Times New Roman" w:cs="Times New Roman" w:eastAsiaTheme="minorEastAsia"/>
          <w:color w:val="000000" w:themeColor="text1"/>
          <w:sz w:val="21"/>
          <w:szCs w:val="21"/>
        </w:rPr>
        <w:t>GB/</w:t>
      </w:r>
      <w:r>
        <w:rPr>
          <w:rFonts w:hint="eastAsia" w:ascii="Times New Roman" w:hAnsi="Times New Roman" w:cs="Times New Roman" w:eastAsiaTheme="minorEastAsia"/>
          <w:color w:val="000000" w:themeColor="text1"/>
          <w:sz w:val="21"/>
          <w:szCs w:val="21"/>
        </w:rPr>
        <w:t>T</w:t>
      </w:r>
      <w:r>
        <w:rPr>
          <w:rFonts w:ascii="Times New Roman" w:hAnsi="Times New Roman" w:cs="Times New Roman" w:eastAsiaTheme="minorEastAsia"/>
          <w:color w:val="000000" w:themeColor="text1"/>
          <w:sz w:val="21"/>
          <w:szCs w:val="21"/>
        </w:rPr>
        <w:t xml:space="preserve"> 31341</w:t>
      </w:r>
      <w:r>
        <w:rPr>
          <w:rFonts w:hint="eastAsia" w:ascii="Times New Roman" w:hAnsi="Times New Roman" w:cs="Times New Roman" w:eastAsiaTheme="minorEastAsia"/>
          <w:color w:val="000000" w:themeColor="text1"/>
          <w:sz w:val="21"/>
          <w:szCs w:val="21"/>
        </w:rPr>
        <w:t>等的有关规定</w:t>
      </w:r>
      <w:r>
        <w:rPr>
          <w:rFonts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5.4.4 </w:t>
      </w:r>
      <w:r>
        <w:rPr>
          <w:rFonts w:hint="eastAsia" w:ascii="Times New Roman" w:hAnsi="Times New Roman" w:cs="Times New Roman" w:eastAsiaTheme="minorEastAsia"/>
          <w:color w:val="000000" w:themeColor="text1"/>
          <w:sz w:val="21"/>
          <w:szCs w:val="21"/>
        </w:rPr>
        <w:t>储能变流器应符合《电化学储能系统储能变流器技术要求》</w:t>
      </w:r>
      <w:r>
        <w:rPr>
          <w:rFonts w:ascii="Times New Roman" w:hAnsi="Times New Roman" w:cs="Times New Roman" w:eastAsiaTheme="minorEastAsia"/>
          <w:color w:val="000000" w:themeColor="text1"/>
          <w:sz w:val="21"/>
          <w:szCs w:val="21"/>
        </w:rPr>
        <w:t>GB/T 34120</w:t>
      </w:r>
      <w:r>
        <w:rPr>
          <w:rFonts w:hint="eastAsia" w:ascii="Times New Roman" w:hAnsi="Times New Roman" w:cs="Times New Roman" w:eastAsiaTheme="minorEastAsia"/>
          <w:color w:val="000000" w:themeColor="text1"/>
          <w:sz w:val="21"/>
          <w:szCs w:val="21"/>
        </w:rPr>
        <w:t>的有关规定。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5.4.5</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w:t>
      </w:r>
      <w:r>
        <w:rPr>
          <w:rFonts w:ascii="Times New Roman" w:hAnsi="Times New Roman" w:cs="Times New Roman" w:eastAsiaTheme="minorEastAsia"/>
          <w:color w:val="000000" w:themeColor="text1"/>
          <w:sz w:val="21"/>
          <w:szCs w:val="21"/>
        </w:rPr>
        <w:t>储能系统</w:t>
      </w:r>
      <w:r>
        <w:rPr>
          <w:rFonts w:hint="eastAsia" w:ascii="Times New Roman" w:hAnsi="Times New Roman" w:cs="Times New Roman" w:eastAsiaTheme="minorEastAsia"/>
          <w:color w:val="000000" w:themeColor="text1"/>
          <w:sz w:val="21"/>
          <w:szCs w:val="21"/>
        </w:rPr>
        <w:t>直流</w:t>
      </w:r>
      <w:r>
        <w:rPr>
          <w:rFonts w:ascii="Times New Roman" w:hAnsi="Times New Roman" w:cs="Times New Roman" w:eastAsiaTheme="minorEastAsia"/>
          <w:color w:val="000000" w:themeColor="text1"/>
          <w:sz w:val="21"/>
          <w:szCs w:val="21"/>
        </w:rPr>
        <w:t>并网点</w:t>
      </w:r>
      <w:r>
        <w:rPr>
          <w:rFonts w:hint="eastAsia" w:ascii="Times New Roman" w:hAnsi="Times New Roman" w:cs="Times New Roman" w:eastAsiaTheme="minorEastAsia"/>
          <w:color w:val="000000" w:themeColor="text1"/>
          <w:sz w:val="21"/>
          <w:szCs w:val="21"/>
        </w:rPr>
        <w:t>和2</w:t>
      </w:r>
      <w:r>
        <w:rPr>
          <w:rFonts w:ascii="Times New Roman" w:hAnsi="Times New Roman" w:cs="Times New Roman" w:eastAsiaTheme="minorEastAsia"/>
          <w:color w:val="000000" w:themeColor="text1"/>
          <w:sz w:val="21"/>
          <w:szCs w:val="21"/>
        </w:rPr>
        <w:t>20/380</w:t>
      </w:r>
      <w:r>
        <w:rPr>
          <w:rFonts w:hint="eastAsia" w:ascii="Times New Roman" w:hAnsi="Times New Roman" w:cs="Times New Roman" w:eastAsiaTheme="minorEastAsia"/>
          <w:color w:val="000000" w:themeColor="text1"/>
          <w:sz w:val="21"/>
          <w:szCs w:val="21"/>
        </w:rPr>
        <w:t>V交流并网点</w:t>
      </w:r>
      <w:r>
        <w:rPr>
          <w:rFonts w:ascii="Times New Roman" w:hAnsi="Times New Roman" w:cs="Times New Roman" w:eastAsiaTheme="minorEastAsia"/>
          <w:color w:val="000000" w:themeColor="text1"/>
          <w:sz w:val="21"/>
          <w:szCs w:val="21"/>
        </w:rPr>
        <w:t>应安装易操作、具有明显开断指示</w:t>
      </w:r>
      <w:r>
        <w:rPr>
          <w:rFonts w:hint="eastAsia" w:ascii="Times New Roman" w:hAnsi="Times New Roman" w:cs="Times New Roman" w:eastAsiaTheme="minorEastAsia"/>
          <w:color w:val="000000" w:themeColor="text1"/>
          <w:sz w:val="21"/>
          <w:szCs w:val="21"/>
        </w:rPr>
        <w:t>、能开断故障电流的开断设备；1</w:t>
      </w:r>
      <w:r>
        <w:rPr>
          <w:rFonts w:ascii="Times New Roman" w:hAnsi="Times New Roman" w:cs="Times New Roman" w:eastAsiaTheme="minorEastAsia"/>
          <w:color w:val="000000" w:themeColor="text1"/>
          <w:sz w:val="21"/>
          <w:szCs w:val="21"/>
        </w:rPr>
        <w:t>0</w:t>
      </w:r>
      <w:r>
        <w:rPr>
          <w:rFonts w:hint="eastAsia" w:ascii="Times New Roman" w:hAnsi="Times New Roman" w:cs="Times New Roman" w:eastAsiaTheme="minorEastAsia"/>
          <w:color w:val="000000" w:themeColor="text1"/>
          <w:sz w:val="21"/>
          <w:szCs w:val="21"/>
        </w:rPr>
        <w:t>kV并网点</w:t>
      </w:r>
      <w:r>
        <w:rPr>
          <w:rFonts w:ascii="Times New Roman" w:hAnsi="Times New Roman" w:cs="Times New Roman" w:eastAsiaTheme="minorEastAsia"/>
          <w:color w:val="000000" w:themeColor="text1"/>
          <w:sz w:val="21"/>
          <w:szCs w:val="21"/>
        </w:rPr>
        <w:t>应安装易操作、可闭锁、具有明显开断指示</w:t>
      </w:r>
      <w:r>
        <w:rPr>
          <w:rFonts w:hint="eastAsia" w:ascii="Times New Roman" w:hAnsi="Times New Roman" w:cs="Times New Roman" w:eastAsiaTheme="minorEastAsia"/>
          <w:color w:val="000000" w:themeColor="text1"/>
          <w:sz w:val="21"/>
          <w:szCs w:val="21"/>
        </w:rPr>
        <w:t>和接地功能、能开断故障电流的开断设备</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开断设备应符合《电力工程直流电源系统设计技术规程》DL/T 5044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、《低压开关设备和控制设备第2部分:断路器》GB14048.2、《高开关设备和控制设备标准的共用技术要求》GBT11022</w:t>
      </w:r>
      <w:r>
        <w:rPr>
          <w:rFonts w:ascii="Times New Roman" w:hAnsi="Times New Roman" w:cs="Times New Roman" w:eastAsiaTheme="minorEastAsia"/>
          <w:color w:val="000000" w:themeColor="text1"/>
          <w:sz w:val="21"/>
          <w:szCs w:val="21"/>
        </w:rPr>
        <w:t>的</w:t>
      </w:r>
      <w:r>
        <w:rPr>
          <w:rFonts w:hint="eastAsia" w:ascii="Times New Roman" w:hAnsi="Times New Roman" w:cs="Times New Roman" w:eastAsiaTheme="minorEastAsia"/>
          <w:color w:val="000000" w:themeColor="text1"/>
          <w:sz w:val="21"/>
          <w:szCs w:val="21"/>
        </w:rPr>
        <w:t>有关</w:t>
      </w:r>
      <w:r>
        <w:rPr>
          <w:rFonts w:ascii="Times New Roman" w:hAnsi="Times New Roman" w:cs="Times New Roman" w:eastAsiaTheme="minorEastAsia"/>
          <w:color w:val="000000" w:themeColor="text1"/>
          <w:sz w:val="21"/>
          <w:szCs w:val="21"/>
        </w:rPr>
        <w:t>规定</w:t>
      </w:r>
      <w:r>
        <w:rPr>
          <w:rFonts w:hint="eastAsia"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strike/>
          <w:color w:val="000000" w:themeColor="text1"/>
          <w:sz w:val="21"/>
          <w:szCs w:val="21"/>
        </w:rPr>
      </w:pPr>
      <w:r>
        <w:rPr>
          <w:rFonts w:hint="eastAsia" w:ascii="Times New Roman" w:hAnsi="Times New Roman" w:cs="Times New Roman" w:eastAsiaTheme="minorEastAsia"/>
          <w:color w:val="000000" w:themeColor="text1"/>
          <w:sz w:val="21"/>
          <w:szCs w:val="21"/>
        </w:rPr>
        <w:t>5.4.6</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w:t>
      </w:r>
      <w:r>
        <w:rPr>
          <w:rFonts w:ascii="Times New Roman" w:hAnsi="Times New Roman" w:cs="Times New Roman" w:eastAsiaTheme="minorEastAsia"/>
          <w:color w:val="000000" w:themeColor="text1"/>
          <w:sz w:val="21"/>
          <w:szCs w:val="21"/>
        </w:rPr>
        <w:t>设备技术要求</w:t>
      </w:r>
      <w:r>
        <w:rPr>
          <w:rFonts w:hint="eastAsia" w:ascii="Times New Roman" w:hAnsi="Times New Roman" w:cs="Times New Roman" w:eastAsiaTheme="minorEastAsia"/>
          <w:color w:val="000000" w:themeColor="text1"/>
          <w:sz w:val="21"/>
          <w:szCs w:val="21"/>
        </w:rPr>
        <w:t>还</w:t>
      </w:r>
      <w:r>
        <w:rPr>
          <w:rFonts w:ascii="Times New Roman" w:hAnsi="Times New Roman" w:cs="Times New Roman" w:eastAsiaTheme="minorEastAsia"/>
          <w:color w:val="000000" w:themeColor="text1"/>
          <w:sz w:val="21"/>
          <w:szCs w:val="21"/>
        </w:rPr>
        <w:t>应符合《电力系统电化学储能系统通用技术条件》GB/T 36558</w:t>
      </w:r>
      <w:r>
        <w:rPr>
          <w:rFonts w:hint="eastAsia" w:ascii="Times New Roman" w:hAnsi="Times New Roman" w:cs="Times New Roman" w:eastAsiaTheme="minorEastAsia"/>
          <w:color w:val="000000" w:themeColor="text1"/>
          <w:sz w:val="21"/>
          <w:szCs w:val="21"/>
        </w:rPr>
        <w:t>等的有关规定</w:t>
      </w:r>
      <w:r>
        <w:rPr>
          <w:rFonts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5.4.7 蓄冷、蓄热等形式储能系统</w:t>
      </w:r>
      <w:r>
        <w:rPr>
          <w:rFonts w:ascii="Times New Roman" w:hAnsi="Times New Roman" w:cs="Times New Roman" w:eastAsiaTheme="minorEastAsia"/>
          <w:color w:val="000000" w:themeColor="text1"/>
          <w:sz w:val="21"/>
          <w:szCs w:val="21"/>
        </w:rPr>
        <w:t>设备技术要求</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应符合</w:t>
      </w:r>
      <w:r>
        <w:rPr>
          <w:rFonts w:hint="eastAsia" w:ascii="Times New Roman" w:hAnsi="Times New Roman" w:cs="Times New Roman" w:eastAsiaTheme="minorEastAsia"/>
          <w:color w:val="000000" w:themeColor="text1"/>
          <w:sz w:val="21"/>
          <w:szCs w:val="21"/>
        </w:rPr>
        <w:t>现行相关标准的规定。</w:t>
      </w:r>
    </w:p>
    <w:p>
      <w:pPr>
        <w:spacing w:line="360" w:lineRule="auto"/>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11" w:name="_Toc187411732"/>
      <w:bookmarkStart w:id="112" w:name="_Toc9821"/>
      <w:bookmarkStart w:id="113" w:name="_Toc29533"/>
      <w:r>
        <w:rPr>
          <w:rFonts w:hint="eastAsia" w:ascii="Times New Roman" w:hAnsi="Times New Roman" w:cs="Times New Roman" w:eastAsiaTheme="majorEastAsia"/>
          <w:bCs/>
          <w:color w:val="000000" w:themeColor="text1"/>
          <w:sz w:val="28"/>
          <w:szCs w:val="28"/>
        </w:rPr>
        <w:t>5</w:t>
      </w:r>
      <w:r>
        <w:rPr>
          <w:rFonts w:ascii="Times New Roman" w:hAnsi="Times New Roman" w:cs="Times New Roman" w:eastAsiaTheme="majorEastAsia"/>
          <w:bCs/>
          <w:color w:val="000000" w:themeColor="text1"/>
          <w:sz w:val="28"/>
          <w:szCs w:val="28"/>
        </w:rPr>
        <w:t>.5</w:t>
      </w:r>
      <w:r>
        <w:rPr>
          <w:rFonts w:hint="eastAsia" w:ascii="Times New Roman" w:hAnsi="Times New Roman" w:cs="Times New Roman" w:eastAsiaTheme="majorEastAsia"/>
          <w:bCs/>
          <w:color w:val="000000" w:themeColor="text1"/>
          <w:sz w:val="28"/>
          <w:szCs w:val="28"/>
        </w:rPr>
        <w:t xml:space="preserve"> 建筑和结构</w:t>
      </w:r>
      <w:bookmarkEnd w:id="111"/>
      <w:bookmarkEnd w:id="112"/>
      <w:bookmarkEnd w:id="113"/>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w:t>
      </w:r>
      <w:r>
        <w:rPr>
          <w:rFonts w:hint="eastAsia" w:ascii="Times New Roman" w:hAnsi="Times New Roman" w:cs="Times New Roman" w:eastAsiaTheme="minorEastAsia"/>
          <w:color w:val="000000" w:themeColor="text1"/>
          <w:sz w:val="21"/>
          <w:szCs w:val="21"/>
        </w:rPr>
        <w:t>.5.1</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电化学储能建筑物室内装修材料的燃烧性能应符合《建筑内部装修设计防火规范》GB</w:t>
      </w:r>
      <w:r>
        <w:rPr>
          <w:rFonts w:ascii="Times New Roman" w:hAnsi="Times New Roman" w:cs="Times New Roman" w:eastAsiaTheme="minorEastAsia"/>
          <w:color w:val="000000" w:themeColor="text1"/>
          <w:sz w:val="21"/>
          <w:szCs w:val="21"/>
        </w:rPr>
        <w:t xml:space="preserve"> 50222</w:t>
      </w:r>
      <w:r>
        <w:rPr>
          <w:rFonts w:hint="eastAsia" w:ascii="Times New Roman" w:hAnsi="Times New Roman" w:cs="Times New Roman" w:eastAsiaTheme="minorEastAsia"/>
          <w:color w:val="000000" w:themeColor="text1"/>
          <w:sz w:val="21"/>
          <w:szCs w:val="21"/>
        </w:rPr>
        <w:t>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5.5.2 </w:t>
      </w:r>
      <w:r>
        <w:rPr>
          <w:rFonts w:hint="eastAsia" w:ascii="Times New Roman" w:hAnsi="Times New Roman" w:cs="Times New Roman" w:eastAsiaTheme="minorEastAsia"/>
          <w:color w:val="000000" w:themeColor="text1"/>
          <w:sz w:val="21"/>
          <w:szCs w:val="21"/>
        </w:rPr>
        <w:t>电化学储能建（构）筑物的的设计应按承载力极限状态和正常使用极限状态分别进行组合，作用效应组合的计算方法应符合《建筑结构荷载规范》GB 50009的有关规定。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5.5.3 </w:t>
      </w:r>
      <w:r>
        <w:rPr>
          <w:rFonts w:hint="eastAsia" w:ascii="Times New Roman" w:hAnsi="Times New Roman" w:cs="Times New Roman" w:eastAsiaTheme="minorEastAsia"/>
          <w:color w:val="000000" w:themeColor="text1"/>
          <w:sz w:val="21"/>
          <w:szCs w:val="21"/>
        </w:rPr>
        <w:t>电化学储能各建（构）筑物的抗震设计应符合《建筑抗震设计标准》GB/T</w:t>
      </w:r>
      <w:r>
        <w:rPr>
          <w:rFonts w:ascii="Times New Roman" w:hAnsi="Times New Roman" w:cs="Times New Roman" w:eastAsiaTheme="minorEastAsia"/>
          <w:color w:val="000000" w:themeColor="text1"/>
          <w:sz w:val="21"/>
          <w:szCs w:val="21"/>
        </w:rPr>
        <w:t xml:space="preserve"> 50011</w:t>
      </w:r>
      <w:r>
        <w:rPr>
          <w:rFonts w:hint="eastAsia" w:ascii="Times New Roman" w:hAnsi="Times New Roman" w:cs="Times New Roman" w:eastAsiaTheme="minorEastAsia"/>
          <w:color w:val="000000" w:themeColor="text1"/>
          <w:sz w:val="21"/>
          <w:szCs w:val="21"/>
        </w:rPr>
        <w:t>、《构筑物抗震设计规范》GB</w:t>
      </w:r>
      <w:r>
        <w:rPr>
          <w:rFonts w:ascii="Times New Roman" w:hAnsi="Times New Roman" w:cs="Times New Roman" w:eastAsiaTheme="minorEastAsia"/>
          <w:color w:val="000000" w:themeColor="text1"/>
          <w:sz w:val="21"/>
          <w:szCs w:val="21"/>
        </w:rPr>
        <w:t xml:space="preserve"> 50191</w:t>
      </w:r>
      <w:r>
        <w:rPr>
          <w:rFonts w:hint="eastAsia" w:ascii="Times New Roman" w:hAnsi="Times New Roman" w:cs="Times New Roman" w:eastAsiaTheme="minorEastAsia"/>
          <w:color w:val="000000" w:themeColor="text1"/>
          <w:sz w:val="21"/>
          <w:szCs w:val="21"/>
        </w:rPr>
        <w:t>、《电力设施抗震设计规范》GB</w:t>
      </w:r>
      <w:r>
        <w:rPr>
          <w:rFonts w:ascii="Times New Roman" w:hAnsi="Times New Roman" w:cs="Times New Roman" w:eastAsiaTheme="minorEastAsia"/>
          <w:color w:val="000000" w:themeColor="text1"/>
          <w:sz w:val="21"/>
          <w:szCs w:val="21"/>
        </w:rPr>
        <w:t xml:space="preserve"> 50260</w:t>
      </w:r>
      <w:r>
        <w:rPr>
          <w:rFonts w:hint="eastAsia" w:ascii="Times New Roman" w:hAnsi="Times New Roman" w:cs="Times New Roman" w:eastAsiaTheme="minorEastAsia"/>
          <w:color w:val="000000" w:themeColor="text1"/>
          <w:sz w:val="21"/>
          <w:szCs w:val="21"/>
        </w:rPr>
        <w:t>的有关规定。</w:t>
      </w:r>
    </w:p>
    <w:p>
      <w:pPr>
        <w:widowControl/>
        <w:spacing w:line="360" w:lineRule="auto"/>
        <w:jc w:val="left"/>
        <w:rPr>
          <w:rFonts w:ascii="Times New Roman" w:hAnsi="Times New Roman" w:cs="Times New Roman" w:eastAsiaTheme="minorEastAsia"/>
          <w:color w:val="000000" w:themeColor="text1"/>
          <w:sz w:val="21"/>
          <w:szCs w:val="21"/>
        </w:rPr>
        <w:sectPr>
          <w:pgSz w:w="11906" w:h="16838"/>
          <w:pgMar w:top="1440" w:right="1800" w:bottom="1440" w:left="1800" w:header="851" w:footer="992" w:gutter="0"/>
          <w:cols w:space="425" w:num="1"/>
          <w:docGrid w:type="lines" w:linePitch="312" w:charSpace="0"/>
        </w:sectPr>
      </w:pPr>
      <w:r>
        <w:rPr>
          <w:rFonts w:ascii="Times New Roman" w:hAnsi="Times New Roman" w:cs="Times New Roman" w:eastAsiaTheme="minorEastAsia"/>
          <w:color w:val="000000" w:themeColor="text1"/>
          <w:sz w:val="21"/>
          <w:szCs w:val="21"/>
        </w:rPr>
        <w:t xml:space="preserve">5.5.4 </w:t>
      </w:r>
      <w:r>
        <w:rPr>
          <w:rFonts w:hint="eastAsia" w:ascii="Times New Roman" w:hAnsi="Times New Roman" w:cs="Times New Roman" w:eastAsiaTheme="minorEastAsia"/>
          <w:color w:val="000000" w:themeColor="text1"/>
          <w:sz w:val="21"/>
          <w:szCs w:val="21"/>
        </w:rPr>
        <w:t>预制舱式电化学储能系统方舱设计应考虑电化学储能系统、运行人员、运行检修设备及工器具的荷载，满足强度和刚度要求。锂离子电池预制舱应符合《预制舱式锂离子电池储能系统技术规范》</w:t>
      </w:r>
      <w:r>
        <w:rPr>
          <w:rFonts w:ascii="Times New Roman" w:hAnsi="Times New Roman" w:cs="Times New Roman" w:eastAsiaTheme="minorEastAsia"/>
          <w:color w:val="000000" w:themeColor="text1"/>
          <w:sz w:val="21"/>
          <w:szCs w:val="21"/>
        </w:rPr>
        <w:t>GB/T 44026</w:t>
      </w:r>
      <w:r>
        <w:rPr>
          <w:rFonts w:hint="eastAsia" w:ascii="Times New Roman" w:hAnsi="Times New Roman" w:cs="Times New Roman" w:eastAsiaTheme="minorEastAsia"/>
          <w:color w:val="000000" w:themeColor="text1"/>
          <w:sz w:val="21"/>
          <w:szCs w:val="21"/>
        </w:rPr>
        <w:t>的有关规定。</w:t>
      </w:r>
    </w:p>
    <w:bookmarkEnd w:id="72"/>
    <w:bookmarkEnd w:id="73"/>
    <w:bookmarkEnd w:id="74"/>
    <w:bookmarkEnd w:id="97"/>
    <w:p>
      <w:pPr>
        <w:keepNext/>
        <w:keepLines/>
        <w:spacing w:before="340" w:after="156" w:line="578" w:lineRule="auto"/>
        <w:jc w:val="center"/>
        <w:outlineLvl w:val="0"/>
        <w:rPr>
          <w:rFonts w:ascii="Times New Roman" w:hAnsi="Times New Roman" w:cs="Times New Roman" w:eastAsiaTheme="minorEastAsia"/>
          <w:b/>
          <w:bCs/>
          <w:color w:val="000000" w:themeColor="text1"/>
          <w:kern w:val="44"/>
          <w:sz w:val="30"/>
          <w:szCs w:val="30"/>
        </w:rPr>
      </w:pPr>
      <w:bookmarkStart w:id="114" w:name="_Toc23738"/>
      <w:bookmarkStart w:id="115" w:name="_Toc7916"/>
      <w:bookmarkStart w:id="116" w:name="_Toc27586"/>
      <w:bookmarkStart w:id="117" w:name="_Toc17992"/>
      <w:bookmarkStart w:id="118" w:name="_Toc184275301"/>
      <w:bookmarkStart w:id="119" w:name="_Toc4513"/>
      <w:r>
        <w:rPr>
          <w:rFonts w:hint="eastAsia" w:ascii="Times New Roman" w:hAnsi="Times New Roman" w:cs="Times New Roman" w:eastAsiaTheme="minorEastAsia"/>
          <w:b/>
          <w:bCs/>
          <w:color w:val="000000" w:themeColor="text1"/>
          <w:kern w:val="44"/>
          <w:sz w:val="30"/>
          <w:szCs w:val="30"/>
        </w:rPr>
        <w:t>6</w:t>
      </w:r>
      <w:r>
        <w:rPr>
          <w:rFonts w:ascii="Times New Roman" w:hAnsi="Times New Roman" w:cs="Times New Roman" w:eastAsiaTheme="minorEastAsia"/>
          <w:b/>
          <w:bCs/>
          <w:color w:val="000000" w:themeColor="text1"/>
          <w:kern w:val="44"/>
          <w:sz w:val="30"/>
          <w:szCs w:val="30"/>
        </w:rPr>
        <w:t xml:space="preserve"> </w:t>
      </w:r>
      <w:r>
        <w:rPr>
          <w:rFonts w:hint="eastAsia" w:ascii="Times New Roman" w:hAnsi="Times New Roman" w:cs="Times New Roman" w:eastAsiaTheme="minorEastAsia"/>
          <w:b/>
          <w:bCs/>
          <w:color w:val="000000" w:themeColor="text1"/>
          <w:kern w:val="44"/>
          <w:sz w:val="30"/>
          <w:szCs w:val="30"/>
        </w:rPr>
        <w:t>建筑供配电</w:t>
      </w:r>
      <w:r>
        <w:rPr>
          <w:rFonts w:ascii="Times New Roman" w:hAnsi="Times New Roman" w:cs="Times New Roman" w:eastAsiaTheme="minorEastAsia"/>
          <w:b/>
          <w:bCs/>
          <w:color w:val="000000" w:themeColor="text1"/>
          <w:kern w:val="44"/>
          <w:sz w:val="30"/>
          <w:szCs w:val="30"/>
        </w:rPr>
        <w:t>系统</w:t>
      </w:r>
      <w:bookmarkEnd w:id="114"/>
      <w:bookmarkEnd w:id="115"/>
    </w:p>
    <w:p>
      <w:pPr>
        <w:pStyle w:val="3"/>
        <w:numPr>
          <w:ilvl w:val="255"/>
          <w:numId w:val="0"/>
        </w:numPr>
        <w:spacing w:before="0" w:after="0" w:line="360" w:lineRule="auto"/>
        <w:rPr>
          <w:rFonts w:ascii="Times New Roman" w:hAnsi="Times New Roman" w:eastAsia="宋体" w:cs="Times New Roman"/>
          <w:bCs/>
          <w:color w:val="000000" w:themeColor="text1"/>
          <w:sz w:val="28"/>
          <w:szCs w:val="28"/>
        </w:rPr>
      </w:pPr>
      <w:bookmarkStart w:id="120" w:name="_Toc15229"/>
      <w:bookmarkStart w:id="121" w:name="_Toc7128"/>
      <w:r>
        <w:rPr>
          <w:rFonts w:hint="eastAsia" w:ascii="Times New Roman" w:hAnsi="Times New Roman" w:eastAsia="宋体" w:cs="Times New Roman"/>
          <w:bCs/>
          <w:color w:val="000000" w:themeColor="text1"/>
          <w:sz w:val="28"/>
          <w:szCs w:val="28"/>
        </w:rPr>
        <w:t>6.1 总体规划</w:t>
      </w:r>
      <w:bookmarkEnd w:id="120"/>
      <w:bookmarkEnd w:id="121"/>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.1.1 系统总体规划设计应根据建筑物类型、负荷需求、光资源条件、</w:t>
      </w:r>
      <w:r>
        <w:rPr>
          <w:rFonts w:hint="eastAsia" w:ascii="Times New Roman" w:hAnsi="Times New Roman" w:cs="Times New Roman" w:eastAsiaTheme="minorEastAsia"/>
          <w:color w:val="000000" w:themeColor="text1"/>
          <w:sz w:val="21"/>
          <w:szCs w:val="21"/>
        </w:rPr>
        <w:t>光伏</w:t>
      </w:r>
      <w:r>
        <w:rPr>
          <w:rFonts w:ascii="Times New Roman" w:hAnsi="Times New Roman" w:cs="Times New Roman" w:eastAsiaTheme="minorEastAsia"/>
          <w:color w:val="000000" w:themeColor="text1"/>
          <w:sz w:val="21"/>
          <w:szCs w:val="21"/>
        </w:rPr>
        <w:t xml:space="preserve">利用率、应用场景等多种因素，统筹兼顾，合理确定规划方案。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系统接入</w:t>
      </w:r>
      <w:r>
        <w:rPr>
          <w:rFonts w:hint="eastAsia" w:ascii="Times New Roman" w:hAnsi="Times New Roman" w:cs="Times New Roman" w:eastAsiaTheme="minorEastAsia"/>
          <w:color w:val="000000" w:themeColor="text1"/>
          <w:sz w:val="21"/>
          <w:szCs w:val="21"/>
        </w:rPr>
        <w:t>光伏和储能装置</w:t>
      </w:r>
      <w:r>
        <w:rPr>
          <w:rFonts w:ascii="Times New Roman" w:hAnsi="Times New Roman" w:cs="Times New Roman" w:eastAsiaTheme="minorEastAsia"/>
          <w:color w:val="000000" w:themeColor="text1"/>
          <w:sz w:val="21"/>
          <w:szCs w:val="21"/>
        </w:rPr>
        <w:t>时，应合理选择接入点，控制短路电流及电压水平。</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系统的光伏和储能</w:t>
      </w:r>
      <w:r>
        <w:rPr>
          <w:rFonts w:hint="eastAsia" w:ascii="Times New Roman" w:hAnsi="Times New Roman" w:cs="Times New Roman" w:eastAsiaTheme="minorEastAsia"/>
          <w:color w:val="000000" w:themeColor="text1"/>
          <w:sz w:val="21"/>
          <w:szCs w:val="21"/>
        </w:rPr>
        <w:t>应具备适应建筑用电</w:t>
      </w:r>
      <w:r>
        <w:rPr>
          <w:rFonts w:ascii="Times New Roman" w:hAnsi="Times New Roman" w:cs="Times New Roman" w:eastAsiaTheme="minorEastAsia"/>
          <w:color w:val="000000" w:themeColor="text1"/>
          <w:sz w:val="21"/>
          <w:szCs w:val="21"/>
        </w:rPr>
        <w:t>柔性调节能力。</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1</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中正常电源、备用电源及应急电源的配置应满足用户分类和负荷分级的要求，并符合现行国家标准《供配电系统设计规范》GB</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50052及《重要电力用户供电电源及自备应急电源配置技术规范》GB/T</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29328的规定。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ab/>
      </w:r>
    </w:p>
    <w:p>
      <w:pPr>
        <w:pStyle w:val="3"/>
        <w:numPr>
          <w:ilvl w:val="255"/>
          <w:numId w:val="0"/>
        </w:numPr>
        <w:spacing w:before="0" w:after="0" w:line="360" w:lineRule="auto"/>
        <w:rPr>
          <w:rFonts w:ascii="Times New Roman" w:hAnsi="Times New Roman" w:eastAsia="宋体" w:cs="Times New Roman"/>
          <w:bCs/>
          <w:color w:val="000000" w:themeColor="text1"/>
          <w:sz w:val="28"/>
          <w:szCs w:val="28"/>
        </w:rPr>
      </w:pPr>
      <w:bookmarkStart w:id="122" w:name="_Toc7423"/>
      <w:bookmarkStart w:id="123" w:name="_Toc7315"/>
      <w:r>
        <w:rPr>
          <w:rFonts w:hint="eastAsia" w:ascii="Times New Roman" w:hAnsi="Times New Roman" w:eastAsia="宋体" w:cs="Times New Roman"/>
          <w:bCs/>
          <w:color w:val="000000" w:themeColor="text1"/>
          <w:sz w:val="28"/>
          <w:szCs w:val="28"/>
        </w:rPr>
        <w:t>6.2 电压等级</w:t>
      </w:r>
      <w:bookmarkEnd w:id="122"/>
      <w:bookmarkEnd w:id="123"/>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.2.1 系统标称电压等级的选择应符合《标准电压》GB/T 156、《中低压直流配电电压导则》GB/T 35727的规定。</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6</w:t>
      </w:r>
      <w:r>
        <w:rPr>
          <w:rFonts w:hint="eastAsia" w:ascii="Times New Roman" w:hAnsi="Times New Roman" w:cs="Times New Roman" w:eastAsiaTheme="minorEastAsia"/>
          <w:color w:val="000000" w:themeColor="text1"/>
          <w:sz w:val="21"/>
          <w:szCs w:val="21"/>
        </w:rPr>
        <w:t>.2.2系统交流配电电压等级宜选用10kV（20kV)、380V、220V。</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6</w:t>
      </w:r>
      <w:r>
        <w:rPr>
          <w:rFonts w:hint="eastAsia" w:ascii="Times New Roman" w:hAnsi="Times New Roman" w:cs="Times New Roman" w:eastAsiaTheme="minorEastAsia"/>
          <w:color w:val="000000" w:themeColor="text1"/>
          <w:sz w:val="21"/>
          <w:szCs w:val="21"/>
        </w:rPr>
        <w:t>.2.3系统直流配电电压等级宜选用750V、375V、220V、48V。</w:t>
      </w:r>
    </w:p>
    <w:p>
      <w:pPr>
        <w:widowControl/>
        <w:spacing w:line="360" w:lineRule="auto"/>
        <w:jc w:val="left"/>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24" w:name="_Toc28345"/>
      <w:bookmarkStart w:id="125" w:name="_Toc22370"/>
      <w:r>
        <w:rPr>
          <w:rFonts w:hint="eastAsia" w:ascii="Times New Roman" w:hAnsi="Times New Roman" w:eastAsia="宋体" w:cs="Times New Roman"/>
          <w:bCs/>
          <w:color w:val="000000" w:themeColor="text1"/>
          <w:sz w:val="28"/>
          <w:szCs w:val="28"/>
        </w:rPr>
        <w:t>6.3</w:t>
      </w:r>
      <w:r>
        <w:rPr>
          <w:rFonts w:ascii="Times New Roman" w:hAnsi="Times New Roman" w:cs="Times New Roman" w:eastAsiaTheme="majorEastAsia"/>
          <w:bCs/>
          <w:color w:val="000000" w:themeColor="text1"/>
          <w:sz w:val="28"/>
          <w:szCs w:val="28"/>
        </w:rPr>
        <w:t xml:space="preserve"> 负荷需求分析</w:t>
      </w:r>
      <w:bookmarkEnd w:id="124"/>
      <w:bookmarkEnd w:id="125"/>
    </w:p>
    <w:p>
      <w:pPr>
        <w:widowControl/>
        <w:spacing w:line="360" w:lineRule="auto"/>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6.3.1 </w:t>
      </w:r>
      <w:r>
        <w:rPr>
          <w:rFonts w:hint="eastAsia" w:ascii="Times New Roman" w:hAnsi="Times New Roman" w:cs="Times New Roman" w:eastAsiaTheme="minorEastAsia"/>
          <w:color w:val="auto"/>
          <w:sz w:val="21"/>
          <w:szCs w:val="21"/>
        </w:rPr>
        <w:t>系统应进行负荷预测，并作为计算光伏发电自用率以及经济性分析的主要依据。</w:t>
      </w:r>
    </w:p>
    <w:p>
      <w:pPr>
        <w:widowControl/>
        <w:spacing w:line="360" w:lineRule="auto"/>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6.3.2 </w:t>
      </w:r>
      <w:r>
        <w:rPr>
          <w:rFonts w:hint="eastAsia" w:ascii="Times New Roman" w:hAnsi="Times New Roman" w:cs="Times New Roman" w:eastAsiaTheme="minorEastAsia"/>
          <w:color w:val="auto"/>
          <w:sz w:val="21"/>
          <w:szCs w:val="21"/>
        </w:rPr>
        <w:t>系统用电负荷需求分析应包含以下内容：</w:t>
      </w:r>
    </w:p>
    <w:p>
      <w:pPr>
        <w:widowControl/>
        <w:spacing w:line="360" w:lineRule="auto"/>
        <w:ind w:firstLine="420" w:firstLineChars="200"/>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1 </w:t>
      </w:r>
      <w:r>
        <w:rPr>
          <w:rFonts w:hint="eastAsia" w:ascii="Times New Roman" w:hAnsi="Times New Roman" w:cs="Times New Roman" w:eastAsiaTheme="minorEastAsia"/>
          <w:color w:val="auto"/>
          <w:sz w:val="21"/>
          <w:szCs w:val="21"/>
        </w:rPr>
        <w:t>建筑最大供电负荷；</w:t>
      </w:r>
    </w:p>
    <w:p>
      <w:pPr>
        <w:widowControl/>
        <w:spacing w:line="360" w:lineRule="auto"/>
        <w:ind w:firstLine="420" w:firstLineChars="200"/>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2 </w:t>
      </w:r>
      <w:r>
        <w:rPr>
          <w:rFonts w:hint="eastAsia" w:ascii="Times New Roman" w:hAnsi="Times New Roman" w:cs="Times New Roman" w:eastAsiaTheme="minorEastAsia"/>
          <w:color w:val="auto"/>
          <w:sz w:val="21"/>
          <w:szCs w:val="21"/>
        </w:rPr>
        <w:t>建筑主要用电负荷类型及重要性分析；</w:t>
      </w:r>
    </w:p>
    <w:p>
      <w:pPr>
        <w:widowControl/>
        <w:spacing w:line="360" w:lineRule="auto"/>
        <w:ind w:firstLine="420" w:firstLineChars="200"/>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3 </w:t>
      </w:r>
      <w:r>
        <w:rPr>
          <w:rFonts w:hint="eastAsia" w:ascii="Times New Roman" w:hAnsi="Times New Roman" w:cs="Times New Roman" w:eastAsiaTheme="minorEastAsia"/>
          <w:color w:val="auto"/>
          <w:sz w:val="21"/>
          <w:szCs w:val="21"/>
        </w:rPr>
        <w:t>建筑逐月典型日负荷曲线；</w:t>
      </w:r>
    </w:p>
    <w:p>
      <w:pPr>
        <w:widowControl/>
        <w:spacing w:line="360" w:lineRule="auto"/>
        <w:ind w:firstLine="420" w:firstLineChars="200"/>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4 </w:t>
      </w:r>
      <w:r>
        <w:rPr>
          <w:rFonts w:hint="eastAsia" w:ascii="Times New Roman" w:hAnsi="Times New Roman" w:cs="Times New Roman" w:eastAsiaTheme="minorEastAsia"/>
          <w:color w:val="auto"/>
          <w:sz w:val="21"/>
          <w:szCs w:val="21"/>
        </w:rPr>
        <w:t>建筑光伏容量与逐月典型日出力曲线；</w:t>
      </w:r>
    </w:p>
    <w:p>
      <w:pPr>
        <w:widowControl/>
        <w:spacing w:line="360" w:lineRule="auto"/>
        <w:ind w:firstLine="420" w:firstLineChars="200"/>
        <w:jc w:val="left"/>
        <w:rPr>
          <w:rFonts w:ascii="Times New Roman" w:hAnsi="Times New Roman" w:cs="Times New Roman" w:eastAsiaTheme="minorEastAsia"/>
          <w:color w:val="auto"/>
          <w:sz w:val="21"/>
          <w:szCs w:val="21"/>
        </w:rPr>
      </w:pPr>
      <w:r>
        <w:rPr>
          <w:rFonts w:ascii="Times New Roman" w:hAnsi="Times New Roman" w:cs="Times New Roman" w:eastAsiaTheme="minorEastAsia"/>
          <w:color w:val="auto"/>
          <w:sz w:val="21"/>
          <w:szCs w:val="21"/>
        </w:rPr>
        <w:t xml:space="preserve">5 </w:t>
      </w:r>
      <w:r>
        <w:rPr>
          <w:rFonts w:hint="eastAsia" w:ascii="Times New Roman" w:hAnsi="Times New Roman" w:cs="Times New Roman" w:eastAsiaTheme="minorEastAsia"/>
          <w:color w:val="auto"/>
          <w:sz w:val="21"/>
          <w:szCs w:val="21"/>
        </w:rPr>
        <w:t>建筑储能容量与出力分析；</w:t>
      </w:r>
    </w:p>
    <w:p>
      <w:pPr>
        <w:widowControl/>
        <w:spacing w:line="360" w:lineRule="auto"/>
        <w:ind w:firstLine="0" w:firstLineChars="0"/>
        <w:jc w:val="left"/>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6.3.3 </w:t>
      </w:r>
      <w:r>
        <w:rPr>
          <w:rFonts w:hint="eastAsia" w:ascii="Times New Roman" w:hAnsi="Times New Roman" w:cs="Times New Roman" w:eastAsiaTheme="minorEastAsia"/>
          <w:sz w:val="21"/>
          <w:szCs w:val="21"/>
        </w:rPr>
        <w:t>规划设计阶段，可采用软件进行负荷计算，标识建筑和比对建筑的建模与计算方法应一致。</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6.3.4 </w:t>
      </w:r>
      <w:r>
        <w:rPr>
          <w:rFonts w:hint="eastAsia" w:ascii="Times New Roman" w:hAnsi="Times New Roman" w:cs="Times New Roman" w:eastAsiaTheme="minorEastAsia"/>
          <w:color w:val="000000" w:themeColor="text1"/>
          <w:sz w:val="21"/>
          <w:szCs w:val="21"/>
        </w:rPr>
        <w:t>系统柔性负荷计算应包含可中断、可迁移和可比例调节的三级负荷计算内容。</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6</w:t>
      </w:r>
      <w:r>
        <w:rPr>
          <w:rFonts w:hint="eastAsia" w:ascii="Times New Roman" w:hAnsi="Times New Roman" w:cs="Times New Roman" w:eastAsiaTheme="minorEastAsia"/>
          <w:color w:val="000000" w:themeColor="text1"/>
          <w:sz w:val="21"/>
          <w:szCs w:val="21"/>
        </w:rPr>
        <w:t>.3.5系统的直流负荷指标达到以下标准时，宜设置直流母线：</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办公及商业类建筑直流负荷功率与光伏发电功率的比值达到</w:t>
      </w:r>
      <w:r>
        <w:rPr>
          <w:rFonts w:ascii="Times New Roman" w:hAnsi="Times New Roman" w:cs="Times New Roman" w:eastAsiaTheme="minorEastAsia"/>
          <w:color w:val="000000" w:themeColor="text1"/>
          <w:sz w:val="21"/>
          <w:szCs w:val="21"/>
        </w:rPr>
        <w:t>20%</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居住建筑直流负荷功率与光伏发电功率的比例达到</w:t>
      </w:r>
      <w:r>
        <w:rPr>
          <w:rFonts w:ascii="Times New Roman" w:hAnsi="Times New Roman" w:cs="Times New Roman" w:eastAsiaTheme="minorEastAsia"/>
          <w:color w:val="000000" w:themeColor="text1"/>
          <w:sz w:val="21"/>
          <w:szCs w:val="21"/>
        </w:rPr>
        <w:t>8%</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eastAsia="楷体" w:cs="Times New Roman"/>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26" w:name="_Toc810"/>
      <w:bookmarkStart w:id="127" w:name="_Toc18994"/>
      <w:r>
        <w:rPr>
          <w:rFonts w:hint="eastAsia" w:ascii="Times New Roman" w:hAnsi="Times New Roman" w:eastAsia="宋体" w:cs="Times New Roman"/>
          <w:bCs/>
          <w:color w:val="000000" w:themeColor="text1"/>
          <w:sz w:val="28"/>
          <w:szCs w:val="28"/>
        </w:rPr>
        <w:t>6.4</w:t>
      </w:r>
      <w:r>
        <w:rPr>
          <w:rFonts w:ascii="Times New Roman" w:hAnsi="Times New Roman" w:cs="Times New Roman" w:eastAsiaTheme="majorEastAsia"/>
          <w:bCs/>
          <w:color w:val="000000" w:themeColor="text1"/>
          <w:sz w:val="28"/>
          <w:szCs w:val="28"/>
        </w:rPr>
        <w:t xml:space="preserve"> 系统架构</w:t>
      </w:r>
      <w:bookmarkEnd w:id="126"/>
      <w:bookmarkEnd w:id="127"/>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 </w:t>
      </w:r>
      <w:r>
        <w:rPr>
          <w:rFonts w:ascii="Times New Roman" w:hAnsi="Times New Roman" w:cs="Times New Roman" w:eastAsiaTheme="minorEastAsia"/>
          <w:color w:val="000000" w:themeColor="text1"/>
          <w:sz w:val="21"/>
          <w:szCs w:val="21"/>
        </w:rPr>
        <w:t>系统网架结构应根据电压等级、负荷与电源分布、系统容量等因素综合选择，宜采用环式或辐射式结构。</w:t>
      </w:r>
    </w:p>
    <w:p>
      <w:pPr>
        <w:widowControl/>
        <w:spacing w:line="360" w:lineRule="auto"/>
        <w:jc w:val="left"/>
        <w:rPr>
          <w:rFonts w:ascii="Times New Roman" w:hAnsi="Times New Roman" w:cs="Times New Roman" w:eastAsiaTheme="minorEastAsia"/>
          <w:iCs/>
          <w:color w:val="000000" w:themeColor="text1"/>
          <w:sz w:val="21"/>
          <w:szCs w:val="21"/>
        </w:rPr>
      </w:pPr>
      <w:r>
        <w:rPr>
          <w:rFonts w:hint="eastAsia" w:ascii="Times New Roman" w:hAnsi="Times New Roman" w:cs="Times New Roman" w:eastAsiaTheme="minorEastAsia"/>
          <w:color w:val="000000" w:themeColor="text1"/>
          <w:sz w:val="21"/>
          <w:szCs w:val="21"/>
        </w:rPr>
        <w:t>6.4.2 建筑光储直柔电气系统中交流系统或交直流混合系统的交流侧，应符合</w:t>
      </w:r>
      <w:r>
        <w:rPr>
          <w:rFonts w:ascii="Times New Roman" w:hAnsi="Times New Roman" w:cs="Times New Roman" w:eastAsiaTheme="minorEastAsia"/>
          <w:iCs/>
          <w:color w:val="000000" w:themeColor="text1"/>
          <w:sz w:val="21"/>
          <w:szCs w:val="21"/>
        </w:rPr>
        <w:t>国家现行标准《供配电系统设计规范》GB 50052的有关规定。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6.4.3 建筑光储直柔电气系统中直流系统或交直流混合系统的直流侧，应符合</w:t>
      </w:r>
      <w:r>
        <w:rPr>
          <w:rFonts w:hint="eastAsia" w:ascii="Times New Roman" w:hAnsi="Times New Roman" w:cs="Times New Roman" w:eastAsiaTheme="minorEastAsia"/>
          <w:iCs/>
          <w:color w:val="000000" w:themeColor="text1"/>
          <w:sz w:val="21"/>
          <w:szCs w:val="21"/>
        </w:rPr>
        <w:t>本标准直流配电的有关规定</w:t>
      </w:r>
      <w:r>
        <w:rPr>
          <w:rFonts w:ascii="Times New Roman" w:hAnsi="Times New Roman" w:cs="Times New Roman" w:eastAsiaTheme="minorEastAsia"/>
          <w:iCs/>
          <w:color w:val="000000" w:themeColor="text1"/>
          <w:sz w:val="21"/>
          <w:szCs w:val="21"/>
        </w:rPr>
        <w:t>。</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6.4.4</w:t>
      </w:r>
      <w:r>
        <w:rPr>
          <w:rFonts w:ascii="Times New Roman" w:hAnsi="Times New Roman" w:cs="Times New Roman" w:eastAsiaTheme="minorEastAsia"/>
          <w:color w:val="000000" w:themeColor="text1"/>
          <w:sz w:val="21"/>
          <w:szCs w:val="21"/>
        </w:rPr>
        <w:t xml:space="preserve"> 光储直柔</w:t>
      </w:r>
      <w:r>
        <w:rPr>
          <w:rFonts w:hint="eastAsia" w:ascii="Times New Roman" w:hAnsi="Times New Roman" w:cs="Times New Roman" w:eastAsiaTheme="minorEastAsia"/>
          <w:color w:val="000000" w:themeColor="text1"/>
          <w:sz w:val="21"/>
          <w:szCs w:val="21"/>
        </w:rPr>
        <w:t>电气</w:t>
      </w:r>
      <w:r>
        <w:rPr>
          <w:rFonts w:ascii="Times New Roman" w:hAnsi="Times New Roman" w:cs="Times New Roman" w:eastAsiaTheme="minorEastAsia"/>
          <w:color w:val="000000" w:themeColor="text1"/>
          <w:sz w:val="21"/>
          <w:szCs w:val="21"/>
        </w:rPr>
        <w:t>系统应具备电力电量自平衡能力，</w:t>
      </w:r>
      <w:r>
        <w:rPr>
          <w:rFonts w:hint="eastAsia" w:ascii="Times New Roman" w:hAnsi="Times New Roman" w:cs="Times New Roman" w:eastAsiaTheme="minorEastAsia"/>
          <w:color w:val="000000" w:themeColor="text1"/>
          <w:sz w:val="21"/>
          <w:szCs w:val="21"/>
        </w:rPr>
        <w:t>实现源荷互动，</w:t>
      </w:r>
      <w:r>
        <w:rPr>
          <w:rFonts w:ascii="Times New Roman" w:hAnsi="Times New Roman" w:cs="Times New Roman" w:eastAsiaTheme="minorEastAsia"/>
          <w:color w:val="000000" w:themeColor="text1"/>
          <w:sz w:val="21"/>
          <w:szCs w:val="21"/>
        </w:rPr>
        <w:t>减少系统与外部电网的电能交换。</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5 </w:t>
      </w:r>
      <w:r>
        <w:rPr>
          <w:rFonts w:ascii="Times New Roman" w:hAnsi="Times New Roman" w:cs="Times New Roman" w:eastAsiaTheme="minorEastAsia"/>
          <w:color w:val="000000" w:themeColor="text1"/>
          <w:sz w:val="21"/>
          <w:szCs w:val="21"/>
        </w:rPr>
        <w:t>系统主节点处的交流汇集母线宜采用单母线或单母线分段接线方式，并预留扩展空间。直流汇集母线宜采用单母线接线。</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 xml:space="preserve"> 汇集母线处的连接点应设置易操作、可闭锁、具有明显断开标识且能够耐受系统最大短路电流的开关设备。</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7 设计时</w:t>
      </w:r>
      <w:r>
        <w:rPr>
          <w:rFonts w:ascii="Times New Roman" w:hAnsi="Times New Roman" w:cs="Times New Roman" w:eastAsiaTheme="minorEastAsia"/>
          <w:color w:val="000000" w:themeColor="text1"/>
          <w:sz w:val="21"/>
          <w:szCs w:val="21"/>
        </w:rPr>
        <w:t>应对系统代表性的运行方式进行潮流计算。</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8 </w:t>
      </w:r>
      <w:r>
        <w:rPr>
          <w:rFonts w:ascii="Times New Roman" w:hAnsi="Times New Roman" w:cs="Times New Roman" w:eastAsiaTheme="minorEastAsia"/>
          <w:color w:val="000000" w:themeColor="text1"/>
          <w:sz w:val="21"/>
          <w:szCs w:val="21"/>
        </w:rPr>
        <w:t>系统有电动机等动力用电设备启动或其他冲击性负荷工作时，还应进行尖峰电流计算，用以校验电源容量、电压波动和选择保护电器。</w:t>
      </w:r>
    </w:p>
    <w:p>
      <w:pPr>
        <w:widowControl/>
        <w:spacing w:line="360" w:lineRule="auto"/>
        <w:jc w:val="left"/>
        <w:rPr>
          <w:rFonts w:ascii="Times New Roman" w:hAnsi="Times New Roman" w:cs="Times New Roman" w:eastAsiaTheme="majorEastAsia"/>
          <w:bCs/>
          <w:color w:val="000000" w:themeColor="text1"/>
          <w:szCs w:val="28"/>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9 设计时</w:t>
      </w:r>
      <w:r>
        <w:rPr>
          <w:rFonts w:ascii="Times New Roman" w:hAnsi="Times New Roman" w:cs="Times New Roman" w:eastAsiaTheme="minorEastAsia"/>
          <w:color w:val="000000" w:themeColor="text1"/>
          <w:sz w:val="21"/>
          <w:szCs w:val="21"/>
        </w:rPr>
        <w:t>应对不同运行方式进行短路计算，短路类型应包括三相短路和两相短路及单相接地短路计算，短路电流计算应充分考虑光伏、储能设施对系统的影响，并符合《电力系统电气计算设计规程》DL/T 5553的规定。</w:t>
      </w:r>
    </w:p>
    <w:p>
      <w:pPr>
        <w:widowControl/>
        <w:spacing w:line="360" w:lineRule="auto"/>
        <w:jc w:val="left"/>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28" w:name="_Toc4024"/>
      <w:bookmarkStart w:id="129" w:name="_Toc19819"/>
      <w:r>
        <w:rPr>
          <w:rFonts w:hint="eastAsia" w:ascii="Times New Roman" w:hAnsi="Times New Roman" w:cs="Times New Roman" w:eastAsiaTheme="majorEastAsia"/>
          <w:bCs/>
          <w:color w:val="000000" w:themeColor="text1"/>
          <w:sz w:val="28"/>
          <w:szCs w:val="28"/>
        </w:rPr>
        <w:t>6</w:t>
      </w:r>
      <w:r>
        <w:rPr>
          <w:rFonts w:ascii="Times New Roman" w:hAnsi="Times New Roman" w:cs="Times New Roman" w:eastAsiaTheme="majorEastAsia"/>
          <w:bCs/>
          <w:color w:val="000000" w:themeColor="text1"/>
          <w:sz w:val="28"/>
          <w:szCs w:val="28"/>
        </w:rPr>
        <w:t>.</w:t>
      </w:r>
      <w:r>
        <w:rPr>
          <w:rFonts w:hint="eastAsia" w:ascii="Times New Roman" w:hAnsi="Times New Roman" w:cs="Times New Roman" w:eastAsiaTheme="majorEastAsia"/>
          <w:bCs/>
          <w:color w:val="000000" w:themeColor="text1"/>
          <w:sz w:val="28"/>
          <w:szCs w:val="28"/>
        </w:rPr>
        <w:t xml:space="preserve">5 </w:t>
      </w:r>
      <w:r>
        <w:rPr>
          <w:rFonts w:ascii="Times New Roman" w:hAnsi="Times New Roman" w:cs="Times New Roman" w:eastAsiaTheme="majorEastAsia"/>
          <w:bCs/>
          <w:color w:val="000000" w:themeColor="text1"/>
          <w:sz w:val="28"/>
          <w:szCs w:val="28"/>
        </w:rPr>
        <w:t>直流配电</w:t>
      </w:r>
      <w:bookmarkEnd w:id="128"/>
      <w:bookmarkEnd w:id="129"/>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交流配电系统应符合</w:t>
      </w:r>
      <w:r>
        <w:rPr>
          <w:rFonts w:ascii="Times New Roman" w:hAnsi="Times New Roman" w:cs="Times New Roman" w:eastAsiaTheme="minorEastAsia"/>
          <w:iCs/>
          <w:color w:val="000000" w:themeColor="text1"/>
          <w:sz w:val="21"/>
          <w:szCs w:val="21"/>
        </w:rPr>
        <w:t>国家现行标准《供配电系统设计规范》GB 50052</w:t>
      </w:r>
      <w:r>
        <w:rPr>
          <w:rFonts w:hint="eastAsia" w:ascii="Times New Roman" w:hAnsi="Times New Roman" w:cs="Times New Roman" w:eastAsiaTheme="minorEastAsia"/>
          <w:iCs/>
          <w:color w:val="000000" w:themeColor="text1"/>
          <w:sz w:val="21"/>
          <w:szCs w:val="21"/>
        </w:rPr>
        <w:t>和《低压配电设计规范》</w:t>
      </w:r>
      <w:r>
        <w:rPr>
          <w:rFonts w:ascii="Times New Roman" w:hAnsi="Times New Roman" w:cs="Times New Roman" w:eastAsiaTheme="minorEastAsia"/>
          <w:iCs/>
          <w:color w:val="000000" w:themeColor="text1"/>
          <w:sz w:val="21"/>
          <w:szCs w:val="21"/>
        </w:rPr>
        <w:t>GB 5005</w:t>
      </w:r>
      <w:r>
        <w:rPr>
          <w:rFonts w:hint="eastAsia" w:ascii="Times New Roman" w:hAnsi="Times New Roman" w:cs="Times New Roman" w:eastAsiaTheme="minorEastAsia"/>
          <w:iCs/>
          <w:color w:val="000000" w:themeColor="text1"/>
          <w:sz w:val="21"/>
          <w:szCs w:val="21"/>
        </w:rPr>
        <w:t>4等</w:t>
      </w:r>
      <w:r>
        <w:rPr>
          <w:rFonts w:ascii="Times New Roman" w:hAnsi="Times New Roman" w:cs="Times New Roman" w:eastAsiaTheme="minorEastAsia"/>
          <w:iCs/>
          <w:color w:val="000000" w:themeColor="text1"/>
          <w:sz w:val="21"/>
          <w:szCs w:val="21"/>
        </w:rPr>
        <w:t>的有关规定</w:t>
      </w:r>
      <w:r>
        <w:rPr>
          <w:rFonts w:ascii="Times New Roman" w:hAnsi="Times New Roman" w:cs="Times New Roman" w:eastAsiaTheme="minorEastAsia"/>
          <w:color w:val="000000" w:themeColor="text1"/>
          <w:sz w:val="21"/>
          <w:szCs w:val="21"/>
        </w:rPr>
        <w:t>。</w:t>
      </w:r>
    </w:p>
    <w:p>
      <w:pPr>
        <w:widowControl/>
        <w:spacing w:line="360" w:lineRule="auto"/>
        <w:ind w:firstLine="0" w:firstLineChars="0"/>
        <w:jc w:val="left"/>
        <w:rPr>
          <w:rFonts w:ascii="Times New Roman" w:hAnsi="Times New Roman" w:eastAsia="楷体" w:cs="Times New Roman"/>
          <w:color w:val="000000" w:themeColor="text1"/>
          <w:sz w:val="21"/>
          <w:szCs w:val="21"/>
        </w:rPr>
      </w:pPr>
      <w:r>
        <w:rPr>
          <w:rFonts w:ascii="Times New Roman" w:hAnsi="Times New Roman" w:cs="Times New Roman" w:eastAsiaTheme="minorEastAsia"/>
          <w:color w:val="auto"/>
          <w:sz w:val="21"/>
          <w:szCs w:val="21"/>
        </w:rPr>
        <w:t xml:space="preserve">6.5.2 </w:t>
      </w:r>
      <w:r>
        <w:rPr>
          <w:rFonts w:hint="eastAsia" w:ascii="Times New Roman" w:hAnsi="Times New Roman" w:cs="Times New Roman" w:eastAsiaTheme="minorEastAsia"/>
          <w:color w:val="auto"/>
          <w:sz w:val="21"/>
          <w:szCs w:val="21"/>
        </w:rPr>
        <w:t>交直流混合系统的交/直流侧应有明显标识区分。单一房间内宜采用同一配电形式。</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3 </w:t>
      </w:r>
      <w:r>
        <w:rPr>
          <w:rFonts w:ascii="Times New Roman" w:hAnsi="Times New Roman" w:cs="Times New Roman" w:eastAsiaTheme="minorEastAsia"/>
          <w:color w:val="000000" w:themeColor="text1"/>
          <w:sz w:val="21"/>
          <w:szCs w:val="21"/>
        </w:rPr>
        <w:t>同一用电设备不得同时接入不同的直流母线。</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变换器</w:t>
      </w:r>
      <w:r>
        <w:rPr>
          <w:rFonts w:hint="eastAsia" w:ascii="Times New Roman" w:hAnsi="Times New Roman" w:cs="Times New Roman" w:eastAsiaTheme="minorEastAsia"/>
          <w:color w:val="000000" w:themeColor="text1"/>
          <w:sz w:val="21"/>
          <w:szCs w:val="21"/>
        </w:rPr>
        <w:t>交流额定电压</w:t>
      </w:r>
      <w:r>
        <w:rPr>
          <w:rFonts w:ascii="Times New Roman" w:hAnsi="Times New Roman" w:cs="Times New Roman" w:eastAsiaTheme="minorEastAsia"/>
          <w:color w:val="000000" w:themeColor="text1"/>
          <w:sz w:val="21"/>
          <w:szCs w:val="21"/>
        </w:rPr>
        <w:t>优选值为三相380V。变换器</w:t>
      </w:r>
      <w:r>
        <w:rPr>
          <w:rFonts w:hint="eastAsia" w:ascii="Times New Roman" w:hAnsi="Times New Roman" w:cs="Times New Roman" w:eastAsiaTheme="minorEastAsia"/>
          <w:color w:val="000000" w:themeColor="text1"/>
          <w:sz w:val="21"/>
          <w:szCs w:val="21"/>
        </w:rPr>
        <w:t>直流额定电压</w:t>
      </w:r>
      <w:r>
        <w:rPr>
          <w:rFonts w:ascii="Times New Roman" w:hAnsi="Times New Roman" w:cs="Times New Roman" w:eastAsiaTheme="minorEastAsia"/>
          <w:color w:val="000000" w:themeColor="text1"/>
          <w:sz w:val="21"/>
          <w:szCs w:val="21"/>
        </w:rPr>
        <w:t>优选值为750V、220V、48V。</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 额定功率大于2.5kW的变换器，额定功率优选值序列为：5kW、10kW、15kW、20kW、30kW、50kW。额定功率超过50kW的，额定功率宜按50kW递增。</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 xml:space="preserve"> 变换器效率应符合以下要求：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非隔离型变换器的最高效率应不低于97%；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单向隔离型变换器的最高效率应不低于95%；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双向隔离型变换器的最高效率应不低于94%；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 在额定电压和20%额定功率条件下的效率，与最高效率的差应不大于5%。</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变换器</w:t>
      </w:r>
      <w:r>
        <w:rPr>
          <w:rFonts w:ascii="Times New Roman" w:hAnsi="Times New Roman" w:cs="Times New Roman" w:eastAsiaTheme="minorEastAsia"/>
          <w:color w:val="000000" w:themeColor="text1"/>
          <w:sz w:val="21"/>
          <w:szCs w:val="21"/>
        </w:rPr>
        <w:t>直流电压范围应符合以下要求：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直流端口电压在90%~105%额定电压范围，在其它运行条件符合变换器技术指标要求的情况下，变换器应能按技术指标和功能正常运行；</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直流端口电压超出90%~105%额定电压，且仍在80%~107%额定电压范围，变换器可降额运行。</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变换器宜具备通信监控功能，宜选用RS485接口或以太网接口。</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9</w:t>
      </w:r>
      <w:r>
        <w:rPr>
          <w:rFonts w:ascii="Times New Roman" w:hAnsi="Times New Roman" w:cs="Times New Roman" w:eastAsiaTheme="minorEastAsia"/>
          <w:color w:val="000000" w:themeColor="text1"/>
          <w:sz w:val="21"/>
          <w:szCs w:val="21"/>
        </w:rPr>
        <w:t xml:space="preserve"> 变换器应具备通信监测功能，并符合以下要求：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监测变量应包括一次端口的电压、电流、功率和流向；</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监测状态应包括开/关机、故障/正常、限流或过流保护、过压或欠压保护；</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 监测变量宜包括一次端口的累计电量，且双向端口宜分别统计两个电能方向的累计电量。</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10 </w:t>
      </w:r>
      <w:r>
        <w:rPr>
          <w:rFonts w:ascii="Times New Roman" w:hAnsi="Times New Roman" w:cs="Times New Roman" w:eastAsiaTheme="minorEastAsia"/>
          <w:color w:val="000000" w:themeColor="text1"/>
          <w:sz w:val="21"/>
          <w:szCs w:val="21"/>
        </w:rPr>
        <w:t>直流配电系统宜采用IT接地型式。当采用IT接地型式的直流配电系统接入城市电网时，应采用隔离型交直变换器。</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11 </w:t>
      </w:r>
      <w:r>
        <w:rPr>
          <w:rFonts w:ascii="Times New Roman" w:hAnsi="Times New Roman" w:cs="Times New Roman" w:eastAsiaTheme="minorEastAsia"/>
          <w:color w:val="000000" w:themeColor="text1"/>
          <w:sz w:val="21"/>
          <w:szCs w:val="21"/>
        </w:rPr>
        <w:t>当直流母线采用IT接地型式时，宜通过高阻接地，接地电阻阻值应根据直流母线电压等级选择，且不应小于100Ω/V。</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12 </w:t>
      </w:r>
      <w:r>
        <w:rPr>
          <w:rFonts w:ascii="Times New Roman" w:hAnsi="Times New Roman" w:cs="Times New Roman" w:eastAsiaTheme="minorEastAsia"/>
          <w:color w:val="000000" w:themeColor="text1"/>
          <w:sz w:val="21"/>
          <w:szCs w:val="21"/>
        </w:rPr>
        <w:t>直流配电系统线缆应符合以下要求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耐压应按系统中最高电压等级的最高运行电压选择；</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在额定电压和功率条件下，线路压降不应大于额定电压的5%。</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13 </w:t>
      </w:r>
      <w:r>
        <w:rPr>
          <w:rFonts w:ascii="Times New Roman" w:hAnsi="Times New Roman" w:cs="Times New Roman" w:eastAsiaTheme="minorEastAsia"/>
          <w:color w:val="000000" w:themeColor="text1"/>
          <w:sz w:val="21"/>
          <w:szCs w:val="21"/>
        </w:rPr>
        <w:t>直流配电系统线缆宜选择多芯护套型，且采用不同符号和颜色予以明确标示。当建筑中同时存在交流配电和直流配电系统时，交直流线缆均应具有明显标识。</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14</w:t>
      </w:r>
      <w:r>
        <w:rPr>
          <w:rFonts w:ascii="Times New Roman" w:hAnsi="Times New Roman" w:cs="Times New Roman" w:eastAsiaTheme="minorEastAsia"/>
          <w:color w:val="000000" w:themeColor="text1"/>
          <w:sz w:val="21"/>
          <w:szCs w:val="21"/>
        </w:rPr>
        <w:t xml:space="preserve"> 直流线缆应清晰标识，且不宜与交流线缆共用桥架。直流线缆和交流线缆可敷设在同一竖井内，但应分管(槽)敷设。</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6.5.15 直流断路器选型应符合</w:t>
      </w:r>
      <w:r>
        <w:rPr>
          <w:rFonts w:ascii="Times New Roman" w:hAnsi="Times New Roman" w:cs="Times New Roman" w:eastAsiaTheme="minorEastAsia"/>
          <w:iCs/>
          <w:color w:val="000000" w:themeColor="text1"/>
          <w:sz w:val="21"/>
          <w:szCs w:val="21"/>
        </w:rPr>
        <w:t>现行标准</w:t>
      </w:r>
      <w:r>
        <w:rPr>
          <w:rFonts w:hint="eastAsia" w:ascii="Times New Roman" w:hAnsi="Times New Roman" w:cs="Times New Roman" w:eastAsiaTheme="minorEastAsia"/>
          <w:color w:val="000000" w:themeColor="text1"/>
          <w:sz w:val="21"/>
          <w:szCs w:val="21"/>
        </w:rPr>
        <w:t>《光伏系统用直流断路器通用技术要求》GB/T 34581、《电力工程直流电源系统设计技术规程》DL/T 5044等</w:t>
      </w:r>
      <w:r>
        <w:rPr>
          <w:rFonts w:ascii="Times New Roman" w:hAnsi="Times New Roman" w:cs="Times New Roman" w:eastAsiaTheme="minorEastAsia"/>
          <w:color w:val="000000" w:themeColor="text1"/>
          <w:sz w:val="21"/>
          <w:szCs w:val="21"/>
        </w:rPr>
        <w:t>的</w:t>
      </w:r>
      <w:r>
        <w:rPr>
          <w:rFonts w:hint="eastAsia" w:ascii="Times New Roman" w:hAnsi="Times New Roman" w:cs="Times New Roman" w:eastAsiaTheme="minorEastAsia"/>
          <w:color w:val="000000" w:themeColor="text1"/>
          <w:sz w:val="21"/>
          <w:szCs w:val="21"/>
        </w:rPr>
        <w:t>有关要求，并符合以下规定</w:t>
      </w:r>
      <w:r>
        <w:rPr>
          <w:rFonts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直流断路器最大连续运行电流应不小于1.1倍额定电流，系统故障开断时间应不大于5毫秒，额定直流电流及以下的开断时间应不大于400毫秒；</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连接储能系统的直流断路器额定电流应根据储能充放电电流选择，并按事故初期放电电流校验保护动作的安全性，且应与直流馈线回路保护电器相配合。</w:t>
      </w:r>
    </w:p>
    <w:p>
      <w:pPr>
        <w:spacing w:line="360" w:lineRule="auto"/>
        <w:ind w:firstLine="420" w:firstLineChars="200"/>
        <w:rPr>
          <w:rFonts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30" w:name="_Toc27330"/>
      <w:bookmarkStart w:id="131" w:name="_Toc10904"/>
      <w:r>
        <w:rPr>
          <w:rFonts w:hint="eastAsia" w:ascii="Times New Roman" w:hAnsi="Times New Roman" w:cs="Times New Roman" w:eastAsiaTheme="majorEastAsia"/>
          <w:bCs/>
          <w:color w:val="000000" w:themeColor="text1"/>
          <w:sz w:val="28"/>
          <w:szCs w:val="28"/>
        </w:rPr>
        <w:t>6.6 继电保护</w:t>
      </w:r>
      <w:bookmarkEnd w:id="130"/>
      <w:bookmarkEnd w:id="131"/>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继电保护应满足可靠性、选择性、灵敏性和速动性的要求，其配置应符合现行国家标准《继电保护和安全自动装置技术规程》GB/T14285、《电力装置的继电保护和自动装置设计规范》GB/T50062和《低压配电设计规范》GB50054的有关规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的保护配置应能够适应系统运行方式的变化。</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 xml:space="preserve">.3 保护宜按照下述分区进行配置：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交流侧保护区域：包括交流侧线路、母线及各类</w:t>
      </w:r>
      <w:r>
        <w:rPr>
          <w:rFonts w:hint="eastAsia" w:ascii="Times New Roman" w:hAnsi="Times New Roman" w:cs="Times New Roman" w:eastAsiaTheme="minorEastAsia"/>
          <w:color w:val="000000" w:themeColor="text1"/>
          <w:sz w:val="21"/>
          <w:szCs w:val="21"/>
        </w:rPr>
        <w:t>变</w:t>
      </w:r>
      <w:r>
        <w:rPr>
          <w:rFonts w:ascii="Times New Roman" w:hAnsi="Times New Roman" w:cs="Times New Roman" w:eastAsiaTheme="minorEastAsia"/>
          <w:color w:val="000000" w:themeColor="text1"/>
          <w:sz w:val="21"/>
          <w:szCs w:val="21"/>
        </w:rPr>
        <w:t>配电设备</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 xml:space="preserve">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交直流互联设备保护区域：包括变换器等交直流互联设备</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 xml:space="preserve">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 直流侧保护区域：包括直流母线、直流线路、直流开关设备设施等。</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 建筑光储直柔电气系统采用</w:t>
      </w:r>
      <w:r>
        <w:rPr>
          <w:rFonts w:ascii="Times New Roman" w:hAnsi="Times New Roman" w:cs="Times New Roman" w:eastAsiaTheme="minorEastAsia"/>
          <w:color w:val="000000" w:themeColor="text1"/>
          <w:sz w:val="21"/>
          <w:szCs w:val="21"/>
        </w:rPr>
        <w:t>10kV</w:t>
      </w:r>
      <w:r>
        <w:rPr>
          <w:rFonts w:hint="eastAsia" w:ascii="Times New Roman" w:hAnsi="Times New Roman" w:cs="Times New Roman" w:eastAsiaTheme="minorEastAsia"/>
          <w:color w:val="000000" w:themeColor="text1"/>
          <w:sz w:val="21"/>
          <w:szCs w:val="21"/>
        </w:rPr>
        <w:t>(20kV)电压等级接入时，线路可采用两段式电流保护。当不能满足可靠性、选择性、灵敏性和速动性要求时，宜采用距离保护或光纤电流差动保护。</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接入建筑光、储电源的电网继电保护应符合相关继电保护技术规程、运行规程，并符合以下规定：</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1 电源具备向系统故障点送出短路电流能力且可能导致系统侧相关保护误动时，系统侧相应保护应增加配置方向元件；</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2 若有稳定、上下级配合、设备安全运行等需求时，可配置母线差动、线路纵联电流差动保护；</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电网侧重合闸投入时，重合闸方式应由三相一次重合闸改为检线路无压重合闸，条件不具备时重合闸应退出运行；</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 全部自用的建筑光伏接入点应装设防逆功率保护装置；</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5 通过</w:t>
      </w:r>
      <w:r>
        <w:rPr>
          <w:rFonts w:ascii="Times New Roman" w:hAnsi="Times New Roman" w:cs="Times New Roman" w:eastAsiaTheme="minorEastAsia"/>
          <w:color w:val="000000" w:themeColor="text1"/>
          <w:sz w:val="21"/>
          <w:szCs w:val="21"/>
        </w:rPr>
        <w:t>10kV</w:t>
      </w:r>
      <w:r>
        <w:rPr>
          <w:rFonts w:hint="eastAsia" w:ascii="Times New Roman" w:hAnsi="Times New Roman" w:cs="Times New Roman" w:eastAsiaTheme="minorEastAsia"/>
          <w:color w:val="000000" w:themeColor="text1"/>
          <w:sz w:val="21"/>
          <w:szCs w:val="21"/>
        </w:rPr>
        <w:t>电压等级直接接入公共电网，其电压保护配置应满足电网对低电压穿越能力的要求；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 分布式电源应具备快速监测孤岛且立即断开与电网连接的能力。</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 xml:space="preserve"> 直流配电</w:t>
      </w:r>
      <w:r>
        <w:rPr>
          <w:rFonts w:hint="eastAsia" w:ascii="Times New Roman" w:hAnsi="Times New Roman" w:cs="Times New Roman" w:eastAsiaTheme="minorEastAsia"/>
          <w:color w:val="000000" w:themeColor="text1"/>
          <w:sz w:val="21"/>
          <w:szCs w:val="21"/>
        </w:rPr>
        <w:t>网</w:t>
      </w:r>
      <w:r>
        <w:rPr>
          <w:rFonts w:ascii="Times New Roman" w:hAnsi="Times New Roman" w:cs="Times New Roman" w:eastAsiaTheme="minorEastAsia"/>
          <w:color w:val="000000" w:themeColor="text1"/>
          <w:sz w:val="21"/>
          <w:szCs w:val="21"/>
        </w:rPr>
        <w:t>的继电保护应满足可靠性、选择性、灵敏性和速动性要求，反映直流配电网短路故障和异常运行状态，其配置应符合《继电保护和安全自动装置技术规程》GB/T 14285和</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电力装置的继电保护和自动装置设计规范</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 xml:space="preserve">GB/T 50062 的规定。 </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 xml:space="preserve"> 直流配电系统保护应符合以下要求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应能够识别常见故障和不正常运行方式；</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保护原理及功能应简单可靠，对同一类型故障不宜设置多重保护；</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在无通信条件下，系统保护应有选择性；</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保护功能宜由专用保护设备和变换器共同配合实现。</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直流配电系统应具备过流保护功能，并应符合以下要求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在电流幅值不超过 110% 额定电流，且持续时间不超过10s的情况下，直流配电系统应维持正常运行</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对于结构复杂、供电连续性要求高的直流配电系统，宜具备SCRT和选择性保护功能。</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9</w:t>
      </w:r>
      <w:r>
        <w:rPr>
          <w:rFonts w:ascii="Times New Roman" w:hAnsi="Times New Roman" w:cs="Times New Roman" w:eastAsiaTheme="minorEastAsia"/>
          <w:color w:val="000000" w:themeColor="text1"/>
          <w:sz w:val="21"/>
          <w:szCs w:val="21"/>
        </w:rPr>
        <w:t xml:space="preserve"> 直流配电系统应具备电压异常保护功能，并应符合以下要求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当直流母线电压处于70%~80%额定电压范围，且持续时间不超过10s时，直流配电系统应保持运行</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当直流母线电压处于20%~70%额定电压范围，且持续时间不超过10ms时，直流配电系统宜保持连续运行。</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10 </w:t>
      </w:r>
      <w:r>
        <w:rPr>
          <w:rFonts w:ascii="Times New Roman" w:hAnsi="Times New Roman" w:cs="Times New Roman" w:eastAsiaTheme="minorEastAsia"/>
          <w:color w:val="000000" w:themeColor="text1"/>
          <w:sz w:val="21"/>
          <w:szCs w:val="21"/>
        </w:rPr>
        <w:t>采用IT接地型式的直流母线应具备绝缘监测功能，并应符合以下要求:</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应在直流母线设置绝缘监测器，配电回路宜配置剩余电流监控器;当绝缘电阻低于报警阙值时，绝缘检测器应发出声光报警</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配电回路的绝缘监测器，应在配电回路接入直流母线前停止工作</w:t>
      </w:r>
      <w:r>
        <w:rPr>
          <w:rFonts w:hint="eastAsia" w:ascii="Times New Roman" w:hAnsi="Times New Roman" w:cs="Times New Roman" w:eastAsiaTheme="minorEastAsia"/>
          <w:color w:val="000000" w:themeColor="text1"/>
          <w:sz w:val="21"/>
          <w:szCs w:val="21"/>
        </w:rPr>
        <w:t>。</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6.6</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11 </w:t>
      </w:r>
      <w:r>
        <w:rPr>
          <w:rFonts w:ascii="Times New Roman" w:hAnsi="Times New Roman" w:cs="Times New Roman" w:eastAsiaTheme="minorEastAsia"/>
          <w:color w:val="000000" w:themeColor="text1"/>
          <w:sz w:val="21"/>
          <w:szCs w:val="21"/>
        </w:rPr>
        <w:t>当外部交流电压窜入直流配电系统时，直流配电系统应能识别并报警。</w:t>
      </w:r>
    </w:p>
    <w:bookmarkEnd w:id="116"/>
    <w:p>
      <w:pPr>
        <w:spacing w:after="156" w:line="578" w:lineRule="auto"/>
        <w:rPr>
          <w:rFonts w:ascii="Times New Roman" w:hAnsi="Times New Roman" w:cs="Times New Roman"/>
          <w:bCs/>
          <w:color w:val="000000" w:themeColor="text1"/>
          <w:sz w:val="30"/>
          <w:szCs w:val="30"/>
        </w:rPr>
        <w:sectPr>
          <w:pgSz w:w="11906" w:h="16838"/>
          <w:pgMar w:top="1440" w:right="1800" w:bottom="1440" w:left="1800" w:header="851" w:footer="992" w:gutter="0"/>
          <w:cols w:space="425" w:num="1"/>
          <w:docGrid w:type="lines" w:linePitch="312" w:charSpace="0"/>
        </w:sectPr>
      </w:pPr>
    </w:p>
    <w:bookmarkEnd w:id="117"/>
    <w:bookmarkEnd w:id="118"/>
    <w:p>
      <w:pPr>
        <w:pStyle w:val="2"/>
        <w:numPr>
          <w:ilvl w:val="255"/>
          <w:numId w:val="0"/>
        </w:numPr>
        <w:spacing w:before="0" w:after="156" w:line="578" w:lineRule="auto"/>
        <w:rPr>
          <w:rFonts w:cs="Times New Roman" w:eastAsiaTheme="majorEastAsia"/>
          <w:bCs/>
          <w:color w:val="000000" w:themeColor="text1"/>
          <w:sz w:val="30"/>
          <w:szCs w:val="30"/>
        </w:rPr>
      </w:pPr>
      <w:bookmarkStart w:id="132" w:name="_Toc10030"/>
      <w:bookmarkStart w:id="133" w:name="_Toc15749"/>
      <w:bookmarkStart w:id="134" w:name="_Toc187411743"/>
      <w:bookmarkStart w:id="135" w:name="_Toc4551"/>
      <w:r>
        <w:rPr>
          <w:rFonts w:cs="Times New Roman" w:eastAsiaTheme="majorEastAsia"/>
          <w:bCs/>
          <w:color w:val="000000" w:themeColor="text1"/>
          <w:sz w:val="30"/>
          <w:szCs w:val="30"/>
        </w:rPr>
        <w:t xml:space="preserve">7 </w:t>
      </w:r>
      <w:r>
        <w:rPr>
          <w:rFonts w:hint="eastAsia" w:cs="Times New Roman" w:eastAsiaTheme="majorEastAsia"/>
          <w:bCs/>
          <w:color w:val="000000" w:themeColor="text1"/>
          <w:sz w:val="30"/>
          <w:szCs w:val="30"/>
        </w:rPr>
        <w:t>柔性控制</w:t>
      </w:r>
      <w:bookmarkEnd w:id="132"/>
    </w:p>
    <w:p>
      <w:pPr>
        <w:pStyle w:val="3"/>
        <w:numPr>
          <w:ilvl w:val="0"/>
          <w:numId w:val="0"/>
        </w:numPr>
        <w:spacing w:before="0" w:after="0" w:line="360" w:lineRule="auto"/>
        <w:rPr>
          <w:rFonts w:ascii="Times New Roman" w:hAnsi="Times New Roman" w:cs="Times New Roman" w:eastAsiaTheme="majorEastAsia"/>
          <w:bCs/>
          <w:color w:val="000000" w:themeColor="text1"/>
          <w:sz w:val="28"/>
          <w:szCs w:val="28"/>
        </w:rPr>
      </w:pPr>
      <w:bookmarkStart w:id="136" w:name="_Toc23880"/>
      <w:r>
        <w:rPr>
          <w:rFonts w:ascii="Times New Roman" w:hAnsi="Times New Roman" w:cs="Times New Roman" w:eastAsiaTheme="majorEastAsia"/>
          <w:bCs/>
          <w:color w:val="000000" w:themeColor="text1"/>
          <w:sz w:val="28"/>
          <w:szCs w:val="28"/>
        </w:rPr>
        <w:t xml:space="preserve">7.1 </w:t>
      </w:r>
      <w:r>
        <w:rPr>
          <w:rFonts w:hint="eastAsia" w:ascii="Times New Roman" w:hAnsi="Times New Roman" w:cs="Times New Roman" w:eastAsiaTheme="majorEastAsia"/>
          <w:bCs/>
          <w:color w:val="000000" w:themeColor="text1"/>
          <w:sz w:val="28"/>
          <w:szCs w:val="28"/>
        </w:rPr>
        <w:t>一般规定</w:t>
      </w:r>
      <w:bookmarkEnd w:id="136"/>
    </w:p>
    <w:p>
      <w:pPr>
        <w:spacing w:line="360" w:lineRule="auto"/>
        <w:rPr>
          <w:rFonts w:ascii="Times New Roman" w:hAnsi="Times New Roman" w:cs="Times New Roman" w:eastAsiaTheme="minorEastAsia"/>
          <w:iCs/>
          <w:color w:val="000000" w:themeColor="text1"/>
          <w:sz w:val="21"/>
          <w:szCs w:val="21"/>
        </w:rPr>
      </w:pPr>
      <w:r>
        <w:rPr>
          <w:rFonts w:ascii="Times New Roman" w:hAnsi="Times New Roman" w:cs="Times New Roman" w:eastAsiaTheme="minorEastAsia"/>
          <w:color w:val="000000" w:themeColor="text1"/>
          <w:sz w:val="21"/>
          <w:szCs w:val="21"/>
        </w:rPr>
        <w:t xml:space="preserve">7.1.1 </w:t>
      </w:r>
      <w:r>
        <w:rPr>
          <w:rFonts w:hint="eastAsia" w:ascii="Times New Roman" w:hAnsi="Times New Roman" w:cs="Times New Roman" w:eastAsiaTheme="minorEastAsia"/>
          <w:iCs/>
          <w:color w:val="000000" w:themeColor="text1"/>
          <w:sz w:val="21"/>
          <w:szCs w:val="21"/>
        </w:rPr>
        <w:t>建筑光储直柔电气系统应通过柔性控制系统实现</w:t>
      </w:r>
      <w:r>
        <w:rPr>
          <w:rFonts w:hint="eastAsia" w:ascii="Times New Roman" w:hAnsi="Times New Roman" w:cs="Times New Roman" w:eastAsiaTheme="minorEastAsia"/>
          <w:color w:val="000000" w:themeColor="text1"/>
          <w:sz w:val="21"/>
          <w:szCs w:val="22"/>
        </w:rPr>
        <w:t>功率主动响应，保证</w:t>
      </w:r>
      <w:r>
        <w:rPr>
          <w:rFonts w:hint="eastAsia" w:ascii="Times New Roman" w:hAnsi="Times New Roman" w:cs="Times New Roman" w:eastAsiaTheme="minorEastAsia"/>
          <w:iCs/>
          <w:color w:val="000000" w:themeColor="text1"/>
          <w:sz w:val="21"/>
          <w:szCs w:val="21"/>
        </w:rPr>
        <w:t>系统的安全稳定运行和可靠</w:t>
      </w:r>
      <w:r>
        <w:rPr>
          <w:rFonts w:hint="eastAsia" w:ascii="Times New Roman" w:hAnsi="Times New Roman" w:cs="Times New Roman" w:eastAsiaTheme="minorEastAsia"/>
          <w:color w:val="000000" w:themeColor="text1"/>
          <w:sz w:val="21"/>
          <w:szCs w:val="22"/>
        </w:rPr>
        <w:t>电力交互需求</w:t>
      </w:r>
      <w:r>
        <w:rPr>
          <w:rFonts w:hint="eastAsia" w:ascii="Times New Roman" w:hAnsi="Times New Roman" w:cs="Times New Roman" w:eastAsiaTheme="minorEastAsia"/>
          <w:iCs/>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7.1.</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柔性控制系统布线应与建筑物内其他弱电系统布线统一规划，布线设计应符合现行国家标准《综合布线系统工程设计规范》</w:t>
      </w:r>
      <w:r>
        <w:rPr>
          <w:rFonts w:ascii="Times New Roman" w:hAnsi="Times New Roman" w:cs="Times New Roman" w:eastAsiaTheme="minorEastAsia"/>
          <w:color w:val="000000" w:themeColor="text1"/>
          <w:sz w:val="21"/>
          <w:szCs w:val="21"/>
        </w:rPr>
        <w:t xml:space="preserve">GB50311 </w:t>
      </w:r>
      <w:r>
        <w:rPr>
          <w:rFonts w:hint="eastAsia" w:ascii="Times New Roman" w:hAnsi="Times New Roman" w:cs="Times New Roman" w:eastAsiaTheme="minorEastAsia"/>
          <w:color w:val="000000" w:themeColor="text1"/>
          <w:sz w:val="21"/>
          <w:szCs w:val="21"/>
        </w:rPr>
        <w:t>的有关规定。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7.1.3 柔性控制系统至少支持一项通信协议，包括但不限于 RS232、RS485、CAN、TCP/IP 等。</w:t>
      </w:r>
    </w:p>
    <w:p>
      <w:pPr>
        <w:spacing w:line="360" w:lineRule="auto"/>
        <w:rPr>
          <w:rFonts w:ascii="Times New Roman" w:hAnsi="Times New Roman" w:cs="Times New Roman" w:eastAsiaTheme="minorEastAsia"/>
          <w:color w:val="000000" w:themeColor="text1"/>
          <w:sz w:val="21"/>
          <w:szCs w:val="21"/>
        </w:rPr>
      </w:pPr>
    </w:p>
    <w:p>
      <w:pPr>
        <w:pStyle w:val="3"/>
        <w:numPr>
          <w:ilvl w:val="0"/>
          <w:numId w:val="0"/>
        </w:numPr>
        <w:spacing w:before="0" w:after="0" w:line="360" w:lineRule="auto"/>
        <w:rPr>
          <w:rFonts w:ascii="Times New Roman" w:hAnsi="Times New Roman" w:cs="Times New Roman" w:eastAsiaTheme="majorEastAsia"/>
          <w:bCs/>
          <w:color w:val="000000" w:themeColor="text1"/>
          <w:sz w:val="28"/>
          <w:szCs w:val="28"/>
        </w:rPr>
      </w:pPr>
      <w:bookmarkStart w:id="137" w:name="_Toc16088"/>
      <w:r>
        <w:rPr>
          <w:rFonts w:ascii="Times New Roman" w:hAnsi="Times New Roman" w:cs="Times New Roman" w:eastAsiaTheme="majorEastAsia"/>
          <w:bCs/>
          <w:color w:val="000000" w:themeColor="text1"/>
          <w:sz w:val="28"/>
          <w:szCs w:val="28"/>
        </w:rPr>
        <w:t xml:space="preserve">7.2 </w:t>
      </w:r>
      <w:r>
        <w:rPr>
          <w:rFonts w:hint="eastAsia" w:ascii="Times New Roman" w:hAnsi="Times New Roman" w:cs="Times New Roman" w:eastAsiaTheme="majorEastAsia"/>
          <w:bCs/>
          <w:color w:val="000000" w:themeColor="text1"/>
          <w:sz w:val="28"/>
          <w:szCs w:val="28"/>
        </w:rPr>
        <w:t>系统配置</w:t>
      </w:r>
      <w:bookmarkEnd w:id="137"/>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7.2.1 </w:t>
      </w:r>
      <w:r>
        <w:rPr>
          <w:rFonts w:hint="eastAsia" w:ascii="Times New Roman" w:hAnsi="Times New Roman" w:cs="Times New Roman" w:eastAsiaTheme="minorEastAsia"/>
          <w:color w:val="000000" w:themeColor="text1"/>
          <w:sz w:val="21"/>
          <w:szCs w:val="21"/>
        </w:rPr>
        <w:t>柔性控制系统总体架构应采用开放式体系结构，系统具有良好的可靠性、实时性和可扩展性。</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7.2.2 </w:t>
      </w:r>
      <w:r>
        <w:rPr>
          <w:rFonts w:hint="eastAsia" w:ascii="Times New Roman" w:hAnsi="Times New Roman" w:cs="Times New Roman" w:eastAsiaTheme="minorEastAsia"/>
          <w:color w:val="000000" w:themeColor="text1"/>
          <w:sz w:val="21"/>
          <w:szCs w:val="21"/>
          <w:highlight w:val="none"/>
        </w:rPr>
        <w:t>柔性控制管理平台</w:t>
      </w:r>
      <w:r>
        <w:rPr>
          <w:rFonts w:hint="eastAsia" w:ascii="Times New Roman" w:hAnsi="Times New Roman" w:cs="Times New Roman" w:eastAsiaTheme="minorEastAsia"/>
          <w:color w:val="000000" w:themeColor="text1"/>
          <w:sz w:val="21"/>
          <w:szCs w:val="21"/>
        </w:rPr>
        <w:t>的主要硬件配置包括监控工作站、服务器、打印机、网络设备、对时设备等。</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7.2.3 </w:t>
      </w:r>
      <w:r>
        <w:rPr>
          <w:rFonts w:hint="eastAsia" w:ascii="Times New Roman" w:hAnsi="Times New Roman" w:cs="Times New Roman" w:eastAsiaTheme="minorEastAsia"/>
          <w:color w:val="000000" w:themeColor="text1"/>
          <w:sz w:val="21"/>
          <w:szCs w:val="21"/>
          <w:highlight w:val="none"/>
        </w:rPr>
        <w:t>柔性控制管理平台</w:t>
      </w:r>
      <w:r>
        <w:rPr>
          <w:rFonts w:hint="eastAsia" w:ascii="Times New Roman" w:hAnsi="Times New Roman" w:cs="Times New Roman" w:eastAsiaTheme="minorEastAsia"/>
          <w:color w:val="000000" w:themeColor="text1"/>
          <w:sz w:val="21"/>
          <w:szCs w:val="21"/>
        </w:rPr>
        <w:t>数据中心服务器及核心网络交换机宜冗余配置，并应具有可扩展性。</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7.2.4 </w:t>
      </w:r>
      <w:r>
        <w:rPr>
          <w:rFonts w:hint="eastAsia" w:ascii="Times New Roman" w:hAnsi="Times New Roman" w:cs="Times New Roman" w:eastAsiaTheme="minorEastAsia"/>
          <w:color w:val="000000" w:themeColor="text1"/>
          <w:sz w:val="21"/>
          <w:szCs w:val="21"/>
          <w:highlight w:val="none"/>
        </w:rPr>
        <w:t>柔性控制管理平台</w:t>
      </w:r>
      <w:r>
        <w:rPr>
          <w:rFonts w:hint="eastAsia" w:ascii="Times New Roman" w:hAnsi="Times New Roman" w:cs="Times New Roman" w:eastAsiaTheme="minorEastAsia"/>
          <w:color w:val="000000" w:themeColor="text1"/>
          <w:sz w:val="21"/>
          <w:szCs w:val="21"/>
        </w:rPr>
        <w:t>设备的供电宜采用不间断电源和市电电源相结合的供电方式。</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7.2.5 </w:t>
      </w:r>
      <w:r>
        <w:rPr>
          <w:rFonts w:hint="eastAsia" w:ascii="Times New Roman" w:hAnsi="Times New Roman" w:cs="Times New Roman" w:eastAsiaTheme="minorEastAsia"/>
          <w:color w:val="000000" w:themeColor="text1"/>
          <w:sz w:val="21"/>
          <w:szCs w:val="21"/>
        </w:rPr>
        <w:t>柔性控制系统软件由系统软件、支持软件和应用软件组成。</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7.2.6 </w:t>
      </w:r>
      <w:r>
        <w:rPr>
          <w:rFonts w:hint="eastAsia" w:ascii="Times New Roman" w:hAnsi="Times New Roman" w:cs="Times New Roman" w:eastAsiaTheme="minorEastAsia"/>
          <w:color w:val="000000" w:themeColor="text1"/>
          <w:sz w:val="21"/>
          <w:szCs w:val="21"/>
        </w:rPr>
        <w:t>系统软件的可靠性、兼容性、可移植性、可扩展性及界面友好性等性能指标应满足系统当前及远景规划要求。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7.2.7 </w:t>
      </w:r>
      <w:r>
        <w:rPr>
          <w:rFonts w:hint="eastAsia" w:ascii="Times New Roman" w:hAnsi="Times New Roman" w:cs="Times New Roman" w:eastAsiaTheme="minorEastAsia"/>
          <w:color w:val="000000" w:themeColor="text1"/>
          <w:sz w:val="21"/>
          <w:szCs w:val="21"/>
        </w:rPr>
        <w:t>柔性控制系统支持软件的网络通信系统应满足各节点之间的信息的传输、数据共享和分布式处理等要求，通信速率应满足系统实时性要求。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7.2.8 </w:t>
      </w:r>
      <w:r>
        <w:rPr>
          <w:rFonts w:hint="eastAsia" w:ascii="Times New Roman" w:hAnsi="Times New Roman" w:cs="Times New Roman" w:eastAsiaTheme="minorEastAsia"/>
          <w:color w:val="000000" w:themeColor="text1"/>
          <w:sz w:val="21"/>
          <w:szCs w:val="21"/>
        </w:rPr>
        <w:t>柔性控制系统应用软件应满足系统功能需求，具有良好的实时响应速度和可扩展性。</w:t>
      </w:r>
    </w:p>
    <w:p>
      <w:pPr>
        <w:spacing w:line="360" w:lineRule="auto"/>
        <w:rPr>
          <w:rFonts w:hint="eastAsia"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7.2.9 </w:t>
      </w:r>
      <w:r>
        <w:rPr>
          <w:rFonts w:hint="eastAsia" w:ascii="Times New Roman" w:hAnsi="Times New Roman" w:cs="Times New Roman" w:eastAsiaTheme="minorEastAsia"/>
          <w:color w:val="000000" w:themeColor="text1"/>
          <w:sz w:val="21"/>
          <w:szCs w:val="21"/>
        </w:rPr>
        <w:t>系统应配置实时数据库和历史数据库，其容量应与柔性控制系统的设计容量相适应，并留有扩容裕度。</w:t>
      </w:r>
    </w:p>
    <w:p>
      <w:pPr>
        <w:spacing w:line="360" w:lineRule="auto"/>
        <w:rPr>
          <w:rFonts w:hint="eastAsia" w:ascii="Times New Roman" w:hAnsi="Times New Roman" w:cs="Times New Roman" w:eastAsiaTheme="minorEastAsia"/>
          <w:color w:val="000000" w:themeColor="text1"/>
          <w:sz w:val="21"/>
          <w:szCs w:val="21"/>
        </w:rPr>
      </w:pPr>
    </w:p>
    <w:p>
      <w:pPr>
        <w:pStyle w:val="3"/>
        <w:numPr>
          <w:ilvl w:val="0"/>
          <w:numId w:val="0"/>
        </w:numPr>
        <w:spacing w:before="0" w:after="0" w:line="360" w:lineRule="auto"/>
        <w:rPr>
          <w:rFonts w:ascii="Times New Roman" w:hAnsi="Times New Roman" w:cs="Times New Roman" w:eastAsiaTheme="majorEastAsia"/>
          <w:bCs/>
          <w:color w:val="000000" w:themeColor="text1"/>
          <w:sz w:val="28"/>
          <w:szCs w:val="28"/>
        </w:rPr>
      </w:pPr>
      <w:bookmarkStart w:id="138" w:name="_Toc14396"/>
      <w:r>
        <w:rPr>
          <w:rFonts w:ascii="Times New Roman" w:hAnsi="Times New Roman" w:cs="Times New Roman" w:eastAsiaTheme="majorEastAsia"/>
          <w:bCs/>
          <w:color w:val="000000" w:themeColor="text1"/>
          <w:sz w:val="28"/>
          <w:szCs w:val="28"/>
        </w:rPr>
        <w:t xml:space="preserve">7.3 </w:t>
      </w:r>
      <w:r>
        <w:rPr>
          <w:rFonts w:hint="eastAsia" w:ascii="Times New Roman" w:hAnsi="Times New Roman" w:cs="Times New Roman" w:eastAsiaTheme="majorEastAsia"/>
          <w:bCs/>
          <w:color w:val="000000" w:themeColor="text1"/>
          <w:sz w:val="28"/>
          <w:szCs w:val="28"/>
        </w:rPr>
        <w:t>系统功能</w:t>
      </w:r>
      <w:bookmarkEnd w:id="138"/>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7.3.</w:t>
      </w:r>
      <w:r>
        <w:rPr>
          <w:rFonts w:ascii="Times New Roman" w:hAnsi="Times New Roman" w:cs="Times New Roman" w:eastAsiaTheme="minorEastAsia"/>
          <w:color w:val="000000" w:themeColor="text1"/>
          <w:sz w:val="21"/>
          <w:szCs w:val="21"/>
          <w:highlight w:val="none"/>
        </w:rPr>
        <w:t>1</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柔性控制系统应具备数据采集与处理、监视与存储、计量、控制与调节、保护与报警及通讯等基本功能。</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7.3.</w:t>
      </w:r>
      <w:r>
        <w:rPr>
          <w:rFonts w:ascii="Times New Roman" w:hAnsi="Times New Roman" w:cs="Times New Roman" w:eastAsiaTheme="minorEastAsia"/>
          <w:color w:val="000000" w:themeColor="text1"/>
          <w:sz w:val="21"/>
          <w:szCs w:val="21"/>
          <w:highlight w:val="none"/>
        </w:rPr>
        <w:t>2</w:t>
      </w:r>
      <w:r>
        <w:rPr>
          <w:rFonts w:hint="eastAsia" w:ascii="Times New Roman" w:hAnsi="Times New Roman" w:cs="Times New Roman" w:eastAsiaTheme="minorEastAsia"/>
          <w:color w:val="000000" w:themeColor="text1"/>
          <w:sz w:val="21"/>
          <w:szCs w:val="21"/>
        </w:rPr>
        <w:t>柔性控制系统应具备对电源设备、主要用电设备和配电设备进行远程和本地控制的功能。</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7.3.</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柔性控制系统应具备根据电价、电网指令或预设运行目标切换运行模式的功能。</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7.3.</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柔性控制系统应具备以下预测、控制与调节功能：</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w:t>
      </w:r>
      <w:r>
        <w:rPr>
          <w:rFonts w:hint="eastAsia" w:ascii="Times New Roman" w:hAnsi="Times New Roman" w:cs="Times New Roman" w:eastAsiaTheme="minorEastAsia"/>
          <w:color w:val="000000" w:themeColor="text1"/>
          <w:sz w:val="21"/>
          <w:szCs w:val="21"/>
        </w:rPr>
        <w:t>建筑光伏发电量预测；</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建筑负荷用电量预测；</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w:t>
      </w:r>
      <w:r>
        <w:rPr>
          <w:rFonts w:hint="eastAsia" w:ascii="Times New Roman" w:hAnsi="Times New Roman" w:cs="Times New Roman" w:eastAsiaTheme="minorEastAsia"/>
          <w:color w:val="000000" w:themeColor="text1"/>
          <w:sz w:val="21"/>
          <w:szCs w:val="21"/>
        </w:rPr>
        <w:t>建筑储能及电动汽车充电桩充放电控制策略制定与执行；</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 </w:t>
      </w:r>
      <w:r>
        <w:rPr>
          <w:rFonts w:hint="eastAsia" w:ascii="Times New Roman" w:hAnsi="Times New Roman" w:cs="Times New Roman" w:eastAsiaTheme="minorEastAsia"/>
          <w:color w:val="000000" w:themeColor="text1"/>
          <w:sz w:val="21"/>
          <w:szCs w:val="21"/>
        </w:rPr>
        <w:t>建筑整体用电柔度预测及柔性调节信号给定；</w:t>
      </w:r>
    </w:p>
    <w:p>
      <w:pPr>
        <w:spacing w:line="360" w:lineRule="auto"/>
        <w:ind w:firstLine="420" w:firstLineChars="200"/>
        <w:rPr>
          <w:rFonts w:hint="eastAsia"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 </w:t>
      </w:r>
      <w:r>
        <w:rPr>
          <w:rFonts w:hint="eastAsia" w:ascii="Times New Roman" w:hAnsi="Times New Roman" w:cs="Times New Roman" w:eastAsiaTheme="minorEastAsia"/>
          <w:color w:val="000000" w:themeColor="text1"/>
          <w:sz w:val="21"/>
          <w:szCs w:val="21"/>
        </w:rPr>
        <w:t>动态调整设备调节优先级，制定电力需求响应计划，满足电力交互需求。</w:t>
      </w:r>
    </w:p>
    <w:p>
      <w:pPr>
        <w:spacing w:line="360" w:lineRule="auto"/>
        <w:ind w:firstLine="560" w:firstLineChars="200"/>
        <w:rPr>
          <w:rFonts w:hint="default" w:ascii="Times New Roman" w:hAnsi="Times New Roman" w:cs="Times New Roman" w:eastAsiaTheme="majorEastAsia"/>
          <w:bCs/>
          <w:color w:val="000000" w:themeColor="text1"/>
          <w:sz w:val="28"/>
          <w:szCs w:val="28"/>
        </w:rPr>
      </w:pPr>
    </w:p>
    <w:p>
      <w:pPr>
        <w:pStyle w:val="3"/>
        <w:numPr>
          <w:ilvl w:val="0"/>
          <w:numId w:val="0"/>
        </w:numPr>
        <w:spacing w:before="0" w:after="0" w:line="360" w:lineRule="auto"/>
        <w:rPr>
          <w:rFonts w:ascii="Times New Roman" w:hAnsi="Times New Roman" w:cs="Times New Roman" w:eastAsiaTheme="majorEastAsia"/>
          <w:bCs/>
          <w:color w:val="000000" w:themeColor="text1"/>
          <w:sz w:val="28"/>
          <w:szCs w:val="28"/>
        </w:rPr>
      </w:pPr>
      <w:bookmarkStart w:id="139" w:name="_Toc13509"/>
      <w:r>
        <w:rPr>
          <w:rFonts w:hint="eastAsia" w:ascii="Times New Roman" w:hAnsi="Times New Roman" w:cs="Times New Roman" w:eastAsiaTheme="majorEastAsia"/>
          <w:bCs/>
          <w:color w:val="000000" w:themeColor="text1"/>
          <w:sz w:val="28"/>
          <w:szCs w:val="28"/>
        </w:rPr>
        <w:t>7.4</w:t>
      </w:r>
      <w:r>
        <w:rPr>
          <w:rFonts w:hint="eastAsia" w:ascii="Times New Roman" w:hAnsi="Times New Roman" w:cs="Times New Roman" w:eastAsiaTheme="majorEastAsia"/>
          <w:bCs/>
          <w:color w:val="000000" w:themeColor="text1"/>
          <w:sz w:val="28"/>
          <w:szCs w:val="28"/>
          <w:lang w:val="en-US" w:eastAsia="zh-CN"/>
        </w:rPr>
        <w:t xml:space="preserve"> </w:t>
      </w:r>
      <w:r>
        <w:rPr>
          <w:rFonts w:ascii="Times New Roman" w:hAnsi="Times New Roman" w:cs="Times New Roman" w:eastAsiaTheme="majorEastAsia"/>
          <w:bCs/>
          <w:color w:val="000000" w:themeColor="text1"/>
          <w:sz w:val="28"/>
          <w:szCs w:val="28"/>
        </w:rPr>
        <w:t>电动汽车充电</w:t>
      </w:r>
      <w:r>
        <w:rPr>
          <w:rFonts w:hint="eastAsia" w:ascii="Times New Roman" w:hAnsi="Times New Roman" w:cs="Times New Roman" w:eastAsiaTheme="majorEastAsia"/>
          <w:bCs/>
          <w:color w:val="000000" w:themeColor="text1"/>
          <w:sz w:val="28"/>
          <w:szCs w:val="28"/>
        </w:rPr>
        <w:t>桩</w:t>
      </w:r>
      <w:bookmarkEnd w:id="139"/>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7.4.1 </w:t>
      </w:r>
      <w:r>
        <w:rPr>
          <w:rFonts w:hint="eastAsia" w:ascii="Times New Roman" w:hAnsi="Times New Roman" w:cs="Times New Roman" w:eastAsiaTheme="minorEastAsia"/>
          <w:color w:val="000000" w:themeColor="text1"/>
          <w:sz w:val="21"/>
          <w:szCs w:val="21"/>
        </w:rPr>
        <w:t xml:space="preserve">系统的配置应符合电动汽车与光储直柔电气系统协同互动的要求，提高充电设施柔性控制能力，宜采用有序充电设备、V2B充放电设备和换电设备。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系统</w:t>
      </w:r>
      <w:r>
        <w:rPr>
          <w:rFonts w:ascii="Times New Roman" w:hAnsi="Times New Roman" w:cs="Times New Roman" w:eastAsiaTheme="minorEastAsia"/>
          <w:color w:val="000000" w:themeColor="text1"/>
          <w:sz w:val="21"/>
          <w:szCs w:val="21"/>
        </w:rPr>
        <w:t xml:space="preserve">在满足用车需求的前提下可采取随机延时、排队延时合闸等技术措施保证有序充电，避免高峰负荷叠加，改善电网负荷特性，提高电网运行经济性、可靠性。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系统的有序</w:t>
      </w:r>
      <w:r>
        <w:rPr>
          <w:rFonts w:ascii="Times New Roman" w:hAnsi="Times New Roman" w:cs="Times New Roman" w:eastAsiaTheme="minorEastAsia"/>
          <w:color w:val="000000" w:themeColor="text1"/>
          <w:sz w:val="21"/>
          <w:szCs w:val="21"/>
        </w:rPr>
        <w:t xml:space="preserve">充电设施宜具有以下功能：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提供对于有序充电的技术支持，使高峰负荷不叠加；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具备经济模式，能够适应峰谷电价的机制；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 谐波检测和电能质量监测</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4 </w:t>
      </w:r>
      <w:r>
        <w:rPr>
          <w:rFonts w:ascii="Times New Roman" w:hAnsi="Times New Roman" w:cs="Times New Roman" w:eastAsiaTheme="minorEastAsia"/>
          <w:color w:val="000000" w:themeColor="text1"/>
          <w:sz w:val="21"/>
          <w:szCs w:val="21"/>
        </w:rPr>
        <w:t>宜具备信息安全防护手段，包含但不限于访问控制、口令认证、数据加密等手段。有序充电控制不应影响有序充电设备充电过程的信息安全。</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充放电设备</w:t>
      </w:r>
      <w:r>
        <w:rPr>
          <w:rFonts w:hint="eastAsia" w:ascii="Times New Roman" w:hAnsi="Times New Roman" w:cs="Times New Roman" w:eastAsiaTheme="minorEastAsia"/>
          <w:color w:val="000000" w:themeColor="text1"/>
          <w:sz w:val="21"/>
          <w:szCs w:val="21"/>
        </w:rPr>
        <w:t>应具备以下功能：</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在充电、放电过程中，V2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充放电设备可执行相应动作，根据电动汽车、有序充电管理系统的指令来进行充放电设定，并读取电动汽车提供的数据，动态调整充电、放电参数，完成充电、放电过程</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w:t>
      </w:r>
      <w:r>
        <w:rPr>
          <w:rFonts w:hint="eastAsia" w:ascii="Times New Roman" w:hAnsi="Times New Roman" w:cs="Times New Roman" w:eastAsiaTheme="minorEastAsia"/>
          <w:color w:val="000000" w:themeColor="text1"/>
          <w:sz w:val="21"/>
          <w:szCs w:val="21"/>
        </w:rPr>
        <w:t xml:space="preserve"> </w:t>
      </w:r>
      <w:r>
        <w:rPr>
          <w:rFonts w:ascii="Times New Roman" w:hAnsi="Times New Roman" w:cs="Times New Roman" w:eastAsiaTheme="minorEastAsia"/>
          <w:color w:val="000000" w:themeColor="text1"/>
          <w:sz w:val="21"/>
          <w:szCs w:val="21"/>
        </w:rPr>
        <w:t>由于电网故障的原因导致 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充放电设备停机，在电网的电压和频率恢复到正常范围后，系统应正常重启运行</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3</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充放电设备应具备充、放电有功功率控制功能</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4</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充放电设备应具备</w:t>
      </w:r>
      <w:r>
        <w:rPr>
          <w:rFonts w:hint="eastAsia" w:ascii="Times New Roman" w:hAnsi="Times New Roman" w:cs="Times New Roman" w:eastAsiaTheme="minorEastAsia"/>
          <w:color w:val="000000" w:themeColor="text1"/>
          <w:sz w:val="21"/>
          <w:szCs w:val="21"/>
        </w:rPr>
        <w:t>无功</w:t>
      </w:r>
      <w:r>
        <w:rPr>
          <w:rFonts w:ascii="Times New Roman" w:hAnsi="Times New Roman" w:cs="Times New Roman" w:eastAsiaTheme="minorEastAsia"/>
          <w:color w:val="000000" w:themeColor="text1"/>
          <w:sz w:val="21"/>
          <w:szCs w:val="21"/>
        </w:rPr>
        <w:t>功率</w:t>
      </w:r>
      <w:r>
        <w:rPr>
          <w:rFonts w:hint="eastAsia" w:ascii="Times New Roman" w:hAnsi="Times New Roman" w:cs="Times New Roman" w:eastAsiaTheme="minorEastAsia"/>
          <w:color w:val="000000" w:themeColor="text1"/>
          <w:sz w:val="21"/>
          <w:szCs w:val="21"/>
        </w:rPr>
        <w:t>输出和</w:t>
      </w:r>
      <w:r>
        <w:rPr>
          <w:rFonts w:ascii="Times New Roman" w:hAnsi="Times New Roman" w:cs="Times New Roman" w:eastAsiaTheme="minorEastAsia"/>
          <w:color w:val="000000" w:themeColor="text1"/>
          <w:sz w:val="21"/>
          <w:szCs w:val="21"/>
        </w:rPr>
        <w:t>控制功能</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5</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充放电设备宜具备并离网切换功能，可根据上级指令进行并网、离网运行模式的切换，当并网端发生故障时，能正常切换到离网运行模式</w:t>
      </w:r>
      <w:r>
        <w:rPr>
          <w:rFonts w:hint="eastAsia" w:ascii="Times New Roman" w:hAnsi="Times New Roman" w:cs="Times New Roman" w:eastAsiaTheme="minorEastAsia"/>
          <w:color w:val="000000" w:themeColor="text1"/>
          <w:sz w:val="21"/>
          <w:szCs w:val="21"/>
        </w:rPr>
        <w:t>；</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6</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V2</w:t>
      </w:r>
      <w:r>
        <w:rPr>
          <w:rFonts w:hint="eastAsia" w:ascii="Times New Roman" w:hAnsi="Times New Roman" w:cs="Times New Roman" w:eastAsiaTheme="minorEastAsia"/>
          <w:color w:val="000000" w:themeColor="text1"/>
          <w:sz w:val="21"/>
          <w:szCs w:val="21"/>
        </w:rPr>
        <w:t>B</w:t>
      </w:r>
      <w:r>
        <w:rPr>
          <w:rFonts w:ascii="Times New Roman" w:hAnsi="Times New Roman" w:cs="Times New Roman" w:eastAsiaTheme="minorEastAsia"/>
          <w:color w:val="000000" w:themeColor="text1"/>
          <w:sz w:val="21"/>
          <w:szCs w:val="21"/>
        </w:rPr>
        <w:t xml:space="preserve"> 充放电设备应具备根据上级指令进行充电、放电的功能。</w:t>
      </w:r>
    </w:p>
    <w:p>
      <w:pPr>
        <w:widowControl/>
        <w:spacing w:line="360" w:lineRule="auto"/>
        <w:jc w:val="left"/>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5</w:t>
      </w:r>
      <w:r>
        <w:rPr>
          <w:rFonts w:ascii="Times New Roman" w:hAnsi="Times New Roman" w:cs="Times New Roman" w:eastAsiaTheme="minorEastAsia"/>
          <w:color w:val="000000" w:themeColor="text1"/>
          <w:sz w:val="21"/>
          <w:szCs w:val="21"/>
        </w:rPr>
        <w:t xml:space="preserve"> 电动汽车充电</w:t>
      </w:r>
      <w:r>
        <w:rPr>
          <w:rFonts w:hint="eastAsia" w:ascii="Times New Roman" w:hAnsi="Times New Roman" w:cs="Times New Roman" w:eastAsiaTheme="minorEastAsia"/>
          <w:color w:val="000000" w:themeColor="text1"/>
          <w:sz w:val="21"/>
          <w:szCs w:val="21"/>
        </w:rPr>
        <w:t>桩</w:t>
      </w:r>
      <w:r>
        <w:rPr>
          <w:rFonts w:ascii="Times New Roman" w:hAnsi="Times New Roman" w:cs="Times New Roman" w:eastAsiaTheme="minorEastAsia"/>
          <w:color w:val="000000" w:themeColor="text1"/>
          <w:sz w:val="21"/>
          <w:szCs w:val="21"/>
        </w:rPr>
        <w:t xml:space="preserve">建设应符合以下规定：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1</w:t>
      </w:r>
      <w:r>
        <w:rPr>
          <w:rFonts w:ascii="Times New Roman" w:hAnsi="Times New Roman" w:cs="Times New Roman" w:eastAsiaTheme="minorEastAsia"/>
          <w:color w:val="000000" w:themeColor="text1"/>
          <w:sz w:val="21"/>
          <w:szCs w:val="21"/>
        </w:rPr>
        <w:t xml:space="preserve"> 充</w:t>
      </w:r>
      <w:r>
        <w:rPr>
          <w:rFonts w:hint="eastAsia" w:ascii="Times New Roman" w:hAnsi="Times New Roman" w:cs="Times New Roman" w:eastAsiaTheme="minorEastAsia"/>
          <w:color w:val="000000" w:themeColor="text1"/>
          <w:sz w:val="21"/>
          <w:szCs w:val="21"/>
        </w:rPr>
        <w:t>电桩</w:t>
      </w:r>
      <w:r>
        <w:rPr>
          <w:rFonts w:ascii="Times New Roman" w:hAnsi="Times New Roman" w:cs="Times New Roman" w:eastAsiaTheme="minorEastAsia"/>
          <w:color w:val="000000" w:themeColor="text1"/>
          <w:sz w:val="21"/>
          <w:szCs w:val="21"/>
        </w:rPr>
        <w:t>的供电电压等级，应根据充电设备及辅助设备总容量，综合考虑需用系数、同时系数等因素，经过技术经济比较后确定，应按照</w:t>
      </w:r>
      <w:r>
        <w:rPr>
          <w:rFonts w:hint="eastAsia" w:ascii="Times New Roman" w:hAnsi="Times New Roman" w:cs="Times New Roman" w:eastAsiaTheme="minorEastAsia"/>
          <w:color w:val="000000" w:themeColor="text1"/>
          <w:sz w:val="21"/>
          <w:szCs w:val="21"/>
        </w:rPr>
        <w:t>《电动汽车充换电设施接入配电网技术规范》</w:t>
      </w:r>
      <w:r>
        <w:rPr>
          <w:rFonts w:ascii="Times New Roman" w:hAnsi="Times New Roman" w:cs="Times New Roman" w:eastAsiaTheme="minorEastAsia"/>
          <w:color w:val="000000" w:themeColor="text1"/>
          <w:sz w:val="21"/>
          <w:szCs w:val="21"/>
        </w:rPr>
        <w:t>GB/T 36278</w:t>
      </w:r>
      <w:r>
        <w:rPr>
          <w:rFonts w:hint="eastAsia" w:ascii="Times New Roman" w:hAnsi="Times New Roman" w:cs="Times New Roman" w:eastAsiaTheme="minorEastAsia"/>
          <w:color w:val="000000" w:themeColor="text1"/>
          <w:sz w:val="21"/>
          <w:szCs w:val="21"/>
        </w:rPr>
        <w:t>有关规定</w:t>
      </w:r>
      <w:r>
        <w:rPr>
          <w:rFonts w:ascii="Times New Roman" w:hAnsi="Times New Roman" w:cs="Times New Roman" w:eastAsiaTheme="minorEastAsia"/>
          <w:color w:val="000000" w:themeColor="text1"/>
          <w:sz w:val="21"/>
          <w:szCs w:val="21"/>
        </w:rPr>
        <w:t xml:space="preserve">执行； </w:t>
      </w:r>
    </w:p>
    <w:p>
      <w:pPr>
        <w:widowControl/>
        <w:spacing w:line="360" w:lineRule="auto"/>
        <w:ind w:firstLine="420" w:firstLineChars="200"/>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充电</w:t>
      </w:r>
      <w:r>
        <w:rPr>
          <w:rFonts w:hint="eastAsia" w:ascii="Times New Roman" w:hAnsi="Times New Roman" w:cs="Times New Roman" w:eastAsiaTheme="minorEastAsia"/>
          <w:color w:val="000000" w:themeColor="text1"/>
          <w:sz w:val="21"/>
          <w:szCs w:val="21"/>
        </w:rPr>
        <w:t>桩</w:t>
      </w:r>
      <w:r>
        <w:rPr>
          <w:rFonts w:ascii="Times New Roman" w:hAnsi="Times New Roman" w:cs="Times New Roman" w:eastAsiaTheme="minorEastAsia"/>
          <w:color w:val="000000" w:themeColor="text1"/>
          <w:sz w:val="21"/>
          <w:szCs w:val="21"/>
        </w:rPr>
        <w:t xml:space="preserve">的用户等级应符合《重要电力用户供电电源及自备应急电源配置技术规范》GB/T 29328的要求。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6</w:t>
      </w:r>
      <w:r>
        <w:rPr>
          <w:rFonts w:ascii="Times New Roman" w:hAnsi="Times New Roman" w:cs="Times New Roman" w:eastAsiaTheme="minorEastAsia"/>
          <w:color w:val="000000" w:themeColor="text1"/>
          <w:sz w:val="21"/>
          <w:szCs w:val="21"/>
        </w:rPr>
        <w:t xml:space="preserve"> 应合理布设分散型交流充电桩，与电网公共连接点三相电压不平衡允许限值应符合</w:t>
      </w:r>
      <w:r>
        <w:rPr>
          <w:rFonts w:hint="eastAsia" w:ascii="Times New Roman" w:hAnsi="Times New Roman" w:cs="Times New Roman" w:eastAsiaTheme="minorEastAsia"/>
          <w:color w:val="000000" w:themeColor="text1"/>
          <w:sz w:val="21"/>
          <w:szCs w:val="21"/>
        </w:rPr>
        <w:t>《电能质量 三相电压不平衡》</w:t>
      </w:r>
      <w:r>
        <w:rPr>
          <w:rFonts w:ascii="Times New Roman" w:hAnsi="Times New Roman" w:cs="Times New Roman" w:eastAsiaTheme="minorEastAsia"/>
          <w:color w:val="000000" w:themeColor="text1"/>
          <w:sz w:val="21"/>
          <w:szCs w:val="21"/>
        </w:rPr>
        <w:t xml:space="preserve">GB/T 15543的规定。充电桩的接入应三相交叉及间隔均衡布设，避免低压系统中性点偏移、电压异常。 </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 xml:space="preserve"> 集中布设的充电设施应采取装设滤波器等措施改善电能质量。 充电</w:t>
      </w:r>
      <w:r>
        <w:rPr>
          <w:rFonts w:hint="eastAsia" w:ascii="Times New Roman" w:hAnsi="Times New Roman" w:cs="Times New Roman" w:eastAsiaTheme="minorEastAsia"/>
          <w:color w:val="000000" w:themeColor="text1"/>
          <w:sz w:val="21"/>
          <w:szCs w:val="21"/>
        </w:rPr>
        <w:t>桩</w:t>
      </w:r>
      <w:r>
        <w:rPr>
          <w:rFonts w:ascii="Times New Roman" w:hAnsi="Times New Roman" w:cs="Times New Roman" w:eastAsiaTheme="minorEastAsia"/>
          <w:color w:val="000000" w:themeColor="text1"/>
          <w:sz w:val="21"/>
          <w:szCs w:val="21"/>
        </w:rPr>
        <w:t>等非线性用电设备接入电网产生的谐波分量</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注入的谐波电流和引起公共连接点电压的正弦畸变率应符合</w:t>
      </w:r>
      <w:r>
        <w:rPr>
          <w:rFonts w:hint="eastAsia" w:ascii="Times New Roman" w:hAnsi="Times New Roman" w:cs="Times New Roman" w:eastAsiaTheme="minorEastAsia"/>
          <w:color w:val="000000" w:themeColor="text1"/>
          <w:sz w:val="21"/>
          <w:szCs w:val="21"/>
        </w:rPr>
        <w:t>相关国家现行标准的有关规定。</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对于非车载充电</w:t>
      </w:r>
      <w:r>
        <w:rPr>
          <w:rFonts w:hint="eastAsia" w:ascii="Times New Roman" w:hAnsi="Times New Roman" w:cs="Times New Roman" w:eastAsiaTheme="minorEastAsia"/>
          <w:color w:val="000000" w:themeColor="text1"/>
          <w:sz w:val="21"/>
          <w:szCs w:val="21"/>
        </w:rPr>
        <w:t>桩宜</w:t>
      </w:r>
      <w:r>
        <w:rPr>
          <w:rFonts w:ascii="Times New Roman" w:hAnsi="Times New Roman" w:cs="Times New Roman" w:eastAsiaTheme="minorEastAsia"/>
          <w:color w:val="000000" w:themeColor="text1"/>
          <w:sz w:val="21"/>
          <w:szCs w:val="21"/>
        </w:rPr>
        <w:t>采用专用变压器供电，</w:t>
      </w:r>
      <w:r>
        <w:rPr>
          <w:rFonts w:hint="eastAsia" w:ascii="Times New Roman" w:hAnsi="Times New Roman" w:cs="Times New Roman" w:eastAsiaTheme="minorEastAsia"/>
          <w:color w:val="000000" w:themeColor="text1"/>
          <w:sz w:val="21"/>
          <w:szCs w:val="21"/>
        </w:rPr>
        <w:t>并</w:t>
      </w:r>
      <w:r>
        <w:rPr>
          <w:rFonts w:ascii="Times New Roman" w:hAnsi="Times New Roman" w:cs="Times New Roman" w:eastAsiaTheme="minorEastAsia"/>
          <w:color w:val="000000" w:themeColor="text1"/>
          <w:sz w:val="21"/>
          <w:szCs w:val="21"/>
        </w:rPr>
        <w:t>安装相应滤波、电能质量监测装置，符合</w:t>
      </w:r>
      <w:r>
        <w:rPr>
          <w:rFonts w:hint="eastAsia" w:ascii="Times New Roman" w:hAnsi="Times New Roman" w:cs="Times New Roman" w:eastAsiaTheme="minorEastAsia"/>
          <w:color w:val="000000" w:themeColor="text1"/>
          <w:sz w:val="21"/>
          <w:szCs w:val="21"/>
        </w:rPr>
        <w:t>《电动汽车充换电设施电能质量技术要求》</w:t>
      </w:r>
      <w:r>
        <w:rPr>
          <w:rFonts w:ascii="Times New Roman" w:hAnsi="Times New Roman" w:cs="Times New Roman" w:eastAsiaTheme="minorEastAsia"/>
          <w:color w:val="000000" w:themeColor="text1"/>
          <w:sz w:val="21"/>
          <w:szCs w:val="21"/>
        </w:rPr>
        <w:t>GB/T 29316 的规定。具有向电网输送电能的</w:t>
      </w:r>
      <w:r>
        <w:rPr>
          <w:rFonts w:hint="eastAsia" w:ascii="Times New Roman" w:hAnsi="Times New Roman" w:cs="Times New Roman" w:eastAsiaTheme="minorEastAsia"/>
          <w:color w:val="000000" w:themeColor="text1"/>
          <w:sz w:val="21"/>
          <w:szCs w:val="21"/>
        </w:rPr>
        <w:t>充电桩</w:t>
      </w:r>
      <w:r>
        <w:rPr>
          <w:rFonts w:ascii="Times New Roman" w:hAnsi="Times New Roman" w:cs="Times New Roman" w:eastAsiaTheme="minorEastAsia"/>
          <w:color w:val="000000" w:themeColor="text1"/>
          <w:sz w:val="21"/>
          <w:szCs w:val="21"/>
        </w:rPr>
        <w:t>，其向电网注入的直流分量不应超过其交流定值的0.5%。</w:t>
      </w:r>
    </w:p>
    <w:p>
      <w:pPr>
        <w:widowControl/>
        <w:spacing w:line="360" w:lineRule="auto"/>
        <w:jc w:val="left"/>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7.4.9 </w:t>
      </w:r>
      <w:r>
        <w:rPr>
          <w:rFonts w:ascii="Times New Roman" w:hAnsi="Times New Roman" w:cs="Times New Roman" w:eastAsiaTheme="minorEastAsia"/>
          <w:color w:val="000000" w:themeColor="text1"/>
          <w:sz w:val="21"/>
          <w:szCs w:val="21"/>
        </w:rPr>
        <w:t>非车载充电</w:t>
      </w:r>
      <w:r>
        <w:rPr>
          <w:rFonts w:hint="eastAsia" w:ascii="Times New Roman" w:hAnsi="Times New Roman" w:cs="Times New Roman" w:eastAsiaTheme="minorEastAsia"/>
          <w:color w:val="000000" w:themeColor="text1"/>
          <w:sz w:val="21"/>
          <w:szCs w:val="21"/>
        </w:rPr>
        <w:t xml:space="preserve">换电装置应符合《电动汽车电池更换站通用技术要求》GB/T 29772的规定。 </w:t>
      </w:r>
    </w:p>
    <w:p>
      <w:pPr>
        <w:widowControl/>
        <w:spacing w:line="360" w:lineRule="auto"/>
        <w:ind w:left="840" w:leftChars="300" w:firstLine="420" w:firstLineChars="200"/>
        <w:jc w:val="left"/>
        <w:rPr>
          <w:rFonts w:ascii="Times New Roman" w:hAnsi="Times New Roman" w:eastAsia="楷体" w:cs="Times New Roman"/>
          <w:color w:val="000000" w:themeColor="text1"/>
          <w:sz w:val="21"/>
          <w:szCs w:val="21"/>
        </w:rPr>
      </w:pPr>
    </w:p>
    <w:bookmarkEnd w:id="133"/>
    <w:bookmarkEnd w:id="134"/>
    <w:p>
      <w:pPr>
        <w:spacing w:line="360" w:lineRule="auto"/>
        <w:ind w:firstLine="420" w:firstLineChars="200"/>
        <w:rPr>
          <w:rFonts w:ascii="Times New Roman" w:hAnsi="Times New Roman" w:cs="Times New Roman" w:eastAsiaTheme="minorEastAsia"/>
          <w:color w:val="000000" w:themeColor="text1"/>
          <w:sz w:val="21"/>
          <w:szCs w:val="21"/>
          <w:highlight w:val="yellow"/>
        </w:rPr>
      </w:pPr>
    </w:p>
    <w:bookmarkEnd w:id="135"/>
    <w:p>
      <w:pPr>
        <w:spacing w:line="360" w:lineRule="auto"/>
        <w:ind w:firstLine="420" w:firstLineChars="200"/>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spacing w:line="360" w:lineRule="auto"/>
        <w:rPr>
          <w:rFonts w:ascii="Times New Roman" w:hAnsi="Times New Roman" w:eastAsia="宋体" w:cs="Times New Roman"/>
          <w:color w:val="000000" w:themeColor="text1"/>
          <w:sz w:val="21"/>
          <w:szCs w:val="21"/>
        </w:rPr>
      </w:pPr>
    </w:p>
    <w:p>
      <w:pPr>
        <w:pStyle w:val="2"/>
        <w:spacing w:after="156" w:line="578" w:lineRule="auto"/>
        <w:rPr>
          <w:rFonts w:cs="Times New Roman"/>
          <w:bCs/>
          <w:color w:val="000000" w:themeColor="text1"/>
          <w:sz w:val="30"/>
          <w:szCs w:val="30"/>
        </w:rPr>
      </w:pPr>
      <w:bookmarkStart w:id="140" w:name="_Toc17952"/>
      <w:bookmarkStart w:id="141" w:name="_Toc23789"/>
      <w:bookmarkStart w:id="142" w:name="_Toc184275304"/>
      <w:bookmarkStart w:id="143" w:name="_Toc3034"/>
      <w:bookmarkStart w:id="144" w:name="_Toc31806"/>
      <w:r>
        <w:rPr>
          <w:rFonts w:cs="Times New Roman"/>
          <w:bCs/>
          <w:color w:val="000000" w:themeColor="text1"/>
          <w:sz w:val="30"/>
          <w:szCs w:val="30"/>
        </w:rPr>
        <w:t>8</w:t>
      </w:r>
      <w:r>
        <w:rPr>
          <w:rFonts w:hint="eastAsia" w:cs="Times New Roman"/>
          <w:bCs/>
          <w:color w:val="000000" w:themeColor="text1"/>
          <w:sz w:val="30"/>
          <w:szCs w:val="30"/>
        </w:rPr>
        <w:t xml:space="preserve"> 通信及</w:t>
      </w:r>
      <w:r>
        <w:rPr>
          <w:rFonts w:cs="Times New Roman"/>
          <w:bCs/>
          <w:color w:val="000000" w:themeColor="text1"/>
          <w:sz w:val="30"/>
          <w:szCs w:val="30"/>
        </w:rPr>
        <w:t>数字化</w:t>
      </w:r>
      <w:bookmarkEnd w:id="140"/>
      <w:bookmarkEnd w:id="141"/>
      <w:bookmarkEnd w:id="142"/>
      <w:bookmarkEnd w:id="143"/>
      <w:bookmarkEnd w:id="144"/>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45" w:name="_Toc30144"/>
      <w:bookmarkStart w:id="146" w:name="_Toc29588"/>
      <w:bookmarkStart w:id="147" w:name="_Toc18696"/>
      <w:bookmarkStart w:id="148" w:name="_Toc184275305"/>
      <w:bookmarkStart w:id="149" w:name="_Toc2028"/>
      <w:r>
        <w:rPr>
          <w:rFonts w:hint="eastAsia" w:ascii="Times New Roman" w:hAnsi="Times New Roman" w:cs="Times New Roman" w:eastAsiaTheme="majorEastAsia"/>
          <w:bCs/>
          <w:color w:val="000000" w:themeColor="text1"/>
          <w:sz w:val="28"/>
          <w:szCs w:val="28"/>
        </w:rPr>
        <w:t>8</w:t>
      </w:r>
      <w:r>
        <w:rPr>
          <w:rFonts w:ascii="Times New Roman" w:hAnsi="Times New Roman" w:cs="Times New Roman" w:eastAsiaTheme="majorEastAsia"/>
          <w:bCs/>
          <w:color w:val="000000" w:themeColor="text1"/>
          <w:sz w:val="28"/>
          <w:szCs w:val="28"/>
        </w:rPr>
        <w:t>.1</w:t>
      </w:r>
      <w:r>
        <w:rPr>
          <w:rFonts w:hint="eastAsia" w:ascii="Times New Roman" w:hAnsi="Times New Roman" w:cs="Times New Roman" w:eastAsiaTheme="majorEastAsia"/>
          <w:bCs/>
          <w:color w:val="000000" w:themeColor="text1"/>
          <w:sz w:val="28"/>
          <w:szCs w:val="28"/>
        </w:rPr>
        <w:t>通信</w:t>
      </w:r>
      <w:bookmarkEnd w:id="145"/>
      <w:bookmarkEnd w:id="146"/>
      <w:bookmarkEnd w:id="147"/>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.1.1 建筑</w:t>
      </w:r>
      <w:r>
        <w:rPr>
          <w:rFonts w:hint="eastAsia" w:ascii="Times New Roman" w:hAnsi="Times New Roman" w:cs="Times New Roman" w:eastAsiaTheme="minorEastAsia"/>
          <w:color w:val="000000" w:themeColor="text1"/>
          <w:sz w:val="21"/>
          <w:szCs w:val="21"/>
        </w:rPr>
        <w:t>光储直柔电气系统通</w:t>
      </w:r>
      <w:r>
        <w:rPr>
          <w:rFonts w:ascii="Times New Roman" w:hAnsi="Times New Roman" w:cs="Times New Roman" w:eastAsiaTheme="minorEastAsia"/>
          <w:color w:val="000000" w:themeColor="text1"/>
          <w:sz w:val="21"/>
          <w:szCs w:val="21"/>
        </w:rPr>
        <w:t>信接入应满足配电自动化、用电信息采集系统、电源地区电网调度自动化</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新能源管理系统等业务需求，随一次系统建设同步规划、同步设计、同步建设、同步验收、同步运行。</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8.1.2 </w:t>
      </w:r>
      <w:r>
        <w:rPr>
          <w:rFonts w:hint="eastAsia" w:ascii="Times New Roman" w:hAnsi="Times New Roman" w:cs="Times New Roman" w:eastAsiaTheme="minorEastAsia"/>
          <w:color w:val="000000" w:themeColor="text1"/>
          <w:sz w:val="21"/>
          <w:szCs w:val="21"/>
        </w:rPr>
        <w:t>建筑光储直柔电气系统通信可分为系统通信与内部通信。</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8.1.3 系统通信设计应符合现行行业标准《电力系统通信管理规程》DL/T 544和《电力系统通信自动交换网技术规范》DL/T 598、国家标准《光伏发电站接人电力系统技术规定》GB/T 19964和《光伏发电系统接入配电网技术规定》GB/T 29319的规定。</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4</w:t>
      </w:r>
      <w:r>
        <w:rPr>
          <w:rFonts w:hint="eastAsia" w:ascii="宋体" w:hAnsi="宋体" w:eastAsia="宋体" w:cs="宋体"/>
          <w:color w:val="000000" w:themeColor="text1"/>
          <w:sz w:val="21"/>
          <w:szCs w:val="21"/>
        </w:rPr>
        <w:t xml:space="preserve"> </w:t>
      </w:r>
      <w:r>
        <w:rPr>
          <w:rFonts w:ascii="Times New Roman" w:hAnsi="Times New Roman" w:cs="Times New Roman" w:eastAsiaTheme="minorEastAsia"/>
          <w:color w:val="000000" w:themeColor="text1"/>
          <w:sz w:val="21"/>
          <w:szCs w:val="21"/>
        </w:rPr>
        <w:t>10kV</w:t>
      </w:r>
      <w:r>
        <w:rPr>
          <w:rFonts w:hint="eastAsia" w:ascii="Times New Roman" w:hAnsi="Times New Roman" w:cs="Times New Roman" w:eastAsiaTheme="minorEastAsia"/>
          <w:color w:val="000000" w:themeColor="text1"/>
          <w:sz w:val="21"/>
          <w:szCs w:val="21"/>
        </w:rPr>
        <w:t>（20kV)</w:t>
      </w:r>
      <w:r>
        <w:rPr>
          <w:rFonts w:ascii="Times New Roman" w:hAnsi="Times New Roman" w:cs="Times New Roman" w:eastAsiaTheme="minorEastAsia"/>
          <w:color w:val="000000" w:themeColor="text1"/>
          <w:sz w:val="21"/>
          <w:szCs w:val="21"/>
        </w:rPr>
        <w:t>通信接入网原则上采用光纤通信方式</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不具备光纤接入条件的采用无线公网方式作为过渡。光纤通信应依据变电站站端通信设备型式，采用无源光网络(PON)技术或工业以太网技术。</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.1.5 无线通信采用双通道方式，支持4G及5G通信网络，并符合国家能源信息安全防护要求。</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.1.6 配电自动化通信系统设计应符合国家能源安全防护要求，电网设备控制指令内容均应进行有效加密，跨区信息交互内容均应进行安全隔离。</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.1.7 采用无线公网通信方式时，应采用专线接入点(APN)/虚拟专用网络(VPN)访问控制、认证加密等安全措施。</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项目内部</w:t>
      </w:r>
      <w:r>
        <w:rPr>
          <w:rFonts w:ascii="Times New Roman" w:hAnsi="Times New Roman" w:cs="Times New Roman" w:eastAsiaTheme="minorEastAsia"/>
          <w:color w:val="000000" w:themeColor="text1"/>
          <w:sz w:val="21"/>
          <w:szCs w:val="21"/>
        </w:rPr>
        <w:t>通信通道可选用</w:t>
      </w:r>
      <w:r>
        <w:rPr>
          <w:rFonts w:hint="eastAsia" w:ascii="Times New Roman" w:hAnsi="Times New Roman" w:cs="Times New Roman" w:eastAsiaTheme="minorEastAsia"/>
          <w:color w:val="000000" w:themeColor="text1"/>
          <w:sz w:val="21"/>
          <w:szCs w:val="21"/>
        </w:rPr>
        <w:t>电力</w:t>
      </w:r>
      <w:r>
        <w:rPr>
          <w:rFonts w:ascii="Times New Roman" w:hAnsi="Times New Roman" w:cs="Times New Roman" w:eastAsiaTheme="minorEastAsia"/>
          <w:color w:val="000000" w:themeColor="text1"/>
          <w:sz w:val="21"/>
          <w:szCs w:val="21"/>
        </w:rPr>
        <w:t>载波、RS485</w:t>
      </w:r>
      <w:r>
        <w:rPr>
          <w:rFonts w:hint="eastAsia" w:ascii="Times New Roman" w:hAnsi="Times New Roman" w:cs="Times New Roman" w:eastAsiaTheme="minorEastAsia"/>
          <w:color w:val="000000" w:themeColor="text1"/>
          <w:sz w:val="21"/>
          <w:szCs w:val="21"/>
        </w:rPr>
        <w:t>和工业以太网</w:t>
      </w:r>
      <w:r>
        <w:rPr>
          <w:rFonts w:ascii="Times New Roman" w:hAnsi="Times New Roman" w:cs="Times New Roman" w:eastAsiaTheme="minorEastAsia"/>
          <w:color w:val="000000" w:themeColor="text1"/>
          <w:sz w:val="21"/>
          <w:szCs w:val="21"/>
        </w:rPr>
        <w:t>等通信</w:t>
      </w:r>
      <w:r>
        <w:rPr>
          <w:rFonts w:hint="eastAsia" w:ascii="Times New Roman" w:hAnsi="Times New Roman" w:cs="Times New Roman" w:eastAsiaTheme="minorEastAsia"/>
          <w:color w:val="000000" w:themeColor="text1"/>
          <w:sz w:val="21"/>
          <w:szCs w:val="21"/>
        </w:rPr>
        <w:t>方式</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 xml:space="preserve"> </w:t>
      </w:r>
    </w:p>
    <w:p>
      <w:pPr>
        <w:numPr>
          <w:ilvl w:val="255"/>
          <w:numId w:val="0"/>
        </w:numPr>
        <w:spacing w:line="360" w:lineRule="auto"/>
        <w:rPr>
          <w:rFonts w:hint="eastAsia"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9</w:t>
      </w:r>
      <w:r>
        <w:rPr>
          <w:rFonts w:ascii="Times New Roman" w:hAnsi="Times New Roman" w:cs="Times New Roman" w:eastAsiaTheme="minorEastAsia"/>
          <w:color w:val="000000" w:themeColor="text1"/>
          <w:sz w:val="21"/>
          <w:szCs w:val="21"/>
        </w:rPr>
        <w:t xml:space="preserve"> 并网的建筑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通信配置要求应结合并网电压等级、业务需求等统筹考虑，技术原则应与电网内同电压等级的厂站技术原则一致</w:t>
      </w:r>
      <w:r>
        <w:rPr>
          <w:rFonts w:hint="eastAsia" w:ascii="Times New Roman" w:hAnsi="Times New Roman" w:cs="Times New Roman" w:eastAsiaTheme="minorEastAsia"/>
          <w:color w:val="000000" w:themeColor="text1"/>
          <w:sz w:val="21"/>
          <w:szCs w:val="21"/>
        </w:rPr>
        <w:t>，并符合现行国家标准《电力需求响应系统通用技术规范》GB/T 32672和《需求响应效果监测与综合效益评价导则》GB/T 32127 的有关规定。</w:t>
      </w:r>
    </w:p>
    <w:p>
      <w:pPr>
        <w:numPr>
          <w:ilvl w:val="255"/>
          <w:numId w:val="0"/>
        </w:numPr>
        <w:spacing w:line="360" w:lineRule="auto"/>
        <w:rPr>
          <w:rFonts w:hint="eastAsia" w:ascii="Times New Roman" w:hAnsi="Times New Roman" w:cs="Times New Roman" w:eastAsiaTheme="minorEastAsia"/>
          <w:color w:val="000000" w:themeColor="text1"/>
          <w:sz w:val="21"/>
          <w:szCs w:val="21"/>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50" w:name="_Toc10683"/>
      <w:bookmarkStart w:id="151" w:name="_Toc5545"/>
      <w:bookmarkStart w:id="152" w:name="_Toc8236"/>
      <w:r>
        <w:rPr>
          <w:rFonts w:ascii="Times New Roman" w:hAnsi="Times New Roman" w:cs="Times New Roman" w:eastAsiaTheme="majorEastAsia"/>
          <w:bCs/>
          <w:color w:val="000000" w:themeColor="text1"/>
          <w:sz w:val="28"/>
          <w:szCs w:val="28"/>
        </w:rPr>
        <w:t>8.</w:t>
      </w:r>
      <w:r>
        <w:rPr>
          <w:rFonts w:hint="eastAsia" w:ascii="Times New Roman" w:hAnsi="Times New Roman" w:cs="Times New Roman" w:eastAsiaTheme="majorEastAsia"/>
          <w:bCs/>
          <w:color w:val="000000" w:themeColor="text1"/>
          <w:sz w:val="28"/>
          <w:szCs w:val="28"/>
        </w:rPr>
        <w:t>2数字化</w:t>
      </w:r>
      <w:bookmarkEnd w:id="148"/>
      <w:bookmarkEnd w:id="149"/>
      <w:bookmarkEnd w:id="150"/>
      <w:bookmarkEnd w:id="151"/>
      <w:bookmarkEnd w:id="152"/>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8.2.1 建筑光储直柔电气系统的数字化应用可采集建筑负荷、建筑光伏、建筑储能、交/直流配电系统等主要系统关键数据，满足绿电交易、碳交易、电力辅助服务、区域虚拟电厂运行等多种业务需求。</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8.</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2</w:t>
      </w:r>
      <w:r>
        <w:rPr>
          <w:rFonts w:ascii="Times New Roman" w:hAnsi="Times New Roman" w:cs="Times New Roman" w:eastAsiaTheme="minorEastAsia"/>
          <w:color w:val="000000" w:themeColor="text1"/>
          <w:sz w:val="21"/>
          <w:szCs w:val="21"/>
        </w:rPr>
        <w:t xml:space="preserve"> 建筑</w:t>
      </w:r>
      <w:r>
        <w:rPr>
          <w:rFonts w:hint="eastAsia" w:ascii="Times New Roman" w:hAnsi="Times New Roman" w:cs="Times New Roman" w:eastAsiaTheme="minorEastAsia"/>
          <w:color w:val="000000" w:themeColor="text1"/>
          <w:sz w:val="21"/>
          <w:szCs w:val="21"/>
        </w:rPr>
        <w:t>光储直柔电气系统</w:t>
      </w:r>
      <w:r>
        <w:rPr>
          <w:rFonts w:ascii="Times New Roman" w:hAnsi="Times New Roman" w:cs="Times New Roman" w:eastAsiaTheme="minorEastAsia"/>
          <w:color w:val="000000" w:themeColor="text1"/>
          <w:sz w:val="21"/>
          <w:szCs w:val="21"/>
        </w:rPr>
        <w:t>中电力用户的用能数据及</w:t>
      </w:r>
      <w:r>
        <w:rPr>
          <w:rFonts w:hint="eastAsia" w:ascii="Times New Roman" w:hAnsi="Times New Roman" w:cs="Times New Roman" w:eastAsiaTheme="minorEastAsia"/>
          <w:color w:val="000000" w:themeColor="text1"/>
          <w:sz w:val="21"/>
          <w:szCs w:val="21"/>
        </w:rPr>
        <w:t>建筑光伏</w:t>
      </w:r>
      <w:r>
        <w:rPr>
          <w:rFonts w:ascii="Times New Roman" w:hAnsi="Times New Roman" w:cs="Times New Roman" w:eastAsiaTheme="minorEastAsia"/>
          <w:color w:val="000000" w:themeColor="text1"/>
          <w:sz w:val="21"/>
          <w:szCs w:val="21"/>
        </w:rPr>
        <w:t>、</w:t>
      </w:r>
      <w:r>
        <w:rPr>
          <w:rFonts w:hint="eastAsia" w:ascii="Times New Roman" w:hAnsi="Times New Roman" w:cs="Times New Roman" w:eastAsiaTheme="minorEastAsia"/>
          <w:color w:val="000000" w:themeColor="text1"/>
          <w:sz w:val="21"/>
          <w:szCs w:val="21"/>
        </w:rPr>
        <w:t>建筑</w:t>
      </w:r>
      <w:r>
        <w:rPr>
          <w:rFonts w:ascii="Times New Roman" w:hAnsi="Times New Roman" w:cs="Times New Roman" w:eastAsiaTheme="minorEastAsia"/>
          <w:color w:val="000000" w:themeColor="text1"/>
          <w:sz w:val="21"/>
          <w:szCs w:val="21"/>
        </w:rPr>
        <w:t>储能设施的运行数据应</w:t>
      </w:r>
      <w:r>
        <w:rPr>
          <w:rFonts w:hint="eastAsia" w:ascii="Times New Roman" w:hAnsi="Times New Roman" w:cs="Times New Roman" w:eastAsiaTheme="minorEastAsia"/>
          <w:color w:val="000000" w:themeColor="text1"/>
          <w:sz w:val="21"/>
          <w:szCs w:val="21"/>
        </w:rPr>
        <w:t>能</w:t>
      </w:r>
      <w:r>
        <w:rPr>
          <w:rFonts w:ascii="Times New Roman" w:hAnsi="Times New Roman" w:cs="Times New Roman" w:eastAsiaTheme="minorEastAsia"/>
          <w:color w:val="000000" w:themeColor="text1"/>
          <w:sz w:val="21"/>
          <w:szCs w:val="21"/>
        </w:rPr>
        <w:t>接入能源运营平台，并开展数据储存、应用以及服务工作。</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8.2.3</w:t>
      </w:r>
      <w:r>
        <w:rPr>
          <w:rFonts w:hint="eastAsia" w:ascii="Times New Roman" w:hAnsi="Times New Roman" w:cs="Times New Roman" w:eastAsiaTheme="minorEastAsia"/>
          <w:color w:val="000000" w:themeColor="text1"/>
          <w:sz w:val="21"/>
          <w:szCs w:val="21"/>
        </w:rPr>
        <w:t>建筑光储直柔电气系统可向能源运营平台传输的数据类型包含电类数据、非电类数据以及碳类数据，并符合以下规定：</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w:t>
      </w:r>
      <w:r>
        <w:rPr>
          <w:rFonts w:hint="eastAsia" w:ascii="Times New Roman" w:hAnsi="Times New Roman" w:cs="Times New Roman" w:eastAsiaTheme="minorEastAsia"/>
          <w:color w:val="000000" w:themeColor="text1"/>
          <w:sz w:val="21"/>
          <w:szCs w:val="21"/>
        </w:rPr>
        <w:t xml:space="preserve"> 建筑光伏、建筑储能、需求侧响应负荷的运行数据等应接入能源运营平台，并与地区电网调度自动化新能源管理系统、调度控制系统、负荷聚合商平台进行信息交换；</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w:t>
      </w:r>
      <w:r>
        <w:rPr>
          <w:rFonts w:hint="eastAsia" w:ascii="Times New Roman" w:hAnsi="Times New Roman" w:cs="Times New Roman" w:eastAsiaTheme="minorEastAsia"/>
          <w:color w:val="000000" w:themeColor="text1"/>
          <w:sz w:val="21"/>
          <w:szCs w:val="21"/>
        </w:rPr>
        <w:t>电力用户的用能信息应通过用电信息采集系统、智能运维系统接入能源运营平台；</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w:t>
      </w:r>
      <w:r>
        <w:rPr>
          <w:rFonts w:hint="eastAsia" w:ascii="Times New Roman" w:hAnsi="Times New Roman" w:cs="Times New Roman" w:eastAsiaTheme="minorEastAsia"/>
          <w:color w:val="000000" w:themeColor="text1"/>
          <w:sz w:val="21"/>
          <w:szCs w:val="21"/>
        </w:rPr>
        <w:t>上传能源运营平台的数据采集、传输、存储及应用应符合 《信息安全技术</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大数据安全管理指南》</w:t>
      </w:r>
      <w:r>
        <w:rPr>
          <w:rFonts w:ascii="Times New Roman" w:hAnsi="Times New Roman" w:cs="Times New Roman" w:eastAsiaTheme="minorEastAsia"/>
          <w:color w:val="000000" w:themeColor="text1"/>
          <w:sz w:val="21"/>
          <w:szCs w:val="21"/>
        </w:rPr>
        <w:t xml:space="preserve">GB/T </w:t>
      </w:r>
      <w:r>
        <w:rPr>
          <w:rFonts w:hint="eastAsia" w:ascii="Times New Roman" w:hAnsi="Times New Roman" w:cs="Times New Roman" w:eastAsiaTheme="minorEastAsia"/>
          <w:color w:val="000000" w:themeColor="text1"/>
          <w:sz w:val="21"/>
          <w:szCs w:val="21"/>
        </w:rPr>
        <w:t>37973、《用电信息安全防护技术规范》</w:t>
      </w:r>
      <w:r>
        <w:rPr>
          <w:rFonts w:ascii="Times New Roman" w:hAnsi="Times New Roman" w:cs="Times New Roman" w:eastAsiaTheme="minorEastAsia"/>
          <w:color w:val="000000" w:themeColor="text1"/>
          <w:sz w:val="21"/>
          <w:szCs w:val="21"/>
        </w:rPr>
        <w:t xml:space="preserve">DL/T 1527 </w:t>
      </w:r>
      <w:r>
        <w:rPr>
          <w:rFonts w:hint="eastAsia" w:ascii="Times New Roman" w:hAnsi="Times New Roman" w:cs="Times New Roman" w:eastAsiaTheme="minorEastAsia"/>
          <w:color w:val="000000" w:themeColor="text1"/>
          <w:sz w:val="21"/>
          <w:szCs w:val="21"/>
        </w:rPr>
        <w:t>的规定。</w:t>
      </w:r>
    </w:p>
    <w:p>
      <w:pPr>
        <w:spacing w:line="360" w:lineRule="auto"/>
        <w:ind w:firstLine="480" w:firstLineChars="200"/>
        <w:rPr>
          <w:rFonts w:ascii="Times New Roman" w:hAnsi="Times New Roman" w:cs="Times New Roman"/>
          <w:color w:val="000000" w:themeColor="text1"/>
          <w:sz w:val="24"/>
        </w:rPr>
      </w:pPr>
    </w:p>
    <w:p>
      <w:pPr>
        <w:spacing w:line="360" w:lineRule="auto"/>
        <w:ind w:firstLine="420" w:firstLineChars="200"/>
        <w:rPr>
          <w:rFonts w:ascii="Times New Roman" w:hAnsi="Times New Roman" w:eastAsia="宋体" w:cs="Times New Roman"/>
          <w:color w:val="000000" w:themeColor="text1"/>
          <w:sz w:val="21"/>
          <w:szCs w:val="21"/>
        </w:rPr>
      </w:pPr>
    </w:p>
    <w:p>
      <w:pPr>
        <w:rPr>
          <w:rFonts w:ascii="Times New Roman" w:hAnsi="Times New Roman" w:eastAsia="宋体" w:cs="Times New Roman"/>
          <w:color w:val="000000" w:themeColor="text1"/>
          <w:sz w:val="21"/>
          <w:szCs w:val="21"/>
        </w:rPr>
      </w:pPr>
    </w:p>
    <w:bookmarkEnd w:id="119"/>
    <w:p>
      <w:pPr>
        <w:spacing w:after="156" w:line="578" w:lineRule="auto"/>
        <w:rPr>
          <w:rFonts w:ascii="Times New Roman" w:hAnsi="Times New Roman" w:cs="Times New Roman"/>
          <w:bCs/>
          <w:color w:val="000000" w:themeColor="text1"/>
          <w:sz w:val="30"/>
          <w:szCs w:val="30"/>
        </w:rPr>
      </w:pPr>
      <w:bookmarkStart w:id="153" w:name="_Toc9035"/>
      <w:bookmarkStart w:id="154" w:name="_Toc23938"/>
      <w:bookmarkStart w:id="155" w:name="_Toc184275311"/>
      <w:r>
        <w:rPr>
          <w:rFonts w:ascii="Times New Roman" w:hAnsi="Times New Roman" w:cs="Times New Roman"/>
          <w:bCs/>
          <w:color w:val="000000" w:themeColor="text1"/>
          <w:sz w:val="30"/>
          <w:szCs w:val="30"/>
        </w:rPr>
        <w:br w:type="page"/>
      </w:r>
    </w:p>
    <w:bookmarkEnd w:id="153"/>
    <w:bookmarkEnd w:id="154"/>
    <w:bookmarkEnd w:id="155"/>
    <w:p>
      <w:pPr>
        <w:pStyle w:val="2"/>
        <w:spacing w:after="156" w:line="578" w:lineRule="auto"/>
        <w:ind w:firstLine="3313" w:firstLineChars="1100"/>
        <w:jc w:val="both"/>
        <w:rPr>
          <w:rFonts w:cs="Times New Roman"/>
          <w:bCs/>
          <w:color w:val="000000" w:themeColor="text1"/>
          <w:sz w:val="30"/>
          <w:szCs w:val="30"/>
        </w:rPr>
      </w:pPr>
      <w:bookmarkStart w:id="156" w:name="_Toc24668"/>
      <w:bookmarkStart w:id="157" w:name="_Toc11963"/>
      <w:bookmarkStart w:id="158" w:name="_Toc11063"/>
      <w:r>
        <w:rPr>
          <w:rFonts w:hint="eastAsia" w:cs="Times New Roman"/>
          <w:bCs/>
          <w:color w:val="000000" w:themeColor="text1"/>
          <w:sz w:val="30"/>
          <w:szCs w:val="30"/>
        </w:rPr>
        <w:t>9</w:t>
      </w:r>
      <w:r>
        <w:rPr>
          <w:rFonts w:cs="Times New Roman"/>
          <w:bCs/>
          <w:color w:val="000000" w:themeColor="text1"/>
          <w:sz w:val="30"/>
          <w:szCs w:val="30"/>
        </w:rPr>
        <w:t xml:space="preserve"> 其他专业</w:t>
      </w:r>
      <w:bookmarkEnd w:id="156"/>
      <w:bookmarkEnd w:id="157"/>
    </w:p>
    <w:p>
      <w:pPr>
        <w:pStyle w:val="3"/>
        <w:numPr>
          <w:ilvl w:val="255"/>
          <w:numId w:val="0"/>
        </w:numPr>
        <w:spacing w:before="0" w:after="0" w:line="360" w:lineRule="auto"/>
        <w:rPr>
          <w:rFonts w:ascii="FZSSJW--GB1-0" w:hAnsi="FZSSJW--GB1-0" w:eastAsia="FZSSJW--GB1-0" w:cs="FZSSJW--GB1-0"/>
          <w:b w:val="0"/>
          <w:color w:val="000000" w:themeColor="text1"/>
          <w:sz w:val="20"/>
          <w:szCs w:val="20"/>
        </w:rPr>
      </w:pPr>
      <w:bookmarkStart w:id="159" w:name="_Toc26754"/>
      <w:bookmarkStart w:id="160" w:name="_Toc27770"/>
      <w:r>
        <w:rPr>
          <w:rFonts w:hint="eastAsia" w:ascii="Times New Roman" w:hAnsi="Times New Roman" w:cs="Times New Roman" w:eastAsiaTheme="majorEastAsia"/>
          <w:bCs/>
          <w:color w:val="000000" w:themeColor="text1"/>
          <w:sz w:val="28"/>
          <w:szCs w:val="28"/>
        </w:rPr>
        <w:t>9</w:t>
      </w:r>
      <w:r>
        <w:rPr>
          <w:rFonts w:ascii="Times New Roman" w:hAnsi="Times New Roman" w:cs="Times New Roman" w:eastAsiaTheme="majorEastAsia"/>
          <w:bCs/>
          <w:color w:val="000000" w:themeColor="text1"/>
          <w:sz w:val="28"/>
          <w:szCs w:val="28"/>
        </w:rPr>
        <w:t>.1一般规定</w:t>
      </w:r>
      <w:bookmarkEnd w:id="159"/>
      <w:bookmarkEnd w:id="160"/>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9.1.1建筑光伏系统的规划、设计应根据当地的特点采取相应的抗风、抗震、防火、防雷、防静电、防腐蚀、防过热等技术保护措施。在安装光伏组件的部位应采取必要的结构安全、电气安全以及防坠落等防护措施。</w:t>
      </w:r>
    </w:p>
    <w:p>
      <w:pPr>
        <w:spacing w:line="360" w:lineRule="auto"/>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9.1.2</w:t>
      </w:r>
      <w:r>
        <w:rPr>
          <w:rFonts w:hint="eastAsia" w:ascii="Times New Roman" w:hAnsi="Times New Roman" w:cs="Times New Roman" w:eastAsiaTheme="minorEastAsia"/>
          <w:color w:val="000000" w:themeColor="text1"/>
          <w:sz w:val="21"/>
          <w:szCs w:val="21"/>
        </w:rPr>
        <w:t>在既有建筑上增设或改造光伏系统，应对建筑物按照《既有建筑维护与改造通用规范》</w:t>
      </w:r>
      <w:r>
        <w:rPr>
          <w:rFonts w:ascii="Times New Roman" w:hAnsi="Times New Roman" w:cs="Times New Roman" w:eastAsiaTheme="minorEastAsia"/>
          <w:color w:val="000000" w:themeColor="text1"/>
          <w:sz w:val="21"/>
          <w:szCs w:val="21"/>
        </w:rPr>
        <w:t xml:space="preserve">GB 55022 </w:t>
      </w:r>
      <w:r>
        <w:rPr>
          <w:rFonts w:hint="eastAsia" w:ascii="Times New Roman" w:hAnsi="Times New Roman" w:cs="Times New Roman" w:eastAsiaTheme="minorEastAsia"/>
          <w:color w:val="000000" w:themeColor="text1"/>
          <w:sz w:val="21"/>
          <w:szCs w:val="21"/>
        </w:rPr>
        <w:t>进行复核，不改变原有的建筑功能和使用性质，不应影响建筑的消防、隔热、采光、通风、防水、排水等，同时进行建筑电气安全的复核。</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9.1.3在既有建筑物增设储能系统，应满足建筑物结构和电气安全性要求，不应影响消防疏散通道和消防设施的使用。 </w:t>
      </w:r>
    </w:p>
    <w:p>
      <w:pPr>
        <w:spacing w:line="360" w:lineRule="auto"/>
        <w:rPr>
          <w:rFonts w:ascii="FZSSJW--GB1-0" w:hAnsi="FZSSJW--GB1-0" w:eastAsia="FZSSJW--GB1-0" w:cs="FZSSJW--GB1-0"/>
          <w:color w:val="000000" w:themeColor="text1"/>
          <w:sz w:val="20"/>
          <w:szCs w:val="20"/>
        </w:rPr>
      </w:pPr>
    </w:p>
    <w:p>
      <w:pPr>
        <w:pStyle w:val="3"/>
        <w:numPr>
          <w:ilvl w:val="255"/>
          <w:numId w:val="0"/>
        </w:numPr>
        <w:spacing w:before="0" w:after="0" w:line="360" w:lineRule="auto"/>
        <w:rPr>
          <w:rFonts w:ascii="Times New Roman" w:hAnsi="Times New Roman" w:cs="Times New Roman" w:eastAsiaTheme="majorEastAsia"/>
          <w:bCs/>
          <w:color w:val="000000" w:themeColor="text1"/>
          <w:sz w:val="28"/>
          <w:szCs w:val="28"/>
        </w:rPr>
      </w:pPr>
      <w:bookmarkStart w:id="161" w:name="_Toc17322"/>
      <w:bookmarkStart w:id="162" w:name="_Toc26981"/>
      <w:r>
        <w:rPr>
          <w:rFonts w:hint="eastAsia" w:ascii="Times New Roman" w:hAnsi="Times New Roman" w:cs="Times New Roman" w:eastAsiaTheme="majorEastAsia"/>
          <w:bCs/>
          <w:color w:val="000000" w:themeColor="text1"/>
          <w:sz w:val="28"/>
          <w:szCs w:val="28"/>
        </w:rPr>
        <w:t>9</w:t>
      </w:r>
      <w:r>
        <w:rPr>
          <w:rFonts w:ascii="Times New Roman" w:hAnsi="Times New Roman" w:cs="Times New Roman" w:eastAsiaTheme="majorEastAsia"/>
          <w:bCs/>
          <w:color w:val="000000" w:themeColor="text1"/>
          <w:sz w:val="28"/>
          <w:szCs w:val="28"/>
        </w:rPr>
        <w:t>.</w:t>
      </w:r>
      <w:r>
        <w:rPr>
          <w:rFonts w:hint="eastAsia" w:ascii="Times New Roman" w:hAnsi="Times New Roman" w:cs="Times New Roman" w:eastAsiaTheme="majorEastAsia"/>
          <w:bCs/>
          <w:color w:val="000000" w:themeColor="text1"/>
          <w:sz w:val="28"/>
          <w:szCs w:val="28"/>
        </w:rPr>
        <w:t>2消防与</w:t>
      </w:r>
      <w:r>
        <w:rPr>
          <w:rFonts w:ascii="Times New Roman" w:hAnsi="Times New Roman" w:cs="Times New Roman" w:eastAsiaTheme="majorEastAsia"/>
          <w:bCs/>
          <w:color w:val="000000" w:themeColor="text1"/>
          <w:sz w:val="28"/>
          <w:szCs w:val="28"/>
        </w:rPr>
        <w:t>安全</w:t>
      </w:r>
      <w:bookmarkEnd w:id="161"/>
      <w:bookmarkEnd w:id="162"/>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9.2.1</w:t>
      </w:r>
      <w:r>
        <w:rPr>
          <w:rFonts w:ascii="Times New Roman" w:hAnsi="Times New Roman" w:cs="Times New Roman" w:eastAsiaTheme="minorEastAsia"/>
          <w:color w:val="000000" w:themeColor="text1"/>
          <w:sz w:val="21"/>
          <w:szCs w:val="21"/>
        </w:rPr>
        <w:t xml:space="preserve"> 建筑光伏系统防火设计应符合下列规定：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1 建筑光伏系统防火和灭火系统设计应符合现行国家标准 《建筑设计防火规范》GB 50016、《建筑</w:t>
      </w:r>
      <w:r>
        <w:rPr>
          <w:rFonts w:hint="eastAsia" w:ascii="Times New Roman" w:hAnsi="Times New Roman" w:cs="Times New Roman" w:eastAsiaTheme="minorEastAsia"/>
          <w:color w:val="000000" w:themeColor="text1"/>
          <w:sz w:val="21"/>
          <w:szCs w:val="21"/>
        </w:rPr>
        <w:t>防火通用</w:t>
      </w:r>
      <w:r>
        <w:rPr>
          <w:rFonts w:ascii="Times New Roman" w:hAnsi="Times New Roman" w:cs="Times New Roman" w:eastAsiaTheme="minorEastAsia"/>
          <w:color w:val="000000" w:themeColor="text1"/>
          <w:sz w:val="21"/>
          <w:szCs w:val="21"/>
        </w:rPr>
        <w:t>规范》GB 5</w:t>
      </w:r>
      <w:r>
        <w:rPr>
          <w:rFonts w:hint="eastAsia" w:ascii="Times New Roman" w:hAnsi="Times New Roman" w:cs="Times New Roman" w:eastAsiaTheme="minorEastAsia"/>
          <w:color w:val="000000" w:themeColor="text1"/>
          <w:sz w:val="21"/>
          <w:szCs w:val="21"/>
        </w:rPr>
        <w:t>5037</w:t>
      </w:r>
      <w:r>
        <w:rPr>
          <w:rFonts w:ascii="Times New Roman" w:hAnsi="Times New Roman" w:cs="Times New Roman" w:eastAsiaTheme="minorEastAsia"/>
          <w:color w:val="000000" w:themeColor="text1"/>
          <w:sz w:val="21"/>
          <w:szCs w:val="21"/>
        </w:rPr>
        <w:t>、《建筑内部装修设计防火规范》GB 50222</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《气体灭火系统设计规范》GB 50370</w:t>
      </w:r>
      <w:r>
        <w:rPr>
          <w:rFonts w:hint="eastAsia" w:ascii="Times New Roman" w:hAnsi="Times New Roman" w:cs="Times New Roman" w:eastAsiaTheme="minorEastAsia"/>
          <w:color w:val="000000" w:themeColor="text1"/>
          <w:sz w:val="21"/>
          <w:szCs w:val="21"/>
        </w:rPr>
        <w:t>、《火灾自动报警系统设计规范》</w:t>
      </w:r>
      <w:r>
        <w:rPr>
          <w:rFonts w:ascii="Times New Roman" w:hAnsi="Times New Roman" w:cs="Times New Roman" w:eastAsiaTheme="minorEastAsia"/>
          <w:color w:val="000000" w:themeColor="text1"/>
          <w:sz w:val="21"/>
          <w:szCs w:val="21"/>
        </w:rPr>
        <w:t xml:space="preserve">GB </w:t>
      </w:r>
      <w:r>
        <w:rPr>
          <w:rFonts w:hint="eastAsia" w:ascii="Times New Roman" w:hAnsi="Times New Roman" w:cs="Times New Roman" w:eastAsiaTheme="minorEastAsia"/>
          <w:color w:val="000000" w:themeColor="text1"/>
          <w:sz w:val="21"/>
          <w:szCs w:val="21"/>
        </w:rPr>
        <w:t>50116的有关规定；</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2 建筑光伏系统安装应避开爆炸危险场所，不得影响建筑之间的防火间距及消防疏散；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3 既有建筑物屋面上增设建筑附加光伏发电系统，不得影响出屋面疏散楼梯间到达另一个疏散楼梯间的消防疏散通道；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4 光伏构件的燃烧性能和耐火极限应根据建筑的耐火等级确定；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5 同一光伏幕墙组件不应跨越建筑物的两个防火分区；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6 电缆不应敷设在变形缝内。当其穿过变形缝时，应在穿过处加设不燃烧材料套管，并应采用不燃烧材料将套管空隙填塞密实。电缆不宜穿过防火墙。当穿过时，应采用防火封堵材料将墙与管道之间的空隙紧密填实； </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7在有防火要求的区段内，电缆桥架及其支架表面应涂刷防火涂层，其整体耐火性能应符合建筑物耐火等级的要求；耐火等级较高的场所，不宜采用铝合金电缆桥架；</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8</w:t>
      </w:r>
      <w:r>
        <w:rPr>
          <w:rFonts w:ascii="Times New Roman" w:hAnsi="Times New Roman" w:cs="Times New Roman" w:eastAsiaTheme="minorEastAsia"/>
          <w:color w:val="000000" w:themeColor="text1"/>
          <w:sz w:val="21"/>
          <w:szCs w:val="21"/>
        </w:rPr>
        <w:t xml:space="preserve"> 建筑内部的配电箱不应直接安装在低于B1 级的装修材料上</w:t>
      </w:r>
      <w:r>
        <w:rPr>
          <w:rFonts w:hint="eastAsia"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9.2.2 </w:t>
      </w:r>
      <w:r>
        <w:rPr>
          <w:rFonts w:ascii="Times New Roman" w:hAnsi="Times New Roman" w:cs="Times New Roman" w:eastAsiaTheme="minorEastAsia"/>
          <w:color w:val="000000" w:themeColor="text1"/>
          <w:sz w:val="21"/>
          <w:szCs w:val="21"/>
        </w:rPr>
        <w:t xml:space="preserve">建筑光伏系统安装区域应设置消防疏散通道。 </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9.2.3 </w:t>
      </w:r>
      <w:r>
        <w:rPr>
          <w:rFonts w:ascii="Times New Roman" w:hAnsi="Times New Roman" w:cs="Times New Roman" w:eastAsiaTheme="minorEastAsia"/>
          <w:color w:val="000000" w:themeColor="text1"/>
          <w:sz w:val="21"/>
          <w:szCs w:val="21"/>
        </w:rPr>
        <w:t xml:space="preserve">建筑光伏系统消防设施的设计应根据建筑用途及其重要性、火灾特性和火灾危险性等综合因素按现行国家标准《建筑设计防火规范》GB 50016 的有关规定执行。 </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9.2.4</w:t>
      </w:r>
      <w:r>
        <w:rPr>
          <w:rFonts w:ascii="Times New Roman" w:hAnsi="Times New Roman" w:cs="Times New Roman" w:eastAsiaTheme="minorEastAsia"/>
          <w:color w:val="000000" w:themeColor="text1"/>
          <w:sz w:val="21"/>
          <w:szCs w:val="21"/>
        </w:rPr>
        <w:t xml:space="preserve"> 建筑光伏系统应设置电气火灾监控系统和具备关断功能的装置，并应符合现行国家标准《电气火灾监控系统》GB 14287 的规定。 </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9.2.5</w:t>
      </w:r>
      <w:r>
        <w:rPr>
          <w:rFonts w:ascii="Times New Roman" w:hAnsi="Times New Roman" w:cs="Times New Roman" w:eastAsiaTheme="minorEastAsia"/>
          <w:color w:val="000000" w:themeColor="text1"/>
          <w:sz w:val="21"/>
          <w:szCs w:val="21"/>
        </w:rPr>
        <w:t xml:space="preserve">建筑防火设计应符合下列规定：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 xml:space="preserve">1 控制室、配电室、逆变器室、蓄电池室等设备用房应采取耐火极限不低于 2.0h 的防火隔墙和耐火极限不低于 1.5h 的楼板与其他部位隔开，变配电室开向建筑内的门应采用甲级防火门，其内部所有装修均应采用 A 级装修材料； </w:t>
      </w:r>
    </w:p>
    <w:p>
      <w:pPr>
        <w:spacing w:line="360" w:lineRule="auto"/>
        <w:ind w:firstLine="420" w:firstLineChars="200"/>
        <w:rPr>
          <w:rFonts w:ascii="Times New Roman" w:hAnsi="Times New Roman" w:cs="Times New Roman" w:eastAsiaTheme="minorEastAsia"/>
          <w:color w:val="000000" w:themeColor="text1"/>
          <w:sz w:val="21"/>
          <w:szCs w:val="21"/>
        </w:rPr>
      </w:pPr>
      <w:r>
        <w:rPr>
          <w:rFonts w:ascii="Times New Roman" w:hAnsi="Times New Roman" w:cs="Times New Roman" w:eastAsiaTheme="minorEastAsia"/>
          <w:color w:val="000000" w:themeColor="text1"/>
          <w:sz w:val="21"/>
          <w:szCs w:val="21"/>
        </w:rPr>
        <w:t>2 应用光伏幕墙的建筑外墙上、下层开口之间的防火设置应符合现行国家标准《建筑设计防火规范》GB 50016 的规定；</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光伏幕墙的防火构造应符合现行</w:t>
      </w:r>
      <w:r>
        <w:rPr>
          <w:rFonts w:hint="eastAsia" w:ascii="Times New Roman" w:hAnsi="Times New Roman" w:cs="Times New Roman" w:eastAsiaTheme="minorEastAsia"/>
          <w:color w:val="000000" w:themeColor="text1"/>
          <w:sz w:val="21"/>
          <w:szCs w:val="21"/>
        </w:rPr>
        <w:t>国家</w:t>
      </w:r>
      <w:r>
        <w:rPr>
          <w:rFonts w:ascii="Times New Roman" w:hAnsi="Times New Roman" w:cs="Times New Roman" w:eastAsiaTheme="minorEastAsia"/>
          <w:color w:val="000000" w:themeColor="text1"/>
          <w:sz w:val="21"/>
          <w:szCs w:val="21"/>
        </w:rPr>
        <w:t>行业标准《玻璃幕墙工程技术规范》JGJ 102 的规定</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并应满足建筑采光、通风、节能等围护结构的热工要求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建筑内的电缆井应独立设置，其井壁应为耐火极限不低于1.0h 的不燃烧体，井壁上的检查门应采用丙级防火门。电缆井在每层楼板处应采用不低于楼板耐火极限的不燃烧体或防火封堵材料封堵</w:t>
      </w:r>
      <w:r>
        <w:rPr>
          <w:rFonts w:hint="eastAsia"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9.2.6</w:t>
      </w:r>
      <w:r>
        <w:rPr>
          <w:rFonts w:ascii="Times New Roman" w:hAnsi="Times New Roman" w:cs="Times New Roman" w:eastAsiaTheme="minorEastAsia"/>
          <w:color w:val="000000" w:themeColor="text1"/>
          <w:sz w:val="21"/>
          <w:szCs w:val="21"/>
        </w:rPr>
        <w:t>建筑光伏系统的室外运行设备附近和建筑电气设备用房内均应设置灭火器，灭火器的设置应符合现行国家标准《建筑灭火器配置设计规范》GB 50140 的规定。</w:t>
      </w:r>
    </w:p>
    <w:p>
      <w:pPr>
        <w:pStyle w:val="3"/>
        <w:numPr>
          <w:ilvl w:val="255"/>
          <w:numId w:val="0"/>
        </w:numPr>
        <w:spacing w:before="0" w:after="0" w:line="360" w:lineRule="auto"/>
        <w:jc w:val="both"/>
        <w:rPr>
          <w:rFonts w:ascii="Times New Roman" w:hAnsi="Times New Roman" w:cs="Times New Roman" w:eastAsiaTheme="majorEastAsia"/>
          <w:bCs/>
          <w:color w:val="000000" w:themeColor="text1"/>
          <w:sz w:val="28"/>
          <w:szCs w:val="28"/>
        </w:rPr>
      </w:pPr>
      <w:r>
        <w:rPr>
          <w:rFonts w:hint="eastAsia" w:ascii="Times New Roman" w:hAnsi="Times New Roman" w:cs="Times New Roman" w:eastAsiaTheme="minorEastAsia"/>
          <w:color w:val="000000" w:themeColor="text1"/>
          <w:sz w:val="21"/>
          <w:szCs w:val="21"/>
        </w:rPr>
        <w:t>9.2.7建筑储能布置应符合现行国家标准</w:t>
      </w:r>
      <w:r>
        <w:rPr>
          <w:rFonts w:ascii="Times New Roman" w:hAnsi="Times New Roman" w:cs="Times New Roman" w:eastAsiaTheme="minorEastAsia"/>
          <w:color w:val="000000" w:themeColor="text1"/>
          <w:sz w:val="21"/>
          <w:szCs w:val="21"/>
        </w:rPr>
        <w:t>《建筑设计防火规范》GB 50016</w:t>
      </w:r>
      <w:r>
        <w:rPr>
          <w:rFonts w:hint="eastAsia" w:ascii="Times New Roman" w:hAnsi="Times New Roman" w:cs="Times New Roman" w:eastAsiaTheme="minorEastAsia"/>
          <w:color w:val="000000" w:themeColor="text1"/>
          <w:sz w:val="21"/>
          <w:szCs w:val="21"/>
        </w:rPr>
        <w:t>、《电化学储能电站设计规范》GB</w:t>
      </w:r>
      <w:r>
        <w:rPr>
          <w:rFonts w:ascii="Times New Roman" w:hAnsi="Times New Roman" w:cs="Times New Roman" w:eastAsiaTheme="minorEastAsia"/>
          <w:color w:val="000000" w:themeColor="text1"/>
          <w:sz w:val="21"/>
          <w:szCs w:val="21"/>
        </w:rPr>
        <w:t xml:space="preserve"> 51048</w:t>
      </w:r>
      <w:r>
        <w:rPr>
          <w:rFonts w:hint="eastAsia" w:ascii="Times New Roman" w:hAnsi="Times New Roman" w:cs="Times New Roman" w:eastAsiaTheme="minorEastAsia"/>
          <w:color w:val="000000" w:themeColor="text1"/>
          <w:sz w:val="21"/>
          <w:szCs w:val="21"/>
        </w:rPr>
        <w:t>和《汽车库、修车库、停车场设计防火规范》GB50067的规定。</w:t>
      </w:r>
    </w:p>
    <w:p/>
    <w:p>
      <w:pPr>
        <w:pStyle w:val="3"/>
        <w:numPr>
          <w:ilvl w:val="255"/>
          <w:numId w:val="0"/>
        </w:numPr>
        <w:spacing w:before="0" w:after="0" w:line="360" w:lineRule="auto"/>
        <w:ind w:firstLine="3092" w:firstLineChars="1100"/>
        <w:jc w:val="both"/>
        <w:rPr>
          <w:rFonts w:ascii="Times New Roman" w:hAnsi="Times New Roman" w:cs="Times New Roman" w:eastAsiaTheme="majorEastAsia"/>
          <w:bCs/>
          <w:color w:val="000000" w:themeColor="text1"/>
          <w:sz w:val="28"/>
          <w:szCs w:val="28"/>
        </w:rPr>
      </w:pPr>
      <w:bookmarkStart w:id="163" w:name="_Toc616"/>
      <w:bookmarkStart w:id="164" w:name="_Toc26306"/>
      <w:r>
        <w:rPr>
          <w:rFonts w:hint="eastAsia" w:ascii="Times New Roman" w:hAnsi="Times New Roman" w:cs="Times New Roman" w:eastAsiaTheme="majorEastAsia"/>
          <w:bCs/>
          <w:color w:val="000000" w:themeColor="text1"/>
          <w:sz w:val="28"/>
          <w:szCs w:val="28"/>
        </w:rPr>
        <w:t>9.3防雷与接地</w:t>
      </w:r>
      <w:bookmarkEnd w:id="163"/>
      <w:bookmarkEnd w:id="164"/>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9.3.1</w:t>
      </w:r>
      <w:r>
        <w:rPr>
          <w:rFonts w:ascii="Times New Roman" w:hAnsi="Times New Roman" w:cs="Times New Roman" w:eastAsiaTheme="minorEastAsia"/>
          <w:color w:val="000000" w:themeColor="text1"/>
          <w:sz w:val="21"/>
          <w:szCs w:val="21"/>
        </w:rPr>
        <w:t xml:space="preserve"> 防雷和接地系统设计应符合下列要求</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1 </w:t>
      </w:r>
      <w:r>
        <w:rPr>
          <w:rFonts w:ascii="Times New Roman" w:hAnsi="Times New Roman" w:cs="Times New Roman" w:eastAsiaTheme="minorEastAsia"/>
          <w:color w:val="000000" w:themeColor="text1"/>
          <w:sz w:val="21"/>
          <w:szCs w:val="21"/>
        </w:rPr>
        <w:t xml:space="preserve">建筑光伏系统防雷接地应符合现行国家标准《建筑电气与智能化通用规范》GB </w:t>
      </w:r>
      <w:r>
        <w:rPr>
          <w:rFonts w:hint="eastAsia" w:ascii="Times New Roman" w:hAnsi="Times New Roman" w:cs="Times New Roman" w:eastAsiaTheme="minorEastAsia"/>
          <w:color w:val="000000" w:themeColor="text1"/>
          <w:sz w:val="21"/>
          <w:szCs w:val="21"/>
        </w:rPr>
        <w:t>55024、</w:t>
      </w:r>
      <w:r>
        <w:rPr>
          <w:rFonts w:ascii="Times New Roman" w:hAnsi="Times New Roman" w:cs="Times New Roman" w:eastAsiaTheme="minorEastAsia"/>
          <w:color w:val="000000" w:themeColor="text1"/>
          <w:sz w:val="21"/>
          <w:szCs w:val="21"/>
        </w:rPr>
        <w:t xml:space="preserve">《建筑物防雷设计规范》GB 50057 </w:t>
      </w:r>
      <w:r>
        <w:rPr>
          <w:rFonts w:hint="eastAsia" w:ascii="Times New Roman" w:hAnsi="Times New Roman" w:cs="Times New Roman" w:eastAsiaTheme="minorEastAsia"/>
          <w:color w:val="000000" w:themeColor="text1"/>
          <w:sz w:val="21"/>
          <w:szCs w:val="21"/>
        </w:rPr>
        <w:t>、</w:t>
      </w:r>
      <w:r>
        <w:rPr>
          <w:rFonts w:ascii="Times New Roman" w:hAnsi="Times New Roman" w:cs="Times New Roman" w:eastAsiaTheme="minorEastAsia"/>
          <w:color w:val="000000" w:themeColor="text1"/>
          <w:sz w:val="21"/>
          <w:szCs w:val="21"/>
        </w:rPr>
        <w:t>《光伏建筑一体化系统防雷技术规范》GB</w:t>
      </w:r>
      <w:r>
        <w:rPr>
          <w:rFonts w:hint="eastAsia" w:ascii="Times New Roman" w:hAnsi="Times New Roman" w:cs="Times New Roman" w:eastAsiaTheme="minorEastAsia"/>
          <w:color w:val="000000" w:themeColor="text1"/>
          <w:sz w:val="21"/>
          <w:szCs w:val="21"/>
        </w:rPr>
        <w:t>/T</w:t>
      </w:r>
      <w:r>
        <w:rPr>
          <w:rFonts w:ascii="Times New Roman" w:hAnsi="Times New Roman" w:cs="Times New Roman" w:eastAsiaTheme="minorEastAsia"/>
          <w:color w:val="000000" w:themeColor="text1"/>
          <w:sz w:val="21"/>
          <w:szCs w:val="21"/>
        </w:rPr>
        <w:t xml:space="preserve"> </w:t>
      </w:r>
      <w:r>
        <w:rPr>
          <w:rFonts w:hint="eastAsia" w:ascii="Times New Roman" w:hAnsi="Times New Roman" w:cs="Times New Roman" w:eastAsiaTheme="minorEastAsia"/>
          <w:color w:val="000000" w:themeColor="text1"/>
          <w:sz w:val="21"/>
          <w:szCs w:val="21"/>
        </w:rPr>
        <w:t>36963、</w:t>
      </w:r>
      <w:r>
        <w:rPr>
          <w:rFonts w:ascii="Times New Roman" w:hAnsi="Times New Roman" w:cs="Times New Roman" w:eastAsiaTheme="minorEastAsia"/>
          <w:color w:val="000000" w:themeColor="text1"/>
          <w:sz w:val="21"/>
          <w:szCs w:val="21"/>
        </w:rPr>
        <w:t>《电气装置安装工程接地装置施工及验收规范》GB 50</w:t>
      </w:r>
      <w:r>
        <w:rPr>
          <w:rFonts w:hint="eastAsia" w:ascii="Times New Roman" w:hAnsi="Times New Roman" w:cs="Times New Roman" w:eastAsiaTheme="minorEastAsia"/>
          <w:color w:val="000000" w:themeColor="text1"/>
          <w:sz w:val="21"/>
          <w:szCs w:val="21"/>
        </w:rPr>
        <w:t>169</w:t>
      </w:r>
      <w:r>
        <w:rPr>
          <w:rFonts w:ascii="Times New Roman" w:hAnsi="Times New Roman" w:cs="Times New Roman" w:eastAsiaTheme="minorEastAsia"/>
          <w:color w:val="000000" w:themeColor="text1"/>
          <w:sz w:val="21"/>
          <w:szCs w:val="21"/>
        </w:rPr>
        <w:t>的</w:t>
      </w:r>
      <w:r>
        <w:rPr>
          <w:rFonts w:hint="eastAsia" w:ascii="Times New Roman" w:hAnsi="Times New Roman" w:cs="Times New Roman" w:eastAsiaTheme="minorEastAsia"/>
          <w:color w:val="000000" w:themeColor="text1"/>
          <w:sz w:val="21"/>
          <w:szCs w:val="21"/>
        </w:rPr>
        <w:t>有关</w:t>
      </w:r>
      <w:r>
        <w:rPr>
          <w:rFonts w:ascii="Times New Roman" w:hAnsi="Times New Roman" w:cs="Times New Roman" w:eastAsiaTheme="minorEastAsia"/>
          <w:color w:val="000000" w:themeColor="text1"/>
          <w:sz w:val="21"/>
          <w:szCs w:val="21"/>
        </w:rPr>
        <w:t>规定，建筑光伏系统的防雷及接地保护应与建筑物防雷及接地系统合用，安装建筑光伏系统后不应降低建筑物的防雷保护等级，且光伏方阵接地电阻不应大于</w:t>
      </w:r>
      <w:r>
        <w:rPr>
          <w:rFonts w:hint="eastAsia" w:ascii="Times New Roman" w:hAnsi="Times New Roman" w:cs="Times New Roman" w:eastAsiaTheme="minorEastAsia"/>
          <w:color w:val="000000" w:themeColor="text1"/>
          <w:sz w:val="21"/>
          <w:szCs w:val="21"/>
        </w:rPr>
        <w:t>4</w:t>
      </w:r>
      <w:r>
        <w:rPr>
          <w:rFonts w:ascii="Times New Roman" w:hAnsi="Times New Roman" w:cs="Times New Roman" w:eastAsiaTheme="minorEastAsia"/>
          <w:color w:val="000000" w:themeColor="text1"/>
          <w:sz w:val="21"/>
          <w:szCs w:val="21"/>
        </w:rPr>
        <w:t>Ω</w:t>
      </w:r>
      <w:r>
        <w:rPr>
          <w:rFonts w:hint="eastAsia" w:ascii="Times New Roman" w:hAnsi="Times New Roman" w:cs="Times New Roman" w:eastAsiaTheme="minorEastAsia"/>
          <w:color w:val="000000" w:themeColor="text1"/>
          <w:sz w:val="21"/>
          <w:szCs w:val="21"/>
        </w:rPr>
        <w:t>；</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2光伏组件、支撑结构、电缆金属铠装、电气设备的金属框架及</w:t>
      </w:r>
      <w:r>
        <w:rPr>
          <w:rFonts w:ascii="Times New Roman" w:hAnsi="Times New Roman" w:cs="Times New Roman" w:eastAsiaTheme="minorEastAsia"/>
          <w:color w:val="000000" w:themeColor="text1"/>
          <w:sz w:val="21"/>
          <w:szCs w:val="21"/>
        </w:rPr>
        <w:t>基础型钢</w:t>
      </w:r>
      <w:r>
        <w:rPr>
          <w:rFonts w:hint="eastAsia" w:ascii="Times New Roman" w:hAnsi="Times New Roman" w:cs="Times New Roman" w:eastAsiaTheme="minorEastAsia"/>
          <w:color w:val="000000" w:themeColor="text1"/>
          <w:sz w:val="21"/>
          <w:szCs w:val="21"/>
        </w:rPr>
        <w:t>与屋面接地网格应可靠连接；</w:t>
      </w:r>
    </w:p>
    <w:p>
      <w:pPr>
        <w:spacing w:line="360" w:lineRule="auto"/>
        <w:ind w:firstLine="420" w:firstLineChars="200"/>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3</w:t>
      </w:r>
      <w:r>
        <w:rPr>
          <w:rFonts w:ascii="Times New Roman" w:hAnsi="Times New Roman" w:cs="Times New Roman" w:eastAsiaTheme="minorEastAsia"/>
          <w:color w:val="000000" w:themeColor="text1"/>
          <w:sz w:val="21"/>
          <w:szCs w:val="21"/>
        </w:rPr>
        <w:t>光伏系统应设置各级电涌保护装置</w:t>
      </w:r>
      <w:r>
        <w:rPr>
          <w:rFonts w:hint="eastAsia" w:ascii="Times New Roman" w:hAnsi="Times New Roman" w:cs="Times New Roman" w:eastAsiaTheme="minorEastAsia"/>
          <w:color w:val="000000" w:themeColor="text1"/>
          <w:sz w:val="21"/>
          <w:szCs w:val="21"/>
        </w:rPr>
        <w:t>；</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9.3.2</w:t>
      </w:r>
      <w:r>
        <w:rPr>
          <w:rFonts w:ascii="Times New Roman" w:hAnsi="Times New Roman" w:cs="Times New Roman" w:eastAsiaTheme="minorEastAsia"/>
          <w:color w:val="000000" w:themeColor="text1"/>
          <w:sz w:val="21"/>
          <w:szCs w:val="21"/>
        </w:rPr>
        <w:t xml:space="preserve">建筑光伏系统交流侧电气装置过电压保护和接地应符合现行国家标准《交流电气装置的过电压保护和绝缘配合设计规范》 GB/T 50064 和《交流电气装置的接地设计规范》GB/T 50065 的规定。 </w:t>
      </w:r>
    </w:p>
    <w:p>
      <w:pPr>
        <w:spacing w:line="360" w:lineRule="auto"/>
        <w:rPr>
          <w:rFonts w:ascii="Times New Roman" w:hAnsi="Times New Roman" w:cs="Times New Roman" w:eastAsiaTheme="minorEastAsia"/>
          <w:color w:val="000000" w:themeColor="text1"/>
          <w:sz w:val="21"/>
          <w:szCs w:val="21"/>
        </w:rPr>
      </w:pPr>
      <w:r>
        <w:rPr>
          <w:rFonts w:hint="eastAsia" w:ascii="Times New Roman" w:hAnsi="Times New Roman" w:cs="Times New Roman" w:eastAsiaTheme="minorEastAsia"/>
          <w:color w:val="000000" w:themeColor="text1"/>
          <w:sz w:val="21"/>
          <w:szCs w:val="21"/>
        </w:rPr>
        <w:t xml:space="preserve">9.3.3 </w:t>
      </w:r>
      <w:r>
        <w:rPr>
          <w:rFonts w:ascii="Times New Roman" w:hAnsi="Times New Roman" w:cs="Times New Roman" w:eastAsiaTheme="minorEastAsia"/>
          <w:color w:val="000000" w:themeColor="text1"/>
          <w:sz w:val="21"/>
          <w:szCs w:val="21"/>
        </w:rPr>
        <w:t>阵列冲击接地电阻不应大于 10Ω，联合接地电阻不应大于 4Ω，接地形式应按</w:t>
      </w:r>
      <w:r>
        <w:rPr>
          <w:rFonts w:hint="eastAsia" w:ascii="Times New Roman" w:hAnsi="Times New Roman" w:cs="Times New Roman" w:eastAsiaTheme="minorEastAsia"/>
          <w:color w:val="000000" w:themeColor="text1"/>
          <w:sz w:val="21"/>
          <w:szCs w:val="21"/>
        </w:rPr>
        <w:t>有关规定</w:t>
      </w:r>
      <w:r>
        <w:rPr>
          <w:rFonts w:ascii="Times New Roman" w:hAnsi="Times New Roman" w:cs="Times New Roman" w:eastAsiaTheme="minorEastAsia"/>
          <w:color w:val="000000" w:themeColor="text1"/>
          <w:sz w:val="21"/>
          <w:szCs w:val="21"/>
        </w:rPr>
        <w:t>执行。</w:t>
      </w:r>
    </w:p>
    <w:bookmarkEnd w:id="158"/>
    <w:p>
      <w:pPr>
        <w:spacing w:line="360" w:lineRule="auto"/>
        <w:ind w:firstLine="266"/>
        <w:rPr>
          <w:rFonts w:ascii="Times New Roman" w:hAnsi="Times New Roman" w:cs="Times New Roman"/>
          <w:color w:val="000000" w:themeColor="text1"/>
          <w:sz w:val="24"/>
        </w:rPr>
      </w:pPr>
    </w:p>
    <w:p>
      <w:pPr>
        <w:jc w:val="left"/>
        <w:rPr>
          <w:rFonts w:ascii="Times New Roman" w:hAnsi="Times New Roman" w:cs="Times New Roman"/>
          <w:color w:val="000000" w:themeColor="text1"/>
        </w:rPr>
        <w:sectPr>
          <w:pgSz w:w="11906" w:h="16838"/>
          <w:pgMar w:top="1440" w:right="1800" w:bottom="1440" w:left="1800" w:header="851" w:footer="992" w:gutter="0"/>
          <w:cols w:space="425" w:num="1"/>
          <w:docGrid w:type="lines" w:linePitch="312" w:charSpace="0"/>
        </w:sectPr>
      </w:pPr>
    </w:p>
    <w:p>
      <w:pPr>
        <w:keepNext/>
        <w:keepLines/>
        <w:spacing w:before="340" w:after="156" w:line="579" w:lineRule="auto"/>
        <w:jc w:val="center"/>
        <w:outlineLvl w:val="0"/>
        <w:rPr>
          <w:rFonts w:asciiTheme="majorEastAsia" w:hAnsiTheme="majorEastAsia" w:eastAsiaTheme="majorEastAsia" w:cstheme="majorEastAsia"/>
          <w:b/>
          <w:bCs/>
          <w:color w:val="000000" w:themeColor="text1"/>
          <w:sz w:val="30"/>
          <w:szCs w:val="30"/>
        </w:rPr>
      </w:pPr>
      <w:bookmarkStart w:id="165" w:name="_Toc13749"/>
      <w:bookmarkStart w:id="166" w:name="_Toc27976"/>
      <w:bookmarkStart w:id="167" w:name="_Toc5711"/>
      <w:bookmarkStart w:id="168" w:name="_Toc20980"/>
      <w:r>
        <w:rPr>
          <w:rFonts w:hint="eastAsia" w:asciiTheme="majorEastAsia" w:hAnsiTheme="majorEastAsia" w:eastAsiaTheme="majorEastAsia" w:cstheme="majorEastAsia"/>
          <w:b/>
          <w:bCs/>
          <w:color w:val="000000" w:themeColor="text1"/>
          <w:sz w:val="30"/>
          <w:szCs w:val="30"/>
        </w:rPr>
        <w:t>用词说明</w:t>
      </w:r>
      <w:bookmarkEnd w:id="165"/>
      <w:bookmarkEnd w:id="166"/>
      <w:bookmarkEnd w:id="167"/>
      <w:bookmarkEnd w:id="168"/>
    </w:p>
    <w:p>
      <w:pPr>
        <w:rPr>
          <w:rFonts w:ascii="Times New Roman" w:hAnsi="Times New Roman" w:eastAsia="宋体" w:cs="Times New Roman"/>
          <w:iCs/>
          <w:color w:val="000000" w:themeColor="text1"/>
          <w:sz w:val="21"/>
          <w:szCs w:val="21"/>
        </w:rPr>
      </w:pP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为便于在执行本标准条文时区别对待，对严格要求成都不同的用词说明如下：</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1 表示很严格，非这样做不可的：</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正面用词采用“必须”，反面用词采用“严禁”；</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2 表示严格，在正常情况下军营这样做的：</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正面用词采用“应”，反面用词采用“不应”或“不得”；</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3 表示允许稍有选择，在条件许可时首先应这样做的：</w:t>
      </w:r>
    </w:p>
    <w:p>
      <w:pPr>
        <w:spacing w:line="360" w:lineRule="auto"/>
        <w:ind w:firstLine="420" w:firstLineChars="200"/>
        <w:rPr>
          <w:rFonts w:ascii="Times New Roman" w:hAnsi="Times New Roman" w:eastAsia="宋体" w:cs="Times New Roman"/>
          <w:color w:val="000000" w:themeColor="text1"/>
          <w:sz w:val="21"/>
          <w:szCs w:val="22"/>
        </w:rPr>
      </w:pPr>
      <w:r>
        <w:rPr>
          <w:rFonts w:ascii="Times New Roman" w:hAnsi="Times New Roman" w:eastAsia="宋体" w:cs="Times New Roman"/>
          <w:color w:val="000000" w:themeColor="text1"/>
          <w:sz w:val="21"/>
          <w:szCs w:val="22"/>
        </w:rPr>
        <w:t>正面词采用“宜”，反面词采用“不宜”；</w:t>
      </w:r>
    </w:p>
    <w:p>
      <w:pPr>
        <w:spacing w:line="360" w:lineRule="auto"/>
        <w:ind w:firstLine="409" w:firstLineChars="195"/>
        <w:rPr>
          <w:rFonts w:ascii="Times New Roman" w:hAnsi="Times New Roman" w:cs="Times New Roman"/>
          <w:color w:val="000000" w:themeColor="text1"/>
        </w:rPr>
        <w:sectPr>
          <w:pgSz w:w="11906" w:h="16838"/>
          <w:pgMar w:top="1440" w:right="1800" w:bottom="1440" w:left="1800" w:header="851" w:footer="992" w:gutter="0"/>
          <w:cols w:space="425" w:num="1"/>
          <w:docGrid w:type="lines" w:linePitch="312" w:charSpace="0"/>
        </w:sectPr>
      </w:pPr>
      <w:r>
        <w:rPr>
          <w:rFonts w:ascii="Times New Roman" w:hAnsi="Times New Roman" w:eastAsia="宋体" w:cs="Times New Roman"/>
          <w:color w:val="000000" w:themeColor="text1"/>
          <w:sz w:val="21"/>
          <w:szCs w:val="22"/>
        </w:rPr>
        <w:t>4 表示有选择，在一定条件下可以这样做的，采用“可”。</w:t>
      </w:r>
    </w:p>
    <w:p>
      <w:pPr>
        <w:keepNext/>
        <w:keepLines/>
        <w:spacing w:before="340" w:after="156" w:line="579" w:lineRule="auto"/>
        <w:jc w:val="center"/>
        <w:outlineLvl w:val="1"/>
        <w:rPr>
          <w:rFonts w:ascii="Arial" w:hAnsi="Arial" w:eastAsia="黑体"/>
          <w:color w:val="000000" w:themeColor="text1"/>
          <w:szCs w:val="28"/>
        </w:rPr>
      </w:pPr>
      <w:bookmarkStart w:id="169" w:name="_Toc19690"/>
      <w:bookmarkStart w:id="170" w:name="_Toc22660"/>
      <w:bookmarkStart w:id="171" w:name="_Toc12320"/>
      <w:bookmarkStart w:id="172" w:name="_Toc18841"/>
      <w:r>
        <w:rPr>
          <w:rFonts w:hint="eastAsia" w:ascii="宋体" w:hAnsi="宋体" w:eastAsia="宋体" w:cs="宋体"/>
          <w:b/>
          <w:bCs/>
          <w:color w:val="000000" w:themeColor="text1"/>
          <w:sz w:val="30"/>
          <w:szCs w:val="30"/>
        </w:rPr>
        <w:t>引用标准名录</w:t>
      </w:r>
      <w:bookmarkEnd w:id="169"/>
      <w:bookmarkEnd w:id="170"/>
      <w:bookmarkEnd w:id="171"/>
      <w:bookmarkEnd w:id="172"/>
    </w:p>
    <w:p>
      <w:pPr>
        <w:spacing w:line="360" w:lineRule="auto"/>
        <w:rPr>
          <w:rFonts w:ascii="Times New Roman" w:hAnsi="Times New Roman" w:eastAsia="宋体" w:cs="Times New Roman"/>
          <w:color w:val="000000" w:themeColor="text1"/>
          <w:sz w:val="21"/>
          <w:szCs w:val="21"/>
        </w:rPr>
      </w:pPr>
      <w:r>
        <w:rPr>
          <w:rFonts w:hint="eastAsia" w:ascii="Times New Roman" w:hAnsi="Times New Roman" w:eastAsia="宋体" w:cs="Times New Roman"/>
          <w:color w:val="000000" w:themeColor="text1"/>
          <w:sz w:val="21"/>
          <w:szCs w:val="21"/>
        </w:rPr>
        <w:t>《建筑电气与智能化通用规范》</w:t>
      </w:r>
      <w:r>
        <w:rPr>
          <w:rFonts w:ascii="Times New Roman" w:hAnsi="Times New Roman" w:eastAsia="宋体" w:cs="Times New Roman"/>
          <w:color w:val="000000" w:themeColor="text1"/>
          <w:sz w:val="21"/>
          <w:szCs w:val="21"/>
        </w:rPr>
        <w:t xml:space="preserve"> GB 55024</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color w:val="000000" w:themeColor="text1"/>
          <w:sz w:val="21"/>
          <w:szCs w:val="21"/>
        </w:rPr>
        <w:t>《建筑物防雷设计规范》</w:t>
      </w:r>
      <w:r>
        <w:rPr>
          <w:rFonts w:ascii="Times New Roman" w:hAnsi="Times New Roman" w:eastAsia="宋体" w:cs="Times New Roman"/>
          <w:color w:val="000000" w:themeColor="text1"/>
          <w:sz w:val="21"/>
          <w:szCs w:val="21"/>
        </w:rPr>
        <w:t xml:space="preserve"> GB 50057 </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《光伏系统并网技术要求》</w:t>
      </w:r>
      <w:r>
        <w:rPr>
          <w:rFonts w:ascii="Times New Roman" w:hAnsi="Times New Roman" w:eastAsia="宋体" w:cs="Times New Roman"/>
          <w:iCs/>
          <w:color w:val="000000" w:themeColor="text1"/>
          <w:sz w:val="21"/>
          <w:szCs w:val="21"/>
        </w:rPr>
        <w:t xml:space="preserve"> GB/T 19939</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《光伏发电系统接入配电网技术规定》</w:t>
      </w:r>
      <w:r>
        <w:rPr>
          <w:rFonts w:ascii="Times New Roman" w:hAnsi="Times New Roman" w:eastAsia="宋体" w:cs="Times New Roman"/>
          <w:iCs/>
          <w:color w:val="000000" w:themeColor="text1"/>
          <w:sz w:val="21"/>
          <w:szCs w:val="21"/>
        </w:rPr>
        <w:t xml:space="preserve"> GB/T 29319</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《光伏发电站无功补偿技术规范》</w:t>
      </w:r>
      <w:r>
        <w:rPr>
          <w:rFonts w:ascii="Times New Roman" w:hAnsi="Times New Roman" w:eastAsia="宋体" w:cs="Times New Roman"/>
          <w:iCs/>
          <w:color w:val="000000" w:themeColor="text1"/>
          <w:sz w:val="21"/>
          <w:szCs w:val="21"/>
        </w:rPr>
        <w:t xml:space="preserve"> GB/T 29321-2012</w:t>
      </w:r>
    </w:p>
    <w:p>
      <w:pPr>
        <w:spacing w:line="360" w:lineRule="auto"/>
        <w:rPr>
          <w:rFonts w:ascii="Times New Roman" w:hAnsi="Times New Roman" w:eastAsia="宋体" w:cs="Times New Roman"/>
          <w:b/>
          <w:bCs/>
          <w:color w:val="000000" w:themeColor="text1"/>
          <w:sz w:val="21"/>
          <w:szCs w:val="21"/>
        </w:rPr>
      </w:pPr>
      <w:r>
        <w:rPr>
          <w:rFonts w:hint="eastAsia" w:ascii="Times New Roman" w:hAnsi="Times New Roman" w:eastAsia="宋体" w:cs="Times New Roman"/>
          <w:color w:val="000000" w:themeColor="text1"/>
          <w:sz w:val="21"/>
          <w:szCs w:val="21"/>
        </w:rPr>
        <w:t>《重要电力用户供电电源及自备应急电源配置技术规范》</w:t>
      </w:r>
      <w:r>
        <w:rPr>
          <w:rFonts w:ascii="Times New Roman" w:hAnsi="Times New Roman" w:eastAsia="宋体" w:cs="Times New Roman"/>
          <w:color w:val="000000" w:themeColor="text1"/>
          <w:sz w:val="21"/>
          <w:szCs w:val="21"/>
        </w:rPr>
        <w:t xml:space="preserve"> GB/T 29328</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《光伏发电站防雷技术要求》</w:t>
      </w:r>
      <w:r>
        <w:rPr>
          <w:rFonts w:ascii="Times New Roman" w:hAnsi="Times New Roman" w:eastAsia="宋体" w:cs="Times New Roman"/>
          <w:iCs/>
          <w:color w:val="000000" w:themeColor="text1"/>
          <w:sz w:val="21"/>
          <w:szCs w:val="21"/>
        </w:rPr>
        <w:t xml:space="preserve">  GB/T 32512</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《户用分布式光伏发电并网接口技术规范》</w:t>
      </w:r>
      <w:r>
        <w:rPr>
          <w:rFonts w:ascii="Times New Roman" w:hAnsi="Times New Roman" w:eastAsia="宋体" w:cs="Times New Roman"/>
          <w:iCs/>
          <w:color w:val="000000" w:themeColor="text1"/>
          <w:sz w:val="21"/>
          <w:szCs w:val="21"/>
        </w:rPr>
        <w:t xml:space="preserve">  GB/T 33342</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《分布式电源并网运行控制规范》</w:t>
      </w:r>
      <w:r>
        <w:rPr>
          <w:rFonts w:ascii="Times New Roman" w:hAnsi="Times New Roman" w:eastAsia="宋体" w:cs="Times New Roman"/>
          <w:iCs/>
          <w:color w:val="000000" w:themeColor="text1"/>
          <w:sz w:val="21"/>
          <w:szCs w:val="21"/>
        </w:rPr>
        <w:t xml:space="preserve">  GB/T 33592</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《光伏发电站并网运行控制规范》</w:t>
      </w:r>
      <w:r>
        <w:rPr>
          <w:rFonts w:ascii="Times New Roman" w:hAnsi="Times New Roman" w:eastAsia="宋体" w:cs="Times New Roman"/>
          <w:iCs/>
          <w:color w:val="000000" w:themeColor="text1"/>
          <w:sz w:val="21"/>
          <w:szCs w:val="21"/>
        </w:rPr>
        <w:t xml:space="preserve">  GB/T 33599</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《光伏建筑一体化系统防雷技术规范》</w:t>
      </w:r>
      <w:r>
        <w:rPr>
          <w:rFonts w:ascii="Times New Roman" w:hAnsi="Times New Roman" w:eastAsia="宋体" w:cs="Times New Roman"/>
          <w:iCs/>
          <w:color w:val="000000" w:themeColor="text1"/>
          <w:sz w:val="21"/>
          <w:szCs w:val="21"/>
        </w:rPr>
        <w:t xml:space="preserve">   GB/T 36963</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《光伏发电并网逆变器技术要求》</w:t>
      </w:r>
      <w:r>
        <w:rPr>
          <w:rFonts w:ascii="Times New Roman" w:hAnsi="Times New Roman" w:eastAsia="宋体" w:cs="Times New Roman"/>
          <w:iCs/>
          <w:color w:val="000000" w:themeColor="text1"/>
          <w:sz w:val="21"/>
          <w:szCs w:val="21"/>
        </w:rPr>
        <w:t xml:space="preserve">  GB/T 37408</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《电力系统安全稳定导则》GB</w:t>
      </w:r>
      <w:r>
        <w:rPr>
          <w:rFonts w:ascii="Times New Roman" w:hAnsi="Times New Roman" w:eastAsia="宋体" w:cs="Times New Roman"/>
          <w:iCs/>
          <w:color w:val="000000" w:themeColor="text1"/>
          <w:sz w:val="21"/>
          <w:szCs w:val="21"/>
        </w:rPr>
        <w:t xml:space="preserve"> 38755</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《建筑结构荷载规范》</w:t>
      </w:r>
      <w:r>
        <w:rPr>
          <w:rFonts w:ascii="Times New Roman" w:hAnsi="Times New Roman" w:eastAsia="宋体" w:cs="Times New Roman"/>
          <w:iCs/>
          <w:color w:val="000000" w:themeColor="text1"/>
          <w:sz w:val="21"/>
          <w:szCs w:val="21"/>
        </w:rPr>
        <w:t xml:space="preserve">  GB 50009</w:t>
      </w:r>
    </w:p>
    <w:p>
      <w:pPr>
        <w:spacing w:line="360" w:lineRule="auto"/>
        <w:rPr>
          <w:rFonts w:ascii="Times New Roman" w:hAnsi="Times New Roman" w:eastAsia="宋体" w:cs="Times New Roman"/>
          <w:color w:val="000000" w:themeColor="text1"/>
          <w:sz w:val="21"/>
          <w:szCs w:val="21"/>
        </w:rPr>
      </w:pPr>
      <w:r>
        <w:rPr>
          <w:rFonts w:hint="eastAsia" w:ascii="Times New Roman" w:hAnsi="Times New Roman" w:eastAsia="宋体" w:cs="Times New Roman"/>
          <w:color w:val="000000" w:themeColor="text1"/>
          <w:sz w:val="21"/>
          <w:szCs w:val="21"/>
        </w:rPr>
        <w:t>《供配电系统设计规范》GB</w:t>
      </w:r>
      <w:r>
        <w:rPr>
          <w:rFonts w:ascii="Times New Roman" w:hAnsi="Times New Roman" w:eastAsia="宋体" w:cs="Times New Roman"/>
          <w:color w:val="000000" w:themeColor="text1"/>
          <w:sz w:val="21"/>
          <w:szCs w:val="21"/>
        </w:rPr>
        <w:t xml:space="preserve"> 50052</w:t>
      </w:r>
    </w:p>
    <w:p>
      <w:pPr>
        <w:spacing w:line="360" w:lineRule="auto"/>
        <w:rPr>
          <w:rFonts w:ascii="Times New Roman" w:hAnsi="Times New Roman" w:eastAsia="宋体" w:cs="Times New Roman"/>
          <w:color w:val="000000" w:themeColor="text1"/>
          <w:sz w:val="21"/>
          <w:szCs w:val="21"/>
        </w:rPr>
      </w:pPr>
      <w:r>
        <w:rPr>
          <w:rFonts w:hint="eastAsia" w:ascii="Times New Roman" w:hAnsi="Times New Roman" w:eastAsia="宋体" w:cs="Times New Roman"/>
          <w:color w:val="000000" w:themeColor="text1"/>
          <w:sz w:val="21"/>
          <w:szCs w:val="21"/>
        </w:rPr>
        <w:t>《低压配电设计规范》GB</w:t>
      </w:r>
      <w:r>
        <w:rPr>
          <w:rFonts w:ascii="Times New Roman" w:hAnsi="Times New Roman" w:eastAsia="宋体" w:cs="Times New Roman"/>
          <w:color w:val="000000" w:themeColor="text1"/>
          <w:sz w:val="21"/>
          <w:szCs w:val="21"/>
        </w:rPr>
        <w:t xml:space="preserve"> 50054</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《光伏发电站设计规范》</w:t>
      </w:r>
      <w:r>
        <w:rPr>
          <w:rFonts w:ascii="Times New Roman" w:hAnsi="Times New Roman" w:eastAsia="宋体" w:cs="Times New Roman"/>
          <w:iCs/>
          <w:color w:val="000000" w:themeColor="text1"/>
          <w:sz w:val="21"/>
          <w:szCs w:val="21"/>
        </w:rPr>
        <w:t xml:space="preserve">  GB 50797</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《光伏发电接入配电网设计规范》</w:t>
      </w:r>
      <w:r>
        <w:rPr>
          <w:rFonts w:ascii="Times New Roman" w:hAnsi="Times New Roman" w:eastAsia="宋体" w:cs="Times New Roman"/>
          <w:iCs/>
          <w:color w:val="000000" w:themeColor="text1"/>
          <w:sz w:val="21"/>
          <w:szCs w:val="21"/>
        </w:rPr>
        <w:t xml:space="preserve">  GB/T 50865</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《电化学储能电站设计规范》GB</w:t>
      </w:r>
      <w:r>
        <w:rPr>
          <w:rFonts w:ascii="Times New Roman" w:hAnsi="Times New Roman" w:eastAsia="宋体" w:cs="Times New Roman"/>
          <w:iCs/>
          <w:color w:val="000000" w:themeColor="text1"/>
          <w:sz w:val="21"/>
          <w:szCs w:val="21"/>
        </w:rPr>
        <w:t xml:space="preserve"> 51048</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《分布式电源并网工程调试与验收标准》</w:t>
      </w:r>
      <w:r>
        <w:rPr>
          <w:rFonts w:ascii="Times New Roman" w:hAnsi="Times New Roman" w:eastAsia="宋体" w:cs="Times New Roman"/>
          <w:iCs/>
          <w:color w:val="000000" w:themeColor="text1"/>
          <w:sz w:val="21"/>
          <w:szCs w:val="21"/>
        </w:rPr>
        <w:t xml:space="preserve">  GB/T 51338</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《民用建筑电气设计标准》</w:t>
      </w:r>
      <w:r>
        <w:rPr>
          <w:rFonts w:ascii="Times New Roman" w:hAnsi="Times New Roman" w:eastAsia="宋体" w:cs="Times New Roman"/>
          <w:iCs/>
          <w:color w:val="000000" w:themeColor="text1"/>
          <w:sz w:val="21"/>
          <w:szCs w:val="21"/>
        </w:rPr>
        <w:t xml:space="preserve"> GB 51348</w:t>
      </w:r>
    </w:p>
    <w:p>
      <w:pPr>
        <w:pStyle w:val="14"/>
        <w:spacing w:line="360" w:lineRule="auto"/>
        <w:ind w:left="420" w:hanging="420"/>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《建筑光伏系统应用技术标准》</w:t>
      </w:r>
      <w:r>
        <w:rPr>
          <w:rFonts w:ascii="Times New Roman" w:hAnsi="Times New Roman" w:eastAsia="宋体" w:cs="Times New Roman"/>
          <w:iCs/>
          <w:color w:val="000000" w:themeColor="text1"/>
          <w:sz w:val="21"/>
          <w:szCs w:val="21"/>
        </w:rPr>
        <w:t xml:space="preserve">  GB/T 51368</w:t>
      </w:r>
    </w:p>
    <w:p>
      <w:pPr>
        <w:pStyle w:val="14"/>
        <w:spacing w:line="360" w:lineRule="auto"/>
        <w:ind w:left="420" w:hanging="420"/>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《光伏支架结构设计规程》NB/T</w:t>
      </w:r>
      <w:r>
        <w:rPr>
          <w:rFonts w:ascii="Times New Roman" w:hAnsi="Times New Roman" w:eastAsia="宋体" w:cs="Times New Roman"/>
          <w:iCs/>
          <w:color w:val="000000" w:themeColor="text1"/>
          <w:sz w:val="21"/>
          <w:szCs w:val="21"/>
        </w:rPr>
        <w:t xml:space="preserve"> 10115</w:t>
      </w:r>
    </w:p>
    <w:p>
      <w:pPr>
        <w:pStyle w:val="14"/>
        <w:spacing w:line="360" w:lineRule="auto"/>
        <w:ind w:left="420" w:hanging="420"/>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《分布式电源接入配电网技术规定》NB/T</w:t>
      </w:r>
      <w:r>
        <w:rPr>
          <w:rFonts w:ascii="Times New Roman" w:hAnsi="Times New Roman" w:eastAsia="宋体" w:cs="Times New Roman"/>
          <w:iCs/>
          <w:color w:val="000000" w:themeColor="text1"/>
          <w:sz w:val="21"/>
          <w:szCs w:val="21"/>
        </w:rPr>
        <w:t xml:space="preserve"> 32015</w:t>
      </w:r>
    </w:p>
    <w:p>
      <w:pPr>
        <w:pStyle w:val="14"/>
        <w:spacing w:line="360" w:lineRule="auto"/>
        <w:ind w:left="420" w:hanging="420"/>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《分布式电源接入电网监控系统功能规范》NB/T</w:t>
      </w:r>
      <w:r>
        <w:rPr>
          <w:rFonts w:ascii="Times New Roman" w:hAnsi="Times New Roman" w:eastAsia="宋体" w:cs="Times New Roman"/>
          <w:iCs/>
          <w:color w:val="000000" w:themeColor="text1"/>
          <w:sz w:val="21"/>
          <w:szCs w:val="21"/>
        </w:rPr>
        <w:t xml:space="preserve"> 33012</w:t>
      </w:r>
    </w:p>
    <w:p>
      <w:pPr>
        <w:pStyle w:val="14"/>
        <w:spacing w:line="360" w:lineRule="auto"/>
        <w:ind w:left="420" w:hanging="420"/>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《建筑光伏系统防火技术规范》DB34/T</w:t>
      </w:r>
      <w:r>
        <w:rPr>
          <w:rFonts w:ascii="Times New Roman" w:hAnsi="Times New Roman" w:eastAsia="宋体" w:cs="Times New Roman"/>
          <w:iCs/>
          <w:color w:val="000000" w:themeColor="text1"/>
          <w:sz w:val="21"/>
          <w:szCs w:val="21"/>
        </w:rPr>
        <w:t xml:space="preserve"> 3188</w:t>
      </w:r>
    </w:p>
    <w:p>
      <w:pPr>
        <w:spacing w:line="360" w:lineRule="auto"/>
        <w:rPr>
          <w:rFonts w:ascii="Times New Roman" w:hAnsi="Times New Roman" w:eastAsia="宋体" w:cs="Times New Roman"/>
          <w:iCs/>
          <w:color w:val="000000" w:themeColor="text1"/>
          <w:sz w:val="24"/>
          <w:szCs w:val="24"/>
        </w:rPr>
      </w:pPr>
      <w:r>
        <w:rPr>
          <w:rFonts w:hint="eastAsia" w:ascii="Times New Roman" w:hAnsi="Times New Roman" w:eastAsia="宋体" w:cs="Times New Roman"/>
          <w:iCs/>
          <w:color w:val="000000" w:themeColor="text1"/>
          <w:sz w:val="21"/>
          <w:szCs w:val="21"/>
        </w:rPr>
        <w:t>《分布式电源接入电网承载力评估导则》DL/T</w:t>
      </w:r>
      <w:r>
        <w:rPr>
          <w:rFonts w:ascii="Times New Roman" w:hAnsi="Times New Roman" w:eastAsia="宋体" w:cs="Times New Roman"/>
          <w:iCs/>
          <w:color w:val="000000" w:themeColor="text1"/>
          <w:sz w:val="21"/>
          <w:szCs w:val="21"/>
        </w:rPr>
        <w:t xml:space="preserve"> 204</w:t>
      </w:r>
    </w:p>
    <w:p>
      <w:pPr>
        <w:spacing w:line="360" w:lineRule="auto"/>
        <w:rPr>
          <w:rFonts w:ascii="Times New Roman" w:hAnsi="Times New Roman" w:eastAsia="宋体" w:cs="Times New Roman"/>
          <w:iCs/>
          <w:color w:val="000000" w:themeColor="text1"/>
          <w:sz w:val="21"/>
          <w:szCs w:val="21"/>
        </w:rPr>
      </w:pPr>
      <w:r>
        <w:rPr>
          <w:rFonts w:hint="eastAsia" w:ascii="Times New Roman" w:hAnsi="Times New Roman" w:eastAsia="宋体" w:cs="Times New Roman"/>
          <w:iCs/>
          <w:color w:val="000000" w:themeColor="text1"/>
          <w:sz w:val="21"/>
          <w:szCs w:val="21"/>
        </w:rPr>
        <w:t>《电力系统网源协调技术规范》DL/T</w:t>
      </w:r>
      <w:r>
        <w:rPr>
          <w:rFonts w:ascii="Times New Roman" w:hAnsi="Times New Roman" w:eastAsia="宋体" w:cs="Times New Roman"/>
          <w:iCs/>
          <w:color w:val="000000" w:themeColor="text1"/>
          <w:sz w:val="21"/>
          <w:szCs w:val="21"/>
        </w:rPr>
        <w:t xml:space="preserve"> 1870</w:t>
      </w:r>
    </w:p>
    <w:p>
      <w:pPr>
        <w:spacing w:line="360" w:lineRule="auto"/>
        <w:jc w:val="both"/>
        <w:rPr>
          <w:rFonts w:ascii="Times New Roman" w:hAnsi="Times New Roman" w:cs="Times New Roman"/>
          <w:b w:val="0"/>
          <w:bCs w:val="0"/>
          <w:color w:val="auto"/>
          <w:sz w:val="24"/>
          <w:szCs w:val="22"/>
        </w:rPr>
      </w:pPr>
      <w:r>
        <w:rPr>
          <w:rFonts w:hint="eastAsia" w:ascii="Times New Roman" w:hAnsi="Times New Roman" w:eastAsia="宋体" w:cs="Times New Roman"/>
          <w:iCs/>
          <w:color w:val="000000" w:themeColor="text1"/>
          <w:sz w:val="21"/>
          <w:szCs w:val="21"/>
        </w:rPr>
        <w:t>《分布式电源接入及微电网设计规程》DL/T</w:t>
      </w:r>
      <w:r>
        <w:rPr>
          <w:rFonts w:ascii="Times New Roman" w:hAnsi="Times New Roman" w:eastAsia="宋体" w:cs="Times New Roman"/>
          <w:iCs/>
          <w:color w:val="000000" w:themeColor="text1"/>
          <w:sz w:val="21"/>
          <w:szCs w:val="21"/>
        </w:rPr>
        <w:t xml:space="preserve"> 5601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FZSS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path/>
          <v:fill on="f" focussize="0,0"/>
          <v:stroke on="f" weight="0.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2050" o:spid="_x0000_s2050" o:spt="202" type="#_x0000_t202" style="position:absolute;left:0pt;margin-top:0pt;height:15.7pt;width:10.05pt;mso-position-horizontal:center;mso-position-horizontal-relative:margin;mso-wrap-style:none;z-index:251660288;mso-width-relative:page;mso-height-relative:page;" filled="f" stroked="f" coordsize="21600,21600" o:gfxdata="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GEthNEAAAADAQAADwAAAAAAAAABACAAAAAiAAAAZHJzL2Rvd25yZXYueG1sUEsBAhQA&#10;FAAAAAgAh07iQOHFyM8yAgAAZQQAAA4AAAAAAAAAAQAgAAAAIAEAAGRycy9lMm9Eb2MueG1sUEsF&#10;BgAAAAAGAAYAWQEAAMQFAAAAAA==&#10;">
          <v:path/>
          <v:fill on="f" focussize="0,0"/>
          <v:stroke on="f" weight="0.5pt" joinstyle="miter"/>
          <v:imagedata o:title=""/>
          <o:lock v:ext="edit"/>
          <v:textbox inset="0mm,0mm,0mm,0mm" style="mso-fit-shape-to-text:t;">
            <w:txbxContent>
              <w:p>
                <w:pPr>
                  <w:pStyle w:val="11"/>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2049" o:spid="_x0000_s2049" o:spt="202" type="#_x0000_t202" style="position:absolute;left:0pt;margin-top:0pt;height:15.7pt;width:10.05pt;mso-position-horizontal:center;mso-position-horizontal-relative:margin;mso-wrap-style:none;z-index:251662336;mso-width-relative:page;mso-height-relative:page;" filled="f" stroked="f" coordsize="21600,21600" o:gfxdata="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QYS2E0QAAAAMBAAAPAAAAAAAAAAEAIAAAACIAAABkcnMvZG93bnJldi54bWxQSwECFAAU&#10;AAAACACHTuJAsc8XrDECAABjBAAADgAAAAAAAAABACAAAAAgAQAAZHJzL2Uyb0RvYy54bWxQSwUG&#10;AAAAAAYABgBZAQAAwwUAAAAA&#10;">
          <v:path/>
          <v:fill on="f" focussize="0,0"/>
          <v:stroke on="f" weight="0.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04" w:lineRule="auto"/>
      <w:rPr>
        <w:rFonts w:ascii="Arial"/>
        <w:sz w:val="2"/>
      </w:rPr>
    </w:pPr>
    <w:r>
      <w:drawing>
        <wp:anchor distT="0" distB="0" distL="0" distR="0" simplePos="0" relativeHeight="251659264" behindDoc="0" locked="0" layoutInCell="0" allowOverlap="1">
          <wp:simplePos x="0" y="0"/>
          <wp:positionH relativeFrom="page">
            <wp:posOffset>685165</wp:posOffset>
          </wp:positionH>
          <wp:positionV relativeFrom="page">
            <wp:posOffset>564515</wp:posOffset>
          </wp:positionV>
          <wp:extent cx="6197600" cy="6350"/>
          <wp:effectExtent l="0" t="0" r="0" b="0"/>
          <wp:wrapNone/>
          <wp:docPr id="9" name="IM 8"/>
          <wp:cNvGraphicFramePr/>
          <a:graphic xmlns:a="http://schemas.openxmlformats.org/drawingml/2006/main">
            <a:graphicData uri="http://schemas.openxmlformats.org/drawingml/2006/picture">
              <pic:pic xmlns:pic="http://schemas.openxmlformats.org/drawingml/2006/picture">
                <pic:nvPicPr>
                  <pic:cNvPr id="9" name="IM 8"/>
                  <pic:cNvPicPr/>
                </pic:nvPicPr>
                <pic:blipFill>
                  <a:blip r:embed="rId1"/>
                  <a:stretch>
                    <a:fillRect/>
                  </a:stretch>
                </pic:blipFill>
                <pic:spPr>
                  <a:xfrm>
                    <a:off x="0" y="0"/>
                    <a:ext cx="6197605" cy="63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62E19"/>
    <w:multiLevelType w:val="multilevel"/>
    <w:tmpl w:val="13962E19"/>
    <w:lvl w:ilvl="0" w:tentative="0">
      <w:start w:val="7"/>
      <w:numFmt w:val="decimal"/>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2OGFlZjdiMDkyMmU3Y2M3NGEzMmY5ODE2OTJlMzAifQ=="/>
  </w:docVars>
  <w:rsids>
    <w:rsidRoot w:val="00172A27"/>
    <w:rsid w:val="00000EDC"/>
    <w:rsid w:val="000225A1"/>
    <w:rsid w:val="0006111F"/>
    <w:rsid w:val="00063860"/>
    <w:rsid w:val="00075D08"/>
    <w:rsid w:val="000A325B"/>
    <w:rsid w:val="000B0097"/>
    <w:rsid w:val="000C5070"/>
    <w:rsid w:val="000D4EF9"/>
    <w:rsid w:val="000D5F39"/>
    <w:rsid w:val="000E2A21"/>
    <w:rsid w:val="00104403"/>
    <w:rsid w:val="00110A6B"/>
    <w:rsid w:val="00115015"/>
    <w:rsid w:val="00132409"/>
    <w:rsid w:val="00136BA9"/>
    <w:rsid w:val="00150E83"/>
    <w:rsid w:val="00163515"/>
    <w:rsid w:val="00172A27"/>
    <w:rsid w:val="00193683"/>
    <w:rsid w:val="00196058"/>
    <w:rsid w:val="001A221F"/>
    <w:rsid w:val="001A2968"/>
    <w:rsid w:val="001B480D"/>
    <w:rsid w:val="001B6BB9"/>
    <w:rsid w:val="001C0445"/>
    <w:rsid w:val="001D599A"/>
    <w:rsid w:val="001F4ECD"/>
    <w:rsid w:val="001F62AF"/>
    <w:rsid w:val="001F721F"/>
    <w:rsid w:val="00210B43"/>
    <w:rsid w:val="002528E5"/>
    <w:rsid w:val="002572D8"/>
    <w:rsid w:val="0026397D"/>
    <w:rsid w:val="00266EC3"/>
    <w:rsid w:val="00296C60"/>
    <w:rsid w:val="002C5422"/>
    <w:rsid w:val="002D4731"/>
    <w:rsid w:val="002F229D"/>
    <w:rsid w:val="0030105C"/>
    <w:rsid w:val="00302FAB"/>
    <w:rsid w:val="0031431D"/>
    <w:rsid w:val="00314A9F"/>
    <w:rsid w:val="00345DD0"/>
    <w:rsid w:val="00373A75"/>
    <w:rsid w:val="003A3B7F"/>
    <w:rsid w:val="004355EE"/>
    <w:rsid w:val="00441154"/>
    <w:rsid w:val="00473031"/>
    <w:rsid w:val="004A6539"/>
    <w:rsid w:val="004B3579"/>
    <w:rsid w:val="004E7B05"/>
    <w:rsid w:val="00501EE6"/>
    <w:rsid w:val="005174D3"/>
    <w:rsid w:val="005216CB"/>
    <w:rsid w:val="00522140"/>
    <w:rsid w:val="005348CC"/>
    <w:rsid w:val="0054015C"/>
    <w:rsid w:val="00541CE5"/>
    <w:rsid w:val="0057541A"/>
    <w:rsid w:val="005C1FCF"/>
    <w:rsid w:val="005C5B6E"/>
    <w:rsid w:val="006122B7"/>
    <w:rsid w:val="00613349"/>
    <w:rsid w:val="00644585"/>
    <w:rsid w:val="0066352A"/>
    <w:rsid w:val="00692860"/>
    <w:rsid w:val="006976BE"/>
    <w:rsid w:val="006A79E9"/>
    <w:rsid w:val="006B2403"/>
    <w:rsid w:val="006C3F4D"/>
    <w:rsid w:val="006E1261"/>
    <w:rsid w:val="006E7494"/>
    <w:rsid w:val="007100E2"/>
    <w:rsid w:val="0071274C"/>
    <w:rsid w:val="007173F8"/>
    <w:rsid w:val="00727C95"/>
    <w:rsid w:val="00745CF1"/>
    <w:rsid w:val="007562C6"/>
    <w:rsid w:val="00782D1D"/>
    <w:rsid w:val="00790D68"/>
    <w:rsid w:val="00792216"/>
    <w:rsid w:val="00793AE9"/>
    <w:rsid w:val="007A33D9"/>
    <w:rsid w:val="007A6A99"/>
    <w:rsid w:val="007C2E82"/>
    <w:rsid w:val="007D516C"/>
    <w:rsid w:val="007F2A8C"/>
    <w:rsid w:val="007F2F44"/>
    <w:rsid w:val="00807424"/>
    <w:rsid w:val="00823E74"/>
    <w:rsid w:val="008251EF"/>
    <w:rsid w:val="008369FA"/>
    <w:rsid w:val="0084127E"/>
    <w:rsid w:val="00843162"/>
    <w:rsid w:val="0086376D"/>
    <w:rsid w:val="00871A22"/>
    <w:rsid w:val="008C3D32"/>
    <w:rsid w:val="008D300E"/>
    <w:rsid w:val="008E28DB"/>
    <w:rsid w:val="008E2B34"/>
    <w:rsid w:val="00921E7C"/>
    <w:rsid w:val="009240AD"/>
    <w:rsid w:val="009533EF"/>
    <w:rsid w:val="009553D0"/>
    <w:rsid w:val="00957A0F"/>
    <w:rsid w:val="0098138C"/>
    <w:rsid w:val="009A2538"/>
    <w:rsid w:val="009A267B"/>
    <w:rsid w:val="009A533A"/>
    <w:rsid w:val="009B42F3"/>
    <w:rsid w:val="009C512B"/>
    <w:rsid w:val="00A026B1"/>
    <w:rsid w:val="00A124DB"/>
    <w:rsid w:val="00A15A7C"/>
    <w:rsid w:val="00A2616E"/>
    <w:rsid w:val="00A364DC"/>
    <w:rsid w:val="00A41D83"/>
    <w:rsid w:val="00A46E87"/>
    <w:rsid w:val="00A47F7E"/>
    <w:rsid w:val="00A5071B"/>
    <w:rsid w:val="00A564B5"/>
    <w:rsid w:val="00A86AF0"/>
    <w:rsid w:val="00A938AD"/>
    <w:rsid w:val="00A95B9A"/>
    <w:rsid w:val="00AA12CC"/>
    <w:rsid w:val="00AA41C8"/>
    <w:rsid w:val="00AB6AD5"/>
    <w:rsid w:val="00AC0BCD"/>
    <w:rsid w:val="00AF51D5"/>
    <w:rsid w:val="00B17805"/>
    <w:rsid w:val="00B3018C"/>
    <w:rsid w:val="00B33741"/>
    <w:rsid w:val="00B45779"/>
    <w:rsid w:val="00B45E05"/>
    <w:rsid w:val="00B54CA5"/>
    <w:rsid w:val="00B6271F"/>
    <w:rsid w:val="00B6577C"/>
    <w:rsid w:val="00B70D02"/>
    <w:rsid w:val="00B73F7A"/>
    <w:rsid w:val="00B77DD5"/>
    <w:rsid w:val="00B820CD"/>
    <w:rsid w:val="00B86145"/>
    <w:rsid w:val="00B971BE"/>
    <w:rsid w:val="00BB14AF"/>
    <w:rsid w:val="00BC4584"/>
    <w:rsid w:val="00BE09F8"/>
    <w:rsid w:val="00BE31F5"/>
    <w:rsid w:val="00BE784C"/>
    <w:rsid w:val="00BF286B"/>
    <w:rsid w:val="00C00305"/>
    <w:rsid w:val="00C34903"/>
    <w:rsid w:val="00C51508"/>
    <w:rsid w:val="00C9659F"/>
    <w:rsid w:val="00CA0F69"/>
    <w:rsid w:val="00CA23B5"/>
    <w:rsid w:val="00CC1B40"/>
    <w:rsid w:val="00CC7FC7"/>
    <w:rsid w:val="00CE6FBD"/>
    <w:rsid w:val="00CF7419"/>
    <w:rsid w:val="00D14072"/>
    <w:rsid w:val="00D1744C"/>
    <w:rsid w:val="00D316F0"/>
    <w:rsid w:val="00D36FA2"/>
    <w:rsid w:val="00D67B0A"/>
    <w:rsid w:val="00D817C0"/>
    <w:rsid w:val="00DA2D2F"/>
    <w:rsid w:val="00DD5BF2"/>
    <w:rsid w:val="00DF10AD"/>
    <w:rsid w:val="00DF3FFE"/>
    <w:rsid w:val="00E0077C"/>
    <w:rsid w:val="00E2086C"/>
    <w:rsid w:val="00E72730"/>
    <w:rsid w:val="00E744D9"/>
    <w:rsid w:val="00E805B7"/>
    <w:rsid w:val="00E80C8E"/>
    <w:rsid w:val="00E92EBD"/>
    <w:rsid w:val="00E960F8"/>
    <w:rsid w:val="00EA1E1B"/>
    <w:rsid w:val="00EA4635"/>
    <w:rsid w:val="00EB7660"/>
    <w:rsid w:val="00ED2A8B"/>
    <w:rsid w:val="00EE30D7"/>
    <w:rsid w:val="00EF16D0"/>
    <w:rsid w:val="00F0347F"/>
    <w:rsid w:val="00F06D43"/>
    <w:rsid w:val="00F37AD0"/>
    <w:rsid w:val="00F50573"/>
    <w:rsid w:val="00F731C7"/>
    <w:rsid w:val="00F73A22"/>
    <w:rsid w:val="00F87B99"/>
    <w:rsid w:val="00F95CBA"/>
    <w:rsid w:val="00FB43F1"/>
    <w:rsid w:val="00FC2A05"/>
    <w:rsid w:val="00FC5B51"/>
    <w:rsid w:val="00FC6DAF"/>
    <w:rsid w:val="01184357"/>
    <w:rsid w:val="01225F6B"/>
    <w:rsid w:val="01702B77"/>
    <w:rsid w:val="01830099"/>
    <w:rsid w:val="01843A65"/>
    <w:rsid w:val="018A7679"/>
    <w:rsid w:val="01965F78"/>
    <w:rsid w:val="01D3250C"/>
    <w:rsid w:val="01E90844"/>
    <w:rsid w:val="01EF572E"/>
    <w:rsid w:val="02165E27"/>
    <w:rsid w:val="02203B3A"/>
    <w:rsid w:val="0227136C"/>
    <w:rsid w:val="026F5361"/>
    <w:rsid w:val="027229B4"/>
    <w:rsid w:val="02B04EBD"/>
    <w:rsid w:val="02CD5A6F"/>
    <w:rsid w:val="02E574D4"/>
    <w:rsid w:val="02F05C02"/>
    <w:rsid w:val="02FC45A7"/>
    <w:rsid w:val="03237D85"/>
    <w:rsid w:val="032D66CD"/>
    <w:rsid w:val="033337C7"/>
    <w:rsid w:val="03993BA4"/>
    <w:rsid w:val="03E5328D"/>
    <w:rsid w:val="03FB660C"/>
    <w:rsid w:val="04025BED"/>
    <w:rsid w:val="041C28D2"/>
    <w:rsid w:val="04247911"/>
    <w:rsid w:val="04754611"/>
    <w:rsid w:val="047F3D23"/>
    <w:rsid w:val="04A437BA"/>
    <w:rsid w:val="04F01EE9"/>
    <w:rsid w:val="05143E2A"/>
    <w:rsid w:val="05283431"/>
    <w:rsid w:val="053C6EDC"/>
    <w:rsid w:val="056326BB"/>
    <w:rsid w:val="05634469"/>
    <w:rsid w:val="05AA2098"/>
    <w:rsid w:val="05B66420"/>
    <w:rsid w:val="05F17CC7"/>
    <w:rsid w:val="06293FD6"/>
    <w:rsid w:val="0687687D"/>
    <w:rsid w:val="069D3172"/>
    <w:rsid w:val="06E15F8D"/>
    <w:rsid w:val="06E93094"/>
    <w:rsid w:val="06EE4206"/>
    <w:rsid w:val="06FA6169"/>
    <w:rsid w:val="06FD269B"/>
    <w:rsid w:val="07384013"/>
    <w:rsid w:val="074D6968"/>
    <w:rsid w:val="07713534"/>
    <w:rsid w:val="078D3A1F"/>
    <w:rsid w:val="079B711D"/>
    <w:rsid w:val="07E301FD"/>
    <w:rsid w:val="07F122F8"/>
    <w:rsid w:val="08076E7A"/>
    <w:rsid w:val="080C528C"/>
    <w:rsid w:val="081960B1"/>
    <w:rsid w:val="08253C58"/>
    <w:rsid w:val="084367D4"/>
    <w:rsid w:val="08485B98"/>
    <w:rsid w:val="08566507"/>
    <w:rsid w:val="087B41C0"/>
    <w:rsid w:val="08A52C48"/>
    <w:rsid w:val="08BF5920"/>
    <w:rsid w:val="08DD12F1"/>
    <w:rsid w:val="08F37F7F"/>
    <w:rsid w:val="09012917"/>
    <w:rsid w:val="090917CB"/>
    <w:rsid w:val="092A238B"/>
    <w:rsid w:val="09304FAA"/>
    <w:rsid w:val="093C394F"/>
    <w:rsid w:val="09756E61"/>
    <w:rsid w:val="09840E52"/>
    <w:rsid w:val="099F7A3A"/>
    <w:rsid w:val="09AF4121"/>
    <w:rsid w:val="09F67A85"/>
    <w:rsid w:val="0A0F696E"/>
    <w:rsid w:val="0A474359"/>
    <w:rsid w:val="0A73514E"/>
    <w:rsid w:val="0A841672"/>
    <w:rsid w:val="0ADD6A6C"/>
    <w:rsid w:val="0B8769D7"/>
    <w:rsid w:val="0B901D30"/>
    <w:rsid w:val="0BC24D12"/>
    <w:rsid w:val="0C000C64"/>
    <w:rsid w:val="0CF32576"/>
    <w:rsid w:val="0D0F6782"/>
    <w:rsid w:val="0D5F7C0C"/>
    <w:rsid w:val="0DE95727"/>
    <w:rsid w:val="0E096C10"/>
    <w:rsid w:val="0E557FC0"/>
    <w:rsid w:val="0E613E0B"/>
    <w:rsid w:val="0F334EAC"/>
    <w:rsid w:val="0F517A28"/>
    <w:rsid w:val="0F671B4D"/>
    <w:rsid w:val="0F850FF9"/>
    <w:rsid w:val="0FC1695C"/>
    <w:rsid w:val="0FDC1286"/>
    <w:rsid w:val="0FEB2FED"/>
    <w:rsid w:val="0FF83250"/>
    <w:rsid w:val="102D37A5"/>
    <w:rsid w:val="10362506"/>
    <w:rsid w:val="10A67F06"/>
    <w:rsid w:val="10DD77C5"/>
    <w:rsid w:val="110765F0"/>
    <w:rsid w:val="110E3E23"/>
    <w:rsid w:val="113118BF"/>
    <w:rsid w:val="11360C84"/>
    <w:rsid w:val="11447845"/>
    <w:rsid w:val="11967974"/>
    <w:rsid w:val="11AB1672"/>
    <w:rsid w:val="11EF20E1"/>
    <w:rsid w:val="121A05A5"/>
    <w:rsid w:val="1232769D"/>
    <w:rsid w:val="123E4294"/>
    <w:rsid w:val="125046E3"/>
    <w:rsid w:val="12851EC3"/>
    <w:rsid w:val="12A25865"/>
    <w:rsid w:val="133D431F"/>
    <w:rsid w:val="13961EAE"/>
    <w:rsid w:val="13A81F6E"/>
    <w:rsid w:val="13C22CA3"/>
    <w:rsid w:val="13F6758B"/>
    <w:rsid w:val="14184FB8"/>
    <w:rsid w:val="143A0A8B"/>
    <w:rsid w:val="144067BF"/>
    <w:rsid w:val="145F42FA"/>
    <w:rsid w:val="14755F67"/>
    <w:rsid w:val="14861F22"/>
    <w:rsid w:val="154D47EE"/>
    <w:rsid w:val="15561CF4"/>
    <w:rsid w:val="156634A9"/>
    <w:rsid w:val="15693C18"/>
    <w:rsid w:val="158C3568"/>
    <w:rsid w:val="16161084"/>
    <w:rsid w:val="163855DE"/>
    <w:rsid w:val="16797E6D"/>
    <w:rsid w:val="16DA0303"/>
    <w:rsid w:val="17264FAA"/>
    <w:rsid w:val="1784142E"/>
    <w:rsid w:val="17914A56"/>
    <w:rsid w:val="17A32DEB"/>
    <w:rsid w:val="17C36FE9"/>
    <w:rsid w:val="17C84600"/>
    <w:rsid w:val="17D66D1D"/>
    <w:rsid w:val="18567E5D"/>
    <w:rsid w:val="185F31B6"/>
    <w:rsid w:val="18FA2EDF"/>
    <w:rsid w:val="19012F08"/>
    <w:rsid w:val="19173A91"/>
    <w:rsid w:val="19173FB9"/>
    <w:rsid w:val="191F46F3"/>
    <w:rsid w:val="192561AE"/>
    <w:rsid w:val="192B3098"/>
    <w:rsid w:val="19630A84"/>
    <w:rsid w:val="19762565"/>
    <w:rsid w:val="19C86B39"/>
    <w:rsid w:val="19E73463"/>
    <w:rsid w:val="19EF40C6"/>
    <w:rsid w:val="19F636A6"/>
    <w:rsid w:val="1A6C4064"/>
    <w:rsid w:val="1A7648CF"/>
    <w:rsid w:val="1A8C6779"/>
    <w:rsid w:val="1AF5395E"/>
    <w:rsid w:val="1B06179D"/>
    <w:rsid w:val="1B084B0B"/>
    <w:rsid w:val="1B1A5A62"/>
    <w:rsid w:val="1B785A3B"/>
    <w:rsid w:val="1B9F38C9"/>
    <w:rsid w:val="1BA00EAF"/>
    <w:rsid w:val="1BAF6202"/>
    <w:rsid w:val="1BEC6B0F"/>
    <w:rsid w:val="1BF5393F"/>
    <w:rsid w:val="1C2403B8"/>
    <w:rsid w:val="1C382540"/>
    <w:rsid w:val="1C5931F3"/>
    <w:rsid w:val="1C961170"/>
    <w:rsid w:val="1CA218C3"/>
    <w:rsid w:val="1CBB2985"/>
    <w:rsid w:val="1CCD00FC"/>
    <w:rsid w:val="1CDB6B83"/>
    <w:rsid w:val="1CDC3027"/>
    <w:rsid w:val="1CE4012E"/>
    <w:rsid w:val="1CE75528"/>
    <w:rsid w:val="1CEC2673"/>
    <w:rsid w:val="1CF71C0F"/>
    <w:rsid w:val="1CFF0AC4"/>
    <w:rsid w:val="1D0B7468"/>
    <w:rsid w:val="1D2642A2"/>
    <w:rsid w:val="1D70551D"/>
    <w:rsid w:val="1DA67191"/>
    <w:rsid w:val="1DEF0B38"/>
    <w:rsid w:val="1E236DDE"/>
    <w:rsid w:val="1E592455"/>
    <w:rsid w:val="1E780B2E"/>
    <w:rsid w:val="1E7948A6"/>
    <w:rsid w:val="1E926438"/>
    <w:rsid w:val="1E9E4D4A"/>
    <w:rsid w:val="1F5351E8"/>
    <w:rsid w:val="1F661FCB"/>
    <w:rsid w:val="1F7312F5"/>
    <w:rsid w:val="1FF92002"/>
    <w:rsid w:val="200144FF"/>
    <w:rsid w:val="20196340"/>
    <w:rsid w:val="201B5C14"/>
    <w:rsid w:val="20254ED8"/>
    <w:rsid w:val="20590451"/>
    <w:rsid w:val="20607ACB"/>
    <w:rsid w:val="20A26336"/>
    <w:rsid w:val="20C938C2"/>
    <w:rsid w:val="21467EE2"/>
    <w:rsid w:val="21641332"/>
    <w:rsid w:val="21810C5B"/>
    <w:rsid w:val="21821CC3"/>
    <w:rsid w:val="218E0668"/>
    <w:rsid w:val="21A460DD"/>
    <w:rsid w:val="21EF6C3A"/>
    <w:rsid w:val="220628F4"/>
    <w:rsid w:val="22433EBD"/>
    <w:rsid w:val="22667B7E"/>
    <w:rsid w:val="2280459B"/>
    <w:rsid w:val="228D0920"/>
    <w:rsid w:val="229B4DEB"/>
    <w:rsid w:val="22A24A12"/>
    <w:rsid w:val="22B660C8"/>
    <w:rsid w:val="22D4654E"/>
    <w:rsid w:val="22EF3388"/>
    <w:rsid w:val="23A45F21"/>
    <w:rsid w:val="241430A6"/>
    <w:rsid w:val="241C01AD"/>
    <w:rsid w:val="241F1A4B"/>
    <w:rsid w:val="24420388"/>
    <w:rsid w:val="245B0CD5"/>
    <w:rsid w:val="24637B8A"/>
    <w:rsid w:val="249B1B7C"/>
    <w:rsid w:val="24A00DDE"/>
    <w:rsid w:val="24A02B8C"/>
    <w:rsid w:val="25090151"/>
    <w:rsid w:val="259603FC"/>
    <w:rsid w:val="25AB7A3A"/>
    <w:rsid w:val="25E60A73"/>
    <w:rsid w:val="260746F7"/>
    <w:rsid w:val="260B672B"/>
    <w:rsid w:val="263B7584"/>
    <w:rsid w:val="26455466"/>
    <w:rsid w:val="264F1BD2"/>
    <w:rsid w:val="268B6FC8"/>
    <w:rsid w:val="26A56238"/>
    <w:rsid w:val="26C0090A"/>
    <w:rsid w:val="26C62652"/>
    <w:rsid w:val="26C94080"/>
    <w:rsid w:val="26DE174A"/>
    <w:rsid w:val="270C4509"/>
    <w:rsid w:val="272A2BE1"/>
    <w:rsid w:val="272C6959"/>
    <w:rsid w:val="272F6449"/>
    <w:rsid w:val="274410CD"/>
    <w:rsid w:val="2745297F"/>
    <w:rsid w:val="276B56D3"/>
    <w:rsid w:val="27DF39CB"/>
    <w:rsid w:val="27EB133E"/>
    <w:rsid w:val="282B09BF"/>
    <w:rsid w:val="284877C3"/>
    <w:rsid w:val="28793A8B"/>
    <w:rsid w:val="28F33BD2"/>
    <w:rsid w:val="290556B4"/>
    <w:rsid w:val="291B4ED7"/>
    <w:rsid w:val="2920429C"/>
    <w:rsid w:val="29341AF5"/>
    <w:rsid w:val="29802F8C"/>
    <w:rsid w:val="29910CF5"/>
    <w:rsid w:val="29B43D97"/>
    <w:rsid w:val="29E66EFA"/>
    <w:rsid w:val="29EE7EF6"/>
    <w:rsid w:val="2A1A1D38"/>
    <w:rsid w:val="2A2D1D02"/>
    <w:rsid w:val="2A6B7798"/>
    <w:rsid w:val="2A943115"/>
    <w:rsid w:val="2B0379D1"/>
    <w:rsid w:val="2B361B54"/>
    <w:rsid w:val="2B3E186C"/>
    <w:rsid w:val="2B5621F6"/>
    <w:rsid w:val="2B5A2F88"/>
    <w:rsid w:val="2B5E52B2"/>
    <w:rsid w:val="2B9D796D"/>
    <w:rsid w:val="2BA016C4"/>
    <w:rsid w:val="2BB86A0D"/>
    <w:rsid w:val="2BE45A54"/>
    <w:rsid w:val="2BE60795"/>
    <w:rsid w:val="2C1F4CDE"/>
    <w:rsid w:val="2C385DA0"/>
    <w:rsid w:val="2C444745"/>
    <w:rsid w:val="2C804AD7"/>
    <w:rsid w:val="2C950AFD"/>
    <w:rsid w:val="2C9A6A81"/>
    <w:rsid w:val="2CA945A8"/>
    <w:rsid w:val="2CF47F19"/>
    <w:rsid w:val="2CF972DD"/>
    <w:rsid w:val="2D0637A8"/>
    <w:rsid w:val="2D2B1461"/>
    <w:rsid w:val="2D3E2F42"/>
    <w:rsid w:val="2D560F91"/>
    <w:rsid w:val="2D564730"/>
    <w:rsid w:val="2D765595"/>
    <w:rsid w:val="2D791821"/>
    <w:rsid w:val="2D7B5F44"/>
    <w:rsid w:val="2D9E1065"/>
    <w:rsid w:val="2DA134D1"/>
    <w:rsid w:val="2DA87BE7"/>
    <w:rsid w:val="2DBB27E5"/>
    <w:rsid w:val="2DC01BA9"/>
    <w:rsid w:val="2DE6500B"/>
    <w:rsid w:val="2DE75388"/>
    <w:rsid w:val="2DF81EA0"/>
    <w:rsid w:val="2E0777D8"/>
    <w:rsid w:val="2E165C6D"/>
    <w:rsid w:val="2E444588"/>
    <w:rsid w:val="2E497DF1"/>
    <w:rsid w:val="2E4C78E1"/>
    <w:rsid w:val="2E67471B"/>
    <w:rsid w:val="2E7F7CB6"/>
    <w:rsid w:val="2EDB0A6C"/>
    <w:rsid w:val="2F0106CB"/>
    <w:rsid w:val="2F364819"/>
    <w:rsid w:val="2F875074"/>
    <w:rsid w:val="2F8C5DC0"/>
    <w:rsid w:val="2FCB3E32"/>
    <w:rsid w:val="2FD55A1F"/>
    <w:rsid w:val="2FF10740"/>
    <w:rsid w:val="30297EDA"/>
    <w:rsid w:val="305D200D"/>
    <w:rsid w:val="307F7AFA"/>
    <w:rsid w:val="30881B66"/>
    <w:rsid w:val="30E43E01"/>
    <w:rsid w:val="31AA329C"/>
    <w:rsid w:val="31E00A6C"/>
    <w:rsid w:val="31E367AE"/>
    <w:rsid w:val="322E158E"/>
    <w:rsid w:val="32345FF2"/>
    <w:rsid w:val="3240775C"/>
    <w:rsid w:val="32564137"/>
    <w:rsid w:val="327411B4"/>
    <w:rsid w:val="32C959A4"/>
    <w:rsid w:val="32E620B2"/>
    <w:rsid w:val="32E7407C"/>
    <w:rsid w:val="331916D9"/>
    <w:rsid w:val="33353039"/>
    <w:rsid w:val="33B95A18"/>
    <w:rsid w:val="33C85C5B"/>
    <w:rsid w:val="34362BC5"/>
    <w:rsid w:val="34784F8C"/>
    <w:rsid w:val="34A22009"/>
    <w:rsid w:val="34A55F9D"/>
    <w:rsid w:val="34A57D4B"/>
    <w:rsid w:val="351F7AFD"/>
    <w:rsid w:val="3529272A"/>
    <w:rsid w:val="352F76EC"/>
    <w:rsid w:val="357A11D7"/>
    <w:rsid w:val="3586192A"/>
    <w:rsid w:val="358B6F41"/>
    <w:rsid w:val="359F4D60"/>
    <w:rsid w:val="35BC534C"/>
    <w:rsid w:val="35DE1766"/>
    <w:rsid w:val="35F72828"/>
    <w:rsid w:val="3679148F"/>
    <w:rsid w:val="36B3055B"/>
    <w:rsid w:val="36C00E6C"/>
    <w:rsid w:val="3770771F"/>
    <w:rsid w:val="37865C12"/>
    <w:rsid w:val="37AF33BA"/>
    <w:rsid w:val="37D83F93"/>
    <w:rsid w:val="380A4A95"/>
    <w:rsid w:val="3857135C"/>
    <w:rsid w:val="385E750B"/>
    <w:rsid w:val="386A72E1"/>
    <w:rsid w:val="38710670"/>
    <w:rsid w:val="389B4C19"/>
    <w:rsid w:val="38A81BB8"/>
    <w:rsid w:val="38AF6001"/>
    <w:rsid w:val="38B22A36"/>
    <w:rsid w:val="38CD6415"/>
    <w:rsid w:val="396E6D87"/>
    <w:rsid w:val="39BA1BA2"/>
    <w:rsid w:val="3AC70A1B"/>
    <w:rsid w:val="3AE113B1"/>
    <w:rsid w:val="3B2E0A9A"/>
    <w:rsid w:val="3B6C511E"/>
    <w:rsid w:val="3BA90120"/>
    <w:rsid w:val="3BC74A4B"/>
    <w:rsid w:val="3BFF5F92"/>
    <w:rsid w:val="3C333E8E"/>
    <w:rsid w:val="3C3644F6"/>
    <w:rsid w:val="3C722C08"/>
    <w:rsid w:val="3C7A1ABD"/>
    <w:rsid w:val="3C9568F7"/>
    <w:rsid w:val="3CAB7EC8"/>
    <w:rsid w:val="3CB939B5"/>
    <w:rsid w:val="3D0870C9"/>
    <w:rsid w:val="3D353312"/>
    <w:rsid w:val="3D3E2AEA"/>
    <w:rsid w:val="3D42082D"/>
    <w:rsid w:val="3D434260"/>
    <w:rsid w:val="3D595376"/>
    <w:rsid w:val="3D687B67"/>
    <w:rsid w:val="3D7A0FEB"/>
    <w:rsid w:val="3DC01751"/>
    <w:rsid w:val="3DD86B4B"/>
    <w:rsid w:val="3DF00289"/>
    <w:rsid w:val="3DF17B5D"/>
    <w:rsid w:val="3DFE382A"/>
    <w:rsid w:val="3E4D56DB"/>
    <w:rsid w:val="3E520100"/>
    <w:rsid w:val="3E970704"/>
    <w:rsid w:val="3EC63FFB"/>
    <w:rsid w:val="3F0F0BE2"/>
    <w:rsid w:val="3F3B1ABE"/>
    <w:rsid w:val="3F6A5E19"/>
    <w:rsid w:val="3F7171A7"/>
    <w:rsid w:val="3F8A0269"/>
    <w:rsid w:val="3F99207A"/>
    <w:rsid w:val="3FA532F5"/>
    <w:rsid w:val="3FEC48D8"/>
    <w:rsid w:val="3FF35E0E"/>
    <w:rsid w:val="3FF43934"/>
    <w:rsid w:val="400224F5"/>
    <w:rsid w:val="401F3D04"/>
    <w:rsid w:val="40580367"/>
    <w:rsid w:val="407B6E9E"/>
    <w:rsid w:val="409002C6"/>
    <w:rsid w:val="40D07EFD"/>
    <w:rsid w:val="40FC5196"/>
    <w:rsid w:val="41232723"/>
    <w:rsid w:val="41766CF7"/>
    <w:rsid w:val="41A15C12"/>
    <w:rsid w:val="41A75102"/>
    <w:rsid w:val="41B82E6B"/>
    <w:rsid w:val="41EC6FB9"/>
    <w:rsid w:val="41EF609C"/>
    <w:rsid w:val="422E137F"/>
    <w:rsid w:val="42366486"/>
    <w:rsid w:val="42755200"/>
    <w:rsid w:val="427F1BDB"/>
    <w:rsid w:val="428D254A"/>
    <w:rsid w:val="42903DE8"/>
    <w:rsid w:val="42D00689"/>
    <w:rsid w:val="42E934F8"/>
    <w:rsid w:val="42F473A4"/>
    <w:rsid w:val="434C41B3"/>
    <w:rsid w:val="437B23A2"/>
    <w:rsid w:val="437B6846"/>
    <w:rsid w:val="43D10085"/>
    <w:rsid w:val="43D63A7D"/>
    <w:rsid w:val="440C749E"/>
    <w:rsid w:val="4441183E"/>
    <w:rsid w:val="444A2710"/>
    <w:rsid w:val="44720DF9"/>
    <w:rsid w:val="44793A26"/>
    <w:rsid w:val="447B1F1F"/>
    <w:rsid w:val="44A672B5"/>
    <w:rsid w:val="44B6565C"/>
    <w:rsid w:val="453E7B2C"/>
    <w:rsid w:val="45A55DFD"/>
    <w:rsid w:val="45FB5A1D"/>
    <w:rsid w:val="46031D71"/>
    <w:rsid w:val="46132D66"/>
    <w:rsid w:val="462431C5"/>
    <w:rsid w:val="463851F7"/>
    <w:rsid w:val="466C06C8"/>
    <w:rsid w:val="46733805"/>
    <w:rsid w:val="468A3DC6"/>
    <w:rsid w:val="46C6602A"/>
    <w:rsid w:val="471D19C3"/>
    <w:rsid w:val="472015A9"/>
    <w:rsid w:val="473573E0"/>
    <w:rsid w:val="47617B01"/>
    <w:rsid w:val="476F66C2"/>
    <w:rsid w:val="479E35A4"/>
    <w:rsid w:val="47B6529C"/>
    <w:rsid w:val="47DD77A0"/>
    <w:rsid w:val="47EC1AC1"/>
    <w:rsid w:val="481877E0"/>
    <w:rsid w:val="48623B31"/>
    <w:rsid w:val="486F4008"/>
    <w:rsid w:val="48D569F9"/>
    <w:rsid w:val="48F32FE7"/>
    <w:rsid w:val="492B03C7"/>
    <w:rsid w:val="492B5D67"/>
    <w:rsid w:val="494C3385"/>
    <w:rsid w:val="49777AB0"/>
    <w:rsid w:val="499E58FA"/>
    <w:rsid w:val="4A385AC2"/>
    <w:rsid w:val="4A413C1A"/>
    <w:rsid w:val="4AAC5B10"/>
    <w:rsid w:val="4AD54A8E"/>
    <w:rsid w:val="4AD64EA3"/>
    <w:rsid w:val="4AE253FD"/>
    <w:rsid w:val="4B2B598B"/>
    <w:rsid w:val="4B5C51AF"/>
    <w:rsid w:val="4B6D2F19"/>
    <w:rsid w:val="4BA11E61"/>
    <w:rsid w:val="4BE731BF"/>
    <w:rsid w:val="4BF21670"/>
    <w:rsid w:val="4C17089D"/>
    <w:rsid w:val="4C2C2DD4"/>
    <w:rsid w:val="4C3C0B3D"/>
    <w:rsid w:val="4C76404F"/>
    <w:rsid w:val="4C7D362F"/>
    <w:rsid w:val="4C8E75EA"/>
    <w:rsid w:val="4C92075D"/>
    <w:rsid w:val="4CE30FB8"/>
    <w:rsid w:val="4CE70AA9"/>
    <w:rsid w:val="4D057181"/>
    <w:rsid w:val="4D533C78"/>
    <w:rsid w:val="4D926C66"/>
    <w:rsid w:val="4DC17C12"/>
    <w:rsid w:val="4DD94895"/>
    <w:rsid w:val="4E1A6AB1"/>
    <w:rsid w:val="4E395334"/>
    <w:rsid w:val="4E404432"/>
    <w:rsid w:val="4E50229D"/>
    <w:rsid w:val="4E6D140C"/>
    <w:rsid w:val="4E7C16C5"/>
    <w:rsid w:val="4E8D5680"/>
    <w:rsid w:val="4F0040A4"/>
    <w:rsid w:val="4F0C0C9A"/>
    <w:rsid w:val="4F18319B"/>
    <w:rsid w:val="4F7D74A2"/>
    <w:rsid w:val="4FA42C81"/>
    <w:rsid w:val="4FCC21D8"/>
    <w:rsid w:val="4FFA6D45"/>
    <w:rsid w:val="4FFC0D0F"/>
    <w:rsid w:val="500F5C67"/>
    <w:rsid w:val="50137E07"/>
    <w:rsid w:val="503D013D"/>
    <w:rsid w:val="505A5A36"/>
    <w:rsid w:val="50715259"/>
    <w:rsid w:val="507C59AC"/>
    <w:rsid w:val="50A3118B"/>
    <w:rsid w:val="50C26FDD"/>
    <w:rsid w:val="50E15439"/>
    <w:rsid w:val="50E33C7D"/>
    <w:rsid w:val="50F73284"/>
    <w:rsid w:val="510D4856"/>
    <w:rsid w:val="51243BF3"/>
    <w:rsid w:val="5180327A"/>
    <w:rsid w:val="5184720E"/>
    <w:rsid w:val="51962A9D"/>
    <w:rsid w:val="51AD660D"/>
    <w:rsid w:val="51BC69A8"/>
    <w:rsid w:val="51C611A1"/>
    <w:rsid w:val="51CD564B"/>
    <w:rsid w:val="51E90E1F"/>
    <w:rsid w:val="51FC6DA4"/>
    <w:rsid w:val="523D1D4A"/>
    <w:rsid w:val="526E0A5F"/>
    <w:rsid w:val="52AB2578"/>
    <w:rsid w:val="52AF02BB"/>
    <w:rsid w:val="52B91EFD"/>
    <w:rsid w:val="52D4387D"/>
    <w:rsid w:val="52EA4E4F"/>
    <w:rsid w:val="52EC506B"/>
    <w:rsid w:val="530A729F"/>
    <w:rsid w:val="53D855EF"/>
    <w:rsid w:val="53E87AD2"/>
    <w:rsid w:val="54077C82"/>
    <w:rsid w:val="54C6369A"/>
    <w:rsid w:val="55534359"/>
    <w:rsid w:val="55603AEE"/>
    <w:rsid w:val="560165A7"/>
    <w:rsid w:val="563C00B7"/>
    <w:rsid w:val="565B741F"/>
    <w:rsid w:val="566724CB"/>
    <w:rsid w:val="56921A85"/>
    <w:rsid w:val="56B85264"/>
    <w:rsid w:val="56CE4A87"/>
    <w:rsid w:val="56E26F1A"/>
    <w:rsid w:val="57162B95"/>
    <w:rsid w:val="571E65A2"/>
    <w:rsid w:val="5730129E"/>
    <w:rsid w:val="575E06C1"/>
    <w:rsid w:val="577949F3"/>
    <w:rsid w:val="57811B6F"/>
    <w:rsid w:val="57931F59"/>
    <w:rsid w:val="57985387"/>
    <w:rsid w:val="57B36157"/>
    <w:rsid w:val="580C1D0B"/>
    <w:rsid w:val="5811670C"/>
    <w:rsid w:val="583A6360"/>
    <w:rsid w:val="584E7C2E"/>
    <w:rsid w:val="58705DF6"/>
    <w:rsid w:val="58AB5080"/>
    <w:rsid w:val="58E6430A"/>
    <w:rsid w:val="59653481"/>
    <w:rsid w:val="5A295141"/>
    <w:rsid w:val="5A4C63EF"/>
    <w:rsid w:val="5A601E9A"/>
    <w:rsid w:val="5A715E56"/>
    <w:rsid w:val="5A7765E7"/>
    <w:rsid w:val="5AC95F9F"/>
    <w:rsid w:val="5ACB3F81"/>
    <w:rsid w:val="5AD7215D"/>
    <w:rsid w:val="5AE605F2"/>
    <w:rsid w:val="5AEC44F6"/>
    <w:rsid w:val="5B051602"/>
    <w:rsid w:val="5B1C2265"/>
    <w:rsid w:val="5B5B0FE0"/>
    <w:rsid w:val="5B9444F1"/>
    <w:rsid w:val="5B953DC6"/>
    <w:rsid w:val="5B993D2C"/>
    <w:rsid w:val="5B9C33A6"/>
    <w:rsid w:val="5BBE50CA"/>
    <w:rsid w:val="5BCF1086"/>
    <w:rsid w:val="5C1916A5"/>
    <w:rsid w:val="5C2F5FC8"/>
    <w:rsid w:val="5C9C18B0"/>
    <w:rsid w:val="5C9D73D6"/>
    <w:rsid w:val="5CB00EB7"/>
    <w:rsid w:val="5D663C6C"/>
    <w:rsid w:val="5DB22A0D"/>
    <w:rsid w:val="5DCF415F"/>
    <w:rsid w:val="5E115985"/>
    <w:rsid w:val="5E3C677A"/>
    <w:rsid w:val="5E435F13"/>
    <w:rsid w:val="5E56783C"/>
    <w:rsid w:val="5E5879D5"/>
    <w:rsid w:val="5EDD2386"/>
    <w:rsid w:val="5F061196"/>
    <w:rsid w:val="5F1005A7"/>
    <w:rsid w:val="5F117C07"/>
    <w:rsid w:val="5F16521D"/>
    <w:rsid w:val="5F1D47FE"/>
    <w:rsid w:val="5F3062DF"/>
    <w:rsid w:val="5F860448"/>
    <w:rsid w:val="5F8B5C0B"/>
    <w:rsid w:val="5FE926EA"/>
    <w:rsid w:val="608602C0"/>
    <w:rsid w:val="60934D78"/>
    <w:rsid w:val="60CE0B25"/>
    <w:rsid w:val="60DD61E0"/>
    <w:rsid w:val="60E127A8"/>
    <w:rsid w:val="60E47381"/>
    <w:rsid w:val="60F17CF0"/>
    <w:rsid w:val="60F375C4"/>
    <w:rsid w:val="61023CAB"/>
    <w:rsid w:val="611C5F5F"/>
    <w:rsid w:val="611F20BD"/>
    <w:rsid w:val="61355990"/>
    <w:rsid w:val="615D713F"/>
    <w:rsid w:val="616109D2"/>
    <w:rsid w:val="616D55C9"/>
    <w:rsid w:val="61B51FA4"/>
    <w:rsid w:val="61BF7DEE"/>
    <w:rsid w:val="61D218D0"/>
    <w:rsid w:val="61E45750"/>
    <w:rsid w:val="61E55DBC"/>
    <w:rsid w:val="61F45477"/>
    <w:rsid w:val="620C3034"/>
    <w:rsid w:val="624F1172"/>
    <w:rsid w:val="62570266"/>
    <w:rsid w:val="626C70C2"/>
    <w:rsid w:val="627E55B4"/>
    <w:rsid w:val="62826C49"/>
    <w:rsid w:val="62A71B28"/>
    <w:rsid w:val="62C27B96"/>
    <w:rsid w:val="62E11395"/>
    <w:rsid w:val="62E33669"/>
    <w:rsid w:val="6341297D"/>
    <w:rsid w:val="639C3F43"/>
    <w:rsid w:val="63A23524"/>
    <w:rsid w:val="63CE4319"/>
    <w:rsid w:val="63FA7227"/>
    <w:rsid w:val="6427176C"/>
    <w:rsid w:val="64525B96"/>
    <w:rsid w:val="645760BC"/>
    <w:rsid w:val="645E38EF"/>
    <w:rsid w:val="64654C7D"/>
    <w:rsid w:val="64690419"/>
    <w:rsid w:val="64882719"/>
    <w:rsid w:val="64C64FF0"/>
    <w:rsid w:val="64CA4AE0"/>
    <w:rsid w:val="64D34D76"/>
    <w:rsid w:val="64E77440"/>
    <w:rsid w:val="652266CA"/>
    <w:rsid w:val="659B33D6"/>
    <w:rsid w:val="662B15AE"/>
    <w:rsid w:val="662F5543"/>
    <w:rsid w:val="66430FEE"/>
    <w:rsid w:val="667F18FA"/>
    <w:rsid w:val="669A2586"/>
    <w:rsid w:val="66E612EE"/>
    <w:rsid w:val="6707201B"/>
    <w:rsid w:val="671A6DC9"/>
    <w:rsid w:val="672F3320"/>
    <w:rsid w:val="674C272E"/>
    <w:rsid w:val="676143DB"/>
    <w:rsid w:val="677A7689"/>
    <w:rsid w:val="678418BE"/>
    <w:rsid w:val="679A4C3E"/>
    <w:rsid w:val="67AD4954"/>
    <w:rsid w:val="67D21432"/>
    <w:rsid w:val="68273FF7"/>
    <w:rsid w:val="68486B7E"/>
    <w:rsid w:val="687234C5"/>
    <w:rsid w:val="68B03FED"/>
    <w:rsid w:val="68E63EB3"/>
    <w:rsid w:val="68F71C1C"/>
    <w:rsid w:val="68FF5CD8"/>
    <w:rsid w:val="690F02DE"/>
    <w:rsid w:val="69112CDD"/>
    <w:rsid w:val="69271B84"/>
    <w:rsid w:val="693966D8"/>
    <w:rsid w:val="695B03FD"/>
    <w:rsid w:val="69DB6A2E"/>
    <w:rsid w:val="6A773014"/>
    <w:rsid w:val="6ACD4FC1"/>
    <w:rsid w:val="6B013226"/>
    <w:rsid w:val="6B0C6A97"/>
    <w:rsid w:val="6B244D74"/>
    <w:rsid w:val="6B301415"/>
    <w:rsid w:val="6B5B2936"/>
    <w:rsid w:val="6B6F018F"/>
    <w:rsid w:val="6BA442DD"/>
    <w:rsid w:val="6C423AF6"/>
    <w:rsid w:val="6C4E4249"/>
    <w:rsid w:val="6C595B90"/>
    <w:rsid w:val="6C62354D"/>
    <w:rsid w:val="6C711CE5"/>
    <w:rsid w:val="6C976C36"/>
    <w:rsid w:val="6CAF0855"/>
    <w:rsid w:val="6CC22541"/>
    <w:rsid w:val="6CC55970"/>
    <w:rsid w:val="6CE93F71"/>
    <w:rsid w:val="6D045F5B"/>
    <w:rsid w:val="6D107750"/>
    <w:rsid w:val="6D30394E"/>
    <w:rsid w:val="6D5E04BB"/>
    <w:rsid w:val="6DA700B4"/>
    <w:rsid w:val="6DBE0F5A"/>
    <w:rsid w:val="6DFD7CD4"/>
    <w:rsid w:val="6E183D19"/>
    <w:rsid w:val="6E35746E"/>
    <w:rsid w:val="6EA77C40"/>
    <w:rsid w:val="6ECE6BD2"/>
    <w:rsid w:val="6ED70525"/>
    <w:rsid w:val="6EF47329"/>
    <w:rsid w:val="6EFD3C93"/>
    <w:rsid w:val="6F0155A2"/>
    <w:rsid w:val="6F2B6AC3"/>
    <w:rsid w:val="6F377216"/>
    <w:rsid w:val="6F3A126E"/>
    <w:rsid w:val="6F571666"/>
    <w:rsid w:val="6F635425"/>
    <w:rsid w:val="6F7C5FB9"/>
    <w:rsid w:val="6F8166E3"/>
    <w:rsid w:val="6FA3343D"/>
    <w:rsid w:val="6FAF4FFE"/>
    <w:rsid w:val="6FCB7D7F"/>
    <w:rsid w:val="6FCD36D6"/>
    <w:rsid w:val="6FDD600F"/>
    <w:rsid w:val="700A492A"/>
    <w:rsid w:val="707149AA"/>
    <w:rsid w:val="709B37D5"/>
    <w:rsid w:val="70A64653"/>
    <w:rsid w:val="710E21F8"/>
    <w:rsid w:val="71204205"/>
    <w:rsid w:val="713C4FB8"/>
    <w:rsid w:val="716B764B"/>
    <w:rsid w:val="719941B8"/>
    <w:rsid w:val="71AF752D"/>
    <w:rsid w:val="71C50B09"/>
    <w:rsid w:val="72007D93"/>
    <w:rsid w:val="720F7FD6"/>
    <w:rsid w:val="72165809"/>
    <w:rsid w:val="7229553C"/>
    <w:rsid w:val="723B701D"/>
    <w:rsid w:val="72442B1C"/>
    <w:rsid w:val="724759C2"/>
    <w:rsid w:val="7249798C"/>
    <w:rsid w:val="725325B9"/>
    <w:rsid w:val="72606A84"/>
    <w:rsid w:val="7270316B"/>
    <w:rsid w:val="72871FD2"/>
    <w:rsid w:val="728B767B"/>
    <w:rsid w:val="728C5ACB"/>
    <w:rsid w:val="72E90827"/>
    <w:rsid w:val="72F576BD"/>
    <w:rsid w:val="733D0849"/>
    <w:rsid w:val="73410663"/>
    <w:rsid w:val="73532145"/>
    <w:rsid w:val="735C09F1"/>
    <w:rsid w:val="73735B76"/>
    <w:rsid w:val="73781BAB"/>
    <w:rsid w:val="737E5413"/>
    <w:rsid w:val="739C06B8"/>
    <w:rsid w:val="73B42131"/>
    <w:rsid w:val="73D0522C"/>
    <w:rsid w:val="73E536E4"/>
    <w:rsid w:val="741713C4"/>
    <w:rsid w:val="744824CA"/>
    <w:rsid w:val="74714F78"/>
    <w:rsid w:val="74746816"/>
    <w:rsid w:val="747A38CE"/>
    <w:rsid w:val="74CF5374"/>
    <w:rsid w:val="74E60BDD"/>
    <w:rsid w:val="74FF2E74"/>
    <w:rsid w:val="75772930"/>
    <w:rsid w:val="75BA294F"/>
    <w:rsid w:val="75CA1211"/>
    <w:rsid w:val="75D752AF"/>
    <w:rsid w:val="76263B40"/>
    <w:rsid w:val="766905FD"/>
    <w:rsid w:val="769C52B3"/>
    <w:rsid w:val="76B00DC9"/>
    <w:rsid w:val="76B37ACA"/>
    <w:rsid w:val="76C43A85"/>
    <w:rsid w:val="76F160AD"/>
    <w:rsid w:val="770C2D36"/>
    <w:rsid w:val="771D13E7"/>
    <w:rsid w:val="77253DF8"/>
    <w:rsid w:val="774150D6"/>
    <w:rsid w:val="7758211D"/>
    <w:rsid w:val="776D5ECB"/>
    <w:rsid w:val="77740A7B"/>
    <w:rsid w:val="77A4440D"/>
    <w:rsid w:val="77CD4BBB"/>
    <w:rsid w:val="77DA095C"/>
    <w:rsid w:val="77F07564"/>
    <w:rsid w:val="78063C29"/>
    <w:rsid w:val="780E2ADE"/>
    <w:rsid w:val="781400F4"/>
    <w:rsid w:val="78275436"/>
    <w:rsid w:val="78300CA6"/>
    <w:rsid w:val="78340796"/>
    <w:rsid w:val="784309DA"/>
    <w:rsid w:val="78600D39"/>
    <w:rsid w:val="78A200C0"/>
    <w:rsid w:val="78AC657F"/>
    <w:rsid w:val="78EA354B"/>
    <w:rsid w:val="78F63C9E"/>
    <w:rsid w:val="79110AD8"/>
    <w:rsid w:val="791D56CF"/>
    <w:rsid w:val="794E05DA"/>
    <w:rsid w:val="79607369"/>
    <w:rsid w:val="797E57B7"/>
    <w:rsid w:val="798E2128"/>
    <w:rsid w:val="79A11E5C"/>
    <w:rsid w:val="79F0141C"/>
    <w:rsid w:val="7A53049A"/>
    <w:rsid w:val="7A540C7C"/>
    <w:rsid w:val="7ABE07EB"/>
    <w:rsid w:val="7B187EFC"/>
    <w:rsid w:val="7B8D5786"/>
    <w:rsid w:val="7BA21EBB"/>
    <w:rsid w:val="7C896BD7"/>
    <w:rsid w:val="7C8C3F50"/>
    <w:rsid w:val="7C974E84"/>
    <w:rsid w:val="7C9E2682"/>
    <w:rsid w:val="7CC06A9D"/>
    <w:rsid w:val="7CC876FF"/>
    <w:rsid w:val="7D027725"/>
    <w:rsid w:val="7D284DC3"/>
    <w:rsid w:val="7D44322E"/>
    <w:rsid w:val="7D491596"/>
    <w:rsid w:val="7D9D0B8C"/>
    <w:rsid w:val="7DBF4FA6"/>
    <w:rsid w:val="7E4B139A"/>
    <w:rsid w:val="7EDC56E4"/>
    <w:rsid w:val="7EF02F3D"/>
    <w:rsid w:val="7F4A1D1D"/>
    <w:rsid w:val="7F7D0C75"/>
    <w:rsid w:val="7F811962"/>
    <w:rsid w:val="7FC06DB4"/>
    <w:rsid w:val="7FC67D99"/>
    <w:rsid w:val="7FCA19E0"/>
    <w:rsid w:val="7FFF6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 w:cstheme="minorBidi"/>
      <w:kern w:val="2"/>
      <w:sz w:val="28"/>
      <w:szCs w:val="24"/>
      <w:lang w:val="en-US" w:eastAsia="zh-CN" w:bidi="ar-SA"/>
    </w:rPr>
  </w:style>
  <w:style w:type="paragraph" w:styleId="2">
    <w:name w:val="heading 1"/>
    <w:basedOn w:val="1"/>
    <w:next w:val="1"/>
    <w:link w:val="54"/>
    <w:qFormat/>
    <w:uiPriority w:val="0"/>
    <w:pPr>
      <w:keepNext/>
      <w:keepLines/>
      <w:spacing w:before="340" w:after="156" w:line="578" w:lineRule="auto"/>
      <w:jc w:val="center"/>
      <w:outlineLvl w:val="0"/>
    </w:pPr>
    <w:rPr>
      <w:rFonts w:ascii="Times New Roman" w:hAnsi="Times New Roman" w:cs="Times New Roman" w:eastAsiaTheme="minorEastAsia"/>
      <w:b/>
      <w:bCs/>
      <w:color w:val="000000" w:themeColor="text1"/>
      <w:kern w:val="44"/>
      <w:sz w:val="30"/>
      <w:szCs w:val="30"/>
    </w:rPr>
  </w:style>
  <w:style w:type="paragraph" w:styleId="3">
    <w:name w:val="heading 2"/>
    <w:basedOn w:val="1"/>
    <w:next w:val="1"/>
    <w:link w:val="48"/>
    <w:unhideWhenUsed/>
    <w:qFormat/>
    <w:uiPriority w:val="0"/>
    <w:pPr>
      <w:keepNext/>
      <w:keepLines/>
      <w:numPr>
        <w:ilvl w:val="1"/>
        <w:numId w:val="1"/>
      </w:numPr>
      <w:spacing w:before="260" w:after="26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after="260" w:line="413" w:lineRule="auto"/>
      <w:outlineLvl w:val="2"/>
    </w:pPr>
    <w:rPr>
      <w:b/>
      <w:sz w:val="30"/>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pPr>
      <w:jc w:val="left"/>
    </w:pPr>
    <w:rPr>
      <w:color w:val="E54C5E" w:themeColor="accent6"/>
    </w:rPr>
  </w:style>
  <w:style w:type="paragraph" w:styleId="7">
    <w:name w:val="Body Text"/>
    <w:basedOn w:val="1"/>
    <w:semiHidden/>
    <w:qFormat/>
    <w:uiPriority w:val="0"/>
    <w:rPr>
      <w:rFonts w:ascii="黑体" w:hAnsi="黑体" w:eastAsia="黑体" w:cs="黑体"/>
      <w:sz w:val="27"/>
      <w:szCs w:val="27"/>
      <w:lang w:eastAsia="en-US"/>
    </w:rPr>
  </w:style>
  <w:style w:type="paragraph" w:styleId="8">
    <w:name w:val="Plain Text"/>
    <w:basedOn w:val="1"/>
    <w:qFormat/>
    <w:uiPriority w:val="0"/>
    <w:pPr>
      <w:widowControl/>
      <w:spacing w:before="100" w:beforeAutospacing="1" w:after="100" w:afterAutospacing="1"/>
      <w:jc w:val="left"/>
    </w:pPr>
    <w:rPr>
      <w:rFonts w:ascii="Times New Roman" w:hAnsi="Times New Roman" w:eastAsia="宋体" w:cs="Times New Roman"/>
      <w:kern w:val="0"/>
    </w:rPr>
  </w:style>
  <w:style w:type="paragraph" w:styleId="9">
    <w:name w:val="Date"/>
    <w:basedOn w:val="1"/>
    <w:next w:val="1"/>
    <w:link w:val="51"/>
    <w:qFormat/>
    <w:uiPriority w:val="0"/>
    <w:pPr>
      <w:ind w:left="100" w:leftChars="2500"/>
    </w:pPr>
  </w:style>
  <w:style w:type="paragraph" w:styleId="10">
    <w:name w:val="Balloon Text"/>
    <w:basedOn w:val="1"/>
    <w:link w:val="46"/>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List"/>
    <w:basedOn w:val="1"/>
    <w:semiHidden/>
    <w:unhideWhenUsed/>
    <w:qFormat/>
    <w:uiPriority w:val="99"/>
    <w:pPr>
      <w:ind w:left="200" w:hanging="200" w:hangingChars="200"/>
    </w:pPr>
  </w:style>
  <w:style w:type="paragraph" w:styleId="15">
    <w:name w:val="toc 2"/>
    <w:basedOn w:val="1"/>
    <w:next w:val="1"/>
    <w:qFormat/>
    <w:uiPriority w:val="39"/>
    <w:pPr>
      <w:ind w:left="420" w:leftChars="200"/>
    </w:pPr>
  </w:style>
  <w:style w:type="paragraph" w:styleId="1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7">
    <w:name w:val="Normal (Web)"/>
    <w:basedOn w:val="1"/>
    <w:qFormat/>
    <w:uiPriority w:val="0"/>
    <w:pPr>
      <w:spacing w:beforeAutospacing="1" w:afterAutospacing="1"/>
      <w:jc w:val="left"/>
    </w:pPr>
    <w:rPr>
      <w:rFonts w:cs="Times New Roman"/>
      <w:kern w:val="0"/>
      <w:sz w:val="24"/>
    </w:rPr>
  </w:style>
  <w:style w:type="paragraph" w:styleId="18">
    <w:name w:val="annotation subject"/>
    <w:basedOn w:val="6"/>
    <w:next w:val="6"/>
    <w:link w:val="50"/>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FollowedHyperlink"/>
    <w:basedOn w:val="21"/>
    <w:semiHidden/>
    <w:unhideWhenUsed/>
    <w:qFormat/>
    <w:uiPriority w:val="0"/>
    <w:rPr>
      <w:color w:val="0000CC"/>
      <w:sz w:val="22"/>
      <w:szCs w:val="22"/>
      <w:u w:val="single"/>
    </w:rPr>
  </w:style>
  <w:style w:type="character" w:styleId="24">
    <w:name w:val="Emphasis"/>
    <w:basedOn w:val="21"/>
    <w:qFormat/>
    <w:uiPriority w:val="0"/>
    <w:rPr>
      <w:i/>
    </w:rPr>
  </w:style>
  <w:style w:type="character" w:styleId="25">
    <w:name w:val="Hyperlink"/>
    <w:qFormat/>
    <w:uiPriority w:val="99"/>
    <w:rPr>
      <w:color w:val="0000FF"/>
      <w:u w:val="single"/>
    </w:rPr>
  </w:style>
  <w:style w:type="character" w:styleId="26">
    <w:name w:val="annotation reference"/>
    <w:basedOn w:val="21"/>
    <w:qFormat/>
    <w:uiPriority w:val="0"/>
    <w:rPr>
      <w:sz w:val="21"/>
      <w:szCs w:val="21"/>
    </w:rPr>
  </w:style>
  <w:style w:type="character" w:customStyle="1" w:styleId="27">
    <w:name w:val="fontstyle01"/>
    <w:basedOn w:val="21"/>
    <w:qFormat/>
    <w:uiPriority w:val="0"/>
    <w:rPr>
      <w:rFonts w:ascii="TimesNewRomanPS-BoldMT" w:hAnsi="TimesNewRomanPS-BoldMT" w:eastAsia="TimesNewRomanPS-BoldMT" w:cs="TimesNewRomanPS-BoldMT"/>
      <w:b/>
      <w:bCs/>
      <w:color w:val="000000"/>
      <w:sz w:val="24"/>
      <w:szCs w:val="24"/>
    </w:rPr>
  </w:style>
  <w:style w:type="character" w:customStyle="1" w:styleId="28">
    <w:name w:val="fontstyle11"/>
    <w:basedOn w:val="21"/>
    <w:qFormat/>
    <w:uiPriority w:val="0"/>
    <w:rPr>
      <w:rFonts w:ascii="黑体" w:hAnsi="宋体" w:eastAsia="黑体" w:cs="黑体"/>
      <w:color w:val="000000"/>
      <w:sz w:val="24"/>
      <w:szCs w:val="24"/>
    </w:rPr>
  </w:style>
  <w:style w:type="paragraph" w:customStyle="1" w:styleId="29">
    <w:name w:val="Table Text"/>
    <w:basedOn w:val="1"/>
    <w:semiHidden/>
    <w:qFormat/>
    <w:uiPriority w:val="0"/>
    <w:rPr>
      <w:rFonts w:ascii="宋体" w:hAnsi="宋体" w:eastAsia="宋体" w:cs="宋体"/>
      <w:sz w:val="21"/>
      <w:szCs w:val="21"/>
      <w:lang w:eastAsia="en-US"/>
    </w:rPr>
  </w:style>
  <w:style w:type="table" w:customStyle="1" w:styleId="30">
    <w:name w:val="Table Normal"/>
    <w:unhideWhenUsed/>
    <w:qFormat/>
    <w:uiPriority w:val="0"/>
    <w:tblPr>
      <w:tblCellMar>
        <w:top w:w="0" w:type="dxa"/>
        <w:left w:w="0" w:type="dxa"/>
        <w:bottom w:w="0" w:type="dxa"/>
        <w:right w:w="0" w:type="dxa"/>
      </w:tblCellMar>
    </w:tblPr>
  </w:style>
  <w:style w:type="paragraph" w:customStyle="1" w:styleId="3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2">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3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封面标准英文名称"/>
    <w:basedOn w:val="36"/>
    <w:qFormat/>
    <w:uiPriority w:val="0"/>
    <w:pPr>
      <w:framePr w:wrap="around"/>
      <w:spacing w:before="370" w:line="400" w:lineRule="exact"/>
    </w:pPr>
    <w:rPr>
      <w:rFonts w:ascii="Times New Roman"/>
      <w:sz w:val="28"/>
      <w:szCs w:val="28"/>
    </w:rPr>
  </w:style>
  <w:style w:type="paragraph" w:customStyle="1" w:styleId="38">
    <w:name w:val="封面标准文稿类别"/>
    <w:basedOn w:val="1"/>
    <w:qFormat/>
    <w:uiPriority w:val="0"/>
    <w:pPr>
      <w:framePr w:w="9639" w:h="6917" w:hRule="exact" w:wrap="around" w:vAnchor="page" w:hAnchor="page" w:xAlign="center" w:y="6408" w:anchorLock="1"/>
      <w:spacing w:before="440" w:after="160"/>
      <w:jc w:val="center"/>
      <w:textAlignment w:val="center"/>
    </w:pPr>
    <w:rPr>
      <w:rFonts w:ascii="宋体" w:hAnsi="Times New Roman" w:eastAsia="宋体" w:cs="Times New Roman"/>
      <w:kern w:val="0"/>
      <w:sz w:val="24"/>
      <w:szCs w:val="28"/>
    </w:rPr>
  </w:style>
  <w:style w:type="paragraph" w:customStyle="1" w:styleId="39">
    <w:name w:val="封面标准文稿编辑信息"/>
    <w:basedOn w:val="38"/>
    <w:qFormat/>
    <w:uiPriority w:val="0"/>
    <w:pPr>
      <w:framePr w:wrap="around"/>
      <w:spacing w:before="180" w:line="180" w:lineRule="exact"/>
    </w:pPr>
    <w:rPr>
      <w:sz w:val="21"/>
    </w:rPr>
  </w:style>
  <w:style w:type="paragraph" w:customStyle="1" w:styleId="40">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Cs w:val="20"/>
    </w:rPr>
  </w:style>
  <w:style w:type="paragraph" w:customStyle="1" w:styleId="41">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Cs w:val="20"/>
    </w:rPr>
  </w:style>
  <w:style w:type="paragraph" w:customStyle="1" w:styleId="42">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Cs w:val="20"/>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WPSOffice手动目录 1"/>
    <w:qFormat/>
    <w:uiPriority w:val="0"/>
    <w:rPr>
      <w:rFonts w:ascii="Times New Roman" w:hAnsi="Times New Roman" w:eastAsia="宋体" w:cs="Times New Roman"/>
      <w:lang w:val="en-US" w:eastAsia="zh-CN" w:bidi="ar-SA"/>
    </w:rPr>
  </w:style>
  <w:style w:type="paragraph" w:customStyle="1" w:styleId="45">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46">
    <w:name w:val="批注框文本 Char"/>
    <w:basedOn w:val="21"/>
    <w:link w:val="10"/>
    <w:qFormat/>
    <w:uiPriority w:val="0"/>
    <w:rPr>
      <w:rFonts w:ascii="仿宋_GB2312" w:hAnsi="仿宋_GB2312" w:eastAsia="仿宋" w:cstheme="minorBidi"/>
      <w:kern w:val="2"/>
      <w:sz w:val="18"/>
      <w:szCs w:val="18"/>
    </w:rPr>
  </w:style>
  <w:style w:type="paragraph" w:styleId="47">
    <w:name w:val="List Paragraph"/>
    <w:basedOn w:val="1"/>
    <w:qFormat/>
    <w:uiPriority w:val="34"/>
    <w:pPr>
      <w:ind w:firstLine="420" w:firstLineChars="200"/>
    </w:pPr>
    <w:rPr>
      <w:rFonts w:ascii="Calibri" w:hAnsi="Calibri" w:eastAsia="宋体" w:cs="Times New Roman"/>
    </w:rPr>
  </w:style>
  <w:style w:type="character" w:customStyle="1" w:styleId="48">
    <w:name w:val="标题 2 Char"/>
    <w:link w:val="3"/>
    <w:qFormat/>
    <w:uiPriority w:val="0"/>
    <w:rPr>
      <w:rFonts w:ascii="Arial" w:hAnsi="Arial" w:eastAsia="黑体" w:cstheme="minorBidi"/>
      <w:b/>
      <w:kern w:val="2"/>
      <w:sz w:val="32"/>
      <w:szCs w:val="24"/>
    </w:rPr>
  </w:style>
  <w:style w:type="character" w:customStyle="1" w:styleId="49">
    <w:name w:val="批注文字 Char"/>
    <w:basedOn w:val="21"/>
    <w:link w:val="6"/>
    <w:qFormat/>
    <w:uiPriority w:val="0"/>
    <w:rPr>
      <w:rFonts w:ascii="仿宋_GB2312" w:hAnsi="仿宋_GB2312" w:eastAsia="仿宋" w:cstheme="minorBidi"/>
      <w:color w:val="E54C5E" w:themeColor="accent6"/>
      <w:kern w:val="2"/>
      <w:sz w:val="28"/>
      <w:szCs w:val="24"/>
    </w:rPr>
  </w:style>
  <w:style w:type="character" w:customStyle="1" w:styleId="50">
    <w:name w:val="批注主题 Char"/>
    <w:basedOn w:val="49"/>
    <w:link w:val="18"/>
    <w:qFormat/>
    <w:uiPriority w:val="0"/>
    <w:rPr>
      <w:rFonts w:ascii="仿宋_GB2312" w:hAnsi="仿宋_GB2312" w:eastAsia="仿宋" w:cstheme="minorBidi"/>
      <w:color w:val="E54C5E" w:themeColor="accent6"/>
      <w:kern w:val="2"/>
      <w:sz w:val="28"/>
      <w:szCs w:val="24"/>
    </w:rPr>
  </w:style>
  <w:style w:type="character" w:customStyle="1" w:styleId="51">
    <w:name w:val="日期 Char"/>
    <w:basedOn w:val="21"/>
    <w:link w:val="9"/>
    <w:qFormat/>
    <w:uiPriority w:val="0"/>
    <w:rPr>
      <w:rFonts w:ascii="仿宋_GB2312" w:hAnsi="仿宋_GB2312" w:eastAsia="仿宋" w:cstheme="minorBidi"/>
      <w:kern w:val="2"/>
      <w:sz w:val="28"/>
      <w:szCs w:val="24"/>
    </w:rPr>
  </w:style>
  <w:style w:type="paragraph" w:customStyle="1" w:styleId="52">
    <w:name w:val="修订1"/>
    <w:hidden/>
    <w:unhideWhenUsed/>
    <w:qFormat/>
    <w:uiPriority w:val="99"/>
    <w:rPr>
      <w:rFonts w:ascii="仿宋_GB2312" w:hAnsi="仿宋_GB2312" w:eastAsia="仿宋" w:cstheme="minorBidi"/>
      <w:kern w:val="2"/>
      <w:sz w:val="28"/>
      <w:szCs w:val="24"/>
      <w:lang w:val="en-US" w:eastAsia="zh-CN" w:bidi="ar-SA"/>
    </w:rPr>
  </w:style>
  <w:style w:type="paragraph" w:customStyle="1" w:styleId="53">
    <w:name w:val="name"/>
    <w:basedOn w:val="1"/>
    <w:qFormat/>
    <w:uiPriority w:val="0"/>
    <w:pPr>
      <w:widowControl/>
      <w:spacing w:before="100" w:beforeAutospacing="1" w:after="100" w:afterAutospacing="1"/>
      <w:jc w:val="left"/>
    </w:pPr>
    <w:rPr>
      <w:rFonts w:ascii="宋体" w:hAnsi="宋体" w:eastAsia="宋体" w:cs="Times New Roman"/>
      <w:kern w:val="0"/>
      <w:sz w:val="24"/>
    </w:rPr>
  </w:style>
  <w:style w:type="character" w:customStyle="1" w:styleId="54">
    <w:name w:val="标题 1 Char"/>
    <w:link w:val="2"/>
    <w:qFormat/>
    <w:uiPriority w:val="0"/>
    <w:rPr>
      <w:rFonts w:ascii="Times New Roman" w:hAnsi="Times New Roman" w:cs="Times New Roman" w:eastAsiaTheme="minorEastAsia"/>
      <w:b/>
      <w:bCs/>
      <w:color w:val="000000" w:themeColor="text1"/>
      <w:kern w:val="44"/>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59DA2-7D07-46E5-B128-B6528571C6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16628</Words>
  <Characters>19262</Characters>
  <Lines>332</Lines>
  <Paragraphs>93</Paragraphs>
  <TotalTime>4</TotalTime>
  <ScaleCrop>false</ScaleCrop>
  <LinksUpToDate>false</LinksUpToDate>
  <CharactersWithSpaces>20443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2025-01-21T17:21:00Z</dcterms:created>
  <dc:creator>沈成彤</dc:creator>
  <cp:lastModifiedBy>ying123lin163com</cp:lastModifiedBy>
  <dcterms:modified xsi:type="dcterms:W3CDTF">2025-01-24T08:25:57Z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20474FA659D549FDAABBCE61596107A2_13</vt:lpwstr>
  </property>
  <property fmtid="{D5CDD505-2E9C-101B-9397-08002B2CF9AE}" pid="4" name="KSOTemplateDocerSaveRecord">
    <vt:lpwstr>eyJoZGlkIjoiNDMwY2MxM2Y0YmQzOWNmODZmNjQ2YTFjMTEwY2VhN2QiLCJ1c2VySWQiOiI0NTk1MzU0NTQifQ==</vt:lpwstr>
  </property>
</Properties>
</file>