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rPr>
          <w:rFonts w:cs="Times New Roman"/>
        </w:rPr>
      </w:pPr>
      <w:bookmarkStart w:id="0" w:name="_Toc173832471"/>
      <w:bookmarkStart w:id="1" w:name="_Toc179619418"/>
      <w:bookmarkStart w:id="2" w:name="_Toc29461"/>
      <w:bookmarkStart w:id="3" w:name="_Toc20054"/>
      <w:bookmarkStart w:id="4" w:name="_Toc175758514"/>
    </w:p>
    <w:p>
      <w:pPr>
        <w:pStyle w:val="25"/>
        <w:rPr>
          <w:rFonts w:cs="Times New Roman"/>
        </w:rPr>
      </w:pPr>
    </w:p>
    <w:p>
      <w:pPr>
        <w:pStyle w:val="25"/>
        <w:rPr>
          <w:rFonts w:cs="Times New Roman"/>
        </w:rPr>
      </w:pPr>
      <w:bookmarkStart w:id="5" w:name="_Toc186014834"/>
      <w:bookmarkStart w:id="6" w:name="_Toc11819"/>
      <w:bookmarkStart w:id="7" w:name="_Toc186014772"/>
      <w:bookmarkStart w:id="8" w:name="_Toc186027993"/>
      <w:r>
        <w:rPr>
          <w:rFonts w:cs="Times New Roman"/>
        </w:rPr>
        <w:t>熟料库网</w:t>
      </w:r>
      <w:r>
        <w:rPr>
          <w:rFonts w:hint="eastAsia" w:cs="Times New Roman"/>
        </w:rPr>
        <w:t>架应用</w:t>
      </w:r>
      <w:r>
        <w:rPr>
          <w:rFonts w:cs="Times New Roman"/>
        </w:rPr>
        <w:t>技术规程</w:t>
      </w:r>
      <w:bookmarkEnd w:id="0"/>
      <w:bookmarkEnd w:id="1"/>
      <w:bookmarkEnd w:id="2"/>
      <w:bookmarkEnd w:id="3"/>
      <w:bookmarkEnd w:id="4"/>
      <w:bookmarkEnd w:id="5"/>
      <w:bookmarkEnd w:id="6"/>
      <w:bookmarkEnd w:id="7"/>
      <w:bookmarkEnd w:id="8"/>
    </w:p>
    <w:p>
      <w:pPr>
        <w:jc w:val="center"/>
        <w:rPr>
          <w:rFonts w:hint="eastAsia"/>
        </w:rPr>
      </w:pPr>
      <w:r>
        <w:rPr>
          <w:rFonts w:hint="eastAsia" w:ascii="Times New Roman" w:hAnsi="Times New Roman" w:eastAsia="宋体" w:cs="Times New Roman"/>
          <w:b/>
          <w:kern w:val="44"/>
          <w:sz w:val="44"/>
        </w:rPr>
        <w:t>（征求意见稿）</w:t>
      </w:r>
    </w:p>
    <w:p>
      <w:pPr>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sectPr>
          <w:pgSz w:w="11906" w:h="16838"/>
          <w:pgMar w:top="1440" w:right="1797" w:bottom="1440" w:left="1797" w:header="851" w:footer="992" w:gutter="0"/>
          <w:cols w:space="0" w:num="1"/>
          <w:docGrid w:type="linesAndChars" w:linePitch="312" w:charSpace="0"/>
        </w:sectPr>
      </w:pPr>
    </w:p>
    <w:p>
      <w:pPr>
        <w:pStyle w:val="3"/>
        <w:spacing w:before="312" w:after="312" w:line="579" w:lineRule="auto"/>
        <w:jc w:val="center"/>
        <w:rPr>
          <w:rFonts w:ascii="Times New Roman" w:hAnsi="Times New Roman" w:cs="Times New Roman"/>
          <w:bCs w:val="0"/>
          <w:sz w:val="36"/>
          <w:szCs w:val="24"/>
        </w:rPr>
      </w:pPr>
      <w:bookmarkStart w:id="9" w:name="_Toc24668"/>
      <w:bookmarkStart w:id="10" w:name="_Toc186014773"/>
      <w:bookmarkStart w:id="11" w:name="_Toc173832472"/>
      <w:bookmarkStart w:id="12" w:name="_Toc186027994"/>
      <w:bookmarkStart w:id="13" w:name="_Toc15034"/>
      <w:bookmarkStart w:id="14" w:name="_Toc175758515"/>
      <w:bookmarkStart w:id="15" w:name="_Toc30990"/>
      <w:bookmarkStart w:id="16" w:name="_Toc186014835"/>
      <w:r>
        <w:rPr>
          <w:rFonts w:ascii="Times New Roman" w:hAnsi="Times New Roman" w:cs="Times New Roman"/>
          <w:bCs w:val="0"/>
          <w:sz w:val="36"/>
          <w:szCs w:val="24"/>
        </w:rPr>
        <w:t>前  言</w:t>
      </w:r>
      <w:bookmarkEnd w:id="9"/>
      <w:bookmarkEnd w:id="10"/>
      <w:bookmarkEnd w:id="11"/>
      <w:bookmarkEnd w:id="12"/>
      <w:bookmarkEnd w:id="13"/>
      <w:bookmarkEnd w:id="14"/>
      <w:bookmarkEnd w:id="15"/>
      <w:bookmarkEnd w:id="16"/>
    </w:p>
    <w:p>
      <w:pPr>
        <w:pStyle w:val="34"/>
        <w:numPr>
          <w:ilvl w:val="0"/>
          <w:numId w:val="0"/>
        </w:numPr>
        <w:spacing w:beforeLines="0" w:afterLines="0" w:line="400" w:lineRule="exact"/>
        <w:ind w:firstLine="480" w:firstLineChars="200"/>
        <w:jc w:val="both"/>
        <w:outlineLvl w:val="9"/>
        <w:rPr>
          <w:rFonts w:ascii="Times New Roman" w:hAnsi="Times New Roman" w:eastAsia="宋体"/>
          <w:kern w:val="2"/>
          <w:sz w:val="24"/>
          <w:szCs w:val="24"/>
        </w:rPr>
      </w:pPr>
      <w:r>
        <w:rPr>
          <w:rFonts w:ascii="Times New Roman" w:hAnsi="Times New Roman" w:eastAsia="宋体"/>
          <w:kern w:val="2"/>
          <w:sz w:val="24"/>
          <w:szCs w:val="24"/>
        </w:rPr>
        <w:t>根据《安徽省市场监督管理局关于下达2023年第三批安徽省地方标准制修订计划的通知》（皖市监函〔2023〕622号）的要求，编制组经广泛的调查研究，认真总结实践经验，参考有关国家和行业相关标准，并在广泛征求意见的基础上，制定本标准。</w:t>
      </w:r>
    </w:p>
    <w:p>
      <w:pPr>
        <w:pStyle w:val="34"/>
        <w:numPr>
          <w:ilvl w:val="0"/>
          <w:numId w:val="0"/>
        </w:numPr>
        <w:spacing w:beforeLines="0" w:afterLines="0" w:line="400" w:lineRule="exact"/>
        <w:ind w:firstLine="480" w:firstLineChars="200"/>
        <w:jc w:val="both"/>
        <w:outlineLvl w:val="9"/>
        <w:rPr>
          <w:rFonts w:ascii="Times New Roman" w:hAnsi="Times New Roman" w:eastAsia="宋体"/>
          <w:kern w:val="2"/>
          <w:sz w:val="24"/>
          <w:szCs w:val="24"/>
        </w:rPr>
      </w:pPr>
      <w:r>
        <w:rPr>
          <w:rFonts w:ascii="Times New Roman" w:hAnsi="Times New Roman" w:eastAsia="宋体"/>
          <w:kern w:val="2"/>
          <w:sz w:val="24"/>
          <w:szCs w:val="24"/>
        </w:rPr>
        <w:t>本标准共分7章，主要内容有：1.总则；2.术语和符号；3.基本规定；4.荷载与作用；5.结构计算与设计；6.制作、安装与验收；7.使用与维护。</w:t>
      </w:r>
    </w:p>
    <w:p>
      <w:pPr>
        <w:pStyle w:val="34"/>
        <w:numPr>
          <w:ilvl w:val="0"/>
          <w:numId w:val="0"/>
        </w:numPr>
        <w:spacing w:beforeLines="0" w:afterLines="0" w:line="400" w:lineRule="exact"/>
        <w:ind w:firstLine="480" w:firstLineChars="200"/>
        <w:jc w:val="both"/>
        <w:outlineLvl w:val="9"/>
        <w:rPr>
          <w:rFonts w:ascii="Times New Roman" w:hAnsi="Times New Roman" w:eastAsia="宋体"/>
          <w:kern w:val="2"/>
          <w:sz w:val="24"/>
          <w:szCs w:val="24"/>
        </w:rPr>
      </w:pPr>
      <w:r>
        <w:rPr>
          <w:rFonts w:ascii="Times New Roman" w:hAnsi="Times New Roman" w:eastAsia="宋体"/>
          <w:kern w:val="2"/>
          <w:sz w:val="24"/>
          <w:szCs w:val="24"/>
        </w:rPr>
        <w:t>本标准由安徽省住房和城乡建设厅负责归口管理，委托合肥水泥研究设计院有限公司负责具体技术内容的解释。在执行过程中，请各单位注意总结经验，积累资料，如发现需要修改或补充之处，请将意见和建议反馈给合肥水泥研究设计院有限公司（地址：安徽省合肥市包河区辽宁路88号，邮政编码：230051）。</w:t>
      </w:r>
    </w:p>
    <w:p>
      <w:pPr>
        <w:pStyle w:val="34"/>
        <w:numPr>
          <w:ilvl w:val="0"/>
          <w:numId w:val="0"/>
        </w:numPr>
        <w:spacing w:beforeLines="0" w:afterLines="0" w:line="400" w:lineRule="exact"/>
        <w:ind w:firstLine="480" w:firstLineChars="200"/>
        <w:jc w:val="both"/>
        <w:outlineLvl w:val="9"/>
        <w:rPr>
          <w:rFonts w:ascii="Times New Roman" w:hAnsi="Times New Roman" w:eastAsia="宋体"/>
          <w:kern w:val="2"/>
          <w:sz w:val="24"/>
          <w:szCs w:val="24"/>
        </w:rPr>
      </w:pPr>
      <w:r>
        <w:rPr>
          <w:rFonts w:ascii="Times New Roman" w:hAnsi="Times New Roman" w:eastAsia="宋体"/>
          <w:kern w:val="2"/>
          <w:sz w:val="24"/>
          <w:szCs w:val="24"/>
        </w:rPr>
        <w:t>主编单位：</w:t>
      </w:r>
      <w:r>
        <w:rPr>
          <w:rFonts w:hint="eastAsia" w:ascii="Times New Roman" w:hAnsi="Times New Roman" w:eastAsia="宋体"/>
          <w:kern w:val="2"/>
          <w:sz w:val="24"/>
          <w:szCs w:val="24"/>
        </w:rPr>
        <w:t>合肥水泥研究设计院有限公司</w:t>
      </w:r>
      <w:bookmarkStart w:id="266" w:name="_GoBack"/>
      <w:bookmarkEnd w:id="266"/>
    </w:p>
    <w:p>
      <w:pPr>
        <w:pStyle w:val="34"/>
        <w:numPr>
          <w:ilvl w:val="0"/>
          <w:numId w:val="0"/>
        </w:numPr>
        <w:spacing w:beforeLines="0" w:afterLines="0" w:line="400" w:lineRule="exact"/>
        <w:ind w:firstLine="1680" w:firstLineChars="700"/>
        <w:jc w:val="both"/>
        <w:outlineLvl w:val="9"/>
        <w:rPr>
          <w:rFonts w:ascii="Times New Roman" w:hAnsi="Times New Roman" w:eastAsia="宋体"/>
          <w:kern w:val="2"/>
          <w:sz w:val="24"/>
          <w:szCs w:val="24"/>
        </w:rPr>
      </w:pPr>
      <w:r>
        <w:rPr>
          <w:rFonts w:hint="eastAsia" w:ascii="Times New Roman" w:hAnsi="Times New Roman" w:eastAsia="宋体"/>
          <w:kern w:val="2"/>
          <w:sz w:val="24"/>
          <w:szCs w:val="24"/>
        </w:rPr>
        <w:t>中建材(合肥)钢构科技有限公司</w:t>
      </w:r>
    </w:p>
    <w:p>
      <w:pPr>
        <w:pStyle w:val="34"/>
        <w:numPr>
          <w:ilvl w:val="0"/>
          <w:numId w:val="0"/>
        </w:numPr>
        <w:spacing w:beforeLines="0" w:afterLines="0" w:line="400" w:lineRule="exact"/>
        <w:ind w:firstLine="480" w:firstLineChars="200"/>
        <w:jc w:val="both"/>
        <w:outlineLvl w:val="9"/>
        <w:rPr>
          <w:rFonts w:ascii="Times New Roman" w:hAnsi="Times New Roman" w:eastAsia="宋体"/>
          <w:kern w:val="2"/>
          <w:sz w:val="24"/>
          <w:szCs w:val="24"/>
        </w:rPr>
      </w:pPr>
      <w:r>
        <w:rPr>
          <w:rFonts w:ascii="Times New Roman" w:hAnsi="Times New Roman" w:eastAsia="宋体"/>
          <w:kern w:val="2"/>
          <w:sz w:val="24"/>
          <w:szCs w:val="24"/>
        </w:rPr>
        <w:t>参编单位：</w:t>
      </w:r>
      <w:r>
        <w:rPr>
          <w:rFonts w:hint="eastAsia" w:ascii="Times New Roman" w:hAnsi="Times New Roman" w:eastAsia="宋体"/>
          <w:kern w:val="2"/>
          <w:sz w:val="24"/>
          <w:szCs w:val="24"/>
        </w:rPr>
        <w:t>安徽建筑大学</w:t>
      </w:r>
    </w:p>
    <w:p>
      <w:pPr>
        <w:pStyle w:val="32"/>
        <w:spacing w:line="400" w:lineRule="exact"/>
        <w:rPr>
          <w:rFonts w:ascii="Times New Roman" w:hAnsi="Times New Roman" w:cs="Times New Roman"/>
        </w:rPr>
      </w:pPr>
      <w:r>
        <w:rPr>
          <w:rFonts w:ascii="Times New Roman" w:hAnsi="Times New Roman" w:cs="Times New Roman"/>
        </w:rPr>
        <w:t xml:space="preserve">           </w:t>
      </w:r>
      <w:r>
        <w:rPr>
          <w:rFonts w:ascii="Times New Roman" w:hAnsi="Times New Roman" w:eastAsia="宋体" w:cs="Times New Roman"/>
          <w:sz w:val="24"/>
          <w:szCs w:val="24"/>
          <w14:ligatures w14:val="none"/>
        </w:rPr>
        <w:t xml:space="preserve"> </w:t>
      </w:r>
      <w:r>
        <w:rPr>
          <w:rFonts w:hint="eastAsia" w:ascii="Times New Roman" w:hAnsi="Times New Roman" w:eastAsia="宋体" w:cs="Times New Roman"/>
          <w:sz w:val="24"/>
          <w:szCs w:val="24"/>
          <w14:ligatures w14:val="none"/>
        </w:rPr>
        <w:t>安徽文达信息工程学院</w:t>
      </w:r>
    </w:p>
    <w:p>
      <w:pPr>
        <w:pStyle w:val="34"/>
        <w:numPr>
          <w:ilvl w:val="0"/>
          <w:numId w:val="0"/>
        </w:numPr>
        <w:spacing w:beforeLines="0" w:afterLines="0" w:line="400" w:lineRule="exact"/>
        <w:ind w:firstLine="480" w:firstLineChars="200"/>
        <w:jc w:val="both"/>
        <w:outlineLvl w:val="9"/>
        <w:rPr>
          <w:rFonts w:ascii="Times New Roman" w:hAnsi="Times New Roman" w:eastAsia="宋体"/>
          <w:kern w:val="2"/>
          <w:sz w:val="24"/>
          <w:szCs w:val="24"/>
        </w:rPr>
      </w:pPr>
      <w:r>
        <w:rPr>
          <w:rFonts w:ascii="Times New Roman" w:hAnsi="Times New Roman" w:eastAsia="宋体"/>
          <w:kern w:val="2"/>
          <w:sz w:val="24"/>
          <w:szCs w:val="24"/>
        </w:rPr>
        <w:t>主要编写人员：</w:t>
      </w:r>
    </w:p>
    <w:p>
      <w:pPr>
        <w:ind w:left="2100" w:leftChars="1000"/>
        <w:jc w:val="left"/>
        <w:rPr>
          <w:rFonts w:hint="eastAsia" w:ascii="宋体" w:hAnsi="宋体" w:eastAsia="宋体"/>
          <w:sz w:val="24"/>
          <w:szCs w:val="28"/>
        </w:rPr>
      </w:pPr>
      <w:r>
        <w:rPr>
          <w:rFonts w:hint="eastAsia" w:ascii="宋体" w:hAnsi="宋体" w:eastAsia="宋体"/>
          <w:sz w:val="24"/>
          <w:szCs w:val="28"/>
        </w:rPr>
        <w:t>蒋守锋  董哲武  孙  强  谢  坚  李德学</w:t>
      </w:r>
    </w:p>
    <w:p>
      <w:pPr>
        <w:ind w:left="2100" w:leftChars="1000"/>
        <w:jc w:val="left"/>
        <w:rPr>
          <w:rFonts w:hint="eastAsia" w:ascii="宋体" w:hAnsi="宋体" w:eastAsia="宋体"/>
          <w:sz w:val="24"/>
          <w:szCs w:val="28"/>
        </w:rPr>
      </w:pPr>
      <w:r>
        <w:rPr>
          <w:rFonts w:hint="eastAsia" w:ascii="宋体" w:hAnsi="宋体" w:eastAsia="宋体"/>
          <w:sz w:val="24"/>
          <w:szCs w:val="28"/>
        </w:rPr>
        <w:t>钱  刚  郑  青  朱玉林  闫  新  万凌昕</w:t>
      </w:r>
    </w:p>
    <w:p>
      <w:pPr>
        <w:ind w:left="2100" w:leftChars="1000"/>
        <w:jc w:val="left"/>
        <w:rPr>
          <w:rFonts w:hint="eastAsia" w:ascii="宋体" w:hAnsi="宋体" w:eastAsia="宋体"/>
          <w:sz w:val="24"/>
          <w:szCs w:val="28"/>
        </w:rPr>
      </w:pPr>
      <w:r>
        <w:rPr>
          <w:rFonts w:hint="eastAsia" w:ascii="宋体" w:hAnsi="宋体" w:eastAsia="宋体"/>
          <w:sz w:val="24"/>
          <w:szCs w:val="28"/>
        </w:rPr>
        <w:t>邓文锋  计康生  胡文斌  王  放  王东征</w:t>
      </w:r>
    </w:p>
    <w:p>
      <w:pPr>
        <w:ind w:left="2100" w:leftChars="1000"/>
        <w:jc w:val="left"/>
        <w:rPr>
          <w:rFonts w:hint="eastAsia" w:ascii="宋体" w:hAnsi="宋体" w:eastAsia="宋体"/>
          <w:sz w:val="24"/>
          <w:szCs w:val="28"/>
        </w:rPr>
      </w:pPr>
      <w:r>
        <w:rPr>
          <w:rFonts w:hint="eastAsia" w:ascii="宋体" w:hAnsi="宋体" w:eastAsia="宋体"/>
          <w:sz w:val="24"/>
          <w:szCs w:val="28"/>
        </w:rPr>
        <w:t>冯  欢  李运军  张  晖  樊  旭  陈昌强</w:t>
      </w:r>
    </w:p>
    <w:p>
      <w:pPr>
        <w:ind w:left="2100" w:leftChars="1000"/>
        <w:jc w:val="left"/>
        <w:rPr>
          <w:rFonts w:hint="eastAsia" w:ascii="宋体" w:hAnsi="宋体" w:eastAsia="宋体"/>
          <w:sz w:val="24"/>
          <w:szCs w:val="28"/>
        </w:rPr>
      </w:pPr>
      <w:r>
        <w:rPr>
          <w:rFonts w:hint="eastAsia" w:ascii="宋体" w:hAnsi="宋体" w:eastAsia="宋体"/>
          <w:sz w:val="24"/>
          <w:szCs w:val="28"/>
        </w:rPr>
        <w:t>于震海  杨曙运  张好东  陈继业  郭权权</w:t>
      </w:r>
    </w:p>
    <w:p>
      <w:pPr>
        <w:ind w:left="2100" w:leftChars="1000"/>
        <w:jc w:val="left"/>
        <w:rPr>
          <w:rFonts w:hint="eastAsia" w:ascii="宋体" w:hAnsi="宋体" w:eastAsia="宋体"/>
          <w:sz w:val="24"/>
          <w:szCs w:val="28"/>
        </w:rPr>
      </w:pPr>
      <w:r>
        <w:rPr>
          <w:rFonts w:hint="eastAsia" w:ascii="宋体" w:hAnsi="宋体" w:eastAsia="宋体"/>
          <w:sz w:val="24"/>
          <w:szCs w:val="28"/>
        </w:rPr>
        <w:t>张小东  王  浩  胡  光  杨世昱  张良波</w:t>
      </w:r>
    </w:p>
    <w:p>
      <w:pPr>
        <w:ind w:left="2100" w:leftChars="1000"/>
        <w:jc w:val="left"/>
        <w:rPr>
          <w:rFonts w:hint="eastAsia" w:ascii="宋体" w:hAnsi="宋体" w:eastAsia="宋体"/>
          <w:sz w:val="24"/>
          <w:szCs w:val="28"/>
        </w:rPr>
      </w:pPr>
      <w:r>
        <w:rPr>
          <w:rFonts w:hint="eastAsia" w:ascii="宋体" w:hAnsi="宋体" w:eastAsia="宋体"/>
          <w:sz w:val="24"/>
          <w:szCs w:val="28"/>
        </w:rPr>
        <w:t>杨晶晶  朱  敏  冯  涛  王  伟  李  青</w:t>
      </w:r>
    </w:p>
    <w:p>
      <w:pPr>
        <w:ind w:left="2100" w:leftChars="1000"/>
        <w:jc w:val="left"/>
        <w:rPr>
          <w:rFonts w:hint="eastAsia"/>
        </w:rPr>
      </w:pPr>
      <w:r>
        <w:rPr>
          <w:rFonts w:hint="eastAsia" w:ascii="宋体" w:hAnsi="宋体" w:eastAsia="宋体"/>
          <w:sz w:val="24"/>
          <w:szCs w:val="28"/>
        </w:rPr>
        <w:t>李雨城</w:t>
      </w:r>
    </w:p>
    <w:p>
      <w:pPr>
        <w:pStyle w:val="34"/>
        <w:numPr>
          <w:ilvl w:val="0"/>
          <w:numId w:val="0"/>
        </w:numPr>
        <w:spacing w:beforeLines="0" w:afterLines="0" w:line="400" w:lineRule="exact"/>
        <w:ind w:firstLine="480" w:firstLineChars="200"/>
        <w:jc w:val="both"/>
        <w:outlineLvl w:val="9"/>
        <w:rPr>
          <w:rFonts w:ascii="Times New Roman" w:hAnsi="Times New Roman" w:eastAsia="宋体"/>
          <w:kern w:val="2"/>
          <w:sz w:val="24"/>
          <w:szCs w:val="24"/>
        </w:rPr>
      </w:pPr>
      <w:r>
        <w:rPr>
          <w:rFonts w:ascii="Times New Roman" w:hAnsi="Times New Roman" w:eastAsia="宋体"/>
          <w:kern w:val="2"/>
          <w:sz w:val="24"/>
          <w:szCs w:val="24"/>
        </w:rPr>
        <w:t>主要审查人员：</w:t>
      </w:r>
    </w:p>
    <w:p>
      <w:pPr>
        <w:pStyle w:val="32"/>
        <w:rPr>
          <w:rFonts w:ascii="Times New Roman" w:hAnsi="Times New Roman" w:cs="Times New Roman"/>
        </w:rPr>
      </w:pPr>
    </w:p>
    <w:p>
      <w:pPr>
        <w:pStyle w:val="32"/>
        <w:rPr>
          <w:rFonts w:ascii="Times New Roman" w:hAnsi="Times New Roman" w:cs="Times New Roman"/>
        </w:rPr>
        <w:sectPr>
          <w:footerReference r:id="rId3" w:type="default"/>
          <w:pgSz w:w="11906" w:h="16838"/>
          <w:pgMar w:top="1440" w:right="1797" w:bottom="1440" w:left="1797" w:header="851" w:footer="992" w:gutter="0"/>
          <w:pgNumType w:start="1"/>
          <w:cols w:space="0" w:num="1"/>
          <w:docGrid w:type="linesAndChars" w:linePitch="312" w:charSpace="0"/>
        </w:sectPr>
      </w:pPr>
    </w:p>
    <w:p>
      <w:pPr>
        <w:tabs>
          <w:tab w:val="right" w:leader="dot" w:pos="8302"/>
        </w:tabs>
        <w:jc w:val="center"/>
        <w:outlineLvl w:val="0"/>
        <w:rPr>
          <w:rFonts w:ascii="Times New Roman" w:hAnsi="Times New Roman" w:eastAsia="宋体" w:cs="Times New Roman"/>
          <w:b/>
          <w:kern w:val="0"/>
          <w:sz w:val="36"/>
          <w:szCs w:val="36"/>
        </w:rPr>
      </w:pPr>
      <w:bookmarkStart w:id="17" w:name="_Toc186027995"/>
      <w:bookmarkStart w:id="18" w:name="_Toc29164"/>
      <w:bookmarkStart w:id="19" w:name="_Toc175758516"/>
      <w:bookmarkStart w:id="20" w:name="_Toc186014774"/>
      <w:bookmarkStart w:id="21" w:name="_Toc15596"/>
      <w:bookmarkStart w:id="22" w:name="_Toc12533"/>
      <w:bookmarkStart w:id="23" w:name="_Toc186014836"/>
      <w:r>
        <w:rPr>
          <w:rFonts w:ascii="Times New Roman" w:hAnsi="Times New Roman" w:eastAsia="宋体" w:cs="Times New Roman"/>
          <w:b/>
          <w:kern w:val="0"/>
          <w:sz w:val="36"/>
          <w:szCs w:val="36"/>
        </w:rPr>
        <w:t>目  次</w:t>
      </w:r>
      <w:bookmarkEnd w:id="17"/>
      <w:bookmarkEnd w:id="18"/>
      <w:bookmarkEnd w:id="19"/>
      <w:bookmarkEnd w:id="20"/>
      <w:bookmarkEnd w:id="21"/>
      <w:bookmarkEnd w:id="22"/>
      <w:bookmarkEnd w:id="23"/>
    </w:p>
    <w:sdt>
      <w:sdtPr>
        <w:rPr>
          <w:rFonts w:ascii="Times New Roman" w:hAnsi="Times New Roman" w:cs="Times New Roman"/>
          <w:lang w:val="zh-CN"/>
        </w:rPr>
        <w:id w:val="-861049620"/>
        <w:docPartObj>
          <w:docPartGallery w:val="Table of Contents"/>
          <w:docPartUnique/>
        </w:docPartObj>
      </w:sdtPr>
      <w:sdtEndPr>
        <w:rPr>
          <w:rFonts w:ascii="Times New Roman" w:hAnsi="Times New Roman" w:eastAsia="宋体" w:cs="Times New Roman"/>
          <w:sz w:val="24"/>
          <w:szCs w:val="24"/>
          <w:lang w:val="zh-CN"/>
        </w:rPr>
      </w:sdtEndPr>
      <w:sdtContent>
        <w:p>
          <w:pPr>
            <w:pStyle w:val="12"/>
            <w:tabs>
              <w:tab w:val="right" w:leader="dot" w:pos="8302"/>
            </w:tabs>
            <w:spacing w:line="400" w:lineRule="exact"/>
            <w:rPr>
              <w:rFonts w:ascii="Times New Roman" w:hAnsi="Times New Roman" w:eastAsia="宋体" w:cs="Times New Roman"/>
              <w:sz w:val="24"/>
              <w:szCs w:val="24"/>
              <w14:ligatures w14:val="standardContextual"/>
            </w:rPr>
          </w:pP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TOC \o "1-3" \h \z \u </w:instrText>
          </w:r>
          <w:r>
            <w:rPr>
              <w:rFonts w:ascii="Times New Roman" w:hAnsi="Times New Roman" w:eastAsia="宋体" w:cs="Times New Roman"/>
              <w:sz w:val="24"/>
              <w:szCs w:val="24"/>
            </w:rPr>
            <w:fldChar w:fldCharType="separate"/>
          </w:r>
          <w:r>
            <w:fldChar w:fldCharType="begin"/>
          </w:r>
          <w:r>
            <w:instrText xml:space="preserve"> HYPERLINK \l "_Toc186027997" </w:instrText>
          </w:r>
          <w:r>
            <w:fldChar w:fldCharType="separate"/>
          </w:r>
          <w:r>
            <w:rPr>
              <w:rStyle w:val="21"/>
              <w:rFonts w:ascii="Times New Roman" w:hAnsi="Times New Roman" w:eastAsia="宋体" w:cs="Times New Roman"/>
              <w:color w:val="auto"/>
              <w:sz w:val="24"/>
              <w:szCs w:val="24"/>
            </w:rPr>
            <w:t>1．总则</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_Toc186027997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6</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2"/>
            <w:tabs>
              <w:tab w:val="right" w:leader="dot" w:pos="8302"/>
            </w:tabs>
            <w:spacing w:line="400" w:lineRule="exact"/>
            <w:rPr>
              <w:rFonts w:ascii="Times New Roman" w:hAnsi="Times New Roman" w:eastAsia="宋体" w:cs="Times New Roman"/>
              <w:sz w:val="24"/>
              <w:szCs w:val="24"/>
              <w14:ligatures w14:val="standardContextual"/>
            </w:rPr>
          </w:pPr>
          <w:r>
            <w:fldChar w:fldCharType="begin"/>
          </w:r>
          <w:r>
            <w:instrText xml:space="preserve"> HYPERLINK \l "_Toc186027998" </w:instrText>
          </w:r>
          <w:r>
            <w:fldChar w:fldCharType="separate"/>
          </w:r>
          <w:r>
            <w:rPr>
              <w:rStyle w:val="21"/>
              <w:rFonts w:ascii="Times New Roman" w:hAnsi="Times New Roman" w:eastAsia="宋体" w:cs="Times New Roman"/>
              <w:color w:val="auto"/>
              <w:sz w:val="24"/>
              <w:szCs w:val="24"/>
            </w:rPr>
            <w:t>2．术语和符号</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_Toc186027998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"_Toc186027999" </w:instrText>
          </w:r>
          <w:r>
            <w:fldChar w:fldCharType="separate"/>
          </w:r>
          <w:r>
            <w:rPr>
              <w:rStyle w:val="21"/>
              <w:rFonts w:ascii="Times New Roman" w:hAnsi="Times New Roman"/>
              <w:b w:val="0"/>
              <w:bCs w:val="0"/>
              <w:color w:val="auto"/>
              <w:szCs w:val="24"/>
            </w:rPr>
            <w:t>2.1术语</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_Toc186027999 \h </w:instrText>
          </w:r>
          <w:r>
            <w:rPr>
              <w:rFonts w:ascii="Times New Roman" w:hAnsi="Times New Roman"/>
              <w:b w:val="0"/>
              <w:bCs w:val="0"/>
              <w:szCs w:val="24"/>
            </w:rPr>
            <w:fldChar w:fldCharType="separate"/>
          </w:r>
          <w:r>
            <w:rPr>
              <w:rFonts w:ascii="Times New Roman" w:hAnsi="Times New Roman"/>
              <w:b w:val="0"/>
              <w:bCs w:val="0"/>
              <w:szCs w:val="24"/>
            </w:rPr>
            <w:t>7</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"_Toc186028000" </w:instrText>
          </w:r>
          <w:r>
            <w:fldChar w:fldCharType="separate"/>
          </w:r>
          <w:r>
            <w:rPr>
              <w:rStyle w:val="21"/>
              <w:rFonts w:ascii="Times New Roman" w:hAnsi="Times New Roman"/>
              <w:b w:val="0"/>
              <w:bCs w:val="0"/>
              <w:color w:val="auto"/>
              <w:szCs w:val="24"/>
            </w:rPr>
            <w:t>2.2符号</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_Toc186028000 \h </w:instrText>
          </w:r>
          <w:r>
            <w:rPr>
              <w:rFonts w:ascii="Times New Roman" w:hAnsi="Times New Roman"/>
              <w:b w:val="0"/>
              <w:bCs w:val="0"/>
              <w:szCs w:val="24"/>
            </w:rPr>
            <w:fldChar w:fldCharType="separate"/>
          </w:r>
          <w:r>
            <w:rPr>
              <w:rFonts w:ascii="Times New Roman" w:hAnsi="Times New Roman"/>
              <w:b w:val="0"/>
              <w:bCs w:val="0"/>
              <w:szCs w:val="24"/>
            </w:rPr>
            <w:t>7</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2"/>
            <w:tabs>
              <w:tab w:val="right" w:leader="dot" w:pos="8302"/>
            </w:tabs>
            <w:spacing w:line="400" w:lineRule="exact"/>
            <w:rPr>
              <w:rFonts w:ascii="Times New Roman" w:hAnsi="Times New Roman" w:eastAsia="宋体" w:cs="Times New Roman"/>
              <w:sz w:val="24"/>
              <w:szCs w:val="24"/>
              <w14:ligatures w14:val="standardContextual"/>
            </w:rPr>
          </w:pPr>
          <w:r>
            <w:fldChar w:fldCharType="begin"/>
          </w:r>
          <w:r>
            <w:instrText xml:space="preserve"> HYPERLINK \l "_Toc186028001" </w:instrText>
          </w:r>
          <w:r>
            <w:fldChar w:fldCharType="separate"/>
          </w:r>
          <w:r>
            <w:rPr>
              <w:rStyle w:val="21"/>
              <w:rFonts w:ascii="Times New Roman" w:hAnsi="Times New Roman" w:eastAsia="宋体" w:cs="Times New Roman"/>
              <w:color w:val="auto"/>
              <w:sz w:val="24"/>
              <w:szCs w:val="24"/>
            </w:rPr>
            <w:t>3．基本规定</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_Toc186028001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9</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"_Toc186028002" </w:instrText>
          </w:r>
          <w:r>
            <w:fldChar w:fldCharType="separate"/>
          </w:r>
          <w:r>
            <w:rPr>
              <w:rStyle w:val="21"/>
              <w:rFonts w:ascii="Times New Roman" w:hAnsi="Times New Roman"/>
              <w:b w:val="0"/>
              <w:bCs w:val="0"/>
              <w:color w:val="auto"/>
              <w:szCs w:val="24"/>
            </w:rPr>
            <w:t>3.1 一般规定</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_Toc186028002 \h </w:instrText>
          </w:r>
          <w:r>
            <w:rPr>
              <w:rFonts w:ascii="Times New Roman" w:hAnsi="Times New Roman"/>
              <w:b w:val="0"/>
              <w:bCs w:val="0"/>
              <w:szCs w:val="24"/>
            </w:rPr>
            <w:fldChar w:fldCharType="separate"/>
          </w:r>
          <w:r>
            <w:rPr>
              <w:rFonts w:ascii="Times New Roman" w:hAnsi="Times New Roman"/>
              <w:b w:val="0"/>
              <w:bCs w:val="0"/>
              <w:szCs w:val="24"/>
            </w:rPr>
            <w:t>9</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"_Toc186028003" </w:instrText>
          </w:r>
          <w:r>
            <w:fldChar w:fldCharType="separate"/>
          </w:r>
          <w:r>
            <w:rPr>
              <w:rStyle w:val="21"/>
              <w:rFonts w:ascii="Times New Roman" w:hAnsi="Times New Roman"/>
              <w:b w:val="0"/>
              <w:bCs w:val="0"/>
              <w:color w:val="auto"/>
              <w:szCs w:val="24"/>
            </w:rPr>
            <w:t>3.2 材料</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_Toc186028003 \h </w:instrText>
          </w:r>
          <w:r>
            <w:rPr>
              <w:rFonts w:ascii="Times New Roman" w:hAnsi="Times New Roman"/>
              <w:b w:val="0"/>
              <w:bCs w:val="0"/>
              <w:szCs w:val="24"/>
            </w:rPr>
            <w:fldChar w:fldCharType="separate"/>
          </w:r>
          <w:r>
            <w:rPr>
              <w:rFonts w:ascii="Times New Roman" w:hAnsi="Times New Roman"/>
              <w:b w:val="0"/>
              <w:bCs w:val="0"/>
              <w:szCs w:val="24"/>
            </w:rPr>
            <w:t>9</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2"/>
            <w:tabs>
              <w:tab w:val="right" w:leader="dot" w:pos="8302"/>
            </w:tabs>
            <w:spacing w:line="400" w:lineRule="exact"/>
            <w:rPr>
              <w:rFonts w:ascii="Times New Roman" w:hAnsi="Times New Roman" w:eastAsia="宋体" w:cs="Times New Roman"/>
              <w:sz w:val="24"/>
              <w:szCs w:val="24"/>
              <w14:ligatures w14:val="standardContextual"/>
            </w:rPr>
          </w:pPr>
          <w:r>
            <w:fldChar w:fldCharType="begin"/>
          </w:r>
          <w:r>
            <w:instrText xml:space="preserve"> HYPERLINK \l "_Toc186028004" </w:instrText>
          </w:r>
          <w:r>
            <w:fldChar w:fldCharType="separate"/>
          </w:r>
          <w:r>
            <w:rPr>
              <w:rStyle w:val="21"/>
              <w:rFonts w:ascii="Times New Roman" w:hAnsi="Times New Roman" w:eastAsia="宋体" w:cs="Times New Roman"/>
              <w:color w:val="auto"/>
              <w:sz w:val="24"/>
              <w:szCs w:val="24"/>
            </w:rPr>
            <w:t>4．荷载与作用</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_Toc186028004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"_Toc186028005" </w:instrText>
          </w:r>
          <w:r>
            <w:fldChar w:fldCharType="separate"/>
          </w:r>
          <w:r>
            <w:rPr>
              <w:rStyle w:val="21"/>
              <w:rFonts w:ascii="Times New Roman" w:hAnsi="Times New Roman"/>
              <w:b w:val="0"/>
              <w:bCs w:val="0"/>
              <w:color w:val="auto"/>
              <w:szCs w:val="24"/>
            </w:rPr>
            <w:t>4.1一般规定</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_Toc186028005 \h </w:instrText>
          </w:r>
          <w:r>
            <w:rPr>
              <w:rFonts w:ascii="Times New Roman" w:hAnsi="Times New Roman"/>
              <w:b w:val="0"/>
              <w:bCs w:val="0"/>
              <w:szCs w:val="24"/>
            </w:rPr>
            <w:fldChar w:fldCharType="separate"/>
          </w:r>
          <w:r>
            <w:rPr>
              <w:rFonts w:ascii="Times New Roman" w:hAnsi="Times New Roman"/>
              <w:b w:val="0"/>
              <w:bCs w:val="0"/>
              <w:szCs w:val="24"/>
            </w:rPr>
            <w:t>11</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"_Toc186028006" </w:instrText>
          </w:r>
          <w:r>
            <w:fldChar w:fldCharType="separate"/>
          </w:r>
          <w:r>
            <w:rPr>
              <w:rStyle w:val="21"/>
              <w:rFonts w:ascii="Times New Roman" w:hAnsi="Times New Roman"/>
              <w:b w:val="0"/>
              <w:bCs w:val="0"/>
              <w:color w:val="auto"/>
              <w:szCs w:val="24"/>
            </w:rPr>
            <w:t>4.2风荷载</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_Toc186028006 \h </w:instrText>
          </w:r>
          <w:r>
            <w:rPr>
              <w:rFonts w:ascii="Times New Roman" w:hAnsi="Times New Roman"/>
              <w:b w:val="0"/>
              <w:bCs w:val="0"/>
              <w:szCs w:val="24"/>
            </w:rPr>
            <w:fldChar w:fldCharType="separate"/>
          </w:r>
          <w:r>
            <w:rPr>
              <w:rFonts w:ascii="Times New Roman" w:hAnsi="Times New Roman"/>
              <w:b w:val="0"/>
              <w:bCs w:val="0"/>
              <w:szCs w:val="24"/>
            </w:rPr>
            <w:t>11</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"_Toc186028007" </w:instrText>
          </w:r>
          <w:r>
            <w:fldChar w:fldCharType="separate"/>
          </w:r>
          <w:r>
            <w:rPr>
              <w:rStyle w:val="21"/>
              <w:rFonts w:ascii="Times New Roman" w:hAnsi="Times New Roman"/>
              <w:b w:val="0"/>
              <w:bCs w:val="0"/>
              <w:color w:val="auto"/>
              <w:szCs w:val="24"/>
            </w:rPr>
            <w:t>4.3屋面雪荷载</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_Toc186028007 \h </w:instrText>
          </w:r>
          <w:r>
            <w:rPr>
              <w:rFonts w:ascii="Times New Roman" w:hAnsi="Times New Roman"/>
              <w:b w:val="0"/>
              <w:bCs w:val="0"/>
              <w:szCs w:val="24"/>
            </w:rPr>
            <w:fldChar w:fldCharType="separate"/>
          </w:r>
          <w:r>
            <w:rPr>
              <w:rFonts w:ascii="Times New Roman" w:hAnsi="Times New Roman"/>
              <w:b w:val="0"/>
              <w:bCs w:val="0"/>
              <w:szCs w:val="24"/>
            </w:rPr>
            <w:t>12</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"_Toc186028008" </w:instrText>
          </w:r>
          <w:r>
            <w:fldChar w:fldCharType="separate"/>
          </w:r>
          <w:r>
            <w:rPr>
              <w:rStyle w:val="21"/>
              <w:rFonts w:ascii="Times New Roman" w:hAnsi="Times New Roman"/>
              <w:b w:val="0"/>
              <w:bCs w:val="0"/>
              <w:color w:val="auto"/>
              <w:szCs w:val="24"/>
            </w:rPr>
            <w:t>4.4地震作用</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_Toc186028008 \h </w:instrText>
          </w:r>
          <w:r>
            <w:rPr>
              <w:rFonts w:ascii="Times New Roman" w:hAnsi="Times New Roman"/>
              <w:b w:val="0"/>
              <w:bCs w:val="0"/>
              <w:szCs w:val="24"/>
            </w:rPr>
            <w:fldChar w:fldCharType="separate"/>
          </w:r>
          <w:r>
            <w:rPr>
              <w:rFonts w:ascii="Times New Roman" w:hAnsi="Times New Roman"/>
              <w:b w:val="0"/>
              <w:bCs w:val="0"/>
              <w:szCs w:val="24"/>
            </w:rPr>
            <w:t>12</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"_Toc186028009" </w:instrText>
          </w:r>
          <w:r>
            <w:fldChar w:fldCharType="separate"/>
          </w:r>
          <w:r>
            <w:rPr>
              <w:rStyle w:val="21"/>
              <w:rFonts w:ascii="Times New Roman" w:hAnsi="Times New Roman"/>
              <w:b w:val="0"/>
              <w:bCs w:val="0"/>
              <w:color w:val="auto"/>
              <w:szCs w:val="24"/>
            </w:rPr>
            <w:t>4.5温度作用</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_Toc186028009 \h </w:instrText>
          </w:r>
          <w:r>
            <w:rPr>
              <w:rFonts w:ascii="Times New Roman" w:hAnsi="Times New Roman"/>
              <w:b w:val="0"/>
              <w:bCs w:val="0"/>
              <w:szCs w:val="24"/>
            </w:rPr>
            <w:fldChar w:fldCharType="separate"/>
          </w:r>
          <w:r>
            <w:rPr>
              <w:rFonts w:ascii="Times New Roman" w:hAnsi="Times New Roman"/>
              <w:b w:val="0"/>
              <w:bCs w:val="0"/>
              <w:szCs w:val="24"/>
            </w:rPr>
            <w:t>13</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2"/>
            <w:tabs>
              <w:tab w:val="right" w:leader="dot" w:pos="8302"/>
            </w:tabs>
            <w:spacing w:line="400" w:lineRule="exact"/>
            <w:rPr>
              <w:rFonts w:ascii="Times New Roman" w:hAnsi="Times New Roman" w:eastAsia="宋体" w:cs="Times New Roman"/>
              <w:sz w:val="24"/>
              <w:szCs w:val="24"/>
              <w14:ligatures w14:val="standardContextual"/>
            </w:rPr>
          </w:pPr>
          <w:r>
            <w:fldChar w:fldCharType="begin"/>
          </w:r>
          <w:r>
            <w:instrText xml:space="preserve"> HYPERLINK \l "_Toc186028010" </w:instrText>
          </w:r>
          <w:r>
            <w:fldChar w:fldCharType="separate"/>
          </w:r>
          <w:r>
            <w:rPr>
              <w:rStyle w:val="21"/>
              <w:rFonts w:ascii="Times New Roman" w:hAnsi="Times New Roman" w:eastAsia="宋体" w:cs="Times New Roman"/>
              <w:color w:val="auto"/>
              <w:sz w:val="24"/>
              <w:szCs w:val="24"/>
            </w:rPr>
            <w:t>5．结构计算与设计</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_Toc186028010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14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"_Toc186028011" </w:instrText>
          </w:r>
          <w:r>
            <w:fldChar w:fldCharType="separate"/>
          </w:r>
          <w:r>
            <w:rPr>
              <w:rStyle w:val="21"/>
              <w:rFonts w:ascii="Times New Roman" w:hAnsi="Times New Roman"/>
              <w:b w:val="0"/>
              <w:bCs w:val="0"/>
              <w:color w:val="auto"/>
              <w:szCs w:val="24"/>
            </w:rPr>
            <w:t>5.1一般规定</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_Toc186028011 \h </w:instrText>
          </w:r>
          <w:r>
            <w:rPr>
              <w:rFonts w:ascii="Times New Roman" w:hAnsi="Times New Roman"/>
              <w:b w:val="0"/>
              <w:bCs w:val="0"/>
              <w:szCs w:val="24"/>
            </w:rPr>
            <w:fldChar w:fldCharType="separate"/>
          </w:r>
          <w:r>
            <w:rPr>
              <w:rFonts w:ascii="Times New Roman" w:hAnsi="Times New Roman"/>
              <w:b w:val="0"/>
              <w:bCs w:val="0"/>
              <w:szCs w:val="24"/>
            </w:rPr>
            <w:t>14</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"_Toc186028012" </w:instrText>
          </w:r>
          <w:r>
            <w:fldChar w:fldCharType="separate"/>
          </w:r>
          <w:r>
            <w:rPr>
              <w:rStyle w:val="21"/>
              <w:rFonts w:ascii="Times New Roman" w:hAnsi="Times New Roman"/>
              <w:b w:val="0"/>
              <w:bCs w:val="0"/>
              <w:color w:val="auto"/>
              <w:szCs w:val="24"/>
            </w:rPr>
            <w:t>5.2静力计算</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_Toc186028012 \h </w:instrText>
          </w:r>
          <w:r>
            <w:rPr>
              <w:rFonts w:ascii="Times New Roman" w:hAnsi="Times New Roman"/>
              <w:b w:val="0"/>
              <w:bCs w:val="0"/>
              <w:szCs w:val="24"/>
            </w:rPr>
            <w:fldChar w:fldCharType="separate"/>
          </w:r>
          <w:r>
            <w:rPr>
              <w:rFonts w:ascii="Times New Roman" w:hAnsi="Times New Roman"/>
              <w:b w:val="0"/>
              <w:bCs w:val="0"/>
              <w:szCs w:val="24"/>
            </w:rPr>
            <w:t>14</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"_Toc186028013" </w:instrText>
          </w:r>
          <w:r>
            <w:fldChar w:fldCharType="separate"/>
          </w:r>
          <w:r>
            <w:rPr>
              <w:rStyle w:val="21"/>
              <w:rFonts w:ascii="Times New Roman" w:hAnsi="Times New Roman"/>
              <w:b w:val="0"/>
              <w:bCs w:val="0"/>
              <w:color w:val="auto"/>
              <w:szCs w:val="24"/>
            </w:rPr>
            <w:t>5.3抗震设计</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_Toc186028013 \h </w:instrText>
          </w:r>
          <w:r>
            <w:rPr>
              <w:rFonts w:ascii="Times New Roman" w:hAnsi="Times New Roman"/>
              <w:b w:val="0"/>
              <w:bCs w:val="0"/>
              <w:szCs w:val="24"/>
            </w:rPr>
            <w:fldChar w:fldCharType="separate"/>
          </w:r>
          <w:r>
            <w:rPr>
              <w:rFonts w:ascii="Times New Roman" w:hAnsi="Times New Roman"/>
              <w:b w:val="0"/>
              <w:bCs w:val="0"/>
              <w:szCs w:val="24"/>
            </w:rPr>
            <w:t>15</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"_Toc186028014" </w:instrText>
          </w:r>
          <w:r>
            <w:fldChar w:fldCharType="separate"/>
          </w:r>
          <w:r>
            <w:rPr>
              <w:rStyle w:val="21"/>
              <w:rFonts w:ascii="Times New Roman" w:hAnsi="Times New Roman"/>
              <w:b w:val="0"/>
              <w:bCs w:val="0"/>
              <w:color w:val="auto"/>
              <w:szCs w:val="24"/>
            </w:rPr>
            <w:t>5.4稳定计算</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_Toc186028014 \h </w:instrText>
          </w:r>
          <w:r>
            <w:rPr>
              <w:rFonts w:ascii="Times New Roman" w:hAnsi="Times New Roman"/>
              <w:b w:val="0"/>
              <w:bCs w:val="0"/>
              <w:szCs w:val="24"/>
            </w:rPr>
            <w:fldChar w:fldCharType="separate"/>
          </w:r>
          <w:r>
            <w:rPr>
              <w:rFonts w:ascii="Times New Roman" w:hAnsi="Times New Roman"/>
              <w:b w:val="0"/>
              <w:bCs w:val="0"/>
              <w:szCs w:val="24"/>
            </w:rPr>
            <w:t>15</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"_Toc186028015" </w:instrText>
          </w:r>
          <w:r>
            <w:fldChar w:fldCharType="separate"/>
          </w:r>
          <w:r>
            <w:rPr>
              <w:rStyle w:val="21"/>
              <w:rFonts w:ascii="Times New Roman" w:hAnsi="Times New Roman"/>
              <w:b w:val="0"/>
              <w:bCs w:val="0"/>
              <w:color w:val="auto"/>
              <w:szCs w:val="24"/>
            </w:rPr>
            <w:t>5.5杆件设计</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_Toc186028015 \h </w:instrText>
          </w:r>
          <w:r>
            <w:rPr>
              <w:rFonts w:ascii="Times New Roman" w:hAnsi="Times New Roman"/>
              <w:b w:val="0"/>
              <w:bCs w:val="0"/>
              <w:szCs w:val="24"/>
            </w:rPr>
            <w:fldChar w:fldCharType="separate"/>
          </w:r>
          <w:r>
            <w:rPr>
              <w:rFonts w:ascii="Times New Roman" w:hAnsi="Times New Roman"/>
              <w:b w:val="0"/>
              <w:bCs w:val="0"/>
              <w:szCs w:val="24"/>
            </w:rPr>
            <w:t>15</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"_Toc186028016" </w:instrText>
          </w:r>
          <w:r>
            <w:fldChar w:fldCharType="separate"/>
          </w:r>
          <w:r>
            <w:rPr>
              <w:rStyle w:val="21"/>
              <w:rFonts w:ascii="Times New Roman" w:hAnsi="Times New Roman"/>
              <w:b w:val="0"/>
              <w:bCs w:val="0"/>
              <w:color w:val="auto"/>
              <w:szCs w:val="24"/>
            </w:rPr>
            <w:t>5.6焊接空心球节点设计</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_Toc186028016 \h </w:instrText>
          </w:r>
          <w:r>
            <w:rPr>
              <w:rFonts w:ascii="Times New Roman" w:hAnsi="Times New Roman"/>
              <w:b w:val="0"/>
              <w:bCs w:val="0"/>
              <w:szCs w:val="24"/>
            </w:rPr>
            <w:fldChar w:fldCharType="separate"/>
          </w:r>
          <w:r>
            <w:rPr>
              <w:rFonts w:ascii="Times New Roman" w:hAnsi="Times New Roman"/>
              <w:b w:val="0"/>
              <w:bCs w:val="0"/>
              <w:szCs w:val="24"/>
            </w:rPr>
            <w:t>16</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"_Toc186028017" </w:instrText>
          </w:r>
          <w:r>
            <w:fldChar w:fldCharType="separate"/>
          </w:r>
          <w:r>
            <w:rPr>
              <w:rStyle w:val="21"/>
              <w:rFonts w:ascii="Times New Roman" w:hAnsi="Times New Roman"/>
              <w:b w:val="0"/>
              <w:bCs w:val="0"/>
              <w:color w:val="auto"/>
              <w:szCs w:val="24"/>
            </w:rPr>
            <w:t>5.7螺栓球节点设计</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_Toc186028017 \h </w:instrText>
          </w:r>
          <w:r>
            <w:rPr>
              <w:rFonts w:ascii="Times New Roman" w:hAnsi="Times New Roman"/>
              <w:b w:val="0"/>
              <w:bCs w:val="0"/>
              <w:szCs w:val="24"/>
            </w:rPr>
            <w:fldChar w:fldCharType="separate"/>
          </w:r>
          <w:r>
            <w:rPr>
              <w:rFonts w:ascii="Times New Roman" w:hAnsi="Times New Roman"/>
              <w:b w:val="0"/>
              <w:bCs w:val="0"/>
              <w:szCs w:val="24"/>
            </w:rPr>
            <w:t>18</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"_Toc186028018" </w:instrText>
          </w:r>
          <w:r>
            <w:fldChar w:fldCharType="separate"/>
          </w:r>
          <w:r>
            <w:rPr>
              <w:rStyle w:val="21"/>
              <w:rFonts w:ascii="Times New Roman" w:hAnsi="Times New Roman"/>
              <w:b w:val="0"/>
              <w:bCs w:val="0"/>
              <w:color w:val="auto"/>
              <w:szCs w:val="24"/>
            </w:rPr>
            <w:t>5.8支座节点设计</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_Toc186028018 \h </w:instrText>
          </w:r>
          <w:r>
            <w:rPr>
              <w:rFonts w:ascii="Times New Roman" w:hAnsi="Times New Roman"/>
              <w:b w:val="0"/>
              <w:bCs w:val="0"/>
              <w:szCs w:val="24"/>
            </w:rPr>
            <w:fldChar w:fldCharType="separate"/>
          </w:r>
          <w:r>
            <w:rPr>
              <w:rFonts w:ascii="Times New Roman" w:hAnsi="Times New Roman"/>
              <w:b w:val="0"/>
              <w:bCs w:val="0"/>
              <w:szCs w:val="24"/>
            </w:rPr>
            <w:t>20</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"_Toc186028019" </w:instrText>
          </w:r>
          <w:r>
            <w:fldChar w:fldCharType="separate"/>
          </w:r>
          <w:r>
            <w:rPr>
              <w:rStyle w:val="21"/>
              <w:rFonts w:ascii="Times New Roman" w:hAnsi="Times New Roman"/>
              <w:b w:val="0"/>
              <w:bCs w:val="0"/>
              <w:color w:val="auto"/>
              <w:szCs w:val="24"/>
            </w:rPr>
            <w:t>5.9构件节点设计</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_Toc186028019 \h </w:instrText>
          </w:r>
          <w:r>
            <w:rPr>
              <w:rFonts w:ascii="Times New Roman" w:hAnsi="Times New Roman"/>
              <w:b w:val="0"/>
              <w:bCs w:val="0"/>
              <w:szCs w:val="24"/>
            </w:rPr>
            <w:fldChar w:fldCharType="separate"/>
          </w:r>
          <w:r>
            <w:rPr>
              <w:rFonts w:ascii="Times New Roman" w:hAnsi="Times New Roman"/>
              <w:b w:val="0"/>
              <w:bCs w:val="0"/>
              <w:szCs w:val="24"/>
            </w:rPr>
            <w:t>21</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"_Toc186028020" </w:instrText>
          </w:r>
          <w:r>
            <w:fldChar w:fldCharType="separate"/>
          </w:r>
          <w:r>
            <w:rPr>
              <w:rStyle w:val="21"/>
              <w:rFonts w:ascii="Times New Roman" w:hAnsi="Times New Roman"/>
              <w:b w:val="0"/>
              <w:bCs w:val="0"/>
              <w:color w:val="auto"/>
              <w:szCs w:val="24"/>
            </w:rPr>
            <w:t>5.10围护结构设计</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_Toc186028020 \h </w:instrText>
          </w:r>
          <w:r>
            <w:rPr>
              <w:rFonts w:ascii="Times New Roman" w:hAnsi="Times New Roman"/>
              <w:b w:val="0"/>
              <w:bCs w:val="0"/>
              <w:szCs w:val="24"/>
            </w:rPr>
            <w:fldChar w:fldCharType="separate"/>
          </w:r>
          <w:r>
            <w:rPr>
              <w:rFonts w:ascii="Times New Roman" w:hAnsi="Times New Roman"/>
              <w:b w:val="0"/>
              <w:bCs w:val="0"/>
              <w:szCs w:val="24"/>
            </w:rPr>
            <w:t>23</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2"/>
            <w:tabs>
              <w:tab w:val="right" w:leader="dot" w:pos="8302"/>
            </w:tabs>
            <w:spacing w:line="400" w:lineRule="exact"/>
            <w:rPr>
              <w:rFonts w:ascii="Times New Roman" w:hAnsi="Times New Roman" w:eastAsia="宋体" w:cs="Times New Roman"/>
              <w:sz w:val="24"/>
              <w:szCs w:val="24"/>
              <w14:ligatures w14:val="standardContextual"/>
            </w:rPr>
          </w:pPr>
          <w:r>
            <w:fldChar w:fldCharType="begin"/>
          </w:r>
          <w:r>
            <w:instrText xml:space="preserve"> HYPERLINK \l "_Toc186028021" </w:instrText>
          </w:r>
          <w:r>
            <w:fldChar w:fldCharType="separate"/>
          </w:r>
          <w:r>
            <w:rPr>
              <w:rStyle w:val="21"/>
              <w:rFonts w:ascii="Times New Roman" w:hAnsi="Times New Roman" w:eastAsia="宋体" w:cs="Times New Roman"/>
              <w:color w:val="auto"/>
              <w:sz w:val="24"/>
              <w:szCs w:val="24"/>
            </w:rPr>
            <w:t>6．制作、安装与验收</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_Toc186028021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26</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"_Toc186028022" </w:instrText>
          </w:r>
          <w:r>
            <w:fldChar w:fldCharType="separate"/>
          </w:r>
          <w:r>
            <w:rPr>
              <w:rStyle w:val="21"/>
              <w:rFonts w:ascii="Times New Roman" w:hAnsi="Times New Roman"/>
              <w:b w:val="0"/>
              <w:bCs w:val="0"/>
              <w:color w:val="auto"/>
              <w:szCs w:val="24"/>
            </w:rPr>
            <w:t>6.1 一般规定</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_Toc186028022 \h </w:instrText>
          </w:r>
          <w:r>
            <w:rPr>
              <w:rFonts w:ascii="Times New Roman" w:hAnsi="Times New Roman"/>
              <w:b w:val="0"/>
              <w:bCs w:val="0"/>
              <w:szCs w:val="24"/>
            </w:rPr>
            <w:fldChar w:fldCharType="separate"/>
          </w:r>
          <w:r>
            <w:rPr>
              <w:rFonts w:ascii="Times New Roman" w:hAnsi="Times New Roman"/>
              <w:b w:val="0"/>
              <w:bCs w:val="0"/>
              <w:szCs w:val="24"/>
            </w:rPr>
            <w:t>26</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"_Toc186028023" </w:instrText>
          </w:r>
          <w:r>
            <w:fldChar w:fldCharType="separate"/>
          </w:r>
          <w:r>
            <w:rPr>
              <w:rStyle w:val="21"/>
              <w:rFonts w:ascii="Times New Roman" w:hAnsi="Times New Roman"/>
              <w:b w:val="0"/>
              <w:bCs w:val="0"/>
              <w:color w:val="auto"/>
              <w:szCs w:val="24"/>
            </w:rPr>
            <w:t>6.2 制作要求</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_Toc186028023 \h </w:instrText>
          </w:r>
          <w:r>
            <w:rPr>
              <w:rFonts w:ascii="Times New Roman" w:hAnsi="Times New Roman"/>
              <w:b w:val="0"/>
              <w:bCs w:val="0"/>
              <w:szCs w:val="24"/>
            </w:rPr>
            <w:fldChar w:fldCharType="separate"/>
          </w:r>
          <w:r>
            <w:rPr>
              <w:rFonts w:ascii="Times New Roman" w:hAnsi="Times New Roman"/>
              <w:b w:val="0"/>
              <w:bCs w:val="0"/>
              <w:szCs w:val="24"/>
            </w:rPr>
            <w:t>27</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"_Toc186028024" </w:instrText>
          </w:r>
          <w:r>
            <w:fldChar w:fldCharType="separate"/>
          </w:r>
          <w:r>
            <w:rPr>
              <w:rStyle w:val="21"/>
              <w:rFonts w:ascii="Times New Roman" w:hAnsi="Times New Roman"/>
              <w:b w:val="0"/>
              <w:bCs w:val="0"/>
              <w:color w:val="auto"/>
              <w:szCs w:val="24"/>
            </w:rPr>
            <w:t>6.3 高空散装法</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_Toc186028024 \h </w:instrText>
          </w:r>
          <w:r>
            <w:rPr>
              <w:rFonts w:ascii="Times New Roman" w:hAnsi="Times New Roman"/>
              <w:b w:val="0"/>
              <w:bCs w:val="0"/>
              <w:szCs w:val="24"/>
            </w:rPr>
            <w:fldChar w:fldCharType="separate"/>
          </w:r>
          <w:r>
            <w:rPr>
              <w:rFonts w:ascii="Times New Roman" w:hAnsi="Times New Roman"/>
              <w:b w:val="0"/>
              <w:bCs w:val="0"/>
              <w:szCs w:val="24"/>
            </w:rPr>
            <w:t>30</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"_Toc186028025" </w:instrText>
          </w:r>
          <w:r>
            <w:fldChar w:fldCharType="separate"/>
          </w:r>
          <w:r>
            <w:rPr>
              <w:rStyle w:val="21"/>
              <w:rFonts w:ascii="Times New Roman" w:hAnsi="Times New Roman"/>
              <w:b w:val="0"/>
              <w:bCs w:val="0"/>
              <w:color w:val="auto"/>
              <w:szCs w:val="24"/>
            </w:rPr>
            <w:t>6.4 分条或分块安装法</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_Toc186028025 \h </w:instrText>
          </w:r>
          <w:r>
            <w:rPr>
              <w:rFonts w:ascii="Times New Roman" w:hAnsi="Times New Roman"/>
              <w:b w:val="0"/>
              <w:bCs w:val="0"/>
              <w:szCs w:val="24"/>
            </w:rPr>
            <w:fldChar w:fldCharType="separate"/>
          </w:r>
          <w:r>
            <w:rPr>
              <w:rFonts w:ascii="Times New Roman" w:hAnsi="Times New Roman"/>
              <w:b w:val="0"/>
              <w:bCs w:val="0"/>
              <w:szCs w:val="24"/>
            </w:rPr>
            <w:t>30</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"_Toc186028026" </w:instrText>
          </w:r>
          <w:r>
            <w:fldChar w:fldCharType="separate"/>
          </w:r>
          <w:r>
            <w:rPr>
              <w:rStyle w:val="21"/>
              <w:rFonts w:ascii="Times New Roman" w:hAnsi="Times New Roman"/>
              <w:b w:val="0"/>
              <w:bCs w:val="0"/>
              <w:color w:val="auto"/>
              <w:szCs w:val="24"/>
            </w:rPr>
            <w:t>6.5 整体提升法</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_Toc186028026 \h </w:instrText>
          </w:r>
          <w:r>
            <w:rPr>
              <w:rFonts w:ascii="Times New Roman" w:hAnsi="Times New Roman"/>
              <w:b w:val="0"/>
              <w:bCs w:val="0"/>
              <w:szCs w:val="24"/>
            </w:rPr>
            <w:fldChar w:fldCharType="separate"/>
          </w:r>
          <w:r>
            <w:rPr>
              <w:rFonts w:ascii="Times New Roman" w:hAnsi="Times New Roman"/>
              <w:b w:val="0"/>
              <w:bCs w:val="0"/>
              <w:szCs w:val="24"/>
            </w:rPr>
            <w:t>31</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"_Toc186028027" </w:instrText>
          </w:r>
          <w:r>
            <w:fldChar w:fldCharType="separate"/>
          </w:r>
          <w:r>
            <w:rPr>
              <w:rStyle w:val="21"/>
              <w:rFonts w:ascii="Times New Roman" w:hAnsi="Times New Roman"/>
              <w:b w:val="0"/>
              <w:bCs w:val="0"/>
              <w:color w:val="auto"/>
              <w:szCs w:val="24"/>
            </w:rPr>
            <w:t>6.6 验收</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_Toc186028027 \h </w:instrText>
          </w:r>
          <w:r>
            <w:rPr>
              <w:rFonts w:ascii="Times New Roman" w:hAnsi="Times New Roman"/>
              <w:b w:val="0"/>
              <w:bCs w:val="0"/>
              <w:szCs w:val="24"/>
            </w:rPr>
            <w:fldChar w:fldCharType="separate"/>
          </w:r>
          <w:r>
            <w:rPr>
              <w:rFonts w:ascii="Times New Roman" w:hAnsi="Times New Roman"/>
              <w:b w:val="0"/>
              <w:bCs w:val="0"/>
              <w:szCs w:val="24"/>
            </w:rPr>
            <w:t>31</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2"/>
            <w:tabs>
              <w:tab w:val="right" w:leader="dot" w:pos="8302"/>
            </w:tabs>
            <w:spacing w:line="400" w:lineRule="exact"/>
            <w:rPr>
              <w:rFonts w:ascii="Times New Roman" w:hAnsi="Times New Roman" w:eastAsia="宋体" w:cs="Times New Roman"/>
              <w:sz w:val="24"/>
              <w:szCs w:val="24"/>
              <w14:ligatures w14:val="standardContextual"/>
            </w:rPr>
          </w:pPr>
          <w:r>
            <w:fldChar w:fldCharType="begin"/>
          </w:r>
          <w:r>
            <w:instrText xml:space="preserve"> HYPERLINK \l "_Toc186028028" </w:instrText>
          </w:r>
          <w:r>
            <w:fldChar w:fldCharType="separate"/>
          </w:r>
          <w:r>
            <w:rPr>
              <w:rStyle w:val="21"/>
              <w:rFonts w:ascii="Times New Roman" w:hAnsi="Times New Roman" w:eastAsia="宋体" w:cs="Times New Roman"/>
              <w:color w:val="auto"/>
              <w:sz w:val="24"/>
              <w:szCs w:val="24"/>
            </w:rPr>
            <w:t>7．使用与维护</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_Toc186028028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33</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"_Toc186028029" </w:instrText>
          </w:r>
          <w:r>
            <w:fldChar w:fldCharType="separate"/>
          </w:r>
          <w:r>
            <w:rPr>
              <w:rStyle w:val="21"/>
              <w:rFonts w:ascii="Times New Roman" w:hAnsi="Times New Roman"/>
              <w:b w:val="0"/>
              <w:bCs w:val="0"/>
              <w:color w:val="auto"/>
              <w:szCs w:val="24"/>
            </w:rPr>
            <w:t>7.1 输送下料使用规定</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_Toc186028029 \h </w:instrText>
          </w:r>
          <w:r>
            <w:rPr>
              <w:rFonts w:ascii="Times New Roman" w:hAnsi="Times New Roman"/>
              <w:b w:val="0"/>
              <w:bCs w:val="0"/>
              <w:szCs w:val="24"/>
            </w:rPr>
            <w:fldChar w:fldCharType="separate"/>
          </w:r>
          <w:r>
            <w:rPr>
              <w:rFonts w:ascii="Times New Roman" w:hAnsi="Times New Roman"/>
              <w:b w:val="0"/>
              <w:bCs w:val="0"/>
              <w:szCs w:val="24"/>
            </w:rPr>
            <w:t>33</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spacing w:line="400" w:lineRule="exact"/>
            <w:ind w:left="0" w:leftChars="0"/>
            <w:rPr>
              <w:rFonts w:ascii="Times New Roman" w:hAnsi="Times New Roman"/>
              <w:b w:val="0"/>
              <w:bCs w:val="0"/>
              <w:szCs w:val="24"/>
              <w14:ligatures w14:val="standardContextual"/>
            </w:rPr>
          </w:pPr>
          <w:r>
            <w:fldChar w:fldCharType="begin"/>
          </w:r>
          <w:r>
            <w:instrText xml:space="preserve"> HYPERLINK \l "_Toc186028030" </w:instrText>
          </w:r>
          <w:r>
            <w:fldChar w:fldCharType="separate"/>
          </w:r>
          <w:r>
            <w:rPr>
              <w:rStyle w:val="21"/>
              <w:rFonts w:ascii="Times New Roman" w:hAnsi="Times New Roman"/>
              <w:b w:val="0"/>
              <w:bCs w:val="0"/>
              <w:color w:val="auto"/>
              <w:szCs w:val="24"/>
            </w:rPr>
            <w:t>7.2 使用阶段维护规定</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_Toc186028030 \h </w:instrText>
          </w:r>
          <w:r>
            <w:rPr>
              <w:rFonts w:ascii="Times New Roman" w:hAnsi="Times New Roman"/>
              <w:b w:val="0"/>
              <w:bCs w:val="0"/>
              <w:szCs w:val="24"/>
            </w:rPr>
            <w:fldChar w:fldCharType="separate"/>
          </w:r>
          <w:r>
            <w:rPr>
              <w:rFonts w:ascii="Times New Roman" w:hAnsi="Times New Roman"/>
              <w:b w:val="0"/>
              <w:bCs w:val="0"/>
              <w:szCs w:val="24"/>
            </w:rPr>
            <w:t>33</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2"/>
            <w:tabs>
              <w:tab w:val="right" w:leader="dot" w:pos="8302"/>
            </w:tabs>
            <w:spacing w:line="400" w:lineRule="exact"/>
            <w:rPr>
              <w:rFonts w:ascii="Times New Roman" w:hAnsi="Times New Roman" w:eastAsia="宋体" w:cs="Times New Roman"/>
              <w:sz w:val="24"/>
              <w:szCs w:val="24"/>
              <w14:ligatures w14:val="standardContextual"/>
            </w:rPr>
          </w:pPr>
          <w:r>
            <w:fldChar w:fldCharType="begin"/>
          </w:r>
          <w:r>
            <w:instrText xml:space="preserve"> HYPERLINK \l "_Toc186028031" </w:instrText>
          </w:r>
          <w:r>
            <w:fldChar w:fldCharType="separate"/>
          </w:r>
          <w:r>
            <w:rPr>
              <w:rStyle w:val="21"/>
              <w:rFonts w:ascii="Times New Roman" w:hAnsi="Times New Roman" w:eastAsia="宋体" w:cs="Times New Roman"/>
              <w:color w:val="auto"/>
              <w:sz w:val="24"/>
              <w:szCs w:val="24"/>
            </w:rPr>
            <w:t>附录A 水泥熟料库网壳整体示意图</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_Toc186028031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35</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2"/>
            <w:tabs>
              <w:tab w:val="right" w:leader="dot" w:pos="8302"/>
            </w:tabs>
            <w:spacing w:line="400" w:lineRule="exact"/>
            <w:rPr>
              <w:rFonts w:ascii="Times New Roman" w:hAnsi="Times New Roman" w:eastAsia="宋体" w:cs="Times New Roman"/>
              <w:sz w:val="24"/>
              <w:szCs w:val="24"/>
              <w14:ligatures w14:val="standardContextual"/>
            </w:rPr>
          </w:pPr>
          <w:r>
            <w:fldChar w:fldCharType="begin"/>
          </w:r>
          <w:r>
            <w:instrText xml:space="preserve"> HYPERLINK \l "_Toc186028032" </w:instrText>
          </w:r>
          <w:r>
            <w:fldChar w:fldCharType="separate"/>
          </w:r>
          <w:r>
            <w:rPr>
              <w:rStyle w:val="21"/>
              <w:rFonts w:ascii="Times New Roman" w:hAnsi="Times New Roman" w:eastAsia="宋体" w:cs="Times New Roman"/>
              <w:color w:val="auto"/>
              <w:sz w:val="24"/>
              <w:szCs w:val="24"/>
            </w:rPr>
            <w:t>本标准用词说明</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_Toc186028032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37</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2"/>
            <w:tabs>
              <w:tab w:val="right" w:leader="dot" w:pos="8302"/>
            </w:tabs>
            <w:spacing w:line="400" w:lineRule="exact"/>
            <w:rPr>
              <w:rFonts w:ascii="Times New Roman" w:hAnsi="Times New Roman" w:eastAsia="宋体" w:cs="Times New Roman"/>
              <w:sz w:val="24"/>
              <w:szCs w:val="24"/>
              <w14:ligatures w14:val="standardContextual"/>
            </w:rPr>
          </w:pPr>
          <w:r>
            <w:fldChar w:fldCharType="begin"/>
          </w:r>
          <w:r>
            <w:instrText xml:space="preserve"> HYPERLINK \l "_Toc186028033" </w:instrText>
          </w:r>
          <w:r>
            <w:fldChar w:fldCharType="separate"/>
          </w:r>
          <w:r>
            <w:rPr>
              <w:rStyle w:val="21"/>
              <w:rFonts w:ascii="Times New Roman" w:hAnsi="Times New Roman" w:eastAsia="宋体" w:cs="Times New Roman"/>
              <w:color w:val="auto"/>
              <w:sz w:val="24"/>
              <w:szCs w:val="24"/>
            </w:rPr>
            <w:t>引用标准名录</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_Toc186028033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38</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2"/>
            <w:tabs>
              <w:tab w:val="right" w:leader="dot" w:pos="8302"/>
            </w:tabs>
            <w:spacing w:line="400" w:lineRule="exact"/>
            <w:rPr>
              <w:rFonts w:ascii="Times New Roman" w:hAnsi="Times New Roman" w:eastAsia="宋体" w:cs="Times New Roman"/>
              <w:sz w:val="24"/>
              <w:szCs w:val="24"/>
              <w14:ligatures w14:val="standardContextual"/>
            </w:rPr>
          </w:pPr>
          <w:r>
            <w:rPr>
              <w:rStyle w:val="21"/>
              <w:rFonts w:ascii="Times New Roman" w:hAnsi="Times New Roman" w:eastAsia="宋体" w:cs="Times New Roman"/>
              <w:color w:val="auto"/>
              <w:sz w:val="24"/>
              <w:szCs w:val="24"/>
              <w:u w:val="none"/>
            </w:rPr>
            <w:t>附：</w:t>
          </w:r>
          <w:r>
            <w:fldChar w:fldCharType="begin"/>
          </w:r>
          <w:r>
            <w:instrText xml:space="preserve"> HYPERLINK \l "_Toc186028035" </w:instrText>
          </w:r>
          <w:r>
            <w:fldChar w:fldCharType="separate"/>
          </w:r>
          <w:r>
            <w:rPr>
              <w:rStyle w:val="21"/>
              <w:rFonts w:ascii="Times New Roman" w:hAnsi="Times New Roman" w:eastAsia="宋体" w:cs="Times New Roman"/>
              <w:color w:val="auto"/>
              <w:kern w:val="0"/>
              <w:sz w:val="24"/>
              <w:szCs w:val="24"/>
            </w:rPr>
            <w:t>条文说明</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_Toc186028035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39</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2"/>
            <w:tabs>
              <w:tab w:val="right" w:leader="dot" w:pos="8302"/>
            </w:tabs>
            <w:spacing w:line="400" w:lineRule="exact"/>
            <w:rPr>
              <w:rFonts w:ascii="Times New Roman" w:hAnsi="Times New Roman" w:eastAsia="宋体" w:cs="Times New Roman"/>
              <w:sz w:val="24"/>
              <w:szCs w:val="24"/>
              <w14:ligatures w14:val="standardContextual"/>
            </w:rPr>
          </w:pPr>
          <w:r>
            <w:rPr>
              <w:rFonts w:ascii="Times New Roman" w:hAnsi="Times New Roman" w:eastAsia="宋体" w:cs="Times New Roman"/>
              <w:sz w:val="24"/>
              <w:szCs w:val="24"/>
              <w:lang w:val="zh-CN"/>
            </w:rPr>
            <w:fldChar w:fldCharType="end"/>
          </w:r>
        </w:p>
      </w:sdtContent>
    </w:sdt>
    <w:p>
      <w:pPr>
        <w:rPr>
          <w:rFonts w:ascii="Times New Roman" w:hAnsi="Times New Roman" w:cs="Times New Roman"/>
        </w:rPr>
      </w:pPr>
      <w:r>
        <w:rPr>
          <w:rFonts w:ascii="Times New Roman" w:hAnsi="Times New Roman" w:cs="Times New Roman"/>
        </w:rPr>
        <w:br w:type="page"/>
      </w:r>
    </w:p>
    <w:p>
      <w:pPr>
        <w:tabs>
          <w:tab w:val="right" w:leader="dot" w:pos="8302"/>
        </w:tabs>
        <w:jc w:val="center"/>
        <w:outlineLvl w:val="0"/>
        <w:rPr>
          <w:rFonts w:ascii="Times New Roman" w:hAnsi="Times New Roman" w:eastAsia="宋体" w:cs="Times New Roman"/>
          <w:b/>
          <w:kern w:val="0"/>
          <w:sz w:val="36"/>
          <w:szCs w:val="36"/>
        </w:rPr>
      </w:pPr>
      <w:bookmarkStart w:id="24" w:name="_Toc186014775"/>
      <w:bookmarkStart w:id="25" w:name="_Toc186014837"/>
      <w:bookmarkStart w:id="26" w:name="_Toc8399"/>
      <w:bookmarkStart w:id="27" w:name="_Toc186027996"/>
      <w:bookmarkStart w:id="28" w:name="_Toc21739"/>
      <w:bookmarkStart w:id="29" w:name="_Toc14967"/>
      <w:r>
        <w:rPr>
          <w:rFonts w:ascii="Times New Roman" w:hAnsi="Times New Roman" w:eastAsia="宋体" w:cs="Times New Roman"/>
          <w:b/>
          <w:kern w:val="0"/>
          <w:sz w:val="36"/>
          <w:szCs w:val="36"/>
        </w:rPr>
        <w:t>Contents</w:t>
      </w:r>
      <w:bookmarkEnd w:id="24"/>
      <w:bookmarkEnd w:id="25"/>
      <w:bookmarkEnd w:id="26"/>
      <w:bookmarkEnd w:id="27"/>
      <w:bookmarkEnd w:id="28"/>
      <w:bookmarkEnd w:id="29"/>
    </w:p>
    <w:sdt>
      <w:sdtPr>
        <w:rPr>
          <w:rFonts w:ascii="Times New Roman" w:hAnsi="Times New Roman" w:cs="Times New Roman"/>
          <w:lang w:val="zh-CN"/>
        </w:rPr>
        <w:id w:val="174775428"/>
        <w:docPartObj>
          <w:docPartGallery w:val="Table of Contents"/>
          <w:docPartUnique/>
        </w:docPartObj>
      </w:sdtPr>
      <w:sdtEndPr>
        <w:rPr>
          <w:rFonts w:ascii="Times New Roman" w:hAnsi="Times New Roman" w:eastAsia="仿宋" w:cs="Times New Roman"/>
          <w:b/>
          <w:bCs/>
          <w:sz w:val="24"/>
          <w:szCs w:val="24"/>
          <w:lang w:val="zh-CN"/>
        </w:rPr>
      </w:sdtEndPr>
      <w:sdtContent>
        <w:p>
          <w:pPr>
            <w:pStyle w:val="12"/>
            <w:tabs>
              <w:tab w:val="right" w:leader="dot" w:pos="9344"/>
            </w:tabs>
            <w:rPr>
              <w:rFonts w:ascii="Times New Roman" w:hAnsi="Times New Roman" w:cs="Times New Roman"/>
              <w:sz w:val="24"/>
              <w:szCs w:val="24"/>
            </w:rPr>
          </w:pPr>
          <w:r>
            <w:rPr>
              <w:rFonts w:ascii="Times New Roman" w:hAnsi="Times New Roman" w:eastAsia="仿宋" w:cs="Times New Roman"/>
              <w:sz w:val="24"/>
              <w:szCs w:val="24"/>
            </w:rPr>
            <w:fldChar w:fldCharType="begin"/>
          </w:r>
          <w:r>
            <w:rPr>
              <w:rFonts w:ascii="Times New Roman" w:hAnsi="Times New Roman" w:eastAsia="仿宋" w:cs="Times New Roman"/>
              <w:sz w:val="24"/>
              <w:szCs w:val="24"/>
            </w:rPr>
            <w:instrText xml:space="preserve"> TOC \o "1-3" \h \z \u </w:instrText>
          </w:r>
          <w:r>
            <w:rPr>
              <w:rFonts w:ascii="Times New Roman" w:hAnsi="Times New Roman" w:eastAsia="仿宋" w:cs="Times New Roman"/>
              <w:sz w:val="24"/>
              <w:szCs w:val="24"/>
            </w:rPr>
            <w:fldChar w:fldCharType="separate"/>
          </w:r>
        </w:p>
        <w:p>
          <w:pPr>
            <w:pStyle w:val="12"/>
            <w:tabs>
              <w:tab w:val="right" w:leader="dot" w:pos="8312"/>
            </w:tabs>
            <w:spacing w:line="400" w:lineRule="exact"/>
            <w:rPr>
              <w:rFonts w:ascii="Times New Roman" w:hAnsi="Times New Roman" w:cs="Times New Roman"/>
              <w:sz w:val="24"/>
              <w:szCs w:val="24"/>
            </w:rPr>
          </w:pPr>
          <w:r>
            <w:fldChar w:fldCharType="begin"/>
          </w:r>
          <w:r>
            <w:instrText xml:space="preserve"> HYPERLINK \l "_Toc29851" </w:instrText>
          </w:r>
          <w:r>
            <w:fldChar w:fldCharType="separate"/>
          </w:r>
          <w:r>
            <w:rPr>
              <w:rFonts w:ascii="Times New Roman" w:hAnsi="Times New Roman" w:eastAsia="宋体" w:cs="Times New Roman"/>
              <w:sz w:val="24"/>
              <w:szCs w:val="24"/>
            </w:rPr>
            <w:t>Chapter 1  General</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_Toc29851 \h </w:instrText>
          </w:r>
          <w:r>
            <w:rPr>
              <w:rFonts w:ascii="Times New Roman" w:hAnsi="Times New Roman" w:cs="Times New Roman"/>
              <w:sz w:val="24"/>
              <w:szCs w:val="24"/>
            </w:rPr>
            <w:fldChar w:fldCharType="separate"/>
          </w:r>
          <w:r>
            <w:rPr>
              <w:rFonts w:ascii="Times New Roman" w:hAnsi="Times New Roman" w:cs="Times New Roman"/>
              <w:sz w:val="24"/>
              <w:szCs w:val="24"/>
            </w:rPr>
            <w:t>6</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12"/>
            <w:tabs>
              <w:tab w:val="right" w:leader="dot" w:pos="8312"/>
            </w:tabs>
            <w:spacing w:line="400" w:lineRule="exact"/>
            <w:rPr>
              <w:rFonts w:ascii="Times New Roman" w:hAnsi="Times New Roman" w:cs="Times New Roman"/>
              <w:sz w:val="24"/>
              <w:szCs w:val="24"/>
            </w:rPr>
          </w:pPr>
          <w:r>
            <w:fldChar w:fldCharType="begin"/>
          </w:r>
          <w:r>
            <w:instrText xml:space="preserve"> HYPERLINK \l "_Toc21553" </w:instrText>
          </w:r>
          <w:r>
            <w:fldChar w:fldCharType="separate"/>
          </w:r>
          <w:r>
            <w:rPr>
              <w:rFonts w:ascii="Times New Roman" w:hAnsi="Times New Roman" w:eastAsia="宋体" w:cs="Times New Roman"/>
              <w:sz w:val="24"/>
              <w:szCs w:val="24"/>
            </w:rPr>
            <w:t>Chapter 2  Term and Symbols</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_Toc21553 \h </w:instrText>
          </w:r>
          <w:r>
            <w:rPr>
              <w:rFonts w:ascii="Times New Roman" w:hAnsi="Times New Roman" w:cs="Times New Roman"/>
              <w:sz w:val="24"/>
              <w:szCs w:val="24"/>
            </w:rPr>
            <w:fldChar w:fldCharType="separate"/>
          </w:r>
          <w:r>
            <w:rPr>
              <w:rFonts w:ascii="Times New Roman" w:hAnsi="Times New Roman" w:cs="Times New Roman"/>
              <w:sz w:val="24"/>
              <w:szCs w:val="24"/>
            </w:rPr>
            <w:t>7</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"_Toc28528" </w:instrText>
          </w:r>
          <w:r>
            <w:fldChar w:fldCharType="separate"/>
          </w:r>
          <w:r>
            <w:rPr>
              <w:rFonts w:ascii="Times New Roman" w:hAnsi="Times New Roman"/>
              <w:b w:val="0"/>
              <w:bCs w:val="0"/>
              <w:szCs w:val="24"/>
            </w:rPr>
            <w:t>2.1  Terms</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_Toc28528 \h </w:instrText>
          </w:r>
          <w:r>
            <w:rPr>
              <w:rFonts w:ascii="Times New Roman" w:hAnsi="Times New Roman"/>
              <w:b w:val="0"/>
              <w:bCs w:val="0"/>
              <w:szCs w:val="24"/>
            </w:rPr>
            <w:fldChar w:fldCharType="separate"/>
          </w:r>
          <w:r>
            <w:rPr>
              <w:rFonts w:ascii="Times New Roman" w:hAnsi="Times New Roman"/>
              <w:b w:val="0"/>
              <w:bCs w:val="0"/>
              <w:szCs w:val="24"/>
            </w:rPr>
            <w:t>7</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"_Toc19933" </w:instrText>
          </w:r>
          <w:r>
            <w:fldChar w:fldCharType="separate"/>
          </w:r>
          <w:r>
            <w:rPr>
              <w:rFonts w:ascii="Times New Roman" w:hAnsi="Times New Roman"/>
              <w:b w:val="0"/>
              <w:bCs w:val="0"/>
              <w:szCs w:val="24"/>
            </w:rPr>
            <w:t>2.2  Symbols</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_Toc19933 \h </w:instrText>
          </w:r>
          <w:r>
            <w:rPr>
              <w:rFonts w:ascii="Times New Roman" w:hAnsi="Times New Roman"/>
              <w:b w:val="0"/>
              <w:bCs w:val="0"/>
              <w:szCs w:val="24"/>
            </w:rPr>
            <w:fldChar w:fldCharType="separate"/>
          </w:r>
          <w:r>
            <w:rPr>
              <w:rFonts w:ascii="Times New Roman" w:hAnsi="Times New Roman"/>
              <w:b w:val="0"/>
              <w:bCs w:val="0"/>
              <w:szCs w:val="24"/>
            </w:rPr>
            <w:t>7</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2"/>
            <w:tabs>
              <w:tab w:val="right" w:leader="dot" w:pos="8312"/>
            </w:tabs>
            <w:spacing w:line="400" w:lineRule="exact"/>
            <w:rPr>
              <w:rFonts w:ascii="Times New Roman" w:hAnsi="Times New Roman" w:cs="Times New Roman"/>
              <w:sz w:val="24"/>
              <w:szCs w:val="24"/>
            </w:rPr>
          </w:pPr>
          <w:r>
            <w:fldChar w:fldCharType="begin"/>
          </w:r>
          <w:r>
            <w:instrText xml:space="preserve"> HYPERLINK \l "_Toc18312" </w:instrText>
          </w:r>
          <w:r>
            <w:fldChar w:fldCharType="separate"/>
          </w:r>
          <w:r>
            <w:rPr>
              <w:rFonts w:ascii="Times New Roman" w:hAnsi="Times New Roman" w:eastAsia="宋体" w:cs="Times New Roman"/>
              <w:sz w:val="24"/>
              <w:szCs w:val="24"/>
            </w:rPr>
            <w:t xml:space="preserve">Chapter 3  Basic Requirements </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_Toc18312 \h </w:instrText>
          </w:r>
          <w:r>
            <w:rPr>
              <w:rFonts w:ascii="Times New Roman" w:hAnsi="Times New Roman" w:cs="Times New Roman"/>
              <w:sz w:val="24"/>
              <w:szCs w:val="24"/>
            </w:rPr>
            <w:fldChar w:fldCharType="separate"/>
          </w:r>
          <w:r>
            <w:rPr>
              <w:rFonts w:ascii="Times New Roman" w:hAnsi="Times New Roman" w:cs="Times New Roman"/>
              <w:sz w:val="24"/>
              <w:szCs w:val="24"/>
            </w:rPr>
            <w:t>9</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"_Toc27493" </w:instrText>
          </w:r>
          <w:r>
            <w:fldChar w:fldCharType="separate"/>
          </w:r>
          <w:r>
            <w:rPr>
              <w:rFonts w:ascii="Times New Roman" w:hAnsi="Times New Roman"/>
              <w:b w:val="0"/>
              <w:bCs w:val="0"/>
              <w:szCs w:val="24"/>
            </w:rPr>
            <w:t>3.1  Structural Types</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_Toc27493 \h </w:instrText>
          </w:r>
          <w:r>
            <w:rPr>
              <w:rFonts w:ascii="Times New Roman" w:hAnsi="Times New Roman"/>
              <w:b w:val="0"/>
              <w:bCs w:val="0"/>
              <w:szCs w:val="24"/>
            </w:rPr>
            <w:fldChar w:fldCharType="separate"/>
          </w:r>
          <w:r>
            <w:rPr>
              <w:rFonts w:ascii="Times New Roman" w:hAnsi="Times New Roman"/>
              <w:b w:val="0"/>
              <w:bCs w:val="0"/>
              <w:szCs w:val="24"/>
            </w:rPr>
            <w:t>9</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"_Toc7711" </w:instrText>
          </w:r>
          <w:r>
            <w:fldChar w:fldCharType="separate"/>
          </w:r>
          <w:r>
            <w:rPr>
              <w:rFonts w:ascii="Times New Roman" w:hAnsi="Times New Roman"/>
              <w:b w:val="0"/>
              <w:bCs w:val="0"/>
              <w:szCs w:val="24"/>
            </w:rPr>
            <w:t>3.2  General Requirements</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_Toc7711 \h </w:instrText>
          </w:r>
          <w:r>
            <w:rPr>
              <w:rFonts w:ascii="Times New Roman" w:hAnsi="Times New Roman"/>
              <w:b w:val="0"/>
              <w:bCs w:val="0"/>
              <w:szCs w:val="24"/>
            </w:rPr>
            <w:fldChar w:fldCharType="separate"/>
          </w:r>
          <w:r>
            <w:rPr>
              <w:rFonts w:ascii="Times New Roman" w:hAnsi="Times New Roman"/>
              <w:b w:val="0"/>
              <w:bCs w:val="0"/>
              <w:szCs w:val="24"/>
            </w:rPr>
            <w:t>9</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2"/>
            <w:tabs>
              <w:tab w:val="right" w:leader="dot" w:pos="8312"/>
            </w:tabs>
            <w:spacing w:line="400" w:lineRule="exact"/>
            <w:rPr>
              <w:rFonts w:ascii="Times New Roman" w:hAnsi="Times New Roman" w:cs="Times New Roman"/>
              <w:sz w:val="24"/>
              <w:szCs w:val="24"/>
            </w:rPr>
          </w:pPr>
          <w:r>
            <w:fldChar w:fldCharType="begin"/>
          </w:r>
          <w:r>
            <w:instrText xml:space="preserve"> HYPERLINK \l "_Toc30766" </w:instrText>
          </w:r>
          <w:r>
            <w:fldChar w:fldCharType="separate"/>
          </w:r>
          <w:r>
            <w:rPr>
              <w:rFonts w:ascii="Times New Roman" w:hAnsi="Times New Roman" w:eastAsia="宋体" w:cs="Times New Roman"/>
              <w:sz w:val="24"/>
              <w:szCs w:val="24"/>
            </w:rPr>
            <w:t>Chapter 4  Loads and Action</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_Toc30766 \h </w:instrText>
          </w:r>
          <w:r>
            <w:rPr>
              <w:rFonts w:ascii="Times New Roman" w:hAnsi="Times New Roman" w:cs="Times New Roman"/>
              <w:sz w:val="24"/>
              <w:szCs w:val="24"/>
            </w:rPr>
            <w:fldChar w:fldCharType="separate"/>
          </w:r>
          <w:r>
            <w:rPr>
              <w:rFonts w:ascii="Times New Roman" w:hAnsi="Times New Roman" w:cs="Times New Roman"/>
              <w:sz w:val="24"/>
              <w:szCs w:val="24"/>
            </w:rPr>
            <w:t>11</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"_Toc27581" </w:instrText>
          </w:r>
          <w:r>
            <w:fldChar w:fldCharType="separate"/>
          </w:r>
          <w:r>
            <w:rPr>
              <w:rFonts w:ascii="Times New Roman" w:hAnsi="Times New Roman"/>
              <w:b w:val="0"/>
              <w:bCs w:val="0"/>
              <w:szCs w:val="24"/>
            </w:rPr>
            <w:t>4.1  General Requirements</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_Toc27581 \h </w:instrText>
          </w:r>
          <w:r>
            <w:rPr>
              <w:rFonts w:ascii="Times New Roman" w:hAnsi="Times New Roman"/>
              <w:b w:val="0"/>
              <w:bCs w:val="0"/>
              <w:szCs w:val="24"/>
            </w:rPr>
            <w:fldChar w:fldCharType="separate"/>
          </w:r>
          <w:r>
            <w:rPr>
              <w:rFonts w:ascii="Times New Roman" w:hAnsi="Times New Roman"/>
              <w:b w:val="0"/>
              <w:bCs w:val="0"/>
              <w:szCs w:val="24"/>
            </w:rPr>
            <w:t>11</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"_Toc17030" </w:instrText>
          </w:r>
          <w:r>
            <w:fldChar w:fldCharType="separate"/>
          </w:r>
          <w:r>
            <w:rPr>
              <w:rFonts w:ascii="Times New Roman" w:hAnsi="Times New Roman"/>
              <w:b w:val="0"/>
              <w:bCs w:val="0"/>
              <w:szCs w:val="24"/>
            </w:rPr>
            <w:t>4.2  Wind Load</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_Toc17030 \h </w:instrText>
          </w:r>
          <w:r>
            <w:rPr>
              <w:rFonts w:ascii="Times New Roman" w:hAnsi="Times New Roman"/>
              <w:b w:val="0"/>
              <w:bCs w:val="0"/>
              <w:szCs w:val="24"/>
            </w:rPr>
            <w:fldChar w:fldCharType="separate"/>
          </w:r>
          <w:r>
            <w:rPr>
              <w:rFonts w:ascii="Times New Roman" w:hAnsi="Times New Roman"/>
              <w:b w:val="0"/>
              <w:bCs w:val="0"/>
              <w:szCs w:val="24"/>
            </w:rPr>
            <w:t>11</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"_Toc17849" </w:instrText>
          </w:r>
          <w:r>
            <w:fldChar w:fldCharType="separate"/>
          </w:r>
          <w:r>
            <w:rPr>
              <w:rFonts w:ascii="Times New Roman" w:hAnsi="Times New Roman"/>
              <w:b w:val="0"/>
              <w:bCs w:val="0"/>
              <w:szCs w:val="24"/>
            </w:rPr>
            <w:t>4.3  Roof Snow Load</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_Toc17849 \h </w:instrText>
          </w:r>
          <w:r>
            <w:rPr>
              <w:rFonts w:ascii="Times New Roman" w:hAnsi="Times New Roman"/>
              <w:b w:val="0"/>
              <w:bCs w:val="0"/>
              <w:szCs w:val="24"/>
            </w:rPr>
            <w:fldChar w:fldCharType="separate"/>
          </w:r>
          <w:r>
            <w:rPr>
              <w:rFonts w:ascii="Times New Roman" w:hAnsi="Times New Roman"/>
              <w:b w:val="0"/>
              <w:bCs w:val="0"/>
              <w:szCs w:val="24"/>
            </w:rPr>
            <w:t>12</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"_Toc4522" </w:instrText>
          </w:r>
          <w:r>
            <w:fldChar w:fldCharType="separate"/>
          </w:r>
          <w:r>
            <w:rPr>
              <w:rFonts w:ascii="Times New Roman" w:hAnsi="Times New Roman"/>
              <w:b w:val="0"/>
              <w:bCs w:val="0"/>
              <w:szCs w:val="24"/>
            </w:rPr>
            <w:t>4.4  Seismic Action</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_Toc4522 \h </w:instrText>
          </w:r>
          <w:r>
            <w:rPr>
              <w:rFonts w:ascii="Times New Roman" w:hAnsi="Times New Roman"/>
              <w:b w:val="0"/>
              <w:bCs w:val="0"/>
              <w:szCs w:val="24"/>
            </w:rPr>
            <w:fldChar w:fldCharType="separate"/>
          </w:r>
          <w:r>
            <w:rPr>
              <w:rFonts w:ascii="Times New Roman" w:hAnsi="Times New Roman"/>
              <w:b w:val="0"/>
              <w:bCs w:val="0"/>
              <w:szCs w:val="24"/>
            </w:rPr>
            <w:t>12</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"_Toc10413" </w:instrText>
          </w:r>
          <w:r>
            <w:fldChar w:fldCharType="separate"/>
          </w:r>
          <w:r>
            <w:rPr>
              <w:rFonts w:ascii="Times New Roman" w:hAnsi="Times New Roman"/>
              <w:b w:val="0"/>
              <w:bCs w:val="0"/>
              <w:szCs w:val="24"/>
            </w:rPr>
            <w:t>4.5  Temperature effect</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_Toc10413 \h </w:instrText>
          </w:r>
          <w:r>
            <w:rPr>
              <w:rFonts w:ascii="Times New Roman" w:hAnsi="Times New Roman"/>
              <w:b w:val="0"/>
              <w:bCs w:val="0"/>
              <w:szCs w:val="24"/>
            </w:rPr>
            <w:fldChar w:fldCharType="separate"/>
          </w:r>
          <w:r>
            <w:rPr>
              <w:rFonts w:ascii="Times New Roman" w:hAnsi="Times New Roman"/>
              <w:b w:val="0"/>
              <w:bCs w:val="0"/>
              <w:szCs w:val="24"/>
            </w:rPr>
            <w:t>13</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2"/>
            <w:tabs>
              <w:tab w:val="right" w:leader="dot" w:pos="8312"/>
            </w:tabs>
            <w:spacing w:line="400" w:lineRule="exact"/>
            <w:rPr>
              <w:rFonts w:ascii="Times New Roman" w:hAnsi="Times New Roman" w:cs="Times New Roman"/>
              <w:sz w:val="24"/>
              <w:szCs w:val="24"/>
            </w:rPr>
          </w:pPr>
          <w:r>
            <w:fldChar w:fldCharType="begin"/>
          </w:r>
          <w:r>
            <w:instrText xml:space="preserve"> HYPERLINK \l "_Toc16589" </w:instrText>
          </w:r>
          <w:r>
            <w:fldChar w:fldCharType="separate"/>
          </w:r>
          <w:r>
            <w:rPr>
              <w:rFonts w:ascii="Times New Roman" w:hAnsi="Times New Roman" w:eastAsia="宋体" w:cs="Times New Roman"/>
              <w:sz w:val="24"/>
              <w:szCs w:val="24"/>
            </w:rPr>
            <w:t xml:space="preserve">Chapter </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_Toc16589 \h </w:instrText>
          </w:r>
          <w:r>
            <w:rPr>
              <w:rFonts w:ascii="Times New Roman" w:hAnsi="Times New Roman" w:cs="Times New Roman"/>
              <w:sz w:val="24"/>
              <w:szCs w:val="24"/>
            </w:rPr>
            <w:fldChar w:fldCharType="separate"/>
          </w:r>
          <w:r>
            <w:rPr>
              <w:rFonts w:ascii="Times New Roman" w:hAnsi="Times New Roman" w:cs="Times New Roman"/>
              <w:sz w:val="24"/>
              <w:szCs w:val="24"/>
            </w:rPr>
            <w:t>14</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"_Toc14305" </w:instrText>
          </w:r>
          <w:r>
            <w:fldChar w:fldCharType="separate"/>
          </w:r>
          <w:r>
            <w:rPr>
              <w:rFonts w:ascii="Times New Roman" w:hAnsi="Times New Roman"/>
              <w:b w:val="0"/>
              <w:bCs w:val="0"/>
              <w:szCs w:val="24"/>
            </w:rPr>
            <w:t>5.1  General provisions</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_Toc14305 \h </w:instrText>
          </w:r>
          <w:r>
            <w:rPr>
              <w:rFonts w:ascii="Times New Roman" w:hAnsi="Times New Roman"/>
              <w:b w:val="0"/>
              <w:bCs w:val="0"/>
              <w:szCs w:val="24"/>
            </w:rPr>
            <w:fldChar w:fldCharType="separate"/>
          </w:r>
          <w:r>
            <w:rPr>
              <w:rFonts w:ascii="Times New Roman" w:hAnsi="Times New Roman"/>
              <w:b w:val="0"/>
              <w:bCs w:val="0"/>
              <w:szCs w:val="24"/>
            </w:rPr>
            <w:t>14</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"_Toc20342" </w:instrText>
          </w:r>
          <w:r>
            <w:fldChar w:fldCharType="separate"/>
          </w:r>
          <w:r>
            <w:rPr>
              <w:rFonts w:ascii="Times New Roman" w:hAnsi="Times New Roman"/>
              <w:b w:val="0"/>
              <w:bCs w:val="0"/>
              <w:szCs w:val="24"/>
            </w:rPr>
            <w:t>5.2  Static Analysis</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_Toc20342 \h </w:instrText>
          </w:r>
          <w:r>
            <w:rPr>
              <w:rFonts w:ascii="Times New Roman" w:hAnsi="Times New Roman"/>
              <w:b w:val="0"/>
              <w:bCs w:val="0"/>
              <w:szCs w:val="24"/>
            </w:rPr>
            <w:fldChar w:fldCharType="separate"/>
          </w:r>
          <w:r>
            <w:rPr>
              <w:rFonts w:ascii="Times New Roman" w:hAnsi="Times New Roman"/>
              <w:b w:val="0"/>
              <w:bCs w:val="0"/>
              <w:szCs w:val="24"/>
            </w:rPr>
            <w:t>14</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"_Toc8372" </w:instrText>
          </w:r>
          <w:r>
            <w:fldChar w:fldCharType="separate"/>
          </w:r>
          <w:r>
            <w:rPr>
              <w:rFonts w:ascii="Times New Roman" w:hAnsi="Times New Roman"/>
              <w:b w:val="0"/>
              <w:bCs w:val="0"/>
              <w:szCs w:val="24"/>
            </w:rPr>
            <w:t>5.3  Seismic Design</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_Toc8372 \h </w:instrText>
          </w:r>
          <w:r>
            <w:rPr>
              <w:rFonts w:ascii="Times New Roman" w:hAnsi="Times New Roman"/>
              <w:b w:val="0"/>
              <w:bCs w:val="0"/>
              <w:szCs w:val="24"/>
            </w:rPr>
            <w:fldChar w:fldCharType="separate"/>
          </w:r>
          <w:r>
            <w:rPr>
              <w:rFonts w:ascii="Times New Roman" w:hAnsi="Times New Roman"/>
              <w:b w:val="0"/>
              <w:bCs w:val="0"/>
              <w:szCs w:val="24"/>
            </w:rPr>
            <w:t>15</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"_Toc31154" </w:instrText>
          </w:r>
          <w:r>
            <w:fldChar w:fldCharType="separate"/>
          </w:r>
          <w:r>
            <w:rPr>
              <w:rFonts w:ascii="Times New Roman" w:hAnsi="Times New Roman"/>
              <w:b w:val="0"/>
              <w:bCs w:val="0"/>
              <w:szCs w:val="24"/>
            </w:rPr>
            <w:t>5.4  Stability Analysis</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_Toc31154 \h </w:instrText>
          </w:r>
          <w:r>
            <w:rPr>
              <w:rFonts w:ascii="Times New Roman" w:hAnsi="Times New Roman"/>
              <w:b w:val="0"/>
              <w:bCs w:val="0"/>
              <w:szCs w:val="24"/>
            </w:rPr>
            <w:fldChar w:fldCharType="separate"/>
          </w:r>
          <w:r>
            <w:rPr>
              <w:rFonts w:ascii="Times New Roman" w:hAnsi="Times New Roman"/>
              <w:b w:val="0"/>
              <w:bCs w:val="0"/>
              <w:szCs w:val="24"/>
            </w:rPr>
            <w:t>15</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"_Toc2689" </w:instrText>
          </w:r>
          <w:r>
            <w:fldChar w:fldCharType="separate"/>
          </w:r>
          <w:r>
            <w:rPr>
              <w:rFonts w:ascii="Times New Roman" w:hAnsi="Times New Roman"/>
              <w:b w:val="0"/>
              <w:bCs w:val="0"/>
              <w:szCs w:val="24"/>
            </w:rPr>
            <w:t>5.5  Members Design</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_Toc2689 \h </w:instrText>
          </w:r>
          <w:r>
            <w:rPr>
              <w:rFonts w:ascii="Times New Roman" w:hAnsi="Times New Roman"/>
              <w:b w:val="0"/>
              <w:bCs w:val="0"/>
              <w:szCs w:val="24"/>
            </w:rPr>
            <w:fldChar w:fldCharType="separate"/>
          </w:r>
          <w:r>
            <w:rPr>
              <w:rFonts w:ascii="Times New Roman" w:hAnsi="Times New Roman"/>
              <w:b w:val="0"/>
              <w:bCs w:val="0"/>
              <w:szCs w:val="24"/>
            </w:rPr>
            <w:t>15</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"_Toc16106" </w:instrText>
          </w:r>
          <w:r>
            <w:fldChar w:fldCharType="separate"/>
          </w:r>
          <w:r>
            <w:rPr>
              <w:rFonts w:ascii="Times New Roman" w:hAnsi="Times New Roman"/>
              <w:b w:val="0"/>
              <w:bCs w:val="0"/>
              <w:szCs w:val="24"/>
            </w:rPr>
            <w:t>5.6  Welded Hollow Spherical Joints</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_Toc16106 \h </w:instrText>
          </w:r>
          <w:r>
            <w:rPr>
              <w:rFonts w:ascii="Times New Roman" w:hAnsi="Times New Roman"/>
              <w:b w:val="0"/>
              <w:bCs w:val="0"/>
              <w:szCs w:val="24"/>
            </w:rPr>
            <w:fldChar w:fldCharType="separate"/>
          </w:r>
          <w:r>
            <w:rPr>
              <w:rFonts w:ascii="Times New Roman" w:hAnsi="Times New Roman"/>
              <w:b w:val="0"/>
              <w:bCs w:val="0"/>
              <w:szCs w:val="24"/>
            </w:rPr>
            <w:t>16</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"_Toc32416" </w:instrText>
          </w:r>
          <w:r>
            <w:fldChar w:fldCharType="separate"/>
          </w:r>
          <w:r>
            <w:rPr>
              <w:rFonts w:ascii="Times New Roman" w:hAnsi="Times New Roman"/>
              <w:b w:val="0"/>
              <w:bCs w:val="0"/>
              <w:szCs w:val="24"/>
            </w:rPr>
            <w:t>5.7  Bolted Spherical Joints</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_Toc32416 \h </w:instrText>
          </w:r>
          <w:r>
            <w:rPr>
              <w:rFonts w:ascii="Times New Roman" w:hAnsi="Times New Roman"/>
              <w:b w:val="0"/>
              <w:bCs w:val="0"/>
              <w:szCs w:val="24"/>
            </w:rPr>
            <w:fldChar w:fldCharType="separate"/>
          </w:r>
          <w:r>
            <w:rPr>
              <w:rFonts w:ascii="Times New Roman" w:hAnsi="Times New Roman"/>
              <w:b w:val="0"/>
              <w:bCs w:val="0"/>
              <w:szCs w:val="24"/>
            </w:rPr>
            <w:t>18</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"_Toc13407" </w:instrText>
          </w:r>
          <w:r>
            <w:fldChar w:fldCharType="separate"/>
          </w:r>
          <w:r>
            <w:rPr>
              <w:rFonts w:ascii="Times New Roman" w:hAnsi="Times New Roman"/>
              <w:b w:val="0"/>
              <w:bCs w:val="0"/>
              <w:szCs w:val="24"/>
            </w:rPr>
            <w:t>5.8  Supporting Joints</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_Toc13407 \h </w:instrText>
          </w:r>
          <w:r>
            <w:rPr>
              <w:rFonts w:ascii="Times New Roman" w:hAnsi="Times New Roman"/>
              <w:b w:val="0"/>
              <w:bCs w:val="0"/>
              <w:szCs w:val="24"/>
            </w:rPr>
            <w:fldChar w:fldCharType="separate"/>
          </w:r>
          <w:r>
            <w:rPr>
              <w:rFonts w:ascii="Times New Roman" w:hAnsi="Times New Roman"/>
              <w:b w:val="0"/>
              <w:bCs w:val="0"/>
              <w:szCs w:val="24"/>
            </w:rPr>
            <w:t>20</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"_Toc20843" </w:instrText>
          </w:r>
          <w:r>
            <w:fldChar w:fldCharType="separate"/>
          </w:r>
          <w:r>
            <w:rPr>
              <w:rFonts w:ascii="Times New Roman" w:hAnsi="Times New Roman"/>
              <w:b w:val="0"/>
              <w:bCs w:val="0"/>
              <w:szCs w:val="24"/>
            </w:rPr>
            <w:t>5.9  Support node design</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_Toc20843 \h </w:instrText>
          </w:r>
          <w:r>
            <w:rPr>
              <w:rFonts w:ascii="Times New Roman" w:hAnsi="Times New Roman"/>
              <w:b w:val="0"/>
              <w:bCs w:val="0"/>
              <w:szCs w:val="24"/>
            </w:rPr>
            <w:fldChar w:fldCharType="separate"/>
          </w:r>
          <w:r>
            <w:rPr>
              <w:rFonts w:ascii="Times New Roman" w:hAnsi="Times New Roman"/>
              <w:b w:val="0"/>
              <w:bCs w:val="0"/>
              <w:szCs w:val="24"/>
            </w:rPr>
            <w:t>21</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"_Toc10398" </w:instrText>
          </w:r>
          <w:r>
            <w:fldChar w:fldCharType="separate"/>
          </w:r>
          <w:r>
            <w:rPr>
              <w:rFonts w:ascii="Times New Roman" w:hAnsi="Times New Roman"/>
              <w:b w:val="0"/>
              <w:bCs w:val="0"/>
              <w:szCs w:val="24"/>
            </w:rPr>
            <w:t>5.10  Design of Peripheral Members</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_Toc10398 \h </w:instrText>
          </w:r>
          <w:r>
            <w:rPr>
              <w:rFonts w:ascii="Times New Roman" w:hAnsi="Times New Roman"/>
              <w:b w:val="0"/>
              <w:bCs w:val="0"/>
              <w:szCs w:val="24"/>
            </w:rPr>
            <w:fldChar w:fldCharType="separate"/>
          </w:r>
          <w:r>
            <w:rPr>
              <w:rFonts w:ascii="Times New Roman" w:hAnsi="Times New Roman"/>
              <w:b w:val="0"/>
              <w:bCs w:val="0"/>
              <w:szCs w:val="24"/>
            </w:rPr>
            <w:t>23</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2"/>
            <w:tabs>
              <w:tab w:val="right" w:leader="dot" w:pos="7980"/>
              <w:tab w:val="right" w:leader="dot" w:pos="8312"/>
            </w:tabs>
            <w:spacing w:line="400" w:lineRule="exact"/>
            <w:rPr>
              <w:rFonts w:ascii="Times New Roman" w:hAnsi="Times New Roman" w:eastAsia="仿宋" w:cs="Times New Roman"/>
              <w:sz w:val="24"/>
              <w:szCs w:val="24"/>
              <w:lang w:val="zh-CN"/>
            </w:rPr>
          </w:pPr>
          <w:r>
            <w:fldChar w:fldCharType="begin"/>
          </w:r>
          <w:r>
            <w:instrText xml:space="preserve"> HYPERLINK \l "_Toc7280" </w:instrText>
          </w:r>
          <w:r>
            <w:fldChar w:fldCharType="separate"/>
          </w:r>
          <w:r>
            <w:rPr>
              <w:rFonts w:ascii="Times New Roman" w:hAnsi="Times New Roman" w:eastAsia="仿宋" w:cs="Times New Roman"/>
              <w:sz w:val="24"/>
              <w:szCs w:val="24"/>
              <w:lang w:val="zh-CN"/>
            </w:rPr>
            <w:t xml:space="preserve">Chapter </w:t>
          </w:r>
          <w:r>
            <w:rPr>
              <w:rFonts w:ascii="Times New Roman" w:hAnsi="Times New Roman" w:eastAsia="仿宋" w:cs="Times New Roman"/>
              <w:sz w:val="24"/>
              <w:szCs w:val="24"/>
              <w:lang w:val="zh-CN"/>
            </w:rPr>
            <w:tab/>
          </w:r>
          <w:r>
            <w:rPr>
              <w:rFonts w:ascii="Times New Roman" w:hAnsi="Times New Roman" w:eastAsia="仿宋" w:cs="Times New Roman"/>
              <w:sz w:val="24"/>
              <w:szCs w:val="24"/>
              <w:lang w:val="zh-CN"/>
            </w:rPr>
            <w:fldChar w:fldCharType="begin"/>
          </w:r>
          <w:r>
            <w:rPr>
              <w:rFonts w:ascii="Times New Roman" w:hAnsi="Times New Roman" w:eastAsia="仿宋" w:cs="Times New Roman"/>
              <w:sz w:val="24"/>
              <w:szCs w:val="24"/>
              <w:lang w:val="zh-CN"/>
            </w:rPr>
            <w:instrText xml:space="preserve"> PAGEREF _Toc7280 \h </w:instrText>
          </w:r>
          <w:r>
            <w:rPr>
              <w:rFonts w:ascii="Times New Roman" w:hAnsi="Times New Roman" w:eastAsia="仿宋" w:cs="Times New Roman"/>
              <w:sz w:val="24"/>
              <w:szCs w:val="24"/>
              <w:lang w:val="zh-CN"/>
            </w:rPr>
            <w:fldChar w:fldCharType="separate"/>
          </w:r>
          <w:r>
            <w:rPr>
              <w:rFonts w:ascii="Times New Roman" w:hAnsi="Times New Roman" w:eastAsia="仿宋" w:cs="Times New Roman"/>
              <w:sz w:val="24"/>
              <w:szCs w:val="24"/>
              <w:lang w:val="zh-CN"/>
            </w:rPr>
            <w:t>26</w:t>
          </w:r>
          <w:r>
            <w:rPr>
              <w:rFonts w:ascii="Times New Roman" w:hAnsi="Times New Roman" w:eastAsia="仿宋" w:cs="Times New Roman"/>
              <w:sz w:val="24"/>
              <w:szCs w:val="24"/>
              <w:lang w:val="zh-CN"/>
            </w:rPr>
            <w:fldChar w:fldCharType="end"/>
          </w:r>
          <w:r>
            <w:rPr>
              <w:rFonts w:ascii="Times New Roman" w:hAnsi="Times New Roman" w:eastAsia="仿宋" w:cs="Times New Roman"/>
              <w:sz w:val="24"/>
              <w:szCs w:val="24"/>
              <w:lang w:val="zh-CN"/>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"_Toc1892" </w:instrText>
          </w:r>
          <w:r>
            <w:fldChar w:fldCharType="separate"/>
          </w:r>
          <w:r>
            <w:rPr>
              <w:rFonts w:ascii="Times New Roman" w:hAnsi="Times New Roman"/>
              <w:b w:val="0"/>
              <w:bCs w:val="0"/>
              <w:szCs w:val="24"/>
            </w:rPr>
            <w:t>6.1  General Requirements</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_Toc1892 \h </w:instrText>
          </w:r>
          <w:r>
            <w:rPr>
              <w:rFonts w:ascii="Times New Roman" w:hAnsi="Times New Roman"/>
              <w:b w:val="0"/>
              <w:bCs w:val="0"/>
              <w:szCs w:val="24"/>
            </w:rPr>
            <w:fldChar w:fldCharType="separate"/>
          </w:r>
          <w:r>
            <w:rPr>
              <w:rFonts w:ascii="Times New Roman" w:hAnsi="Times New Roman"/>
              <w:b w:val="0"/>
              <w:bCs w:val="0"/>
              <w:szCs w:val="24"/>
            </w:rPr>
            <w:t>26</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"_Toc6972" </w:instrText>
          </w:r>
          <w:r>
            <w:fldChar w:fldCharType="separate"/>
          </w:r>
          <w:r>
            <w:rPr>
              <w:rFonts w:ascii="Times New Roman" w:hAnsi="Times New Roman"/>
              <w:b w:val="0"/>
              <w:bCs w:val="0"/>
              <w:szCs w:val="24"/>
            </w:rPr>
            <w:t xml:space="preserve">6.2  Requirements for Fabrication </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_Toc6972 \h </w:instrText>
          </w:r>
          <w:r>
            <w:rPr>
              <w:rFonts w:ascii="Times New Roman" w:hAnsi="Times New Roman"/>
              <w:b w:val="0"/>
              <w:bCs w:val="0"/>
              <w:szCs w:val="24"/>
            </w:rPr>
            <w:fldChar w:fldCharType="separate"/>
          </w:r>
          <w:r>
            <w:rPr>
              <w:rFonts w:ascii="Times New Roman" w:hAnsi="Times New Roman"/>
              <w:b w:val="0"/>
              <w:bCs w:val="0"/>
              <w:szCs w:val="24"/>
            </w:rPr>
            <w:t>27</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"_Toc10696" </w:instrText>
          </w:r>
          <w:r>
            <w:fldChar w:fldCharType="separate"/>
          </w:r>
          <w:r>
            <w:rPr>
              <w:rFonts w:ascii="Times New Roman" w:hAnsi="Times New Roman"/>
              <w:b w:val="0"/>
              <w:bCs w:val="0"/>
              <w:szCs w:val="24"/>
            </w:rPr>
            <w:t>6.3  Assembly Elements in the Air</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_Toc10696 \h </w:instrText>
          </w:r>
          <w:r>
            <w:rPr>
              <w:rFonts w:ascii="Times New Roman" w:hAnsi="Times New Roman"/>
              <w:b w:val="0"/>
              <w:bCs w:val="0"/>
              <w:szCs w:val="24"/>
            </w:rPr>
            <w:fldChar w:fldCharType="separate"/>
          </w:r>
          <w:r>
            <w:rPr>
              <w:rFonts w:ascii="Times New Roman" w:hAnsi="Times New Roman"/>
              <w:b w:val="0"/>
              <w:bCs w:val="0"/>
              <w:szCs w:val="24"/>
            </w:rPr>
            <w:t>30</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"_Toc1884" </w:instrText>
          </w:r>
          <w:r>
            <w:fldChar w:fldCharType="separate"/>
          </w:r>
          <w:r>
            <w:rPr>
              <w:rFonts w:ascii="Times New Roman" w:hAnsi="Times New Roman"/>
              <w:b w:val="0"/>
              <w:bCs w:val="0"/>
              <w:szCs w:val="24"/>
            </w:rPr>
            <w:t>6.4  Erection by Strips or Blocks</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_Toc1884 \h </w:instrText>
          </w:r>
          <w:r>
            <w:rPr>
              <w:rFonts w:ascii="Times New Roman" w:hAnsi="Times New Roman"/>
              <w:b w:val="0"/>
              <w:bCs w:val="0"/>
              <w:szCs w:val="24"/>
            </w:rPr>
            <w:fldChar w:fldCharType="separate"/>
          </w:r>
          <w:r>
            <w:rPr>
              <w:rFonts w:ascii="Times New Roman" w:hAnsi="Times New Roman"/>
              <w:b w:val="0"/>
              <w:bCs w:val="0"/>
              <w:szCs w:val="24"/>
            </w:rPr>
            <w:t>30</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"_Toc23724" </w:instrText>
          </w:r>
          <w:r>
            <w:fldChar w:fldCharType="separate"/>
          </w:r>
          <w:r>
            <w:rPr>
              <w:rFonts w:ascii="Times New Roman" w:hAnsi="Times New Roman"/>
              <w:b w:val="0"/>
              <w:bCs w:val="0"/>
              <w:szCs w:val="24"/>
            </w:rPr>
            <w:t>6.5  Integral Lifting-up</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_Toc23724 \h </w:instrText>
          </w:r>
          <w:r>
            <w:rPr>
              <w:rFonts w:ascii="Times New Roman" w:hAnsi="Times New Roman"/>
              <w:b w:val="0"/>
              <w:bCs w:val="0"/>
              <w:szCs w:val="24"/>
            </w:rPr>
            <w:fldChar w:fldCharType="separate"/>
          </w:r>
          <w:r>
            <w:rPr>
              <w:rFonts w:ascii="Times New Roman" w:hAnsi="Times New Roman"/>
              <w:b w:val="0"/>
              <w:bCs w:val="0"/>
              <w:szCs w:val="24"/>
            </w:rPr>
            <w:t>31</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"_Toc13702" </w:instrText>
          </w:r>
          <w:r>
            <w:fldChar w:fldCharType="separate"/>
          </w:r>
          <w:r>
            <w:rPr>
              <w:rFonts w:ascii="Times New Roman" w:hAnsi="Times New Roman"/>
              <w:b w:val="0"/>
              <w:bCs w:val="0"/>
              <w:szCs w:val="24"/>
            </w:rPr>
            <w:t>6.6  Checking and Acceptance</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_Toc13702 \h </w:instrText>
          </w:r>
          <w:r>
            <w:rPr>
              <w:rFonts w:ascii="Times New Roman" w:hAnsi="Times New Roman"/>
              <w:b w:val="0"/>
              <w:bCs w:val="0"/>
              <w:szCs w:val="24"/>
            </w:rPr>
            <w:fldChar w:fldCharType="separate"/>
          </w:r>
          <w:r>
            <w:rPr>
              <w:rFonts w:ascii="Times New Roman" w:hAnsi="Times New Roman"/>
              <w:b w:val="0"/>
              <w:bCs w:val="0"/>
              <w:szCs w:val="24"/>
            </w:rPr>
            <w:t>31</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2"/>
            <w:tabs>
              <w:tab w:val="right" w:leader="dot" w:pos="8312"/>
            </w:tabs>
            <w:spacing w:line="400" w:lineRule="exact"/>
            <w:rPr>
              <w:rFonts w:ascii="Times New Roman" w:hAnsi="Times New Roman" w:cs="Times New Roman"/>
              <w:sz w:val="24"/>
              <w:szCs w:val="24"/>
            </w:rPr>
          </w:pPr>
          <w:r>
            <w:fldChar w:fldCharType="begin"/>
          </w:r>
          <w:r>
            <w:instrText xml:space="preserve"> HYPERLINK \l "_Toc30661" </w:instrText>
          </w:r>
          <w:r>
            <w:fldChar w:fldCharType="separate"/>
          </w:r>
          <w:r>
            <w:rPr>
              <w:rFonts w:ascii="Times New Roman" w:hAnsi="Times New Roman" w:eastAsia="宋体" w:cs="Times New Roman"/>
              <w:sz w:val="24"/>
              <w:szCs w:val="24"/>
            </w:rPr>
            <w:t>Chapter 7  Use and Maintenance</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_Toc30661 \h </w:instrText>
          </w:r>
          <w:r>
            <w:rPr>
              <w:rFonts w:ascii="Times New Roman" w:hAnsi="Times New Roman" w:cs="Times New Roman"/>
              <w:sz w:val="24"/>
              <w:szCs w:val="24"/>
            </w:rPr>
            <w:fldChar w:fldCharType="separate"/>
          </w:r>
          <w:r>
            <w:rPr>
              <w:rFonts w:ascii="Times New Roman" w:hAnsi="Times New Roman" w:cs="Times New Roman"/>
              <w:sz w:val="24"/>
              <w:szCs w:val="24"/>
            </w:rPr>
            <w:t>33</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"_Toc1301" </w:instrText>
          </w:r>
          <w:r>
            <w:fldChar w:fldCharType="separate"/>
          </w:r>
          <w:r>
            <w:rPr>
              <w:rFonts w:ascii="Times New Roman" w:hAnsi="Times New Roman"/>
              <w:b w:val="0"/>
              <w:bCs w:val="0"/>
              <w:szCs w:val="24"/>
            </w:rPr>
            <w:t>7.1  Requirements for the Use of Conveying and Blanking</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_Toc1301 \h </w:instrText>
          </w:r>
          <w:r>
            <w:rPr>
              <w:rFonts w:ascii="Times New Roman" w:hAnsi="Times New Roman"/>
              <w:b w:val="0"/>
              <w:bCs w:val="0"/>
              <w:szCs w:val="24"/>
            </w:rPr>
            <w:fldChar w:fldCharType="separate"/>
          </w:r>
          <w:r>
            <w:rPr>
              <w:rFonts w:ascii="Times New Roman" w:hAnsi="Times New Roman"/>
              <w:b w:val="0"/>
              <w:bCs w:val="0"/>
              <w:szCs w:val="24"/>
            </w:rPr>
            <w:t>33</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tabs>
              <w:tab w:val="right" w:leader="dot" w:pos="8312"/>
              <w:tab w:val="clear" w:pos="8302"/>
            </w:tabs>
            <w:spacing w:line="400" w:lineRule="exact"/>
            <w:rPr>
              <w:rFonts w:ascii="Times New Roman" w:hAnsi="Times New Roman"/>
              <w:b w:val="0"/>
              <w:bCs w:val="0"/>
              <w:szCs w:val="24"/>
            </w:rPr>
          </w:pPr>
          <w:r>
            <w:fldChar w:fldCharType="begin"/>
          </w:r>
          <w:r>
            <w:instrText xml:space="preserve"> HYPERLINK \l "_Toc29104" </w:instrText>
          </w:r>
          <w:r>
            <w:fldChar w:fldCharType="separate"/>
          </w:r>
          <w:r>
            <w:rPr>
              <w:rFonts w:ascii="Times New Roman" w:hAnsi="Times New Roman"/>
              <w:b w:val="0"/>
              <w:bCs w:val="0"/>
              <w:szCs w:val="24"/>
            </w:rPr>
            <w:t>7.2  Requirements for the Using Phase Maintenance</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_Toc29104 \h </w:instrText>
          </w:r>
          <w:r>
            <w:rPr>
              <w:rFonts w:ascii="Times New Roman" w:hAnsi="Times New Roman"/>
              <w:b w:val="0"/>
              <w:bCs w:val="0"/>
              <w:szCs w:val="24"/>
            </w:rPr>
            <w:fldChar w:fldCharType="separate"/>
          </w:r>
          <w:r>
            <w:rPr>
              <w:rFonts w:ascii="Times New Roman" w:hAnsi="Times New Roman"/>
              <w:b w:val="0"/>
              <w:bCs w:val="0"/>
              <w:szCs w:val="24"/>
            </w:rPr>
            <w:t>33</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2"/>
            <w:tabs>
              <w:tab w:val="right" w:leader="dot" w:pos="8312"/>
            </w:tabs>
            <w:spacing w:line="400" w:lineRule="exact"/>
            <w:rPr>
              <w:rFonts w:ascii="Times New Roman" w:hAnsi="Times New Roman" w:cs="Times New Roman"/>
              <w:sz w:val="24"/>
              <w:szCs w:val="24"/>
            </w:rPr>
          </w:pPr>
          <w:r>
            <w:fldChar w:fldCharType="begin"/>
          </w:r>
          <w:r>
            <w:instrText xml:space="preserve"> HYPERLINK \l "_Toc31790" </w:instrText>
          </w:r>
          <w:r>
            <w:fldChar w:fldCharType="separate"/>
          </w:r>
          <w:r>
            <w:rPr>
              <w:rFonts w:ascii="Times New Roman" w:hAnsi="Times New Roman" w:eastAsia="宋体" w:cs="Times New Roman"/>
              <w:sz w:val="24"/>
              <w:szCs w:val="24"/>
            </w:rPr>
            <w:t xml:space="preserve">Appendix A </w:t>
          </w:r>
          <w:r>
            <w:rPr>
              <w:rFonts w:ascii="Times New Roman" w:hAnsi="Times New Roman" w:eastAsia="仿宋" w:cs="Times New Roman"/>
              <w:sz w:val="24"/>
              <w:szCs w:val="24"/>
            </w:rPr>
            <w:t>Schematic diagram of the overall reticulated shell of cement clinker warehouse</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_Toc31790 \h </w:instrText>
          </w:r>
          <w:r>
            <w:rPr>
              <w:rFonts w:ascii="Times New Roman" w:hAnsi="Times New Roman" w:cs="Times New Roman"/>
              <w:sz w:val="24"/>
              <w:szCs w:val="24"/>
            </w:rPr>
            <w:fldChar w:fldCharType="separate"/>
          </w:r>
          <w:r>
            <w:rPr>
              <w:rFonts w:ascii="Times New Roman" w:hAnsi="Times New Roman" w:cs="Times New Roman"/>
              <w:sz w:val="24"/>
              <w:szCs w:val="24"/>
            </w:rPr>
            <w:t>35</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12"/>
            <w:tabs>
              <w:tab w:val="right" w:leader="dot" w:pos="8312"/>
            </w:tabs>
            <w:spacing w:line="400" w:lineRule="exact"/>
            <w:rPr>
              <w:rFonts w:ascii="Times New Roman" w:hAnsi="Times New Roman" w:cs="Times New Roman"/>
              <w:sz w:val="24"/>
              <w:szCs w:val="24"/>
            </w:rPr>
          </w:pPr>
          <w:r>
            <w:fldChar w:fldCharType="begin"/>
          </w:r>
          <w:r>
            <w:instrText xml:space="preserve"> HYPERLINK \l "_Toc501" </w:instrText>
          </w:r>
          <w:r>
            <w:fldChar w:fldCharType="separate"/>
          </w:r>
          <w:r>
            <w:rPr>
              <w:rFonts w:ascii="Times New Roman" w:hAnsi="Times New Roman" w:eastAsia="宋体" w:cs="Times New Roman"/>
              <w:sz w:val="24"/>
              <w:szCs w:val="24"/>
            </w:rPr>
            <w:t>Explanation of Wording in This Code</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_Toc501 \h </w:instrText>
          </w:r>
          <w:r>
            <w:rPr>
              <w:rFonts w:ascii="Times New Roman" w:hAnsi="Times New Roman" w:cs="Times New Roman"/>
              <w:sz w:val="24"/>
              <w:szCs w:val="24"/>
            </w:rPr>
            <w:fldChar w:fldCharType="separate"/>
          </w:r>
          <w:r>
            <w:rPr>
              <w:rFonts w:ascii="Times New Roman" w:hAnsi="Times New Roman" w:cs="Times New Roman"/>
              <w:sz w:val="24"/>
              <w:szCs w:val="24"/>
            </w:rPr>
            <w:t>37</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12"/>
            <w:tabs>
              <w:tab w:val="right" w:leader="dot" w:pos="8312"/>
            </w:tabs>
            <w:spacing w:line="400" w:lineRule="exact"/>
            <w:rPr>
              <w:rFonts w:ascii="Times New Roman" w:hAnsi="Times New Roman" w:cs="Times New Roman"/>
              <w:sz w:val="24"/>
              <w:szCs w:val="24"/>
            </w:rPr>
          </w:pPr>
          <w:r>
            <w:fldChar w:fldCharType="begin"/>
          </w:r>
          <w:r>
            <w:instrText xml:space="preserve"> HYPERLINK \l "_Toc32333" </w:instrText>
          </w:r>
          <w:r>
            <w:fldChar w:fldCharType="separate"/>
          </w:r>
          <w:r>
            <w:rPr>
              <w:rFonts w:ascii="Times New Roman" w:hAnsi="Times New Roman" w:eastAsia="宋体" w:cs="Times New Roman"/>
              <w:sz w:val="24"/>
              <w:szCs w:val="24"/>
            </w:rPr>
            <w:t>List of Quoted Standards</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_Toc32333 \h </w:instrText>
          </w:r>
          <w:r>
            <w:rPr>
              <w:rFonts w:ascii="Times New Roman" w:hAnsi="Times New Roman" w:cs="Times New Roman"/>
              <w:sz w:val="24"/>
              <w:szCs w:val="24"/>
            </w:rPr>
            <w:fldChar w:fldCharType="separate"/>
          </w:r>
          <w:r>
            <w:rPr>
              <w:rFonts w:ascii="Times New Roman" w:hAnsi="Times New Roman" w:cs="Times New Roman"/>
              <w:sz w:val="24"/>
              <w:szCs w:val="24"/>
            </w:rPr>
            <w:t>38</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12"/>
            <w:tabs>
              <w:tab w:val="right" w:leader="dot" w:pos="8312"/>
            </w:tabs>
            <w:spacing w:line="400" w:lineRule="exact"/>
            <w:rPr>
              <w:rFonts w:ascii="Times New Roman" w:hAnsi="Times New Roman" w:cs="Times New Roman"/>
              <w:sz w:val="24"/>
              <w:szCs w:val="24"/>
            </w:rPr>
          </w:pPr>
          <w:r>
            <w:fldChar w:fldCharType="begin"/>
          </w:r>
          <w:r>
            <w:instrText xml:space="preserve"> HYPERLINK \l "_Toc14354" </w:instrText>
          </w:r>
          <w:r>
            <w:fldChar w:fldCharType="separate"/>
          </w:r>
          <w:r>
            <w:rPr>
              <w:rFonts w:ascii="Times New Roman" w:hAnsi="Times New Roman" w:eastAsia="宋体" w:cs="Times New Roman"/>
              <w:kern w:val="0"/>
              <w:sz w:val="24"/>
              <w:szCs w:val="24"/>
            </w:rPr>
            <w:t>Explanation of Provisions</w:t>
          </w:r>
          <w:r>
            <w:rPr>
              <w:rFonts w:ascii="Times New Roman" w:hAnsi="Times New Roman" w:cs="Times New Roman"/>
              <w:sz w:val="24"/>
              <w:szCs w:val="24"/>
            </w:rPr>
            <w:tab/>
          </w: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PAGEREF _Toc14354 \h </w:instrText>
          </w:r>
          <w:r>
            <w:rPr>
              <w:rFonts w:ascii="Times New Roman" w:hAnsi="Times New Roman" w:cs="Times New Roman"/>
              <w:sz w:val="24"/>
              <w:szCs w:val="24"/>
            </w:rPr>
            <w:fldChar w:fldCharType="separate"/>
          </w:r>
          <w:r>
            <w:rPr>
              <w:rFonts w:ascii="Times New Roman" w:hAnsi="Times New Roman" w:cs="Times New Roman"/>
              <w:sz w:val="24"/>
              <w:szCs w:val="24"/>
            </w:rPr>
            <w:t>39</w:t>
          </w:r>
          <w:r>
            <w:rPr>
              <w:rFonts w:ascii="Times New Roman" w:hAnsi="Times New Roman" w:cs="Times New Roman"/>
              <w:sz w:val="24"/>
              <w:szCs w:val="24"/>
            </w:rPr>
            <w:fldChar w:fldCharType="end"/>
          </w:r>
          <w:r>
            <w:rPr>
              <w:rFonts w:ascii="Times New Roman" w:hAnsi="Times New Roman" w:cs="Times New Roman"/>
              <w:sz w:val="24"/>
              <w:szCs w:val="24"/>
            </w:rPr>
            <w:fldChar w:fldCharType="end"/>
          </w:r>
        </w:p>
        <w:p>
          <w:pPr>
            <w:pStyle w:val="2"/>
            <w:tabs>
              <w:tab w:val="right" w:leader="dot" w:pos="9344"/>
            </w:tabs>
            <w:rPr>
              <w:rFonts w:ascii="Times New Roman" w:hAnsi="Times New Roman" w:cs="Times New Roman"/>
              <w:sz w:val="24"/>
              <w:szCs w:val="24"/>
            </w:rPr>
          </w:pPr>
          <w:r>
            <w:rPr>
              <w:rFonts w:ascii="Times New Roman" w:hAnsi="Times New Roman" w:eastAsia="仿宋" w:cs="Times New Roman"/>
              <w:b/>
              <w:bCs/>
              <w:sz w:val="24"/>
              <w:szCs w:val="24"/>
              <w:lang w:val="zh-CN"/>
            </w:rPr>
            <w:fldChar w:fldCharType="end"/>
          </w:r>
        </w:p>
      </w:sdtContent>
    </w:sdt>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cs="Times New Roman"/>
        </w:rPr>
        <w:sectPr>
          <w:pgSz w:w="11906" w:h="16838"/>
          <w:pgMar w:top="1440" w:right="1797" w:bottom="1440" w:left="1797" w:header="851" w:footer="992" w:gutter="0"/>
          <w:cols w:space="0" w:num="1"/>
          <w:docGrid w:type="linesAndChars" w:linePitch="312" w:charSpace="0"/>
        </w:sectPr>
      </w:pPr>
    </w:p>
    <w:p>
      <w:pPr>
        <w:pStyle w:val="29"/>
        <w:numPr>
          <w:ilvl w:val="0"/>
          <w:numId w:val="2"/>
        </w:numPr>
        <w:spacing w:before="312" w:beforeLines="100" w:after="312" w:afterLines="100" w:line="400" w:lineRule="exact"/>
        <w:outlineLvl w:val="0"/>
        <w:rPr>
          <w:rFonts w:eastAsia="仿宋"/>
          <w:sz w:val="32"/>
        </w:rPr>
      </w:pPr>
      <w:bookmarkStart w:id="30" w:name="_Toc186014776"/>
      <w:bookmarkStart w:id="31" w:name="_Toc29851"/>
      <w:bookmarkStart w:id="32" w:name="_Toc11524"/>
      <w:bookmarkStart w:id="33" w:name="_Toc186027997"/>
      <w:r>
        <w:rPr>
          <w:rFonts w:eastAsia="仿宋"/>
          <w:sz w:val="32"/>
        </w:rPr>
        <w:t>总则</w:t>
      </w:r>
      <w:bookmarkEnd w:id="30"/>
      <w:bookmarkEnd w:id="31"/>
      <w:bookmarkEnd w:id="32"/>
      <w:bookmarkEnd w:id="33"/>
    </w:p>
    <w:p>
      <w:pPr>
        <w:spacing w:line="400" w:lineRule="exact"/>
        <w:rPr>
          <w:rFonts w:ascii="Times New Roman" w:hAnsi="Times New Roman" w:eastAsia="宋体" w:cs="Times New Roman"/>
          <w:sz w:val="24"/>
          <w:szCs w:val="20"/>
        </w:rPr>
      </w:pPr>
      <w:r>
        <w:rPr>
          <w:rFonts w:ascii="Times New Roman" w:hAnsi="Times New Roman" w:eastAsia="宋体" w:cs="Times New Roman"/>
          <w:b/>
          <w:bCs/>
          <w:sz w:val="24"/>
          <w:szCs w:val="20"/>
        </w:rPr>
        <w:t>1.0.1</w:t>
      </w:r>
      <w:r>
        <w:rPr>
          <w:rFonts w:ascii="Times New Roman" w:hAnsi="Times New Roman" w:eastAsia="宋体" w:cs="Times New Roman"/>
          <w:sz w:val="24"/>
          <w:szCs w:val="20"/>
        </w:rPr>
        <w:t xml:space="preserve">  为了在水泥熟料库网壳结构的设计与施工中贯彻执行国家的技术经济政策，做到技术先进、安全适用、经济合理、确保质量，制定本规程。</w:t>
      </w:r>
    </w:p>
    <w:p>
      <w:pPr>
        <w:spacing w:line="400" w:lineRule="exact"/>
        <w:rPr>
          <w:rFonts w:ascii="Times New Roman" w:hAnsi="Times New Roman" w:eastAsia="宋体" w:cs="Times New Roman"/>
          <w:sz w:val="24"/>
          <w:szCs w:val="20"/>
        </w:rPr>
      </w:pPr>
      <w:r>
        <w:rPr>
          <w:rFonts w:ascii="Times New Roman" w:hAnsi="Times New Roman" w:eastAsia="宋体" w:cs="Times New Roman"/>
          <w:b/>
          <w:bCs/>
          <w:sz w:val="24"/>
          <w:szCs w:val="20"/>
        </w:rPr>
        <w:t>1.0.2</w:t>
      </w:r>
      <w:r>
        <w:rPr>
          <w:rFonts w:ascii="Times New Roman" w:hAnsi="Times New Roman" w:eastAsia="宋体" w:cs="Times New Roman"/>
          <w:sz w:val="24"/>
          <w:szCs w:val="20"/>
        </w:rPr>
        <w:t xml:space="preserve">  本规程适用于主要以钢杆件组成的水泥熟料库网壳结构，适用于直径为32m~75m范围内的水泥熟料库网壳结构。</w:t>
      </w:r>
    </w:p>
    <w:p>
      <w:pPr>
        <w:spacing w:line="400" w:lineRule="exact"/>
        <w:rPr>
          <w:rFonts w:ascii="Times New Roman" w:hAnsi="Times New Roman" w:eastAsia="宋体" w:cs="Times New Roman"/>
          <w:sz w:val="24"/>
          <w:szCs w:val="20"/>
        </w:rPr>
      </w:pPr>
      <w:r>
        <w:rPr>
          <w:rFonts w:ascii="Times New Roman" w:hAnsi="Times New Roman" w:eastAsia="宋体" w:cs="Times New Roman"/>
          <w:b/>
          <w:bCs/>
          <w:sz w:val="24"/>
          <w:szCs w:val="20"/>
        </w:rPr>
        <w:t>1.0.3</w:t>
      </w:r>
      <w:r>
        <w:rPr>
          <w:rFonts w:ascii="Times New Roman" w:hAnsi="Times New Roman" w:eastAsia="宋体" w:cs="Times New Roman"/>
          <w:sz w:val="24"/>
          <w:szCs w:val="20"/>
        </w:rPr>
        <w:t xml:space="preserve">  进行水泥熟料库网壳结构设计与施工时，除应符合本规程外，尚应符合国家、行业及安徽省现行有关标准的规定。</w:t>
      </w:r>
    </w:p>
    <w:p>
      <w:pPr>
        <w:pStyle w:val="2"/>
        <w:rPr>
          <w:rFonts w:ascii="Times New Roman" w:hAnsi="Times New Roman" w:cs="Times New Roman"/>
        </w:rPr>
        <w:sectPr>
          <w:pgSz w:w="11906" w:h="16838"/>
          <w:pgMar w:top="1440" w:right="1797" w:bottom="1440" w:left="1797" w:header="851" w:footer="992" w:gutter="0"/>
          <w:cols w:space="0" w:num="1"/>
          <w:docGrid w:type="linesAndChars" w:linePitch="312" w:charSpace="0"/>
        </w:sectPr>
      </w:pPr>
    </w:p>
    <w:p>
      <w:pPr>
        <w:pStyle w:val="29"/>
        <w:numPr>
          <w:ilvl w:val="0"/>
          <w:numId w:val="2"/>
        </w:numPr>
        <w:spacing w:before="312" w:beforeLines="100" w:after="312" w:afterLines="100" w:line="400" w:lineRule="exact"/>
        <w:outlineLvl w:val="0"/>
        <w:rPr>
          <w:rFonts w:eastAsia="仿宋"/>
          <w:sz w:val="32"/>
        </w:rPr>
      </w:pPr>
      <w:bookmarkStart w:id="34" w:name="_Toc21553"/>
      <w:bookmarkStart w:id="35" w:name="_Toc186014777"/>
      <w:bookmarkStart w:id="36" w:name="_Toc186027998"/>
      <w:r>
        <w:rPr>
          <w:rFonts w:eastAsia="仿宋"/>
          <w:sz w:val="32"/>
        </w:rPr>
        <w:t>术语和符号</w:t>
      </w:r>
      <w:bookmarkEnd w:id="34"/>
      <w:bookmarkEnd w:id="35"/>
      <w:bookmarkEnd w:id="36"/>
    </w:p>
    <w:p>
      <w:pPr>
        <w:pStyle w:val="4"/>
        <w:spacing w:before="156" w:beforeLines="50" w:after="156" w:afterLines="50" w:line="400" w:lineRule="exact"/>
        <w:jc w:val="center"/>
        <w:rPr>
          <w:rFonts w:ascii="Times New Roman" w:hAnsi="Times New Roman" w:eastAsia="宋体" w:cs="Times New Roman"/>
          <w:sz w:val="24"/>
          <w:szCs w:val="24"/>
        </w:rPr>
      </w:pPr>
      <w:bookmarkStart w:id="37" w:name="_Toc28528"/>
      <w:bookmarkStart w:id="38" w:name="_Toc186014778"/>
      <w:bookmarkStart w:id="39" w:name="_Toc186027999"/>
      <w:r>
        <w:rPr>
          <w:rFonts w:ascii="Times New Roman" w:hAnsi="Times New Roman" w:eastAsia="宋体" w:cs="Times New Roman"/>
          <w:sz w:val="24"/>
          <w:szCs w:val="24"/>
        </w:rPr>
        <w:t>2.1术语</w:t>
      </w:r>
      <w:bookmarkEnd w:id="37"/>
      <w:bookmarkEnd w:id="38"/>
      <w:bookmarkEnd w:id="39"/>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2.1.1  水泥熟料库  cement clinker storage</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用于储存水泥熟料的存储库，通常为预应力圆柱形混凝土筒仓。</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2.1.2  水泥熟料库网壳结构  shell structure of cement clinker storage</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置于水泥熟料库库壁上部的上盖结构，由圆台网壳、库顶房两部分组成。</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2.1.3  圆台网壳  round table reticulated shell</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水泥熟料库上部与库顶房楼面之间，用于水泥熟料库封闭、支撑设备的上盖结构，通常为圆台形状。</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2.1.4  库顶房  storage roof room</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水泥熟料库圆台网壳顶部，位于结构楼面处的封闭空间，主要作为设备围护结构。</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2.1.5  库顶房楼面  storage roof room floors</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水泥熟料库圆台网壳上部圆台标高处的楼面，即库顶房的楼面，用于布置设备、拉练机等。</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2.1.6  库顶房屋面  storage roof room roofs</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水泥库顶房的封闭结构，将设备进行封闭。</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2.1.7  水泥熟料库网壳跨度  The span of the latticed shell in clinker silo</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水泥熟料库网壳支座平面所在圆的直径。</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2.1.8  加强圈  Reinforcing ring</w:t>
      </w:r>
    </w:p>
    <w:p>
      <w:pPr>
        <w:pStyle w:val="2"/>
        <w:spacing w:after="0" w:line="400" w:lineRule="exact"/>
        <w:ind w:firstLine="480" w:firstLineChars="200"/>
        <w:rPr>
          <w:rFonts w:ascii="Times New Roman" w:hAnsi="Times New Roman" w:cs="Times New Roman"/>
          <w:sz w:val="24"/>
          <w:szCs w:val="24"/>
        </w:rPr>
      </w:pPr>
      <w:r>
        <w:rPr>
          <w:rFonts w:ascii="Times New Roman" w:hAnsi="Times New Roman" w:eastAsia="宋体" w:cs="Times New Roman"/>
          <w:sz w:val="24"/>
          <w:szCs w:val="24"/>
        </w:rPr>
        <w:t>用于加强水泥熟料库网壳的支座处刚度而设置的环形网壳结构。</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2.1.9  下料口  feed port</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位于库顶房楼面下方，通过在库顶房楼面开设洞口，水泥熟料通过下料口进入水泥熟料库内。</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2.1.10  拉链机  zipper machine</w:t>
      </w:r>
    </w:p>
    <w:p>
      <w:pPr>
        <w:pStyle w:val="2"/>
        <w:spacing w:after="0" w:line="400" w:lineRule="exact"/>
        <w:ind w:firstLine="480" w:firstLineChars="200"/>
        <w:rPr>
          <w:rFonts w:ascii="Times New Roman" w:hAnsi="Times New Roman" w:cs="Times New Roman"/>
          <w:sz w:val="24"/>
          <w:szCs w:val="24"/>
        </w:rPr>
      </w:pPr>
      <w:r>
        <w:rPr>
          <w:rFonts w:ascii="Times New Roman" w:hAnsi="Times New Roman" w:eastAsia="宋体" w:cs="Times New Roman"/>
          <w:sz w:val="24"/>
          <w:szCs w:val="24"/>
        </w:rPr>
        <w:t>置于库顶房楼面，位于输送水泥熟料皮带一端，用来拉动皮带运输的机器。</w:t>
      </w:r>
    </w:p>
    <w:p>
      <w:pPr>
        <w:pStyle w:val="4"/>
        <w:spacing w:before="156" w:beforeLines="50" w:after="156" w:afterLines="50" w:line="400" w:lineRule="exact"/>
        <w:jc w:val="center"/>
        <w:rPr>
          <w:rFonts w:ascii="Times New Roman" w:hAnsi="Times New Roman" w:eastAsia="宋体" w:cs="Times New Roman"/>
          <w:sz w:val="24"/>
          <w:szCs w:val="24"/>
        </w:rPr>
      </w:pPr>
      <w:bookmarkStart w:id="40" w:name="_Toc186028000"/>
      <w:bookmarkStart w:id="41" w:name="_Toc19933"/>
      <w:bookmarkStart w:id="42" w:name="_Toc186014779"/>
      <w:r>
        <w:rPr>
          <w:rFonts w:ascii="Times New Roman" w:hAnsi="Times New Roman" w:eastAsia="宋体" w:cs="Times New Roman"/>
          <w:sz w:val="24"/>
          <w:szCs w:val="24"/>
        </w:rPr>
        <w:t>2.2符号</w:t>
      </w:r>
      <w:bookmarkEnd w:id="40"/>
      <w:bookmarkEnd w:id="41"/>
      <w:bookmarkEnd w:id="42"/>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2.2.1  作用和作用效应设计值</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F</w:t>
      </w:r>
      <w:r>
        <w:rPr>
          <w:rFonts w:ascii="Times New Roman" w:hAnsi="Times New Roman" w:eastAsia="宋体" w:cs="Times New Roman"/>
          <w:sz w:val="24"/>
          <w:szCs w:val="24"/>
        </w:rPr>
        <w:t>—水泥熟料库网壳结构节点荷载向量；</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N</w:t>
      </w:r>
      <w:r>
        <w:rPr>
          <w:rFonts w:ascii="Times New Roman" w:hAnsi="Times New Roman" w:eastAsia="宋体" w:cs="Times New Roman"/>
          <w:i/>
          <w:iCs/>
          <w:sz w:val="24"/>
          <w:szCs w:val="24"/>
          <w:vertAlign w:val="subscript"/>
        </w:rPr>
        <w:t>R</w:t>
      </w:r>
      <w:r>
        <w:rPr>
          <w:rFonts w:ascii="Times New Roman" w:hAnsi="Times New Roman" w:eastAsia="宋体" w:cs="Times New Roman"/>
          <w:sz w:val="24"/>
          <w:szCs w:val="24"/>
        </w:rPr>
        <w:t>—空心球节点的轴向受压或受拉承载力设计值；</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N</w:t>
      </w:r>
      <w:r>
        <w:rPr>
          <w:rFonts w:ascii="Times New Roman" w:hAnsi="Times New Roman" w:eastAsia="宋体" w:cs="Times New Roman"/>
          <w:i/>
          <w:iCs/>
          <w:sz w:val="24"/>
          <w:szCs w:val="24"/>
          <w:vertAlign w:val="subscript"/>
        </w:rPr>
        <w:t>t</w:t>
      </w:r>
      <w:r>
        <w:rPr>
          <w:rFonts w:ascii="Times New Roman" w:hAnsi="Times New Roman" w:eastAsia="宋体" w:cs="Times New Roman"/>
          <w:i/>
          <w:iCs/>
          <w:sz w:val="24"/>
          <w:szCs w:val="24"/>
          <w:vertAlign w:val="superscript"/>
        </w:rPr>
        <w:t>b</w:t>
      </w:r>
      <w:r>
        <w:rPr>
          <w:rFonts w:ascii="Times New Roman" w:hAnsi="Times New Roman" w:eastAsia="宋体" w:cs="Times New Roman"/>
          <w:sz w:val="24"/>
          <w:szCs w:val="24"/>
        </w:rPr>
        <w:t>—高强度螺栓的受拉承载力设计值；</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2.2.2  计算指标</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E</w:t>
      </w:r>
      <w:r>
        <w:rPr>
          <w:rFonts w:ascii="Times New Roman" w:hAnsi="Times New Roman" w:eastAsia="宋体" w:cs="Times New Roman"/>
          <w:sz w:val="24"/>
          <w:szCs w:val="24"/>
        </w:rPr>
        <w:t>—材料的弹性模量；</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f</w:t>
      </w:r>
      <w:r>
        <w:rPr>
          <w:rFonts w:ascii="Times New Roman" w:hAnsi="Times New Roman" w:eastAsia="宋体" w:cs="Times New Roman"/>
          <w:sz w:val="24"/>
          <w:szCs w:val="24"/>
        </w:rPr>
        <w:t>—钢材的抗拉强度设计值；</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f</w:t>
      </w:r>
      <w:r>
        <w:rPr>
          <w:rFonts w:ascii="Times New Roman" w:hAnsi="Times New Roman" w:eastAsia="宋体" w:cs="Times New Roman"/>
          <w:sz w:val="24"/>
          <w:szCs w:val="24"/>
          <w:vertAlign w:val="subscript"/>
        </w:rPr>
        <w:t>t</w:t>
      </w:r>
      <w:r>
        <w:rPr>
          <w:rFonts w:ascii="Times New Roman" w:hAnsi="Times New Roman" w:eastAsia="宋体" w:cs="Times New Roman"/>
          <w:sz w:val="24"/>
          <w:szCs w:val="24"/>
          <w:vertAlign w:val="superscript"/>
        </w:rPr>
        <w:t>b</w:t>
      </w:r>
      <w:r>
        <w:rPr>
          <w:rFonts w:ascii="Times New Roman" w:hAnsi="Times New Roman" w:eastAsia="宋体" w:cs="Times New Roman"/>
          <w:sz w:val="24"/>
          <w:szCs w:val="24"/>
        </w:rPr>
        <w:t>—高强度螺栓经热处理后的抗拉强度设计值；</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2.2.3  几何参数</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position w:val="-12"/>
          <w:sz w:val="24"/>
          <w:szCs w:val="24"/>
        </w:rPr>
        <w:object>
          <v:shape id="_x0000_i1025" o:spt="75" type="#_x0000_t75" style="height:18.25pt;width:20.1pt;" o:ole="t" filled="f" o:preferrelative="t" stroked="f" coordsize="21600,21600">
            <v:path/>
            <v:fill on="f" focussize="0,0"/>
            <v:stroke on="f" joinstyle="miter"/>
            <v:imagedata r:id="rId7" o:title=""/>
            <o:lock v:ext="edit" aspectratio="t"/>
            <w10:wrap type="none"/>
            <w10:anchorlock/>
          </v:shape>
          <o:OLEObject Type="Embed" ProgID="Equation.KSEE3" ShapeID="_x0000_i1025" DrawAspect="Content" ObjectID="_1468075725" r:id="rId6">
            <o:LockedField>false</o:LockedField>
          </o:OLEObject>
        </w:object>
      </w:r>
      <w:r>
        <w:rPr>
          <w:rFonts w:ascii="Times New Roman" w:hAnsi="Times New Roman" w:eastAsia="宋体" w:cs="Times New Roman"/>
          <w:sz w:val="24"/>
          <w:szCs w:val="24"/>
        </w:rPr>
        <w:t>—高强度螺栓的有效截面积；</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D</w:t>
      </w:r>
      <w:r>
        <w:rPr>
          <w:rFonts w:ascii="Times New Roman" w:hAnsi="Times New Roman" w:eastAsia="宋体" w:cs="Times New Roman"/>
          <w:sz w:val="24"/>
          <w:szCs w:val="24"/>
        </w:rPr>
        <w:t>—空心球节点的空心球外径、螺栓球节点的钢球直径</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D1</w:t>
      </w:r>
      <w:r>
        <w:rPr>
          <w:rFonts w:ascii="Times New Roman" w:hAnsi="Times New Roman" w:eastAsia="宋体" w:cs="Times New Roman"/>
          <w:sz w:val="24"/>
          <w:szCs w:val="24"/>
        </w:rPr>
        <w:t>—圆台网壳底部直径；</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D2</w:t>
      </w:r>
      <w:r>
        <w:rPr>
          <w:rFonts w:ascii="Times New Roman" w:hAnsi="Times New Roman" w:eastAsia="宋体" w:cs="Times New Roman"/>
          <w:sz w:val="24"/>
          <w:szCs w:val="24"/>
        </w:rPr>
        <w:t>—库订房网壳底部直径；</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H1</w:t>
      </w:r>
      <w:r>
        <w:rPr>
          <w:rFonts w:ascii="Times New Roman" w:hAnsi="Times New Roman" w:eastAsia="宋体" w:cs="Times New Roman"/>
          <w:sz w:val="24"/>
          <w:szCs w:val="24"/>
        </w:rPr>
        <w:t>—圆台网壳矢高；</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H2</w:t>
      </w:r>
      <w:r>
        <w:rPr>
          <w:rFonts w:ascii="Times New Roman" w:hAnsi="Times New Roman" w:eastAsia="宋体" w:cs="Times New Roman"/>
          <w:sz w:val="24"/>
          <w:szCs w:val="24"/>
        </w:rPr>
        <w:t>—库订房网壳矢高；</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a</w:t>
      </w:r>
      <w:r>
        <w:rPr>
          <w:rFonts w:ascii="Times New Roman" w:hAnsi="Times New Roman" w:eastAsia="宋体" w:cs="Times New Roman"/>
          <w:sz w:val="24"/>
          <w:szCs w:val="24"/>
        </w:rPr>
        <w:t>—空心球面上相邻杆件之间的净距；</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d</w:t>
      </w:r>
      <w:r>
        <w:rPr>
          <w:rFonts w:ascii="Times New Roman" w:hAnsi="Times New Roman" w:eastAsia="宋体" w:cs="Times New Roman"/>
          <w:sz w:val="24"/>
          <w:szCs w:val="24"/>
        </w:rPr>
        <w:t>—与空心球相连的主钢管杆件的外径;</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d</w:t>
      </w:r>
      <w:r>
        <w:rPr>
          <w:rFonts w:ascii="Times New Roman" w:hAnsi="Times New Roman" w:eastAsia="宋体" w:cs="Times New Roman"/>
          <w:i/>
          <w:iCs/>
          <w:sz w:val="24"/>
          <w:szCs w:val="24"/>
          <w:vertAlign w:val="subscript"/>
        </w:rPr>
        <w:t>1</w:t>
      </w:r>
      <w:r>
        <w:rPr>
          <w:rFonts w:ascii="Times New Roman" w:hAnsi="Times New Roman" w:eastAsia="宋体" w:cs="Times New Roman"/>
          <w:i/>
          <w:iCs/>
          <w:sz w:val="24"/>
          <w:szCs w:val="24"/>
          <w:vertAlign w:val="superscript"/>
        </w:rPr>
        <w:t>b</w:t>
      </w:r>
      <w:r>
        <w:rPr>
          <w:rFonts w:ascii="Times New Roman" w:hAnsi="Times New Roman" w:eastAsia="宋体" w:cs="Times New Roman"/>
          <w:sz w:val="24"/>
          <w:szCs w:val="24"/>
          <w:vertAlign w:val="superscript"/>
        </w:rPr>
        <w:t xml:space="preserve"> </w:t>
      </w:r>
      <w:r>
        <w:rPr>
          <w:rFonts w:ascii="Times New Roman" w:hAnsi="Times New Roman" w:eastAsia="宋体" w:cs="Times New Roman"/>
          <w:sz w:val="24"/>
          <w:szCs w:val="24"/>
          <w:lang w:val="zh-TW"/>
        </w:rPr>
        <w:t>、</w:t>
      </w:r>
      <w:r>
        <w:rPr>
          <w:rFonts w:ascii="Times New Roman" w:hAnsi="Times New Roman" w:eastAsia="宋体" w:cs="Times New Roman"/>
          <w:i/>
          <w:iCs/>
          <w:sz w:val="24"/>
          <w:szCs w:val="24"/>
        </w:rPr>
        <w:t>d</w:t>
      </w:r>
      <w:r>
        <w:rPr>
          <w:rFonts w:ascii="Times New Roman" w:hAnsi="Times New Roman" w:eastAsia="宋体" w:cs="Times New Roman"/>
          <w:i/>
          <w:iCs/>
          <w:sz w:val="24"/>
          <w:szCs w:val="24"/>
          <w:vertAlign w:val="subscript"/>
        </w:rPr>
        <w:t>s</w:t>
      </w:r>
      <w:r>
        <w:rPr>
          <w:rFonts w:ascii="Times New Roman" w:hAnsi="Times New Roman" w:eastAsia="宋体" w:cs="Times New Roman"/>
          <w:i/>
          <w:iCs/>
          <w:sz w:val="24"/>
          <w:szCs w:val="24"/>
          <w:vertAlign w:val="superscript"/>
        </w:rPr>
        <w:t>b</w:t>
      </w:r>
      <w:r>
        <w:rPr>
          <w:rFonts w:ascii="Times New Roman" w:hAnsi="Times New Roman" w:eastAsia="宋体" w:cs="Times New Roman"/>
          <w:sz w:val="24"/>
          <w:szCs w:val="24"/>
        </w:rPr>
        <w:t>—螺栓球节点两相邻螺栓的较大直径、较小直径;</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l</w:t>
      </w:r>
      <w:r>
        <w:rPr>
          <w:rFonts w:ascii="Times New Roman" w:hAnsi="Times New Roman" w:eastAsia="宋体" w:cs="Times New Roman"/>
          <w:sz w:val="24"/>
          <w:szCs w:val="24"/>
        </w:rPr>
        <w:t xml:space="preserve">—杆件节点之间中心长度； </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l</w:t>
      </w:r>
      <w:r>
        <w:rPr>
          <w:rFonts w:ascii="Times New Roman" w:hAnsi="Times New Roman" w:eastAsia="宋体" w:cs="Times New Roman"/>
          <w:sz w:val="24"/>
          <w:szCs w:val="24"/>
          <w:vertAlign w:val="subscript"/>
        </w:rPr>
        <w:t>0</w:t>
      </w:r>
      <w:r>
        <w:rPr>
          <w:rFonts w:ascii="Times New Roman" w:hAnsi="Times New Roman" w:eastAsia="宋体" w:cs="Times New Roman"/>
          <w:sz w:val="24"/>
          <w:szCs w:val="24"/>
        </w:rPr>
        <w:t xml:space="preserve"> —杆件的计算长度；</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t</w:t>
      </w:r>
      <w:r>
        <w:rPr>
          <w:rFonts w:ascii="Times New Roman" w:hAnsi="Times New Roman" w:eastAsia="宋体" w:cs="Times New Roman"/>
          <w:sz w:val="24"/>
          <w:szCs w:val="24"/>
        </w:rPr>
        <w:t>—空心球壁厚；</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θ</w:t>
      </w:r>
      <w:r>
        <w:rPr>
          <w:rFonts w:ascii="Times New Roman" w:hAnsi="Times New Roman" w:eastAsia="宋体" w:cs="Times New Roman"/>
          <w:sz w:val="24"/>
          <w:szCs w:val="24"/>
          <w:lang w:val="zh-TW" w:eastAsia="zh-TW"/>
        </w:rPr>
        <w:t>—</w:t>
      </w:r>
      <w:r>
        <w:rPr>
          <w:rFonts w:ascii="Times New Roman" w:hAnsi="Times New Roman" w:eastAsia="宋体" w:cs="Times New Roman"/>
          <w:sz w:val="24"/>
          <w:szCs w:val="24"/>
        </w:rPr>
        <w:t>汇交于螺栓球节点两相邻螺栓间的最小夹角；</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2.2.4  计算系数及其他</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Adobe 仿宋 Std R" w:cs="Times New Roman"/>
          <w:i/>
          <w:iCs/>
          <w:sz w:val="24"/>
          <w:szCs w:val="24"/>
        </w:rPr>
        <w:t>η</w:t>
      </w:r>
      <w:r>
        <w:rPr>
          <w:rFonts w:ascii="Times New Roman" w:hAnsi="Times New Roman" w:eastAsia="宋体" w:cs="Times New Roman"/>
          <w:sz w:val="24"/>
          <w:szCs w:val="24"/>
          <w:vertAlign w:val="subscript"/>
        </w:rPr>
        <w:t>d</w:t>
      </w:r>
      <w:r>
        <w:rPr>
          <w:rFonts w:ascii="Times New Roman" w:hAnsi="Times New Roman" w:eastAsia="宋体" w:cs="Times New Roman"/>
          <w:sz w:val="24"/>
          <w:szCs w:val="24"/>
        </w:rPr>
        <w:t>—空心球节点加肋承载力提高系数；</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Adobe 仿宋 Std R" w:cs="Times New Roman"/>
          <w:i/>
          <w:iCs/>
          <w:sz w:val="24"/>
          <w:szCs w:val="24"/>
        </w:rPr>
        <w:t>η</w:t>
      </w:r>
      <w:r>
        <w:rPr>
          <w:rFonts w:ascii="Times New Roman" w:hAnsi="Times New Roman" w:eastAsia="宋体" w:cs="Times New Roman"/>
          <w:sz w:val="24"/>
          <w:szCs w:val="24"/>
          <w:vertAlign w:val="subscript"/>
        </w:rPr>
        <w:t>0</w:t>
      </w:r>
      <w:r>
        <w:rPr>
          <w:rFonts w:ascii="Times New Roman" w:hAnsi="Times New Roman" w:eastAsia="宋体" w:cs="Times New Roman"/>
          <w:sz w:val="24"/>
          <w:szCs w:val="24"/>
        </w:rPr>
        <w:t>—大直径空心球节点承载力调整系数；</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Adobe 仿宋 Std R" w:cs="Times New Roman"/>
          <w:i/>
          <w:iCs/>
          <w:sz w:val="24"/>
          <w:szCs w:val="24"/>
        </w:rPr>
        <w:t>η</w:t>
      </w:r>
      <w:r>
        <w:rPr>
          <w:rFonts w:ascii="Times New Roman" w:hAnsi="Times New Roman" w:eastAsia="宋体" w:cs="Times New Roman"/>
          <w:i/>
          <w:iCs/>
          <w:sz w:val="24"/>
          <w:szCs w:val="24"/>
          <w:vertAlign w:val="subscript"/>
        </w:rPr>
        <w:t>m</w:t>
      </w:r>
      <w:r>
        <w:rPr>
          <w:rFonts w:ascii="Times New Roman" w:hAnsi="Times New Roman" w:eastAsia="宋体" w:cs="Times New Roman"/>
          <w:sz w:val="24"/>
          <w:szCs w:val="24"/>
        </w:rPr>
        <w:t>—考虑空心球节点受压弯或拉弯作用的影响系数；</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w:t>
      </w:r>
      <w:r>
        <w:rPr>
          <w:rFonts w:ascii="Times New Roman" w:hAnsi="Times New Roman" w:eastAsia="宋体" w:cs="Times New Roman"/>
          <w:i/>
          <w:iCs/>
          <w:sz w:val="24"/>
          <w:szCs w:val="24"/>
        </w:rPr>
        <w:t>λ</w:t>
      </w:r>
      <w:r>
        <w:rPr>
          <w:rFonts w:ascii="Times New Roman" w:hAnsi="Times New Roman" w:eastAsia="宋体" w:cs="Times New Roman"/>
          <w:sz w:val="24"/>
          <w:szCs w:val="24"/>
        </w:rPr>
        <w:t>]—杆件的容许长细比；</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ξ</w:t>
      </w:r>
      <w:r>
        <w:rPr>
          <w:rFonts w:ascii="Times New Roman" w:hAnsi="Times New Roman" w:eastAsia="宋体" w:cs="Times New Roman"/>
          <w:sz w:val="24"/>
          <w:szCs w:val="24"/>
        </w:rPr>
        <w:t>—螺栓拧入球体长度与螺栓直径的比值；</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λ</w:t>
      </w:r>
      <w:r>
        <w:rPr>
          <w:rFonts w:ascii="Times New Roman" w:hAnsi="Times New Roman" w:eastAsia="宋体" w:cs="Times New Roman"/>
          <w:sz w:val="24"/>
          <w:szCs w:val="24"/>
        </w:rPr>
        <w:t>—抗震设防烈度系数；螺栓球节点套筒外接圆直径与螺栓直径的比值；</w:t>
      </w:r>
    </w:p>
    <w:p>
      <w:pPr>
        <w:spacing w:line="400" w:lineRule="exact"/>
        <w:rPr>
          <w:rFonts w:ascii="Times New Roman" w:hAnsi="Times New Roman" w:cs="Times New Roman"/>
          <w:sz w:val="24"/>
          <w:szCs w:val="24"/>
        </w:rPr>
        <w:sectPr>
          <w:pgSz w:w="11906" w:h="16838"/>
          <w:pgMar w:top="1440" w:right="1797" w:bottom="1440" w:left="1797" w:header="851" w:footer="992" w:gutter="0"/>
          <w:cols w:space="0" w:num="1"/>
          <w:docGrid w:type="linesAndChars" w:linePitch="312" w:charSpace="0"/>
        </w:sectPr>
      </w:pPr>
    </w:p>
    <w:p>
      <w:pPr>
        <w:pStyle w:val="29"/>
        <w:numPr>
          <w:ilvl w:val="0"/>
          <w:numId w:val="2"/>
        </w:numPr>
        <w:spacing w:before="312" w:beforeLines="100" w:after="312" w:afterLines="100" w:line="400" w:lineRule="atLeast"/>
        <w:outlineLvl w:val="0"/>
        <w:rPr>
          <w:rFonts w:eastAsia="仿宋"/>
          <w:sz w:val="32"/>
        </w:rPr>
      </w:pPr>
      <w:bookmarkStart w:id="43" w:name="_Toc186014780"/>
      <w:bookmarkStart w:id="44" w:name="_Toc18312"/>
      <w:bookmarkStart w:id="45" w:name="_Toc186028001"/>
      <w:r>
        <w:rPr>
          <w:rFonts w:eastAsia="仿宋"/>
          <w:sz w:val="32"/>
        </w:rPr>
        <w:t>基本规定</w:t>
      </w:r>
      <w:bookmarkEnd w:id="43"/>
      <w:bookmarkEnd w:id="44"/>
      <w:bookmarkEnd w:id="45"/>
    </w:p>
    <w:p>
      <w:pPr>
        <w:pStyle w:val="2"/>
        <w:spacing w:after="0" w:line="400" w:lineRule="exact"/>
        <w:ind w:firstLine="480" w:firstLineChars="200"/>
        <w:rPr>
          <w:rFonts w:ascii="Times New Roman" w:hAnsi="Times New Roman" w:eastAsia="宋体" w:cs="Times New Roman"/>
          <w:sz w:val="24"/>
          <w:szCs w:val="20"/>
        </w:rPr>
      </w:pPr>
      <w:r>
        <w:rPr>
          <w:rFonts w:ascii="Times New Roman" w:hAnsi="Times New Roman" w:eastAsia="宋体" w:cs="Times New Roman"/>
          <w:sz w:val="24"/>
          <w:szCs w:val="20"/>
        </w:rPr>
        <w:t>水泥熟料库网壳一般采用双层形式，局部可添加加强圈。水泥熟料库网壳外形一般采用球台网壳、圆台网壳。水泥熟料库双层网壳可由四角锥体系、三角锥体系或由两向、三向交叉的桁架体系等组成。一般采用四角锥体系组成的正放四角锥网壳。</w:t>
      </w:r>
    </w:p>
    <w:p>
      <w:pPr>
        <w:pStyle w:val="2"/>
        <w:spacing w:after="0" w:line="400" w:lineRule="exact"/>
        <w:ind w:firstLine="480" w:firstLineChars="200"/>
        <w:rPr>
          <w:rFonts w:ascii="Times New Roman" w:hAnsi="Times New Roman" w:eastAsia="宋体" w:cs="Times New Roman"/>
          <w:sz w:val="24"/>
          <w:szCs w:val="20"/>
        </w:rPr>
      </w:pPr>
      <w:r>
        <w:rPr>
          <w:rFonts w:ascii="Times New Roman" w:hAnsi="Times New Roman" w:eastAsia="宋体" w:cs="Times New Roman"/>
          <w:sz w:val="24"/>
          <w:szCs w:val="20"/>
        </w:rPr>
        <w:t>水泥熟料库网壳结构的选型应结合工程的平面形状、跨度、支承情况、荷载条件、屋面构造、建筑工艺设计等要求综合分析确定。</w:t>
      </w:r>
    </w:p>
    <w:p>
      <w:pPr>
        <w:keepNext/>
        <w:keepLines/>
        <w:spacing w:before="156" w:beforeLines="50" w:after="156" w:afterLines="50" w:line="400" w:lineRule="exact"/>
        <w:jc w:val="center"/>
        <w:outlineLvl w:val="1"/>
        <w:rPr>
          <w:rFonts w:ascii="Times New Roman" w:hAnsi="Times New Roman" w:eastAsia="宋体" w:cs="Times New Roman"/>
          <w:b/>
          <w:bCs/>
          <w:sz w:val="24"/>
          <w:szCs w:val="24"/>
        </w:rPr>
      </w:pPr>
      <w:bookmarkStart w:id="46" w:name="_Toc186014781"/>
      <w:bookmarkStart w:id="47" w:name="_Toc186028002"/>
      <w:bookmarkStart w:id="48" w:name="_Toc27493"/>
      <w:r>
        <w:rPr>
          <w:rFonts w:ascii="Times New Roman" w:hAnsi="Times New Roman" w:eastAsia="宋体" w:cs="Times New Roman"/>
          <w:b/>
          <w:bCs/>
          <w:sz w:val="24"/>
          <w:szCs w:val="24"/>
        </w:rPr>
        <w:t>3.1  一般规定</w:t>
      </w:r>
      <w:bookmarkEnd w:id="46"/>
      <w:bookmarkEnd w:id="47"/>
      <w:bookmarkEnd w:id="48"/>
    </w:p>
    <w:p>
      <w:pPr>
        <w:spacing w:line="400" w:lineRule="exact"/>
        <w:rPr>
          <w:rFonts w:ascii="Times New Roman" w:hAnsi="Times New Roman" w:eastAsia="宋体" w:cs="Times New Roman"/>
          <w:sz w:val="24"/>
          <w:szCs w:val="20"/>
        </w:rPr>
      </w:pPr>
      <w:r>
        <w:rPr>
          <w:rFonts w:ascii="Times New Roman" w:hAnsi="Times New Roman" w:eastAsia="宋体" w:cs="Times New Roman"/>
          <w:sz w:val="24"/>
          <w:szCs w:val="20"/>
        </w:rPr>
        <w:t>3.1.1 圆台网壳结构设计宜符合下列规定：</w:t>
      </w:r>
    </w:p>
    <w:p>
      <w:pPr>
        <w:spacing w:line="400" w:lineRule="exact"/>
        <w:ind w:firstLine="480" w:firstLineChars="200"/>
        <w:rPr>
          <w:rFonts w:ascii="Times New Roman" w:hAnsi="Times New Roman" w:eastAsia="宋体" w:cs="Times New Roman"/>
          <w:sz w:val="24"/>
          <w:szCs w:val="20"/>
        </w:rPr>
      </w:pPr>
      <w:r>
        <w:rPr>
          <w:rFonts w:ascii="Times New Roman" w:hAnsi="Times New Roman" w:eastAsia="宋体" w:cs="Times New Roman"/>
          <w:sz w:val="24"/>
          <w:szCs w:val="20"/>
        </w:rPr>
        <w:t>1 圆台网壳的矢跨比不宜小于1/5；</w:t>
      </w:r>
    </w:p>
    <w:p>
      <w:pPr>
        <w:spacing w:line="400" w:lineRule="exact"/>
        <w:ind w:firstLine="480" w:firstLineChars="200"/>
        <w:rPr>
          <w:rFonts w:ascii="Times New Roman" w:hAnsi="Times New Roman" w:eastAsia="宋体" w:cs="Times New Roman"/>
          <w:sz w:val="24"/>
          <w:szCs w:val="20"/>
        </w:rPr>
      </w:pPr>
      <w:r>
        <w:rPr>
          <w:rFonts w:ascii="Times New Roman" w:hAnsi="Times New Roman" w:eastAsia="宋体" w:cs="Times New Roman"/>
          <w:sz w:val="24"/>
          <w:szCs w:val="20"/>
        </w:rPr>
        <w:t>2 双层圆台网壳的厚度可取跨度的1/20~1/35。</w:t>
      </w:r>
    </w:p>
    <w:p>
      <w:pPr>
        <w:spacing w:line="400" w:lineRule="exact"/>
        <w:ind w:firstLine="480" w:firstLineChars="200"/>
        <w:rPr>
          <w:rFonts w:ascii="Times New Roman" w:hAnsi="Times New Roman" w:eastAsia="宋体" w:cs="Times New Roman"/>
          <w:sz w:val="24"/>
          <w:szCs w:val="20"/>
        </w:rPr>
      </w:pPr>
      <w:r>
        <w:rPr>
          <w:rFonts w:ascii="Times New Roman" w:hAnsi="Times New Roman" w:eastAsia="宋体" w:cs="Times New Roman"/>
          <w:sz w:val="24"/>
          <w:szCs w:val="20"/>
        </w:rPr>
        <w:t>3 圆台网壳所在圆锥的母线和底面圆的夹角需符合工艺要求。</w:t>
      </w:r>
    </w:p>
    <w:p>
      <w:pPr>
        <w:spacing w:line="400" w:lineRule="exact"/>
        <w:rPr>
          <w:rFonts w:ascii="Times New Roman" w:hAnsi="Times New Roman" w:eastAsia="宋体" w:cs="Times New Roman"/>
          <w:sz w:val="24"/>
          <w:szCs w:val="20"/>
        </w:rPr>
      </w:pPr>
      <w:r>
        <w:rPr>
          <w:rFonts w:ascii="Times New Roman" w:hAnsi="Times New Roman" w:eastAsia="宋体" w:cs="Times New Roman"/>
          <w:sz w:val="24"/>
          <w:szCs w:val="20"/>
        </w:rPr>
        <w:t>3.1.2 网壳的支承构造应可靠传递竖向反力和水平反力，同时应满足不同网壳结构形式所必需边缘构件的约束条件。下部支承结构（构件）应具有足够的刚度，以有效地支撑和传递上部网壳结构传递的荷载。边缘构件的约束应满足刚度要求，并应与网壳结构一起进行整体计算。</w:t>
      </w:r>
    </w:p>
    <w:p>
      <w:pPr>
        <w:spacing w:line="400" w:lineRule="exact"/>
        <w:ind w:firstLine="480" w:firstLineChars="200"/>
        <w:rPr>
          <w:rFonts w:ascii="Times New Roman" w:hAnsi="Times New Roman" w:eastAsia="宋体" w:cs="Times New Roman"/>
          <w:sz w:val="24"/>
          <w:szCs w:val="20"/>
        </w:rPr>
      </w:pPr>
      <w:r>
        <w:rPr>
          <w:rFonts w:ascii="Times New Roman" w:hAnsi="Times New Roman" w:eastAsia="宋体" w:cs="Times New Roman"/>
          <w:sz w:val="24"/>
          <w:szCs w:val="20"/>
        </w:rPr>
        <w:t>水泥熟料库网壳的相应支座约束条件应符合下列规定：</w:t>
      </w:r>
    </w:p>
    <w:p>
      <w:pPr>
        <w:spacing w:line="400" w:lineRule="exact"/>
        <w:ind w:firstLine="480" w:firstLineChars="200"/>
        <w:rPr>
          <w:rFonts w:ascii="Times New Roman" w:hAnsi="Times New Roman" w:eastAsia="宋体" w:cs="Times New Roman"/>
          <w:sz w:val="24"/>
          <w:szCs w:val="20"/>
        </w:rPr>
      </w:pPr>
      <w:r>
        <w:rPr>
          <w:rFonts w:ascii="Times New Roman" w:hAnsi="Times New Roman" w:eastAsia="宋体" w:cs="Times New Roman"/>
          <w:sz w:val="24"/>
          <w:szCs w:val="20"/>
        </w:rPr>
        <w:t>1支承点构造应符合计算假定的约束条件，并且有控制其水平位移超限的措施；</w:t>
      </w:r>
    </w:p>
    <w:p>
      <w:pPr>
        <w:spacing w:line="400" w:lineRule="exact"/>
        <w:ind w:firstLine="480" w:firstLineChars="200"/>
        <w:rPr>
          <w:rFonts w:ascii="Times New Roman" w:hAnsi="Times New Roman" w:eastAsia="宋体" w:cs="Times New Roman"/>
          <w:sz w:val="24"/>
          <w:szCs w:val="20"/>
        </w:rPr>
      </w:pPr>
      <w:r>
        <w:rPr>
          <w:rFonts w:ascii="Times New Roman" w:hAnsi="Times New Roman" w:eastAsia="宋体" w:cs="Times New Roman"/>
          <w:sz w:val="24"/>
          <w:szCs w:val="20"/>
        </w:rPr>
        <w:t>2支承点应通过边缘构件沿周边布置。</w:t>
      </w:r>
    </w:p>
    <w:p>
      <w:pPr>
        <w:spacing w:line="400" w:lineRule="exact"/>
        <w:rPr>
          <w:rFonts w:ascii="Times New Roman" w:hAnsi="Times New Roman" w:eastAsia="宋体" w:cs="Times New Roman"/>
          <w:sz w:val="24"/>
          <w:szCs w:val="20"/>
        </w:rPr>
      </w:pPr>
      <w:r>
        <w:rPr>
          <w:rFonts w:ascii="Times New Roman" w:hAnsi="Times New Roman" w:eastAsia="宋体" w:cs="Times New Roman"/>
          <w:sz w:val="24"/>
          <w:szCs w:val="20"/>
        </w:rPr>
        <w:t>3.1.3 水泥熟料库网壳结构需承受库顶平台上设备动荷载，结构的挠度须满足设备的运行要求。</w:t>
      </w:r>
    </w:p>
    <w:p>
      <w:pPr>
        <w:spacing w:line="400" w:lineRule="exact"/>
        <w:ind w:firstLine="480" w:firstLineChars="200"/>
        <w:rPr>
          <w:rFonts w:ascii="Times New Roman" w:hAnsi="Times New Roman" w:eastAsia="宋体" w:cs="Times New Roman"/>
          <w:sz w:val="24"/>
          <w:szCs w:val="20"/>
        </w:rPr>
      </w:pPr>
      <w:r>
        <w:rPr>
          <w:rFonts w:ascii="Times New Roman" w:hAnsi="Times New Roman" w:eastAsia="宋体" w:cs="Times New Roman"/>
          <w:sz w:val="24"/>
          <w:szCs w:val="20"/>
        </w:rPr>
        <w:t>水泥熟料库网壳结构挠度在永久荷载与可变荷载标准值组合作用下的最大挠度值限值为结构跨度的1/500；有抗震设防要求时，在重力荷载代表值与多遇竖向地震作用标准值的组合下最大挠度值限值为结构跨度的1/300。库顶房最大挠度值限值均取为结构跨度的1/400。</w:t>
      </w:r>
    </w:p>
    <w:p>
      <w:pPr>
        <w:pStyle w:val="2"/>
        <w:spacing w:after="0" w:line="400" w:lineRule="exact"/>
        <w:rPr>
          <w:rFonts w:ascii="Times New Roman" w:hAnsi="Times New Roman" w:eastAsia="宋体" w:cs="Times New Roman"/>
          <w:sz w:val="24"/>
          <w:szCs w:val="20"/>
        </w:rPr>
      </w:pPr>
      <w:r>
        <w:rPr>
          <w:rFonts w:ascii="Times New Roman" w:hAnsi="Times New Roman" w:eastAsia="宋体" w:cs="Times New Roman"/>
          <w:sz w:val="24"/>
          <w:szCs w:val="20"/>
        </w:rPr>
        <w:t>3.1.4 水泥熟料库网壳的支座宜设置弹性支座，拉链机桁架支座或与之相连的钢平台柱脚宜设置成滚动支座。</w:t>
      </w:r>
    </w:p>
    <w:p>
      <w:pPr>
        <w:pStyle w:val="4"/>
        <w:spacing w:before="156" w:beforeLines="50" w:after="156" w:afterLines="50" w:line="400" w:lineRule="exact"/>
        <w:jc w:val="center"/>
        <w:rPr>
          <w:rFonts w:ascii="Times New Roman" w:hAnsi="Times New Roman" w:eastAsia="宋体" w:cs="Times New Roman"/>
          <w:sz w:val="24"/>
          <w:szCs w:val="24"/>
        </w:rPr>
      </w:pPr>
      <w:bookmarkStart w:id="49" w:name="_Toc186014782"/>
      <w:bookmarkStart w:id="50" w:name="_Toc7711"/>
      <w:bookmarkStart w:id="51" w:name="_Toc186028003"/>
      <w:r>
        <w:rPr>
          <w:rFonts w:ascii="Times New Roman" w:hAnsi="Times New Roman" w:eastAsia="宋体" w:cs="Times New Roman"/>
          <w:sz w:val="24"/>
          <w:szCs w:val="24"/>
        </w:rPr>
        <w:t>3.2  材料</w:t>
      </w:r>
      <w:bookmarkEnd w:id="49"/>
      <w:bookmarkEnd w:id="50"/>
      <w:bookmarkEnd w:id="51"/>
    </w:p>
    <w:p>
      <w:pPr>
        <w:pStyle w:val="2"/>
        <w:spacing w:after="0" w:line="400" w:lineRule="exact"/>
        <w:rPr>
          <w:rFonts w:ascii="Times New Roman" w:hAnsi="Times New Roman" w:eastAsia="宋体" w:cs="Times New Roman"/>
          <w:sz w:val="24"/>
          <w:szCs w:val="20"/>
        </w:rPr>
      </w:pPr>
      <w:r>
        <w:rPr>
          <w:rFonts w:ascii="Times New Roman" w:hAnsi="Times New Roman" w:eastAsia="宋体" w:cs="Times New Roman"/>
          <w:sz w:val="24"/>
          <w:szCs w:val="20"/>
        </w:rPr>
        <w:t>3.2.1 结构所用钢材的屈服强度实测值与抗拉强度实测值的比值不应大于0.85，钢材应有明显的屈服台阶，且伸长率不应小于20％；钢材应有良好的焊接性和合格的冲击韧性。</w:t>
      </w:r>
    </w:p>
    <w:p>
      <w:pPr>
        <w:pStyle w:val="2"/>
        <w:spacing w:after="0" w:line="400" w:lineRule="exact"/>
        <w:ind w:firstLine="480" w:firstLineChars="200"/>
        <w:rPr>
          <w:rFonts w:ascii="Times New Roman" w:hAnsi="Times New Roman" w:eastAsia="宋体" w:cs="Times New Roman"/>
          <w:sz w:val="24"/>
          <w:szCs w:val="20"/>
        </w:rPr>
      </w:pPr>
      <w:r>
        <w:rPr>
          <w:rFonts w:ascii="Times New Roman" w:hAnsi="Times New Roman" w:eastAsia="宋体" w:cs="Times New Roman"/>
          <w:sz w:val="24"/>
          <w:szCs w:val="20"/>
        </w:rPr>
        <w:t>结构所用钢材应具有抗拉强度、伸长率、屈服强度和硫、磷含量的合格保证，对于焊接件钢材尚应具有碳当量的合格保证。焊接承重结构及重要的非焊接承重结构采用的钢材还应具有冷弯试验的合格保证。</w:t>
      </w:r>
    </w:p>
    <w:p>
      <w:pPr>
        <w:pStyle w:val="2"/>
        <w:spacing w:after="0" w:line="400" w:lineRule="exact"/>
        <w:rPr>
          <w:rFonts w:ascii="Times New Roman" w:hAnsi="Times New Roman" w:eastAsia="宋体" w:cs="Times New Roman"/>
          <w:sz w:val="24"/>
          <w:szCs w:val="20"/>
        </w:rPr>
      </w:pPr>
      <w:r>
        <w:rPr>
          <w:rFonts w:ascii="Times New Roman" w:hAnsi="Times New Roman" w:eastAsia="宋体" w:cs="Times New Roman"/>
          <w:sz w:val="24"/>
          <w:szCs w:val="20"/>
        </w:rPr>
        <w:t>3.2.2 杆件宜采用高频焊管或无缝钢管，其钢材牌号和质量等级应符合现行国家标准《钢结构设计标准》GB50017、《碳素结构钢》GB/T 700的规定。</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0"/>
        </w:rPr>
        <w:t>3.2.3 钢球、高强度螺栓、紧固螺钉、套筒、锥头或封板，其质量应分别符合现行国标《优质碳素结构钢》GB/T 699、《合金结构钢》GB/T 3077、《碳素结构钢》GB/T 700、《低合金高强度结构钢》GB/T 1591的规定。</w:t>
      </w:r>
    </w:p>
    <w:p>
      <w:pPr>
        <w:pStyle w:val="2"/>
        <w:rPr>
          <w:rFonts w:ascii="Times New Roman" w:hAnsi="Times New Roman" w:eastAsia="仿宋" w:cs="Times New Roman"/>
          <w:sz w:val="24"/>
          <w:szCs w:val="20"/>
        </w:rPr>
      </w:pPr>
    </w:p>
    <w:p>
      <w:pPr>
        <w:rPr>
          <w:rFonts w:ascii="Times New Roman" w:hAnsi="Times New Roman" w:cs="Times New Roman"/>
        </w:rPr>
        <w:sectPr>
          <w:pgSz w:w="11906" w:h="16838"/>
          <w:pgMar w:top="1440" w:right="1797" w:bottom="1440" w:left="1797" w:header="851" w:footer="992" w:gutter="0"/>
          <w:cols w:space="0" w:num="1"/>
          <w:docGrid w:type="linesAndChars" w:linePitch="312" w:charSpace="0"/>
        </w:sectPr>
      </w:pPr>
    </w:p>
    <w:p>
      <w:pPr>
        <w:pStyle w:val="29"/>
        <w:numPr>
          <w:ilvl w:val="0"/>
          <w:numId w:val="2"/>
        </w:numPr>
        <w:spacing w:before="312" w:beforeLines="100" w:after="312" w:afterLines="100" w:line="400" w:lineRule="exact"/>
        <w:outlineLvl w:val="0"/>
        <w:rPr>
          <w:rFonts w:eastAsia="仿宋"/>
          <w:sz w:val="32"/>
        </w:rPr>
      </w:pPr>
      <w:bookmarkStart w:id="52" w:name="_Toc186014783"/>
      <w:bookmarkStart w:id="53" w:name="_Toc186028004"/>
      <w:bookmarkStart w:id="54" w:name="_Toc30766"/>
      <w:r>
        <w:rPr>
          <w:rFonts w:eastAsia="仿宋"/>
          <w:sz w:val="32"/>
        </w:rPr>
        <w:t>荷载与作用</w:t>
      </w:r>
      <w:bookmarkEnd w:id="52"/>
      <w:bookmarkEnd w:id="53"/>
      <w:bookmarkEnd w:id="54"/>
    </w:p>
    <w:p>
      <w:pPr>
        <w:pStyle w:val="4"/>
        <w:spacing w:before="156" w:beforeLines="50" w:after="156" w:afterLines="50" w:line="400" w:lineRule="exact"/>
        <w:jc w:val="center"/>
        <w:rPr>
          <w:rFonts w:ascii="Times New Roman" w:hAnsi="Times New Roman" w:eastAsia="宋体" w:cs="Times New Roman"/>
          <w:b w:val="0"/>
          <w:bCs w:val="0"/>
          <w:sz w:val="24"/>
          <w:szCs w:val="24"/>
        </w:rPr>
      </w:pPr>
      <w:bookmarkStart w:id="55" w:name="_Toc27581"/>
      <w:bookmarkStart w:id="56" w:name="_Toc186028005"/>
      <w:bookmarkStart w:id="57" w:name="_Toc186014784"/>
      <w:bookmarkStart w:id="58" w:name="_Hlk173830216"/>
      <w:r>
        <w:rPr>
          <w:rFonts w:ascii="Times New Roman" w:hAnsi="Times New Roman" w:eastAsia="宋体" w:cs="Times New Roman"/>
          <w:sz w:val="24"/>
          <w:szCs w:val="24"/>
        </w:rPr>
        <w:t>4.1一般规定</w:t>
      </w:r>
      <w:bookmarkEnd w:id="55"/>
      <w:bookmarkEnd w:id="56"/>
      <w:bookmarkEnd w:id="57"/>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 xml:space="preserve">4.1.1 水泥熟料库网壳结构采用的设计荷载应包括永久荷载、竖向可变荷载、风荷载、温度作用和地震作用。 </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4.1.2 库顶房网壳屋面的吊挂荷载宜按活荷载考虑，当吊挂荷载位置固定不变时，也可按恒荷载考虑。</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4.1.3库顶房楼面的荷载应符合以下规定；</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 设备荷载应按照技术协议及厂家提供的相关技术文件采用；</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 楼面检修区域的活荷载应满足工艺需求，且不得小于5 kN／m</w:t>
      </w:r>
      <w:r>
        <w:rPr>
          <w:rFonts w:ascii="Times New Roman" w:hAnsi="Times New Roman" w:eastAsia="宋体" w:cs="Times New Roman"/>
          <w:sz w:val="24"/>
          <w:szCs w:val="24"/>
          <w:vertAlign w:val="superscript"/>
        </w:rPr>
        <w:t>2</w:t>
      </w:r>
      <w:r>
        <w:rPr>
          <w:rFonts w:ascii="Times New Roman" w:hAnsi="Times New Roman" w:eastAsia="宋体" w:cs="Times New Roman"/>
          <w:sz w:val="24"/>
          <w:szCs w:val="24"/>
        </w:rPr>
        <w:t>。</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4.1.4积灰荷载应按现行国家标准《建筑结构荷载规范》GB50009及《水泥工厂设计规范》GB50295执行。</w:t>
      </w:r>
    </w:p>
    <w:p>
      <w:pPr>
        <w:pStyle w:val="4"/>
        <w:spacing w:before="156" w:beforeLines="50" w:after="156" w:afterLines="50" w:line="400" w:lineRule="exact"/>
        <w:jc w:val="center"/>
        <w:rPr>
          <w:rFonts w:ascii="Times New Roman" w:hAnsi="Times New Roman" w:eastAsia="宋体" w:cs="Times New Roman"/>
          <w:b w:val="0"/>
          <w:bCs w:val="0"/>
          <w:sz w:val="24"/>
          <w:szCs w:val="24"/>
        </w:rPr>
      </w:pPr>
      <w:bookmarkStart w:id="59" w:name="_Toc186014785"/>
      <w:bookmarkStart w:id="60" w:name="_Toc186028006"/>
      <w:bookmarkStart w:id="61" w:name="_Toc17030"/>
      <w:r>
        <w:rPr>
          <w:rFonts w:ascii="Times New Roman" w:hAnsi="Times New Roman" w:eastAsia="宋体" w:cs="Times New Roman"/>
          <w:sz w:val="24"/>
          <w:szCs w:val="24"/>
        </w:rPr>
        <w:t>4.2风荷载</w:t>
      </w:r>
      <w:bookmarkEnd w:id="59"/>
      <w:bookmarkEnd w:id="60"/>
      <w:bookmarkEnd w:id="61"/>
    </w:p>
    <w:p>
      <w:pPr>
        <w:pStyle w:val="2"/>
        <w:spacing w:after="0" w:line="400" w:lineRule="exact"/>
        <w:rPr>
          <w:rFonts w:ascii="Times New Roman" w:hAnsi="Times New Roman" w:eastAsia="宋体" w:cs="Times New Roman"/>
          <w:sz w:val="24"/>
          <w:szCs w:val="24"/>
        </w:rPr>
      </w:pPr>
      <w:bookmarkStart w:id="62" w:name="OLE_LINK22"/>
      <w:r>
        <w:rPr>
          <w:rFonts w:ascii="Times New Roman" w:hAnsi="Times New Roman" w:eastAsia="宋体" w:cs="Times New Roman"/>
          <w:sz w:val="24"/>
          <w:szCs w:val="24"/>
        </w:rPr>
        <w:t>4.2.1 基本风压应采用按《建筑结构荷载规范》GB 50009的方法确定的50年重现期的风压；对风荷载敏感的结构，应采用100年重现期的风压。</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4.2.2 水泥熟料库网壳结构的体型示意图如图4.2.2-1，风荷载体型系数</w:t>
      </w:r>
      <m:oMath>
        <m:sSub>
          <m:sSubPr>
            <m:ctrlPr>
              <w:rPr>
                <w:rFonts w:ascii="Cambria Math" w:hAnsi="Cambria Math" w:eastAsia="宋体" w:cs="Times New Roman"/>
                <w:i/>
                <w:sz w:val="24"/>
                <w:szCs w:val="24"/>
              </w:rPr>
            </m:ctrlPr>
          </m:sSubPr>
          <m:e>
            <m:r>
              <m:rPr/>
              <w:rPr>
                <w:rFonts w:ascii="Cambria Math" w:hAnsi="Cambria Math" w:eastAsia="宋体" w:cs="Times New Roman"/>
                <w:sz w:val="24"/>
                <w:szCs w:val="24"/>
              </w:rPr>
              <m:t>μ</m:t>
            </m:r>
            <m:ctrlPr>
              <w:rPr>
                <w:rFonts w:ascii="Cambria Math" w:hAnsi="Cambria Math" w:eastAsia="宋体" w:cs="Times New Roman"/>
                <w:i/>
                <w:sz w:val="24"/>
                <w:szCs w:val="24"/>
              </w:rPr>
            </m:ctrlPr>
          </m:e>
          <m:sub>
            <m:r>
              <m:rPr/>
              <w:rPr>
                <w:rFonts w:ascii="Cambria Math" w:hAnsi="Cambria Math" w:eastAsia="宋体" w:cs="Times New Roman"/>
                <w:sz w:val="24"/>
                <w:szCs w:val="24"/>
              </w:rPr>
              <m:t>S</m:t>
            </m:r>
            <m:ctrlPr>
              <w:rPr>
                <w:rFonts w:ascii="Cambria Math" w:hAnsi="Cambria Math" w:eastAsia="宋体" w:cs="Times New Roman"/>
                <w:i/>
                <w:sz w:val="24"/>
                <w:szCs w:val="24"/>
              </w:rPr>
            </m:ctrlPr>
          </m:sub>
        </m:sSub>
      </m:oMath>
      <w:r>
        <w:rPr>
          <w:rFonts w:ascii="Times New Roman" w:hAnsi="Times New Roman" w:eastAsia="宋体" w:cs="Times New Roman"/>
          <w:sz w:val="24"/>
          <w:szCs w:val="24"/>
        </w:rPr>
        <w:t>分区及取值按照图4.2.2-2:</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4.2.3 水泥熟料库网壳结构的抗风设计应分别验算不少于4个不利风向的风效应。当周边环境复杂时，宜增加不利风向数量。</w:t>
      </w:r>
    </w:p>
    <w:bookmarkEnd w:id="62"/>
    <w:p>
      <w:pPr>
        <w:jc w:val="center"/>
        <w:rPr>
          <w:rFonts w:ascii="Times New Roman" w:hAnsi="Times New Roman" w:eastAsia="宋体" w:cs="Times New Roman"/>
          <w:sz w:val="24"/>
          <w:szCs w:val="24"/>
        </w:rPr>
      </w:pPr>
      <w:r>
        <w:rPr>
          <w:rFonts w:ascii="Times New Roman" w:hAnsi="Times New Roman" w:eastAsia="宋体" w:cs="Times New Roman"/>
          <w:sz w:val="24"/>
          <w:szCs w:val="24"/>
        </w:rPr>
        <w:drawing>
          <wp:inline distT="0" distB="0" distL="0" distR="0">
            <wp:extent cx="3239770" cy="2150110"/>
            <wp:effectExtent l="0" t="0" r="0" b="0"/>
            <wp:docPr id="202147570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1475702"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3240000" cy="2150419"/>
                    </a:xfrm>
                    <a:prstGeom prst="rect">
                      <a:avLst/>
                    </a:prstGeom>
                    <a:noFill/>
                    <a:ln>
                      <a:noFill/>
                    </a:ln>
                  </pic:spPr>
                </pic:pic>
              </a:graphicData>
            </a:graphic>
          </wp:inline>
        </w:drawing>
      </w:r>
    </w:p>
    <w:p>
      <w:pPr>
        <w:jc w:val="center"/>
        <w:rPr>
          <w:rFonts w:ascii="Times New Roman" w:hAnsi="Times New Roman" w:eastAsia="宋体" w:cs="Times New Roman"/>
          <w:sz w:val="24"/>
          <w:szCs w:val="24"/>
        </w:rPr>
      </w:pPr>
      <w:r>
        <w:rPr>
          <w:rFonts w:ascii="Times New Roman" w:hAnsi="Times New Roman" w:eastAsia="宋体" w:cs="Times New Roman"/>
          <w:sz w:val="24"/>
          <w:szCs w:val="24"/>
        </w:rPr>
        <w:t>图4.2.2-1水泥熟料库网壳结构体型示意图</w:t>
      </w:r>
    </w:p>
    <w:p>
      <w:pPr>
        <w:pStyle w:val="37"/>
        <w:ind w:left="357" w:firstLine="0" w:firstLineChars="0"/>
        <w:jc w:val="center"/>
        <w:rPr>
          <w:rFonts w:ascii="Times New Roman" w:hAnsi="Times New Roman" w:eastAsia="宋体" w:cs="Times New Roman"/>
          <w:sz w:val="24"/>
          <w:szCs w:val="24"/>
        </w:rPr>
      </w:pPr>
      <w:r>
        <w:rPr>
          <w:rFonts w:ascii="Times New Roman" w:hAnsi="Times New Roman" w:eastAsia="宋体" w:cs="Times New Roman"/>
          <w:sz w:val="24"/>
          <w:szCs w:val="24"/>
        </w:rPr>
        <w:t>1—库顶房网</w:t>
      </w:r>
      <w:bookmarkStart w:id="63" w:name="OLE_LINK24"/>
      <w:r>
        <w:rPr>
          <w:rFonts w:ascii="Times New Roman" w:hAnsi="Times New Roman" w:eastAsia="宋体" w:cs="Times New Roman"/>
          <w:sz w:val="24"/>
          <w:szCs w:val="24"/>
        </w:rPr>
        <w:t>壳</w:t>
      </w:r>
      <w:bookmarkEnd w:id="63"/>
      <w:r>
        <w:rPr>
          <w:rFonts w:ascii="Times New Roman" w:hAnsi="Times New Roman" w:eastAsia="宋体" w:cs="Times New Roman"/>
          <w:sz w:val="24"/>
          <w:szCs w:val="24"/>
        </w:rPr>
        <w:t>；2—圆台网壳；</w:t>
      </w:r>
      <w:bookmarkStart w:id="64" w:name="OLE_LINK20"/>
      <w:r>
        <w:rPr>
          <w:rFonts w:ascii="Times New Roman" w:hAnsi="Times New Roman" w:eastAsia="宋体" w:cs="Times New Roman"/>
          <w:sz w:val="24"/>
          <w:szCs w:val="24"/>
        </w:rPr>
        <w:t>H1</w:t>
      </w:r>
      <w:bookmarkEnd w:id="64"/>
      <w:r>
        <w:rPr>
          <w:rFonts w:ascii="Times New Roman" w:hAnsi="Times New Roman" w:eastAsia="宋体" w:cs="Times New Roman"/>
          <w:sz w:val="24"/>
          <w:szCs w:val="24"/>
        </w:rPr>
        <w:t>—圆台网壳矢高；</w:t>
      </w:r>
    </w:p>
    <w:p>
      <w:pPr>
        <w:pStyle w:val="37"/>
        <w:ind w:left="357" w:firstLine="0" w:firstLineChars="0"/>
        <w:jc w:val="center"/>
        <w:rPr>
          <w:rFonts w:ascii="Times New Roman" w:hAnsi="Times New Roman" w:eastAsia="宋体" w:cs="Times New Roman"/>
          <w:sz w:val="24"/>
          <w:szCs w:val="24"/>
        </w:rPr>
      </w:pPr>
      <w:r>
        <w:rPr>
          <w:rFonts w:ascii="Times New Roman" w:hAnsi="Times New Roman" w:eastAsia="宋体" w:cs="Times New Roman"/>
          <w:sz w:val="24"/>
          <w:szCs w:val="24"/>
        </w:rPr>
        <w:t>H2—库顶房网壳矢高；D1—圆台网壳直径；D2—库顶房网壳直径</w:t>
      </w:r>
    </w:p>
    <w:p>
      <w:pPr>
        <w:spacing w:line="400" w:lineRule="exact"/>
        <w:ind w:firstLine="480" w:firstLineChars="200"/>
        <w:rPr>
          <w:rFonts w:ascii="Times New Roman" w:hAnsi="Times New Roman" w:eastAsia="宋体" w:cs="Times New Roman"/>
          <w:sz w:val="24"/>
          <w:szCs w:val="24"/>
        </w:rPr>
      </w:pPr>
    </w:p>
    <w:p>
      <w:pPr>
        <w:ind w:firstLine="480" w:firstLineChars="200"/>
        <w:jc w:val="center"/>
        <w:rPr>
          <w:rFonts w:ascii="Times New Roman" w:hAnsi="Times New Roman" w:eastAsia="宋体" w:cs="Times New Roman"/>
          <w:sz w:val="24"/>
          <w:szCs w:val="24"/>
        </w:rPr>
      </w:pPr>
      <w:r>
        <w:rPr>
          <w:rFonts w:ascii="Times New Roman" w:hAnsi="Times New Roman" w:eastAsia="宋体" w:cs="Times New Roman"/>
          <w:sz w:val="24"/>
          <w:szCs w:val="24"/>
        </w:rPr>
        <w:drawing>
          <wp:inline distT="0" distB="0" distL="0" distR="0">
            <wp:extent cx="3239770" cy="2750820"/>
            <wp:effectExtent l="0" t="0" r="0" b="0"/>
            <wp:docPr id="69501304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013043" name="图片 2"/>
                    <pic:cNvPicPr>
                      <a:picLocks noChangeAspect="1" noChangeArrowheads="1"/>
                    </pic:cNvPicPr>
                  </pic:nvPicPr>
                  <pic:blipFill>
                    <a:blip r:embed="rId9">
                      <a:extLst>
                        <a:ext uri="{28A0092B-C50C-407E-A947-70E740481C1C}">
                          <a14:useLocalDpi xmlns:a14="http://schemas.microsoft.com/office/drawing/2010/main" val="0"/>
                        </a:ext>
                      </a:extLst>
                    </a:blip>
                    <a:srcRect l="10095"/>
                    <a:stretch>
                      <a:fillRect/>
                    </a:stretch>
                  </pic:blipFill>
                  <pic:spPr>
                    <a:xfrm>
                      <a:off x="0" y="0"/>
                      <a:ext cx="3240000" cy="2751227"/>
                    </a:xfrm>
                    <a:prstGeom prst="rect">
                      <a:avLst/>
                    </a:prstGeom>
                    <a:noFill/>
                    <a:ln>
                      <a:noFill/>
                    </a:ln>
                  </pic:spPr>
                </pic:pic>
              </a:graphicData>
            </a:graphic>
          </wp:inline>
        </w:drawing>
      </w:r>
    </w:p>
    <w:p>
      <w:pPr>
        <w:jc w:val="center"/>
        <w:rPr>
          <w:rFonts w:ascii="Times New Roman" w:hAnsi="Times New Roman" w:eastAsia="宋体" w:cs="Times New Roman"/>
          <w:b/>
          <w:bCs/>
          <w:sz w:val="24"/>
          <w:szCs w:val="24"/>
        </w:rPr>
      </w:pPr>
      <w:r>
        <w:rPr>
          <w:rFonts w:ascii="Times New Roman" w:hAnsi="Times New Roman" w:eastAsia="宋体" w:cs="Times New Roman"/>
          <w:sz w:val="24"/>
          <w:szCs w:val="24"/>
        </w:rPr>
        <w:t>图4.2.2-2风荷载体型系数分区及取值</w:t>
      </w:r>
    </w:p>
    <w:p>
      <w:pPr>
        <w:pStyle w:val="4"/>
        <w:spacing w:before="156" w:beforeLines="50" w:after="156" w:afterLines="50" w:line="400" w:lineRule="exact"/>
        <w:jc w:val="center"/>
        <w:rPr>
          <w:rFonts w:ascii="Times New Roman" w:hAnsi="Times New Roman" w:eastAsia="宋体" w:cs="Times New Roman"/>
          <w:b w:val="0"/>
          <w:bCs w:val="0"/>
          <w:sz w:val="24"/>
          <w:szCs w:val="24"/>
        </w:rPr>
      </w:pPr>
      <w:bookmarkStart w:id="65" w:name="_Toc186028007"/>
      <w:bookmarkStart w:id="66" w:name="_Toc17849"/>
      <w:bookmarkStart w:id="67" w:name="_Toc186014786"/>
      <w:r>
        <w:rPr>
          <w:rFonts w:ascii="Times New Roman" w:hAnsi="Times New Roman" w:eastAsia="宋体" w:cs="Times New Roman"/>
          <w:sz w:val="24"/>
          <w:szCs w:val="24"/>
        </w:rPr>
        <w:t>4.3屋面雪荷载</w:t>
      </w:r>
      <w:bookmarkEnd w:id="65"/>
      <w:bookmarkEnd w:id="66"/>
      <w:bookmarkEnd w:id="67"/>
    </w:p>
    <w:p>
      <w:pPr>
        <w:pStyle w:val="2"/>
        <w:spacing w:after="0" w:line="400" w:lineRule="exact"/>
        <w:rPr>
          <w:rFonts w:ascii="Times New Roman" w:hAnsi="Times New Roman" w:eastAsia="宋体" w:cs="Times New Roman"/>
          <w:sz w:val="24"/>
          <w:szCs w:val="24"/>
        </w:rPr>
      </w:pPr>
      <w:bookmarkStart w:id="68" w:name="OLE_LINK23"/>
      <w:r>
        <w:rPr>
          <w:rFonts w:ascii="Times New Roman" w:hAnsi="Times New Roman" w:eastAsia="宋体" w:cs="Times New Roman"/>
          <w:sz w:val="24"/>
          <w:szCs w:val="24"/>
        </w:rPr>
        <w:t>4.3.1 基本雪压应采用按《建筑结构荷载规范》GB 50009的方法确定的50年重现期的雪压；对雪荷载敏感的结构，应采用100年重现期的雪压。</w:t>
      </w:r>
    </w:p>
    <w:bookmarkEnd w:id="68"/>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4.3.2 屋面积雪分布系数按照图4.3.2采用：</w:t>
      </w:r>
    </w:p>
    <w:p>
      <w:pPr>
        <w:jc w:val="center"/>
        <w:rPr>
          <w:rFonts w:ascii="Times New Roman" w:hAnsi="Times New Roman" w:eastAsia="宋体" w:cs="Times New Roman"/>
          <w:sz w:val="24"/>
          <w:szCs w:val="24"/>
        </w:rPr>
      </w:pPr>
      <w:r>
        <w:rPr>
          <w:rFonts w:ascii="Times New Roman" w:hAnsi="Times New Roman" w:eastAsia="宋体" w:cs="Times New Roman"/>
          <w:sz w:val="24"/>
          <w:szCs w:val="24"/>
        </w:rPr>
        <w:drawing>
          <wp:inline distT="0" distB="0" distL="0" distR="0">
            <wp:extent cx="3239770" cy="2778125"/>
            <wp:effectExtent l="0" t="0" r="0" b="3175"/>
            <wp:docPr id="2562807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628077" name="图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3240000" cy="2778494"/>
                    </a:xfrm>
                    <a:prstGeom prst="rect">
                      <a:avLst/>
                    </a:prstGeom>
                    <a:noFill/>
                    <a:ln>
                      <a:noFill/>
                    </a:ln>
                  </pic:spPr>
                </pic:pic>
              </a:graphicData>
            </a:graphic>
          </wp:inline>
        </w:drawing>
      </w:r>
    </w:p>
    <w:p>
      <w:pPr>
        <w:jc w:val="center"/>
        <w:rPr>
          <w:rFonts w:ascii="Times New Roman" w:hAnsi="Times New Roman" w:eastAsia="宋体" w:cs="Times New Roman"/>
          <w:sz w:val="24"/>
          <w:szCs w:val="24"/>
        </w:rPr>
      </w:pPr>
      <w:r>
        <w:rPr>
          <w:rFonts w:ascii="Times New Roman" w:hAnsi="Times New Roman" w:eastAsia="宋体" w:cs="Times New Roman"/>
          <w:sz w:val="24"/>
          <w:szCs w:val="24"/>
        </w:rPr>
        <w:t>图4.3.2屋面积雪分布系数取值</w:t>
      </w:r>
    </w:p>
    <w:p>
      <w:pPr>
        <w:pStyle w:val="4"/>
        <w:spacing w:before="156" w:beforeLines="50" w:after="156" w:afterLines="50" w:line="400" w:lineRule="exact"/>
        <w:jc w:val="center"/>
        <w:rPr>
          <w:rFonts w:ascii="Times New Roman" w:hAnsi="Times New Roman" w:eastAsia="宋体" w:cs="Times New Roman"/>
          <w:b w:val="0"/>
          <w:bCs w:val="0"/>
          <w:sz w:val="24"/>
          <w:szCs w:val="24"/>
        </w:rPr>
      </w:pPr>
      <w:bookmarkStart w:id="69" w:name="_Toc186028008"/>
      <w:bookmarkStart w:id="70" w:name="_Toc4522"/>
      <w:bookmarkStart w:id="71" w:name="_Toc186014787"/>
      <w:r>
        <w:rPr>
          <w:rFonts w:ascii="Times New Roman" w:hAnsi="Times New Roman" w:eastAsia="宋体" w:cs="Times New Roman"/>
          <w:sz w:val="24"/>
          <w:szCs w:val="24"/>
        </w:rPr>
        <w:t>4.4地震作用</w:t>
      </w:r>
      <w:bookmarkEnd w:id="69"/>
      <w:bookmarkEnd w:id="70"/>
      <w:bookmarkEnd w:id="71"/>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4.4.1 水泥熟料库网壳结构的抗震设防类别和抗震设防标准，同下部混凝土筒仓，并应按现行国家标准《建筑工程抗震设防分类标准》GB 50223的规定采用。</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4.4.2 计算地震作用时尚应考虑库顶房平台设备对地震作用的影响，应将设备满载时的荷载，作为恒载算入重力荷载代表值。</w:t>
      </w:r>
    </w:p>
    <w:p>
      <w:pPr>
        <w:pStyle w:val="4"/>
        <w:spacing w:before="156" w:beforeLines="50" w:after="156" w:afterLines="50" w:line="400" w:lineRule="exact"/>
        <w:jc w:val="center"/>
        <w:rPr>
          <w:rFonts w:ascii="Times New Roman" w:hAnsi="Times New Roman" w:eastAsia="宋体" w:cs="Times New Roman"/>
          <w:b w:val="0"/>
          <w:bCs w:val="0"/>
          <w:sz w:val="24"/>
          <w:szCs w:val="24"/>
        </w:rPr>
      </w:pPr>
      <w:bookmarkStart w:id="72" w:name="_Toc10413"/>
      <w:bookmarkStart w:id="73" w:name="_Toc186014788"/>
      <w:bookmarkStart w:id="74" w:name="_Toc186028009"/>
      <w:r>
        <w:rPr>
          <w:rFonts w:ascii="Times New Roman" w:hAnsi="Times New Roman" w:eastAsia="宋体" w:cs="Times New Roman"/>
          <w:sz w:val="24"/>
          <w:szCs w:val="24"/>
        </w:rPr>
        <w:t>4.5温度作用</w:t>
      </w:r>
      <w:bookmarkEnd w:id="72"/>
      <w:bookmarkEnd w:id="73"/>
      <w:bookmarkEnd w:id="74"/>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4.5.1 水泥熟料库网壳结构温度作用应符合现行国家标准《工程结构通用规范》GB 55001和《建筑结构荷载规范》GB50009的规定。</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4.5.2 圆台网壳结构的温度作用应符合下列规定：</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1结构最高平均温度和最低平均温度应分别根据进库熟料的温度按热工学的原理确定，最高平均温度不应低于70℃，最低平均温度不应高于-15℃。</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 对于储存高温熟料的水泥熟料库，尚应满足工艺专业对网架结构耐热性能的要求，根据可能出现的温度按不利情况考虑。</w:t>
      </w:r>
    </w:p>
    <w:p>
      <w:pPr>
        <w:pStyle w:val="2"/>
        <w:spacing w:after="0" w:line="400" w:lineRule="exact"/>
        <w:ind w:firstLine="480" w:firstLineChars="200"/>
        <w:rPr>
          <w:rFonts w:ascii="Times New Roman" w:hAnsi="Times New Roman" w:eastAsia="宋体" w:cs="Times New Roman"/>
          <w:sz w:val="24"/>
          <w:szCs w:val="24"/>
        </w:rPr>
      </w:pPr>
    </w:p>
    <w:p>
      <w:pPr>
        <w:pStyle w:val="2"/>
        <w:spacing w:after="0" w:line="400" w:lineRule="exact"/>
        <w:ind w:firstLine="480" w:firstLineChars="200"/>
        <w:rPr>
          <w:rFonts w:ascii="Times New Roman" w:hAnsi="Times New Roman" w:eastAsia="宋体" w:cs="Times New Roman"/>
          <w:sz w:val="24"/>
          <w:szCs w:val="24"/>
        </w:rPr>
      </w:pPr>
    </w:p>
    <w:bookmarkEnd w:id="58"/>
    <w:p>
      <w:pPr>
        <w:rPr>
          <w:rFonts w:ascii="Times New Roman" w:hAnsi="Times New Roman" w:cs="Times New Roman"/>
          <w:sz w:val="18"/>
          <w:szCs w:val="20"/>
        </w:rPr>
      </w:pPr>
    </w:p>
    <w:p>
      <w:pPr>
        <w:pStyle w:val="2"/>
        <w:rPr>
          <w:rFonts w:ascii="Times New Roman" w:hAnsi="Times New Roman" w:cs="Times New Roman"/>
        </w:rPr>
        <w:sectPr>
          <w:pgSz w:w="11906" w:h="16838"/>
          <w:pgMar w:top="1440" w:right="1797" w:bottom="1440" w:left="1797" w:header="851" w:footer="992" w:gutter="0"/>
          <w:cols w:space="0" w:num="1"/>
          <w:docGrid w:type="linesAndChars" w:linePitch="312" w:charSpace="0"/>
        </w:sectPr>
      </w:pPr>
    </w:p>
    <w:p>
      <w:pPr>
        <w:pStyle w:val="29"/>
        <w:numPr>
          <w:ilvl w:val="0"/>
          <w:numId w:val="2"/>
        </w:numPr>
        <w:spacing w:before="312" w:beforeLines="100" w:after="312" w:afterLines="100" w:line="400" w:lineRule="exact"/>
        <w:outlineLvl w:val="0"/>
        <w:rPr>
          <w:rFonts w:eastAsia="仿宋"/>
          <w:sz w:val="32"/>
        </w:rPr>
      </w:pPr>
      <w:bookmarkStart w:id="75" w:name="_Toc186014789"/>
      <w:bookmarkStart w:id="76" w:name="_Toc186028010"/>
      <w:bookmarkStart w:id="77" w:name="_Toc16589"/>
      <w:r>
        <w:rPr>
          <w:rFonts w:eastAsia="仿宋"/>
          <w:sz w:val="32"/>
        </w:rPr>
        <w:t>结构计算与设计</w:t>
      </w:r>
      <w:bookmarkEnd w:id="75"/>
      <w:bookmarkEnd w:id="76"/>
      <w:bookmarkEnd w:id="77"/>
    </w:p>
    <w:p>
      <w:pPr>
        <w:pStyle w:val="4"/>
        <w:spacing w:before="156" w:beforeLines="50" w:after="156" w:afterLines="50" w:line="400" w:lineRule="exact"/>
        <w:ind w:firstLine="480" w:firstLineChars="200"/>
        <w:jc w:val="center"/>
        <w:rPr>
          <w:rFonts w:ascii="Times New Roman" w:hAnsi="Times New Roman" w:eastAsia="宋体" w:cs="Times New Roman"/>
          <w:sz w:val="24"/>
          <w:szCs w:val="24"/>
        </w:rPr>
      </w:pPr>
      <w:bookmarkStart w:id="78" w:name="_Toc14305"/>
      <w:bookmarkStart w:id="79" w:name="_Toc186028011"/>
      <w:bookmarkStart w:id="80" w:name="_Toc186014790"/>
      <w:r>
        <w:rPr>
          <w:rFonts w:ascii="Times New Roman" w:hAnsi="Times New Roman" w:eastAsia="宋体" w:cs="Times New Roman"/>
          <w:sz w:val="24"/>
          <w:szCs w:val="24"/>
        </w:rPr>
        <w:t>5.1一般规定</w:t>
      </w:r>
      <w:bookmarkEnd w:id="78"/>
      <w:bookmarkEnd w:id="79"/>
      <w:bookmarkEnd w:id="80"/>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5.1.1  水泥熟料库网壳结构的内力和位移可按弹性理论计算；网壳结构的整体稳定性计算应考虑结构的非线性影响。在位移、内力计算时，应分析重力荷载及风荷载的作用并应根据具体情况，考虑地震作用、温度变化、设备荷载、施工安装的影响。</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5.1.2  位于混凝土库壁上方的水泥熟料库网壳，当其基本自振周期大于0.25s时，宜进行风振计算。</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5.1.3  分析水泥熟料库网壳结构圆台网壳时，可假定网架杆件之间的节点为铰接，杆件只承受轴向力；分析库顶房楼面钢平台时，应根据节点构造确定节点连接形式采用铰接或刚接节点。</w:t>
      </w:r>
    </w:p>
    <w:p>
      <w:pPr>
        <w:spacing w:line="400" w:lineRule="exact"/>
        <w:rPr>
          <w:rFonts w:ascii="Times New Roman" w:hAnsi="Times New Roman" w:cs="Times New Roman"/>
        </w:rPr>
      </w:pPr>
      <w:r>
        <w:rPr>
          <w:rFonts w:ascii="Times New Roman" w:hAnsi="Times New Roman" w:eastAsia="宋体" w:cs="Times New Roman"/>
          <w:sz w:val="24"/>
          <w:szCs w:val="24"/>
        </w:rPr>
        <w:t>5.1.4结构杆件及节点连接设计时，应按作用的基本组合确定内力设计值；需进行抗震设计时，应按照地震作用效应和其他荷载效应的基本组合值；在位移验算中，应按作用的标准组合确定其挠度并应考虑水平方向的变形。</w:t>
      </w:r>
    </w:p>
    <w:p>
      <w:pPr>
        <w:spacing w:line="400" w:lineRule="exact"/>
        <w:rPr>
          <w:rFonts w:ascii="Times New Roman" w:hAnsi="Times New Roman" w:eastAsia="宋体" w:cs="Times New Roman"/>
          <w:strike/>
          <w:sz w:val="24"/>
          <w:szCs w:val="24"/>
        </w:rPr>
      </w:pPr>
      <w:r>
        <w:rPr>
          <w:rFonts w:ascii="Times New Roman" w:hAnsi="Times New Roman" w:eastAsia="宋体" w:cs="Times New Roman"/>
          <w:sz w:val="24"/>
          <w:szCs w:val="24"/>
        </w:rPr>
        <w:t>5.1.5 水泥熟料库网壳结构上的外荷载可按静力等效原则将节点受荷范围内的均布荷载转换成集中力，作用于该节点上。</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5.1.6  水泥熟料库网壳结构分析时，可将网壳下部混凝土筒仓库壁认为无限刚性，仅考虑水泥熟料库网壳结构支座的刚度进行计算。</w:t>
      </w:r>
    </w:p>
    <w:p>
      <w:pPr>
        <w:pStyle w:val="2"/>
        <w:spacing w:after="0" w:line="400" w:lineRule="exact"/>
        <w:rPr>
          <w:rFonts w:ascii="Times New Roman" w:hAnsi="Times New Roman" w:cs="Times New Roman"/>
        </w:rPr>
      </w:pPr>
      <w:r>
        <w:rPr>
          <w:rFonts w:ascii="Times New Roman" w:hAnsi="Times New Roman" w:eastAsia="宋体" w:cs="Times New Roman"/>
          <w:sz w:val="24"/>
          <w:szCs w:val="24"/>
        </w:rPr>
        <w:t>5.1.7分析水泥熟料库网壳结构时，根据其结构平面形状、支座节点的位置，宜将边界约束条件按斜边界处理。</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5.1.8  当水泥熟料库网壳结构施工安装阶段的支撑与使用阶段的情况不同时，应分别计算在相应荷载作用下施工安装阶段和使用阶段的不同支承条件时的位移和内力。</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5.1.9  根据水泥熟料库网壳平面形状、荷载作用及不同设计阶段等条件，采用空间杆系有限元法进行计算。</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5.1.10水泥熟料库网壳的防火设计应符合现行国家标准《建筑设计防火规范》 GB50016</w:t>
      </w:r>
      <w:r>
        <w:rPr>
          <w:rFonts w:ascii="Times New Roman" w:hAnsi="Times New Roman" w:eastAsia="宋体" w:cs="Times New Roman"/>
          <w:strike/>
          <w:sz w:val="24"/>
          <w:szCs w:val="24"/>
        </w:rPr>
        <w:t>中</w:t>
      </w:r>
      <w:r>
        <w:rPr>
          <w:rFonts w:ascii="Times New Roman" w:hAnsi="Times New Roman" w:eastAsia="宋体" w:cs="Times New Roman"/>
          <w:sz w:val="24"/>
          <w:szCs w:val="24"/>
        </w:rPr>
        <w:t>的有关规定。</w:t>
      </w:r>
    </w:p>
    <w:p>
      <w:pPr>
        <w:pStyle w:val="4"/>
        <w:spacing w:before="156" w:beforeLines="50" w:after="156" w:afterLines="50" w:line="400" w:lineRule="exact"/>
        <w:ind w:firstLine="480" w:firstLineChars="200"/>
        <w:jc w:val="center"/>
        <w:rPr>
          <w:rFonts w:ascii="Times New Roman" w:hAnsi="Times New Roman" w:eastAsia="宋体" w:cs="Times New Roman"/>
          <w:sz w:val="24"/>
          <w:szCs w:val="24"/>
        </w:rPr>
      </w:pPr>
      <w:bookmarkStart w:id="81" w:name="_Toc186028012"/>
      <w:bookmarkStart w:id="82" w:name="_Toc186014791"/>
      <w:bookmarkStart w:id="83" w:name="_Toc20342"/>
      <w:r>
        <w:rPr>
          <w:rFonts w:ascii="Times New Roman" w:hAnsi="Times New Roman" w:eastAsia="宋体" w:cs="Times New Roman"/>
          <w:sz w:val="24"/>
          <w:szCs w:val="24"/>
        </w:rPr>
        <w:t>5.2静力计算</w:t>
      </w:r>
      <w:bookmarkEnd w:id="81"/>
      <w:bookmarkEnd w:id="82"/>
      <w:bookmarkEnd w:id="83"/>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 xml:space="preserve">5.2.1按空间杆系有限元法进行水泥熟料库网壳结构静力计算时采用的基本方程如下： </w:t>
      </w:r>
    </w:p>
    <w:p>
      <w:pPr>
        <w:tabs>
          <w:tab w:val="center" w:pos="4200"/>
          <w:tab w:val="right" w:pos="8190"/>
        </w:tabs>
        <w:spacing w:line="400" w:lineRule="exact"/>
        <w:ind w:firstLine="480" w:firstLineChars="200"/>
        <w:jc w:val="center"/>
        <w:rPr>
          <w:rFonts w:ascii="Times New Roman" w:hAnsi="Times New Roman" w:eastAsia="宋体" w:cs="Times New Roman"/>
          <w:sz w:val="24"/>
          <w:szCs w:val="24"/>
        </w:rPr>
      </w:pPr>
      <w:r>
        <w:rPr>
          <w:rFonts w:ascii="Times New Roman" w:hAnsi="Times New Roman" w:eastAsia="宋体" w:cs="Times New Roman"/>
          <w:sz w:val="24"/>
          <w:szCs w:val="24"/>
        </w:rPr>
        <w:t xml:space="preserve">   </w:t>
      </w:r>
      <m:oMath>
        <m:r>
          <m:rPr>
            <m:nor/>
            <m:sty m:val="p"/>
          </m:rPr>
          <w:rPr>
            <w:rFonts w:ascii="Cambria Math" w:hAnsi="Cambria Math" w:eastAsia="宋体" w:cs="Times New Roman"/>
            <w:sz w:val="24"/>
            <w:szCs w:val="24"/>
          </w:rPr>
          <m:t>KU＝F</m:t>
        </m:r>
      </m:oMath>
      <w:r>
        <w:rPr>
          <w:rFonts w:ascii="Times New Roman" w:hAnsi="Times New Roman" w:eastAsia="宋体" w:cs="Times New Roman"/>
          <w:sz w:val="24"/>
          <w:szCs w:val="24"/>
        </w:rPr>
        <w:tab/>
      </w:r>
      <w:r>
        <w:rPr>
          <w:rFonts w:ascii="Times New Roman" w:hAnsi="Times New Roman" w:eastAsia="宋体" w:cs="Times New Roman"/>
          <w:sz w:val="24"/>
          <w:szCs w:val="24"/>
        </w:rPr>
        <w:t>(5.2.1-1)</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式中：</w:t>
      </w:r>
      <m:oMath>
        <m:r>
          <m:rPr>
            <m:nor/>
            <m:sty m:val="p"/>
          </m:rPr>
          <w:rPr>
            <w:rFonts w:ascii="Cambria Math" w:hAnsi="Cambria Math" w:eastAsia="宋体" w:cs="Times New Roman"/>
            <w:sz w:val="24"/>
            <w:szCs w:val="24"/>
          </w:rPr>
          <m:t>K</m:t>
        </m:r>
      </m:oMath>
      <w:bookmarkStart w:id="84" w:name="_Hlk96549329"/>
      <w:r>
        <w:rPr>
          <w:rFonts w:ascii="Times New Roman" w:hAnsi="Times New Roman" w:eastAsia="宋体" w:cs="Times New Roman"/>
          <w:sz w:val="24"/>
          <w:szCs w:val="24"/>
        </w:rPr>
        <w:t>—</w:t>
      </w:r>
      <w:bookmarkEnd w:id="84"/>
      <w:r>
        <w:rPr>
          <w:rFonts w:ascii="Times New Roman" w:hAnsi="Times New Roman" w:eastAsia="宋体" w:cs="Times New Roman"/>
          <w:sz w:val="24"/>
          <w:szCs w:val="24"/>
        </w:rPr>
        <w:t>水泥熟料库网壳结构总弹性刚度矩阵；</w:t>
      </w:r>
    </w:p>
    <w:p>
      <w:pPr>
        <w:spacing w:line="400" w:lineRule="exact"/>
        <w:ind w:firstLine="480" w:firstLineChars="200"/>
        <w:rPr>
          <w:rFonts w:ascii="Times New Roman" w:hAnsi="Times New Roman" w:eastAsia="宋体" w:cs="Times New Roman"/>
          <w:sz w:val="24"/>
          <w:szCs w:val="24"/>
        </w:rPr>
      </w:pPr>
      <m:oMath>
        <m:r>
          <m:rPr>
            <m:nor/>
            <m:sty m:val="p"/>
          </m:rPr>
          <w:rPr>
            <w:rFonts w:ascii="Cambria Math" w:hAnsi="Cambria Math" w:eastAsia="宋体" w:cs="Times New Roman"/>
            <w:sz w:val="24"/>
            <w:szCs w:val="24"/>
          </w:rPr>
          <m:t>U</m:t>
        </m:r>
      </m:oMath>
      <w:r>
        <w:rPr>
          <w:rFonts w:ascii="Times New Roman" w:hAnsi="Times New Roman" w:eastAsia="宋体" w:cs="Times New Roman"/>
          <w:sz w:val="24"/>
          <w:szCs w:val="24"/>
        </w:rPr>
        <w:t>—水泥熟料库网壳结构节点位移向量；</w:t>
      </w:r>
    </w:p>
    <w:p>
      <w:pPr>
        <w:spacing w:line="400" w:lineRule="exact"/>
        <w:ind w:firstLine="480" w:firstLineChars="200"/>
        <w:rPr>
          <w:rFonts w:ascii="Times New Roman" w:hAnsi="Times New Roman" w:eastAsia="宋体" w:cs="Times New Roman"/>
          <w:sz w:val="24"/>
          <w:szCs w:val="24"/>
        </w:rPr>
      </w:pPr>
      <m:oMath>
        <m:r>
          <m:rPr>
            <m:nor/>
            <m:sty m:val="p"/>
          </m:rPr>
          <w:rPr>
            <w:rFonts w:ascii="Cambria Math" w:hAnsi="Cambria Math" w:eastAsia="宋体" w:cs="Times New Roman"/>
            <w:sz w:val="24"/>
            <w:szCs w:val="24"/>
          </w:rPr>
          <m:t>F</m:t>
        </m:r>
      </m:oMath>
      <w:r>
        <w:rPr>
          <w:rFonts w:ascii="Times New Roman" w:hAnsi="Times New Roman" w:eastAsia="宋体" w:cs="Times New Roman"/>
          <w:sz w:val="24"/>
          <w:szCs w:val="24"/>
        </w:rPr>
        <w:t>—水泥熟料库网壳结构节点荷载向量。</w:t>
      </w:r>
    </w:p>
    <w:p>
      <w:pPr>
        <w:pStyle w:val="2"/>
        <w:spacing w:after="0" w:line="400" w:lineRule="exact"/>
        <w:rPr>
          <w:rFonts w:ascii="Times New Roman" w:hAnsi="Times New Roman" w:cs="Times New Roman"/>
        </w:rPr>
      </w:pPr>
      <w:r>
        <w:rPr>
          <w:rFonts w:ascii="Times New Roman" w:hAnsi="Times New Roman" w:eastAsia="宋体" w:cs="Times New Roman"/>
          <w:sz w:val="24"/>
          <w:szCs w:val="24"/>
        </w:rPr>
        <w:t>5.2.2 水泥熟料库网壳结构需考虑因温度变化而产生的内力。按空间杆系有限元法计算时，可将因温度引起的杆件固端内力反作用于节点上。</w:t>
      </w:r>
      <w:r>
        <w:rPr>
          <w:rFonts w:ascii="Times New Roman" w:hAnsi="Times New Roman" w:cs="Times New Roman"/>
        </w:rPr>
        <w:t xml:space="preserve">      </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5.2.3水泥熟料库网壳结构采用拟壳法分析时，其网壳等效刚度可根据《空间网格结构技术规程》 JGJ7的相关规定进行计算。</w:t>
      </w:r>
    </w:p>
    <w:p>
      <w:pPr>
        <w:pStyle w:val="4"/>
        <w:spacing w:before="156" w:beforeLines="50" w:after="156" w:afterLines="50" w:line="400" w:lineRule="exact"/>
        <w:jc w:val="center"/>
        <w:rPr>
          <w:rFonts w:ascii="Times New Roman" w:hAnsi="Times New Roman" w:eastAsia="宋体" w:cs="Times New Roman"/>
          <w:sz w:val="24"/>
          <w:szCs w:val="24"/>
        </w:rPr>
      </w:pPr>
      <w:bookmarkStart w:id="85" w:name="_Toc186014792"/>
      <w:bookmarkStart w:id="86" w:name="_Toc8372"/>
      <w:bookmarkStart w:id="87" w:name="_Toc186028013"/>
      <w:r>
        <w:rPr>
          <w:rFonts w:ascii="Times New Roman" w:hAnsi="Times New Roman" w:eastAsia="宋体" w:cs="Times New Roman"/>
          <w:sz w:val="24"/>
          <w:szCs w:val="24"/>
        </w:rPr>
        <w:t>5.3抗震设计</w:t>
      </w:r>
      <w:bookmarkEnd w:id="85"/>
      <w:bookmarkEnd w:id="86"/>
      <w:bookmarkEnd w:id="87"/>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5.3.1对于水泥熟料库网壳结构，其抗震验算应符合下列规定：</w:t>
      </w:r>
    </w:p>
    <w:p>
      <w:pPr>
        <w:pStyle w:val="2"/>
        <w:spacing w:after="0" w:line="400" w:lineRule="exact"/>
        <w:ind w:firstLine="240" w:firstLineChars="100"/>
        <w:rPr>
          <w:rFonts w:ascii="Times New Roman" w:hAnsi="Times New Roman" w:eastAsia="宋体" w:cs="Times New Roman"/>
          <w:sz w:val="24"/>
          <w:szCs w:val="24"/>
        </w:rPr>
      </w:pPr>
      <w:r>
        <w:rPr>
          <w:rFonts w:ascii="Times New Roman" w:hAnsi="Times New Roman" w:eastAsia="宋体" w:cs="Times New Roman"/>
          <w:sz w:val="24"/>
          <w:szCs w:val="24"/>
        </w:rPr>
        <w:t xml:space="preserve">  1.在抗震设防烈度为6度的地区，可不进行抗震验算；</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2.在抗震设防烈度为7度的地区，当网壳结构的矢跨比大于或等于1/5时，应进行水平抗震验算；当矢跨比小于1/5时，应进行竖向和水平抗震验算；</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3.在抗震设防烈度为8度的地区，应进行竖向和水平抗震验算。</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5.3.2  对水泥熟料库网壳结构进行多遇地震作用下的效应计算时，可采用振型分解反应谱法；也可采用时程分析法进行补充计算；其计算方法按《建筑抗震设计标准》GB/T 50011的要求确定。</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5.3.3在进行结构地震效应分析时，对下部为混凝土库壁的水泥熟料库网壳，阻尼比值可取0.03。</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5.3.6水泥熟料库网壳关键杆件及关键节点的抗震验算需满足以下要求：</w:t>
      </w:r>
    </w:p>
    <w:p>
      <w:pPr>
        <w:pStyle w:val="2"/>
        <w:widowControl/>
        <w:tabs>
          <w:tab w:val="left" w:pos="312"/>
        </w:tabs>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1. 关键杆件的地震组合内力设计值应乘以增大系数；7度、8度宜分别按1.1、1.15采用。</w:t>
      </w:r>
    </w:p>
    <w:p>
      <w:pPr>
        <w:pStyle w:val="2"/>
        <w:widowControl/>
        <w:tabs>
          <w:tab w:val="left" w:pos="312"/>
        </w:tabs>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2. 关键节点的地震作用效应组合设计值应乘以增大系数；7度、8度宜分别按1.15、1.2采用。</w:t>
      </w:r>
    </w:p>
    <w:p>
      <w:pPr>
        <w:pStyle w:val="2"/>
        <w:widowControl/>
        <w:tabs>
          <w:tab w:val="left" w:pos="312"/>
        </w:tabs>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注：水泥熟料库网壳的关键杆件指临支座杆件，其范围为：临支座2个网格内的弦、腹杆；临支座1/10跨度范围内的弦、腹杆，两者取较小值。关键节点为与关键杆件连接的节点。</w:t>
      </w:r>
    </w:p>
    <w:p>
      <w:pPr>
        <w:pStyle w:val="4"/>
        <w:spacing w:before="156" w:beforeLines="50" w:after="156" w:afterLines="50" w:line="400" w:lineRule="exact"/>
        <w:jc w:val="center"/>
        <w:rPr>
          <w:rFonts w:ascii="Times New Roman" w:hAnsi="Times New Roman" w:eastAsia="宋体" w:cs="Times New Roman"/>
          <w:sz w:val="24"/>
          <w:szCs w:val="24"/>
        </w:rPr>
      </w:pPr>
      <w:bookmarkStart w:id="88" w:name="_Toc186028014"/>
      <w:bookmarkStart w:id="89" w:name="_Toc31154"/>
      <w:bookmarkStart w:id="90" w:name="_Toc186014793"/>
      <w:r>
        <w:rPr>
          <w:rFonts w:ascii="Times New Roman" w:hAnsi="Times New Roman" w:eastAsia="宋体" w:cs="Times New Roman"/>
          <w:sz w:val="24"/>
          <w:szCs w:val="24"/>
        </w:rPr>
        <w:t>5.4稳定计算</w:t>
      </w:r>
      <w:bookmarkEnd w:id="88"/>
      <w:bookmarkEnd w:id="89"/>
      <w:bookmarkEnd w:id="90"/>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5.4.1厚度小于直径1/50的水泥熟料库网壳结构应进行稳定性计算。</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5.4.2水泥熟料库网壳稳定性计算的方法可参照《空间网格结构技术规程》JGJ7的规定。</w:t>
      </w:r>
    </w:p>
    <w:p>
      <w:pPr>
        <w:pStyle w:val="4"/>
        <w:spacing w:before="156" w:beforeLines="50" w:after="156" w:afterLines="50" w:line="400" w:lineRule="exact"/>
        <w:jc w:val="center"/>
        <w:rPr>
          <w:rFonts w:ascii="Times New Roman" w:hAnsi="Times New Roman" w:eastAsia="宋体" w:cs="Times New Roman"/>
          <w:sz w:val="24"/>
          <w:szCs w:val="24"/>
        </w:rPr>
      </w:pPr>
      <w:bookmarkStart w:id="91" w:name="_Toc186028015"/>
      <w:bookmarkStart w:id="92" w:name="_Toc2689"/>
      <w:bookmarkStart w:id="93" w:name="_Toc186014794"/>
      <w:r>
        <w:rPr>
          <w:rFonts w:ascii="Times New Roman" w:hAnsi="Times New Roman" w:eastAsia="宋体" w:cs="Times New Roman"/>
          <w:sz w:val="24"/>
          <w:szCs w:val="24"/>
        </w:rPr>
        <w:t>5.5杆件设计</w:t>
      </w:r>
      <w:bookmarkEnd w:id="91"/>
      <w:bookmarkEnd w:id="92"/>
      <w:bookmarkEnd w:id="93"/>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5.5.1水泥熟料库网壳结构的杆件可采用高频焊管或无缝钢管，杆件截面的强度和稳定性应满足计算要求，其方法应按现行国家标准《钢结构设计标准》GB 50017的规定。</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5.5.2  水泥熟料库网壳结构杆件的计算长度</w:t>
      </w:r>
      <w:r>
        <w:rPr>
          <w:rFonts w:ascii="Times New Roman" w:hAnsi="Times New Roman" w:eastAsia="宋体" w:cs="Times New Roman"/>
          <w:i/>
          <w:iCs/>
          <w:sz w:val="24"/>
          <w:szCs w:val="24"/>
        </w:rPr>
        <w:t>l</w:t>
      </w:r>
      <w:r>
        <w:rPr>
          <w:rFonts w:ascii="Times New Roman" w:hAnsi="Times New Roman" w:eastAsia="宋体" w:cs="Times New Roman"/>
          <w:sz w:val="24"/>
          <w:szCs w:val="24"/>
          <w:vertAlign w:val="subscript"/>
        </w:rPr>
        <w:t>0</w:t>
      </w:r>
      <w:r>
        <w:rPr>
          <w:rFonts w:ascii="Times New Roman" w:hAnsi="Times New Roman" w:eastAsia="宋体" w:cs="Times New Roman"/>
          <w:sz w:val="24"/>
          <w:szCs w:val="24"/>
        </w:rPr>
        <w:t>应按以下规定：</w:t>
      </w:r>
    </w:p>
    <w:p>
      <w:pPr>
        <w:spacing w:line="400" w:lineRule="exact"/>
        <w:ind w:firstLine="480"/>
        <w:rPr>
          <w:rFonts w:ascii="Times New Roman" w:hAnsi="Times New Roman" w:eastAsia="宋体" w:cs="Times New Roman"/>
          <w:i/>
          <w:iCs/>
          <w:sz w:val="24"/>
          <w:szCs w:val="24"/>
        </w:rPr>
      </w:pPr>
      <w:r>
        <w:rPr>
          <w:rFonts w:ascii="Times New Roman" w:hAnsi="Times New Roman" w:eastAsia="宋体" w:cs="Times New Roman"/>
          <w:sz w:val="24"/>
          <w:szCs w:val="24"/>
        </w:rPr>
        <w:t>1.螺栓球节点： 弦杆及支座腹板取1.0</w:t>
      </w:r>
      <w:r>
        <w:rPr>
          <w:rFonts w:ascii="Times New Roman" w:hAnsi="Times New Roman" w:eastAsia="宋体" w:cs="Times New Roman"/>
          <w:i/>
          <w:iCs/>
          <w:sz w:val="24"/>
          <w:szCs w:val="24"/>
        </w:rPr>
        <w:t>l,</w:t>
      </w:r>
      <w:r>
        <w:rPr>
          <w:rFonts w:ascii="Times New Roman" w:hAnsi="Times New Roman" w:eastAsia="宋体" w:cs="Times New Roman"/>
          <w:sz w:val="24"/>
          <w:szCs w:val="24"/>
        </w:rPr>
        <w:t>腹杆1.0</w:t>
      </w:r>
      <w:r>
        <w:rPr>
          <w:rFonts w:ascii="Times New Roman" w:hAnsi="Times New Roman" w:eastAsia="宋体" w:cs="Times New Roman"/>
          <w:i/>
          <w:iCs/>
          <w:sz w:val="24"/>
          <w:szCs w:val="24"/>
        </w:rPr>
        <w:t>l</w:t>
      </w:r>
      <w:r>
        <w:rPr>
          <w:rFonts w:ascii="Times New Roman" w:hAnsi="Times New Roman" w:eastAsia="宋体" w:cs="Times New Roman"/>
          <w:sz w:val="24"/>
          <w:szCs w:val="24"/>
        </w:rPr>
        <w:t>；</w:t>
      </w:r>
    </w:p>
    <w:p>
      <w:pPr>
        <w:spacing w:line="400" w:lineRule="exact"/>
        <w:ind w:firstLine="480"/>
        <w:rPr>
          <w:rFonts w:ascii="Times New Roman" w:hAnsi="Times New Roman" w:eastAsia="宋体" w:cs="Times New Roman"/>
          <w:sz w:val="24"/>
          <w:szCs w:val="24"/>
        </w:rPr>
      </w:pPr>
      <w:r>
        <w:rPr>
          <w:rFonts w:ascii="Times New Roman" w:hAnsi="Times New Roman" w:eastAsia="宋体" w:cs="Times New Roman"/>
          <w:sz w:val="24"/>
          <w:szCs w:val="24"/>
        </w:rPr>
        <w:t>2.焊接空心球：弦杆及支座腹板取1.0</w:t>
      </w:r>
      <w:r>
        <w:rPr>
          <w:rFonts w:ascii="Times New Roman" w:hAnsi="Times New Roman" w:eastAsia="宋体" w:cs="Times New Roman"/>
          <w:i/>
          <w:iCs/>
          <w:sz w:val="24"/>
          <w:szCs w:val="24"/>
        </w:rPr>
        <w:t>l，</w:t>
      </w:r>
      <w:r>
        <w:rPr>
          <w:rFonts w:ascii="Times New Roman" w:hAnsi="Times New Roman" w:eastAsia="宋体" w:cs="Times New Roman"/>
          <w:sz w:val="24"/>
          <w:szCs w:val="24"/>
        </w:rPr>
        <w:t>腹杆0.9</w:t>
      </w:r>
      <w:r>
        <w:rPr>
          <w:rFonts w:ascii="Times New Roman" w:hAnsi="Times New Roman" w:eastAsia="宋体" w:cs="Times New Roman"/>
          <w:i/>
          <w:iCs/>
          <w:sz w:val="24"/>
          <w:szCs w:val="24"/>
        </w:rPr>
        <w:t>l</w:t>
      </w:r>
      <w:r>
        <w:rPr>
          <w:rFonts w:ascii="Times New Roman" w:hAnsi="Times New Roman" w:eastAsia="宋体" w:cs="Times New Roman"/>
          <w:sz w:val="24"/>
          <w:szCs w:val="24"/>
        </w:rPr>
        <w:t>。</w:t>
      </w:r>
    </w:p>
    <w:p>
      <w:pPr>
        <w:spacing w:line="400" w:lineRule="exact"/>
        <w:ind w:firstLine="480"/>
        <w:rPr>
          <w:rFonts w:ascii="Times New Roman" w:hAnsi="Times New Roman" w:eastAsia="宋体" w:cs="Times New Roman"/>
          <w:sz w:val="24"/>
          <w:szCs w:val="24"/>
        </w:rPr>
      </w:pPr>
      <w:r>
        <w:rPr>
          <w:rFonts w:ascii="Times New Roman" w:hAnsi="Times New Roman" w:eastAsia="宋体" w:cs="Times New Roman"/>
          <w:sz w:val="24"/>
          <w:szCs w:val="24"/>
        </w:rPr>
        <w:t>注：</w:t>
      </w:r>
      <w:r>
        <w:rPr>
          <w:rFonts w:ascii="Times New Roman" w:hAnsi="Times New Roman" w:eastAsia="宋体" w:cs="Times New Roman"/>
          <w:i/>
          <w:iCs/>
          <w:sz w:val="24"/>
          <w:szCs w:val="24"/>
        </w:rPr>
        <w:t>l</w:t>
      </w:r>
      <w:r>
        <w:rPr>
          <w:rFonts w:ascii="Times New Roman" w:hAnsi="Times New Roman" w:eastAsia="宋体" w:cs="Times New Roman"/>
          <w:sz w:val="24"/>
          <w:szCs w:val="24"/>
        </w:rPr>
        <w:t>均为杆件的几何长度，即节点中心间的距离。</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5.5.3 杆件的容许长细比不允许超过表中规定的数值</w:t>
      </w:r>
    </w:p>
    <w:p>
      <w:pPr>
        <w:spacing w:line="400" w:lineRule="exact"/>
        <w:ind w:firstLine="480" w:firstLineChars="200"/>
        <w:jc w:val="center"/>
        <w:textAlignment w:val="center"/>
        <w:rPr>
          <w:rFonts w:ascii="Times New Roman" w:hAnsi="Times New Roman" w:eastAsia="宋体" w:cs="Times New Roman"/>
          <w:sz w:val="24"/>
          <w:szCs w:val="24"/>
        </w:rPr>
      </w:pPr>
      <w:r>
        <w:rPr>
          <w:rFonts w:ascii="Times New Roman" w:hAnsi="Times New Roman" w:eastAsia="宋体" w:cs="Times New Roman"/>
          <w:sz w:val="24"/>
          <w:szCs w:val="24"/>
        </w:rPr>
        <w:t>表5.5.3 杆件容许长细比</w:t>
      </w:r>
      <w:r>
        <w:rPr>
          <w:rFonts w:ascii="Times New Roman" w:hAnsi="Times New Roman" w:eastAsia="宋体" w:cs="Times New Roman"/>
          <w:sz w:val="24"/>
          <w:szCs w:val="24"/>
        </w:rPr>
        <w:object>
          <v:shape id="_x0000_i1026" o:spt="75" type="#_x0000_t75" style="height:16.45pt;width:16.45pt;" o:ole="t" filled="f" o:preferrelative="t" stroked="f" coordsize="21600,21600">
            <v:path/>
            <v:fill on="f" focussize="0,0"/>
            <v:stroke on="f" joinstyle="miter"/>
            <v:imagedata r:id="rId12" o:title=""/>
            <o:lock v:ext="edit" aspectratio="t"/>
            <w10:wrap type="none"/>
            <w10:anchorlock/>
          </v:shape>
          <o:OLEObject Type="Embed" ProgID="Equation.KSEE3" ShapeID="_x0000_i1026" DrawAspect="Content" ObjectID="_1468075726" r:id="rId11">
            <o:LockedField>false</o:LockedField>
          </o:OLEObject>
        </w:object>
      </w:r>
    </w:p>
    <w:tbl>
      <w:tblPr>
        <w:tblStyle w:val="16"/>
        <w:tblW w:w="5000" w:type="pct"/>
        <w:tblInd w:w="0" w:type="dxa"/>
        <w:tblBorders>
          <w:top w:val="single" w:color="auto" w:sz="4" w:space="0"/>
          <w:left w:val="none" w:color="auto" w:sz="0" w:space="0"/>
          <w:bottom w:val="single" w:color="auto"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98"/>
        <w:gridCol w:w="3432"/>
        <w:gridCol w:w="1699"/>
        <w:gridCol w:w="1699"/>
      </w:tblGrid>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6" w:hRule="atLeast"/>
        </w:trPr>
        <w:tc>
          <w:tcPr>
            <w:tcW w:w="996" w:type="pct"/>
            <w:tcBorders>
              <w:bottom w:val="single" w:color="auto" w:sz="4" w:space="0"/>
              <w:tl2br w:val="nil"/>
              <w:tr2bl w:val="nil"/>
            </w:tcBorders>
            <w:shd w:val="clear" w:color="auto" w:fill="auto"/>
            <w:noWrap/>
            <w:vAlign w:val="center"/>
          </w:tcPr>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结构体系</w:t>
            </w:r>
          </w:p>
        </w:tc>
        <w:tc>
          <w:tcPr>
            <w:tcW w:w="2012" w:type="pct"/>
            <w:tcBorders>
              <w:bottom w:val="single" w:color="auto" w:sz="4" w:space="0"/>
              <w:tl2br w:val="nil"/>
              <w:tr2bl w:val="nil"/>
            </w:tcBorders>
            <w:shd w:val="clear" w:color="auto" w:fill="auto"/>
            <w:noWrap/>
            <w:vAlign w:val="center"/>
          </w:tcPr>
          <w:p>
            <w:pPr>
              <w:spacing w:line="40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杆件形式</w:t>
            </w:r>
          </w:p>
        </w:tc>
        <w:tc>
          <w:tcPr>
            <w:tcW w:w="996" w:type="pct"/>
            <w:tcBorders>
              <w:bottom w:val="single" w:color="auto" w:sz="4" w:space="0"/>
              <w:tl2br w:val="nil"/>
              <w:tr2bl w:val="nil"/>
            </w:tcBorders>
            <w:shd w:val="clear" w:color="auto" w:fill="auto"/>
            <w:noWrap/>
            <w:vAlign w:val="center"/>
          </w:tcPr>
          <w:p>
            <w:pPr>
              <w:spacing w:line="40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杆件受拉</w:t>
            </w:r>
          </w:p>
        </w:tc>
        <w:tc>
          <w:tcPr>
            <w:tcW w:w="996" w:type="pct"/>
            <w:tcBorders>
              <w:bottom w:val="single" w:color="auto" w:sz="4" w:space="0"/>
              <w:tl2br w:val="nil"/>
              <w:tr2bl w:val="nil"/>
            </w:tcBorders>
            <w:shd w:val="clear" w:color="auto" w:fill="auto"/>
            <w:noWrap/>
            <w:vAlign w:val="center"/>
          </w:tcPr>
          <w:p>
            <w:pPr>
              <w:spacing w:line="40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杆件受压</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16" w:hRule="atLeast"/>
        </w:trPr>
        <w:tc>
          <w:tcPr>
            <w:tcW w:w="996" w:type="pct"/>
            <w:vMerge w:val="restart"/>
            <w:tcBorders>
              <w:top w:val="single" w:color="auto" w:sz="4" w:space="0"/>
            </w:tcBorders>
            <w:shd w:val="clear" w:color="auto" w:fill="auto"/>
            <w:noWrap/>
            <w:vAlign w:val="center"/>
          </w:tcPr>
          <w:p>
            <w:pPr>
              <w:spacing w:line="40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网壳</w:t>
            </w:r>
          </w:p>
        </w:tc>
        <w:tc>
          <w:tcPr>
            <w:tcW w:w="2012" w:type="pct"/>
            <w:tcBorders>
              <w:top w:val="single" w:color="auto" w:sz="4" w:space="0"/>
            </w:tcBorders>
            <w:shd w:val="clear" w:color="auto" w:fill="auto"/>
            <w:noWrap/>
            <w:vAlign w:val="center"/>
          </w:tcPr>
          <w:p>
            <w:pPr>
              <w:spacing w:line="40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一般杆件</w:t>
            </w:r>
          </w:p>
        </w:tc>
        <w:tc>
          <w:tcPr>
            <w:tcW w:w="996" w:type="pct"/>
            <w:tcBorders>
              <w:top w:val="single" w:color="auto" w:sz="4" w:space="0"/>
            </w:tcBorders>
            <w:shd w:val="clear" w:color="auto" w:fill="auto"/>
            <w:noWrap/>
            <w:vAlign w:val="center"/>
          </w:tcPr>
          <w:p>
            <w:pPr>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sz w:val="24"/>
                <w:szCs w:val="24"/>
              </w:rPr>
              <w:t>300</w:t>
            </w:r>
          </w:p>
        </w:tc>
        <w:tc>
          <w:tcPr>
            <w:tcW w:w="996" w:type="pct"/>
            <w:tcBorders>
              <w:top w:val="single" w:color="auto" w:sz="4" w:space="0"/>
            </w:tcBorders>
            <w:shd w:val="clear" w:color="auto" w:fill="auto"/>
            <w:noWrap/>
            <w:vAlign w:val="center"/>
          </w:tcPr>
          <w:p>
            <w:pPr>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sz w:val="24"/>
                <w:szCs w:val="24"/>
              </w:rPr>
              <w:t>180</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1" w:hRule="atLeast"/>
        </w:trPr>
        <w:tc>
          <w:tcPr>
            <w:tcW w:w="996" w:type="pct"/>
            <w:vMerge w:val="continue"/>
            <w:shd w:val="clear" w:color="auto" w:fill="auto"/>
            <w:noWrap/>
            <w:vAlign w:val="center"/>
          </w:tcPr>
          <w:p>
            <w:pPr>
              <w:spacing w:line="400" w:lineRule="exact"/>
              <w:jc w:val="center"/>
              <w:rPr>
                <w:rFonts w:ascii="Times New Roman" w:hAnsi="Times New Roman" w:eastAsia="宋体" w:cs="Times New Roman"/>
                <w:sz w:val="24"/>
                <w:szCs w:val="24"/>
              </w:rPr>
            </w:pPr>
          </w:p>
        </w:tc>
        <w:tc>
          <w:tcPr>
            <w:tcW w:w="2012" w:type="pct"/>
            <w:shd w:val="clear" w:color="auto" w:fill="auto"/>
            <w:noWrap/>
            <w:vAlign w:val="center"/>
          </w:tcPr>
          <w:p>
            <w:pPr>
              <w:spacing w:line="40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关键杆件</w:t>
            </w:r>
          </w:p>
        </w:tc>
        <w:tc>
          <w:tcPr>
            <w:tcW w:w="996" w:type="pct"/>
            <w:shd w:val="clear" w:color="auto" w:fill="auto"/>
            <w:noWrap/>
            <w:vAlign w:val="center"/>
          </w:tcPr>
          <w:p>
            <w:pPr>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sz w:val="24"/>
                <w:szCs w:val="24"/>
              </w:rPr>
              <w:t>250</w:t>
            </w:r>
          </w:p>
        </w:tc>
        <w:tc>
          <w:tcPr>
            <w:tcW w:w="996" w:type="pct"/>
            <w:shd w:val="clear" w:color="auto" w:fill="auto"/>
            <w:noWrap/>
            <w:vAlign w:val="center"/>
          </w:tcPr>
          <w:p>
            <w:pPr>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sz w:val="24"/>
                <w:szCs w:val="24"/>
              </w:rPr>
              <w:t>180</w:t>
            </w:r>
          </w:p>
        </w:tc>
      </w:tr>
      <w:tr>
        <w:tblPrEx>
          <w:tblBorders>
            <w:top w:val="single" w:color="auto" w:sz="4" w:space="0"/>
            <w:left w:val="none" w:color="auto" w:sz="0" w:space="0"/>
            <w:bottom w:val="single" w:color="auto"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4" w:hRule="atLeast"/>
        </w:trPr>
        <w:tc>
          <w:tcPr>
            <w:tcW w:w="996" w:type="pct"/>
            <w:vMerge w:val="continue"/>
            <w:shd w:val="clear" w:color="auto" w:fill="auto"/>
            <w:noWrap/>
            <w:vAlign w:val="center"/>
          </w:tcPr>
          <w:p>
            <w:pPr>
              <w:spacing w:line="400" w:lineRule="exact"/>
              <w:jc w:val="center"/>
              <w:rPr>
                <w:rFonts w:ascii="Times New Roman" w:hAnsi="Times New Roman" w:eastAsia="宋体" w:cs="Times New Roman"/>
                <w:sz w:val="24"/>
                <w:szCs w:val="24"/>
              </w:rPr>
            </w:pPr>
          </w:p>
        </w:tc>
        <w:tc>
          <w:tcPr>
            <w:tcW w:w="2012" w:type="pct"/>
            <w:shd w:val="clear" w:color="auto" w:fill="auto"/>
            <w:noWrap/>
            <w:vAlign w:val="center"/>
          </w:tcPr>
          <w:p>
            <w:pPr>
              <w:spacing w:line="40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直接承受动荷载杆件</w:t>
            </w:r>
          </w:p>
        </w:tc>
        <w:tc>
          <w:tcPr>
            <w:tcW w:w="996" w:type="pct"/>
            <w:shd w:val="clear" w:color="auto" w:fill="auto"/>
            <w:noWrap/>
            <w:vAlign w:val="center"/>
          </w:tcPr>
          <w:p>
            <w:pPr>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sz w:val="24"/>
                <w:szCs w:val="24"/>
              </w:rPr>
              <w:t>250</w:t>
            </w:r>
          </w:p>
        </w:tc>
        <w:tc>
          <w:tcPr>
            <w:tcW w:w="996" w:type="pct"/>
            <w:shd w:val="clear" w:color="auto" w:fill="auto"/>
            <w:noWrap/>
            <w:vAlign w:val="center"/>
          </w:tcPr>
          <w:p>
            <w:pPr>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sz w:val="24"/>
                <w:szCs w:val="24"/>
              </w:rPr>
              <w:t>180</w:t>
            </w:r>
          </w:p>
        </w:tc>
      </w:tr>
    </w:tbl>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注：1.当考虑抗震设计时，一般杆件受拉时容许长细比限值为250、受压时为180；关键杆件受拉时容许长细比限值为200、受压时为150（8度时为120）。</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2.考虑到在施工过程中杆件的受力变化，受拉杆件的容许长细比限值均可取180。</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5.5.4  杆件的截面尺寸应根据计算确定。水泥熟料库网壳杆件的最小截面不宜小于</w:t>
      </w:r>
      <w:r>
        <w:rPr>
          <w:rFonts w:ascii="Times New Roman" w:hAnsi="Times New Roman" w:eastAsia="宋体" w:cs="Times New Roman"/>
          <w:i/>
          <w:iCs/>
          <w:sz w:val="24"/>
          <w:szCs w:val="24"/>
        </w:rPr>
        <w:t>Φ</w:t>
      </w:r>
      <w:r>
        <w:rPr>
          <w:rFonts w:ascii="Times New Roman" w:hAnsi="Times New Roman" w:eastAsia="宋体" w:cs="Times New Roman"/>
          <w:sz w:val="24"/>
          <w:szCs w:val="24"/>
        </w:rPr>
        <w:t>60×3.5mm，库顶房杆件的最小截面不应小于</w:t>
      </w:r>
      <w:r>
        <w:rPr>
          <w:rFonts w:ascii="Times New Roman" w:hAnsi="Times New Roman" w:eastAsia="宋体" w:cs="Times New Roman"/>
          <w:i/>
          <w:iCs/>
          <w:sz w:val="24"/>
          <w:szCs w:val="24"/>
        </w:rPr>
        <w:t>Φ</w:t>
      </w:r>
      <w:r>
        <w:rPr>
          <w:rFonts w:ascii="Times New Roman" w:hAnsi="Times New Roman" w:eastAsia="宋体" w:cs="Times New Roman"/>
          <w:sz w:val="24"/>
          <w:szCs w:val="24"/>
        </w:rPr>
        <w:t>48×3.0mm。</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5.5.5水泥熟料库网壳杆件布置沿受力方向应有连续的刚度，相邻弦杆的截面面积之比不宜超过1.8倍。水泥熟料库网壳底部圆台沿库壁环向宜采用相同截面杆件。</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5.5.6较低应力、较小直径的受拉杆件其长细比宜按受压杆件控制。</w:t>
      </w:r>
    </w:p>
    <w:p>
      <w:pPr>
        <w:pStyle w:val="4"/>
        <w:spacing w:before="156" w:beforeLines="50" w:after="156" w:afterLines="50" w:line="400" w:lineRule="exact"/>
        <w:jc w:val="center"/>
        <w:rPr>
          <w:rFonts w:ascii="Times New Roman" w:hAnsi="Times New Roman" w:eastAsia="宋体" w:cs="Times New Roman"/>
          <w:sz w:val="24"/>
          <w:szCs w:val="24"/>
        </w:rPr>
      </w:pPr>
      <w:bookmarkStart w:id="94" w:name="_Toc186014795"/>
      <w:bookmarkStart w:id="95" w:name="_Toc16106"/>
      <w:bookmarkStart w:id="96" w:name="_Toc186028016"/>
      <w:r>
        <w:rPr>
          <w:rFonts w:ascii="Times New Roman" w:hAnsi="Times New Roman" w:eastAsia="宋体" w:cs="Times New Roman"/>
          <w:sz w:val="24"/>
          <w:szCs w:val="24"/>
        </w:rPr>
        <w:t>5.6焊接空心球节点设计</w:t>
      </w:r>
      <w:bookmarkEnd w:id="94"/>
      <w:bookmarkEnd w:id="95"/>
      <w:bookmarkEnd w:id="96"/>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5.6.1由两个半球对焊而成的空心球，可根据受力大小分别采用不加肋空心球(图5.6.1-1)和加肋空心球(图5.6.1-2)。</w:t>
      </w:r>
    </w:p>
    <w:p>
      <w:pPr>
        <w:jc w:val="center"/>
        <w:rPr>
          <w:rFonts w:ascii="Times New Roman" w:hAnsi="Times New Roman" w:cs="Times New Roman"/>
        </w:rPr>
      </w:pPr>
      <w:r>
        <w:rPr>
          <w:rFonts w:ascii="Times New Roman" w:hAnsi="Times New Roman" w:eastAsia="宋体" w:cs="Times New Roman"/>
          <w:sz w:val="24"/>
          <w:szCs w:val="24"/>
        </w:rPr>
        <w:drawing>
          <wp:inline distT="0" distB="0" distL="114300" distR="114300">
            <wp:extent cx="3967480" cy="2555875"/>
            <wp:effectExtent l="0" t="0" r="13970" b="15875"/>
            <wp:docPr id="2023486126" name="图片 2023486126" descr="17236057781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486126" name="图片 2023486126" descr="1723605778149"/>
                    <pic:cNvPicPr>
                      <a:picLocks noChangeAspect="1"/>
                    </pic:cNvPicPr>
                  </pic:nvPicPr>
                  <pic:blipFill>
                    <a:blip r:embed="rId13"/>
                    <a:stretch>
                      <a:fillRect/>
                    </a:stretch>
                  </pic:blipFill>
                  <pic:spPr>
                    <a:xfrm>
                      <a:off x="0" y="0"/>
                      <a:ext cx="3967480" cy="2555875"/>
                    </a:xfrm>
                    <a:prstGeom prst="rect">
                      <a:avLst/>
                    </a:prstGeom>
                  </pic:spPr>
                </pic:pic>
              </a:graphicData>
            </a:graphic>
          </wp:inline>
        </w:drawing>
      </w:r>
    </w:p>
    <w:p>
      <w:pPr>
        <w:spacing w:line="400" w:lineRule="exact"/>
        <w:ind w:firstLine="3600" w:firstLineChars="1500"/>
        <w:rPr>
          <w:rFonts w:ascii="Times New Roman" w:hAnsi="Times New Roman" w:eastAsia="宋体" w:cs="Times New Roman"/>
          <w:sz w:val="24"/>
          <w:szCs w:val="24"/>
        </w:rPr>
      </w:pPr>
      <w:r>
        <w:rPr>
          <w:rFonts w:ascii="Times New Roman" w:hAnsi="Times New Roman" w:eastAsia="宋体" w:cs="Times New Roman"/>
          <w:sz w:val="24"/>
          <w:szCs w:val="24"/>
        </w:rPr>
        <w:t>图5.6.1-1   不加肋空心球</w:t>
      </w:r>
    </w:p>
    <w:p>
      <w:pPr>
        <w:pStyle w:val="2"/>
        <w:jc w:val="center"/>
        <w:rPr>
          <w:rFonts w:ascii="Times New Roman" w:hAnsi="Times New Roman" w:cs="Times New Roman"/>
        </w:rPr>
      </w:pPr>
      <w:r>
        <w:rPr>
          <w:rFonts w:ascii="Times New Roman" w:hAnsi="Times New Roman" w:cs="Times New Roman"/>
        </w:rPr>
        <w:drawing>
          <wp:inline distT="0" distB="0" distL="114300" distR="114300">
            <wp:extent cx="4381500" cy="2667000"/>
            <wp:effectExtent l="0" t="0" r="0" b="0"/>
            <wp:docPr id="6" name="图片 6" descr="1723606150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1723606150118"/>
                    <pic:cNvPicPr>
                      <a:picLocks noChangeAspect="1"/>
                    </pic:cNvPicPr>
                  </pic:nvPicPr>
                  <pic:blipFill>
                    <a:blip r:embed="rId14"/>
                    <a:stretch>
                      <a:fillRect/>
                    </a:stretch>
                  </pic:blipFill>
                  <pic:spPr>
                    <a:xfrm>
                      <a:off x="0" y="0"/>
                      <a:ext cx="4381500" cy="2667000"/>
                    </a:xfrm>
                    <a:prstGeom prst="rect">
                      <a:avLst/>
                    </a:prstGeom>
                  </pic:spPr>
                </pic:pic>
              </a:graphicData>
            </a:graphic>
          </wp:inline>
        </w:drawing>
      </w:r>
    </w:p>
    <w:p>
      <w:pPr>
        <w:spacing w:line="400" w:lineRule="exact"/>
        <w:ind w:firstLine="3600" w:firstLineChars="1500"/>
        <w:rPr>
          <w:rFonts w:ascii="Times New Roman" w:hAnsi="Times New Roman" w:eastAsia="宋体" w:cs="Times New Roman"/>
          <w:sz w:val="24"/>
          <w:szCs w:val="24"/>
        </w:rPr>
      </w:pPr>
      <w:r>
        <w:rPr>
          <w:rFonts w:ascii="Times New Roman" w:hAnsi="Times New Roman" w:eastAsia="宋体" w:cs="Times New Roman"/>
          <w:sz w:val="24"/>
          <w:szCs w:val="24"/>
        </w:rPr>
        <w:t>图5.6.1-2   加肋空心球</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5.6.2 焊接空心球直径的受压和受拉承载力设计值</w:t>
      </w:r>
      <w:r>
        <w:rPr>
          <w:rFonts w:ascii="Times New Roman" w:hAnsi="Times New Roman" w:eastAsia="宋体" w:cs="Times New Roman"/>
          <w:i/>
          <w:iCs/>
          <w:sz w:val="24"/>
          <w:szCs w:val="24"/>
        </w:rPr>
        <w:t>N</w:t>
      </w:r>
      <w:r>
        <w:rPr>
          <w:rFonts w:ascii="Times New Roman" w:hAnsi="Times New Roman" w:eastAsia="宋体" w:cs="Times New Roman"/>
          <w:i/>
          <w:iCs/>
          <w:sz w:val="24"/>
          <w:szCs w:val="24"/>
          <w:vertAlign w:val="subscript"/>
        </w:rPr>
        <w:t>R</w:t>
      </w:r>
      <w:r>
        <w:rPr>
          <w:rFonts w:ascii="Times New Roman" w:hAnsi="Times New Roman" w:eastAsia="宋体" w:cs="Times New Roman"/>
          <w:sz w:val="24"/>
          <w:szCs w:val="24"/>
        </w:rPr>
        <w:t>(N)可按下式计算：</w:t>
      </w:r>
    </w:p>
    <w:p>
      <w:pPr>
        <w:jc w:val="center"/>
        <w:textAlignment w:val="center"/>
        <w:rPr>
          <w:rFonts w:ascii="Times New Roman" w:hAnsi="Times New Roman" w:cs="Times New Roman"/>
        </w:rPr>
      </w:pPr>
      <w:r>
        <w:rPr>
          <w:rFonts w:ascii="Times New Roman" w:hAnsi="Times New Roman" w:cs="Times New Roman"/>
        </w:rPr>
        <w:object>
          <v:shape id="_x0000_i1027" o:spt="75" type="#_x0000_t75" style="height:31.1pt;width:139.7pt;" o:ole="t" filled="f" o:preferrelative="t" stroked="f" coordsize="21600,21600">
            <v:path/>
            <v:fill on="f" focussize="0,0"/>
            <v:stroke on="f" joinstyle="miter"/>
            <v:imagedata r:id="rId16" o:title=""/>
            <o:lock v:ext="edit" aspectratio="t"/>
            <w10:wrap type="none"/>
            <w10:anchorlock/>
          </v:shape>
          <o:OLEObject Type="Embed" ProgID="Equation.KSEE3" ShapeID="_x0000_i1027" DrawAspect="Content" ObjectID="_1468075727" r:id="rId15">
            <o:LockedField>false</o:LockedField>
          </o:OLEObject>
        </w:object>
      </w:r>
      <w:r>
        <w:rPr>
          <w:rFonts w:ascii="Times New Roman" w:hAnsi="Times New Roman" w:cs="Times New Roman"/>
        </w:rPr>
        <w:tab/>
      </w:r>
      <w:r>
        <w:rPr>
          <w:rFonts w:ascii="Times New Roman" w:hAnsi="Times New Roman" w:cs="Times New Roman"/>
        </w:rPr>
        <w:t>（5.6.2-1）</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式中：</w:t>
      </w:r>
      <w:r>
        <w:rPr>
          <w:rFonts w:ascii="Times New Roman" w:hAnsi="Times New Roman" w:eastAsia="宋体" w:cs="Times New Roman"/>
          <w:position w:val="-12"/>
          <w:sz w:val="24"/>
          <w:szCs w:val="24"/>
        </w:rPr>
        <w:object>
          <v:shape id="_x0000_i1028" o:spt="75" type="#_x0000_t75" style="height:18.3pt;width:13.4pt;" o:ole="t" filled="f" o:preferrelative="t" stroked="f" coordsize="21600,21600">
            <v:path/>
            <v:fill on="f" focussize="0,0"/>
            <v:stroke on="f" joinstyle="miter"/>
            <v:imagedata r:id="rId18" o:title=""/>
            <o:lock v:ext="edit" aspectratio="t"/>
            <w10:wrap type="none"/>
            <w10:anchorlock/>
          </v:shape>
          <o:OLEObject Type="Embed" ProgID="Equation.KSEE3" ShapeID="_x0000_i1028" DrawAspect="Content" ObjectID="_1468075728" r:id="rId17">
            <o:LockedField>false</o:LockedField>
          </o:OLEObject>
        </w:object>
      </w:r>
      <w:r>
        <w:rPr>
          <w:rFonts w:ascii="Times New Roman" w:hAnsi="Times New Roman" w:eastAsia="宋体" w:cs="Times New Roman"/>
          <w:sz w:val="24"/>
          <w:szCs w:val="24"/>
        </w:rPr>
        <w:t>—大直径空心球节点承载力调整系数，当空心球直径D≤500mm时，</w:t>
      </w:r>
      <w:r>
        <w:rPr>
          <w:rFonts w:ascii="Times New Roman" w:hAnsi="Times New Roman" w:eastAsia="宋体" w:cs="Times New Roman"/>
          <w:position w:val="-12"/>
          <w:sz w:val="24"/>
          <w:szCs w:val="24"/>
        </w:rPr>
        <w:object>
          <v:shape id="_x0000_i1029" o:spt="75" type="#_x0000_t75" style="height:18.3pt;width:13.4pt;" o:ole="t" filled="f" o:preferrelative="t" stroked="f" coordsize="21600,21600">
            <v:path/>
            <v:fill on="f" focussize="0,0"/>
            <v:stroke on="f" joinstyle="miter"/>
            <v:imagedata r:id="rId20" o:title=""/>
            <o:lock v:ext="edit" aspectratio="t"/>
            <w10:wrap type="none"/>
            <w10:anchorlock/>
          </v:shape>
          <o:OLEObject Type="Embed" ProgID="Equation.KSEE3" ShapeID="_x0000_i1029" DrawAspect="Content" ObjectID="_1468075729" r:id="rId19">
            <o:LockedField>false</o:LockedField>
          </o:OLEObject>
        </w:object>
      </w:r>
      <w:r>
        <w:rPr>
          <w:rFonts w:ascii="Times New Roman" w:hAnsi="Times New Roman" w:eastAsia="宋体" w:cs="Times New Roman"/>
          <w:sz w:val="24"/>
          <w:szCs w:val="24"/>
        </w:rPr>
        <w:t>=1.0；当空心球直径&gt;500mm时，</w:t>
      </w:r>
      <w:r>
        <w:rPr>
          <w:rFonts w:ascii="Times New Roman" w:hAnsi="Times New Roman" w:eastAsia="宋体" w:cs="Times New Roman"/>
          <w:position w:val="-12"/>
          <w:sz w:val="24"/>
          <w:szCs w:val="24"/>
        </w:rPr>
        <w:object>
          <v:shape id="_x0000_i1030" o:spt="75" type="#_x0000_t75" style="height:18.3pt;width:13.4pt;" o:ole="t" filled="f" o:preferrelative="t" stroked="f" coordsize="21600,21600">
            <v:path/>
            <v:fill on="f" focussize="0,0"/>
            <v:stroke on="f" joinstyle="miter"/>
            <v:imagedata r:id="rId22" o:title=""/>
            <o:lock v:ext="edit" aspectratio="t"/>
            <w10:wrap type="none"/>
            <w10:anchorlock/>
          </v:shape>
          <o:OLEObject Type="Embed" ProgID="Equation.KSEE3" ShapeID="_x0000_i1030" DrawAspect="Content" ObjectID="_1468075730" r:id="rId21">
            <o:LockedField>false</o:LockedField>
          </o:OLEObject>
        </w:object>
      </w:r>
      <w:r>
        <w:rPr>
          <w:rFonts w:ascii="Times New Roman" w:hAnsi="Times New Roman" w:eastAsia="宋体" w:cs="Times New Roman"/>
          <w:sz w:val="24"/>
          <w:szCs w:val="24"/>
        </w:rPr>
        <w:t>=0.9；</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D</w:t>
      </w:r>
      <w:r>
        <w:rPr>
          <w:rFonts w:ascii="Times New Roman" w:hAnsi="Times New Roman" w:eastAsia="宋体" w:cs="Times New Roman"/>
          <w:sz w:val="24"/>
          <w:szCs w:val="24"/>
        </w:rPr>
        <w:t>—空心球外径(mm);</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t</w:t>
      </w:r>
      <w:r>
        <w:rPr>
          <w:rFonts w:ascii="Times New Roman" w:hAnsi="Times New Roman" w:eastAsia="宋体" w:cs="Times New Roman"/>
          <w:sz w:val="24"/>
          <w:szCs w:val="24"/>
        </w:rPr>
        <w:t>—空心球壁厚(mm);</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d</w:t>
      </w:r>
      <w:r>
        <w:rPr>
          <w:rFonts w:ascii="Times New Roman" w:hAnsi="Times New Roman" w:eastAsia="宋体" w:cs="Times New Roman"/>
          <w:sz w:val="24"/>
          <w:szCs w:val="24"/>
        </w:rPr>
        <w:t>—与空心球相连的主钢管杆件的外径(mm);</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f</w:t>
      </w:r>
      <w:r>
        <w:rPr>
          <w:rFonts w:ascii="Times New Roman" w:hAnsi="Times New Roman" w:eastAsia="宋体" w:cs="Times New Roman"/>
          <w:sz w:val="24"/>
          <w:szCs w:val="24"/>
        </w:rPr>
        <w:t>—钢材的抗拉强度设计值(N/mm)。</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5.6.3  对加肋空心球，当仅承受轴力或轴力与弯矩共同作用但以轴力为主(</w:t>
      </w:r>
      <w:r>
        <w:rPr>
          <w:rFonts w:ascii="Times New Roman" w:hAnsi="Times New Roman" w:eastAsia="宋体" w:cs="Times New Roman"/>
          <w:position w:val="-12"/>
          <w:sz w:val="24"/>
          <w:szCs w:val="24"/>
        </w:rPr>
        <w:object>
          <v:shape id="_x0000_i1031" o:spt="75" type="#_x0000_t75" style="height:18.3pt;width:14.65pt;" o:ole="t" filled="f" o:preferrelative="t" stroked="f" coordsize="21600,21600">
            <v:path/>
            <v:fill on="f" focussize="0,0"/>
            <v:stroke on="f" joinstyle="miter"/>
            <v:imagedata r:id="rId24" o:title=""/>
            <o:lock v:ext="edit" aspectratio="t"/>
            <w10:wrap type="none"/>
            <w10:anchorlock/>
          </v:shape>
          <o:OLEObject Type="Embed" ProgID="Equation.KSEE3" ShapeID="_x0000_i1031" DrawAspect="Content" ObjectID="_1468075731" r:id="rId23">
            <o:LockedField>false</o:LockedField>
          </o:OLEObject>
        </w:object>
      </w:r>
      <w:r>
        <w:rPr>
          <w:rFonts w:ascii="Times New Roman" w:hAnsi="Times New Roman" w:eastAsia="宋体" w:cs="Times New Roman"/>
          <w:sz w:val="24"/>
          <w:szCs w:val="24"/>
        </w:rPr>
        <w:t>≥0.8)且轴力方向和加肋方向一致时，其承载力可乘以加肋空心球承载力提高系数</w:t>
      </w:r>
      <w:r>
        <w:rPr>
          <w:rFonts w:ascii="Times New Roman" w:hAnsi="Times New Roman" w:eastAsia="宋体" w:cs="Times New Roman"/>
          <w:position w:val="-12"/>
          <w:sz w:val="24"/>
          <w:szCs w:val="24"/>
        </w:rPr>
        <w:object>
          <v:shape id="_x0000_i1032" o:spt="75" type="#_x0000_t75" style="height:18.3pt;width:14.65pt;" o:ole="t" filled="f" o:preferrelative="t" stroked="f" coordsize="21600,21600">
            <v:path/>
            <v:fill on="f" focussize="0,0"/>
            <v:stroke on="f" joinstyle="miter"/>
            <v:imagedata r:id="rId26" o:title=""/>
            <o:lock v:ext="edit" aspectratio="t"/>
            <w10:wrap type="none"/>
            <w10:anchorlock/>
          </v:shape>
          <o:OLEObject Type="Embed" ProgID="Equation.KSEE3" ShapeID="_x0000_i1032" DrawAspect="Content" ObjectID="_1468075732" r:id="rId25">
            <o:LockedField>false</o:LockedField>
          </o:OLEObject>
        </w:object>
      </w:r>
      <w:r>
        <w:rPr>
          <w:rFonts w:ascii="Times New Roman" w:hAnsi="Times New Roman" w:eastAsia="宋体" w:cs="Times New Roman"/>
          <w:sz w:val="24"/>
          <w:szCs w:val="24"/>
        </w:rPr>
        <w:t>，受压球取</w:t>
      </w:r>
      <w:r>
        <w:rPr>
          <w:rFonts w:ascii="Times New Roman" w:hAnsi="Times New Roman" w:eastAsia="宋体" w:cs="Times New Roman"/>
          <w:position w:val="-12"/>
          <w:sz w:val="24"/>
          <w:szCs w:val="24"/>
        </w:rPr>
        <w:object>
          <v:shape id="_x0000_i1033" o:spt="75" type="#_x0000_t75" style="height:18.3pt;width:14.65pt;" o:ole="t" filled="f" o:preferrelative="t" stroked="f" coordsize="21600,21600">
            <v:path/>
            <v:fill on="f" focussize="0,0"/>
            <v:stroke on="f" joinstyle="miter"/>
            <v:imagedata r:id="rId28" o:title=""/>
            <o:lock v:ext="edit" aspectratio="t"/>
            <w10:wrap type="none"/>
            <w10:anchorlock/>
          </v:shape>
          <o:OLEObject Type="Embed" ProgID="Equation.KSEE3" ShapeID="_x0000_i1033" DrawAspect="Content" ObjectID="_1468075733" r:id="rId27">
            <o:LockedField>false</o:LockedField>
          </o:OLEObject>
        </w:object>
      </w:r>
      <w:r>
        <w:rPr>
          <w:rFonts w:ascii="Times New Roman" w:hAnsi="Times New Roman" w:eastAsia="宋体" w:cs="Times New Roman"/>
          <w:sz w:val="24"/>
          <w:szCs w:val="24"/>
        </w:rPr>
        <w:t>＝1.4，受拉球取</w:t>
      </w:r>
      <w:r>
        <w:rPr>
          <w:rFonts w:ascii="Times New Roman" w:hAnsi="Times New Roman" w:eastAsia="宋体" w:cs="Times New Roman"/>
          <w:position w:val="-12"/>
          <w:sz w:val="24"/>
          <w:szCs w:val="24"/>
        </w:rPr>
        <w:object>
          <v:shape id="_x0000_i1034" o:spt="75" type="#_x0000_t75" style="height:18.3pt;width:14.65pt;" o:ole="t" filled="f" o:preferrelative="t" stroked="f" coordsize="21600,21600">
            <v:path/>
            <v:fill on="f" focussize="0,0"/>
            <v:stroke on="f" joinstyle="miter"/>
            <v:imagedata r:id="rId30" o:title=""/>
            <o:lock v:ext="edit" aspectratio="t"/>
            <w10:wrap type="none"/>
            <w10:anchorlock/>
          </v:shape>
          <o:OLEObject Type="Embed" ProgID="Equation.KSEE3" ShapeID="_x0000_i1034" DrawAspect="Content" ObjectID="_1468075734" r:id="rId29">
            <o:LockedField>false</o:LockedField>
          </o:OLEObject>
        </w:object>
      </w:r>
      <w:r>
        <w:rPr>
          <w:rFonts w:ascii="Times New Roman" w:hAnsi="Times New Roman" w:eastAsia="宋体" w:cs="Times New Roman"/>
          <w:sz w:val="24"/>
          <w:szCs w:val="24"/>
        </w:rPr>
        <w:t>＝1.1。</w:t>
      </w:r>
      <w:r>
        <w:rPr>
          <w:rFonts w:ascii="Times New Roman" w:hAnsi="Times New Roman" w:eastAsia="宋体" w:cs="Times New Roman"/>
          <w:position w:val="-12"/>
          <w:sz w:val="24"/>
          <w:szCs w:val="24"/>
        </w:rPr>
        <w:object>
          <v:shape id="_x0000_i1035" o:spt="75" type="#_x0000_t75" style="height:18.3pt;width:14.65pt;" o:ole="t" filled="f" o:preferrelative="t" stroked="f" coordsize="21600,21600">
            <v:path/>
            <v:fill on="f" focussize="0,0"/>
            <v:stroke on="f" joinstyle="miter"/>
            <v:imagedata r:id="rId32" o:title=""/>
            <o:lock v:ext="edit" aspectratio="t"/>
            <w10:wrap type="none"/>
            <w10:anchorlock/>
          </v:shape>
          <o:OLEObject Type="Embed" ProgID="Equation.KSEE3" ShapeID="_x0000_i1035" DrawAspect="Content" ObjectID="_1468075735" r:id="rId31">
            <o:LockedField>false</o:LockedField>
          </o:OLEObject>
        </w:object>
      </w:r>
      <w:r>
        <w:rPr>
          <w:rFonts w:ascii="Times New Roman" w:hAnsi="Times New Roman" w:eastAsia="宋体" w:cs="Times New Roman"/>
          <w:sz w:val="24"/>
          <w:szCs w:val="24"/>
        </w:rPr>
        <w:t>的取值按照《空间网格结构技术规程》JGJ7的要求。</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5.6.4 焊接空心球的设计及钢管杆件与空心球的连接构造、空心球外径的初选、交汇杆件的连接等要求应符合《空间网格结构技术规程》JGJ7的规定。</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5.6.5用于水泥熟料库网壳支座处的焊接球节点直径不宜小于450mm。</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焊接球节点的抗震构造：球体的壁厚不应小于相邻杆件最大壁厚的1.3倍，杆件宜相交于节点中心。</w:t>
      </w:r>
    </w:p>
    <w:p>
      <w:pPr>
        <w:pStyle w:val="4"/>
        <w:spacing w:before="156" w:beforeLines="50" w:after="156" w:afterLines="50" w:line="400" w:lineRule="exact"/>
        <w:jc w:val="center"/>
        <w:rPr>
          <w:rFonts w:ascii="Times New Roman" w:hAnsi="Times New Roman" w:eastAsia="宋体" w:cs="Times New Roman"/>
          <w:sz w:val="24"/>
          <w:szCs w:val="24"/>
        </w:rPr>
      </w:pPr>
      <w:bookmarkStart w:id="97" w:name="_Toc32416"/>
      <w:bookmarkStart w:id="98" w:name="_Toc186014796"/>
      <w:bookmarkStart w:id="99" w:name="_Toc186028017"/>
      <w:r>
        <w:rPr>
          <w:rFonts w:ascii="Times New Roman" w:hAnsi="Times New Roman" w:eastAsia="宋体" w:cs="Times New Roman"/>
          <w:sz w:val="24"/>
          <w:szCs w:val="24"/>
        </w:rPr>
        <w:t>5.7螺栓球节点设计</w:t>
      </w:r>
      <w:bookmarkEnd w:id="97"/>
      <w:bookmarkEnd w:id="98"/>
      <w:bookmarkEnd w:id="99"/>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5.7.1螺栓球节点指由钢球</w:t>
      </w:r>
      <w:r>
        <w:rPr>
          <w:rFonts w:ascii="Times New Roman" w:hAnsi="Times New Roman" w:eastAsia="宋体" w:cs="Times New Roman"/>
          <w:sz w:val="24"/>
          <w:szCs w:val="24"/>
          <w:lang w:val="zh-TW" w:eastAsia="zh-TW"/>
        </w:rPr>
        <w:t>、高强度螺栓、套筒、紧固螺钉、锥头或封板等零件组成</w:t>
      </w:r>
      <w:r>
        <w:rPr>
          <w:rFonts w:ascii="Times New Roman" w:hAnsi="Times New Roman" w:eastAsia="宋体" w:cs="Times New Roman"/>
          <w:sz w:val="24"/>
          <w:szCs w:val="24"/>
        </w:rPr>
        <w:t>的节点</w:t>
      </w:r>
      <w:r>
        <w:rPr>
          <w:rFonts w:ascii="Times New Roman" w:hAnsi="Times New Roman" w:eastAsia="宋体" w:cs="Times New Roman"/>
          <w:sz w:val="24"/>
          <w:szCs w:val="24"/>
          <w:lang w:val="zh-TW" w:eastAsia="zh-TW"/>
        </w:rPr>
        <w:t>，</w:t>
      </w:r>
      <w:r>
        <w:rPr>
          <w:rFonts w:ascii="Times New Roman" w:hAnsi="Times New Roman" w:eastAsia="宋体" w:cs="Times New Roman"/>
          <w:sz w:val="24"/>
          <w:szCs w:val="24"/>
        </w:rPr>
        <w:t>如图5.7.1所示。</w:t>
      </w:r>
    </w:p>
    <w:p>
      <w:pPr>
        <w:spacing w:line="360" w:lineRule="auto"/>
        <w:jc w:val="center"/>
        <w:rPr>
          <w:rFonts w:ascii="Times New Roman" w:hAnsi="Times New Roman" w:cs="Times New Roman"/>
        </w:rPr>
      </w:pPr>
      <w:r>
        <w:rPr>
          <w:rFonts w:ascii="Times New Roman" w:hAnsi="Times New Roman" w:cs="Times New Roman"/>
        </w:rPr>
        <w:drawing>
          <wp:inline distT="0" distB="0" distL="114300" distR="114300">
            <wp:extent cx="5200650" cy="3095625"/>
            <wp:effectExtent l="0" t="0" r="0" b="9525"/>
            <wp:docPr id="10" name="图片 10" descr="1723606255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1723606255136"/>
                    <pic:cNvPicPr>
                      <a:picLocks noChangeAspect="1"/>
                    </pic:cNvPicPr>
                  </pic:nvPicPr>
                  <pic:blipFill>
                    <a:blip r:embed="rId33"/>
                    <a:stretch>
                      <a:fillRect/>
                    </a:stretch>
                  </pic:blipFill>
                  <pic:spPr>
                    <a:xfrm>
                      <a:off x="0" y="0"/>
                      <a:ext cx="5200650" cy="3095625"/>
                    </a:xfrm>
                    <a:prstGeom prst="rect">
                      <a:avLst/>
                    </a:prstGeom>
                  </pic:spPr>
                </pic:pic>
              </a:graphicData>
            </a:graphic>
          </wp:inline>
        </w:drawing>
      </w:r>
    </w:p>
    <w:p>
      <w:pPr>
        <w:pStyle w:val="2"/>
        <w:rPr>
          <w:rFonts w:ascii="Times New Roman" w:hAnsi="Times New Roman" w:eastAsia="宋体" w:cs="Times New Roman"/>
          <w:sz w:val="24"/>
          <w:szCs w:val="24"/>
        </w:rPr>
      </w:pPr>
      <w:r>
        <w:rPr>
          <w:rFonts w:ascii="Times New Roman" w:hAnsi="Times New Roman" w:eastAsia="宋体" w:cs="Times New Roman"/>
          <w:sz w:val="24"/>
          <w:szCs w:val="24"/>
        </w:rPr>
        <w:t>1——钢球；2——高强度螺栓；3——套筒；4——紧固螺钉；5——锥头；6——封板</w:t>
      </w:r>
    </w:p>
    <w:p>
      <w:pPr>
        <w:spacing w:line="400" w:lineRule="exact"/>
        <w:ind w:firstLine="3600" w:firstLineChars="1500"/>
        <w:rPr>
          <w:rFonts w:ascii="Times New Roman" w:hAnsi="Times New Roman" w:eastAsia="宋体" w:cs="Times New Roman"/>
          <w:sz w:val="24"/>
          <w:szCs w:val="24"/>
        </w:rPr>
      </w:pPr>
      <w:r>
        <w:rPr>
          <w:rFonts w:ascii="Times New Roman" w:hAnsi="Times New Roman" w:eastAsia="宋体" w:cs="Times New Roman"/>
          <w:sz w:val="24"/>
          <w:szCs w:val="24"/>
        </w:rPr>
        <w:t>图5.7.1  螺栓球节点</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5.7.2球节点的相邻螺栓在球体内不应相碰（见图5.7.2），钢球直径在满足套筒接触面的要求下，可分别按下列公式计算，并取两计算结果中的较大值。</w:t>
      </w:r>
    </w:p>
    <w:p>
      <w:pPr>
        <w:jc w:val="center"/>
        <w:textAlignment w:val="center"/>
        <w:rPr>
          <w:rFonts w:ascii="Times New Roman" w:hAnsi="Times New Roman" w:cs="Times New Roman"/>
        </w:rPr>
      </w:pPr>
      <w:r>
        <w:rPr>
          <w:rFonts w:ascii="Times New Roman" w:hAnsi="Times New Roman" w:cs="Times New Roman"/>
        </w:rPr>
        <w:object>
          <v:shape id="_x0000_i1036" o:spt="75" type="#_x0000_t75" style="height:36.6pt;width:192.2pt;" o:ole="t" filled="f" o:preferrelative="t" stroked="f" coordsize="21600,21600">
            <v:path/>
            <v:fill on="f" focussize="0,0"/>
            <v:stroke on="f" joinstyle="miter"/>
            <v:imagedata r:id="rId35" o:title=""/>
            <o:lock v:ext="edit" aspectratio="t"/>
            <w10:wrap type="none"/>
            <w10:anchorlock/>
          </v:shape>
          <o:OLEObject Type="Embed" ProgID="Equation.KSEE3" ShapeID="_x0000_i1036" DrawAspect="Content" ObjectID="_1468075736" r:id="rId34">
            <o:LockedField>false</o:LockedField>
          </o:OLEObject>
        </w:object>
      </w:r>
      <w:r>
        <w:rPr>
          <w:rFonts w:ascii="Times New Roman" w:hAnsi="Times New Roman" w:cs="Times New Roman"/>
        </w:rPr>
        <w:t xml:space="preserve">    （5.7.2-1）</w:t>
      </w:r>
    </w:p>
    <w:p>
      <w:pPr>
        <w:jc w:val="center"/>
        <w:textAlignment w:val="center"/>
        <w:rPr>
          <w:rFonts w:ascii="Times New Roman" w:hAnsi="Times New Roman" w:cs="Times New Roman"/>
        </w:rPr>
      </w:pPr>
      <w:r>
        <w:rPr>
          <w:rFonts w:ascii="Times New Roman" w:hAnsi="Times New Roman" w:cs="Times New Roman"/>
        </w:rPr>
        <w:object>
          <v:shape id="_x0000_i1037" o:spt="75" type="#_x0000_t75" style="height:36.6pt;width:162.3pt;" o:ole="t" filled="f" o:preferrelative="t" stroked="f" coordsize="21600,21600">
            <v:path/>
            <v:fill on="f" focussize="0,0"/>
            <v:stroke on="f" joinstyle="miter"/>
            <v:imagedata r:id="rId37" o:title=""/>
            <o:lock v:ext="edit" aspectratio="t"/>
            <w10:wrap type="none"/>
            <w10:anchorlock/>
          </v:shape>
          <o:OLEObject Type="Embed" ProgID="Equation.KSEE3" ShapeID="_x0000_i1037" DrawAspect="Content" ObjectID="_1468075737" r:id="rId36">
            <o:LockedField>false</o:LockedField>
          </o:OLEObject>
        </w:object>
      </w:r>
      <w:r>
        <w:rPr>
          <w:rFonts w:ascii="Times New Roman" w:hAnsi="Times New Roman" w:cs="Times New Roman"/>
        </w:rPr>
        <w:t xml:space="preserve">        （5.7.2-2）</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式中：</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D</w:t>
      </w:r>
      <w:r>
        <w:rPr>
          <w:rFonts w:ascii="Times New Roman" w:hAnsi="Times New Roman" w:eastAsia="宋体" w:cs="Times New Roman"/>
          <w:sz w:val="24"/>
          <w:szCs w:val="24"/>
        </w:rPr>
        <w:t>—钢球直径（mm）;</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θ</w:t>
      </w:r>
      <w:r>
        <w:rPr>
          <w:rFonts w:ascii="Times New Roman" w:hAnsi="Times New Roman" w:eastAsia="宋体" w:cs="Times New Roman"/>
          <w:sz w:val="24"/>
          <w:szCs w:val="24"/>
        </w:rPr>
        <w:t>—两相邻螺栓之间的最小夹角（rad）;</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d</w:t>
      </w:r>
      <w:r>
        <w:rPr>
          <w:rFonts w:ascii="Times New Roman" w:hAnsi="Times New Roman" w:eastAsia="宋体" w:cs="Times New Roman"/>
          <w:i/>
          <w:iCs/>
          <w:sz w:val="24"/>
          <w:szCs w:val="24"/>
          <w:vertAlign w:val="subscript"/>
        </w:rPr>
        <w:t>1</w:t>
      </w:r>
      <w:r>
        <w:rPr>
          <w:rFonts w:ascii="Times New Roman" w:hAnsi="Times New Roman" w:eastAsia="宋体" w:cs="Times New Roman"/>
          <w:i/>
          <w:iCs/>
          <w:sz w:val="24"/>
          <w:szCs w:val="24"/>
          <w:vertAlign w:val="superscript"/>
        </w:rPr>
        <w:t>b</w:t>
      </w:r>
      <w:r>
        <w:rPr>
          <w:rFonts w:ascii="Times New Roman" w:hAnsi="Times New Roman" w:eastAsia="宋体" w:cs="Times New Roman"/>
          <w:sz w:val="24"/>
          <w:szCs w:val="24"/>
        </w:rPr>
        <w:t>—两相邻螺栓的较大直径（mm）;</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ascii="Times New Roman" w:hAnsi="Times New Roman" w:eastAsia="宋体" w:cs="Times New Roman"/>
          <w:i/>
          <w:iCs/>
          <w:sz w:val="24"/>
          <w:szCs w:val="24"/>
        </w:rPr>
        <w:t>d</w:t>
      </w:r>
      <w:r>
        <w:rPr>
          <w:rFonts w:ascii="Times New Roman" w:hAnsi="Times New Roman" w:eastAsia="宋体" w:cs="Times New Roman"/>
          <w:i/>
          <w:iCs/>
          <w:sz w:val="24"/>
          <w:szCs w:val="24"/>
          <w:vertAlign w:val="subscript"/>
        </w:rPr>
        <w:t>s</w:t>
      </w:r>
      <w:r>
        <w:rPr>
          <w:rFonts w:ascii="Times New Roman" w:hAnsi="Times New Roman" w:eastAsia="宋体" w:cs="Times New Roman"/>
          <w:i/>
          <w:iCs/>
          <w:sz w:val="24"/>
          <w:szCs w:val="24"/>
          <w:vertAlign w:val="superscript"/>
        </w:rPr>
        <w:t>b</w:t>
      </w:r>
      <w:r>
        <w:rPr>
          <w:rFonts w:ascii="Times New Roman" w:hAnsi="Times New Roman" w:eastAsia="宋体" w:cs="Times New Roman"/>
          <w:sz w:val="24"/>
          <w:szCs w:val="24"/>
        </w:rPr>
        <w:t>—两相邻螺栓的较小直径（mm）;</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ξ</w:t>
      </w:r>
      <w:r>
        <w:rPr>
          <w:rFonts w:ascii="Times New Roman" w:hAnsi="Times New Roman" w:eastAsia="宋体" w:cs="Times New Roman"/>
          <w:sz w:val="24"/>
          <w:szCs w:val="24"/>
        </w:rPr>
        <w:t>—螺栓拧入球体长度与螺栓直径的比值，可取为1.1；</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i/>
          <w:iCs/>
          <w:sz w:val="24"/>
          <w:szCs w:val="24"/>
        </w:rPr>
        <w:t>λ</w:t>
      </w:r>
      <w:r>
        <w:rPr>
          <w:rFonts w:ascii="Times New Roman" w:hAnsi="Times New Roman" w:eastAsia="宋体" w:cs="Times New Roman"/>
          <w:sz w:val="24"/>
          <w:szCs w:val="24"/>
        </w:rPr>
        <w:t>—套筒外接圆直径与螺栓直径的比值，可取为1.8。</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当相邻杆件夹角</w:t>
      </w:r>
      <w:r>
        <w:rPr>
          <w:rFonts w:ascii="Times New Roman" w:hAnsi="Times New Roman" w:eastAsia="宋体" w:cs="Times New Roman"/>
          <w:i/>
          <w:iCs/>
          <w:sz w:val="24"/>
          <w:szCs w:val="24"/>
        </w:rPr>
        <w:t>θ</w:t>
      </w:r>
      <w:r>
        <w:rPr>
          <w:rFonts w:ascii="Times New Roman" w:hAnsi="Times New Roman" w:eastAsia="宋体" w:cs="Times New Roman"/>
          <w:sz w:val="24"/>
          <w:szCs w:val="24"/>
        </w:rPr>
        <w:t>较小时，尚应根据相邻杆件及相关封板、锥头、套筒等零部件不相碰的要求核算螺栓球直径。此时可通过检查可能相碰点至球心的连线与相邻杆件轴线间的夹角不大于</w:t>
      </w:r>
      <w:r>
        <w:rPr>
          <w:rFonts w:ascii="Times New Roman" w:hAnsi="Times New Roman" w:eastAsia="宋体" w:cs="Times New Roman"/>
          <w:i/>
          <w:iCs/>
          <w:sz w:val="24"/>
          <w:szCs w:val="24"/>
        </w:rPr>
        <w:t>θ</w:t>
      </w:r>
      <w:r>
        <w:rPr>
          <w:rFonts w:ascii="Times New Roman" w:hAnsi="Times New Roman" w:eastAsia="宋体" w:cs="Times New Roman"/>
          <w:sz w:val="24"/>
          <w:szCs w:val="24"/>
        </w:rPr>
        <w:t>的条件进行核算。</w:t>
      </w:r>
    </w:p>
    <w:p>
      <w:pPr>
        <w:jc w:val="center"/>
        <w:rPr>
          <w:rFonts w:ascii="Times New Roman" w:hAnsi="Times New Roman" w:cs="Times New Roman"/>
        </w:rPr>
      </w:pPr>
      <w:r>
        <w:rPr>
          <w:rFonts w:ascii="Times New Roman" w:hAnsi="Times New Roman" w:cs="Times New Roman"/>
          <w:lang w:bidi="ar"/>
        </w:rPr>
        <w:drawing>
          <wp:inline distT="0" distB="0" distL="114300" distR="114300">
            <wp:extent cx="2578100" cy="2475230"/>
            <wp:effectExtent l="0" t="0" r="12700" b="1270"/>
            <wp:docPr id="1" name="图片 1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6" descr="IMG_256"/>
                    <pic:cNvPicPr>
                      <a:picLocks noChangeAspect="1"/>
                    </pic:cNvPicPr>
                  </pic:nvPicPr>
                  <pic:blipFill>
                    <a:blip r:embed="rId38"/>
                    <a:stretch>
                      <a:fillRect/>
                    </a:stretch>
                  </pic:blipFill>
                  <pic:spPr>
                    <a:xfrm>
                      <a:off x="0" y="0"/>
                      <a:ext cx="2578100" cy="2475230"/>
                    </a:xfrm>
                    <a:prstGeom prst="rect">
                      <a:avLst/>
                    </a:prstGeom>
                    <a:noFill/>
                    <a:ln w="9525">
                      <a:noFill/>
                    </a:ln>
                  </pic:spPr>
                </pic:pic>
              </a:graphicData>
            </a:graphic>
          </wp:inline>
        </w:drawing>
      </w:r>
    </w:p>
    <w:p>
      <w:pPr>
        <w:pStyle w:val="2"/>
        <w:spacing w:after="0" w:line="400" w:lineRule="exact"/>
        <w:ind w:firstLine="480" w:firstLineChars="200"/>
        <w:jc w:val="center"/>
        <w:rPr>
          <w:rFonts w:ascii="Times New Roman" w:hAnsi="Times New Roman" w:eastAsia="宋体" w:cs="Times New Roman"/>
          <w:sz w:val="24"/>
          <w:szCs w:val="24"/>
        </w:rPr>
      </w:pPr>
      <w:r>
        <w:rPr>
          <w:rFonts w:ascii="Times New Roman" w:hAnsi="Times New Roman" w:eastAsia="宋体" w:cs="Times New Roman"/>
          <w:sz w:val="24"/>
          <w:szCs w:val="24"/>
        </w:rPr>
        <w:t>图5.7.2螺栓球与直径有关的尺寸</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5.7.3 高强度螺栓的直径应由杆件内力确定，其受拉承载力设计值</w:t>
      </w:r>
      <w:r>
        <w:rPr>
          <w:rFonts w:ascii="Times New Roman" w:hAnsi="Times New Roman" w:eastAsia="宋体" w:cs="Times New Roman"/>
          <w:i/>
          <w:iCs/>
          <w:sz w:val="24"/>
          <w:szCs w:val="24"/>
        </w:rPr>
        <w:t>N</w:t>
      </w:r>
      <w:r>
        <w:rPr>
          <w:rFonts w:ascii="Times New Roman" w:hAnsi="Times New Roman" w:eastAsia="宋体" w:cs="Times New Roman"/>
          <w:i/>
          <w:iCs/>
          <w:sz w:val="24"/>
          <w:szCs w:val="24"/>
          <w:vertAlign w:val="subscript"/>
        </w:rPr>
        <w:t>t</w:t>
      </w:r>
      <w:r>
        <w:rPr>
          <w:rFonts w:ascii="Times New Roman" w:hAnsi="Times New Roman" w:eastAsia="宋体" w:cs="Times New Roman"/>
          <w:i/>
          <w:iCs/>
          <w:sz w:val="24"/>
          <w:szCs w:val="24"/>
          <w:vertAlign w:val="superscript"/>
        </w:rPr>
        <w:t>b</w:t>
      </w:r>
      <w:r>
        <w:rPr>
          <w:rFonts w:ascii="Times New Roman" w:hAnsi="Times New Roman" w:eastAsia="宋体" w:cs="Times New Roman"/>
          <w:sz w:val="24"/>
          <w:szCs w:val="24"/>
        </w:rPr>
        <w:t>应按下式计算：</w:t>
      </w:r>
    </w:p>
    <w:p>
      <w:pPr>
        <w:jc w:val="center"/>
        <w:textAlignment w:val="center"/>
        <w:rPr>
          <w:rFonts w:ascii="Times New Roman" w:hAnsi="Times New Roman" w:cs="Times New Roman"/>
        </w:rPr>
      </w:pPr>
      <w:r>
        <w:rPr>
          <w:rFonts w:ascii="Times New Roman" w:hAnsi="Times New Roman" w:cs="Times New Roman"/>
        </w:rPr>
        <w:object>
          <v:shape id="_x0000_i1038" o:spt="75" type="#_x0000_t75" style="height:19.55pt;width:60.4pt;" o:ole="t" filled="f" o:preferrelative="t" stroked="f" coordsize="21600,21600">
            <v:path/>
            <v:fill on="f" focussize="0,0"/>
            <v:stroke on="f" joinstyle="miter"/>
            <v:imagedata r:id="rId40" o:title=""/>
            <o:lock v:ext="edit" aspectratio="t"/>
            <w10:wrap type="none"/>
            <w10:anchorlock/>
          </v:shape>
          <o:OLEObject Type="Embed" ProgID="Equation.KSEE3" ShapeID="_x0000_i1038" DrawAspect="Content" ObjectID="_1468075738" r:id="rId39">
            <o:LockedField>false</o:LockedField>
          </o:OLEObject>
        </w:object>
      </w:r>
      <w:r>
        <w:rPr>
          <w:rFonts w:ascii="Times New Roman" w:hAnsi="Times New Roman" w:cs="Times New Roman"/>
        </w:rPr>
        <w:t xml:space="preserve">         </w:t>
      </w:r>
      <w:r>
        <w:rPr>
          <w:rFonts w:ascii="Times New Roman" w:hAnsi="Times New Roman" w:cs="Times New Roman"/>
          <w:sz w:val="24"/>
          <w:szCs w:val="28"/>
        </w:rPr>
        <w:t xml:space="preserve">      (5.7.3)</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式中：</w:t>
      </w:r>
      <w:r>
        <w:rPr>
          <w:rFonts w:ascii="Times New Roman" w:hAnsi="Times New Roman" w:eastAsia="宋体" w:cs="Times New Roman"/>
          <w:position w:val="-12"/>
          <w:sz w:val="24"/>
          <w:szCs w:val="24"/>
        </w:rPr>
        <w:object>
          <v:shape id="_x0000_i1039" o:spt="75" type="#_x0000_t75" style="height:19.55pt;width:16.45pt;" o:ole="t" filled="f" o:preferrelative="t" stroked="f" coordsize="21600,21600">
            <v:path/>
            <v:fill on="f" focussize="0,0"/>
            <v:stroke on="f" joinstyle="miter"/>
            <v:imagedata r:id="rId42" o:title=""/>
            <o:lock v:ext="edit" aspectratio="t"/>
            <w10:wrap type="none"/>
            <w10:anchorlock/>
          </v:shape>
          <o:OLEObject Type="Embed" ProgID="Equation.KSEE3" ShapeID="_x0000_i1039" DrawAspect="Content" ObjectID="_1468075739" r:id="rId41">
            <o:LockedField>false</o:LockedField>
          </o:OLEObject>
        </w:object>
      </w:r>
      <w:r>
        <w:rPr>
          <w:rFonts w:ascii="Times New Roman" w:hAnsi="Times New Roman" w:eastAsia="宋体" w:cs="Times New Roman"/>
          <w:sz w:val="24"/>
          <w:szCs w:val="24"/>
        </w:rPr>
        <w:t>—高强度螺栓经热处理后的抗拉强度设计值，对10.9级，取430N/mm</w:t>
      </w:r>
      <w:r>
        <w:rPr>
          <w:rFonts w:ascii="Times New Roman" w:hAnsi="Times New Roman" w:eastAsia="宋体" w:cs="Times New Roman"/>
          <w:sz w:val="24"/>
          <w:szCs w:val="24"/>
          <w:vertAlign w:val="superscript"/>
        </w:rPr>
        <w:t>2</w:t>
      </w:r>
      <w:r>
        <w:rPr>
          <w:rFonts w:ascii="Times New Roman" w:hAnsi="Times New Roman" w:eastAsia="宋体" w:cs="Times New Roman"/>
          <w:sz w:val="24"/>
          <w:szCs w:val="24"/>
        </w:rPr>
        <w:t>;对9.8级，取385N/mm</w:t>
      </w:r>
      <w:r>
        <w:rPr>
          <w:rFonts w:ascii="Times New Roman" w:hAnsi="Times New Roman" w:eastAsia="宋体" w:cs="Times New Roman"/>
          <w:sz w:val="24"/>
          <w:szCs w:val="24"/>
          <w:vertAlign w:val="superscript"/>
        </w:rPr>
        <w:t>2</w:t>
      </w:r>
      <w:r>
        <w:rPr>
          <w:rFonts w:ascii="Times New Roman" w:hAnsi="Times New Roman" w:eastAsia="宋体" w:cs="Times New Roman"/>
          <w:sz w:val="24"/>
          <w:szCs w:val="24"/>
        </w:rPr>
        <w:t>;</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ascii="Times New Roman" w:hAnsi="Times New Roman" w:eastAsia="宋体" w:cs="Times New Roman"/>
          <w:position w:val="-12"/>
          <w:sz w:val="24"/>
          <w:szCs w:val="24"/>
        </w:rPr>
        <w:object>
          <v:shape id="_x0000_i1040" o:spt="75" type="#_x0000_t75" style="height:18.3pt;width:20.15pt;" o:ole="t" filled="f" o:preferrelative="t" stroked="f" coordsize="21600,21600">
            <v:path/>
            <v:fill on="f" focussize="0,0"/>
            <v:stroke on="f" joinstyle="miter"/>
            <v:imagedata r:id="rId44" o:title=""/>
            <o:lock v:ext="edit" aspectratio="t"/>
            <w10:wrap type="none"/>
            <w10:anchorlock/>
          </v:shape>
          <o:OLEObject Type="Embed" ProgID="Equation.KSEE3" ShapeID="_x0000_i1040" DrawAspect="Content" ObjectID="_1468075740" r:id="rId43">
            <o:LockedField>false</o:LockedField>
          </o:OLEObject>
        </w:object>
      </w:r>
      <w:r>
        <w:rPr>
          <w:rFonts w:ascii="Times New Roman" w:hAnsi="Times New Roman" w:eastAsia="宋体" w:cs="Times New Roman"/>
          <w:sz w:val="24"/>
          <w:szCs w:val="24"/>
        </w:rPr>
        <w:t>—高强度螺栓的有效截面积，应按表5.7.3选取。当螺栓上钻有键槽或钻孔时，</w:t>
      </w:r>
      <w:r>
        <w:rPr>
          <w:rFonts w:ascii="Times New Roman" w:hAnsi="Times New Roman" w:eastAsia="宋体" w:cs="Times New Roman"/>
          <w:position w:val="-12"/>
          <w:sz w:val="24"/>
          <w:szCs w:val="24"/>
        </w:rPr>
        <w:object>
          <v:shape id="_x0000_i1041" o:spt="75" type="#_x0000_t75" style="height:18.3pt;width:20.15pt;" o:ole="t" filled="f" o:preferrelative="t" stroked="f" coordsize="21600,21600">
            <v:path/>
            <v:fill on="f" focussize="0,0"/>
            <v:stroke on="f" joinstyle="miter"/>
            <v:imagedata r:id="rId44" o:title=""/>
            <o:lock v:ext="edit" aspectratio="t"/>
            <w10:wrap type="none"/>
            <w10:anchorlock/>
          </v:shape>
          <o:OLEObject Type="Embed" ProgID="Equation.KSEE3" ShapeID="_x0000_i1041" DrawAspect="Content" ObjectID="_1468075741" r:id="rId45">
            <o:LockedField>false</o:LockedField>
          </o:OLEObject>
        </w:object>
      </w:r>
      <w:r>
        <w:rPr>
          <w:rFonts w:ascii="Times New Roman" w:hAnsi="Times New Roman" w:eastAsia="宋体" w:cs="Times New Roman"/>
          <w:sz w:val="24"/>
          <w:szCs w:val="24"/>
        </w:rPr>
        <w:t>值取螺纹处或键槽、钻孔处二者中的较小值。</w:t>
      </w:r>
    </w:p>
    <w:p>
      <w:pPr>
        <w:pStyle w:val="2"/>
        <w:spacing w:after="0" w:line="400" w:lineRule="exact"/>
        <w:ind w:firstLine="480" w:firstLineChars="200"/>
        <w:jc w:val="center"/>
        <w:rPr>
          <w:rFonts w:ascii="Times New Roman" w:hAnsi="Times New Roman" w:eastAsia="宋体" w:cs="Times New Roman"/>
          <w:sz w:val="24"/>
          <w:szCs w:val="24"/>
        </w:rPr>
      </w:pPr>
      <w:r>
        <w:rPr>
          <w:rFonts w:ascii="Times New Roman" w:hAnsi="Times New Roman" w:eastAsia="宋体" w:cs="Times New Roman"/>
          <w:sz w:val="24"/>
          <w:szCs w:val="24"/>
        </w:rPr>
        <w:t>表5.7.3常用高强度螺栓在螺纹处的有效截面面积A</w:t>
      </w:r>
      <w:r>
        <w:rPr>
          <w:rFonts w:ascii="Times New Roman" w:hAnsi="Times New Roman" w:eastAsia="宋体" w:cs="Times New Roman"/>
          <w:sz w:val="24"/>
          <w:szCs w:val="24"/>
          <w:vertAlign w:val="subscript"/>
        </w:rPr>
        <w:t>eff</w:t>
      </w:r>
      <w:r>
        <w:rPr>
          <w:rFonts w:ascii="Times New Roman" w:hAnsi="Times New Roman" w:eastAsia="宋体" w:cs="Times New Roman"/>
          <w:sz w:val="24"/>
          <w:szCs w:val="24"/>
        </w:rPr>
        <w:t>和承载力设计值N</w:t>
      </w:r>
      <w:r>
        <w:rPr>
          <w:rFonts w:ascii="Times New Roman" w:hAnsi="Times New Roman" w:eastAsia="宋体" w:cs="Times New Roman"/>
          <w:sz w:val="24"/>
          <w:szCs w:val="24"/>
          <w:vertAlign w:val="subscript"/>
        </w:rPr>
        <w:t>t</w:t>
      </w:r>
      <w:r>
        <w:rPr>
          <w:rFonts w:ascii="Times New Roman" w:hAnsi="Times New Roman" w:eastAsia="宋体" w:cs="Times New Roman"/>
          <w:sz w:val="24"/>
          <w:szCs w:val="24"/>
          <w:vertAlign w:val="superscript"/>
        </w:rPr>
        <w:t>b</w:t>
      </w:r>
    </w:p>
    <w:tbl>
      <w:tblPr>
        <w:tblStyle w:val="1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43"/>
        <w:gridCol w:w="1661"/>
        <w:gridCol w:w="1656"/>
        <w:gridCol w:w="1674"/>
        <w:gridCol w:w="16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643"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性能等级</w:t>
            </w:r>
          </w:p>
        </w:tc>
        <w:tc>
          <w:tcPr>
            <w:tcW w:w="1661" w:type="dxa"/>
            <w:vAlign w:val="center"/>
          </w:tcPr>
          <w:p>
            <w:pPr>
              <w:pStyle w:val="2"/>
              <w:adjustRightInd w:val="0"/>
              <w:snapToGrid w:val="0"/>
              <w:spacing w:after="0" w:line="400" w:lineRule="exact"/>
              <w:rPr>
                <w:rFonts w:ascii="Times New Roman" w:hAnsi="Times New Roman" w:eastAsia="宋体" w:cs="Times New Roman"/>
                <w:kern w:val="0"/>
                <w:sz w:val="24"/>
                <w:szCs w:val="24"/>
              </w:rPr>
            </w:pPr>
            <w:r>
              <w:rPr>
                <w:rFonts w:ascii="Times New Roman" w:hAnsi="Times New Roman" w:eastAsia="宋体" w:cs="Times New Roman"/>
                <w:kern w:val="0"/>
                <w:sz w:val="24"/>
                <w:szCs w:val="24"/>
              </w:rPr>
              <w:t>规格</w:t>
            </w:r>
            <w:r>
              <w:rPr>
                <w:rFonts w:ascii="Times New Roman" w:hAnsi="Times New Roman" w:eastAsia="宋体" w:cs="Times New Roman"/>
                <w:i/>
                <w:iCs/>
                <w:kern w:val="0"/>
                <w:sz w:val="24"/>
                <w:szCs w:val="24"/>
              </w:rPr>
              <w:t>d</w:t>
            </w:r>
          </w:p>
        </w:tc>
        <w:tc>
          <w:tcPr>
            <w:tcW w:w="1656" w:type="dxa"/>
            <w:vAlign w:val="center"/>
          </w:tcPr>
          <w:p>
            <w:pPr>
              <w:pStyle w:val="2"/>
              <w:adjustRightInd w:val="0"/>
              <w:snapToGrid w:val="0"/>
              <w:spacing w:after="0" w:line="400" w:lineRule="exact"/>
              <w:rPr>
                <w:rFonts w:ascii="Times New Roman" w:hAnsi="Times New Roman" w:eastAsia="宋体" w:cs="Times New Roman"/>
                <w:kern w:val="0"/>
                <w:sz w:val="24"/>
                <w:szCs w:val="24"/>
              </w:rPr>
            </w:pPr>
            <w:r>
              <w:rPr>
                <w:rFonts w:ascii="Times New Roman" w:hAnsi="Times New Roman" w:eastAsia="宋体" w:cs="Times New Roman"/>
                <w:kern w:val="0"/>
                <w:sz w:val="24"/>
                <w:szCs w:val="24"/>
              </w:rPr>
              <w:t>螺距</w:t>
            </w:r>
            <w:r>
              <w:rPr>
                <w:rFonts w:ascii="Times New Roman" w:hAnsi="Times New Roman" w:eastAsia="宋体" w:cs="Times New Roman"/>
                <w:i/>
                <w:iCs/>
                <w:kern w:val="0"/>
                <w:sz w:val="24"/>
                <w:szCs w:val="24"/>
              </w:rPr>
              <w:t>p</w:t>
            </w:r>
            <w:r>
              <w:rPr>
                <w:rFonts w:ascii="Times New Roman" w:hAnsi="Times New Roman" w:eastAsia="宋体" w:cs="Times New Roman"/>
                <w:kern w:val="0"/>
                <w:sz w:val="24"/>
                <w:szCs w:val="24"/>
              </w:rPr>
              <w:t>(mm)</w:t>
            </w:r>
          </w:p>
        </w:tc>
        <w:tc>
          <w:tcPr>
            <w:tcW w:w="1674"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A</w:t>
            </w:r>
            <w:r>
              <w:rPr>
                <w:rFonts w:ascii="Times New Roman" w:hAnsi="Times New Roman" w:eastAsia="宋体" w:cs="Times New Roman"/>
                <w:kern w:val="0"/>
                <w:sz w:val="24"/>
                <w:szCs w:val="24"/>
                <w:vertAlign w:val="subscript"/>
              </w:rPr>
              <w:t>eff</w:t>
            </w:r>
            <w:r>
              <w:rPr>
                <w:rFonts w:ascii="Times New Roman" w:hAnsi="Times New Roman" w:eastAsia="宋体" w:cs="Times New Roman"/>
                <w:kern w:val="0"/>
                <w:sz w:val="24"/>
                <w:szCs w:val="24"/>
              </w:rPr>
              <w:t>(mm</w:t>
            </w:r>
            <w:r>
              <w:rPr>
                <w:rFonts w:ascii="Times New Roman" w:hAnsi="Times New Roman" w:eastAsia="宋体" w:cs="Times New Roman"/>
                <w:kern w:val="0"/>
                <w:sz w:val="24"/>
                <w:szCs w:val="24"/>
                <w:vertAlign w:val="superscript"/>
              </w:rPr>
              <w:t>2</w:t>
            </w:r>
            <w:r>
              <w:rPr>
                <w:rFonts w:ascii="Times New Roman" w:hAnsi="Times New Roman" w:eastAsia="宋体" w:cs="Times New Roman"/>
                <w:kern w:val="0"/>
                <w:sz w:val="24"/>
                <w:szCs w:val="24"/>
              </w:rPr>
              <w:t>)</w:t>
            </w:r>
          </w:p>
        </w:tc>
        <w:tc>
          <w:tcPr>
            <w:tcW w:w="1668"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N</w:t>
            </w:r>
            <w:r>
              <w:rPr>
                <w:rFonts w:ascii="Times New Roman" w:hAnsi="Times New Roman" w:eastAsia="宋体" w:cs="Times New Roman"/>
                <w:kern w:val="0"/>
                <w:sz w:val="24"/>
                <w:szCs w:val="24"/>
                <w:vertAlign w:val="subscript"/>
              </w:rPr>
              <w:t>t</w:t>
            </w:r>
            <w:r>
              <w:rPr>
                <w:rFonts w:ascii="Times New Roman" w:hAnsi="Times New Roman" w:eastAsia="宋体" w:cs="Times New Roman"/>
                <w:kern w:val="0"/>
                <w:sz w:val="24"/>
                <w:szCs w:val="24"/>
                <w:vertAlign w:val="superscript"/>
              </w:rPr>
              <w:t>b</w:t>
            </w:r>
            <w:r>
              <w:rPr>
                <w:rFonts w:ascii="Times New Roman" w:hAnsi="Times New Roman" w:eastAsia="宋体" w:cs="Times New Roman"/>
                <w:kern w:val="0"/>
                <w:sz w:val="24"/>
                <w:szCs w:val="24"/>
              </w:rPr>
              <w:t>（KN）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643" w:type="dxa"/>
            <w:vMerge w:val="restart"/>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10.9级</w:t>
            </w:r>
          </w:p>
        </w:tc>
        <w:tc>
          <w:tcPr>
            <w:tcW w:w="1661"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M20</w:t>
            </w:r>
          </w:p>
        </w:tc>
        <w:tc>
          <w:tcPr>
            <w:tcW w:w="1656"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2.5</w:t>
            </w:r>
          </w:p>
        </w:tc>
        <w:tc>
          <w:tcPr>
            <w:tcW w:w="1674"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245</w:t>
            </w:r>
          </w:p>
        </w:tc>
        <w:tc>
          <w:tcPr>
            <w:tcW w:w="1668"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105.3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643" w:type="dxa"/>
            <w:vMerge w:val="continue"/>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p>
        </w:tc>
        <w:tc>
          <w:tcPr>
            <w:tcW w:w="1661"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M24</w:t>
            </w:r>
          </w:p>
        </w:tc>
        <w:tc>
          <w:tcPr>
            <w:tcW w:w="1656"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3</w:t>
            </w:r>
          </w:p>
        </w:tc>
        <w:tc>
          <w:tcPr>
            <w:tcW w:w="1674"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353</w:t>
            </w:r>
          </w:p>
        </w:tc>
        <w:tc>
          <w:tcPr>
            <w:tcW w:w="1668"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151.5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643" w:type="dxa"/>
            <w:vMerge w:val="continue"/>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p>
        </w:tc>
        <w:tc>
          <w:tcPr>
            <w:tcW w:w="1661"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M27</w:t>
            </w:r>
          </w:p>
        </w:tc>
        <w:tc>
          <w:tcPr>
            <w:tcW w:w="1656"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3</w:t>
            </w:r>
          </w:p>
        </w:tc>
        <w:tc>
          <w:tcPr>
            <w:tcW w:w="1674"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459</w:t>
            </w:r>
          </w:p>
        </w:tc>
        <w:tc>
          <w:tcPr>
            <w:tcW w:w="1668"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197.5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643" w:type="dxa"/>
            <w:vMerge w:val="continue"/>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p>
        </w:tc>
        <w:tc>
          <w:tcPr>
            <w:tcW w:w="1661"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M30</w:t>
            </w:r>
          </w:p>
        </w:tc>
        <w:tc>
          <w:tcPr>
            <w:tcW w:w="1656"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3.5</w:t>
            </w:r>
          </w:p>
        </w:tc>
        <w:tc>
          <w:tcPr>
            <w:tcW w:w="1674"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561</w:t>
            </w:r>
          </w:p>
        </w:tc>
        <w:tc>
          <w:tcPr>
            <w:tcW w:w="1668"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241.2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643" w:type="dxa"/>
            <w:vMerge w:val="continue"/>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p>
        </w:tc>
        <w:tc>
          <w:tcPr>
            <w:tcW w:w="1661"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M36</w:t>
            </w:r>
          </w:p>
        </w:tc>
        <w:tc>
          <w:tcPr>
            <w:tcW w:w="1656"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4</w:t>
            </w:r>
          </w:p>
        </w:tc>
        <w:tc>
          <w:tcPr>
            <w:tcW w:w="1674"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817</w:t>
            </w:r>
          </w:p>
        </w:tc>
        <w:tc>
          <w:tcPr>
            <w:tcW w:w="1668"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351.3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643" w:type="dxa"/>
            <w:vMerge w:val="restart"/>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9.8级</w:t>
            </w:r>
          </w:p>
        </w:tc>
        <w:tc>
          <w:tcPr>
            <w:tcW w:w="1661"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M39</w:t>
            </w:r>
          </w:p>
        </w:tc>
        <w:tc>
          <w:tcPr>
            <w:tcW w:w="1656"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4</w:t>
            </w:r>
          </w:p>
        </w:tc>
        <w:tc>
          <w:tcPr>
            <w:tcW w:w="1674"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976</w:t>
            </w:r>
          </w:p>
        </w:tc>
        <w:tc>
          <w:tcPr>
            <w:tcW w:w="1668"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375.6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643" w:type="dxa"/>
            <w:vMerge w:val="continue"/>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p>
        </w:tc>
        <w:tc>
          <w:tcPr>
            <w:tcW w:w="1661"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M42</w:t>
            </w:r>
          </w:p>
        </w:tc>
        <w:tc>
          <w:tcPr>
            <w:tcW w:w="1656"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4.5</w:t>
            </w:r>
          </w:p>
        </w:tc>
        <w:tc>
          <w:tcPr>
            <w:tcW w:w="1674"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1120</w:t>
            </w:r>
          </w:p>
        </w:tc>
        <w:tc>
          <w:tcPr>
            <w:tcW w:w="1668"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431.5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643" w:type="dxa"/>
            <w:vMerge w:val="continue"/>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p>
        </w:tc>
        <w:tc>
          <w:tcPr>
            <w:tcW w:w="1661"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M45</w:t>
            </w:r>
          </w:p>
        </w:tc>
        <w:tc>
          <w:tcPr>
            <w:tcW w:w="1656"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4.5</w:t>
            </w:r>
          </w:p>
        </w:tc>
        <w:tc>
          <w:tcPr>
            <w:tcW w:w="1674"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1310</w:t>
            </w:r>
          </w:p>
        </w:tc>
        <w:tc>
          <w:tcPr>
            <w:tcW w:w="1668"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502.8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643" w:type="dxa"/>
            <w:vMerge w:val="continue"/>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p>
        </w:tc>
        <w:tc>
          <w:tcPr>
            <w:tcW w:w="1661"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M48</w:t>
            </w:r>
          </w:p>
        </w:tc>
        <w:tc>
          <w:tcPr>
            <w:tcW w:w="1656"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5</w:t>
            </w:r>
          </w:p>
        </w:tc>
        <w:tc>
          <w:tcPr>
            <w:tcW w:w="1674"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1470</w:t>
            </w:r>
          </w:p>
        </w:tc>
        <w:tc>
          <w:tcPr>
            <w:tcW w:w="1668"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567.1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643" w:type="dxa"/>
            <w:vMerge w:val="continue"/>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p>
        </w:tc>
        <w:tc>
          <w:tcPr>
            <w:tcW w:w="1661"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M56X4</w:t>
            </w:r>
          </w:p>
        </w:tc>
        <w:tc>
          <w:tcPr>
            <w:tcW w:w="1656"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4</w:t>
            </w:r>
          </w:p>
        </w:tc>
        <w:tc>
          <w:tcPr>
            <w:tcW w:w="1674"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2144</w:t>
            </w:r>
          </w:p>
        </w:tc>
        <w:tc>
          <w:tcPr>
            <w:tcW w:w="1668"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825.4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643" w:type="dxa"/>
            <w:vMerge w:val="continue"/>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p>
        </w:tc>
        <w:tc>
          <w:tcPr>
            <w:tcW w:w="1661"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M60X4</w:t>
            </w:r>
          </w:p>
        </w:tc>
        <w:tc>
          <w:tcPr>
            <w:tcW w:w="1656"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4</w:t>
            </w:r>
          </w:p>
        </w:tc>
        <w:tc>
          <w:tcPr>
            <w:tcW w:w="1674"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2485</w:t>
            </w:r>
          </w:p>
        </w:tc>
        <w:tc>
          <w:tcPr>
            <w:tcW w:w="1668"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956.6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trPr>
        <w:tc>
          <w:tcPr>
            <w:tcW w:w="1643" w:type="dxa"/>
            <w:vMerge w:val="continue"/>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p>
        </w:tc>
        <w:tc>
          <w:tcPr>
            <w:tcW w:w="1661"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M64X4</w:t>
            </w:r>
          </w:p>
        </w:tc>
        <w:tc>
          <w:tcPr>
            <w:tcW w:w="1656"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4</w:t>
            </w:r>
          </w:p>
        </w:tc>
        <w:tc>
          <w:tcPr>
            <w:tcW w:w="1674"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2851</w:t>
            </w:r>
          </w:p>
        </w:tc>
        <w:tc>
          <w:tcPr>
            <w:tcW w:w="1668" w:type="dxa"/>
            <w:vAlign w:val="center"/>
          </w:tcPr>
          <w:p>
            <w:pPr>
              <w:pStyle w:val="2"/>
              <w:adjustRightInd w:val="0"/>
              <w:snapToGrid w:val="0"/>
              <w:spacing w:after="0"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1097.6</w:t>
            </w:r>
          </w:p>
        </w:tc>
      </w:tr>
    </w:tbl>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注：螺栓在螺纹处的有效截面积</w:t>
      </w:r>
      <w:r>
        <w:rPr>
          <w:rFonts w:ascii="Times New Roman" w:hAnsi="Times New Roman" w:eastAsia="宋体" w:cs="Times New Roman"/>
          <w:position w:val="-14"/>
          <w:sz w:val="24"/>
          <w:szCs w:val="24"/>
        </w:rPr>
        <w:object>
          <v:shape id="_x0000_i1042" o:spt="75" type="#_x0000_t75" style="height:20.15pt;width:126.25pt;" o:ole="t" filled="f" o:preferrelative="t" stroked="f" coordsize="21600,21600">
            <v:path/>
            <v:fill on="f" focussize="0,0"/>
            <v:stroke on="f" joinstyle="miter"/>
            <v:imagedata r:id="rId47" o:title=""/>
            <o:lock v:ext="edit" aspectratio="t"/>
            <w10:wrap type="none"/>
            <w10:anchorlock/>
          </v:shape>
          <o:OLEObject Type="Embed" ProgID="Equation.KSEE3" ShapeID="_x0000_i1042" DrawAspect="Content" ObjectID="_1468075742" r:id="rId46">
            <o:LockedField>false</o:LockedField>
          </o:OLEObject>
        </w:object>
      </w:r>
      <w:r>
        <w:rPr>
          <w:rFonts w:ascii="Times New Roman" w:hAnsi="Times New Roman" w:eastAsia="宋体" w:cs="Times New Roman"/>
          <w:sz w:val="24"/>
          <w:szCs w:val="24"/>
        </w:rPr>
        <w:t>。</w:t>
      </w:r>
    </w:p>
    <w:p>
      <w:pPr>
        <w:pStyle w:val="2"/>
        <w:spacing w:line="400" w:lineRule="exact"/>
        <w:rPr>
          <w:rFonts w:ascii="Times New Roman" w:hAnsi="Times New Roman" w:cs="Times New Roman"/>
        </w:rPr>
      </w:pPr>
      <w:r>
        <w:rPr>
          <w:rFonts w:ascii="Times New Roman" w:hAnsi="Times New Roman" w:eastAsia="宋体" w:cs="Times New Roman"/>
          <w:sz w:val="24"/>
          <w:szCs w:val="24"/>
        </w:rPr>
        <w:t>5.7.4 螺栓球节点所采用的锥头或封板、套筒、紧固螺钉等构件应符合《空间网格结构技术规程》JGJ7的规定。</w:t>
      </w:r>
    </w:p>
    <w:p>
      <w:pPr>
        <w:pStyle w:val="4"/>
        <w:spacing w:before="156" w:beforeLines="50" w:after="156" w:afterLines="50" w:line="400" w:lineRule="exact"/>
        <w:ind w:firstLine="480" w:firstLineChars="200"/>
        <w:jc w:val="center"/>
        <w:rPr>
          <w:rFonts w:ascii="Times New Roman" w:hAnsi="Times New Roman" w:eastAsia="宋体" w:cs="Times New Roman"/>
          <w:sz w:val="24"/>
          <w:szCs w:val="24"/>
        </w:rPr>
      </w:pPr>
      <w:bookmarkStart w:id="100" w:name="_Toc13407"/>
      <w:bookmarkStart w:id="101" w:name="_Toc186028018"/>
      <w:bookmarkStart w:id="102" w:name="_Toc186014797"/>
      <w:r>
        <w:rPr>
          <w:rFonts w:ascii="Times New Roman" w:hAnsi="Times New Roman" w:eastAsia="宋体" w:cs="Times New Roman"/>
          <w:sz w:val="24"/>
          <w:szCs w:val="24"/>
        </w:rPr>
        <w:t>5.8支座节点设计</w:t>
      </w:r>
      <w:bookmarkEnd w:id="100"/>
      <w:bookmarkEnd w:id="101"/>
      <w:bookmarkEnd w:id="102"/>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5.8.1水泥熟料库网壳的支座节点必须具有足够的强度和刚度，在荷载作用下不应先于杆件和其他节点而破坏，也不得产生不可忽略的变形。支座节点构造形式应传力可靠、连接简单，并应符合计算假定。</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5.8.2常用的水泥熟料库网壳的支座节点可按下列构造形式：</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根据水泥熟料库网壳的受力特点采用合适的支座形式，宜采用弹性支座，直径≤35米也可采用平板支座。单向弹性支座的技术参数包括：竖向压力设计值、水平剪力设计值、径向位移、弹簧刚度及转角等。支座节点示意如下：</w:t>
      </w:r>
    </w:p>
    <w:p>
      <w:pPr>
        <w:jc w:val="center"/>
        <w:rPr>
          <w:rFonts w:ascii="Times New Roman" w:hAnsi="Times New Roman" w:cs="Times New Roman"/>
        </w:rPr>
      </w:pPr>
      <w:r>
        <w:rPr>
          <w:rFonts w:ascii="Times New Roman" w:hAnsi="Times New Roman" w:cs="Times New Roman"/>
        </w:rPr>
        <w:drawing>
          <wp:inline distT="0" distB="0" distL="114300" distR="114300">
            <wp:extent cx="5273040" cy="2853055"/>
            <wp:effectExtent l="0" t="0" r="0" b="12065"/>
            <wp:docPr id="15" name="图片 15" descr="172361458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723614582769"/>
                    <pic:cNvPicPr>
                      <a:picLocks noChangeAspect="1"/>
                    </pic:cNvPicPr>
                  </pic:nvPicPr>
                  <pic:blipFill>
                    <a:blip r:embed="rId48"/>
                    <a:srcRect b="8527"/>
                    <a:stretch>
                      <a:fillRect/>
                    </a:stretch>
                  </pic:blipFill>
                  <pic:spPr>
                    <a:xfrm>
                      <a:off x="0" y="0"/>
                      <a:ext cx="5273040" cy="2853055"/>
                    </a:xfrm>
                    <a:prstGeom prst="rect">
                      <a:avLst/>
                    </a:prstGeom>
                    <a:ln>
                      <a:noFill/>
                    </a:ln>
                  </pic:spPr>
                </pic:pic>
              </a:graphicData>
            </a:graphic>
          </wp:inline>
        </w:drawing>
      </w:r>
    </w:p>
    <w:p>
      <w:pPr>
        <w:pStyle w:val="2"/>
        <w:jc w:val="center"/>
        <w:rPr>
          <w:rFonts w:ascii="Times New Roman" w:hAnsi="Times New Roman" w:eastAsia="宋体" w:cs="Times New Roman"/>
        </w:rPr>
      </w:pPr>
      <w:r>
        <w:rPr>
          <w:rFonts w:ascii="Times New Roman" w:hAnsi="Times New Roman" w:eastAsia="宋体" w:cs="Times New Roman"/>
        </w:rPr>
        <w:t>（a）</w:t>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ab/>
      </w:r>
      <w:r>
        <w:rPr>
          <w:rFonts w:ascii="Times New Roman" w:hAnsi="Times New Roman" w:eastAsia="宋体" w:cs="Times New Roman"/>
        </w:rPr>
        <w:t>(b)</w:t>
      </w:r>
    </w:p>
    <w:p>
      <w:pPr>
        <w:pStyle w:val="2"/>
        <w:rPr>
          <w:rFonts w:ascii="Times New Roman" w:hAnsi="Times New Roman" w:eastAsia="宋体" w:cs="Times New Roman"/>
        </w:rPr>
      </w:pPr>
    </w:p>
    <w:p>
      <w:pPr>
        <w:pStyle w:val="2"/>
        <w:jc w:val="center"/>
        <w:rPr>
          <w:rFonts w:ascii="Times New Roman" w:hAnsi="Times New Roman" w:eastAsia="宋体" w:cs="Times New Roman"/>
          <w:sz w:val="24"/>
          <w:szCs w:val="24"/>
        </w:rPr>
      </w:pPr>
      <w:r>
        <w:rPr>
          <w:rFonts w:ascii="Times New Roman" w:hAnsi="Times New Roman" w:eastAsia="宋体" w:cs="Times New Roman"/>
          <w:sz w:val="24"/>
          <w:szCs w:val="24"/>
        </w:rPr>
        <w:t>图5.8.2-1  弹性支座节点 （a）沿库壁径向；（b）沿库壁环向</w:t>
      </w:r>
    </w:p>
    <w:p>
      <w:pPr>
        <w:pStyle w:val="2"/>
        <w:jc w:val="center"/>
        <w:rPr>
          <w:rFonts w:ascii="Times New Roman" w:hAnsi="Times New Roman" w:eastAsia="仿宋" w:cs="Times New Roman"/>
          <w:sz w:val="32"/>
          <w:szCs w:val="32"/>
        </w:rPr>
      </w:pPr>
      <w:r>
        <w:rPr>
          <w:rFonts w:ascii="Times New Roman" w:hAnsi="Times New Roman" w:eastAsia="宋体" w:cs="Times New Roman"/>
        </w:rPr>
        <w:t>1——支座球；2——肋板；3——单向弹性支座；4——预埋件；5——支座高度；6——库壁顶标高；7——水泥熟料库直径</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直径≤35米水泥熟料库网壳也可采用平板支座，支座节点示意如下：</w:t>
      </w:r>
    </w:p>
    <w:p>
      <w:pPr>
        <w:jc w:val="center"/>
        <w:rPr>
          <w:rFonts w:ascii="Times New Roman" w:hAnsi="Times New Roman" w:cs="Times New Roman"/>
        </w:rPr>
      </w:pPr>
      <w:r>
        <w:rPr>
          <w:rFonts w:ascii="Times New Roman" w:hAnsi="Times New Roman" w:cs="Times New Roman"/>
        </w:rPr>
        <w:drawing>
          <wp:inline distT="0" distB="0" distL="114300" distR="114300">
            <wp:extent cx="2413000" cy="2395855"/>
            <wp:effectExtent l="0" t="0" r="6350" b="4445"/>
            <wp:docPr id="18" name="图片 18" descr="1723615156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1723615156021"/>
                    <pic:cNvPicPr>
                      <a:picLocks noChangeAspect="1"/>
                    </pic:cNvPicPr>
                  </pic:nvPicPr>
                  <pic:blipFill>
                    <a:blip r:embed="rId49"/>
                    <a:stretch>
                      <a:fillRect/>
                    </a:stretch>
                  </pic:blipFill>
                  <pic:spPr>
                    <a:xfrm>
                      <a:off x="0" y="0"/>
                      <a:ext cx="2413000" cy="2395855"/>
                    </a:xfrm>
                    <a:prstGeom prst="rect">
                      <a:avLst/>
                    </a:prstGeom>
                  </pic:spPr>
                </pic:pic>
              </a:graphicData>
            </a:graphic>
          </wp:inline>
        </w:drawing>
      </w:r>
    </w:p>
    <w:p>
      <w:pPr>
        <w:ind w:firstLine="2400" w:firstLineChars="1000"/>
        <w:rPr>
          <w:rFonts w:ascii="Times New Roman" w:hAnsi="Times New Roman" w:eastAsia="宋体" w:cs="Times New Roman"/>
          <w:sz w:val="24"/>
          <w:szCs w:val="24"/>
        </w:rPr>
      </w:pPr>
      <w:r>
        <w:rPr>
          <w:rFonts w:ascii="Times New Roman" w:hAnsi="Times New Roman" w:eastAsia="宋体" w:cs="Times New Roman"/>
          <w:sz w:val="24"/>
          <w:szCs w:val="24"/>
        </w:rPr>
        <w:t>图5.8.2-2  平板压力支座节点</w:t>
      </w:r>
    </w:p>
    <w:p>
      <w:pPr>
        <w:pStyle w:val="2"/>
        <w:rPr>
          <w:rFonts w:hint="eastAsia"/>
        </w:rPr>
      </w:pPr>
      <w:r>
        <w:rPr>
          <w:rFonts w:ascii="Times New Roman" w:hAnsi="Times New Roman" w:eastAsia="宋体" w:cs="Times New Roman"/>
          <w:sz w:val="24"/>
          <w:szCs w:val="24"/>
        </w:rPr>
        <w:t>1——支座球；2——肋板；3——预埋件；4——预埋锚栓；5——支座高度；6——库壁顶标高</w:t>
      </w:r>
    </w:p>
    <w:p>
      <w:pPr>
        <w:pStyle w:val="4"/>
        <w:spacing w:before="156" w:beforeLines="50" w:after="156" w:afterLines="50" w:line="400" w:lineRule="exact"/>
        <w:ind w:firstLine="480" w:firstLineChars="200"/>
        <w:jc w:val="center"/>
        <w:rPr>
          <w:rFonts w:ascii="Times New Roman" w:hAnsi="Times New Roman" w:eastAsia="宋体" w:cs="Times New Roman"/>
          <w:sz w:val="24"/>
          <w:szCs w:val="24"/>
        </w:rPr>
      </w:pPr>
      <w:bookmarkStart w:id="103" w:name="_Toc186028019"/>
      <w:bookmarkStart w:id="104" w:name="_Toc186014798"/>
      <w:bookmarkStart w:id="105" w:name="_Toc20843"/>
      <w:r>
        <w:rPr>
          <w:rFonts w:ascii="Times New Roman" w:hAnsi="Times New Roman" w:eastAsia="宋体" w:cs="Times New Roman"/>
          <w:sz w:val="24"/>
          <w:szCs w:val="24"/>
        </w:rPr>
        <w:t>5.9构件节点设计</w:t>
      </w:r>
      <w:bookmarkEnd w:id="103"/>
      <w:bookmarkEnd w:id="104"/>
      <w:bookmarkEnd w:id="105"/>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5.9.1 水泥熟料库库顶房楼面处钢梁可通过支托落于网架球上，支托的竖向支承板及顶板应具有足够的刚度。支托中心线应与球节点连接的杆件中心线汇交于球节点中心，支托顶板的厚度经计算确定，且不宜小于12mm；支托肋板厚度应保证自由边不发生侧向屈曲，且不宜小于10mm。肋板与球采用双面角焊缝连接，焊缝长度与焊接尺寸应满足承载力要求。节点形式见图5.9.1。</w:t>
      </w:r>
    </w:p>
    <w:p>
      <w:pPr>
        <w:widowControl/>
        <w:jc w:val="left"/>
        <w:rPr>
          <w:rFonts w:ascii="Times New Roman" w:hAnsi="Times New Roman" w:cs="Times New Roman"/>
        </w:rPr>
      </w:pPr>
      <w:r>
        <w:rPr>
          <w:rFonts w:ascii="Times New Roman" w:hAnsi="Times New Roman" w:eastAsia="宋体" w:cs="Times New Roman"/>
          <w:kern w:val="0"/>
          <w:sz w:val="24"/>
          <w:szCs w:val="24"/>
          <w:lang w:bidi="ar"/>
        </w:rPr>
        <w:drawing>
          <wp:inline distT="0" distB="0" distL="114300" distR="114300">
            <wp:extent cx="4902200" cy="1715135"/>
            <wp:effectExtent l="0" t="0" r="12700" b="18415"/>
            <wp:docPr id="14" name="图片 2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8" descr="IMG_256"/>
                    <pic:cNvPicPr>
                      <a:picLocks noChangeAspect="1"/>
                    </pic:cNvPicPr>
                  </pic:nvPicPr>
                  <pic:blipFill>
                    <a:blip r:embed="rId50"/>
                    <a:stretch>
                      <a:fillRect/>
                    </a:stretch>
                  </pic:blipFill>
                  <pic:spPr>
                    <a:xfrm>
                      <a:off x="0" y="0"/>
                      <a:ext cx="4902200" cy="1715135"/>
                    </a:xfrm>
                    <a:prstGeom prst="rect">
                      <a:avLst/>
                    </a:prstGeom>
                    <a:noFill/>
                    <a:ln w="9525">
                      <a:noFill/>
                    </a:ln>
                  </pic:spPr>
                </pic:pic>
              </a:graphicData>
            </a:graphic>
          </wp:inline>
        </w:drawing>
      </w:r>
    </w:p>
    <w:p>
      <w:pPr>
        <w:widowControl/>
        <w:ind w:firstLine="1440" w:firstLineChars="600"/>
        <w:jc w:val="left"/>
        <w:rPr>
          <w:rFonts w:ascii="Times New Roman" w:hAnsi="Times New Roman" w:eastAsia="宋体" w:cs="Times New Roman"/>
          <w:sz w:val="24"/>
          <w:szCs w:val="24"/>
        </w:rPr>
      </w:pPr>
      <w:r>
        <w:rPr>
          <w:rFonts w:ascii="Times New Roman" w:hAnsi="Times New Roman" w:eastAsia="宋体" w:cs="Times New Roman"/>
          <w:sz w:val="24"/>
          <w:szCs w:val="24"/>
        </w:rPr>
        <w:t>(a)俯视图                                 (b)A-A剖面图</w:t>
      </w:r>
    </w:p>
    <w:p>
      <w:pPr>
        <w:ind w:firstLine="2400" w:firstLineChars="1000"/>
        <w:rPr>
          <w:rFonts w:ascii="Times New Roman" w:hAnsi="Times New Roman" w:eastAsia="宋体" w:cs="Times New Roman"/>
          <w:sz w:val="24"/>
          <w:szCs w:val="24"/>
        </w:rPr>
      </w:pPr>
      <w:r>
        <w:rPr>
          <w:rFonts w:ascii="Times New Roman" w:hAnsi="Times New Roman" w:eastAsia="宋体" w:cs="Times New Roman"/>
          <w:sz w:val="24"/>
          <w:szCs w:val="24"/>
        </w:rPr>
        <w:t>图5.9.1  库顶平台下支托节点</w:t>
      </w:r>
    </w:p>
    <w:p>
      <w:pPr>
        <w:pStyle w:val="2"/>
        <w:rPr>
          <w:rFonts w:hint="eastAsia"/>
        </w:rPr>
      </w:pPr>
      <w:r>
        <w:rPr>
          <w:rFonts w:ascii="Times New Roman" w:hAnsi="Times New Roman" w:eastAsia="宋体" w:cs="Times New Roman"/>
          <w:sz w:val="24"/>
          <w:szCs w:val="24"/>
        </w:rPr>
        <w:t>1——支托顶板；2——竖向肋板；3——上弦球；4——支托高度；5——上弦球心标高</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 xml:space="preserve">5.9.2  </w:t>
      </w:r>
      <w:bookmarkStart w:id="106" w:name="OLE_LINK9"/>
      <w:r>
        <w:rPr>
          <w:rFonts w:ascii="Times New Roman" w:hAnsi="Times New Roman" w:eastAsia="宋体" w:cs="Times New Roman"/>
          <w:sz w:val="24"/>
          <w:szCs w:val="24"/>
        </w:rPr>
        <w:t>库顶房楼面处的钢梁</w:t>
      </w:r>
      <w:bookmarkEnd w:id="106"/>
      <w:r>
        <w:rPr>
          <w:rFonts w:ascii="Times New Roman" w:hAnsi="Times New Roman" w:eastAsia="宋体" w:cs="Times New Roman"/>
          <w:sz w:val="24"/>
          <w:szCs w:val="24"/>
        </w:rPr>
        <w:t>应沿平台周边设置环形钢梁与跨度方向的钢梁形成整体；同时应结合各设备的工艺要求增设次梁。平台处钢梁应满足受弯、受剪、整体稳定及局部稳定的要求，其计算方法按《钢结构设计标准》GB 50017的要求确定；设备支座集中力作用处应按要求设置加劲肋；钢梁截面板件宽厚比限值需同时满足《钢结构设计标准》GB 50017的要求。</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5.9.3库顶平台楼面应根据工艺要求开设洞口、按节点设计所需的构造设置埋件。洞口周边可根据泛水的要求设置翻边。</w:t>
      </w:r>
    </w:p>
    <w:p>
      <w:pPr>
        <w:pStyle w:val="2"/>
        <w:widowControl/>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采用钢与混凝土组合楼盖时，</w:t>
      </w:r>
      <w:bookmarkStart w:id="107" w:name="OLE_LINK10"/>
      <w:r>
        <w:rPr>
          <w:rFonts w:ascii="Times New Roman" w:hAnsi="Times New Roman" w:eastAsia="宋体" w:cs="Times New Roman"/>
          <w:sz w:val="24"/>
          <w:szCs w:val="24"/>
        </w:rPr>
        <w:t>次梁间距</w:t>
      </w:r>
      <w:bookmarkEnd w:id="107"/>
      <w:r>
        <w:rPr>
          <w:rFonts w:ascii="Times New Roman" w:hAnsi="Times New Roman" w:eastAsia="宋体" w:cs="Times New Roman"/>
          <w:sz w:val="24"/>
          <w:szCs w:val="24"/>
        </w:rPr>
        <w:t>不宜大于2米，压型钢板沿短跨方向连续布置。楼板的混凝土强度等级不应低于C25，钢筋宜采用双层双向布置；板受力钢筋的最小配筋率及保护层厚度、锚固长度均应满足《混凝土结构设计标准》GB/T  50010的相关规定。</w:t>
      </w:r>
    </w:p>
    <w:p>
      <w:pPr>
        <w:pStyle w:val="2"/>
        <w:widowControl/>
        <w:tabs>
          <w:tab w:val="left" w:pos="312"/>
        </w:tabs>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开孔周边应依据钢筋混凝土结构开孔补强的方式配置补强钢筋，两侧补强钢筋的总面积应不少于被削弱钢筋的面积，且补强钢筋的直径不宜小于12。当开孔直径或任何一向的尺寸大样750mm时，应于开孔四周增设次梁。</w:t>
      </w:r>
    </w:p>
    <w:p>
      <w:pPr>
        <w:pStyle w:val="2"/>
        <w:widowControl/>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当采用花纹钢板楼面时，沿钢梁长度方向500mm左右增设加劲肋。加劲肋可采用角钢或扁钢；当采用不等边角钢时，需将长肢与花纹钢板焊接；焊接可采用断续角焊缝。连接做法见图5.9.3所示。</w:t>
      </w:r>
    </w:p>
    <w:p>
      <w:pPr>
        <w:pStyle w:val="2"/>
        <w:rPr>
          <w:rFonts w:ascii="Times New Roman" w:hAnsi="Times New Roman" w:eastAsia="宋体" w:cs="Times New Roman"/>
          <w:sz w:val="24"/>
          <w:szCs w:val="24"/>
        </w:rPr>
      </w:pPr>
      <w:r>
        <w:rPr>
          <w:rFonts w:ascii="Times New Roman" w:hAnsi="Times New Roman" w:eastAsia="宋体" w:cs="Times New Roman"/>
          <w:sz w:val="24"/>
          <w:szCs w:val="24"/>
        </w:rPr>
        <w:drawing>
          <wp:inline distT="0" distB="0" distL="114300" distR="114300">
            <wp:extent cx="5274310" cy="1181735"/>
            <wp:effectExtent l="0" t="0" r="2540" b="18415"/>
            <wp:docPr id="253145301" name="图片 253145301" descr="17345871028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3145301" name="图片 253145301" descr="1734587102877"/>
                    <pic:cNvPicPr>
                      <a:picLocks noChangeAspect="1"/>
                    </pic:cNvPicPr>
                  </pic:nvPicPr>
                  <pic:blipFill>
                    <a:blip r:embed="rId51"/>
                    <a:stretch>
                      <a:fillRect/>
                    </a:stretch>
                  </pic:blipFill>
                  <pic:spPr>
                    <a:xfrm>
                      <a:off x="0" y="0"/>
                      <a:ext cx="5274310" cy="1181735"/>
                    </a:xfrm>
                    <a:prstGeom prst="rect">
                      <a:avLst/>
                    </a:prstGeom>
                  </pic:spPr>
                </pic:pic>
              </a:graphicData>
            </a:graphic>
          </wp:inline>
        </w:drawing>
      </w:r>
    </w:p>
    <w:p>
      <w:pPr>
        <w:pStyle w:val="2"/>
        <w:ind w:firstLine="2640" w:firstLineChars="1100"/>
        <w:rPr>
          <w:rFonts w:ascii="Times New Roman" w:hAnsi="Times New Roman" w:eastAsia="宋体" w:cs="Times New Roman"/>
          <w:sz w:val="24"/>
          <w:szCs w:val="28"/>
        </w:rPr>
      </w:pPr>
      <w:r>
        <w:rPr>
          <w:rFonts w:ascii="Times New Roman" w:hAnsi="Times New Roman" w:eastAsia="宋体" w:cs="Times New Roman"/>
          <w:sz w:val="24"/>
          <w:szCs w:val="28"/>
        </w:rPr>
        <w:t>图5.9.3  花纹钢板加劲肋布置示意</w:t>
      </w:r>
    </w:p>
    <w:p>
      <w:pPr>
        <w:pStyle w:val="2"/>
        <w:rPr>
          <w:rFonts w:ascii="Times New Roman" w:hAnsi="Times New Roman" w:eastAsia="宋体" w:cs="Times New Roman"/>
          <w:sz w:val="24"/>
          <w:szCs w:val="24"/>
        </w:rPr>
      </w:pPr>
      <w:r>
        <w:rPr>
          <w:rFonts w:ascii="Times New Roman" w:hAnsi="Times New Roman" w:eastAsia="宋体" w:cs="Times New Roman"/>
          <w:sz w:val="24"/>
          <w:szCs w:val="28"/>
        </w:rPr>
        <w:t>1——花纹钢板；2——加劲肋(角钢或扁钢）；3——加劲肋间距</w:t>
      </w:r>
    </w:p>
    <w:p>
      <w:pPr>
        <w:pStyle w:val="2"/>
        <w:widowControl/>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5.9.4当库顶房为圆形网壳结构时，可沿钢平台环梁周边增设挑梁，挑梁与环梁连接采用刚接。</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5.9.5工艺要求设置检修爬梯与检修平台时，爬梯及平台周边需增设防护栏杆。栏杆高度及截面应满足《固定式钢梯及平台安全要求 第三部分：工业防护栏杆及钢平台》 GB453.3的相关要求。</w:t>
      </w:r>
    </w:p>
    <w:p>
      <w:pPr>
        <w:pStyle w:val="2"/>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5.9.6  当库顶房顶部设置检修吊具等悬挂运输轨道时，悬挂运输轨道可通过支托与球节点连接，连接处的螺栓及焊缝应满足抗拉、抗剪等受力要求，连接做法可按图5.9.6采用。</w:t>
      </w:r>
    </w:p>
    <w:p>
      <w:pPr>
        <w:pStyle w:val="2"/>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ascii="Times New Roman" w:hAnsi="Times New Roman" w:eastAsia="宋体" w:cs="Times New Roman"/>
          <w:sz w:val="24"/>
          <w:szCs w:val="24"/>
        </w:rPr>
        <w:drawing>
          <wp:inline distT="0" distB="0" distL="114300" distR="114300">
            <wp:extent cx="2767330" cy="3282315"/>
            <wp:effectExtent l="0" t="0" r="13970" b="13335"/>
            <wp:docPr id="3" name="图片 3" descr="173459105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34591050047"/>
                    <pic:cNvPicPr>
                      <a:picLocks noChangeAspect="1"/>
                    </pic:cNvPicPr>
                  </pic:nvPicPr>
                  <pic:blipFill>
                    <a:blip r:embed="rId52"/>
                    <a:stretch>
                      <a:fillRect/>
                    </a:stretch>
                  </pic:blipFill>
                  <pic:spPr>
                    <a:xfrm>
                      <a:off x="0" y="0"/>
                      <a:ext cx="2767330" cy="3282315"/>
                    </a:xfrm>
                    <a:prstGeom prst="rect">
                      <a:avLst/>
                    </a:prstGeom>
                  </pic:spPr>
                </pic:pic>
              </a:graphicData>
            </a:graphic>
          </wp:inline>
        </w:drawing>
      </w:r>
    </w:p>
    <w:p>
      <w:pPr>
        <w:pStyle w:val="2"/>
        <w:rPr>
          <w:rFonts w:ascii="Times New Roman" w:hAnsi="Times New Roman" w:eastAsia="宋体" w:cs="Times New Roman"/>
          <w:kern w:val="0"/>
          <w:sz w:val="24"/>
          <w:szCs w:val="24"/>
          <w:lang w:bidi="ar"/>
        </w:rPr>
      </w:pPr>
      <w:r>
        <w:rPr>
          <w:rFonts w:ascii="Times New Roman" w:hAnsi="Times New Roman" w:eastAsia="宋体" w:cs="Times New Roman"/>
          <w:sz w:val="24"/>
          <w:szCs w:val="24"/>
        </w:rPr>
        <w:t>1——高强度螺栓；2——角焊缝；3——支托；4——连接板；5-加劲肋板；6——钢梁</w:t>
      </w:r>
    </w:p>
    <w:p>
      <w:pPr>
        <w:pStyle w:val="2"/>
        <w:ind w:firstLine="2640" w:firstLineChars="1100"/>
        <w:rPr>
          <w:rFonts w:ascii="Times New Roman" w:hAnsi="Times New Roman" w:eastAsia="宋体" w:cs="Times New Roman"/>
          <w:sz w:val="24"/>
          <w:szCs w:val="24"/>
        </w:rPr>
      </w:pPr>
      <w:r>
        <w:rPr>
          <w:rFonts w:ascii="Times New Roman" w:hAnsi="Times New Roman" w:eastAsia="宋体" w:cs="Times New Roman"/>
          <w:sz w:val="24"/>
          <w:szCs w:val="24"/>
        </w:rPr>
        <w:t>图5.9.6  悬挂运输轨道的连接节点</w:t>
      </w:r>
    </w:p>
    <w:p>
      <w:pPr>
        <w:pStyle w:val="4"/>
        <w:spacing w:before="156" w:beforeLines="50" w:after="156" w:afterLines="50" w:line="400" w:lineRule="exact"/>
        <w:jc w:val="center"/>
        <w:rPr>
          <w:rFonts w:ascii="Times New Roman" w:hAnsi="Times New Roman" w:cs="Times New Roman"/>
        </w:rPr>
      </w:pPr>
      <w:bookmarkStart w:id="108" w:name="_Toc186014799"/>
      <w:bookmarkStart w:id="109" w:name="_Toc10398"/>
      <w:bookmarkStart w:id="110" w:name="_Toc186028020"/>
      <w:r>
        <w:rPr>
          <w:rFonts w:ascii="Times New Roman" w:hAnsi="Times New Roman" w:eastAsia="宋体" w:cs="Times New Roman"/>
          <w:sz w:val="24"/>
          <w:szCs w:val="24"/>
        </w:rPr>
        <w:t>5.10围护结构设计</w:t>
      </w:r>
      <w:bookmarkEnd w:id="108"/>
      <w:bookmarkEnd w:id="109"/>
      <w:bookmarkEnd w:id="110"/>
    </w:p>
    <w:p>
      <w:pPr>
        <w:pStyle w:val="2"/>
        <w:spacing w:after="0" w:line="400" w:lineRule="exact"/>
        <w:rPr>
          <w:rFonts w:ascii="Times New Roman" w:hAnsi="Times New Roman" w:eastAsia="宋体" w:cs="Times New Roman"/>
          <w:strike/>
          <w:sz w:val="24"/>
          <w:szCs w:val="24"/>
        </w:rPr>
      </w:pPr>
      <w:r>
        <w:rPr>
          <w:rFonts w:ascii="Times New Roman" w:hAnsi="Times New Roman" w:eastAsia="宋体" w:cs="Times New Roman"/>
          <w:sz w:val="24"/>
          <w:szCs w:val="24"/>
        </w:rPr>
        <w:t>5.10.1 水泥熟料库网壳</w:t>
      </w:r>
      <w:r>
        <w:rPr>
          <w:rFonts w:ascii="Times New Roman" w:hAnsi="Times New Roman" w:eastAsia="宋体" w:cs="Times New Roman"/>
          <w:sz w:val="24"/>
          <w:szCs w:val="20"/>
        </w:rPr>
        <w:t>围护结构的内容包括檩条、屋面板、采光板等。檩条、屋面板、墙面板需保证其强度及刚度要求。</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5.10.2  水泥熟料库网壳及库顶房的檩条宜采用实腹式檩条，实腹式檩条宜采用直角卷边槽形和斜卷边Z形冷弯薄壁型钢，也可采用直卷边Z形冷弯薄壁型钢或高频焊H型钢。</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5.10.3  实腹式檩条应具有一定的刚度，构件强度及稳定性应按现行国家标准《冷弯薄壁压型钢结构技术规程》GB 50018的规定计算并满足挠度及构造的相关要求。</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5.10.4 水泥熟料库网壳及库顶房的屋面及墙面板可选择镀层或涂层钢板、不锈钢板、铝镁锰合金板等金属板。</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压型钢板的厚度经计算确定，其屋面压型钢板的公称厚度不应小于0.6mm。</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5.10.5  屋面压型钢板可搭接式、扣合式或咬合式等连接方式；墙面压型钢板宜采用搭接式连接。</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5.10.6 屋面板沿板长方向搭接在屋面檩条上，搭接长度不应小于300mm，在搭接处应做防水处理；墙面板搭接长度不应小于150mm。屋面板及墙面板搭接示意见图5.10.6。</w:t>
      </w:r>
    </w:p>
    <w:p>
      <w:pPr>
        <w:pStyle w:val="2"/>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ascii="Times New Roman" w:hAnsi="Times New Roman" w:eastAsia="宋体" w:cs="Times New Roman"/>
          <w:sz w:val="24"/>
          <w:szCs w:val="24"/>
        </w:rPr>
        <w:drawing>
          <wp:inline distT="0" distB="0" distL="114300" distR="114300">
            <wp:extent cx="4501515" cy="2137410"/>
            <wp:effectExtent l="0" t="0" r="13335" b="15240"/>
            <wp:docPr id="19" name="图片 19" descr="17345943788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1734594378858"/>
                    <pic:cNvPicPr>
                      <a:picLocks noChangeAspect="1"/>
                    </pic:cNvPicPr>
                  </pic:nvPicPr>
                  <pic:blipFill>
                    <a:blip r:embed="rId53"/>
                    <a:stretch>
                      <a:fillRect/>
                    </a:stretch>
                  </pic:blipFill>
                  <pic:spPr>
                    <a:xfrm>
                      <a:off x="0" y="0"/>
                      <a:ext cx="4501515" cy="2137410"/>
                    </a:xfrm>
                    <a:prstGeom prst="rect">
                      <a:avLst/>
                    </a:prstGeom>
                  </pic:spPr>
                </pic:pic>
              </a:graphicData>
            </a:graphic>
          </wp:inline>
        </w:drawing>
      </w:r>
    </w:p>
    <w:p>
      <w:pPr>
        <w:widowControl/>
        <w:spacing w:line="400" w:lineRule="exact"/>
        <w:ind w:firstLine="1440" w:firstLineChars="600"/>
        <w:jc w:val="left"/>
        <w:rPr>
          <w:rFonts w:ascii="Times New Roman" w:hAnsi="Times New Roman" w:eastAsia="宋体" w:cs="Times New Roman"/>
          <w:sz w:val="24"/>
          <w:szCs w:val="24"/>
        </w:rPr>
      </w:pPr>
      <w:r>
        <w:rPr>
          <w:rFonts w:ascii="Times New Roman" w:hAnsi="Times New Roman" w:eastAsia="宋体" w:cs="Times New Roman"/>
          <w:sz w:val="24"/>
          <w:szCs w:val="24"/>
        </w:rPr>
        <w:t xml:space="preserve">(a)屋面板搭接示意图                  (b)墙面板搭接示意图 </w:t>
      </w:r>
    </w:p>
    <w:p>
      <w:pPr>
        <w:pStyle w:val="2"/>
        <w:spacing w:after="0" w:line="400" w:lineRule="exact"/>
        <w:ind w:firstLine="2640" w:firstLineChars="1100"/>
        <w:rPr>
          <w:rFonts w:ascii="Times New Roman" w:hAnsi="Times New Roman" w:eastAsia="宋体" w:cs="Times New Roman"/>
          <w:sz w:val="24"/>
          <w:szCs w:val="24"/>
        </w:rPr>
      </w:pPr>
      <w:r>
        <w:rPr>
          <w:rFonts w:ascii="Times New Roman" w:hAnsi="Times New Roman" w:eastAsia="宋体" w:cs="Times New Roman"/>
          <w:sz w:val="24"/>
          <w:szCs w:val="24"/>
        </w:rPr>
        <w:t>图5.10.6    屋面板及墙面板搭接示意</w:t>
      </w:r>
    </w:p>
    <w:p>
      <w:pPr>
        <w:pStyle w:val="2"/>
        <w:spacing w:after="0" w:line="40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1——上部彩钢板；2——下部彩钢板；3——屋面檩条；4——墙面檩条</w:t>
      </w:r>
    </w:p>
    <w:p>
      <w:pPr>
        <w:pStyle w:val="2"/>
        <w:spacing w:after="0" w:line="400" w:lineRule="exact"/>
        <w:rPr>
          <w:rFonts w:ascii="Times New Roman" w:hAnsi="Times New Roman" w:cs="Times New Roman"/>
          <w:strike/>
        </w:rPr>
      </w:pPr>
      <w:r>
        <w:rPr>
          <w:rFonts w:ascii="Times New Roman" w:hAnsi="Times New Roman" w:eastAsia="宋体" w:cs="Times New Roman"/>
          <w:sz w:val="24"/>
          <w:szCs w:val="24"/>
        </w:rPr>
        <w:t>5.10.7 水泥熟料库网壳底部沿环向与水泥熟料库库壁交界处，应做好密封。水泥熟料库网壳底部与水泥熟料库库壁混凝土翻边之间应沿环向用玻璃丝棉填实，并用水泥砂浆封堵。具体做法见图5.10.7。</w:t>
      </w:r>
    </w:p>
    <w:p>
      <w:pPr>
        <w:widowControl/>
        <w:jc w:val="left"/>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drawing>
          <wp:inline distT="0" distB="0" distL="114300" distR="114300">
            <wp:extent cx="3197225" cy="2580640"/>
            <wp:effectExtent l="0" t="0" r="3175" b="10160"/>
            <wp:docPr id="8" name="图片 8" descr="1727341577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727341577364"/>
                    <pic:cNvPicPr>
                      <a:picLocks noChangeAspect="1"/>
                    </pic:cNvPicPr>
                  </pic:nvPicPr>
                  <pic:blipFill>
                    <a:blip r:embed="rId54"/>
                    <a:stretch>
                      <a:fillRect/>
                    </a:stretch>
                  </pic:blipFill>
                  <pic:spPr>
                    <a:xfrm>
                      <a:off x="0" y="0"/>
                      <a:ext cx="3197225" cy="2580640"/>
                    </a:xfrm>
                    <a:prstGeom prst="rect">
                      <a:avLst/>
                    </a:prstGeom>
                  </pic:spPr>
                </pic:pic>
              </a:graphicData>
            </a:graphic>
          </wp:inline>
        </w:drawing>
      </w:r>
    </w:p>
    <w:p>
      <w:pPr>
        <w:pStyle w:val="2"/>
        <w:spacing w:after="0" w:line="400" w:lineRule="exact"/>
        <w:rPr>
          <w:rFonts w:ascii="Times New Roman" w:hAnsi="Times New Roman" w:eastAsia="宋体" w:cs="Times New Roman"/>
          <w:sz w:val="24"/>
          <w:szCs w:val="28"/>
        </w:rPr>
      </w:pPr>
    </w:p>
    <w:p>
      <w:pPr>
        <w:pStyle w:val="2"/>
        <w:ind w:firstLine="2640" w:firstLineChars="1100"/>
        <w:rPr>
          <w:rFonts w:ascii="Times New Roman" w:hAnsi="Times New Roman" w:eastAsia="宋体" w:cs="Times New Roman"/>
          <w:sz w:val="24"/>
          <w:szCs w:val="28"/>
        </w:rPr>
      </w:pPr>
      <w:r>
        <w:rPr>
          <w:rFonts w:ascii="Times New Roman" w:hAnsi="Times New Roman" w:eastAsia="宋体" w:cs="Times New Roman"/>
          <w:sz w:val="24"/>
          <w:szCs w:val="28"/>
        </w:rPr>
        <w:t>图5.10.7    库壁周边封堵示意</w:t>
      </w:r>
    </w:p>
    <w:p>
      <w:pPr>
        <w:pStyle w:val="2"/>
        <w:rPr>
          <w:rFonts w:ascii="Times New Roman" w:hAnsi="Times New Roman" w:eastAsia="宋体" w:cs="Times New Roman"/>
          <w:sz w:val="24"/>
          <w:szCs w:val="28"/>
        </w:rPr>
      </w:pPr>
      <w:r>
        <w:rPr>
          <w:rFonts w:ascii="Times New Roman" w:hAnsi="Times New Roman" w:eastAsia="宋体" w:cs="Times New Roman"/>
          <w:sz w:val="24"/>
          <w:szCs w:val="28"/>
        </w:rPr>
        <w:t>1——墙面板；2——檩条；3——玻璃丝棉填实；4——支托；5——角钢；6——水泥砂浆；7——水泥熟料库库壁；8——库壁顶标高；9——支座高度；10——水泥熟料库直径</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5.10.8 水泥熟料库圆台网壳与库顶房的连接封堵做法可参考图5.10.8，岩棉及彩板堵头沿环向一周设置。</w:t>
      </w:r>
    </w:p>
    <w:p>
      <w:pPr>
        <w:pStyle w:val="2"/>
        <w:rPr>
          <w:rFonts w:ascii="Times New Roman" w:hAnsi="Times New Roman" w:eastAsia="宋体" w:cs="Times New Roman"/>
          <w:sz w:val="24"/>
          <w:szCs w:val="24"/>
        </w:rPr>
      </w:pPr>
      <w:r>
        <w:rPr>
          <w:rFonts w:ascii="Times New Roman" w:hAnsi="Times New Roman" w:eastAsia="宋体" w:cs="Times New Roman"/>
          <w:sz w:val="24"/>
          <w:szCs w:val="24"/>
        </w:rPr>
        <w:t xml:space="preserve">    </w:t>
      </w:r>
      <w:r>
        <w:rPr>
          <w:rFonts w:ascii="Times New Roman" w:hAnsi="Times New Roman" w:eastAsia="宋体" w:cs="Times New Roman"/>
          <w:sz w:val="24"/>
          <w:szCs w:val="24"/>
        </w:rPr>
        <w:drawing>
          <wp:inline distT="0" distB="0" distL="114300" distR="114300">
            <wp:extent cx="4102100" cy="3384550"/>
            <wp:effectExtent l="0" t="0" r="12700" b="6350"/>
            <wp:docPr id="26" name="图片 26" descr="1734598432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1734598432829"/>
                    <pic:cNvPicPr>
                      <a:picLocks noChangeAspect="1"/>
                    </pic:cNvPicPr>
                  </pic:nvPicPr>
                  <pic:blipFill>
                    <a:blip r:embed="rId55"/>
                    <a:stretch>
                      <a:fillRect/>
                    </a:stretch>
                  </pic:blipFill>
                  <pic:spPr>
                    <a:xfrm>
                      <a:off x="0" y="0"/>
                      <a:ext cx="4102100" cy="3384550"/>
                    </a:xfrm>
                    <a:prstGeom prst="rect">
                      <a:avLst/>
                    </a:prstGeom>
                  </pic:spPr>
                </pic:pic>
              </a:graphicData>
            </a:graphic>
          </wp:inline>
        </w:drawing>
      </w:r>
    </w:p>
    <w:p>
      <w:pPr>
        <w:pStyle w:val="2"/>
        <w:spacing w:after="0" w:line="400" w:lineRule="exact"/>
        <w:rPr>
          <w:rFonts w:ascii="Times New Roman" w:hAnsi="Times New Roman" w:eastAsia="宋体" w:cs="Times New Roman"/>
          <w:sz w:val="24"/>
          <w:szCs w:val="24"/>
        </w:rPr>
      </w:pPr>
    </w:p>
    <w:p>
      <w:pPr>
        <w:pStyle w:val="2"/>
        <w:spacing w:after="0" w:line="40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图5.10.8    圆台与库顶房连接封堵示意</w:t>
      </w:r>
    </w:p>
    <w:p>
      <w:pPr>
        <w:pStyle w:val="2"/>
        <w:spacing w:after="0" w:line="40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1——库顶房墙面板；2——环向角钢；3——角钢；4——自攻钉；5——彩板堵头；6——包边件；7——缝合钉；8——圆台网壳屋面板；9——岩棉；10——库顶房楼面钢梁</w:t>
      </w:r>
    </w:p>
    <w:p>
      <w:pPr>
        <w:pStyle w:val="2"/>
        <w:spacing w:after="0" w:line="400" w:lineRule="exact"/>
        <w:rPr>
          <w:rFonts w:ascii="Times New Roman" w:hAnsi="Times New Roman" w:cs="Times New Roman"/>
          <w:sz w:val="24"/>
          <w:szCs w:val="24"/>
        </w:rPr>
        <w:sectPr>
          <w:pgSz w:w="11906" w:h="16838"/>
          <w:pgMar w:top="1440" w:right="1797" w:bottom="1440" w:left="1797" w:header="851" w:footer="992" w:gutter="0"/>
          <w:cols w:space="0" w:num="1"/>
          <w:docGrid w:type="linesAndChars" w:linePitch="312" w:charSpace="0"/>
        </w:sectPr>
      </w:pPr>
    </w:p>
    <w:p>
      <w:pPr>
        <w:pStyle w:val="29"/>
        <w:numPr>
          <w:ilvl w:val="0"/>
          <w:numId w:val="2"/>
        </w:numPr>
        <w:spacing w:before="312" w:beforeLines="100" w:after="312" w:afterLines="100" w:line="400" w:lineRule="exact"/>
        <w:outlineLvl w:val="0"/>
        <w:rPr>
          <w:rFonts w:eastAsia="仿宋"/>
          <w:sz w:val="32"/>
        </w:rPr>
      </w:pPr>
      <w:bookmarkStart w:id="111" w:name="_Toc186014800"/>
      <w:bookmarkStart w:id="112" w:name="_Toc7280"/>
      <w:bookmarkStart w:id="113" w:name="_Toc186028021"/>
      <w:r>
        <w:rPr>
          <w:rFonts w:eastAsia="仿宋"/>
          <w:sz w:val="32"/>
        </w:rPr>
        <w:t>制作、安装与验收</w:t>
      </w:r>
      <w:bookmarkEnd w:id="111"/>
      <w:bookmarkEnd w:id="112"/>
      <w:bookmarkEnd w:id="113"/>
    </w:p>
    <w:p>
      <w:pPr>
        <w:pStyle w:val="4"/>
        <w:spacing w:before="156" w:beforeLines="50" w:after="156" w:afterLines="50" w:line="400" w:lineRule="exact"/>
        <w:ind w:firstLine="480" w:firstLineChars="200"/>
        <w:jc w:val="center"/>
        <w:rPr>
          <w:rFonts w:ascii="Times New Roman" w:hAnsi="Times New Roman" w:eastAsia="宋体" w:cs="Times New Roman"/>
          <w:sz w:val="24"/>
          <w:szCs w:val="24"/>
        </w:rPr>
      </w:pPr>
      <w:bookmarkStart w:id="114" w:name="_Toc1892"/>
      <w:bookmarkStart w:id="115" w:name="_Toc186014801"/>
      <w:bookmarkStart w:id="116" w:name="_Toc186028022"/>
      <w:r>
        <w:rPr>
          <w:rFonts w:ascii="Times New Roman" w:hAnsi="Times New Roman" w:eastAsia="宋体" w:cs="Times New Roman"/>
          <w:sz w:val="24"/>
          <w:szCs w:val="24"/>
        </w:rPr>
        <w:t>6.1  一般规定</w:t>
      </w:r>
      <w:bookmarkEnd w:id="114"/>
      <w:bookmarkEnd w:id="115"/>
      <w:bookmarkEnd w:id="116"/>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6.1.1 钢结构用的主要材料、零（部）件、成品件、标准件等产品应进行进场验收，验收按《钢结构工程施工质量验收规范》GB 50205的规定。</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6.1.2用于制造的螺栓球、高强螺栓、锥头、封板、套筒等，其品种、规格、性能等应符合国家现行标准《钢网架螺栓球节点》JG/T 10。</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 xml:space="preserve">6.1.3制作焊接球所采用的材料，其品种、规格、性能等应符合国家现行标准《低合金高强度结构钢》GB/T 1591的规定和设计要求。 </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6.1.4 焊接材料的品种、规格、性能应符合国家现行标准的规定并满足设计要求，焊接材料进场时，应按国家现行标准的规定抽取试件并应进行化学成分和力学性能检验，实心焊丝检验结果应符合《熔化极气体保护电弧焊用非合金钢及细晶粒钢实心焊丝》GB/T 8110。</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6.1.5 焊接宜在室内进行，焊缝应冷却到环境温度后方可进行外观检测，外观检测合格后，按要求进行无损检测，具体检测时间应符合现行国家标准《钢结构焊接规范》GB 50661的规定。</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6.1.6 钢结构防腐粉末涂料应符合《热固性和热塑性粉末涂料》HG/T 2006，钢结构涂料、稀释剂和固化剂等材料的品种、性能等应符合国家现行标准的规定和设计要求。</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6.1.7 水泥熟料库网壳结构在施工前，施工单位应编制专项施工方案，在施工过程中应严格执行。</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6.1.8水泥熟料库网壳结构的制作、安装、验收及放线宜采用钢尺、经纬仪、全站仪等，钢尺在使用时拉力应一致。测量器具应经计量检验部门检定合格，并在有效期内。水泥熟料库网壳结构安装前，应根据定位轴线和标高基准点复核和验收支座预埋件、预埋锚栓的平面位置和标高。预埋件、预埋锚栓的施工偏差应符合现行国家标准《钢结构工程施工质量验收规范》GB 50205的规定。</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6.1.9 水泥熟料库网壳结构的安装方法，应根据结构的类型、受力和构造特点，在确保质量、安全的前提下，结合进度、经济及施工现场技术条件综合确定。水泥熟料库网壳结构的安装可选用下列方法：</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高空散装法适用于全支架拼装的各种类型的水泥熟料库网壳结构，尤其适用于螺栓连接、销轴连接等非焊接连接的结构，并可根据结构特点选用少支架的悬挑拼装施工方法：内扩法(由边支座向中央悬挑拼装)。</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分条或分块安装法适用于分割后结构的刚度和受力状况改变较小的网壳结构。分条或分块的大小应根据起重设备</w:t>
      </w:r>
      <w:bookmarkStart w:id="117" w:name="bookmark124"/>
      <w:bookmarkEnd w:id="117"/>
      <w:r>
        <w:rPr>
          <w:rFonts w:ascii="Times New Roman" w:hAnsi="Times New Roman" w:eastAsia="宋体" w:cs="Times New Roman"/>
          <w:sz w:val="24"/>
          <w:szCs w:val="24"/>
        </w:rPr>
        <w:t>的起重能力确定。</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3</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整体提升法适用于各种水泥熟料库网壳结构，结构在地面整体拼装完毕后提升至设计标高、就位。</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4</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整体顶升法适用于支点较少的各种水泥熟料库网壳结构。结构在地面整体拼装完毕后顶升至设计标高、就位。</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6.1.10 安装方法确定后，应分别对水泥熟料库网壳结构各吊点反力、竖向位移、杆件内力、提升或顶升时支承柱的稳定性和风载下水泥熟料库网壳结构的水平推力等进行验算，必要时应采取临时加固措施。</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 xml:space="preserve">6.1.11 安装阶段结构的动力系数宜按下列数值选取：液压千斤顶提升或顶升取1.1；穿心式液压千斤顶钢绞线提升取1.2；塔式起重机、拔杆吊装取1.3; 履带式、汽车式起重机吊装取1.4 </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6.1.12 水泥熟料库网壳结构正式安装前宜进行局部或整体试拼装。</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6.1.13 水泥熟料库网壳结构不得在五级及五级以上的风力下进行安装。</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6.1.14 水泥熟料库网壳结构在进行涂装前，必须对构件表面进行处理，清除毛刺、焊渣、铁锈、污物等。经过处理的表面应符合设计要求和国家现行有关标准的规定。</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6.1.15 水泥熟料库网壳结构宜在安装完毕、形成整体后再进行屋面板及吊挂构件等的安装。</w:t>
      </w:r>
    </w:p>
    <w:p>
      <w:pPr>
        <w:pStyle w:val="4"/>
        <w:spacing w:before="156" w:beforeLines="50" w:after="156" w:afterLines="50" w:line="400" w:lineRule="exact"/>
        <w:jc w:val="center"/>
        <w:rPr>
          <w:rFonts w:ascii="Times New Roman" w:hAnsi="Times New Roman" w:eastAsia="宋体" w:cs="Times New Roman"/>
          <w:b w:val="0"/>
          <w:bCs w:val="0"/>
          <w:sz w:val="24"/>
          <w:szCs w:val="24"/>
        </w:rPr>
      </w:pPr>
      <w:bookmarkStart w:id="118" w:name="_Toc186028023"/>
      <w:bookmarkStart w:id="119" w:name="_Toc186014802"/>
      <w:bookmarkStart w:id="120" w:name="_Toc6972"/>
      <w:r>
        <w:rPr>
          <w:rFonts w:ascii="Times New Roman" w:hAnsi="Times New Roman" w:eastAsia="宋体" w:cs="Times New Roman"/>
          <w:sz w:val="24"/>
          <w:szCs w:val="24"/>
        </w:rPr>
        <w:t>6.2 制作要求</w:t>
      </w:r>
      <w:bookmarkEnd w:id="118"/>
      <w:bookmarkEnd w:id="119"/>
      <w:bookmarkEnd w:id="120"/>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6.2.1水泥熟料库网壳结构的杆件应在专用的设备或胎架上进行制作，以保证杆件的精度和互换性。</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6.2.2水泥熟料库网壳结构制作与安装中所有焊缝应符合设计要求并应符合下列规定：</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 钢管与钢管的对接焊缝应为一级熔透焊缝；</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 钢管与封板(或锥头)的对接焊缝、焊接球与钢管对接焊缝应为二级熔透焊缝；</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3 所有焊缝均应进行外观检查,检查结果应符合现行行业标准《钢结构焊接规范》GB50661的规定。一级焊缝探伤比例为100%,二级焊缝探伤比例为20%,探伤比例的计数方法为焊缝条数的百分比， 探伤方法及缺陷分级应分别符合现行行业标准《钢结构超声波探伤及质量分级法》JG/T 203。</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6.2.3 水泥熟料库网壳结构的与支座相连的主要受力杆件不宜采用对接制作，一般杆件接长不得超过一次，非关键杆件接长杆件总数不应超过杆件总数的10%,并不得集中布置。杆件的对接焊缝距节点或端头的最短距离不得小于500mm。</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6.2.4水泥熟料库网壳结构制作尚应符合下列规定：</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 焊接球的成品球表面应光滑平整，不应有局部凸起或凹坑，球节点的加工制作应符合标准《钢网架焊接空心球节点》JT/T 11的规定。焊接空心球出厂前宜涂一道可焊性防锈漆,安装完成后再按设计图纸要求涂刷防锈底漆和面漆。焊接球的尺寸允许偏差应符合表6.2.4-1的规定。</w:t>
      </w:r>
    </w:p>
    <w:p>
      <w:pPr>
        <w:spacing w:line="400" w:lineRule="exact"/>
        <w:jc w:val="center"/>
        <w:rPr>
          <w:rFonts w:ascii="Times New Roman" w:hAnsi="Times New Roman" w:eastAsia="宋体" w:cs="Times New Roman"/>
          <w:sz w:val="24"/>
          <w:szCs w:val="24"/>
        </w:rPr>
      </w:pPr>
      <w:bookmarkStart w:id="121" w:name="bookmark131"/>
      <w:bookmarkEnd w:id="121"/>
      <w:bookmarkStart w:id="122" w:name="bookmark130"/>
      <w:bookmarkEnd w:id="122"/>
      <w:bookmarkStart w:id="123" w:name="bookmark132"/>
      <w:bookmarkEnd w:id="123"/>
      <w:bookmarkStart w:id="124" w:name="bookmark28"/>
      <w:bookmarkEnd w:id="124"/>
      <w:r>
        <w:rPr>
          <w:rFonts w:ascii="Times New Roman" w:hAnsi="Times New Roman" w:eastAsia="宋体" w:cs="Times New Roman"/>
          <w:spacing w:val="-8"/>
          <w:sz w:val="24"/>
          <w:szCs w:val="24"/>
        </w:rPr>
        <w:t>表 6.2.4-1</w:t>
      </w:r>
      <w:r>
        <w:rPr>
          <w:rFonts w:ascii="Times New Roman" w:hAnsi="Times New Roman" w:eastAsia="宋体" w:cs="Times New Roman"/>
          <w:spacing w:val="112"/>
          <w:sz w:val="24"/>
          <w:szCs w:val="24"/>
        </w:rPr>
        <w:t xml:space="preserve"> </w:t>
      </w:r>
      <w:r>
        <w:rPr>
          <w:rFonts w:ascii="Times New Roman" w:hAnsi="Times New Roman" w:eastAsia="宋体" w:cs="Times New Roman"/>
          <w:spacing w:val="-8"/>
          <w:sz w:val="24"/>
          <w:szCs w:val="24"/>
        </w:rPr>
        <w:t>焊接球尺寸的允许偏差及检验方法</w:t>
      </w:r>
    </w:p>
    <w:tbl>
      <w:tblPr>
        <w:tblStyle w:val="39"/>
        <w:tblW w:w="500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318"/>
        <w:gridCol w:w="1531"/>
        <w:gridCol w:w="2702"/>
        <w:gridCol w:w="276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5" w:hRule="atLeast"/>
        </w:trPr>
        <w:tc>
          <w:tcPr>
            <w:tcW w:w="793"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项    目</w:t>
            </w:r>
          </w:p>
        </w:tc>
        <w:tc>
          <w:tcPr>
            <w:tcW w:w="920"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规格(mm)</w:t>
            </w:r>
          </w:p>
        </w:tc>
        <w:tc>
          <w:tcPr>
            <w:tcW w:w="1624"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允许偏差(mm)</w:t>
            </w:r>
          </w:p>
        </w:tc>
        <w:tc>
          <w:tcPr>
            <w:tcW w:w="1663"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检验方法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93" w:type="pct"/>
            <w:vMerge w:val="restart"/>
            <w:tcBorders>
              <w:bottom w:val="nil"/>
            </w:tcBorders>
          </w:tcPr>
          <w:p>
            <w:pPr>
              <w:spacing w:line="400" w:lineRule="exact"/>
              <w:jc w:val="center"/>
              <w:rPr>
                <w:rFonts w:ascii="Times New Roman" w:hAnsi="Times New Roman" w:eastAsia="宋体" w:cs="Times New Roman"/>
                <w:kern w:val="0"/>
                <w:sz w:val="24"/>
                <w:szCs w:val="24"/>
              </w:rPr>
            </w:pPr>
          </w:p>
          <w:p>
            <w:pPr>
              <w:spacing w:line="400" w:lineRule="exact"/>
              <w:jc w:val="center"/>
              <w:rPr>
                <w:rFonts w:ascii="Times New Roman" w:hAnsi="Times New Roman" w:eastAsia="宋体" w:cs="Times New Roman"/>
                <w:kern w:val="0"/>
                <w:sz w:val="24"/>
                <w:szCs w:val="24"/>
              </w:rPr>
            </w:pPr>
          </w:p>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直  径</w:t>
            </w:r>
          </w:p>
        </w:tc>
        <w:tc>
          <w:tcPr>
            <w:tcW w:w="920"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D≤300</w:t>
            </w:r>
          </w:p>
        </w:tc>
        <w:tc>
          <w:tcPr>
            <w:tcW w:w="1624"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±1.5</w:t>
            </w:r>
          </w:p>
        </w:tc>
        <w:tc>
          <w:tcPr>
            <w:tcW w:w="1663" w:type="pct"/>
            <w:vMerge w:val="restar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用游标卡尺、卡钳检查，各向三个数值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91" w:hRule="atLeast"/>
        </w:trPr>
        <w:tc>
          <w:tcPr>
            <w:tcW w:w="793" w:type="pct"/>
            <w:vMerge w:val="continue"/>
            <w:tcBorders>
              <w:top w:val="nil"/>
              <w:bottom w:val="nil"/>
            </w:tcBorders>
          </w:tcPr>
          <w:p>
            <w:pPr>
              <w:spacing w:line="400" w:lineRule="exact"/>
              <w:jc w:val="center"/>
              <w:rPr>
                <w:rFonts w:ascii="Times New Roman" w:hAnsi="Times New Roman" w:eastAsia="宋体" w:cs="Times New Roman"/>
                <w:kern w:val="0"/>
                <w:sz w:val="24"/>
                <w:szCs w:val="24"/>
              </w:rPr>
            </w:pPr>
          </w:p>
        </w:tc>
        <w:tc>
          <w:tcPr>
            <w:tcW w:w="920"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300&lt;D≤500</w:t>
            </w:r>
          </w:p>
        </w:tc>
        <w:tc>
          <w:tcPr>
            <w:tcW w:w="1624"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±2.5</w:t>
            </w:r>
          </w:p>
        </w:tc>
        <w:tc>
          <w:tcPr>
            <w:tcW w:w="1663" w:type="pct"/>
            <w:vMerge w:val="continue"/>
          </w:tcPr>
          <w:p>
            <w:pPr>
              <w:spacing w:line="400" w:lineRule="exact"/>
              <w:jc w:val="center"/>
              <w:rPr>
                <w:rFonts w:ascii="Times New Roman" w:hAnsi="Times New Roman" w:eastAsia="宋体" w:cs="Times New Roman"/>
                <w:ker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01" w:hRule="atLeast"/>
        </w:trPr>
        <w:tc>
          <w:tcPr>
            <w:tcW w:w="793" w:type="pct"/>
            <w:vMerge w:val="continue"/>
            <w:tcBorders>
              <w:top w:val="nil"/>
              <w:bottom w:val="nil"/>
            </w:tcBorders>
          </w:tcPr>
          <w:p>
            <w:pPr>
              <w:spacing w:line="400" w:lineRule="exact"/>
              <w:jc w:val="center"/>
              <w:rPr>
                <w:rFonts w:ascii="Times New Roman" w:hAnsi="Times New Roman" w:eastAsia="宋体" w:cs="Times New Roman"/>
                <w:kern w:val="0"/>
                <w:sz w:val="24"/>
                <w:szCs w:val="24"/>
              </w:rPr>
            </w:pPr>
          </w:p>
        </w:tc>
        <w:tc>
          <w:tcPr>
            <w:tcW w:w="920"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500&lt;D</w:t>
            </w:r>
          </w:p>
        </w:tc>
        <w:tc>
          <w:tcPr>
            <w:tcW w:w="1624"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±3.5</w:t>
            </w:r>
          </w:p>
        </w:tc>
        <w:tc>
          <w:tcPr>
            <w:tcW w:w="1663" w:type="pct"/>
            <w:vMerge w:val="continue"/>
          </w:tcPr>
          <w:p>
            <w:pPr>
              <w:spacing w:line="400" w:lineRule="exact"/>
              <w:jc w:val="center"/>
              <w:rPr>
                <w:rFonts w:ascii="Times New Roman" w:hAnsi="Times New Roman" w:eastAsia="宋体" w:cs="Times New Roman"/>
                <w:ker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93" w:type="pct"/>
            <w:vMerge w:val="restart"/>
            <w:tcBorders>
              <w:bottom w:val="nil"/>
            </w:tcBorders>
          </w:tcPr>
          <w:p>
            <w:pPr>
              <w:spacing w:line="400" w:lineRule="exact"/>
              <w:jc w:val="center"/>
              <w:rPr>
                <w:rFonts w:ascii="Times New Roman" w:hAnsi="Times New Roman" w:eastAsia="宋体" w:cs="Times New Roman"/>
                <w:kern w:val="0"/>
                <w:sz w:val="24"/>
                <w:szCs w:val="24"/>
              </w:rPr>
            </w:pPr>
          </w:p>
          <w:p>
            <w:pPr>
              <w:spacing w:line="400" w:lineRule="exact"/>
              <w:jc w:val="center"/>
              <w:rPr>
                <w:rFonts w:ascii="Times New Roman" w:hAnsi="Times New Roman" w:eastAsia="宋体" w:cs="Times New Roman"/>
                <w:kern w:val="0"/>
                <w:sz w:val="24"/>
                <w:szCs w:val="24"/>
              </w:rPr>
            </w:pPr>
          </w:p>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圆  度</w:t>
            </w:r>
          </w:p>
        </w:tc>
        <w:tc>
          <w:tcPr>
            <w:tcW w:w="920"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D≤300</w:t>
            </w:r>
          </w:p>
        </w:tc>
        <w:tc>
          <w:tcPr>
            <w:tcW w:w="1624"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1.5</w:t>
            </w:r>
          </w:p>
        </w:tc>
        <w:tc>
          <w:tcPr>
            <w:tcW w:w="1663" w:type="pct"/>
            <w:vMerge w:val="restar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用游标卡尺、卡钳检查,每个球测三对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2" w:hRule="atLeast"/>
        </w:trPr>
        <w:tc>
          <w:tcPr>
            <w:tcW w:w="793" w:type="pct"/>
            <w:vMerge w:val="continue"/>
            <w:tcBorders>
              <w:top w:val="nil"/>
              <w:bottom w:val="nil"/>
            </w:tcBorders>
          </w:tcPr>
          <w:p>
            <w:pPr>
              <w:spacing w:line="400" w:lineRule="exact"/>
              <w:jc w:val="center"/>
              <w:rPr>
                <w:rFonts w:ascii="Times New Roman" w:hAnsi="Times New Roman" w:eastAsia="宋体" w:cs="Times New Roman"/>
                <w:kern w:val="0"/>
                <w:sz w:val="24"/>
                <w:szCs w:val="24"/>
              </w:rPr>
            </w:pPr>
          </w:p>
        </w:tc>
        <w:tc>
          <w:tcPr>
            <w:tcW w:w="920"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300&lt;D≤500</w:t>
            </w:r>
          </w:p>
        </w:tc>
        <w:tc>
          <w:tcPr>
            <w:tcW w:w="1624"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2.5</w:t>
            </w:r>
          </w:p>
        </w:tc>
        <w:tc>
          <w:tcPr>
            <w:tcW w:w="1663" w:type="pct"/>
            <w:vMerge w:val="continue"/>
          </w:tcPr>
          <w:p>
            <w:pPr>
              <w:spacing w:line="400" w:lineRule="exact"/>
              <w:jc w:val="center"/>
              <w:rPr>
                <w:rFonts w:ascii="Times New Roman" w:hAnsi="Times New Roman" w:eastAsia="宋体" w:cs="Times New Roman"/>
                <w:ker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93" w:type="pct"/>
            <w:vMerge w:val="continue"/>
            <w:tcBorders>
              <w:top w:val="nil"/>
              <w:bottom w:val="nil"/>
            </w:tcBorders>
          </w:tcPr>
          <w:p>
            <w:pPr>
              <w:spacing w:line="400" w:lineRule="exact"/>
              <w:jc w:val="center"/>
              <w:rPr>
                <w:rFonts w:ascii="Times New Roman" w:hAnsi="Times New Roman" w:eastAsia="宋体" w:cs="Times New Roman"/>
                <w:kern w:val="0"/>
                <w:sz w:val="24"/>
                <w:szCs w:val="24"/>
              </w:rPr>
            </w:pPr>
          </w:p>
        </w:tc>
        <w:tc>
          <w:tcPr>
            <w:tcW w:w="920"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500&lt;D≤800</w:t>
            </w:r>
          </w:p>
        </w:tc>
        <w:tc>
          <w:tcPr>
            <w:tcW w:w="1624"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3.5</w:t>
            </w:r>
          </w:p>
        </w:tc>
        <w:tc>
          <w:tcPr>
            <w:tcW w:w="1663" w:type="pct"/>
            <w:vMerge w:val="continue"/>
          </w:tcPr>
          <w:p>
            <w:pPr>
              <w:spacing w:line="400" w:lineRule="exact"/>
              <w:jc w:val="center"/>
              <w:rPr>
                <w:rFonts w:ascii="Times New Roman" w:hAnsi="Times New Roman" w:eastAsia="宋体" w:cs="Times New Roman"/>
                <w:ker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56" w:hRule="atLeast"/>
        </w:trPr>
        <w:tc>
          <w:tcPr>
            <w:tcW w:w="793" w:type="pct"/>
            <w:vMerge w:val="restart"/>
            <w:tcBorders>
              <w:bottom w:val="nil"/>
            </w:tcBorders>
          </w:tcPr>
          <w:p>
            <w:pPr>
              <w:spacing w:line="400" w:lineRule="exact"/>
              <w:jc w:val="center"/>
              <w:rPr>
                <w:rFonts w:ascii="Times New Roman" w:hAnsi="Times New Roman" w:eastAsia="宋体" w:cs="Times New Roman"/>
                <w:kern w:val="0"/>
                <w:sz w:val="24"/>
                <w:szCs w:val="24"/>
              </w:rPr>
            </w:pPr>
          </w:p>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对口错边量</w:t>
            </w:r>
          </w:p>
        </w:tc>
        <w:tc>
          <w:tcPr>
            <w:tcW w:w="920"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t≤20</w:t>
            </w:r>
          </w:p>
        </w:tc>
        <w:tc>
          <w:tcPr>
            <w:tcW w:w="1624"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1.0</w:t>
            </w:r>
          </w:p>
        </w:tc>
        <w:tc>
          <w:tcPr>
            <w:tcW w:w="1663" w:type="pct"/>
            <w:vMerge w:val="restar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用游标卡尺检查，每球取最大错边处一点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7" w:hRule="atLeast"/>
        </w:trPr>
        <w:tc>
          <w:tcPr>
            <w:tcW w:w="793" w:type="pct"/>
            <w:vMerge w:val="continue"/>
            <w:tcBorders>
              <w:top w:val="nil"/>
              <w:bottom w:val="nil"/>
            </w:tcBorders>
          </w:tcPr>
          <w:p>
            <w:pPr>
              <w:spacing w:line="400" w:lineRule="exact"/>
              <w:jc w:val="center"/>
              <w:rPr>
                <w:rFonts w:ascii="Times New Roman" w:hAnsi="Times New Roman" w:eastAsia="宋体" w:cs="Times New Roman"/>
                <w:kern w:val="0"/>
                <w:sz w:val="24"/>
                <w:szCs w:val="24"/>
              </w:rPr>
            </w:pPr>
          </w:p>
        </w:tc>
        <w:tc>
          <w:tcPr>
            <w:tcW w:w="920"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20&lt;t≤40</w:t>
            </w:r>
          </w:p>
        </w:tc>
        <w:tc>
          <w:tcPr>
            <w:tcW w:w="1624"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2.0</w:t>
            </w:r>
          </w:p>
        </w:tc>
        <w:tc>
          <w:tcPr>
            <w:tcW w:w="1663" w:type="pct"/>
            <w:vMerge w:val="continue"/>
          </w:tcPr>
          <w:p>
            <w:pPr>
              <w:spacing w:line="400" w:lineRule="exact"/>
              <w:jc w:val="center"/>
              <w:rPr>
                <w:rFonts w:ascii="Times New Roman" w:hAnsi="Times New Roman" w:eastAsia="宋体" w:cs="Times New Roman"/>
                <w:ker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0" w:hRule="atLeast"/>
        </w:trPr>
        <w:tc>
          <w:tcPr>
            <w:tcW w:w="793" w:type="pct"/>
            <w:vMerge w:val="continue"/>
            <w:tcBorders>
              <w:top w:val="nil"/>
            </w:tcBorders>
          </w:tcPr>
          <w:p>
            <w:pPr>
              <w:spacing w:line="400" w:lineRule="exact"/>
              <w:jc w:val="center"/>
              <w:rPr>
                <w:rFonts w:ascii="Times New Roman" w:hAnsi="Times New Roman" w:eastAsia="宋体" w:cs="Times New Roman"/>
                <w:kern w:val="0"/>
                <w:sz w:val="24"/>
                <w:szCs w:val="24"/>
              </w:rPr>
            </w:pPr>
          </w:p>
        </w:tc>
        <w:tc>
          <w:tcPr>
            <w:tcW w:w="920"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t&gt;40</w:t>
            </w:r>
          </w:p>
        </w:tc>
        <w:tc>
          <w:tcPr>
            <w:tcW w:w="1624"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3.0</w:t>
            </w:r>
          </w:p>
        </w:tc>
        <w:tc>
          <w:tcPr>
            <w:tcW w:w="1663" w:type="pct"/>
            <w:vMerge w:val="continue"/>
          </w:tcPr>
          <w:p>
            <w:pPr>
              <w:spacing w:line="400" w:lineRule="exact"/>
              <w:jc w:val="center"/>
              <w:rPr>
                <w:rFonts w:ascii="Times New Roman" w:hAnsi="Times New Roman" w:eastAsia="宋体" w:cs="Times New Roman"/>
                <w:kern w:val="0"/>
                <w:sz w:val="24"/>
                <w:szCs w:val="24"/>
              </w:rPr>
            </w:pPr>
          </w:p>
        </w:tc>
      </w:tr>
    </w:tbl>
    <w:p>
      <w:pPr>
        <w:spacing w:line="400" w:lineRule="exact"/>
        <w:rPr>
          <w:rFonts w:ascii="Times New Roman" w:hAnsi="Times New Roman" w:eastAsia="宋体" w:cs="Times New Roman"/>
          <w:spacing w:val="19"/>
          <w:sz w:val="24"/>
          <w:szCs w:val="24"/>
        </w:rPr>
      </w:pPr>
      <w:r>
        <w:rPr>
          <w:rFonts w:ascii="Times New Roman" w:hAnsi="Times New Roman" w:eastAsia="宋体" w:cs="Times New Roman"/>
          <w:spacing w:val="19"/>
          <w:sz w:val="24"/>
          <w:szCs w:val="24"/>
        </w:rPr>
        <w:t>注：D为焊接球的外径，t为焊接球的壁厚。</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 螺栓球表面应圆顺，不得有裂纹、氧化皮等杂质，球的加工制作应符合标准《钢网架螺栓球节点》JG/T 10。螺纹应按6H级精度加工，并应符合现行国家标准《普通螺纹公差》 GB/T 197的规定。螺栓球的尺寸允许偏差应符合表6.2.4-2的规定。</w:t>
      </w:r>
    </w:p>
    <w:p>
      <w:pPr>
        <w:spacing w:line="400" w:lineRule="exact"/>
        <w:jc w:val="center"/>
        <w:rPr>
          <w:rFonts w:ascii="Times New Roman" w:hAnsi="Times New Roman" w:eastAsia="宋体" w:cs="Times New Roman"/>
          <w:sz w:val="24"/>
          <w:szCs w:val="24"/>
        </w:rPr>
      </w:pPr>
      <w:r>
        <w:rPr>
          <w:rFonts w:ascii="Times New Roman" w:hAnsi="Times New Roman" w:eastAsia="宋体" w:cs="Times New Roman"/>
          <w:spacing w:val="-13"/>
          <w:sz w:val="24"/>
          <w:szCs w:val="24"/>
        </w:rPr>
        <w:t>表6.2.4-2</w:t>
      </w:r>
      <w:r>
        <w:rPr>
          <w:rFonts w:ascii="Times New Roman" w:hAnsi="Times New Roman" w:eastAsia="宋体" w:cs="Times New Roman"/>
          <w:spacing w:val="177"/>
          <w:sz w:val="24"/>
          <w:szCs w:val="24"/>
        </w:rPr>
        <w:t xml:space="preserve"> </w:t>
      </w:r>
      <w:r>
        <w:rPr>
          <w:rFonts w:ascii="Times New Roman" w:hAnsi="Times New Roman" w:eastAsia="宋体" w:cs="Times New Roman"/>
          <w:spacing w:val="-13"/>
          <w:sz w:val="24"/>
          <w:szCs w:val="24"/>
        </w:rPr>
        <w:t>螺栓球尺寸的允许偏差及检验方法</w:t>
      </w:r>
    </w:p>
    <w:tbl>
      <w:tblPr>
        <w:tblStyle w:val="39"/>
        <w:tblW w:w="5000"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2620"/>
        <w:gridCol w:w="1313"/>
        <w:gridCol w:w="1045"/>
        <w:gridCol w:w="3340"/>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4" w:hRule="atLeast"/>
        </w:trPr>
        <w:tc>
          <w:tcPr>
            <w:tcW w:w="1575"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项    目</w:t>
            </w:r>
          </w:p>
        </w:tc>
        <w:tc>
          <w:tcPr>
            <w:tcW w:w="789"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规格(mm)</w:t>
            </w:r>
          </w:p>
        </w:tc>
        <w:tc>
          <w:tcPr>
            <w:tcW w:w="628"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允许偏差</w:t>
            </w:r>
          </w:p>
        </w:tc>
        <w:tc>
          <w:tcPr>
            <w:tcW w:w="2007"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检验方法</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4" w:hRule="atLeast"/>
        </w:trPr>
        <w:tc>
          <w:tcPr>
            <w:tcW w:w="1575" w:type="pct"/>
            <w:vMerge w:val="restart"/>
            <w:tcBorders>
              <w:top w:val="single" w:color="auto" w:sz="4" w:space="0"/>
            </w:tcBorders>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同一轴线上两铣平面平行度</w:t>
            </w:r>
          </w:p>
        </w:tc>
        <w:tc>
          <w:tcPr>
            <w:tcW w:w="789"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D≤120</w:t>
            </w:r>
          </w:p>
        </w:tc>
        <w:tc>
          <w:tcPr>
            <w:tcW w:w="628"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0.2mm</w:t>
            </w:r>
          </w:p>
        </w:tc>
        <w:tc>
          <w:tcPr>
            <w:tcW w:w="2007" w:type="pct"/>
            <w:vMerge w:val="restar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用游标卡尺、高度尺检查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60" w:hRule="atLeast"/>
        </w:trPr>
        <w:tc>
          <w:tcPr>
            <w:tcW w:w="1575" w:type="pct"/>
            <w:vMerge w:val="continue"/>
            <w:tcBorders>
              <w:bottom w:val="single" w:color="auto" w:sz="4" w:space="0"/>
            </w:tcBorders>
          </w:tcPr>
          <w:p>
            <w:pPr>
              <w:spacing w:line="400" w:lineRule="exact"/>
              <w:jc w:val="center"/>
              <w:rPr>
                <w:rFonts w:ascii="Times New Roman" w:hAnsi="Times New Roman" w:eastAsia="宋体" w:cs="Times New Roman"/>
                <w:kern w:val="0"/>
                <w:sz w:val="24"/>
                <w:szCs w:val="24"/>
              </w:rPr>
            </w:pPr>
          </w:p>
        </w:tc>
        <w:tc>
          <w:tcPr>
            <w:tcW w:w="789"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D&gt;120</w:t>
            </w:r>
          </w:p>
        </w:tc>
        <w:tc>
          <w:tcPr>
            <w:tcW w:w="628"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0.3mm</w:t>
            </w:r>
          </w:p>
        </w:tc>
        <w:tc>
          <w:tcPr>
            <w:tcW w:w="2007" w:type="pct"/>
            <w:vMerge w:val="continue"/>
          </w:tcPr>
          <w:p>
            <w:pPr>
              <w:spacing w:line="400" w:lineRule="exact"/>
              <w:jc w:val="center"/>
              <w:rPr>
                <w:rFonts w:ascii="Times New Roman" w:hAnsi="Times New Roman" w:eastAsia="宋体" w:cs="Times New Roman"/>
                <w:kern w:val="0"/>
                <w:sz w:val="24"/>
                <w:szCs w:val="24"/>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05" w:hRule="atLeast"/>
        </w:trPr>
        <w:tc>
          <w:tcPr>
            <w:tcW w:w="1575" w:type="pct"/>
            <w:tcBorders>
              <w:top w:val="single" w:color="auto" w:sz="4" w:space="0"/>
              <w:bottom w:val="single" w:color="auto" w:sz="4" w:space="0"/>
            </w:tcBorders>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铣平面距球中心距离</w:t>
            </w:r>
          </w:p>
        </w:tc>
        <w:tc>
          <w:tcPr>
            <w:tcW w:w="789" w:type="pct"/>
          </w:tcPr>
          <w:p>
            <w:pPr>
              <w:spacing w:line="400" w:lineRule="exact"/>
              <w:jc w:val="center"/>
              <w:rPr>
                <w:rFonts w:ascii="Times New Roman" w:hAnsi="Times New Roman" w:eastAsia="宋体" w:cs="Times New Roman"/>
                <w:kern w:val="0"/>
                <w:sz w:val="24"/>
                <w:szCs w:val="24"/>
              </w:rPr>
            </w:pPr>
          </w:p>
        </w:tc>
        <w:tc>
          <w:tcPr>
            <w:tcW w:w="628"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±0.2mm</w:t>
            </w:r>
          </w:p>
        </w:tc>
        <w:tc>
          <w:tcPr>
            <w:tcW w:w="2007"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用游标卡尺、测量芯棒、高度尺检查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5" w:hRule="atLeast"/>
        </w:trPr>
        <w:tc>
          <w:tcPr>
            <w:tcW w:w="1575" w:type="pct"/>
            <w:tcBorders>
              <w:top w:val="single" w:color="auto" w:sz="4" w:space="0"/>
              <w:bottom w:val="single" w:color="auto" w:sz="4" w:space="0"/>
            </w:tcBorders>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相邻两螺栓孔中心线夹角</w:t>
            </w:r>
          </w:p>
        </w:tc>
        <w:tc>
          <w:tcPr>
            <w:tcW w:w="789" w:type="pct"/>
          </w:tcPr>
          <w:p>
            <w:pPr>
              <w:spacing w:line="400" w:lineRule="exact"/>
              <w:jc w:val="center"/>
              <w:rPr>
                <w:rFonts w:ascii="Times New Roman" w:hAnsi="Times New Roman" w:eastAsia="宋体" w:cs="Times New Roman"/>
                <w:kern w:val="0"/>
                <w:sz w:val="24"/>
                <w:szCs w:val="24"/>
              </w:rPr>
            </w:pPr>
          </w:p>
        </w:tc>
        <w:tc>
          <w:tcPr>
            <w:tcW w:w="628"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±30′</w:t>
            </w:r>
          </w:p>
        </w:tc>
        <w:tc>
          <w:tcPr>
            <w:tcW w:w="2007"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用测量芯棒、高度尺、分度头检查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20" w:hRule="atLeast"/>
        </w:trPr>
        <w:tc>
          <w:tcPr>
            <w:tcW w:w="1575" w:type="pct"/>
            <w:tcBorders>
              <w:top w:val="single" w:color="auto" w:sz="4" w:space="0"/>
            </w:tcBorders>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铣平面与螺栓孔轴线垂直度</w:t>
            </w:r>
          </w:p>
        </w:tc>
        <w:tc>
          <w:tcPr>
            <w:tcW w:w="789" w:type="pct"/>
          </w:tcPr>
          <w:p>
            <w:pPr>
              <w:spacing w:line="400" w:lineRule="exact"/>
              <w:jc w:val="center"/>
              <w:rPr>
                <w:rFonts w:ascii="Times New Roman" w:hAnsi="Times New Roman" w:eastAsia="宋体" w:cs="Times New Roman"/>
                <w:kern w:val="0"/>
                <w:sz w:val="24"/>
                <w:szCs w:val="24"/>
              </w:rPr>
            </w:pPr>
          </w:p>
        </w:tc>
        <w:tc>
          <w:tcPr>
            <w:tcW w:w="628"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0.005r</w:t>
            </w:r>
          </w:p>
        </w:tc>
        <w:tc>
          <w:tcPr>
            <w:tcW w:w="2007" w:type="pct"/>
          </w:tcPr>
          <w:p>
            <w:pPr>
              <w:spacing w:line="400" w:lineRule="exact"/>
              <w:jc w:val="center"/>
              <w:rPr>
                <w:rFonts w:ascii="Times New Roman" w:hAnsi="Times New Roman" w:eastAsia="宋体" w:cs="Times New Roman"/>
                <w:kern w:val="0"/>
                <w:sz w:val="24"/>
                <w:szCs w:val="24"/>
              </w:rPr>
            </w:pPr>
            <w:r>
              <w:rPr>
                <w:rFonts w:ascii="Times New Roman" w:hAnsi="Times New Roman" w:eastAsia="宋体" w:cs="Times New Roman"/>
                <w:kern w:val="0"/>
                <w:sz w:val="24"/>
                <w:szCs w:val="24"/>
              </w:rPr>
              <w:t>用百分表</w:t>
            </w:r>
          </w:p>
        </w:tc>
      </w:tr>
    </w:tbl>
    <w:p>
      <w:pPr>
        <w:spacing w:line="400" w:lineRule="exact"/>
        <w:rPr>
          <w:rFonts w:ascii="Times New Roman" w:hAnsi="Times New Roman" w:eastAsia="宋体" w:cs="Times New Roman"/>
          <w:sz w:val="24"/>
          <w:szCs w:val="24"/>
        </w:rPr>
      </w:pPr>
      <w:r>
        <w:rPr>
          <w:rFonts w:ascii="Times New Roman" w:hAnsi="Times New Roman" w:eastAsia="宋体" w:cs="Times New Roman"/>
          <w:spacing w:val="-22"/>
          <w:sz w:val="24"/>
          <w:szCs w:val="24"/>
        </w:rPr>
        <w:t>注：D</w:t>
      </w:r>
      <w:r>
        <w:rPr>
          <w:rFonts w:ascii="Times New Roman" w:hAnsi="Times New Roman" w:eastAsia="宋体" w:cs="Times New Roman"/>
          <w:spacing w:val="43"/>
          <w:sz w:val="24"/>
          <w:szCs w:val="24"/>
        </w:rPr>
        <w:t xml:space="preserve"> </w:t>
      </w:r>
      <w:r>
        <w:rPr>
          <w:rFonts w:ascii="Times New Roman" w:hAnsi="Times New Roman" w:eastAsia="宋体" w:cs="Times New Roman"/>
          <w:spacing w:val="-22"/>
          <w:sz w:val="24"/>
          <w:szCs w:val="24"/>
        </w:rPr>
        <w:t>为螺栓球直径，r  为铣平面半径。</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3 高强度螺栓进厂验收按《钢网架螺栓球节点用高强度螺栓》GB/T 16939执行。</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4锥头、封板、套筒外观不得有裂纹、过烧及氧化皮。尺寸允许偏差应符合表6.2.4-4的规定。</w:t>
      </w:r>
    </w:p>
    <w:p>
      <w:pPr>
        <w:spacing w:line="400" w:lineRule="exact"/>
        <w:jc w:val="center"/>
        <w:rPr>
          <w:rFonts w:ascii="Times New Roman" w:hAnsi="Times New Roman" w:eastAsia="宋体" w:cs="Times New Roman"/>
          <w:sz w:val="24"/>
          <w:szCs w:val="24"/>
        </w:rPr>
      </w:pPr>
      <w:r>
        <w:rPr>
          <w:rFonts w:ascii="Times New Roman" w:hAnsi="Times New Roman" w:eastAsia="宋体" w:cs="Times New Roman"/>
          <w:sz w:val="24"/>
          <w:szCs w:val="24"/>
        </w:rPr>
        <w:t>表6.2.4-4   封板锥头套筒的允许偏差及检验方法</w:t>
      </w:r>
    </w:p>
    <w:tbl>
      <w:tblPr>
        <w:tblStyle w:val="16"/>
        <w:tblW w:w="9426" w:type="dxa"/>
        <w:jc w:val="center"/>
        <w:tblLayout w:type="fixed"/>
        <w:tblCellMar>
          <w:top w:w="0" w:type="dxa"/>
          <w:left w:w="108" w:type="dxa"/>
          <w:bottom w:w="0" w:type="dxa"/>
          <w:right w:w="108" w:type="dxa"/>
        </w:tblCellMar>
      </w:tblPr>
      <w:tblGrid>
        <w:gridCol w:w="729"/>
        <w:gridCol w:w="3100"/>
        <w:gridCol w:w="1656"/>
        <w:gridCol w:w="3941"/>
      </w:tblGrid>
      <w:tr>
        <w:tblPrEx>
          <w:tblCellMar>
            <w:top w:w="0" w:type="dxa"/>
            <w:left w:w="108" w:type="dxa"/>
            <w:bottom w:w="0" w:type="dxa"/>
            <w:right w:w="108" w:type="dxa"/>
          </w:tblCellMar>
        </w:tblPrEx>
        <w:trPr>
          <w:trHeight w:val="280" w:hRule="atLeast"/>
          <w:jc w:val="center"/>
        </w:trPr>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项次</w:t>
            </w:r>
          </w:p>
        </w:tc>
        <w:tc>
          <w:tcPr>
            <w:tcW w:w="310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项目</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允许偏差（mm）</w:t>
            </w:r>
          </w:p>
        </w:tc>
        <w:tc>
          <w:tcPr>
            <w:tcW w:w="3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检验方法</w:t>
            </w:r>
          </w:p>
        </w:tc>
      </w:tr>
      <w:tr>
        <w:tblPrEx>
          <w:tblCellMar>
            <w:top w:w="0" w:type="dxa"/>
            <w:left w:w="108" w:type="dxa"/>
            <w:bottom w:w="0" w:type="dxa"/>
            <w:right w:w="108" w:type="dxa"/>
          </w:tblCellMar>
        </w:tblPrEx>
        <w:trPr>
          <w:trHeight w:val="280" w:hRule="atLeast"/>
          <w:jc w:val="center"/>
        </w:trPr>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1</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封板、锥头孔径</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+0.5</w:t>
            </w:r>
          </w:p>
        </w:tc>
        <w:tc>
          <w:tcPr>
            <w:tcW w:w="394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用游标卡尺检查</w:t>
            </w:r>
          </w:p>
        </w:tc>
      </w:tr>
      <w:tr>
        <w:tblPrEx>
          <w:tblCellMar>
            <w:top w:w="0" w:type="dxa"/>
            <w:left w:w="108" w:type="dxa"/>
            <w:bottom w:w="0" w:type="dxa"/>
            <w:right w:w="108" w:type="dxa"/>
          </w:tblCellMar>
        </w:tblPrEx>
        <w:trPr>
          <w:trHeight w:val="560" w:hRule="atLeast"/>
          <w:jc w:val="center"/>
        </w:trPr>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2</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封板、锥头孔径</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+0.5           -0.2</w:t>
            </w:r>
          </w:p>
        </w:tc>
        <w:tc>
          <w:tcPr>
            <w:tcW w:w="394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center"/>
              <w:rPr>
                <w:rFonts w:ascii="Times New Roman" w:hAnsi="Times New Roman" w:eastAsia="宋体" w:cs="Times New Roman"/>
                <w:sz w:val="24"/>
                <w:szCs w:val="24"/>
              </w:rPr>
            </w:pPr>
          </w:p>
        </w:tc>
      </w:tr>
      <w:tr>
        <w:tblPrEx>
          <w:tblCellMar>
            <w:top w:w="0" w:type="dxa"/>
            <w:left w:w="108" w:type="dxa"/>
            <w:bottom w:w="0" w:type="dxa"/>
            <w:right w:w="108" w:type="dxa"/>
          </w:tblCellMar>
        </w:tblPrEx>
        <w:trPr>
          <w:trHeight w:val="280" w:hRule="atLeast"/>
          <w:jc w:val="center"/>
        </w:trPr>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3</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封板、锥头底板二面平行度</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0.1</w:t>
            </w:r>
          </w:p>
        </w:tc>
        <w:tc>
          <w:tcPr>
            <w:tcW w:w="3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用百分表、V形块检查</w:t>
            </w:r>
          </w:p>
        </w:tc>
      </w:tr>
      <w:tr>
        <w:tblPrEx>
          <w:tblCellMar>
            <w:top w:w="0" w:type="dxa"/>
            <w:left w:w="108" w:type="dxa"/>
            <w:bottom w:w="0" w:type="dxa"/>
            <w:right w:w="108" w:type="dxa"/>
          </w:tblCellMar>
        </w:tblPrEx>
        <w:trPr>
          <w:trHeight w:val="560" w:hRule="atLeast"/>
          <w:jc w:val="center"/>
        </w:trPr>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4</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封板、锥头孔与钢管安装台阶同轴度</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0.2</w:t>
            </w:r>
          </w:p>
        </w:tc>
        <w:tc>
          <w:tcPr>
            <w:tcW w:w="3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用百分表、V形块检查</w:t>
            </w:r>
          </w:p>
        </w:tc>
      </w:tr>
      <w:tr>
        <w:tblPrEx>
          <w:tblCellMar>
            <w:top w:w="0" w:type="dxa"/>
            <w:left w:w="108" w:type="dxa"/>
            <w:bottom w:w="0" w:type="dxa"/>
            <w:right w:w="108" w:type="dxa"/>
          </w:tblCellMar>
        </w:tblPrEx>
        <w:trPr>
          <w:trHeight w:val="560" w:hRule="atLeast"/>
          <w:jc w:val="center"/>
        </w:trPr>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5</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锥头壁厚</w:t>
            </w:r>
          </w:p>
        </w:tc>
        <w:tc>
          <w:tcPr>
            <w:tcW w:w="1656"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+0.2         0</w:t>
            </w:r>
          </w:p>
        </w:tc>
        <w:tc>
          <w:tcPr>
            <w:tcW w:w="3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用游标卡尺检查</w:t>
            </w:r>
          </w:p>
        </w:tc>
      </w:tr>
      <w:tr>
        <w:tblPrEx>
          <w:tblCellMar>
            <w:top w:w="0" w:type="dxa"/>
            <w:left w:w="108" w:type="dxa"/>
            <w:bottom w:w="0" w:type="dxa"/>
            <w:right w:w="108" w:type="dxa"/>
          </w:tblCellMar>
        </w:tblPrEx>
        <w:trPr>
          <w:trHeight w:val="280" w:hRule="atLeast"/>
          <w:jc w:val="center"/>
        </w:trPr>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6</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套筒长度</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w:t>
            </w:r>
            <w:r>
              <w:rPr>
                <w:rStyle w:val="40"/>
                <w:rFonts w:hint="default" w:ascii="Times New Roman" w:hAnsi="Times New Roman" w:cs="Times New Roman"/>
                <w:color w:val="auto"/>
                <w:sz w:val="24"/>
                <w:szCs w:val="24"/>
                <w:lang w:bidi="ar"/>
              </w:rPr>
              <w:t>0.2</w:t>
            </w:r>
          </w:p>
        </w:tc>
        <w:tc>
          <w:tcPr>
            <w:tcW w:w="394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用游标卡尺检查</w:t>
            </w:r>
          </w:p>
        </w:tc>
      </w:tr>
      <w:tr>
        <w:tblPrEx>
          <w:tblCellMar>
            <w:top w:w="0" w:type="dxa"/>
            <w:left w:w="108" w:type="dxa"/>
            <w:bottom w:w="0" w:type="dxa"/>
            <w:right w:w="108" w:type="dxa"/>
          </w:tblCellMar>
        </w:tblPrEx>
        <w:trPr>
          <w:trHeight w:val="280" w:hRule="atLeast"/>
          <w:jc w:val="center"/>
        </w:trPr>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7</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套筒两端面与轴线的垂直度</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0.5%r</w:t>
            </w:r>
          </w:p>
        </w:tc>
        <w:tc>
          <w:tcPr>
            <w:tcW w:w="3941"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用游标卡尺、百分表、测量芯棒检查</w:t>
            </w:r>
          </w:p>
        </w:tc>
      </w:tr>
      <w:tr>
        <w:tblPrEx>
          <w:tblCellMar>
            <w:top w:w="0" w:type="dxa"/>
            <w:left w:w="108" w:type="dxa"/>
            <w:bottom w:w="0" w:type="dxa"/>
            <w:right w:w="108" w:type="dxa"/>
          </w:tblCellMar>
        </w:tblPrEx>
        <w:trPr>
          <w:trHeight w:val="280" w:hRule="atLeast"/>
          <w:jc w:val="center"/>
        </w:trPr>
        <w:tc>
          <w:tcPr>
            <w:tcW w:w="72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8</w:t>
            </w:r>
          </w:p>
        </w:tc>
        <w:tc>
          <w:tcPr>
            <w:tcW w:w="3100"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套筒两端面的平行度</w:t>
            </w:r>
          </w:p>
        </w:tc>
        <w:tc>
          <w:tcPr>
            <w:tcW w:w="165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0.3</w:t>
            </w:r>
          </w:p>
        </w:tc>
        <w:tc>
          <w:tcPr>
            <w:tcW w:w="3941"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spacing w:line="400" w:lineRule="exact"/>
              <w:jc w:val="center"/>
              <w:rPr>
                <w:rFonts w:ascii="Times New Roman" w:hAnsi="Times New Roman" w:eastAsia="宋体" w:cs="Times New Roman"/>
                <w:sz w:val="24"/>
                <w:szCs w:val="24"/>
              </w:rPr>
            </w:pPr>
          </w:p>
        </w:tc>
      </w:tr>
    </w:tbl>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注</w:t>
      </w:r>
      <w:r>
        <w:rPr>
          <w:rFonts w:hint="eastAsia" w:ascii="Times New Roman" w:hAnsi="Times New Roman" w:eastAsia="宋体" w:cs="Times New Roman"/>
          <w:sz w:val="24"/>
          <w:szCs w:val="24"/>
        </w:rPr>
        <w:t>：</w:t>
      </w:r>
      <w:r>
        <w:rPr>
          <w:rFonts w:ascii="Times New Roman" w:hAnsi="Times New Roman" w:eastAsia="宋体" w:cs="Times New Roman"/>
          <w:sz w:val="24"/>
          <w:szCs w:val="24"/>
        </w:rPr>
        <w:t>封板、锥头、套简应分别进行检验评定；r为套筒的外接圆半径。</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 xml:space="preserve">6.2.5钢管杆件宜用机械下料或数控下料。杆件下料长度应预加焊接收缩量，收缩量工厂依据试件测量。杆件制作长度（含锥头）的允许偏差应为±1mm，采用螺栓球节点连接的杆件最终长度应包括锥头或封板。 </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6.2.6 支座节点、支托节点等的制作加工应符合设计和《钢结构工程施工质量验收标准》GB 50205 的要求。</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6.2.7 涂装工程应符合下列要求：</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网壳杆件防腐宜采用室内自动喷粉处理，当采用油漆喷涂时，表面除锈处理后宜在4h内进行涂装，晴天或湿度不大的气候条件下不应超过12h，雨天、潮湿、有雾的气候条件下不应超过2h。</w:t>
      </w:r>
    </w:p>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涂装前钢材表面应除锈，处理后的钢材表面不应有焊渣、焊疤、灰尘、油污水和毛刺等。当设计无要求时，钢材表面除锈等级应符合表6.2.7-1的规定。</w:t>
      </w:r>
    </w:p>
    <w:p>
      <w:pPr>
        <w:pStyle w:val="38"/>
        <w:spacing w:line="400" w:lineRule="exact"/>
        <w:ind w:left="0" w:leftChars="0"/>
        <w:jc w:val="center"/>
        <w:rPr>
          <w:rFonts w:ascii="Times New Roman" w:hAnsi="Times New Roman" w:eastAsia="宋体" w:cs="Times New Roman"/>
          <w:sz w:val="24"/>
          <w:szCs w:val="24"/>
        </w:rPr>
      </w:pPr>
      <w:r>
        <w:rPr>
          <w:rFonts w:ascii="Times New Roman" w:hAnsi="Times New Roman" w:eastAsia="宋体" w:cs="Times New Roman"/>
          <w:sz w:val="24"/>
          <w:szCs w:val="24"/>
        </w:rPr>
        <w:t>表6.2.7-1  各种底漆或防锈漆要求最低的防锈等级</w:t>
      </w:r>
    </w:p>
    <w:tbl>
      <w:tblPr>
        <w:tblStyle w:val="16"/>
        <w:tblW w:w="8778" w:type="dxa"/>
        <w:tblInd w:w="0" w:type="dxa"/>
        <w:tblLayout w:type="fixed"/>
        <w:tblCellMar>
          <w:top w:w="0" w:type="dxa"/>
          <w:left w:w="108" w:type="dxa"/>
          <w:bottom w:w="0" w:type="dxa"/>
          <w:right w:w="108" w:type="dxa"/>
        </w:tblCellMar>
      </w:tblPr>
      <w:tblGrid>
        <w:gridCol w:w="5955"/>
        <w:gridCol w:w="2823"/>
      </w:tblGrid>
      <w:tr>
        <w:tblPrEx>
          <w:tblCellMar>
            <w:top w:w="0" w:type="dxa"/>
            <w:left w:w="108" w:type="dxa"/>
            <w:bottom w:w="0" w:type="dxa"/>
            <w:right w:w="108" w:type="dxa"/>
          </w:tblCellMar>
        </w:tblPrEx>
        <w:trPr>
          <w:trHeight w:val="280" w:hRule="atLeast"/>
        </w:trPr>
        <w:tc>
          <w:tcPr>
            <w:tcW w:w="595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涂料品种</w:t>
            </w:r>
          </w:p>
        </w:tc>
        <w:tc>
          <w:tcPr>
            <w:tcW w:w="2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除锈等级</w:t>
            </w:r>
          </w:p>
        </w:tc>
      </w:tr>
      <w:tr>
        <w:tblPrEx>
          <w:tblCellMar>
            <w:top w:w="0" w:type="dxa"/>
            <w:left w:w="108" w:type="dxa"/>
            <w:bottom w:w="0" w:type="dxa"/>
            <w:right w:w="108" w:type="dxa"/>
          </w:tblCellMar>
        </w:tblPrEx>
        <w:trPr>
          <w:trHeight w:val="375" w:hRule="atLeast"/>
        </w:trPr>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油性酚醛、醇酸等底漆或防锈漆</w:t>
            </w:r>
          </w:p>
        </w:tc>
        <w:tc>
          <w:tcPr>
            <w:tcW w:w="2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St3</w:t>
            </w:r>
          </w:p>
        </w:tc>
      </w:tr>
      <w:tr>
        <w:tblPrEx>
          <w:tblCellMar>
            <w:top w:w="0" w:type="dxa"/>
            <w:left w:w="108" w:type="dxa"/>
            <w:bottom w:w="0" w:type="dxa"/>
            <w:right w:w="108" w:type="dxa"/>
          </w:tblCellMar>
        </w:tblPrEx>
        <w:trPr>
          <w:trHeight w:val="560" w:hRule="atLeast"/>
        </w:trPr>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高氯化聚乙烯、氯化橡胶、氯磺化聚乙烯、环氧树脂聚氨酯等底漆或防锈漆</w:t>
            </w:r>
          </w:p>
        </w:tc>
        <w:tc>
          <w:tcPr>
            <w:tcW w:w="2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Sa2.5</w:t>
            </w:r>
          </w:p>
        </w:tc>
      </w:tr>
      <w:tr>
        <w:tblPrEx>
          <w:tblCellMar>
            <w:top w:w="0" w:type="dxa"/>
            <w:left w:w="108" w:type="dxa"/>
            <w:bottom w:w="0" w:type="dxa"/>
            <w:right w:w="108" w:type="dxa"/>
          </w:tblCellMar>
        </w:tblPrEx>
        <w:trPr>
          <w:trHeight w:val="280" w:hRule="atLeast"/>
        </w:trPr>
        <w:tc>
          <w:tcPr>
            <w:tcW w:w="5955" w:type="dxa"/>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无机富锌、有机硅、过氯乙烯等底漆、粉末涂料底粉</w:t>
            </w:r>
          </w:p>
        </w:tc>
        <w:tc>
          <w:tcPr>
            <w:tcW w:w="282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400" w:lineRule="exact"/>
              <w:jc w:val="center"/>
              <w:textAlignment w:val="center"/>
              <w:rPr>
                <w:rFonts w:ascii="Times New Roman" w:hAnsi="Times New Roman" w:eastAsia="宋体" w:cs="Times New Roman"/>
                <w:sz w:val="24"/>
                <w:szCs w:val="24"/>
              </w:rPr>
            </w:pPr>
            <w:r>
              <w:rPr>
                <w:rFonts w:ascii="Times New Roman" w:hAnsi="Times New Roman" w:eastAsia="宋体" w:cs="Times New Roman"/>
                <w:kern w:val="0"/>
                <w:sz w:val="24"/>
                <w:szCs w:val="24"/>
                <w:lang w:bidi="ar"/>
              </w:rPr>
              <w:t>Sa2.5</w:t>
            </w:r>
          </w:p>
        </w:tc>
      </w:tr>
    </w:tbl>
    <w:p>
      <w:pPr>
        <w:pStyle w:val="2"/>
        <w:spacing w:after="0"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3</w:t>
      </w:r>
      <w:r>
        <w:rPr>
          <w:rFonts w:hint="eastAsia" w:ascii="Times New Roman" w:hAnsi="Times New Roman" w:eastAsia="宋体" w:cs="Times New Roman"/>
          <w:sz w:val="24"/>
          <w:szCs w:val="24"/>
        </w:rPr>
        <w:t xml:space="preserve"> </w:t>
      </w:r>
      <w:r>
        <w:rPr>
          <w:rFonts w:ascii="Times New Roman" w:hAnsi="Times New Roman" w:eastAsia="宋体" w:cs="Times New Roman"/>
          <w:sz w:val="24"/>
          <w:szCs w:val="24"/>
        </w:rPr>
        <w:t>防腐涂装体系、遍数、涂层厚度均应满足设计文件和涂料产品现行标准的要求。当设计对涂层厚度无要求时，涂层干漆膜厚度要求按照 《钢结构工程质量验收规范》 GB 50205涂装工程要求。</w:t>
      </w:r>
    </w:p>
    <w:p>
      <w:pPr>
        <w:pStyle w:val="4"/>
        <w:spacing w:before="156" w:beforeLines="50" w:after="156" w:afterLines="50" w:line="400" w:lineRule="exact"/>
        <w:jc w:val="center"/>
        <w:rPr>
          <w:rFonts w:ascii="Times New Roman" w:hAnsi="Times New Roman" w:eastAsia="宋体" w:cs="Times New Roman"/>
          <w:sz w:val="24"/>
          <w:szCs w:val="24"/>
        </w:rPr>
      </w:pPr>
      <w:bookmarkStart w:id="125" w:name="_Toc10696"/>
      <w:bookmarkStart w:id="126" w:name="_Toc186014803"/>
      <w:bookmarkStart w:id="127" w:name="_Toc186028024"/>
      <w:r>
        <w:rPr>
          <w:rFonts w:ascii="Times New Roman" w:hAnsi="Times New Roman" w:eastAsia="宋体" w:cs="Times New Roman"/>
          <w:sz w:val="24"/>
          <w:szCs w:val="24"/>
        </w:rPr>
        <w:t>6.3 高空散装法</w:t>
      </w:r>
      <w:bookmarkEnd w:id="125"/>
      <w:bookmarkEnd w:id="126"/>
      <w:bookmarkEnd w:id="127"/>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6.3.1水泥熟料库网壳安装前，第一步先复测网壳基础预埋件轴线及标高。复测完毕后，先行安装固定支座，在安装支座过程中同步安装第一圈焊接球及第一圈环向杆件。在安装过程中应对控制点空间坐标随时跟踪测量，并及时调整至设计要求值，不应使安装偏差逐步积累，确保第一圈焊接球及杆件安装完成闭合。</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6.3.2 支座第一圈杆件闭合后，开始安装第一层小单元上弦网壳立杆及水平杆，利用临时支撑钢管将上弦球与库壁埋件支撑固定。</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6.3.3 第一层上下弦网壳完成散装合拢后，核对杆件垂直度及轴线，确保成圆形后再进行后续网壳散装。复核后进行第二层网壳下弦三角小单元安装。</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6.3.4 后续先根据图纸在地面将网壳构件拼成一个个锥体型小拼单元, 按照节点所在层和水平分布位置顺序排列,然后用吊车从一点沿圆周把锥体一个个起吊到设计标高位置,施工人员进行高空散装对接安装, 按照先安装下弦锥体, 再安装上弦锥体的方法进行施工。</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6.3.5 当球壳第三层安装完毕后, 网架形成刚性, 网架整体向仓内收缩悬挑, 支座安装应力已充分释放。</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6.3.6 网架必须每一圈合龙形成刚性整体后, 球壳才能在其上进行下一圈网架的安装施工。一层一层向上进行循环安装直至整个网架安装完毕。 采用小拼单元或杆件直接在高空拼装时，其顺序应能保证拼装精度，减少累积误差。</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6.3.7 水泥熟料库楼面安装待网壳安装至圆台区域网壳时，利用圆台网壳散装的过程中，同步安装钢平台梁。</w:t>
      </w:r>
    </w:p>
    <w:p>
      <w:pPr>
        <w:pStyle w:val="4"/>
        <w:spacing w:before="156" w:beforeLines="50" w:after="156" w:afterLines="50" w:line="400" w:lineRule="exact"/>
        <w:jc w:val="center"/>
        <w:rPr>
          <w:rFonts w:ascii="Times New Roman" w:hAnsi="Times New Roman" w:eastAsia="宋体" w:cs="Times New Roman"/>
          <w:sz w:val="24"/>
          <w:szCs w:val="24"/>
        </w:rPr>
      </w:pPr>
      <w:bookmarkStart w:id="128" w:name="_Toc1884"/>
      <w:bookmarkStart w:id="129" w:name="_Toc186014804"/>
      <w:bookmarkStart w:id="130" w:name="_Toc186028025"/>
      <w:r>
        <w:rPr>
          <w:rFonts w:ascii="Times New Roman" w:hAnsi="Times New Roman" w:eastAsia="宋体" w:cs="Times New Roman"/>
          <w:sz w:val="24"/>
          <w:szCs w:val="24"/>
        </w:rPr>
        <w:t>6.4 分条或分块安装法</w:t>
      </w:r>
      <w:bookmarkEnd w:id="128"/>
      <w:bookmarkEnd w:id="129"/>
      <w:bookmarkEnd w:id="130"/>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6.4.1 将网壳结构分成条状单元或块状单元在高空连成整体时，分条或分块结构单元应具有足够刚度并保证自身的几何不变性，否则应采取临时加固措施。</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6.4.2 在分条或分块之间的合拢处，可采用安装螺栓或其他临时定位等措施。合拢时可用千斤顶或其他方法将网格单元顶升至设计标高，然后连接。</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6.4.3当选用扣件式钢管搭设拼装支架时，应根据支点荷载对满堂架进行设计，确保架体承载力、刚度满足要求。</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6.4.5 网格单元宜减少中间运输。如需运输时，应采取措施防止变形。</w:t>
      </w:r>
    </w:p>
    <w:p>
      <w:pPr>
        <w:pStyle w:val="4"/>
        <w:spacing w:before="156" w:beforeLines="50" w:after="156" w:afterLines="50" w:line="400" w:lineRule="exact"/>
        <w:jc w:val="center"/>
        <w:rPr>
          <w:rFonts w:ascii="Times New Roman" w:hAnsi="Times New Roman" w:eastAsia="宋体" w:cs="Times New Roman"/>
          <w:sz w:val="24"/>
          <w:szCs w:val="24"/>
        </w:rPr>
      </w:pPr>
      <w:bookmarkStart w:id="131" w:name="_Toc186028026"/>
      <w:bookmarkStart w:id="132" w:name="_Toc186014805"/>
      <w:bookmarkStart w:id="133" w:name="_Toc23724"/>
      <w:r>
        <w:rPr>
          <w:rFonts w:ascii="Times New Roman" w:hAnsi="Times New Roman" w:eastAsia="宋体" w:cs="Times New Roman"/>
          <w:sz w:val="24"/>
          <w:szCs w:val="24"/>
        </w:rPr>
        <w:t>6.5 整体提升法</w:t>
      </w:r>
      <w:bookmarkEnd w:id="131"/>
      <w:bookmarkEnd w:id="132"/>
      <w:bookmarkEnd w:id="133"/>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6.5.1 网壳结构整体提升可在结构柱上安装提升设备进行提升，也可在进行柱子滑模施工的同时提升，此时网壳结构 可作为操作平台。</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6.5.2 提升设备的使用负荷能力，应将额定负荷能力乘以折减系数，穿心式液压千斤顶可取0.5～0.6;电动螺杆升板机可取0.7～0.8;其他设备通过试验确定。</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6.5.3 网壳结构整体提升时应保证同步。相邻两提升点和最高与最低两个点的提升允许高差值应通过验算或试验确定。在通常情况下，相邻两个提升点允许高差值，当用升板机时，应为相邻点距离的1/400,且不应大于15mm;当采用穿心式液压千斤顶时，应为相邻点距离的1/250,且不应大于25mm。最高点与最低点允许高差值，当采用升板机时应为35mm,当采用穿心式液压千斤顶时应为50mm。</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6.5.4 提升设备的合力点与吊点的偏移值不应大于10mm。</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6.5.5 整体提升法的支承柱应进行稳定性验算。</w:t>
      </w:r>
    </w:p>
    <w:p>
      <w:pPr>
        <w:pStyle w:val="4"/>
        <w:spacing w:before="156" w:beforeLines="50" w:after="156" w:afterLines="50" w:line="400" w:lineRule="exact"/>
        <w:ind w:firstLine="480" w:firstLineChars="200"/>
        <w:jc w:val="center"/>
        <w:rPr>
          <w:rFonts w:ascii="Times New Roman" w:hAnsi="Times New Roman" w:eastAsia="宋体" w:cs="Times New Roman"/>
          <w:b w:val="0"/>
          <w:bCs w:val="0"/>
          <w:sz w:val="24"/>
          <w:szCs w:val="24"/>
        </w:rPr>
      </w:pPr>
      <w:bookmarkStart w:id="134" w:name="_Toc13702"/>
      <w:bookmarkStart w:id="135" w:name="_Toc186014806"/>
      <w:bookmarkStart w:id="136" w:name="_Toc186028027"/>
      <w:r>
        <w:rPr>
          <w:rFonts w:ascii="Times New Roman" w:hAnsi="Times New Roman" w:eastAsia="宋体" w:cs="Times New Roman"/>
          <w:sz w:val="24"/>
          <w:szCs w:val="24"/>
        </w:rPr>
        <w:t>6.6 验收</w:t>
      </w:r>
      <w:bookmarkEnd w:id="134"/>
      <w:bookmarkEnd w:id="135"/>
      <w:bookmarkEnd w:id="136"/>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6.6.1 水泥熟料库网壳工程质量验收记录应符合现行国家标准《建筑工程施工质量验收统一标准》GB50300和《钢结构工程施工质量验收标准》GB50205的规定进行。</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6.6.2 水泥熟料库网壳的制作、拼装和安装的每道工序完成后均应进行检查，经检查合格后方可进行下一工序的施工，每道工序的检查均应作出记录，并汇总存档。结构安装完成后必须进行交工验收。水泥熟料库网壳的各种节点、杆件、高强螺栓、其他零配件、构件、连接件等均应有出厂合格证及检验记录。</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6.6.3 交工验收时，应检查支座的中心偏移和高度偏差，各允许偏差应符合下列规定:</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1 支座中心偏移库顶环梁中心线的允许偏差应为库直径的1/2000，且不应大于30mm;</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2 相邻支座高差的允许偏差应为相邻支座间距的1/800，且不大于15mm;对多点支承的空间网格结构，相邻支座高差的允许偏差应为相邻间距的1/400，且不应大于 15mm，库壁中心线圆周上支座最大高差的允许偏差不应大于30mm。</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6.6.4 水泥熟料库网壳结构安装完成后，应对挠度进行测量。测量点的位置可由设计单位确定。当设计无要求时，应测量库顶平台圆心最近处和拉链机（皮带机）廊道支座附近的下弦球节点竖向挠度，所测得的挠度值不应超过现荷载条件下挠度计算值的 1.15倍。</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6.6.5 水泥熟料库网壳工程验收，应具备下列文件和记录：</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水泥熟料库网壳结构施工图、设计变更文件、竣工图；</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施工方案；</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所用钢材及其他材料的质量证明书和试验报告；</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零部件产品合格证和试验报告；</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焊接质量检验资料；</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总拼就位后几何尺寸偏差、支座高度偏差和挠度测量记录。</w:t>
      </w:r>
    </w:p>
    <w:p>
      <w:pPr>
        <w:spacing w:line="400" w:lineRule="exact"/>
        <w:rPr>
          <w:rFonts w:ascii="Times New Roman" w:hAnsi="Times New Roman" w:cs="Times New Roman"/>
        </w:rPr>
      </w:pPr>
    </w:p>
    <w:p>
      <w:pPr>
        <w:pStyle w:val="2"/>
        <w:rPr>
          <w:rFonts w:ascii="Times New Roman" w:hAnsi="Times New Roman" w:cs="Times New Roman"/>
        </w:rPr>
      </w:pPr>
    </w:p>
    <w:p>
      <w:pPr>
        <w:pStyle w:val="2"/>
        <w:rPr>
          <w:rFonts w:ascii="Times New Roman" w:hAnsi="Times New Roman" w:eastAsia="仿宋" w:cs="Times New Roman"/>
          <w:sz w:val="24"/>
          <w:szCs w:val="20"/>
        </w:rPr>
      </w:pPr>
    </w:p>
    <w:p>
      <w:pPr>
        <w:pStyle w:val="2"/>
        <w:rPr>
          <w:rFonts w:ascii="Times New Roman" w:hAnsi="Times New Roman" w:eastAsia="仿宋" w:cs="Times New Roman"/>
          <w:sz w:val="24"/>
          <w:szCs w:val="20"/>
        </w:rPr>
        <w:sectPr>
          <w:footerReference r:id="rId4" w:type="default"/>
          <w:pgSz w:w="11906" w:h="16838"/>
          <w:pgMar w:top="1440" w:right="1797" w:bottom="1440" w:left="1797" w:header="851" w:footer="992" w:gutter="0"/>
          <w:cols w:space="0" w:num="1"/>
          <w:docGrid w:type="linesAndChars" w:linePitch="312" w:charSpace="0"/>
        </w:sectPr>
      </w:pPr>
    </w:p>
    <w:p>
      <w:pPr>
        <w:pStyle w:val="29"/>
        <w:numPr>
          <w:ilvl w:val="0"/>
          <w:numId w:val="2"/>
        </w:numPr>
        <w:spacing w:before="312" w:beforeLines="100" w:after="312" w:afterLines="100" w:line="400" w:lineRule="exact"/>
        <w:outlineLvl w:val="0"/>
        <w:rPr>
          <w:rFonts w:eastAsia="仿宋"/>
          <w:sz w:val="32"/>
        </w:rPr>
      </w:pPr>
      <w:bookmarkStart w:id="137" w:name="_Toc186014807"/>
      <w:bookmarkStart w:id="138" w:name="_Toc30661"/>
      <w:bookmarkStart w:id="139" w:name="_Toc186028028"/>
      <w:r>
        <w:rPr>
          <w:rFonts w:eastAsia="仿宋"/>
          <w:sz w:val="32"/>
        </w:rPr>
        <w:t>使用与维护</w:t>
      </w:r>
      <w:bookmarkEnd w:id="137"/>
      <w:bookmarkEnd w:id="138"/>
      <w:bookmarkEnd w:id="139"/>
    </w:p>
    <w:p>
      <w:pPr>
        <w:pStyle w:val="4"/>
        <w:spacing w:before="156" w:beforeLines="50" w:after="156" w:afterLines="50" w:line="400" w:lineRule="exact"/>
        <w:jc w:val="center"/>
        <w:rPr>
          <w:rFonts w:ascii="Times New Roman" w:hAnsi="Times New Roman" w:eastAsia="宋体" w:cs="Times New Roman"/>
          <w:sz w:val="24"/>
          <w:szCs w:val="24"/>
        </w:rPr>
      </w:pPr>
      <w:bookmarkStart w:id="140" w:name="_Toc1301"/>
      <w:bookmarkStart w:id="141" w:name="_Toc186028029"/>
      <w:bookmarkStart w:id="142" w:name="_Toc186014808"/>
      <w:r>
        <w:rPr>
          <w:rFonts w:ascii="Times New Roman" w:hAnsi="Times New Roman" w:eastAsia="宋体" w:cs="Times New Roman"/>
          <w:sz w:val="24"/>
          <w:szCs w:val="24"/>
        </w:rPr>
        <w:t>7.1 输送下料使用规定</w:t>
      </w:r>
      <w:bookmarkEnd w:id="140"/>
      <w:bookmarkEnd w:id="141"/>
      <w:bookmarkEnd w:id="142"/>
    </w:p>
    <w:p>
      <w:pPr>
        <w:pStyle w:val="2"/>
        <w:spacing w:after="0" w:line="400" w:lineRule="exact"/>
        <w:rPr>
          <w:rFonts w:ascii="Times New Roman" w:hAnsi="Times New Roman" w:eastAsia="宋体" w:cs="Times New Roman"/>
          <w:strike/>
          <w:sz w:val="24"/>
          <w:szCs w:val="24"/>
        </w:rPr>
      </w:pPr>
      <w:r>
        <w:rPr>
          <w:rFonts w:ascii="Times New Roman" w:hAnsi="Times New Roman" w:eastAsia="宋体" w:cs="Times New Roman"/>
          <w:sz w:val="24"/>
          <w:szCs w:val="24"/>
        </w:rPr>
        <w:t>7.1.1工艺及结构设计应控制水泥熟料堆积线，需满足熟料堆积任意范围不得接触网架杆件，安全距离宜超过500mm（图7.1.1）。宜采取有效措施实时监测堆料安全距离。</w:t>
      </w:r>
    </w:p>
    <w:p>
      <w:pPr>
        <w:jc w:val="center"/>
        <w:rPr>
          <w:rFonts w:ascii="Times New Roman" w:hAnsi="Times New Roman" w:cs="Times New Roman"/>
        </w:rPr>
      </w:pPr>
      <w:r>
        <w:rPr>
          <w:rFonts w:ascii="Times New Roman" w:hAnsi="Times New Roman" w:cs="Times New Roman"/>
        </w:rPr>
        <w:drawing>
          <wp:inline distT="0" distB="0" distL="0" distR="0">
            <wp:extent cx="5118100" cy="2407920"/>
            <wp:effectExtent l="0" t="0" r="0" b="0"/>
            <wp:docPr id="80762254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7622540" name="图片 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a:xfrm>
                      <a:off x="0" y="0"/>
                      <a:ext cx="5139470" cy="2418117"/>
                    </a:xfrm>
                    <a:prstGeom prst="rect">
                      <a:avLst/>
                    </a:prstGeom>
                    <a:noFill/>
                    <a:ln>
                      <a:noFill/>
                    </a:ln>
                  </pic:spPr>
                </pic:pic>
              </a:graphicData>
            </a:graphic>
          </wp:inline>
        </w:drawing>
      </w:r>
    </w:p>
    <w:p>
      <w:pPr>
        <w:pStyle w:val="2"/>
        <w:spacing w:after="0" w:line="400" w:lineRule="exact"/>
        <w:jc w:val="center"/>
        <w:rPr>
          <w:rFonts w:ascii="Times New Roman" w:hAnsi="Times New Roman" w:eastAsia="宋体" w:cs="Times New Roman"/>
          <w:strike/>
          <w:sz w:val="24"/>
          <w:szCs w:val="24"/>
        </w:rPr>
      </w:pPr>
      <w:r>
        <w:rPr>
          <w:rFonts w:ascii="Times New Roman" w:hAnsi="Times New Roman" w:eastAsia="宋体" w:cs="Times New Roman"/>
          <w:sz w:val="24"/>
          <w:szCs w:val="24"/>
        </w:rPr>
        <w:t>图7.1.1水泥熟料库堆积线控制要求</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注：1为圆台网壳，2为水泥熟料库混凝土筒仓，3为水泥熟料堆积线，</w:t>
      </w:r>
      <w:r>
        <w:rPr>
          <w:rFonts w:ascii="Times New Roman" w:hAnsi="Times New Roman" w:eastAsia="宋体" w:cs="Times New Roman"/>
          <w:i/>
          <w:iCs/>
          <w:sz w:val="24"/>
          <w:szCs w:val="24"/>
        </w:rPr>
        <w:t>D1</w:t>
      </w:r>
      <w:r>
        <w:rPr>
          <w:rFonts w:ascii="Times New Roman" w:hAnsi="Times New Roman" w:eastAsia="宋体" w:cs="Times New Roman"/>
          <w:sz w:val="24"/>
          <w:szCs w:val="24"/>
        </w:rPr>
        <w:t>为水泥熟料库直径。</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7.1.2为了防止熟料卸落对网壳的冲击，熟料下料管需定期检查，发现破损应立即采取措施予以加固或更换；设计下料管下口标高应低于钢平台网架下弦200mm。</w:t>
      </w:r>
    </w:p>
    <w:p>
      <w:pPr>
        <w:pStyle w:val="4"/>
        <w:spacing w:before="156" w:beforeLines="50" w:after="156" w:afterLines="50" w:line="400" w:lineRule="exact"/>
        <w:jc w:val="center"/>
        <w:rPr>
          <w:rFonts w:ascii="Times New Roman" w:hAnsi="Times New Roman" w:eastAsia="宋体" w:cs="Times New Roman"/>
          <w:sz w:val="24"/>
          <w:szCs w:val="24"/>
        </w:rPr>
      </w:pPr>
      <w:bookmarkStart w:id="143" w:name="_Toc186028030"/>
      <w:bookmarkStart w:id="144" w:name="_Toc29104"/>
      <w:bookmarkStart w:id="145" w:name="_Toc186014809"/>
      <w:r>
        <w:rPr>
          <w:rFonts w:ascii="Times New Roman" w:hAnsi="Times New Roman" w:eastAsia="宋体" w:cs="Times New Roman"/>
          <w:sz w:val="24"/>
          <w:szCs w:val="24"/>
        </w:rPr>
        <w:t>7.2 使用阶段维护规定</w:t>
      </w:r>
      <w:bookmarkEnd w:id="143"/>
      <w:bookmarkEnd w:id="144"/>
      <w:bookmarkEnd w:id="145"/>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7.2.1定期安排人员对水泥熟料库网壳进行观测、检查，如发现异常，及时处理。检查范围主要‌包括连接件、支座、杆件表面、檩条等，‌确保其安全性和稳定性。涉及结构安全的问题应联系设计单位出具方案，不得自行处理。</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7.2.2对于有积灰荷载的屋面，使用期间应采取有效措施定期进行清灰。当屋面积灰最大厚度达到30mm时应及时清理。</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7.2.3 要定期检查彩钢板的涂层和防锈层是否完好，如发现涂层破损、锈蚀等问题，应及时进行修补和处理，防止锈蚀范围扩大。</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7.2.4 未经设计许可，不得改变结构的用途和使用环境。严禁私自改变输送设备、运转产能，改变廊道等相关荷载，影响水泥熟料库网壳安全。</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7.2.5 定期对网架进行清洁保养，清除结构表面的灰尘和杂物，保持网架的清洁。</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7.2.6 定期对网架的连接件和紧固件进行检查和紧固，防止因松动导致结构的不稳定或损坏。对于松动的连接件和紧固件进行及时紧固或更换，确保结构的稳定性和安全性。</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7.2.7 网架结构杆件出现变形或扭曲，需要进行及时的修复处理。在设计单位同意后，可进行调整、修复或更换等。</w:t>
      </w:r>
    </w:p>
    <w:p>
      <w:pPr>
        <w:pStyle w:val="2"/>
        <w:spacing w:after="0" w:line="400" w:lineRule="exact"/>
        <w:rPr>
          <w:rFonts w:ascii="Times New Roman" w:hAnsi="Times New Roman" w:eastAsia="宋体" w:cs="Times New Roman"/>
          <w:sz w:val="24"/>
          <w:szCs w:val="24"/>
        </w:rPr>
      </w:pPr>
    </w:p>
    <w:p>
      <w:pPr>
        <w:pStyle w:val="2"/>
        <w:rPr>
          <w:rFonts w:ascii="Times New Roman" w:hAnsi="Times New Roman" w:eastAsia="仿宋" w:cs="Times New Roman"/>
          <w:sz w:val="32"/>
        </w:rPr>
      </w:pPr>
    </w:p>
    <w:p>
      <w:pPr>
        <w:pStyle w:val="2"/>
        <w:rPr>
          <w:rFonts w:ascii="Times New Roman" w:hAnsi="Times New Roman" w:eastAsia="仿宋" w:cs="Times New Roman"/>
          <w:sz w:val="32"/>
        </w:rPr>
      </w:pPr>
    </w:p>
    <w:p>
      <w:pPr>
        <w:pStyle w:val="2"/>
        <w:rPr>
          <w:rFonts w:ascii="Times New Roman" w:hAnsi="Times New Roman" w:eastAsia="仿宋" w:cs="Times New Roman"/>
          <w:sz w:val="32"/>
        </w:rPr>
        <w:sectPr>
          <w:pgSz w:w="11906" w:h="16838"/>
          <w:pgMar w:top="1440" w:right="1797" w:bottom="1440" w:left="1797" w:header="851" w:footer="992" w:gutter="0"/>
          <w:cols w:space="0" w:num="1"/>
          <w:docGrid w:type="linesAndChars" w:linePitch="312" w:charSpace="0"/>
        </w:sectPr>
      </w:pPr>
    </w:p>
    <w:p>
      <w:pPr>
        <w:pStyle w:val="29"/>
        <w:spacing w:before="312" w:beforeLines="100" w:after="312" w:afterLines="100" w:line="400" w:lineRule="exact"/>
        <w:outlineLvl w:val="0"/>
        <w:rPr>
          <w:rFonts w:eastAsia="仿宋"/>
          <w:sz w:val="32"/>
        </w:rPr>
      </w:pPr>
      <w:bookmarkStart w:id="146" w:name="_Toc186028031"/>
      <w:bookmarkStart w:id="147" w:name="_Toc31790"/>
      <w:bookmarkStart w:id="148" w:name="_Toc14584"/>
      <w:bookmarkStart w:id="149" w:name="_Toc186014810"/>
      <w:bookmarkStart w:id="150" w:name="_Toc32269"/>
      <w:r>
        <w:rPr>
          <w:rFonts w:eastAsia="仿宋"/>
          <w:sz w:val="32"/>
        </w:rPr>
        <w:t>附录A 水泥熟料库网壳整体示意图</w:t>
      </w:r>
      <w:bookmarkEnd w:id="146"/>
      <w:bookmarkEnd w:id="147"/>
    </w:p>
    <w:p>
      <w:pPr>
        <w:rPr>
          <w:rFonts w:ascii="Times New Roman" w:hAnsi="Times New Roman" w:cs="Times New Roman"/>
        </w:rPr>
      </w:pPr>
      <w:r>
        <w:rPr>
          <w:rFonts w:ascii="Times New Roman" w:hAnsi="Times New Roman" w:cs="Times New Roman"/>
        </w:rPr>
        <w:drawing>
          <wp:inline distT="0" distB="0" distL="0" distR="0">
            <wp:extent cx="5278120" cy="4704715"/>
            <wp:effectExtent l="0" t="0" r="0" b="635"/>
            <wp:docPr id="9427729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2772920" name="图片 1"/>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a:xfrm>
                      <a:off x="0" y="0"/>
                      <a:ext cx="5278120" cy="4705064"/>
                    </a:xfrm>
                    <a:prstGeom prst="rect">
                      <a:avLst/>
                    </a:prstGeom>
                    <a:noFill/>
                    <a:ln>
                      <a:noFill/>
                    </a:ln>
                  </pic:spPr>
                </pic:pic>
              </a:graphicData>
            </a:graphic>
          </wp:inline>
        </w:drawing>
      </w:r>
    </w:p>
    <w:p>
      <w:pPr>
        <w:pStyle w:val="2"/>
        <w:spacing w:after="0" w:line="400" w:lineRule="exact"/>
        <w:jc w:val="center"/>
        <w:rPr>
          <w:rFonts w:ascii="Times New Roman" w:hAnsi="Times New Roman" w:eastAsia="宋体" w:cs="Times New Roman"/>
          <w:strike/>
          <w:sz w:val="24"/>
          <w:szCs w:val="24"/>
        </w:rPr>
      </w:pPr>
      <w:r>
        <w:rPr>
          <w:rFonts w:ascii="Times New Roman" w:hAnsi="Times New Roman" w:eastAsia="宋体" w:cs="Times New Roman"/>
          <w:sz w:val="24"/>
          <w:szCs w:val="24"/>
        </w:rPr>
        <w:t>图A-1无加强圈水泥熟料库网壳结构整体示意图</w:t>
      </w:r>
    </w:p>
    <w:p>
      <w:pPr>
        <w:pStyle w:val="2"/>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1——水泥熟料库；2——圆台网壳；3——库顶房；4——库顶房楼面；5——库顶房屋面；6——下料口；7——拉链机；8——水泥熟料堆积线</w:t>
      </w:r>
    </w:p>
    <w:p>
      <w:pPr>
        <w:pStyle w:val="2"/>
        <w:rPr>
          <w:rFonts w:ascii="Times New Roman" w:hAnsi="Times New Roman" w:eastAsia="宋体" w:cs="Times New Roman"/>
          <w:sz w:val="24"/>
          <w:szCs w:val="24"/>
        </w:rPr>
      </w:pPr>
      <w:r>
        <w:rPr>
          <w:rFonts w:ascii="Times New Roman" w:hAnsi="Times New Roman" w:cs="Times New Roman"/>
        </w:rPr>
        <w:drawing>
          <wp:inline distT="0" distB="0" distL="0" distR="0">
            <wp:extent cx="5181600" cy="4601210"/>
            <wp:effectExtent l="0" t="0" r="0" b="8890"/>
            <wp:docPr id="1242767826"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767826" name="图片 2"/>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a:xfrm>
                      <a:off x="0" y="0"/>
                      <a:ext cx="5181600" cy="4601261"/>
                    </a:xfrm>
                    <a:prstGeom prst="rect">
                      <a:avLst/>
                    </a:prstGeom>
                    <a:noFill/>
                    <a:ln>
                      <a:noFill/>
                    </a:ln>
                  </pic:spPr>
                </pic:pic>
              </a:graphicData>
            </a:graphic>
          </wp:inline>
        </w:drawing>
      </w:r>
    </w:p>
    <w:p>
      <w:pPr>
        <w:pStyle w:val="2"/>
        <w:spacing w:after="0" w:line="400" w:lineRule="exact"/>
        <w:jc w:val="center"/>
        <w:rPr>
          <w:rFonts w:ascii="Times New Roman" w:hAnsi="Times New Roman" w:eastAsia="宋体" w:cs="Times New Roman"/>
          <w:strike/>
          <w:sz w:val="24"/>
          <w:szCs w:val="24"/>
        </w:rPr>
      </w:pPr>
      <w:r>
        <w:rPr>
          <w:rFonts w:ascii="Times New Roman" w:hAnsi="Times New Roman" w:eastAsia="宋体" w:cs="Times New Roman"/>
          <w:sz w:val="24"/>
          <w:szCs w:val="24"/>
        </w:rPr>
        <w:t>图A-2带加强圈水泥熟料库网壳结构整体示意图</w:t>
      </w:r>
    </w:p>
    <w:p>
      <w:pPr>
        <w:pStyle w:val="2"/>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1——水泥熟料库；2——圆台网壳；3——库顶房；4——库顶房楼面；5——库顶房屋面；6——下料口；7——拉链机；8——水泥熟料堆积线；9——加强圈</w:t>
      </w:r>
    </w:p>
    <w:p>
      <w:pPr>
        <w:spacing w:line="400" w:lineRule="exact"/>
        <w:rPr>
          <w:rFonts w:ascii="Times New Roman" w:hAnsi="Times New Roman" w:cs="Times New Roman"/>
        </w:rPr>
        <w:sectPr>
          <w:pgSz w:w="11906" w:h="16838"/>
          <w:pgMar w:top="1440" w:right="1797" w:bottom="1440" w:left="1797" w:header="851" w:footer="992" w:gutter="0"/>
          <w:cols w:space="0" w:num="1"/>
          <w:docGrid w:type="linesAndChars" w:linePitch="312" w:charSpace="0"/>
        </w:sectPr>
      </w:pPr>
    </w:p>
    <w:p>
      <w:pPr>
        <w:rPr>
          <w:rFonts w:ascii="Times New Roman" w:hAnsi="Times New Roman" w:cs="Times New Roman"/>
        </w:rPr>
      </w:pPr>
    </w:p>
    <w:p>
      <w:pPr>
        <w:pStyle w:val="3"/>
        <w:spacing w:before="312" w:beforeLines="100" w:after="312" w:afterLines="100" w:line="400" w:lineRule="exact"/>
        <w:jc w:val="center"/>
        <w:rPr>
          <w:rFonts w:ascii="Times New Roman" w:hAnsi="Times New Roman" w:eastAsia="宋体" w:cs="Times New Roman"/>
          <w:sz w:val="36"/>
          <w:szCs w:val="36"/>
        </w:rPr>
      </w:pPr>
      <w:bookmarkStart w:id="151" w:name="_Toc186028032"/>
      <w:bookmarkStart w:id="152" w:name="_Toc501"/>
      <w:r>
        <w:rPr>
          <w:rFonts w:ascii="Times New Roman" w:hAnsi="Times New Roman" w:eastAsia="宋体" w:cs="Times New Roman"/>
          <w:sz w:val="36"/>
          <w:szCs w:val="36"/>
        </w:rPr>
        <w:t>本标准用词说明</w:t>
      </w:r>
      <w:bookmarkEnd w:id="148"/>
      <w:bookmarkEnd w:id="149"/>
      <w:bookmarkEnd w:id="150"/>
      <w:bookmarkEnd w:id="151"/>
      <w:bookmarkEnd w:id="152"/>
    </w:p>
    <w:p>
      <w:pPr>
        <w:pStyle w:val="5"/>
        <w:ind w:firstLine="482"/>
        <w:rPr>
          <w:rFonts w:ascii="Times New Roman" w:hAnsi="Times New Roman"/>
          <w:sz w:val="24"/>
        </w:rPr>
      </w:pPr>
      <w:r>
        <w:rPr>
          <w:rFonts w:ascii="Times New Roman" w:hAnsi="Times New Roman"/>
          <w:b/>
          <w:bCs/>
          <w:sz w:val="24"/>
        </w:rPr>
        <w:t xml:space="preserve">1  </w:t>
      </w:r>
      <w:r>
        <w:rPr>
          <w:rFonts w:ascii="Times New Roman" w:hAnsi="Times New Roman"/>
          <w:sz w:val="24"/>
        </w:rPr>
        <w:t>为便于在执行本规程条纹时区别对待，对于要求严格程度不同的用词说明如下：</w:t>
      </w:r>
    </w:p>
    <w:p>
      <w:pPr>
        <w:pStyle w:val="5"/>
        <w:ind w:firstLine="480"/>
        <w:rPr>
          <w:rFonts w:ascii="Times New Roman" w:hAnsi="Times New Roman"/>
          <w:sz w:val="24"/>
          <w:szCs w:val="24"/>
        </w:rPr>
      </w:pPr>
      <w:r>
        <w:rPr>
          <w:rFonts w:ascii="Times New Roman" w:hAnsi="Times New Roman"/>
          <w:sz w:val="24"/>
          <w:szCs w:val="24"/>
        </w:rPr>
        <w:t>1）表示很严格，非这样做不可的用词：</w:t>
      </w:r>
    </w:p>
    <w:p>
      <w:pPr>
        <w:pStyle w:val="2"/>
        <w:spacing w:after="0" w:line="400" w:lineRule="exact"/>
        <w:ind w:firstLine="840" w:firstLineChars="350"/>
        <w:rPr>
          <w:rFonts w:ascii="Times New Roman" w:hAnsi="Times New Roman" w:eastAsia="宋体" w:cs="Times New Roman"/>
          <w:sz w:val="24"/>
          <w:szCs w:val="24"/>
        </w:rPr>
      </w:pPr>
      <w:r>
        <w:rPr>
          <w:rFonts w:ascii="Times New Roman" w:hAnsi="Times New Roman" w:eastAsia="宋体" w:cs="Times New Roman"/>
          <w:sz w:val="24"/>
          <w:szCs w:val="24"/>
        </w:rPr>
        <w:t>正面词采用“必须”；</w:t>
      </w:r>
    </w:p>
    <w:p>
      <w:pPr>
        <w:pStyle w:val="2"/>
        <w:spacing w:after="0" w:line="400" w:lineRule="exact"/>
        <w:ind w:firstLine="840" w:firstLineChars="350"/>
        <w:rPr>
          <w:rFonts w:ascii="Times New Roman" w:hAnsi="Times New Roman" w:eastAsia="宋体" w:cs="Times New Roman"/>
          <w:sz w:val="24"/>
          <w:szCs w:val="24"/>
        </w:rPr>
      </w:pPr>
      <w:r>
        <w:rPr>
          <w:rFonts w:ascii="Times New Roman" w:hAnsi="Times New Roman" w:eastAsia="宋体" w:cs="Times New Roman"/>
          <w:sz w:val="24"/>
          <w:szCs w:val="24"/>
        </w:rPr>
        <w:t>反面词采用“严格”。</w:t>
      </w:r>
    </w:p>
    <w:p>
      <w:pPr>
        <w:pStyle w:val="5"/>
        <w:ind w:firstLine="480"/>
        <w:rPr>
          <w:rFonts w:ascii="Times New Roman" w:hAnsi="Times New Roman"/>
          <w:sz w:val="24"/>
          <w:szCs w:val="24"/>
        </w:rPr>
      </w:pPr>
      <w:r>
        <w:rPr>
          <w:rFonts w:ascii="Times New Roman" w:hAnsi="Times New Roman"/>
          <w:sz w:val="24"/>
          <w:szCs w:val="24"/>
        </w:rPr>
        <w:t>2）表示严格，在正常情况下均应这样做的用词：</w:t>
      </w:r>
    </w:p>
    <w:p>
      <w:pPr>
        <w:pStyle w:val="2"/>
        <w:spacing w:after="0" w:line="400" w:lineRule="exact"/>
        <w:ind w:firstLine="840" w:firstLineChars="350"/>
        <w:rPr>
          <w:rFonts w:ascii="Times New Roman" w:hAnsi="Times New Roman" w:eastAsia="宋体" w:cs="Times New Roman"/>
          <w:sz w:val="24"/>
          <w:szCs w:val="24"/>
        </w:rPr>
      </w:pPr>
      <w:r>
        <w:rPr>
          <w:rFonts w:ascii="Times New Roman" w:hAnsi="Times New Roman" w:eastAsia="宋体" w:cs="Times New Roman"/>
          <w:sz w:val="24"/>
          <w:szCs w:val="24"/>
        </w:rPr>
        <w:t>正面词采用“应”；</w:t>
      </w:r>
    </w:p>
    <w:p>
      <w:pPr>
        <w:pStyle w:val="2"/>
        <w:spacing w:after="0" w:line="400" w:lineRule="exact"/>
        <w:ind w:firstLine="840" w:firstLineChars="350"/>
        <w:rPr>
          <w:rFonts w:ascii="Times New Roman" w:hAnsi="Times New Roman" w:eastAsia="宋体" w:cs="Times New Roman"/>
          <w:sz w:val="24"/>
          <w:szCs w:val="24"/>
        </w:rPr>
      </w:pPr>
      <w:r>
        <w:rPr>
          <w:rFonts w:ascii="Times New Roman" w:hAnsi="Times New Roman" w:eastAsia="宋体" w:cs="Times New Roman"/>
          <w:sz w:val="24"/>
          <w:szCs w:val="24"/>
        </w:rPr>
        <w:t>反面词采用“不应”或“不得”。</w:t>
      </w:r>
    </w:p>
    <w:p>
      <w:pPr>
        <w:pStyle w:val="5"/>
        <w:ind w:firstLine="480"/>
        <w:rPr>
          <w:rFonts w:ascii="Times New Roman" w:hAnsi="Times New Roman"/>
          <w:sz w:val="24"/>
          <w:szCs w:val="24"/>
        </w:rPr>
      </w:pPr>
      <w:r>
        <w:rPr>
          <w:rFonts w:ascii="Times New Roman" w:hAnsi="Times New Roman"/>
          <w:sz w:val="24"/>
          <w:szCs w:val="24"/>
        </w:rPr>
        <w:t>3）表示允许稍有选择，在条件许可时，首先应这样做的用词：</w:t>
      </w:r>
    </w:p>
    <w:p>
      <w:pPr>
        <w:pStyle w:val="2"/>
        <w:spacing w:after="0" w:line="400" w:lineRule="exact"/>
        <w:ind w:firstLine="840" w:firstLineChars="350"/>
        <w:rPr>
          <w:rFonts w:ascii="Times New Roman" w:hAnsi="Times New Roman" w:eastAsia="宋体" w:cs="Times New Roman"/>
          <w:sz w:val="24"/>
          <w:szCs w:val="24"/>
        </w:rPr>
      </w:pPr>
      <w:r>
        <w:rPr>
          <w:rFonts w:ascii="Times New Roman" w:hAnsi="Times New Roman" w:eastAsia="宋体" w:cs="Times New Roman"/>
          <w:sz w:val="24"/>
          <w:szCs w:val="24"/>
        </w:rPr>
        <w:t>正面词采用“宜”或“可”；</w:t>
      </w:r>
    </w:p>
    <w:p>
      <w:pPr>
        <w:pStyle w:val="2"/>
        <w:spacing w:after="0" w:line="400" w:lineRule="exact"/>
        <w:ind w:firstLine="840" w:firstLineChars="350"/>
        <w:rPr>
          <w:rFonts w:ascii="Times New Roman" w:hAnsi="Times New Roman" w:eastAsia="宋体" w:cs="Times New Roman"/>
          <w:sz w:val="24"/>
          <w:szCs w:val="24"/>
        </w:rPr>
      </w:pPr>
      <w:r>
        <w:rPr>
          <w:rFonts w:ascii="Times New Roman" w:hAnsi="Times New Roman" w:eastAsia="宋体" w:cs="Times New Roman"/>
          <w:sz w:val="24"/>
          <w:szCs w:val="24"/>
        </w:rPr>
        <w:t>反面词采用“不宜”。</w:t>
      </w:r>
    </w:p>
    <w:p>
      <w:pPr>
        <w:pStyle w:val="7"/>
        <w:spacing w:line="400" w:lineRule="exact"/>
        <w:ind w:left="0"/>
        <w:jc w:val="center"/>
        <w:rPr>
          <w:rFonts w:ascii="Times New Roman" w:hAnsi="Times New Roman"/>
          <w:sz w:val="36"/>
          <w:szCs w:val="36"/>
        </w:rPr>
      </w:pPr>
      <w:r>
        <w:rPr>
          <w:rFonts w:ascii="Times New Roman" w:hAnsi="Times New Roman"/>
          <w:b/>
          <w:bCs/>
          <w:sz w:val="24"/>
          <w:szCs w:val="24"/>
        </w:rPr>
        <w:t xml:space="preserve">2 </w:t>
      </w:r>
      <w:r>
        <w:rPr>
          <w:rFonts w:ascii="Times New Roman" w:hAnsi="Times New Roman"/>
          <w:sz w:val="24"/>
          <w:szCs w:val="24"/>
        </w:rPr>
        <w:t xml:space="preserve"> 表示有选择，在一定条件下可以这样做的，采用“可”。规程中制定应按其他有关标准、规范执行时写法为“应符合……规定”或“应按……执行”。</w:t>
      </w:r>
      <w:r>
        <w:rPr>
          <w:rFonts w:ascii="Times New Roman" w:hAnsi="Times New Roman"/>
        </w:rPr>
        <w:br w:type="page"/>
      </w:r>
      <w:bookmarkStart w:id="153" w:name="_Toc32333"/>
      <w:bookmarkStart w:id="154" w:name="_Toc2079"/>
      <w:bookmarkStart w:id="155" w:name="_Toc3369"/>
      <w:bookmarkStart w:id="156" w:name="_Toc186014811"/>
      <w:bookmarkStart w:id="157" w:name="_Toc186028033"/>
      <w:r>
        <w:rPr>
          <w:rFonts w:ascii="Times New Roman" w:hAnsi="Times New Roman"/>
          <w:sz w:val="36"/>
          <w:szCs w:val="36"/>
        </w:rPr>
        <w:t>引用标准名录</w:t>
      </w:r>
      <w:bookmarkEnd w:id="153"/>
      <w:bookmarkEnd w:id="154"/>
      <w:bookmarkEnd w:id="155"/>
      <w:bookmarkEnd w:id="156"/>
      <w:bookmarkEnd w:id="157"/>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1 《低合金高强度结构钢》 GB/T 1591</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 《钢网架螺栓球节点用高强度螺栓》  GB/T 16939</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3 《普通螺纹公差》 GB/T 197</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4 《合金结构钢》 GB/T 3077</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5 《固定式钢梯及平台安全要求 第三部分：工业防护栏杆及钢平台》 GB453.3</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bCs/>
          <w:sz w:val="24"/>
          <w:szCs w:val="24"/>
        </w:rPr>
        <w:t>6 《建筑结构荷载规范》GB50009</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7 《混凝土结构设计标准》   GB/T  50010</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8 《建筑抗震设计标准》      GB/T 50011</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9 《钢结构设计标准》     GB 50017</w:t>
      </w:r>
    </w:p>
    <w:p>
      <w:pPr>
        <w:spacing w:line="400" w:lineRule="exact"/>
        <w:rPr>
          <w:rFonts w:ascii="Times New Roman" w:hAnsi="Times New Roman" w:eastAsia="宋体" w:cs="Times New Roman"/>
          <w:bCs/>
          <w:sz w:val="24"/>
          <w:szCs w:val="24"/>
        </w:rPr>
      </w:pPr>
      <w:r>
        <w:rPr>
          <w:rFonts w:ascii="Times New Roman" w:hAnsi="Times New Roman" w:eastAsia="宋体" w:cs="Times New Roman"/>
          <w:sz w:val="24"/>
          <w:szCs w:val="24"/>
        </w:rPr>
        <w:t>10 《冷弯薄壁型钢结构技术规程》 GB 50018</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11 《混凝土结构工程质量验收规范》 GB 50204</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bCs/>
          <w:sz w:val="24"/>
          <w:szCs w:val="24"/>
        </w:rPr>
        <w:t>12 《钢结构工程施工质量</w:t>
      </w:r>
      <w:r>
        <w:rPr>
          <w:rFonts w:ascii="Times New Roman" w:hAnsi="Times New Roman" w:eastAsia="宋体" w:cs="Times New Roman"/>
          <w:sz w:val="24"/>
          <w:szCs w:val="24"/>
        </w:rPr>
        <w:t>验收标准》 GB 50205</w:t>
      </w:r>
    </w:p>
    <w:p>
      <w:pPr>
        <w:pStyle w:val="2"/>
        <w:spacing w:after="0" w:line="400" w:lineRule="exact"/>
        <w:rPr>
          <w:rFonts w:ascii="Times New Roman" w:hAnsi="Times New Roman" w:eastAsia="宋体" w:cs="Times New Roman"/>
          <w:bCs/>
          <w:sz w:val="24"/>
          <w:szCs w:val="24"/>
        </w:rPr>
      </w:pPr>
      <w:r>
        <w:rPr>
          <w:rFonts w:ascii="Times New Roman" w:hAnsi="Times New Roman" w:eastAsia="宋体" w:cs="Times New Roman"/>
          <w:bCs/>
          <w:sz w:val="24"/>
          <w:szCs w:val="24"/>
        </w:rPr>
        <w:t>13 《建筑工程抗震设防分类标准》GB 50223</w:t>
      </w:r>
    </w:p>
    <w:p>
      <w:pPr>
        <w:pStyle w:val="2"/>
        <w:spacing w:after="0" w:line="400" w:lineRule="exact"/>
        <w:rPr>
          <w:rFonts w:ascii="Times New Roman" w:hAnsi="Times New Roman" w:eastAsia="宋体" w:cs="Times New Roman"/>
          <w:bCs/>
          <w:sz w:val="24"/>
          <w:szCs w:val="24"/>
        </w:rPr>
      </w:pPr>
      <w:r>
        <w:rPr>
          <w:rFonts w:ascii="Times New Roman" w:hAnsi="Times New Roman" w:eastAsia="宋体" w:cs="Times New Roman"/>
          <w:bCs/>
          <w:sz w:val="24"/>
          <w:szCs w:val="24"/>
        </w:rPr>
        <w:t>14 《水泥工厂设计规范》GB50295</w:t>
      </w:r>
    </w:p>
    <w:p>
      <w:pPr>
        <w:pStyle w:val="2"/>
        <w:spacing w:after="0" w:line="400" w:lineRule="exact"/>
        <w:rPr>
          <w:rFonts w:ascii="Times New Roman" w:hAnsi="Times New Roman" w:eastAsia="宋体" w:cs="Times New Roman"/>
          <w:bCs/>
          <w:sz w:val="24"/>
          <w:szCs w:val="24"/>
        </w:rPr>
      </w:pPr>
      <w:r>
        <w:rPr>
          <w:rFonts w:ascii="Times New Roman" w:hAnsi="Times New Roman" w:eastAsia="宋体" w:cs="Times New Roman"/>
          <w:bCs/>
          <w:sz w:val="24"/>
          <w:szCs w:val="24"/>
        </w:rPr>
        <w:t>15 《钢结构焊接规范》GB 50661</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bCs/>
          <w:sz w:val="24"/>
          <w:szCs w:val="24"/>
        </w:rPr>
        <w:t>16 《钢结构工程施工规范》 GB 50755</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17 《工程结构通用规范》       GB 55001</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18 《建筑与市政工程抗震通用规范》   GB 55002</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19 《钢结构设计通用规范》     GB 55006</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20 《混凝土结构通用规范》     GB 55008</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21 《建筑与市政工程防水通用规范》   GB 55030</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22 《优质碳素结构钢》 GB/T 699</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23 《碳素结构钢》 GB/T 700</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24 《熔化极气体保护电弧焊用非合金钢及细晶粒钢实心焊丝》GB/T 8110</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25 《热固性和热塑性粉末涂料》HG/T 2006</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26 《空间网格结构设计规程》  JGJ 7</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27 《钢网架螺栓球节点》    JG/T 10</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28 《钢网架焊接空心球节点》  JG/T 11</w:t>
      </w:r>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29 《钢结构超声波探伤及质量分级法》JG/T 203</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bCs/>
          <w:sz w:val="24"/>
          <w:szCs w:val="24"/>
        </w:rPr>
        <w:t>30 《建筑工程风洞试验方法标准》JGJ/T 338</w:t>
      </w:r>
    </w:p>
    <w:p>
      <w:pPr>
        <w:spacing w:line="400" w:lineRule="exact"/>
        <w:rPr>
          <w:rFonts w:ascii="Times New Roman" w:hAnsi="Times New Roman" w:eastAsia="宋体" w:cs="Times New Roman"/>
          <w:bCs/>
          <w:sz w:val="24"/>
          <w:szCs w:val="24"/>
        </w:rPr>
      </w:pPr>
      <w:r>
        <w:rPr>
          <w:rFonts w:ascii="Times New Roman" w:hAnsi="Times New Roman" w:eastAsia="宋体" w:cs="Times New Roman"/>
          <w:bCs/>
          <w:sz w:val="24"/>
          <w:szCs w:val="24"/>
        </w:rPr>
        <w:t>31 《</w:t>
      </w:r>
      <w:r>
        <w:rPr>
          <w:rFonts w:ascii="Times New Roman" w:hAnsi="Times New Roman" w:eastAsia="宋体" w:cs="Times New Roman"/>
          <w:sz w:val="24"/>
          <w:szCs w:val="24"/>
        </w:rPr>
        <w:t>高层民用建筑钢结构技术规程</w:t>
      </w:r>
      <w:r>
        <w:rPr>
          <w:rFonts w:ascii="Times New Roman" w:hAnsi="Times New Roman" w:eastAsia="宋体" w:cs="Times New Roman"/>
          <w:bCs/>
          <w:sz w:val="24"/>
          <w:szCs w:val="24"/>
        </w:rPr>
        <w:t xml:space="preserve">》 </w:t>
      </w:r>
      <w:r>
        <w:rPr>
          <w:rFonts w:ascii="Times New Roman" w:hAnsi="Times New Roman" w:eastAsia="宋体" w:cs="Times New Roman"/>
          <w:sz w:val="24"/>
          <w:szCs w:val="24"/>
        </w:rPr>
        <w:t>JGJ 99</w:t>
      </w:r>
    </w:p>
    <w:p>
      <w:pPr>
        <w:spacing w:line="400" w:lineRule="exact"/>
        <w:rPr>
          <w:rFonts w:ascii="Times New Roman" w:hAnsi="Times New Roman" w:eastAsia="宋体" w:cs="Times New Roman"/>
          <w:sz w:val="24"/>
          <w:szCs w:val="24"/>
        </w:rPr>
        <w:sectPr>
          <w:pgSz w:w="11906" w:h="16838"/>
          <w:pgMar w:top="1440" w:right="1797" w:bottom="1440" w:left="1797" w:header="851" w:footer="992" w:gutter="0"/>
          <w:cols w:space="0" w:num="1"/>
          <w:docGrid w:type="linesAndChars" w:linePitch="312" w:charSpace="0"/>
        </w:sectPr>
      </w:pPr>
    </w:p>
    <w:p>
      <w:pPr>
        <w:spacing w:line="360" w:lineRule="auto"/>
        <w:rPr>
          <w:rFonts w:ascii="Times New Roman" w:hAnsi="Times New Roman" w:cs="Times New Roman"/>
          <w:sz w:val="24"/>
        </w:rPr>
      </w:pPr>
    </w:p>
    <w:p>
      <w:pPr>
        <w:pStyle w:val="3"/>
        <w:jc w:val="center"/>
        <w:rPr>
          <w:rFonts w:ascii="Times New Roman" w:hAnsi="Times New Roman" w:eastAsia="方正小标宋简体" w:cs="Times New Roman"/>
          <w:kern w:val="0"/>
          <w:sz w:val="52"/>
          <w:szCs w:val="52"/>
        </w:rPr>
      </w:pPr>
    </w:p>
    <w:p>
      <w:pPr>
        <w:pStyle w:val="3"/>
        <w:jc w:val="center"/>
        <w:rPr>
          <w:rFonts w:ascii="Times New Roman" w:hAnsi="Times New Roman" w:eastAsia="方正小标宋简体" w:cs="Times New Roman"/>
          <w:kern w:val="0"/>
          <w:sz w:val="52"/>
          <w:szCs w:val="52"/>
        </w:rPr>
      </w:pPr>
    </w:p>
    <w:p>
      <w:pPr>
        <w:pStyle w:val="3"/>
        <w:jc w:val="center"/>
        <w:rPr>
          <w:rFonts w:ascii="Times New Roman" w:hAnsi="Times New Roman" w:eastAsia="黑体" w:cs="Times New Roman"/>
          <w:b w:val="0"/>
          <w:bCs w:val="0"/>
          <w:kern w:val="0"/>
          <w:sz w:val="36"/>
          <w:szCs w:val="36"/>
        </w:rPr>
      </w:pPr>
      <w:r>
        <w:rPr>
          <w:rFonts w:hint="eastAsia" w:ascii="Times New Roman" w:hAnsi="Times New Roman" w:eastAsia="黑体" w:cs="Times New Roman"/>
          <w:b w:val="0"/>
          <w:bCs w:val="0"/>
          <w:kern w:val="0"/>
          <w:sz w:val="36"/>
          <w:szCs w:val="36"/>
        </w:rPr>
        <w:t>熟料库网架应用技术规程</w:t>
      </w:r>
    </w:p>
    <w:p>
      <w:pPr>
        <w:pStyle w:val="3"/>
        <w:jc w:val="center"/>
        <w:rPr>
          <w:rFonts w:ascii="Times New Roman" w:hAnsi="Times New Roman" w:eastAsia="黑体" w:cs="Times New Roman"/>
          <w:b w:val="0"/>
          <w:bCs w:val="0"/>
          <w:kern w:val="0"/>
          <w:sz w:val="36"/>
          <w:szCs w:val="36"/>
        </w:rPr>
      </w:pPr>
    </w:p>
    <w:p>
      <w:pPr>
        <w:pStyle w:val="3"/>
        <w:jc w:val="center"/>
        <w:rPr>
          <w:rFonts w:ascii="Times New Roman" w:hAnsi="Times New Roman" w:eastAsia="黑体" w:cs="Times New Roman"/>
          <w:b w:val="0"/>
          <w:bCs w:val="0"/>
          <w:kern w:val="0"/>
          <w:sz w:val="36"/>
          <w:szCs w:val="36"/>
        </w:rPr>
      </w:pPr>
      <w:bookmarkStart w:id="158" w:name="_Toc14354"/>
      <w:bookmarkStart w:id="159" w:name="_Toc186028035"/>
      <w:bookmarkStart w:id="160" w:name="_Toc175758556"/>
      <w:bookmarkStart w:id="161" w:name="_Toc186014813"/>
      <w:r>
        <w:rPr>
          <w:rFonts w:ascii="Times New Roman" w:hAnsi="Times New Roman" w:eastAsia="黑体" w:cs="Times New Roman"/>
          <w:b w:val="0"/>
          <w:bCs w:val="0"/>
          <w:kern w:val="0"/>
          <w:sz w:val="36"/>
          <w:szCs w:val="36"/>
        </w:rPr>
        <w:t>条文说明</w:t>
      </w:r>
      <w:bookmarkEnd w:id="158"/>
      <w:bookmarkEnd w:id="159"/>
      <w:bookmarkEnd w:id="160"/>
      <w:bookmarkEnd w:id="161"/>
    </w:p>
    <w:p>
      <w:pPr>
        <w:rPr>
          <w:rFonts w:ascii="Times New Roman" w:hAnsi="Times New Roman" w:cs="Times New Roman"/>
          <w:sz w:val="24"/>
        </w:rPr>
      </w:pPr>
      <w:r>
        <w:rPr>
          <w:rFonts w:ascii="Times New Roman" w:hAnsi="Times New Roman" w:cs="Times New Roman"/>
          <w:sz w:val="24"/>
        </w:rPr>
        <w:br w:type="page"/>
      </w:r>
    </w:p>
    <w:p>
      <w:pPr>
        <w:pStyle w:val="2"/>
        <w:rPr>
          <w:rFonts w:ascii="Times New Roman" w:hAnsi="Times New Roman" w:cs="Times New Roman"/>
        </w:rPr>
      </w:pPr>
    </w:p>
    <w:p>
      <w:pPr>
        <w:tabs>
          <w:tab w:val="right" w:leader="dot" w:pos="8302"/>
        </w:tabs>
        <w:jc w:val="center"/>
        <w:outlineLvl w:val="0"/>
        <w:rPr>
          <w:rFonts w:ascii="Times New Roman" w:hAnsi="Times New Roman" w:eastAsia="宋体" w:cs="Times New Roman"/>
          <w:b/>
          <w:kern w:val="0"/>
          <w:sz w:val="36"/>
          <w:szCs w:val="36"/>
        </w:rPr>
      </w:pPr>
      <w:bookmarkStart w:id="162" w:name="_Toc186014876"/>
      <w:bookmarkStart w:id="163" w:name="_Toc26060"/>
      <w:bookmarkStart w:id="164" w:name="_Toc186028036"/>
      <w:bookmarkStart w:id="165" w:name="_Toc186014814"/>
      <w:r>
        <w:rPr>
          <w:rFonts w:ascii="Times New Roman" w:hAnsi="Times New Roman" w:eastAsia="宋体" w:cs="Times New Roman"/>
          <w:b/>
          <w:kern w:val="0"/>
          <w:sz w:val="36"/>
          <w:szCs w:val="36"/>
        </w:rPr>
        <w:t>目  次</w:t>
      </w:r>
      <w:bookmarkEnd w:id="162"/>
      <w:bookmarkEnd w:id="163"/>
      <w:bookmarkEnd w:id="164"/>
      <w:bookmarkEnd w:id="165"/>
    </w:p>
    <w:sdt>
      <w:sdtPr>
        <w:rPr>
          <w:rFonts w:ascii="Times New Roman" w:hAnsi="Times New Roman" w:cs="Times New Roman"/>
          <w:lang w:val="zh-CN"/>
        </w:rPr>
        <w:id w:val="1396010148"/>
        <w:docPartObj>
          <w:docPartGallery w:val="Table of Contents"/>
          <w:docPartUnique/>
        </w:docPartObj>
      </w:sdtPr>
      <w:sdtEndPr>
        <w:rPr>
          <w:rFonts w:ascii="Times New Roman" w:hAnsi="Times New Roman" w:eastAsia="仿宋" w:cs="Times New Roman"/>
          <w:b/>
          <w:bCs/>
          <w:lang w:val="zh-CN"/>
        </w:rPr>
      </w:sdtEndPr>
      <w:sdtContent>
        <w:p>
          <w:pPr>
            <w:pStyle w:val="12"/>
            <w:tabs>
              <w:tab w:val="right" w:leader="dot" w:pos="8302"/>
            </w:tabs>
            <w:rPr>
              <w:rFonts w:ascii="Times New Roman" w:hAnsi="Times New Roman" w:cs="Times New Roman"/>
              <w14:ligatures w14:val="standardContextual"/>
            </w:rPr>
          </w:pPr>
          <w:r>
            <w:rPr>
              <w:rFonts w:ascii="Times New Roman" w:hAnsi="Times New Roman" w:eastAsia="仿宋" w:cs="Times New Roman"/>
            </w:rPr>
            <w:fldChar w:fldCharType="begin"/>
          </w:r>
          <w:r>
            <w:rPr>
              <w:rFonts w:ascii="Times New Roman" w:hAnsi="Times New Roman" w:eastAsia="仿宋" w:cs="Times New Roman"/>
            </w:rPr>
            <w:instrText xml:space="preserve"> TOC \o "1-3" \h \z \u </w:instrText>
          </w:r>
          <w:r>
            <w:rPr>
              <w:rFonts w:ascii="Times New Roman" w:hAnsi="Times New Roman" w:eastAsia="仿宋" w:cs="Times New Roman"/>
            </w:rPr>
            <w:fldChar w:fldCharType="separate"/>
          </w:r>
        </w:p>
        <w:p>
          <w:pPr>
            <w:pStyle w:val="12"/>
            <w:tabs>
              <w:tab w:val="right" w:leader="dot" w:pos="8302"/>
            </w:tabs>
            <w:rPr>
              <w:rFonts w:ascii="Times New Roman" w:hAnsi="Times New Roman" w:eastAsia="宋体" w:cs="Times New Roman"/>
              <w:sz w:val="24"/>
              <w:szCs w:val="24"/>
              <w14:ligatures w14:val="standardContextual"/>
            </w:rPr>
          </w:pPr>
          <w:r>
            <w:fldChar w:fldCharType="begin"/>
          </w:r>
          <w:r>
            <w:instrText xml:space="preserve"> HYPERLINK \l "_Toc186014815" </w:instrText>
          </w:r>
          <w:r>
            <w:fldChar w:fldCharType="separate"/>
          </w:r>
          <w:r>
            <w:rPr>
              <w:rStyle w:val="21"/>
              <w:rFonts w:ascii="Times New Roman" w:hAnsi="Times New Roman" w:eastAsia="宋体" w:cs="Times New Roman"/>
              <w:color w:val="auto"/>
              <w:sz w:val="24"/>
              <w:szCs w:val="24"/>
            </w:rPr>
            <w:t>3． 基本规定</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_Toc186014815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41</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3"/>
            <w:ind w:left="0" w:leftChars="0"/>
            <w:rPr>
              <w:rFonts w:ascii="Times New Roman" w:hAnsi="Times New Roman"/>
              <w:b w:val="0"/>
              <w:bCs w:val="0"/>
              <w:szCs w:val="24"/>
              <w14:ligatures w14:val="standardContextual"/>
            </w:rPr>
          </w:pPr>
          <w:r>
            <w:fldChar w:fldCharType="begin"/>
          </w:r>
          <w:r>
            <w:instrText xml:space="preserve"> HYPERLINK \l "_Toc186014816" </w:instrText>
          </w:r>
          <w:r>
            <w:fldChar w:fldCharType="separate"/>
          </w:r>
          <w:r>
            <w:rPr>
              <w:rStyle w:val="21"/>
              <w:rFonts w:ascii="Times New Roman" w:hAnsi="Times New Roman"/>
              <w:b w:val="0"/>
              <w:bCs w:val="0"/>
              <w:color w:val="auto"/>
              <w:szCs w:val="24"/>
            </w:rPr>
            <w:t>3.1  一般规定</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_Toc186014816 \h </w:instrText>
          </w:r>
          <w:r>
            <w:rPr>
              <w:rFonts w:ascii="Times New Roman" w:hAnsi="Times New Roman"/>
              <w:b w:val="0"/>
              <w:bCs w:val="0"/>
              <w:szCs w:val="24"/>
            </w:rPr>
            <w:fldChar w:fldCharType="separate"/>
          </w:r>
          <w:r>
            <w:rPr>
              <w:rFonts w:ascii="Times New Roman" w:hAnsi="Times New Roman"/>
              <w:b w:val="0"/>
              <w:bCs w:val="0"/>
              <w:szCs w:val="24"/>
            </w:rPr>
            <w:t>41</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2"/>
            <w:tabs>
              <w:tab w:val="right" w:leader="dot" w:pos="8302"/>
            </w:tabs>
            <w:rPr>
              <w:rFonts w:ascii="Times New Roman" w:hAnsi="Times New Roman" w:eastAsia="宋体" w:cs="Times New Roman"/>
              <w:sz w:val="24"/>
              <w:szCs w:val="24"/>
              <w14:ligatures w14:val="standardContextual"/>
            </w:rPr>
          </w:pPr>
          <w:r>
            <w:fldChar w:fldCharType="begin"/>
          </w:r>
          <w:r>
            <w:instrText xml:space="preserve"> HYPERLINK \l "_Toc186014817" </w:instrText>
          </w:r>
          <w:r>
            <w:fldChar w:fldCharType="separate"/>
          </w:r>
          <w:r>
            <w:rPr>
              <w:rStyle w:val="21"/>
              <w:rFonts w:ascii="Times New Roman" w:hAnsi="Times New Roman" w:eastAsia="宋体" w:cs="Times New Roman"/>
              <w:color w:val="auto"/>
              <w:sz w:val="24"/>
              <w:szCs w:val="24"/>
            </w:rPr>
            <w:t>4． 荷载与作用</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_Toc186014817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42</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3"/>
            <w:ind w:left="0" w:leftChars="0"/>
            <w:rPr>
              <w:rFonts w:ascii="Times New Roman" w:hAnsi="Times New Roman"/>
              <w:b w:val="0"/>
              <w:bCs w:val="0"/>
              <w:szCs w:val="24"/>
              <w14:ligatures w14:val="standardContextual"/>
            </w:rPr>
          </w:pPr>
          <w:r>
            <w:fldChar w:fldCharType="begin"/>
          </w:r>
          <w:r>
            <w:instrText xml:space="preserve"> HYPERLINK \l "_Toc186014818" </w:instrText>
          </w:r>
          <w:r>
            <w:fldChar w:fldCharType="separate"/>
          </w:r>
          <w:r>
            <w:rPr>
              <w:rStyle w:val="21"/>
              <w:rFonts w:ascii="Times New Roman" w:hAnsi="Times New Roman"/>
              <w:b w:val="0"/>
              <w:bCs w:val="0"/>
              <w:color w:val="auto"/>
              <w:szCs w:val="24"/>
            </w:rPr>
            <w:t>4.1一般规定</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_Toc186014818 \h </w:instrText>
          </w:r>
          <w:r>
            <w:rPr>
              <w:rFonts w:ascii="Times New Roman" w:hAnsi="Times New Roman"/>
              <w:b w:val="0"/>
              <w:bCs w:val="0"/>
              <w:szCs w:val="24"/>
            </w:rPr>
            <w:fldChar w:fldCharType="separate"/>
          </w:r>
          <w:r>
            <w:rPr>
              <w:rFonts w:ascii="Times New Roman" w:hAnsi="Times New Roman"/>
              <w:b w:val="0"/>
              <w:bCs w:val="0"/>
              <w:szCs w:val="24"/>
            </w:rPr>
            <w:t>42</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ind w:left="0" w:leftChars="0"/>
            <w:rPr>
              <w:rFonts w:ascii="Times New Roman" w:hAnsi="Times New Roman"/>
              <w:b w:val="0"/>
              <w:bCs w:val="0"/>
              <w:szCs w:val="24"/>
              <w14:ligatures w14:val="standardContextual"/>
            </w:rPr>
          </w:pPr>
          <w:r>
            <w:fldChar w:fldCharType="begin"/>
          </w:r>
          <w:r>
            <w:instrText xml:space="preserve"> HYPERLINK \l "_Toc186014819" </w:instrText>
          </w:r>
          <w:r>
            <w:fldChar w:fldCharType="separate"/>
          </w:r>
          <w:r>
            <w:rPr>
              <w:rStyle w:val="21"/>
              <w:rFonts w:ascii="Times New Roman" w:hAnsi="Times New Roman"/>
              <w:b w:val="0"/>
              <w:bCs w:val="0"/>
              <w:color w:val="auto"/>
              <w:szCs w:val="24"/>
            </w:rPr>
            <w:t>4.2风荷载</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_Toc186014819 \h </w:instrText>
          </w:r>
          <w:r>
            <w:rPr>
              <w:rFonts w:ascii="Times New Roman" w:hAnsi="Times New Roman"/>
              <w:b w:val="0"/>
              <w:bCs w:val="0"/>
              <w:szCs w:val="24"/>
            </w:rPr>
            <w:fldChar w:fldCharType="separate"/>
          </w:r>
          <w:r>
            <w:rPr>
              <w:rFonts w:ascii="Times New Roman" w:hAnsi="Times New Roman"/>
              <w:b w:val="0"/>
              <w:bCs w:val="0"/>
              <w:szCs w:val="24"/>
            </w:rPr>
            <w:t>42</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ind w:left="0" w:leftChars="0"/>
            <w:rPr>
              <w:rFonts w:ascii="Times New Roman" w:hAnsi="Times New Roman"/>
              <w:b w:val="0"/>
              <w:bCs w:val="0"/>
              <w:szCs w:val="24"/>
              <w14:ligatures w14:val="standardContextual"/>
            </w:rPr>
          </w:pPr>
          <w:r>
            <w:fldChar w:fldCharType="begin"/>
          </w:r>
          <w:r>
            <w:instrText xml:space="preserve"> HYPERLINK \l "_Toc186014820" </w:instrText>
          </w:r>
          <w:r>
            <w:fldChar w:fldCharType="separate"/>
          </w:r>
          <w:r>
            <w:rPr>
              <w:rStyle w:val="21"/>
              <w:rFonts w:ascii="Times New Roman" w:hAnsi="Times New Roman"/>
              <w:b w:val="0"/>
              <w:bCs w:val="0"/>
              <w:color w:val="auto"/>
              <w:szCs w:val="24"/>
            </w:rPr>
            <w:t>4.3屋面雪荷载</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_Toc186014820 \h </w:instrText>
          </w:r>
          <w:r>
            <w:rPr>
              <w:rFonts w:ascii="Times New Roman" w:hAnsi="Times New Roman"/>
              <w:b w:val="0"/>
              <w:bCs w:val="0"/>
              <w:szCs w:val="24"/>
            </w:rPr>
            <w:fldChar w:fldCharType="separate"/>
          </w:r>
          <w:r>
            <w:rPr>
              <w:rFonts w:ascii="Times New Roman" w:hAnsi="Times New Roman"/>
              <w:b w:val="0"/>
              <w:bCs w:val="0"/>
              <w:szCs w:val="24"/>
            </w:rPr>
            <w:t>42</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ind w:left="0" w:leftChars="0"/>
            <w:rPr>
              <w:rFonts w:ascii="Times New Roman" w:hAnsi="Times New Roman"/>
              <w:b w:val="0"/>
              <w:bCs w:val="0"/>
              <w:szCs w:val="24"/>
              <w14:ligatures w14:val="standardContextual"/>
            </w:rPr>
          </w:pPr>
          <w:r>
            <w:fldChar w:fldCharType="begin"/>
          </w:r>
          <w:r>
            <w:instrText xml:space="preserve"> HYPERLINK \l "_Toc186014821" </w:instrText>
          </w:r>
          <w:r>
            <w:fldChar w:fldCharType="separate"/>
          </w:r>
          <w:r>
            <w:rPr>
              <w:rStyle w:val="21"/>
              <w:rFonts w:ascii="Times New Roman" w:hAnsi="Times New Roman"/>
              <w:b w:val="0"/>
              <w:bCs w:val="0"/>
              <w:color w:val="auto"/>
              <w:szCs w:val="24"/>
            </w:rPr>
            <w:t>4.4地震作用</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_Toc186014821 \h </w:instrText>
          </w:r>
          <w:r>
            <w:rPr>
              <w:rFonts w:ascii="Times New Roman" w:hAnsi="Times New Roman"/>
              <w:b w:val="0"/>
              <w:bCs w:val="0"/>
              <w:szCs w:val="24"/>
            </w:rPr>
            <w:fldChar w:fldCharType="separate"/>
          </w:r>
          <w:r>
            <w:rPr>
              <w:rFonts w:ascii="Times New Roman" w:hAnsi="Times New Roman"/>
              <w:b w:val="0"/>
              <w:bCs w:val="0"/>
              <w:szCs w:val="24"/>
            </w:rPr>
            <w:t>42</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ind w:left="0" w:leftChars="0"/>
            <w:rPr>
              <w:rFonts w:ascii="Times New Roman" w:hAnsi="Times New Roman"/>
              <w:b w:val="0"/>
              <w:bCs w:val="0"/>
              <w:szCs w:val="24"/>
              <w14:ligatures w14:val="standardContextual"/>
            </w:rPr>
          </w:pPr>
          <w:r>
            <w:fldChar w:fldCharType="begin"/>
          </w:r>
          <w:r>
            <w:instrText xml:space="preserve"> HYPERLINK \l "_Toc186014822" </w:instrText>
          </w:r>
          <w:r>
            <w:fldChar w:fldCharType="separate"/>
          </w:r>
          <w:r>
            <w:rPr>
              <w:rStyle w:val="21"/>
              <w:rFonts w:ascii="Times New Roman" w:hAnsi="Times New Roman"/>
              <w:b w:val="0"/>
              <w:bCs w:val="0"/>
              <w:color w:val="auto"/>
              <w:szCs w:val="24"/>
            </w:rPr>
            <w:t>4.5温度作用</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_Toc186014822 \h </w:instrText>
          </w:r>
          <w:r>
            <w:rPr>
              <w:rFonts w:ascii="Times New Roman" w:hAnsi="Times New Roman"/>
              <w:b w:val="0"/>
              <w:bCs w:val="0"/>
              <w:szCs w:val="24"/>
            </w:rPr>
            <w:fldChar w:fldCharType="separate"/>
          </w:r>
          <w:r>
            <w:rPr>
              <w:rFonts w:ascii="Times New Roman" w:hAnsi="Times New Roman"/>
              <w:b w:val="0"/>
              <w:bCs w:val="0"/>
              <w:szCs w:val="24"/>
            </w:rPr>
            <w:t>42</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2"/>
            <w:tabs>
              <w:tab w:val="right" w:leader="dot" w:pos="8302"/>
            </w:tabs>
            <w:rPr>
              <w:rFonts w:ascii="Times New Roman" w:hAnsi="Times New Roman" w:eastAsia="宋体" w:cs="Times New Roman"/>
              <w:sz w:val="24"/>
              <w:szCs w:val="24"/>
              <w14:ligatures w14:val="standardContextual"/>
            </w:rPr>
          </w:pPr>
          <w:r>
            <w:fldChar w:fldCharType="begin"/>
          </w:r>
          <w:r>
            <w:instrText xml:space="preserve"> HYPERLINK \l "_Toc186014823" </w:instrText>
          </w:r>
          <w:r>
            <w:fldChar w:fldCharType="separate"/>
          </w:r>
          <w:r>
            <w:rPr>
              <w:rStyle w:val="21"/>
              <w:rFonts w:ascii="Times New Roman" w:hAnsi="Times New Roman" w:eastAsia="宋体" w:cs="Times New Roman"/>
              <w:color w:val="auto"/>
              <w:sz w:val="24"/>
              <w:szCs w:val="24"/>
            </w:rPr>
            <w:t>5． 结构计算与设计</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_Toc186014823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44</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3"/>
            <w:ind w:left="0" w:leftChars="0"/>
            <w:rPr>
              <w:rFonts w:ascii="Times New Roman" w:hAnsi="Times New Roman"/>
              <w:b w:val="0"/>
              <w:bCs w:val="0"/>
              <w:szCs w:val="24"/>
              <w14:ligatures w14:val="standardContextual"/>
            </w:rPr>
          </w:pPr>
          <w:r>
            <w:fldChar w:fldCharType="begin"/>
          </w:r>
          <w:r>
            <w:instrText xml:space="preserve"> HYPERLINK \l "_Toc186014824" </w:instrText>
          </w:r>
          <w:r>
            <w:fldChar w:fldCharType="separate"/>
          </w:r>
          <w:r>
            <w:rPr>
              <w:rStyle w:val="21"/>
              <w:rFonts w:ascii="Times New Roman" w:hAnsi="Times New Roman"/>
              <w:b w:val="0"/>
              <w:bCs w:val="0"/>
              <w:color w:val="auto"/>
              <w:szCs w:val="24"/>
            </w:rPr>
            <w:t>5.1一般规定</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_Toc186014824 \h </w:instrText>
          </w:r>
          <w:r>
            <w:rPr>
              <w:rFonts w:ascii="Times New Roman" w:hAnsi="Times New Roman"/>
              <w:b w:val="0"/>
              <w:bCs w:val="0"/>
              <w:szCs w:val="24"/>
            </w:rPr>
            <w:fldChar w:fldCharType="separate"/>
          </w:r>
          <w:r>
            <w:rPr>
              <w:rFonts w:ascii="Times New Roman" w:hAnsi="Times New Roman"/>
              <w:b w:val="0"/>
              <w:bCs w:val="0"/>
              <w:szCs w:val="24"/>
            </w:rPr>
            <w:t>44</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ind w:left="0" w:leftChars="0"/>
            <w:rPr>
              <w:rFonts w:ascii="Times New Roman" w:hAnsi="Times New Roman"/>
              <w:b w:val="0"/>
              <w:bCs w:val="0"/>
              <w:szCs w:val="24"/>
              <w14:ligatures w14:val="standardContextual"/>
            </w:rPr>
          </w:pPr>
          <w:r>
            <w:fldChar w:fldCharType="begin"/>
          </w:r>
          <w:r>
            <w:instrText xml:space="preserve"> HYPERLINK \l "_Toc186014825" </w:instrText>
          </w:r>
          <w:r>
            <w:fldChar w:fldCharType="separate"/>
          </w:r>
          <w:r>
            <w:rPr>
              <w:rStyle w:val="21"/>
              <w:rFonts w:ascii="Times New Roman" w:hAnsi="Times New Roman"/>
              <w:b w:val="0"/>
              <w:bCs w:val="0"/>
              <w:color w:val="auto"/>
              <w:szCs w:val="24"/>
            </w:rPr>
            <w:t>5.2静力计算</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_Toc186014825 \h </w:instrText>
          </w:r>
          <w:r>
            <w:rPr>
              <w:rFonts w:ascii="Times New Roman" w:hAnsi="Times New Roman"/>
              <w:b w:val="0"/>
              <w:bCs w:val="0"/>
              <w:szCs w:val="24"/>
            </w:rPr>
            <w:fldChar w:fldCharType="separate"/>
          </w:r>
          <w:r>
            <w:rPr>
              <w:rFonts w:ascii="Times New Roman" w:hAnsi="Times New Roman"/>
              <w:b w:val="0"/>
              <w:bCs w:val="0"/>
              <w:szCs w:val="24"/>
            </w:rPr>
            <w:t>44</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ind w:left="0" w:leftChars="0"/>
            <w:rPr>
              <w:rFonts w:ascii="Times New Roman" w:hAnsi="Times New Roman"/>
              <w:b w:val="0"/>
              <w:bCs w:val="0"/>
              <w:szCs w:val="24"/>
              <w14:ligatures w14:val="standardContextual"/>
            </w:rPr>
          </w:pPr>
          <w:r>
            <w:fldChar w:fldCharType="begin"/>
          </w:r>
          <w:r>
            <w:instrText xml:space="preserve"> HYPERLINK \l "_Toc186014826" </w:instrText>
          </w:r>
          <w:r>
            <w:fldChar w:fldCharType="separate"/>
          </w:r>
          <w:r>
            <w:rPr>
              <w:rStyle w:val="21"/>
              <w:rFonts w:ascii="Times New Roman" w:hAnsi="Times New Roman"/>
              <w:b w:val="0"/>
              <w:bCs w:val="0"/>
              <w:color w:val="auto"/>
              <w:szCs w:val="24"/>
            </w:rPr>
            <w:t>5.3抗震设计</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_Toc186014826 \h </w:instrText>
          </w:r>
          <w:r>
            <w:rPr>
              <w:rFonts w:ascii="Times New Roman" w:hAnsi="Times New Roman"/>
              <w:b w:val="0"/>
              <w:bCs w:val="0"/>
              <w:szCs w:val="24"/>
            </w:rPr>
            <w:fldChar w:fldCharType="separate"/>
          </w:r>
          <w:r>
            <w:rPr>
              <w:rFonts w:ascii="Times New Roman" w:hAnsi="Times New Roman"/>
              <w:b w:val="0"/>
              <w:bCs w:val="0"/>
              <w:szCs w:val="24"/>
            </w:rPr>
            <w:t>44</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ind w:left="0" w:leftChars="0"/>
            <w:rPr>
              <w:rFonts w:ascii="Times New Roman" w:hAnsi="Times New Roman"/>
              <w:b w:val="0"/>
              <w:bCs w:val="0"/>
              <w:szCs w:val="24"/>
              <w14:ligatures w14:val="standardContextual"/>
            </w:rPr>
          </w:pPr>
          <w:r>
            <w:fldChar w:fldCharType="begin"/>
          </w:r>
          <w:r>
            <w:instrText xml:space="preserve"> HYPERLINK \l "_Toc186014827" </w:instrText>
          </w:r>
          <w:r>
            <w:fldChar w:fldCharType="separate"/>
          </w:r>
          <w:r>
            <w:rPr>
              <w:rStyle w:val="21"/>
              <w:rFonts w:ascii="Times New Roman" w:hAnsi="Times New Roman"/>
              <w:b w:val="0"/>
              <w:bCs w:val="0"/>
              <w:color w:val="auto"/>
              <w:szCs w:val="24"/>
            </w:rPr>
            <w:t>5.4稳定计算</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_Toc186014827 \h </w:instrText>
          </w:r>
          <w:r>
            <w:rPr>
              <w:rFonts w:ascii="Times New Roman" w:hAnsi="Times New Roman"/>
              <w:b w:val="0"/>
              <w:bCs w:val="0"/>
              <w:szCs w:val="24"/>
            </w:rPr>
            <w:fldChar w:fldCharType="separate"/>
          </w:r>
          <w:r>
            <w:rPr>
              <w:rFonts w:ascii="Times New Roman" w:hAnsi="Times New Roman"/>
              <w:b w:val="0"/>
              <w:bCs w:val="0"/>
              <w:szCs w:val="24"/>
            </w:rPr>
            <w:t>44</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ind w:left="0" w:leftChars="0"/>
            <w:rPr>
              <w:rFonts w:ascii="Times New Roman" w:hAnsi="Times New Roman"/>
              <w:b w:val="0"/>
              <w:bCs w:val="0"/>
              <w:szCs w:val="24"/>
              <w14:ligatures w14:val="standardContextual"/>
            </w:rPr>
          </w:pPr>
          <w:r>
            <w:fldChar w:fldCharType="begin"/>
          </w:r>
          <w:r>
            <w:instrText xml:space="preserve"> HYPERLINK \l "_Toc186014828" </w:instrText>
          </w:r>
          <w:r>
            <w:fldChar w:fldCharType="separate"/>
          </w:r>
          <w:r>
            <w:rPr>
              <w:rStyle w:val="21"/>
              <w:rFonts w:ascii="Times New Roman" w:hAnsi="Times New Roman"/>
              <w:b w:val="0"/>
              <w:bCs w:val="0"/>
              <w:color w:val="auto"/>
              <w:szCs w:val="24"/>
            </w:rPr>
            <w:t>5.5杆件设计</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_Toc186014828 \h </w:instrText>
          </w:r>
          <w:r>
            <w:rPr>
              <w:rFonts w:ascii="Times New Roman" w:hAnsi="Times New Roman"/>
              <w:b w:val="0"/>
              <w:bCs w:val="0"/>
              <w:szCs w:val="24"/>
            </w:rPr>
            <w:fldChar w:fldCharType="separate"/>
          </w:r>
          <w:r>
            <w:rPr>
              <w:rFonts w:ascii="Times New Roman" w:hAnsi="Times New Roman"/>
              <w:b w:val="0"/>
              <w:bCs w:val="0"/>
              <w:szCs w:val="24"/>
            </w:rPr>
            <w:t>44</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ind w:left="0" w:leftChars="0"/>
            <w:rPr>
              <w:rFonts w:ascii="Times New Roman" w:hAnsi="Times New Roman"/>
              <w:b w:val="0"/>
              <w:bCs w:val="0"/>
              <w:szCs w:val="24"/>
              <w14:ligatures w14:val="standardContextual"/>
            </w:rPr>
          </w:pPr>
          <w:r>
            <w:fldChar w:fldCharType="begin"/>
          </w:r>
          <w:r>
            <w:instrText xml:space="preserve"> HYPERLINK \l "_Toc186014829" </w:instrText>
          </w:r>
          <w:r>
            <w:fldChar w:fldCharType="separate"/>
          </w:r>
          <w:r>
            <w:rPr>
              <w:rStyle w:val="21"/>
              <w:rFonts w:ascii="Times New Roman" w:hAnsi="Times New Roman"/>
              <w:b w:val="0"/>
              <w:bCs w:val="0"/>
              <w:color w:val="auto"/>
              <w:szCs w:val="24"/>
            </w:rPr>
            <w:t>5.8支座节点设计</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_Toc186014829 \h </w:instrText>
          </w:r>
          <w:r>
            <w:rPr>
              <w:rFonts w:ascii="Times New Roman" w:hAnsi="Times New Roman"/>
              <w:b w:val="0"/>
              <w:bCs w:val="0"/>
              <w:szCs w:val="24"/>
            </w:rPr>
            <w:fldChar w:fldCharType="separate"/>
          </w:r>
          <w:r>
            <w:rPr>
              <w:rFonts w:ascii="Times New Roman" w:hAnsi="Times New Roman"/>
              <w:b w:val="0"/>
              <w:bCs w:val="0"/>
              <w:szCs w:val="24"/>
            </w:rPr>
            <w:t>45</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ind w:left="0" w:leftChars="0"/>
            <w:rPr>
              <w:rFonts w:ascii="Times New Roman" w:hAnsi="Times New Roman"/>
              <w:b w:val="0"/>
              <w:bCs w:val="0"/>
              <w:szCs w:val="24"/>
              <w14:ligatures w14:val="standardContextual"/>
            </w:rPr>
          </w:pPr>
          <w:r>
            <w:fldChar w:fldCharType="begin"/>
          </w:r>
          <w:r>
            <w:instrText xml:space="preserve"> HYPERLINK \l "_Toc186014830" </w:instrText>
          </w:r>
          <w:r>
            <w:fldChar w:fldCharType="separate"/>
          </w:r>
          <w:r>
            <w:rPr>
              <w:rStyle w:val="21"/>
              <w:rFonts w:ascii="Times New Roman" w:hAnsi="Times New Roman"/>
              <w:b w:val="0"/>
              <w:bCs w:val="0"/>
              <w:color w:val="auto"/>
              <w:szCs w:val="24"/>
            </w:rPr>
            <w:t>5.9构件节点设计</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_Toc186014830 \h </w:instrText>
          </w:r>
          <w:r>
            <w:rPr>
              <w:rFonts w:ascii="Times New Roman" w:hAnsi="Times New Roman"/>
              <w:b w:val="0"/>
              <w:bCs w:val="0"/>
              <w:szCs w:val="24"/>
            </w:rPr>
            <w:fldChar w:fldCharType="separate"/>
          </w:r>
          <w:r>
            <w:rPr>
              <w:rFonts w:ascii="Times New Roman" w:hAnsi="Times New Roman"/>
              <w:b w:val="0"/>
              <w:bCs w:val="0"/>
              <w:szCs w:val="24"/>
            </w:rPr>
            <w:t>45</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3"/>
            <w:ind w:left="0" w:leftChars="0"/>
            <w:rPr>
              <w:rFonts w:ascii="Times New Roman" w:hAnsi="Times New Roman"/>
              <w:b w:val="0"/>
              <w:bCs w:val="0"/>
              <w:szCs w:val="24"/>
              <w14:ligatures w14:val="standardContextual"/>
            </w:rPr>
          </w:pPr>
          <w:r>
            <w:fldChar w:fldCharType="begin"/>
          </w:r>
          <w:r>
            <w:instrText xml:space="preserve"> HYPERLINK \l "_Toc186014831" </w:instrText>
          </w:r>
          <w:r>
            <w:fldChar w:fldCharType="separate"/>
          </w:r>
          <w:r>
            <w:rPr>
              <w:rStyle w:val="21"/>
              <w:rFonts w:ascii="Times New Roman" w:hAnsi="Times New Roman"/>
              <w:b w:val="0"/>
              <w:bCs w:val="0"/>
              <w:color w:val="auto"/>
              <w:szCs w:val="24"/>
            </w:rPr>
            <w:t>5.10围护结构设计</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_Toc186014831 \h </w:instrText>
          </w:r>
          <w:r>
            <w:rPr>
              <w:rFonts w:ascii="Times New Roman" w:hAnsi="Times New Roman"/>
              <w:b w:val="0"/>
              <w:bCs w:val="0"/>
              <w:szCs w:val="24"/>
            </w:rPr>
            <w:fldChar w:fldCharType="separate"/>
          </w:r>
          <w:r>
            <w:rPr>
              <w:rFonts w:ascii="Times New Roman" w:hAnsi="Times New Roman"/>
              <w:b w:val="0"/>
              <w:bCs w:val="0"/>
              <w:szCs w:val="24"/>
            </w:rPr>
            <w:t>45</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2"/>
            <w:tabs>
              <w:tab w:val="right" w:leader="dot" w:pos="8302"/>
            </w:tabs>
            <w:rPr>
              <w:rFonts w:ascii="Times New Roman" w:hAnsi="Times New Roman" w:eastAsia="宋体" w:cs="Times New Roman"/>
              <w:sz w:val="24"/>
              <w:szCs w:val="24"/>
              <w14:ligatures w14:val="standardContextual"/>
            </w:rPr>
          </w:pPr>
          <w:r>
            <w:fldChar w:fldCharType="begin"/>
          </w:r>
          <w:r>
            <w:instrText xml:space="preserve"> HYPERLINK \l "_Toc186014832" </w:instrText>
          </w:r>
          <w:r>
            <w:fldChar w:fldCharType="separate"/>
          </w:r>
          <w:r>
            <w:rPr>
              <w:rStyle w:val="21"/>
              <w:rFonts w:ascii="Times New Roman" w:hAnsi="Times New Roman" w:eastAsia="宋体" w:cs="Times New Roman"/>
              <w:color w:val="auto"/>
              <w:sz w:val="24"/>
              <w:szCs w:val="24"/>
            </w:rPr>
            <w:t>7 使用与维护</w:t>
          </w:r>
          <w:r>
            <w:rPr>
              <w:rFonts w:ascii="Times New Roman" w:hAnsi="Times New Roman" w:eastAsia="宋体" w:cs="Times New Roman"/>
              <w:sz w:val="24"/>
              <w:szCs w:val="24"/>
            </w:rPr>
            <w:tab/>
          </w:r>
          <w:r>
            <w:rPr>
              <w:rFonts w:ascii="Times New Roman" w:hAnsi="Times New Roman" w:eastAsia="宋体" w:cs="Times New Roman"/>
              <w:sz w:val="24"/>
              <w:szCs w:val="24"/>
            </w:rPr>
            <w:fldChar w:fldCharType="begin"/>
          </w:r>
          <w:r>
            <w:rPr>
              <w:rFonts w:ascii="Times New Roman" w:hAnsi="Times New Roman" w:eastAsia="宋体" w:cs="Times New Roman"/>
              <w:sz w:val="24"/>
              <w:szCs w:val="24"/>
            </w:rPr>
            <w:instrText xml:space="preserve"> PAGEREF _Toc186014832 \h </w:instrText>
          </w:r>
          <w:r>
            <w:rPr>
              <w:rFonts w:ascii="Times New Roman" w:hAnsi="Times New Roman" w:eastAsia="宋体" w:cs="Times New Roman"/>
              <w:sz w:val="24"/>
              <w:szCs w:val="24"/>
            </w:rPr>
            <w:fldChar w:fldCharType="separate"/>
          </w:r>
          <w:r>
            <w:rPr>
              <w:rFonts w:ascii="Times New Roman" w:hAnsi="Times New Roman" w:eastAsia="宋体" w:cs="Times New Roman"/>
              <w:sz w:val="24"/>
              <w:szCs w:val="24"/>
            </w:rPr>
            <w:t>46</w:t>
          </w:r>
          <w:r>
            <w:rPr>
              <w:rFonts w:ascii="Times New Roman" w:hAnsi="Times New Roman" w:eastAsia="宋体" w:cs="Times New Roman"/>
              <w:sz w:val="24"/>
              <w:szCs w:val="24"/>
            </w:rPr>
            <w:fldChar w:fldCharType="end"/>
          </w:r>
          <w:r>
            <w:rPr>
              <w:rFonts w:ascii="Times New Roman" w:hAnsi="Times New Roman" w:eastAsia="宋体" w:cs="Times New Roman"/>
              <w:sz w:val="24"/>
              <w:szCs w:val="24"/>
            </w:rPr>
            <w:fldChar w:fldCharType="end"/>
          </w:r>
        </w:p>
        <w:p>
          <w:pPr>
            <w:pStyle w:val="13"/>
            <w:ind w:left="0" w:leftChars="0"/>
            <w:rPr>
              <w:rFonts w:ascii="Times New Roman" w:hAnsi="Times New Roman"/>
              <w14:ligatures w14:val="standardContextual"/>
            </w:rPr>
          </w:pPr>
          <w:r>
            <w:fldChar w:fldCharType="begin"/>
          </w:r>
          <w:r>
            <w:instrText xml:space="preserve"> HYPERLINK \l "_Toc186014833" </w:instrText>
          </w:r>
          <w:r>
            <w:fldChar w:fldCharType="separate"/>
          </w:r>
          <w:r>
            <w:rPr>
              <w:rStyle w:val="21"/>
              <w:rFonts w:ascii="Times New Roman" w:hAnsi="Times New Roman"/>
              <w:b w:val="0"/>
              <w:bCs w:val="0"/>
              <w:color w:val="auto"/>
              <w:szCs w:val="24"/>
            </w:rPr>
            <w:t>7.1 输送下料使用规定</w:t>
          </w:r>
          <w:r>
            <w:rPr>
              <w:rFonts w:ascii="Times New Roman" w:hAnsi="Times New Roman"/>
              <w:b w:val="0"/>
              <w:bCs w:val="0"/>
              <w:szCs w:val="24"/>
            </w:rPr>
            <w:tab/>
          </w:r>
          <w:r>
            <w:rPr>
              <w:rFonts w:ascii="Times New Roman" w:hAnsi="Times New Roman"/>
              <w:b w:val="0"/>
              <w:bCs w:val="0"/>
              <w:szCs w:val="24"/>
            </w:rPr>
            <w:fldChar w:fldCharType="begin"/>
          </w:r>
          <w:r>
            <w:rPr>
              <w:rFonts w:ascii="Times New Roman" w:hAnsi="Times New Roman"/>
              <w:b w:val="0"/>
              <w:bCs w:val="0"/>
              <w:szCs w:val="24"/>
            </w:rPr>
            <w:instrText xml:space="preserve"> PAGEREF _Toc186014833 \h </w:instrText>
          </w:r>
          <w:r>
            <w:rPr>
              <w:rFonts w:ascii="Times New Roman" w:hAnsi="Times New Roman"/>
              <w:b w:val="0"/>
              <w:bCs w:val="0"/>
              <w:szCs w:val="24"/>
            </w:rPr>
            <w:fldChar w:fldCharType="separate"/>
          </w:r>
          <w:r>
            <w:rPr>
              <w:rFonts w:ascii="Times New Roman" w:hAnsi="Times New Roman"/>
              <w:b w:val="0"/>
              <w:bCs w:val="0"/>
              <w:szCs w:val="24"/>
            </w:rPr>
            <w:t>46</w:t>
          </w:r>
          <w:r>
            <w:rPr>
              <w:rFonts w:ascii="Times New Roman" w:hAnsi="Times New Roman"/>
              <w:b w:val="0"/>
              <w:bCs w:val="0"/>
              <w:szCs w:val="24"/>
            </w:rPr>
            <w:fldChar w:fldCharType="end"/>
          </w:r>
          <w:r>
            <w:rPr>
              <w:rFonts w:ascii="Times New Roman" w:hAnsi="Times New Roman"/>
              <w:b w:val="0"/>
              <w:bCs w:val="0"/>
              <w:szCs w:val="24"/>
            </w:rPr>
            <w:fldChar w:fldCharType="end"/>
          </w:r>
        </w:p>
        <w:p>
          <w:pPr>
            <w:pStyle w:val="12"/>
            <w:tabs>
              <w:tab w:val="right" w:leader="dot" w:pos="9344"/>
            </w:tabs>
            <w:rPr>
              <w:rFonts w:ascii="Times New Roman" w:hAnsi="Times New Roman" w:cs="Times New Roman"/>
            </w:rPr>
          </w:pPr>
          <w:r>
            <w:rPr>
              <w:rFonts w:ascii="Times New Roman" w:hAnsi="Times New Roman" w:eastAsia="仿宋" w:cs="Times New Roman"/>
              <w:b/>
              <w:bCs/>
              <w:lang w:val="zh-CN"/>
            </w:rPr>
            <w:fldChar w:fldCharType="end"/>
          </w:r>
        </w:p>
      </w:sdtContent>
    </w:sdt>
    <w:p>
      <w:pPr>
        <w:rPr>
          <w:rFonts w:ascii="Times New Roman" w:hAnsi="Times New Roman" w:cs="Times New Roman"/>
        </w:rPr>
      </w:pPr>
      <w:r>
        <w:rPr>
          <w:rFonts w:ascii="Times New Roman" w:hAnsi="Times New Roman" w:cs="Times New Roman"/>
        </w:rPr>
        <w:br w:type="page"/>
      </w:r>
    </w:p>
    <w:p>
      <w:pPr>
        <w:pStyle w:val="2"/>
        <w:rPr>
          <w:rFonts w:ascii="Times New Roman" w:hAnsi="Times New Roman" w:cs="Times New Roman"/>
        </w:rPr>
        <w:sectPr>
          <w:pgSz w:w="11906" w:h="16838"/>
          <w:pgMar w:top="1440" w:right="1797" w:bottom="1440" w:left="1797" w:header="851" w:footer="992" w:gutter="0"/>
          <w:cols w:space="0" w:num="1"/>
          <w:docGrid w:type="linesAndChars" w:linePitch="312" w:charSpace="0"/>
        </w:sectPr>
      </w:pPr>
    </w:p>
    <w:p>
      <w:pPr>
        <w:pStyle w:val="29"/>
        <w:numPr>
          <w:ilvl w:val="0"/>
          <w:numId w:val="3"/>
        </w:numPr>
        <w:spacing w:before="312" w:beforeLines="100" w:after="312" w:afterLines="100" w:line="400" w:lineRule="exact"/>
        <w:outlineLvl w:val="0"/>
        <w:rPr>
          <w:rFonts w:eastAsia="仿宋"/>
          <w:sz w:val="32"/>
        </w:rPr>
      </w:pPr>
      <w:bookmarkStart w:id="166" w:name="_Toc186014877"/>
      <w:bookmarkStart w:id="167" w:name="_Toc29306"/>
      <w:bookmarkStart w:id="168" w:name="_Toc143"/>
      <w:bookmarkStart w:id="169" w:name="_Toc186028037"/>
      <w:bookmarkStart w:id="170" w:name="_Toc175758558"/>
      <w:bookmarkStart w:id="171" w:name="_Toc173832514"/>
      <w:bookmarkStart w:id="172" w:name="_Toc186014815"/>
      <w:r>
        <w:rPr>
          <w:rFonts w:eastAsia="仿宋"/>
          <w:sz w:val="32"/>
        </w:rPr>
        <w:t>基本规定</w:t>
      </w:r>
      <w:bookmarkEnd w:id="166"/>
      <w:bookmarkEnd w:id="167"/>
      <w:bookmarkEnd w:id="168"/>
      <w:bookmarkEnd w:id="169"/>
      <w:bookmarkEnd w:id="170"/>
      <w:bookmarkEnd w:id="171"/>
      <w:bookmarkEnd w:id="172"/>
    </w:p>
    <w:p>
      <w:pPr>
        <w:pStyle w:val="4"/>
        <w:spacing w:before="156" w:beforeLines="50" w:after="156" w:afterLines="50" w:line="400" w:lineRule="exact"/>
        <w:jc w:val="center"/>
        <w:rPr>
          <w:rFonts w:ascii="Times New Roman" w:hAnsi="Times New Roman" w:cs="Times New Roman"/>
          <w:sz w:val="24"/>
        </w:rPr>
      </w:pPr>
      <w:bookmarkStart w:id="173" w:name="_Toc175758559"/>
      <w:bookmarkStart w:id="174" w:name="_Toc186014816"/>
      <w:bookmarkStart w:id="175" w:name="_Toc14733"/>
      <w:bookmarkStart w:id="176" w:name="_Toc186014878"/>
      <w:bookmarkStart w:id="177" w:name="_Toc186028038"/>
      <w:bookmarkStart w:id="178" w:name="_Toc173832515"/>
      <w:bookmarkStart w:id="179" w:name="_Toc296"/>
      <w:r>
        <w:rPr>
          <w:rFonts w:ascii="Times New Roman" w:hAnsi="Times New Roman" w:eastAsia="宋体" w:cs="Times New Roman"/>
          <w:sz w:val="24"/>
          <w:szCs w:val="24"/>
        </w:rPr>
        <w:t>3.1  一般规定</w:t>
      </w:r>
      <w:bookmarkEnd w:id="173"/>
      <w:bookmarkEnd w:id="174"/>
      <w:bookmarkEnd w:id="175"/>
      <w:bookmarkEnd w:id="176"/>
      <w:bookmarkEnd w:id="177"/>
      <w:bookmarkEnd w:id="178"/>
      <w:bookmarkEnd w:id="179"/>
    </w:p>
    <w:p>
      <w:pPr>
        <w:pStyle w:val="2"/>
        <w:spacing w:after="0" w:line="400" w:lineRule="exact"/>
        <w:rPr>
          <w:rFonts w:ascii="Times New Roman" w:hAnsi="Times New Roman" w:eastAsia="宋体" w:cs="Times New Roman"/>
          <w:sz w:val="24"/>
          <w:szCs w:val="20"/>
        </w:rPr>
      </w:pPr>
      <w:r>
        <w:rPr>
          <w:rFonts w:ascii="Times New Roman" w:hAnsi="Times New Roman" w:eastAsia="宋体" w:cs="Times New Roman"/>
          <w:sz w:val="24"/>
          <w:szCs w:val="20"/>
        </w:rPr>
        <w:t>3.1.1 水泥熟料库内料堆的休止角约33°，圆台网壳所在圆锥的母线和底面圆的夹角一般在35°左右，可符合建筑工艺要求。</w:t>
      </w:r>
    </w:p>
    <w:p>
      <w:pPr>
        <w:pStyle w:val="2"/>
        <w:spacing w:after="0" w:line="400" w:lineRule="exact"/>
        <w:rPr>
          <w:rFonts w:ascii="Times New Roman" w:hAnsi="Times New Roman" w:eastAsia="宋体" w:cs="Times New Roman"/>
          <w:sz w:val="24"/>
          <w:szCs w:val="20"/>
        </w:rPr>
      </w:pPr>
      <w:r>
        <w:rPr>
          <w:rFonts w:ascii="Times New Roman" w:hAnsi="Times New Roman" w:eastAsia="宋体" w:cs="Times New Roman"/>
          <w:sz w:val="24"/>
          <w:szCs w:val="20"/>
        </w:rPr>
        <w:t>3.1.2 网壳的支承结构包括其支座节点和边缘构件。因为网壳结构的受力特点与薄壳结构类似，‌主要依靠“薄膜”作用来承受荷载，‌其中大部分荷载通过网壳杆件的轴向力来传递。‌为了保证网壳结构的稳定性和安全性，‌其下部支承结构需要具备足够的刚度，‌以有效地支撑和传递这些荷载，‌防止结构在受力时发生不必要的变形或失稳。</w:t>
      </w:r>
    </w:p>
    <w:p>
      <w:pPr>
        <w:pStyle w:val="2"/>
        <w:spacing w:after="0" w:line="400" w:lineRule="exact"/>
        <w:ind w:firstLine="480" w:firstLineChars="200"/>
        <w:rPr>
          <w:rFonts w:ascii="Times New Roman" w:hAnsi="Times New Roman" w:eastAsia="宋体" w:cs="Times New Roman"/>
          <w:sz w:val="24"/>
          <w:szCs w:val="20"/>
        </w:rPr>
      </w:pPr>
      <w:r>
        <w:rPr>
          <w:rFonts w:ascii="Times New Roman" w:hAnsi="Times New Roman" w:eastAsia="宋体" w:cs="Times New Roman"/>
          <w:sz w:val="24"/>
          <w:szCs w:val="20"/>
        </w:rPr>
        <w:t>‌网壳结构的类型包括圆柱面网壳、‌圆球网壳和双曲抛物面网壳等等，‌每种类型都有其特定的应用场景和设计要求，‌但共同点是都需要一个稳定坚固的下部支承结构来确保整体结构的稳定性和安全性。</w:t>
      </w:r>
    </w:p>
    <w:p>
      <w:pPr>
        <w:pStyle w:val="2"/>
        <w:spacing w:after="0" w:line="400" w:lineRule="exact"/>
        <w:ind w:firstLine="480" w:firstLineChars="200"/>
        <w:rPr>
          <w:rFonts w:ascii="Times New Roman" w:hAnsi="Times New Roman" w:eastAsia="宋体" w:cs="Times New Roman"/>
          <w:sz w:val="24"/>
          <w:szCs w:val="20"/>
        </w:rPr>
      </w:pPr>
      <w:r>
        <w:rPr>
          <w:rFonts w:ascii="Times New Roman" w:hAnsi="Times New Roman" w:eastAsia="宋体" w:cs="Times New Roman"/>
          <w:sz w:val="24"/>
          <w:szCs w:val="20"/>
        </w:rPr>
        <w:t>要准确分析网壳杆件的受力，需要网壳结构与边缘构件一起整体计算，进行受力分析。</w:t>
      </w:r>
    </w:p>
    <w:p>
      <w:pPr>
        <w:spacing w:line="400" w:lineRule="exact"/>
        <w:jc w:val="left"/>
        <w:rPr>
          <w:rFonts w:ascii="Times New Roman" w:hAnsi="Times New Roman" w:eastAsia="宋体" w:cs="Times New Roman"/>
          <w:sz w:val="24"/>
          <w:szCs w:val="20"/>
        </w:rPr>
      </w:pPr>
      <w:r>
        <w:rPr>
          <w:rFonts w:ascii="Times New Roman" w:hAnsi="Times New Roman" w:eastAsia="宋体" w:cs="Times New Roman"/>
          <w:sz w:val="24"/>
          <w:szCs w:val="20"/>
        </w:rPr>
        <w:t>3.1.4 水泥熟料库网壳变形和内力大：水泥厂水泥熟料库内部储存的水泥熟料温度较高，网壳的温差较大，库顶平台所支撑设备的反力很大。因此，水泥熟料库网壳支座宜设置弹性支座；库顶平台拉链机桁架支座或与之相连的钢平台柱脚应设置成滚动支座，以减小拉链机平台柱脚的水平反力对网壳的影响。</w:t>
      </w:r>
    </w:p>
    <w:p>
      <w:pPr>
        <w:rPr>
          <w:rFonts w:ascii="Times New Roman" w:hAnsi="Times New Roman" w:cs="Times New Roman"/>
        </w:rPr>
      </w:pPr>
      <w:r>
        <w:rPr>
          <w:rFonts w:ascii="Times New Roman" w:hAnsi="Times New Roman" w:cs="Times New Roman"/>
        </w:rPr>
        <w:br w:type="page"/>
      </w:r>
    </w:p>
    <w:p>
      <w:pPr>
        <w:pStyle w:val="29"/>
        <w:numPr>
          <w:ilvl w:val="0"/>
          <w:numId w:val="4"/>
        </w:numPr>
        <w:spacing w:before="312" w:beforeLines="100" w:after="312" w:afterLines="100" w:line="400" w:lineRule="exact"/>
        <w:outlineLvl w:val="0"/>
        <w:rPr>
          <w:rFonts w:eastAsia="仿宋"/>
          <w:sz w:val="32"/>
        </w:rPr>
      </w:pPr>
      <w:bookmarkStart w:id="180" w:name="_Toc30686"/>
      <w:bookmarkStart w:id="181" w:name="_Toc175758561"/>
      <w:bookmarkStart w:id="182" w:name="_Toc186014879"/>
      <w:bookmarkStart w:id="183" w:name="_Toc173832517"/>
      <w:bookmarkStart w:id="184" w:name="_Toc20719"/>
      <w:bookmarkStart w:id="185" w:name="_Toc186014817"/>
      <w:bookmarkStart w:id="186" w:name="_Toc186028039"/>
      <w:r>
        <w:rPr>
          <w:rFonts w:eastAsia="仿宋"/>
          <w:sz w:val="32"/>
        </w:rPr>
        <w:t>荷载与作用</w:t>
      </w:r>
      <w:bookmarkEnd w:id="180"/>
      <w:bookmarkEnd w:id="181"/>
      <w:bookmarkEnd w:id="182"/>
      <w:bookmarkEnd w:id="183"/>
      <w:bookmarkEnd w:id="184"/>
      <w:bookmarkEnd w:id="185"/>
      <w:bookmarkEnd w:id="186"/>
    </w:p>
    <w:p>
      <w:pPr>
        <w:pStyle w:val="4"/>
        <w:spacing w:before="156" w:beforeLines="50" w:after="156" w:afterLines="50" w:line="400" w:lineRule="exact"/>
        <w:jc w:val="center"/>
        <w:rPr>
          <w:rFonts w:ascii="Times New Roman" w:hAnsi="Times New Roman" w:eastAsia="宋体" w:cs="Times New Roman"/>
          <w:sz w:val="24"/>
          <w:szCs w:val="24"/>
        </w:rPr>
      </w:pPr>
      <w:bookmarkStart w:id="187" w:name="_Toc4087"/>
      <w:bookmarkStart w:id="188" w:name="_Toc173832518"/>
      <w:bookmarkStart w:id="189" w:name="_Toc175758562"/>
      <w:bookmarkStart w:id="190" w:name="_Toc186014880"/>
      <w:bookmarkStart w:id="191" w:name="_Toc186028040"/>
      <w:bookmarkStart w:id="192" w:name="_Toc26918"/>
      <w:bookmarkStart w:id="193" w:name="_Toc186014818"/>
      <w:r>
        <w:rPr>
          <w:rFonts w:ascii="Times New Roman" w:hAnsi="Times New Roman" w:eastAsia="宋体" w:cs="Times New Roman"/>
          <w:sz w:val="24"/>
          <w:szCs w:val="24"/>
        </w:rPr>
        <w:t>4.1一般规定</w:t>
      </w:r>
      <w:bookmarkEnd w:id="187"/>
      <w:bookmarkEnd w:id="188"/>
      <w:bookmarkEnd w:id="189"/>
      <w:bookmarkEnd w:id="190"/>
      <w:bookmarkEnd w:id="191"/>
      <w:bookmarkEnd w:id="192"/>
      <w:bookmarkEnd w:id="193"/>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4.1.2吊挂的管道、桥架、屋顶风机等，工程上常称为“吊挂荷载”或“附加荷载”。当其作用的位置和(或)作用时间具有不确定性时，宜按活荷载考虑。当作用位置固定不变，也可按恒荷载考虑。</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4.1.3 本条第1款是指库顶房平台工艺设备运行时产生得荷载，应由工艺设备设计人员提供。第2款库订房楼面检修区域是指非设备区，常用于检修或者堆料使用，一般由工艺专业提供堆载要求。</w:t>
      </w:r>
    </w:p>
    <w:p>
      <w:pPr>
        <w:pStyle w:val="4"/>
        <w:spacing w:before="156" w:beforeLines="50" w:after="156" w:afterLines="50" w:line="400" w:lineRule="exact"/>
        <w:jc w:val="center"/>
        <w:rPr>
          <w:rFonts w:ascii="Times New Roman" w:hAnsi="Times New Roman" w:eastAsia="宋体" w:cs="Times New Roman"/>
          <w:sz w:val="24"/>
          <w:szCs w:val="24"/>
        </w:rPr>
      </w:pPr>
      <w:bookmarkStart w:id="194" w:name="_Toc186014819"/>
      <w:bookmarkStart w:id="195" w:name="_Toc186014881"/>
      <w:bookmarkStart w:id="196" w:name="_Toc22743"/>
      <w:bookmarkStart w:id="197" w:name="_Toc186028041"/>
      <w:r>
        <w:rPr>
          <w:rFonts w:ascii="Times New Roman" w:hAnsi="Times New Roman" w:eastAsia="宋体" w:cs="Times New Roman"/>
          <w:sz w:val="24"/>
          <w:szCs w:val="24"/>
        </w:rPr>
        <w:t>4.2风荷载</w:t>
      </w:r>
      <w:bookmarkEnd w:id="194"/>
      <w:bookmarkEnd w:id="195"/>
      <w:bookmarkEnd w:id="196"/>
      <w:bookmarkEnd w:id="197"/>
    </w:p>
    <w:p>
      <w:pPr>
        <w:spacing w:line="400" w:lineRule="exact"/>
        <w:rPr>
          <w:rFonts w:ascii="Times New Roman" w:hAnsi="Times New Roman" w:eastAsia="宋体" w:cs="Times New Roman"/>
          <w:sz w:val="24"/>
        </w:rPr>
      </w:pPr>
      <w:r>
        <w:rPr>
          <w:rFonts w:ascii="Times New Roman" w:hAnsi="Times New Roman" w:eastAsia="宋体" w:cs="Times New Roman"/>
          <w:sz w:val="24"/>
        </w:rPr>
        <w:t>4.2.2 水泥熟料库网壳的风荷载体型系数根据《建筑结构荷载规范》GB50009中表8.3.1第30款整理而成，必须指出，该体型系数是有局限性的，风洞试验仍应作为抗风设计重要的辅助工具，尤其是对于体型复杂而且重要的房屋结构。</w:t>
      </w:r>
    </w:p>
    <w:p>
      <w:pPr>
        <w:spacing w:line="400" w:lineRule="exact"/>
        <w:rPr>
          <w:rFonts w:ascii="Times New Roman" w:hAnsi="Times New Roman" w:eastAsia="宋体" w:cs="Times New Roman"/>
          <w:sz w:val="24"/>
        </w:rPr>
      </w:pPr>
      <w:r>
        <w:rPr>
          <w:rFonts w:ascii="Times New Roman" w:hAnsi="Times New Roman" w:eastAsia="宋体" w:cs="Times New Roman"/>
          <w:sz w:val="24"/>
        </w:rPr>
        <w:t>4.2.3根据国外现行规范的规定，主要承重结构抗风设计至少考虑4个风向角进行计算分析;本标准引用了这一规定。对于对称建筑物，《建筑结构荷载规范》GB50009附录A、附录B提供了2个风向角情况下的体型系数和脉动风效应等效风压系数;根据对称性，相当于提供了4个或者8个风向角的风荷载。对于重要且体型复杂建筑物的抗风设计，宜考虑增加不利风向角的数量。</w:t>
      </w:r>
    </w:p>
    <w:p>
      <w:pPr>
        <w:pStyle w:val="4"/>
        <w:spacing w:before="156" w:beforeLines="50" w:after="156" w:afterLines="50" w:line="400" w:lineRule="exact"/>
        <w:jc w:val="center"/>
        <w:rPr>
          <w:rFonts w:ascii="Times New Roman" w:hAnsi="Times New Roman" w:eastAsia="宋体" w:cs="Times New Roman"/>
          <w:sz w:val="24"/>
          <w:szCs w:val="24"/>
        </w:rPr>
      </w:pPr>
      <w:bookmarkStart w:id="198" w:name="_Toc186014882"/>
      <w:bookmarkStart w:id="199" w:name="_Toc186014820"/>
      <w:bookmarkStart w:id="200" w:name="_Toc186028042"/>
      <w:bookmarkStart w:id="201" w:name="_Toc9843"/>
      <w:r>
        <w:rPr>
          <w:rFonts w:ascii="Times New Roman" w:hAnsi="Times New Roman" w:eastAsia="宋体" w:cs="Times New Roman"/>
          <w:sz w:val="24"/>
          <w:szCs w:val="24"/>
        </w:rPr>
        <w:t>4.3屋面雪荷载</w:t>
      </w:r>
      <w:bookmarkEnd w:id="198"/>
      <w:bookmarkEnd w:id="199"/>
      <w:bookmarkEnd w:id="200"/>
      <w:bookmarkEnd w:id="201"/>
    </w:p>
    <w:p>
      <w:pPr>
        <w:spacing w:line="400" w:lineRule="exact"/>
        <w:rPr>
          <w:rFonts w:ascii="Times New Roman" w:hAnsi="Times New Roman" w:eastAsia="宋体" w:cs="Times New Roman"/>
          <w:sz w:val="24"/>
        </w:rPr>
      </w:pPr>
      <w:r>
        <w:rPr>
          <w:rFonts w:ascii="Times New Roman" w:hAnsi="Times New Roman" w:eastAsia="宋体" w:cs="Times New Roman"/>
          <w:sz w:val="24"/>
        </w:rPr>
        <w:t>4.3.2 水泥熟料库网壳的屋面积雪分布系数，圆台屋面上的数据1.1是考虑了堆雪的影响。</w:t>
      </w:r>
    </w:p>
    <w:p>
      <w:pPr>
        <w:pStyle w:val="4"/>
        <w:spacing w:before="156" w:beforeLines="50" w:after="156" w:afterLines="50" w:line="400" w:lineRule="exact"/>
        <w:jc w:val="center"/>
        <w:rPr>
          <w:rFonts w:ascii="Times New Roman" w:hAnsi="Times New Roman" w:eastAsia="宋体" w:cs="Times New Roman"/>
          <w:sz w:val="24"/>
          <w:szCs w:val="24"/>
        </w:rPr>
      </w:pPr>
      <w:bookmarkStart w:id="202" w:name="_Toc186028043"/>
      <w:bookmarkStart w:id="203" w:name="_Toc186014883"/>
      <w:bookmarkStart w:id="204" w:name="_Toc186014821"/>
      <w:bookmarkStart w:id="205" w:name="_Toc22147"/>
      <w:r>
        <w:rPr>
          <w:rFonts w:ascii="Times New Roman" w:hAnsi="Times New Roman" w:eastAsia="宋体" w:cs="Times New Roman"/>
          <w:sz w:val="24"/>
          <w:szCs w:val="24"/>
        </w:rPr>
        <w:t>4.4地震作用</w:t>
      </w:r>
      <w:bookmarkEnd w:id="202"/>
      <w:bookmarkEnd w:id="203"/>
      <w:bookmarkEnd w:id="204"/>
      <w:bookmarkEnd w:id="205"/>
    </w:p>
    <w:p>
      <w:pPr>
        <w:spacing w:line="400" w:lineRule="exact"/>
        <w:rPr>
          <w:rFonts w:ascii="Times New Roman" w:hAnsi="Times New Roman" w:eastAsia="宋体" w:cs="Times New Roman"/>
          <w:sz w:val="24"/>
        </w:rPr>
      </w:pPr>
      <w:r>
        <w:rPr>
          <w:rFonts w:ascii="Times New Roman" w:hAnsi="Times New Roman" w:eastAsia="宋体" w:cs="Times New Roman"/>
          <w:sz w:val="24"/>
        </w:rPr>
        <w:t>4.4.2 本条是按现行国家标准《建筑抗震设计规范》GB 50011的规定，结合门式刚架轻型房屋钢结构的特点拟定的。</w:t>
      </w:r>
    </w:p>
    <w:p>
      <w:pPr>
        <w:pStyle w:val="4"/>
        <w:spacing w:before="156" w:beforeLines="50" w:after="156" w:afterLines="50" w:line="400" w:lineRule="exact"/>
        <w:jc w:val="center"/>
        <w:rPr>
          <w:rFonts w:ascii="Times New Roman" w:hAnsi="Times New Roman" w:eastAsia="宋体" w:cs="Times New Roman"/>
          <w:sz w:val="24"/>
          <w:szCs w:val="24"/>
        </w:rPr>
      </w:pPr>
      <w:bookmarkStart w:id="206" w:name="_Toc28379"/>
      <w:bookmarkStart w:id="207" w:name="_Toc186028044"/>
      <w:bookmarkStart w:id="208" w:name="_Toc186014822"/>
      <w:bookmarkStart w:id="209" w:name="_Toc186014884"/>
      <w:r>
        <w:rPr>
          <w:rFonts w:ascii="Times New Roman" w:hAnsi="Times New Roman" w:eastAsia="宋体" w:cs="Times New Roman"/>
          <w:sz w:val="24"/>
          <w:szCs w:val="24"/>
        </w:rPr>
        <w:t>4.5温度作用</w:t>
      </w:r>
      <w:bookmarkEnd w:id="206"/>
      <w:bookmarkEnd w:id="207"/>
      <w:bookmarkEnd w:id="208"/>
      <w:bookmarkEnd w:id="209"/>
    </w:p>
    <w:p>
      <w:pPr>
        <w:spacing w:line="400" w:lineRule="exact"/>
        <w:rPr>
          <w:rFonts w:ascii="Times New Roman" w:hAnsi="Times New Roman" w:eastAsia="宋体" w:cs="Times New Roman"/>
          <w:sz w:val="24"/>
          <w:szCs w:val="24"/>
        </w:rPr>
      </w:pPr>
      <w:r>
        <w:rPr>
          <w:rFonts w:ascii="Times New Roman" w:hAnsi="Times New Roman" w:eastAsia="宋体" w:cs="Times New Roman"/>
          <w:sz w:val="24"/>
          <w:szCs w:val="24"/>
        </w:rPr>
        <w:t>4.5.2 影响结构平均温度的因素较多，应根据工程正常使用期间的实际情况确定。</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对暴露于环境气温下的库顶房网壳结构，最高平均温度和最低平均温度一般可依据基本气温Tmax和Tmin确定。</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对储存熟料的圆台网壳结构，最高平均温度和最低平均温度根据进库时熟料的温度和库内环境温度按照热工学原理确认。</w:t>
      </w:r>
    </w:p>
    <w:p>
      <w:pPr>
        <w:spacing w:line="400" w:lineRule="exact"/>
        <w:ind w:firstLine="480" w:firstLineChars="200"/>
        <w:rPr>
          <w:rFonts w:ascii="Times New Roman" w:hAnsi="Times New Roman" w:eastAsia="宋体" w:cs="Times New Roman"/>
          <w:sz w:val="24"/>
          <w:szCs w:val="24"/>
        </w:rPr>
      </w:pPr>
      <w:r>
        <w:rPr>
          <w:rFonts w:ascii="Times New Roman" w:hAnsi="Times New Roman" w:eastAsia="宋体" w:cs="Times New Roman"/>
          <w:sz w:val="24"/>
          <w:szCs w:val="24"/>
        </w:rPr>
        <w:t>结合多年的工程经验及工艺专业的熟料温度提资，水泥熟料库网架结构合拢温度一般取10℃~15℃，圆台网壳结构的最高平均温度不低于70℃，最低平均温度u不高于-15℃，则结构的最大温升工况不低于60℃，结构最大温降工况不高于-30℃。</w:t>
      </w:r>
    </w:p>
    <w:p>
      <w:pPr>
        <w:pStyle w:val="2"/>
        <w:spacing w:after="0" w:line="400" w:lineRule="exact"/>
        <w:rPr>
          <w:rFonts w:ascii="Times New Roman" w:hAnsi="Times New Roman" w:cs="Times New Roman"/>
        </w:rPr>
      </w:pPr>
    </w:p>
    <w:p>
      <w:pPr>
        <w:pStyle w:val="2"/>
        <w:spacing w:after="0" w:line="400" w:lineRule="exact"/>
        <w:rPr>
          <w:rFonts w:ascii="Times New Roman" w:hAnsi="Times New Roman" w:cs="Times New Roman"/>
        </w:rPr>
        <w:sectPr>
          <w:pgSz w:w="11906" w:h="16838"/>
          <w:pgMar w:top="1440" w:right="1797" w:bottom="1440" w:left="1797" w:header="851" w:footer="992" w:gutter="0"/>
          <w:cols w:space="0" w:num="1"/>
          <w:docGrid w:type="linesAndChars" w:linePitch="312" w:charSpace="0"/>
        </w:sectPr>
      </w:pPr>
    </w:p>
    <w:p>
      <w:pPr>
        <w:pStyle w:val="29"/>
        <w:numPr>
          <w:ilvl w:val="0"/>
          <w:numId w:val="5"/>
        </w:numPr>
        <w:spacing w:before="312" w:beforeLines="100" w:after="312" w:afterLines="100" w:line="400" w:lineRule="exact"/>
        <w:outlineLvl w:val="0"/>
        <w:rPr>
          <w:rFonts w:eastAsia="仿宋"/>
          <w:sz w:val="32"/>
        </w:rPr>
      </w:pPr>
      <w:bookmarkStart w:id="210" w:name="_Toc186014823"/>
      <w:bookmarkStart w:id="211" w:name="_Toc175758568"/>
      <w:bookmarkStart w:id="212" w:name="_Toc186014885"/>
      <w:bookmarkStart w:id="213" w:name="_Toc4780"/>
      <w:bookmarkStart w:id="214" w:name="_Toc186028045"/>
      <w:bookmarkStart w:id="215" w:name="_Toc173832519"/>
      <w:bookmarkStart w:id="216" w:name="_Toc4866"/>
      <w:r>
        <w:rPr>
          <w:rFonts w:eastAsia="仿宋"/>
          <w:sz w:val="32"/>
        </w:rPr>
        <w:t>结构计算与设计</w:t>
      </w:r>
      <w:bookmarkEnd w:id="210"/>
      <w:bookmarkEnd w:id="211"/>
      <w:bookmarkEnd w:id="212"/>
      <w:bookmarkEnd w:id="213"/>
      <w:bookmarkEnd w:id="214"/>
      <w:bookmarkEnd w:id="215"/>
      <w:bookmarkEnd w:id="216"/>
    </w:p>
    <w:p>
      <w:pPr>
        <w:pStyle w:val="4"/>
        <w:spacing w:before="156" w:beforeLines="50" w:after="156" w:afterLines="50" w:line="400" w:lineRule="exact"/>
        <w:jc w:val="center"/>
        <w:rPr>
          <w:rFonts w:ascii="Times New Roman" w:hAnsi="Times New Roman" w:eastAsia="宋体" w:cs="Times New Roman"/>
          <w:sz w:val="24"/>
          <w:szCs w:val="24"/>
        </w:rPr>
      </w:pPr>
      <w:bookmarkStart w:id="217" w:name="_Toc175758569"/>
      <w:bookmarkStart w:id="218" w:name="_Toc29282"/>
      <w:bookmarkStart w:id="219" w:name="_Toc186014886"/>
      <w:bookmarkStart w:id="220" w:name="_Toc186028046"/>
      <w:bookmarkStart w:id="221" w:name="_Toc27991"/>
      <w:bookmarkStart w:id="222" w:name="_Toc186014824"/>
      <w:r>
        <w:rPr>
          <w:rFonts w:ascii="Times New Roman" w:hAnsi="Times New Roman" w:eastAsia="宋体" w:cs="Times New Roman"/>
          <w:sz w:val="24"/>
          <w:szCs w:val="24"/>
        </w:rPr>
        <w:t>5.1一般</w:t>
      </w:r>
      <w:bookmarkEnd w:id="217"/>
      <w:bookmarkEnd w:id="218"/>
      <w:r>
        <w:rPr>
          <w:rFonts w:ascii="Times New Roman" w:hAnsi="Times New Roman" w:eastAsia="宋体" w:cs="Times New Roman"/>
          <w:sz w:val="24"/>
          <w:szCs w:val="24"/>
        </w:rPr>
        <w:t>规定</w:t>
      </w:r>
      <w:bookmarkEnd w:id="219"/>
      <w:bookmarkEnd w:id="220"/>
      <w:bookmarkEnd w:id="221"/>
      <w:bookmarkEnd w:id="222"/>
    </w:p>
    <w:p>
      <w:pPr>
        <w:pStyle w:val="2"/>
        <w:spacing w:after="0" w:line="400" w:lineRule="exact"/>
        <w:rPr>
          <w:rFonts w:ascii="Times New Roman" w:hAnsi="Times New Roman" w:eastAsia="宋体" w:cs="Times New Roman"/>
        </w:rPr>
      </w:pPr>
      <w:r>
        <w:rPr>
          <w:rFonts w:ascii="Times New Roman" w:hAnsi="Times New Roman" w:eastAsia="宋体" w:cs="Times New Roman"/>
          <w:sz w:val="24"/>
          <w:szCs w:val="24"/>
        </w:rPr>
        <w:t>5.1.1水泥熟料库网壳结构除考虑重力荷载及风荷载的作用外，还需考虑地震作用、温度荷载变化、设备荷载（收尘器及拉链机等）、支座沉降及施工安装等影响，根据受力具体情况进行内力、位移计算。</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5.1.3  水泥熟料库多采用双层网壳，跨度较大时可在支座附近采用多层网壳，计算模型均可假定为空间铰接杆系结构，忽略节点刚度的影响，不计次应力，即假定节点为铰接；库顶平台处的钢梁可根据实际连接处的受力情况，采用刚接或者铰接。</w:t>
      </w:r>
    </w:p>
    <w:p>
      <w:pPr>
        <w:pStyle w:val="2"/>
        <w:spacing w:after="0" w:line="400" w:lineRule="exact"/>
        <w:rPr>
          <w:rFonts w:ascii="Times New Roman" w:hAnsi="Times New Roman" w:eastAsia="宋体" w:cs="Times New Roman"/>
          <w:strike/>
          <w:sz w:val="24"/>
          <w:szCs w:val="24"/>
        </w:rPr>
      </w:pPr>
      <w:r>
        <w:rPr>
          <w:rFonts w:ascii="Times New Roman" w:hAnsi="Times New Roman" w:eastAsia="宋体" w:cs="Times New Roman"/>
          <w:sz w:val="24"/>
          <w:szCs w:val="24"/>
        </w:rPr>
        <w:t>5.1.6  水泥熟料库多为钢筋混凝土圆形库壁，顶部沿环向一周设置环梁。环梁截面宽度与高度较大，下部环梁与混凝土库壁共同作用，整体性较好、相对于上部网壳结构，可认为下部混凝土筒仓为无限刚性。</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5.1.7 斜边界是指沿着与整体坐标系斜交的方向有约束的边界，水泥熟料库网壳结构平面为圆形，建议支座约束采用斜边界进行计算。</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5.1.8  水泥熟料库网壳在施工安装阶段的支承条件往往与使用阶段不一致，应考虑施工安装阶段对杆件内力的影响。</w:t>
      </w:r>
    </w:p>
    <w:p>
      <w:pPr>
        <w:pStyle w:val="4"/>
        <w:spacing w:before="156" w:beforeLines="50" w:after="156" w:afterLines="50" w:line="400" w:lineRule="exact"/>
        <w:jc w:val="center"/>
        <w:rPr>
          <w:rFonts w:ascii="Times New Roman" w:hAnsi="Times New Roman" w:eastAsia="宋体" w:cs="Times New Roman"/>
          <w:b w:val="0"/>
          <w:bCs w:val="0"/>
          <w:sz w:val="24"/>
          <w:szCs w:val="24"/>
        </w:rPr>
      </w:pPr>
      <w:bookmarkStart w:id="223" w:name="_Toc27244"/>
      <w:bookmarkStart w:id="224" w:name="_Toc186014825"/>
      <w:bookmarkStart w:id="225" w:name="_Toc186028047"/>
      <w:bookmarkStart w:id="226" w:name="_Toc186014887"/>
      <w:bookmarkStart w:id="227" w:name="_Toc9454"/>
      <w:r>
        <w:rPr>
          <w:rFonts w:ascii="Times New Roman" w:hAnsi="Times New Roman" w:eastAsia="宋体" w:cs="Times New Roman"/>
          <w:sz w:val="24"/>
          <w:szCs w:val="24"/>
        </w:rPr>
        <w:t>5.2静力计算</w:t>
      </w:r>
      <w:bookmarkEnd w:id="223"/>
      <w:bookmarkEnd w:id="224"/>
      <w:bookmarkEnd w:id="225"/>
      <w:bookmarkEnd w:id="226"/>
      <w:bookmarkEnd w:id="227"/>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5.2.2水泥熟料库储存的熟料在入库时温度较高，对网壳结构杆件内力影响较大，温度影响不能忽视。</w:t>
      </w:r>
    </w:p>
    <w:p>
      <w:pPr>
        <w:pStyle w:val="4"/>
        <w:spacing w:before="156" w:beforeLines="50" w:after="156" w:afterLines="50" w:line="400" w:lineRule="exact"/>
        <w:jc w:val="center"/>
        <w:rPr>
          <w:rFonts w:ascii="Times New Roman" w:hAnsi="Times New Roman" w:eastAsia="宋体" w:cs="Times New Roman"/>
          <w:b w:val="0"/>
          <w:bCs w:val="0"/>
          <w:sz w:val="24"/>
          <w:szCs w:val="24"/>
        </w:rPr>
      </w:pPr>
      <w:bookmarkStart w:id="228" w:name="_Toc186014826"/>
      <w:bookmarkStart w:id="229" w:name="_Toc5882"/>
      <w:bookmarkStart w:id="230" w:name="_Toc186028048"/>
      <w:bookmarkStart w:id="231" w:name="_Toc186014888"/>
      <w:bookmarkStart w:id="232" w:name="_Toc6548"/>
      <w:r>
        <w:rPr>
          <w:rFonts w:ascii="Times New Roman" w:hAnsi="Times New Roman" w:eastAsia="宋体" w:cs="Times New Roman"/>
          <w:sz w:val="24"/>
          <w:szCs w:val="24"/>
        </w:rPr>
        <w:t>5.3抗震设计</w:t>
      </w:r>
      <w:bookmarkEnd w:id="228"/>
      <w:bookmarkEnd w:id="229"/>
      <w:bookmarkEnd w:id="230"/>
      <w:bookmarkEnd w:id="231"/>
      <w:bookmarkEnd w:id="232"/>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5.3.5 对水泥熟料库网壳结构，支承于钢筋混凝土水泥熟料库的库壁上方。由于库壁刚度足够大，多采用弹性支座简化模型计算，本条给出阻尼比采用0.03的建议值。</w:t>
      </w:r>
    </w:p>
    <w:p>
      <w:pPr>
        <w:pStyle w:val="4"/>
        <w:spacing w:before="156" w:beforeLines="50" w:after="156" w:afterLines="50" w:line="400" w:lineRule="exact"/>
        <w:jc w:val="center"/>
        <w:rPr>
          <w:rFonts w:ascii="Times New Roman" w:hAnsi="Times New Roman" w:eastAsia="宋体" w:cs="Times New Roman"/>
          <w:b w:val="0"/>
          <w:bCs w:val="0"/>
          <w:sz w:val="24"/>
          <w:szCs w:val="24"/>
        </w:rPr>
      </w:pPr>
      <w:bookmarkStart w:id="233" w:name="_Toc3518"/>
      <w:bookmarkStart w:id="234" w:name="_Toc21200"/>
      <w:bookmarkStart w:id="235" w:name="_Toc186028049"/>
      <w:bookmarkStart w:id="236" w:name="_Toc186014827"/>
      <w:bookmarkStart w:id="237" w:name="_Toc186014889"/>
      <w:r>
        <w:rPr>
          <w:rFonts w:ascii="Times New Roman" w:hAnsi="Times New Roman" w:eastAsia="宋体" w:cs="Times New Roman"/>
          <w:sz w:val="24"/>
          <w:szCs w:val="24"/>
        </w:rPr>
        <w:t>5.4稳定计算</w:t>
      </w:r>
      <w:bookmarkEnd w:id="233"/>
      <w:bookmarkEnd w:id="234"/>
      <w:bookmarkEnd w:id="235"/>
      <w:bookmarkEnd w:id="236"/>
      <w:bookmarkEnd w:id="237"/>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5.4.1 厚度较小的双层网壳存在整体失稳（包括局部壳面失稳）的可能性，因此对这些网壳应进行稳定性计算。</w:t>
      </w:r>
    </w:p>
    <w:p>
      <w:pPr>
        <w:pStyle w:val="4"/>
        <w:spacing w:before="156" w:beforeLines="50" w:after="156" w:afterLines="50" w:line="400" w:lineRule="exact"/>
        <w:jc w:val="center"/>
        <w:rPr>
          <w:rFonts w:ascii="Times New Roman" w:hAnsi="Times New Roman" w:eastAsia="宋体" w:cs="Times New Roman"/>
          <w:b w:val="0"/>
          <w:bCs w:val="0"/>
          <w:sz w:val="24"/>
          <w:szCs w:val="24"/>
        </w:rPr>
      </w:pPr>
      <w:bookmarkStart w:id="238" w:name="_Toc25924"/>
      <w:bookmarkStart w:id="239" w:name="_Toc186014890"/>
      <w:bookmarkStart w:id="240" w:name="_Toc17628"/>
      <w:bookmarkStart w:id="241" w:name="_Toc186028050"/>
      <w:bookmarkStart w:id="242" w:name="_Toc186014828"/>
      <w:r>
        <w:rPr>
          <w:rFonts w:ascii="Times New Roman" w:hAnsi="Times New Roman" w:eastAsia="宋体" w:cs="Times New Roman"/>
          <w:sz w:val="24"/>
          <w:szCs w:val="24"/>
        </w:rPr>
        <w:t>5.5杆件设计</w:t>
      </w:r>
      <w:bookmarkEnd w:id="238"/>
      <w:bookmarkEnd w:id="239"/>
      <w:bookmarkEnd w:id="240"/>
      <w:bookmarkEnd w:id="241"/>
      <w:bookmarkEnd w:id="242"/>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5.5.3 水泥熟料库双层（或多层）网壳其压杆的长细比同《空间网格结构技术规程》，即[λ]≤180。对于拉杆，考虑到施工安装过程中杆件内力有可能转化为压杆，故建议将拉杆长细比限值同压杆。抗震设计时，考虑到地震作用的影响，杆件长细比限值控制从严。</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5.5.4 根据工程实际经验确定了水泥熟料库网壳截面杆件的最小尺寸。杆件最小截面尺寸必须根据实际工程中网格大小的划分、受力情况经计算分析验算后确定。考虑到库顶房网格截面尺寸一般较小，故杆件截面的最小尺寸有所降低。</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5.5.5 水泥熟料库网壳结构杆件当其内力分布变化较大时，在满应力计算下可能会出现杆件截面的刚度突变， 故规定受力方向相连的弦杆截面面积之比不宜超过1. 8倍。</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5.5.6应力较小的小截面拉杆，在施工、制作、安装过程中往往会转化成压杆而导致截面弯曲，所以对低应力的小截面拉杆长细比按照压杆控制。</w:t>
      </w:r>
    </w:p>
    <w:p>
      <w:pPr>
        <w:pStyle w:val="4"/>
        <w:spacing w:before="156" w:beforeLines="50" w:after="156" w:afterLines="50" w:line="400" w:lineRule="exact"/>
        <w:jc w:val="center"/>
        <w:rPr>
          <w:rFonts w:ascii="Times New Roman" w:hAnsi="Times New Roman" w:eastAsia="宋体" w:cs="Times New Roman"/>
          <w:b w:val="0"/>
          <w:bCs w:val="0"/>
          <w:sz w:val="24"/>
          <w:szCs w:val="24"/>
        </w:rPr>
      </w:pPr>
      <w:bookmarkStart w:id="243" w:name="_Toc186014829"/>
      <w:bookmarkStart w:id="244" w:name="_Toc186028051"/>
      <w:bookmarkStart w:id="245" w:name="_Toc28403"/>
      <w:bookmarkStart w:id="246" w:name="_Toc186014891"/>
      <w:bookmarkStart w:id="247" w:name="_Toc10334"/>
      <w:r>
        <w:rPr>
          <w:rFonts w:ascii="Times New Roman" w:hAnsi="Times New Roman" w:eastAsia="宋体" w:cs="Times New Roman"/>
          <w:sz w:val="24"/>
          <w:szCs w:val="24"/>
        </w:rPr>
        <w:t>5.8支座节点设计</w:t>
      </w:r>
      <w:bookmarkEnd w:id="243"/>
      <w:bookmarkEnd w:id="244"/>
      <w:bookmarkEnd w:id="245"/>
      <w:bookmarkEnd w:id="246"/>
      <w:bookmarkEnd w:id="247"/>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5.8.2 根据水泥熟料库网壳的受力特点多采用弹性支座与平板支座。弹性支座为适应温度变化将支座节点沿单方向转动并有一定的侧移，下部支承于刚度较大的混凝土库壁上方，应用此支座较多。平板支座节点构造简单、加工方便，但支座底板下应力分布不均匀，与计算假设相差较大；仅适用于跨度较小的水泥熟料库网壳结构。设计时需在图纸中明确单向弹性支座的技术参数，以便向生产厂家定制。设计时需在图纸中明确单向弹性支座的技术参数，以便向生产厂家定制。</w:t>
      </w:r>
    </w:p>
    <w:p>
      <w:pPr>
        <w:pStyle w:val="4"/>
        <w:spacing w:before="156" w:beforeLines="50" w:after="156" w:afterLines="50" w:line="400" w:lineRule="exact"/>
        <w:jc w:val="center"/>
        <w:rPr>
          <w:rFonts w:ascii="Times New Roman" w:hAnsi="Times New Roman" w:eastAsia="宋体" w:cs="Times New Roman"/>
          <w:b w:val="0"/>
          <w:bCs w:val="0"/>
          <w:sz w:val="24"/>
          <w:szCs w:val="24"/>
        </w:rPr>
      </w:pPr>
      <w:bookmarkStart w:id="248" w:name="_Toc24480"/>
      <w:bookmarkStart w:id="249" w:name="_Toc186028052"/>
      <w:bookmarkStart w:id="250" w:name="_Toc186014830"/>
      <w:bookmarkStart w:id="251" w:name="_Toc186014892"/>
      <w:bookmarkStart w:id="252" w:name="_Toc4317"/>
      <w:r>
        <w:rPr>
          <w:rFonts w:ascii="Times New Roman" w:hAnsi="Times New Roman" w:eastAsia="宋体" w:cs="Times New Roman"/>
          <w:sz w:val="24"/>
          <w:szCs w:val="24"/>
        </w:rPr>
        <w:t>5.9构件节点</w:t>
      </w:r>
      <w:bookmarkEnd w:id="248"/>
      <w:r>
        <w:rPr>
          <w:rFonts w:ascii="Times New Roman" w:hAnsi="Times New Roman" w:eastAsia="宋体" w:cs="Times New Roman"/>
          <w:sz w:val="24"/>
          <w:szCs w:val="24"/>
        </w:rPr>
        <w:t>设计</w:t>
      </w:r>
      <w:bookmarkEnd w:id="249"/>
      <w:bookmarkEnd w:id="250"/>
      <w:bookmarkEnd w:id="251"/>
      <w:bookmarkEnd w:id="252"/>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5.9.1 水泥熟料库网壳库顶平台钢梁通过支托落于网壳上。此时支托需保证有足够的强度与刚度且焊缝强度需满足要求。</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5.9.2 库顶房平台处的钢梁上部设备荷载较多，需结合工艺提资复核在局部压力的作用下钢梁截面是否满足要求，并按《钢结构设计标准》GB 50017的要求设置加劲肋。</w:t>
      </w:r>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5.9.5 根据工艺要求设置检修爬梯与检修平台时，栏杆高度、扶手及立柱、中间栏杆的截面尺寸均需满足《固定式钢梯级平台安全要求 第三部分：工业防护栏杆及钢平台》 GB453.3的相关规定。</w:t>
      </w:r>
    </w:p>
    <w:p>
      <w:pPr>
        <w:pStyle w:val="4"/>
        <w:spacing w:before="156" w:beforeLines="50" w:after="156" w:afterLines="50" w:line="400" w:lineRule="exact"/>
        <w:jc w:val="center"/>
        <w:rPr>
          <w:rFonts w:ascii="Times New Roman" w:hAnsi="Times New Roman" w:eastAsia="宋体" w:cs="Times New Roman"/>
          <w:b w:val="0"/>
          <w:bCs w:val="0"/>
          <w:sz w:val="24"/>
          <w:szCs w:val="24"/>
        </w:rPr>
      </w:pPr>
      <w:bookmarkStart w:id="253" w:name="_Toc186014831"/>
      <w:bookmarkStart w:id="254" w:name="_Toc7788"/>
      <w:bookmarkStart w:id="255" w:name="_Toc186014893"/>
      <w:bookmarkStart w:id="256" w:name="_Toc186028053"/>
      <w:bookmarkStart w:id="257" w:name="_Toc5115"/>
      <w:r>
        <w:rPr>
          <w:rFonts w:ascii="Times New Roman" w:hAnsi="Times New Roman" w:eastAsia="宋体" w:cs="Times New Roman"/>
          <w:sz w:val="24"/>
          <w:szCs w:val="24"/>
        </w:rPr>
        <w:t>5.10围护结构设计</w:t>
      </w:r>
      <w:bookmarkEnd w:id="253"/>
      <w:bookmarkEnd w:id="254"/>
      <w:bookmarkEnd w:id="255"/>
      <w:bookmarkEnd w:id="256"/>
      <w:bookmarkEnd w:id="257"/>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5.10.4 压型钢板的厚度需经结构设计确定，需考虑其力学性能、抗风揭能力、耐腐蚀性及防水等要求。</w:t>
      </w:r>
    </w:p>
    <w:p>
      <w:pPr>
        <w:pStyle w:val="2"/>
        <w:spacing w:after="0" w:line="400" w:lineRule="exact"/>
        <w:rPr>
          <w:rFonts w:ascii="Times New Roman" w:hAnsi="Times New Roman" w:cs="Times New Roman"/>
        </w:rPr>
        <w:sectPr>
          <w:pgSz w:w="11906" w:h="16838"/>
          <w:pgMar w:top="1440" w:right="1797" w:bottom="1440" w:left="1797" w:header="851" w:footer="992" w:gutter="0"/>
          <w:cols w:space="0" w:num="1"/>
          <w:docGrid w:type="linesAndChars" w:linePitch="312" w:charSpace="0"/>
        </w:sectPr>
      </w:pPr>
    </w:p>
    <w:p>
      <w:pPr>
        <w:pStyle w:val="29"/>
        <w:numPr>
          <w:ilvl w:val="255"/>
          <w:numId w:val="0"/>
        </w:numPr>
        <w:spacing w:before="312" w:beforeLines="100" w:after="312" w:afterLines="100" w:line="400" w:lineRule="exact"/>
        <w:outlineLvl w:val="0"/>
        <w:rPr>
          <w:rFonts w:eastAsia="仿宋"/>
          <w:sz w:val="32"/>
        </w:rPr>
      </w:pPr>
      <w:bookmarkStart w:id="258" w:name="_Toc19277"/>
      <w:bookmarkStart w:id="259" w:name="_Toc186028054"/>
      <w:bookmarkStart w:id="260" w:name="_Toc186014832"/>
      <w:bookmarkStart w:id="261" w:name="_Toc186014894"/>
      <w:r>
        <w:rPr>
          <w:rFonts w:eastAsia="仿宋"/>
          <w:sz w:val="32"/>
        </w:rPr>
        <w:t>7 使用与维护</w:t>
      </w:r>
      <w:bookmarkEnd w:id="258"/>
      <w:bookmarkEnd w:id="259"/>
      <w:bookmarkEnd w:id="260"/>
      <w:bookmarkEnd w:id="261"/>
    </w:p>
    <w:p>
      <w:pPr>
        <w:pStyle w:val="4"/>
        <w:spacing w:before="156" w:beforeLines="50" w:after="156" w:afterLines="50" w:line="400" w:lineRule="exact"/>
        <w:jc w:val="center"/>
        <w:rPr>
          <w:rFonts w:ascii="Times New Roman" w:hAnsi="Times New Roman" w:eastAsia="宋体" w:cs="Times New Roman"/>
          <w:sz w:val="24"/>
          <w:szCs w:val="24"/>
        </w:rPr>
      </w:pPr>
      <w:bookmarkStart w:id="262" w:name="_Toc186014833"/>
      <w:bookmarkStart w:id="263" w:name="_Toc1003"/>
      <w:bookmarkStart w:id="264" w:name="_Toc186028055"/>
      <w:bookmarkStart w:id="265" w:name="_Toc186014895"/>
      <w:r>
        <w:rPr>
          <w:rFonts w:ascii="Times New Roman" w:hAnsi="Times New Roman" w:eastAsia="宋体" w:cs="Times New Roman"/>
          <w:sz w:val="24"/>
          <w:szCs w:val="24"/>
        </w:rPr>
        <w:t>7.1 输送下料使用规定</w:t>
      </w:r>
      <w:bookmarkEnd w:id="262"/>
      <w:bookmarkEnd w:id="263"/>
      <w:bookmarkEnd w:id="264"/>
      <w:bookmarkEnd w:id="265"/>
    </w:p>
    <w:p>
      <w:pPr>
        <w:pStyle w:val="2"/>
        <w:spacing w:after="0" w:line="400" w:lineRule="exact"/>
        <w:rPr>
          <w:rFonts w:ascii="Times New Roman" w:hAnsi="Times New Roman" w:eastAsia="宋体" w:cs="Times New Roman"/>
          <w:sz w:val="24"/>
          <w:szCs w:val="24"/>
        </w:rPr>
      </w:pPr>
      <w:r>
        <w:rPr>
          <w:rFonts w:ascii="Times New Roman" w:hAnsi="Times New Roman" w:eastAsia="宋体" w:cs="Times New Roman"/>
          <w:sz w:val="24"/>
          <w:szCs w:val="24"/>
        </w:rPr>
        <w:t>7.1.1为了实现堆料管理变得更加智能和高效，可借助堆料料位检测系统，如设置激光传感器、超声波传感器、雷达传感器等。条件具备时宜结合基于人工智能和物联网技术的智能监测系统。</w:t>
      </w:r>
    </w:p>
    <w:p>
      <w:pPr>
        <w:pStyle w:val="2"/>
        <w:rPr>
          <w:rFonts w:ascii="Times New Roman" w:hAnsi="Times New Roman" w:eastAsia="宋体" w:cs="Times New Roman"/>
          <w:sz w:val="24"/>
          <w:szCs w:val="24"/>
        </w:rPr>
      </w:pPr>
    </w:p>
    <w:sectPr>
      <w:pgSz w:w="11906" w:h="16838"/>
      <w:pgMar w:top="1440" w:right="1797" w:bottom="1440" w:left="1797" w:header="851" w:footer="992" w:gutter="0"/>
      <w:cols w:space="0"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Adobe 仿宋 Std R">
    <w:altName w:val="仿宋"/>
    <w:panose1 w:val="02020400000000000000"/>
    <w:charset w:val="86"/>
    <w:family w:val="roman"/>
    <w:pitch w:val="default"/>
    <w:sig w:usb0="00000000" w:usb1="00000000" w:usb2="00000016" w:usb3="00000000" w:csb0="00060007" w:csb1="00000000"/>
  </w:font>
  <w:font w:name="Cambria Math">
    <w:panose1 w:val="02040503050406030204"/>
    <w:charset w:val="00"/>
    <w:family w:val="roman"/>
    <w:pitch w:val="default"/>
    <w:sig w:usb0="E00006FF" w:usb1="420024FF" w:usb2="02000000" w:usb3="00000000" w:csb0="2000019F" w:csb1="00000000"/>
  </w:font>
  <w:font w:name="方正小标宋简体">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rPr>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pPr>
                      <w:pStyle w:val="10"/>
                      <w:rPr>
                        <w:rFonts w:hint="eastAsia"/>
                      </w:rPr>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rFonts w:hint="eastAsia"/>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hint="eastAsia"/>
                            </w:rPr>
                          </w:pPr>
                          <w:r>
                            <w:fldChar w:fldCharType="begin"/>
                          </w:r>
                          <w:r>
                            <w:instrText xml:space="preserve"> PAGE  \* MERGEFORMAT </w:instrText>
                          </w:r>
                          <w:r>
                            <w:fldChar w:fldCharType="separate"/>
                          </w:r>
                          <w:r>
                            <w:t>32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pPr>
                      <w:pStyle w:val="10"/>
                      <w:rPr>
                        <w:rFonts w:hint="eastAsia"/>
                      </w:rPr>
                    </w:pPr>
                    <w:r>
                      <w:fldChar w:fldCharType="begin"/>
                    </w:r>
                    <w:r>
                      <w:instrText xml:space="preserve"> PAGE  \* MERGEFORMAT </w:instrText>
                    </w:r>
                    <w:r>
                      <w:fldChar w:fldCharType="separate"/>
                    </w:r>
                    <w:r>
                      <w:t>32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B8026B"/>
    <w:multiLevelType w:val="multilevel"/>
    <w:tmpl w:val="35B8026B"/>
    <w:lvl w:ilvl="0" w:tentative="0">
      <w:start w:val="5"/>
      <w:numFmt w:val="decimal"/>
      <w:suff w:val="nothing"/>
      <w:lvlText w:val="%1．"/>
      <w:lvlJc w:val="left"/>
      <w:pPr>
        <w:ind w:left="0" w:firstLine="0"/>
      </w:pPr>
      <w:rPr>
        <w:rFonts w:hint="eastAsia"/>
        <w:sz w:val="32"/>
        <w:szCs w:val="32"/>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3C51237B"/>
    <w:multiLevelType w:val="multilevel"/>
    <w:tmpl w:val="3C51237B"/>
    <w:lvl w:ilvl="0" w:tentative="0">
      <w:start w:val="4"/>
      <w:numFmt w:val="decimal"/>
      <w:suff w:val="nothing"/>
      <w:lvlText w:val="%1．"/>
      <w:lvlJc w:val="left"/>
      <w:pPr>
        <w:ind w:left="0" w:firstLine="0"/>
      </w:pPr>
      <w:rPr>
        <w:rFonts w:hint="eastAsia"/>
        <w:sz w:val="32"/>
        <w:szCs w:val="32"/>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4E56704E"/>
    <w:multiLevelType w:val="multilevel"/>
    <w:tmpl w:val="4E56704E"/>
    <w:lvl w:ilvl="0" w:tentative="0">
      <w:start w:val="1"/>
      <w:numFmt w:val="decimal"/>
      <w:pStyle w:val="33"/>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4"/>
      <w:suff w:val="nothing"/>
      <w:lvlText w:val="%1.%2　"/>
      <w:lvlJc w:val="left"/>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5CFF600D"/>
    <w:multiLevelType w:val="singleLevel"/>
    <w:tmpl w:val="5CFF600D"/>
    <w:lvl w:ilvl="0" w:tentative="0">
      <w:start w:val="1"/>
      <w:numFmt w:val="decimal"/>
      <w:suff w:val="nothing"/>
      <w:lvlText w:val="%1．"/>
      <w:lvlJc w:val="left"/>
      <w:pPr>
        <w:ind w:left="0" w:firstLine="0"/>
      </w:pPr>
      <w:rPr>
        <w:color w:val="auto"/>
        <w:sz w:val="32"/>
        <w:szCs w:val="32"/>
      </w:rPr>
    </w:lvl>
  </w:abstractNum>
  <w:abstractNum w:abstractNumId="4">
    <w:nsid w:val="76BE2E65"/>
    <w:multiLevelType w:val="multilevel"/>
    <w:tmpl w:val="76BE2E65"/>
    <w:lvl w:ilvl="0" w:tentative="0">
      <w:start w:val="3"/>
      <w:numFmt w:val="decimal"/>
      <w:suff w:val="nothing"/>
      <w:lvlText w:val="%1．"/>
      <w:lvlJc w:val="left"/>
      <w:pPr>
        <w:ind w:left="0" w:firstLine="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8"/>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Y2OGFlZjdiMDkyMmU3Y2M3NGEzMmY5ODE2OTJlMzAifQ=="/>
  </w:docVars>
  <w:rsids>
    <w:rsidRoot w:val="00C11689"/>
    <w:rsid w:val="000000C4"/>
    <w:rsid w:val="00002460"/>
    <w:rsid w:val="00004049"/>
    <w:rsid w:val="000050DE"/>
    <w:rsid w:val="000138CE"/>
    <w:rsid w:val="00013F8C"/>
    <w:rsid w:val="00014FB8"/>
    <w:rsid w:val="0002090A"/>
    <w:rsid w:val="00023756"/>
    <w:rsid w:val="00026170"/>
    <w:rsid w:val="00030424"/>
    <w:rsid w:val="000362FA"/>
    <w:rsid w:val="000437CC"/>
    <w:rsid w:val="00045746"/>
    <w:rsid w:val="0005060F"/>
    <w:rsid w:val="00066079"/>
    <w:rsid w:val="00070851"/>
    <w:rsid w:val="00070CF4"/>
    <w:rsid w:val="00071A04"/>
    <w:rsid w:val="000743E0"/>
    <w:rsid w:val="00074640"/>
    <w:rsid w:val="000748F8"/>
    <w:rsid w:val="0007540D"/>
    <w:rsid w:val="000754D1"/>
    <w:rsid w:val="00075899"/>
    <w:rsid w:val="0007669F"/>
    <w:rsid w:val="00077508"/>
    <w:rsid w:val="000779B0"/>
    <w:rsid w:val="000825A6"/>
    <w:rsid w:val="00083A46"/>
    <w:rsid w:val="0008512F"/>
    <w:rsid w:val="00086956"/>
    <w:rsid w:val="00087232"/>
    <w:rsid w:val="00091AF4"/>
    <w:rsid w:val="00095B3B"/>
    <w:rsid w:val="00096F9E"/>
    <w:rsid w:val="000A02D9"/>
    <w:rsid w:val="000A0632"/>
    <w:rsid w:val="000A2188"/>
    <w:rsid w:val="000A317F"/>
    <w:rsid w:val="000A325E"/>
    <w:rsid w:val="000A36E0"/>
    <w:rsid w:val="000A721B"/>
    <w:rsid w:val="000B5367"/>
    <w:rsid w:val="000C1E95"/>
    <w:rsid w:val="000C455C"/>
    <w:rsid w:val="000C5643"/>
    <w:rsid w:val="000C7D03"/>
    <w:rsid w:val="000D1BF2"/>
    <w:rsid w:val="000D4A35"/>
    <w:rsid w:val="000D7B32"/>
    <w:rsid w:val="000E09F7"/>
    <w:rsid w:val="000F27EF"/>
    <w:rsid w:val="00112B1D"/>
    <w:rsid w:val="00123BAE"/>
    <w:rsid w:val="00125375"/>
    <w:rsid w:val="00125B36"/>
    <w:rsid w:val="00126133"/>
    <w:rsid w:val="001263D2"/>
    <w:rsid w:val="0012643E"/>
    <w:rsid w:val="0013059D"/>
    <w:rsid w:val="00131DC4"/>
    <w:rsid w:val="0013271B"/>
    <w:rsid w:val="0013390C"/>
    <w:rsid w:val="001342FB"/>
    <w:rsid w:val="0014187B"/>
    <w:rsid w:val="00141A4B"/>
    <w:rsid w:val="00143B27"/>
    <w:rsid w:val="00145662"/>
    <w:rsid w:val="0014657B"/>
    <w:rsid w:val="001478C5"/>
    <w:rsid w:val="00152665"/>
    <w:rsid w:val="001544D5"/>
    <w:rsid w:val="001552A1"/>
    <w:rsid w:val="001553A0"/>
    <w:rsid w:val="00164E59"/>
    <w:rsid w:val="00165A31"/>
    <w:rsid w:val="00166FA0"/>
    <w:rsid w:val="001719C8"/>
    <w:rsid w:val="00172AEA"/>
    <w:rsid w:val="00176389"/>
    <w:rsid w:val="00177D27"/>
    <w:rsid w:val="0018058B"/>
    <w:rsid w:val="00181C50"/>
    <w:rsid w:val="00182E53"/>
    <w:rsid w:val="001830AF"/>
    <w:rsid w:val="0018749F"/>
    <w:rsid w:val="00195A34"/>
    <w:rsid w:val="00197A6B"/>
    <w:rsid w:val="001A0E53"/>
    <w:rsid w:val="001A18A1"/>
    <w:rsid w:val="001A3D7E"/>
    <w:rsid w:val="001A4A80"/>
    <w:rsid w:val="001A4D0E"/>
    <w:rsid w:val="001A585B"/>
    <w:rsid w:val="001A60C6"/>
    <w:rsid w:val="001A662C"/>
    <w:rsid w:val="001B1B5D"/>
    <w:rsid w:val="001B683E"/>
    <w:rsid w:val="001B7C22"/>
    <w:rsid w:val="001C0FB3"/>
    <w:rsid w:val="001C17D9"/>
    <w:rsid w:val="001C5DBC"/>
    <w:rsid w:val="001C7964"/>
    <w:rsid w:val="001C7FCF"/>
    <w:rsid w:val="001D089D"/>
    <w:rsid w:val="001D32D5"/>
    <w:rsid w:val="001D32E5"/>
    <w:rsid w:val="001D5485"/>
    <w:rsid w:val="001D5EED"/>
    <w:rsid w:val="001D6168"/>
    <w:rsid w:val="001E4126"/>
    <w:rsid w:val="001E6830"/>
    <w:rsid w:val="001E74CA"/>
    <w:rsid w:val="001F0911"/>
    <w:rsid w:val="001F2AAA"/>
    <w:rsid w:val="001F61AD"/>
    <w:rsid w:val="001F66AC"/>
    <w:rsid w:val="0020275E"/>
    <w:rsid w:val="0020356A"/>
    <w:rsid w:val="0020674A"/>
    <w:rsid w:val="00211FE6"/>
    <w:rsid w:val="00212838"/>
    <w:rsid w:val="00212C91"/>
    <w:rsid w:val="00212F4F"/>
    <w:rsid w:val="00213062"/>
    <w:rsid w:val="00214B86"/>
    <w:rsid w:val="0021571A"/>
    <w:rsid w:val="002222E9"/>
    <w:rsid w:val="0022293F"/>
    <w:rsid w:val="002267D6"/>
    <w:rsid w:val="00234DEC"/>
    <w:rsid w:val="0023593C"/>
    <w:rsid w:val="002360AF"/>
    <w:rsid w:val="0023698A"/>
    <w:rsid w:val="00237822"/>
    <w:rsid w:val="00242F7F"/>
    <w:rsid w:val="002435E6"/>
    <w:rsid w:val="00244B8D"/>
    <w:rsid w:val="002510B2"/>
    <w:rsid w:val="0025171B"/>
    <w:rsid w:val="00254DDC"/>
    <w:rsid w:val="0025552E"/>
    <w:rsid w:val="00260FA8"/>
    <w:rsid w:val="00265E7D"/>
    <w:rsid w:val="002676B0"/>
    <w:rsid w:val="00273309"/>
    <w:rsid w:val="00277068"/>
    <w:rsid w:val="002816C1"/>
    <w:rsid w:val="00285497"/>
    <w:rsid w:val="0028582C"/>
    <w:rsid w:val="002862EB"/>
    <w:rsid w:val="002906E7"/>
    <w:rsid w:val="002A0E33"/>
    <w:rsid w:val="002A1D3D"/>
    <w:rsid w:val="002A2165"/>
    <w:rsid w:val="002A2F84"/>
    <w:rsid w:val="002A4346"/>
    <w:rsid w:val="002A51AA"/>
    <w:rsid w:val="002A54E5"/>
    <w:rsid w:val="002A56A9"/>
    <w:rsid w:val="002B61CE"/>
    <w:rsid w:val="002C08BB"/>
    <w:rsid w:val="002C12A3"/>
    <w:rsid w:val="002C1DEC"/>
    <w:rsid w:val="002C3037"/>
    <w:rsid w:val="002C34E5"/>
    <w:rsid w:val="002C5E0B"/>
    <w:rsid w:val="002D0163"/>
    <w:rsid w:val="002D5955"/>
    <w:rsid w:val="002E0FF1"/>
    <w:rsid w:val="002E1565"/>
    <w:rsid w:val="002F1B29"/>
    <w:rsid w:val="002F7E76"/>
    <w:rsid w:val="00302D19"/>
    <w:rsid w:val="003055CA"/>
    <w:rsid w:val="0031764E"/>
    <w:rsid w:val="00324264"/>
    <w:rsid w:val="00325C02"/>
    <w:rsid w:val="00325E57"/>
    <w:rsid w:val="00330B3C"/>
    <w:rsid w:val="00333086"/>
    <w:rsid w:val="00336DF8"/>
    <w:rsid w:val="00345C2D"/>
    <w:rsid w:val="003467B6"/>
    <w:rsid w:val="00350682"/>
    <w:rsid w:val="00350B22"/>
    <w:rsid w:val="003554FF"/>
    <w:rsid w:val="0035610B"/>
    <w:rsid w:val="003615E8"/>
    <w:rsid w:val="00363587"/>
    <w:rsid w:val="00367D93"/>
    <w:rsid w:val="0037453F"/>
    <w:rsid w:val="003755AA"/>
    <w:rsid w:val="003755FD"/>
    <w:rsid w:val="00380300"/>
    <w:rsid w:val="00381D35"/>
    <w:rsid w:val="00383E36"/>
    <w:rsid w:val="003849AA"/>
    <w:rsid w:val="00386CC4"/>
    <w:rsid w:val="003957F3"/>
    <w:rsid w:val="00397205"/>
    <w:rsid w:val="003B43F0"/>
    <w:rsid w:val="003B53F6"/>
    <w:rsid w:val="003B7584"/>
    <w:rsid w:val="003B75CF"/>
    <w:rsid w:val="003C0D02"/>
    <w:rsid w:val="003C5FAF"/>
    <w:rsid w:val="003C67EE"/>
    <w:rsid w:val="003D0487"/>
    <w:rsid w:val="003D1F75"/>
    <w:rsid w:val="003D2A3D"/>
    <w:rsid w:val="003D4C09"/>
    <w:rsid w:val="003D6AD7"/>
    <w:rsid w:val="003F3923"/>
    <w:rsid w:val="003F4F11"/>
    <w:rsid w:val="003F7C96"/>
    <w:rsid w:val="004031DD"/>
    <w:rsid w:val="00410B62"/>
    <w:rsid w:val="00412A77"/>
    <w:rsid w:val="00412FED"/>
    <w:rsid w:val="004148B4"/>
    <w:rsid w:val="004149D2"/>
    <w:rsid w:val="00424C68"/>
    <w:rsid w:val="00425F5C"/>
    <w:rsid w:val="00427F2D"/>
    <w:rsid w:val="00431981"/>
    <w:rsid w:val="004335CF"/>
    <w:rsid w:val="00434704"/>
    <w:rsid w:val="0044157A"/>
    <w:rsid w:val="00443072"/>
    <w:rsid w:val="00443B86"/>
    <w:rsid w:val="004469A5"/>
    <w:rsid w:val="00446D7B"/>
    <w:rsid w:val="00457115"/>
    <w:rsid w:val="004602B9"/>
    <w:rsid w:val="00461037"/>
    <w:rsid w:val="004619E8"/>
    <w:rsid w:val="004648C0"/>
    <w:rsid w:val="00464B8D"/>
    <w:rsid w:val="004679C9"/>
    <w:rsid w:val="00467DA7"/>
    <w:rsid w:val="004708CF"/>
    <w:rsid w:val="00471F2A"/>
    <w:rsid w:val="0047218B"/>
    <w:rsid w:val="00472360"/>
    <w:rsid w:val="004774C9"/>
    <w:rsid w:val="00481658"/>
    <w:rsid w:val="00483F28"/>
    <w:rsid w:val="004851BF"/>
    <w:rsid w:val="004860BE"/>
    <w:rsid w:val="00497585"/>
    <w:rsid w:val="004A076D"/>
    <w:rsid w:val="004B1A2A"/>
    <w:rsid w:val="004B2E00"/>
    <w:rsid w:val="004B754F"/>
    <w:rsid w:val="004C0FE2"/>
    <w:rsid w:val="004C3B1B"/>
    <w:rsid w:val="004C4CC6"/>
    <w:rsid w:val="004C4CE3"/>
    <w:rsid w:val="004C72C6"/>
    <w:rsid w:val="004C7CD6"/>
    <w:rsid w:val="004C7F4A"/>
    <w:rsid w:val="004D1962"/>
    <w:rsid w:val="004D1E83"/>
    <w:rsid w:val="004D50CB"/>
    <w:rsid w:val="004D5683"/>
    <w:rsid w:val="004E13C3"/>
    <w:rsid w:val="004E3C3C"/>
    <w:rsid w:val="004E5B94"/>
    <w:rsid w:val="004E7EAE"/>
    <w:rsid w:val="004F49DB"/>
    <w:rsid w:val="004F6490"/>
    <w:rsid w:val="00500560"/>
    <w:rsid w:val="00502CE3"/>
    <w:rsid w:val="00502EE3"/>
    <w:rsid w:val="0050330C"/>
    <w:rsid w:val="00503B46"/>
    <w:rsid w:val="00507E45"/>
    <w:rsid w:val="00510517"/>
    <w:rsid w:val="00513FB9"/>
    <w:rsid w:val="0051647C"/>
    <w:rsid w:val="00516515"/>
    <w:rsid w:val="00516560"/>
    <w:rsid w:val="00516FBD"/>
    <w:rsid w:val="005231FA"/>
    <w:rsid w:val="00523CE2"/>
    <w:rsid w:val="00523D41"/>
    <w:rsid w:val="00526E0E"/>
    <w:rsid w:val="00533CEF"/>
    <w:rsid w:val="00534021"/>
    <w:rsid w:val="00537F46"/>
    <w:rsid w:val="0054491E"/>
    <w:rsid w:val="00547219"/>
    <w:rsid w:val="00547674"/>
    <w:rsid w:val="0054780C"/>
    <w:rsid w:val="0055706E"/>
    <w:rsid w:val="005638DD"/>
    <w:rsid w:val="00565962"/>
    <w:rsid w:val="005721D3"/>
    <w:rsid w:val="0058186A"/>
    <w:rsid w:val="00582030"/>
    <w:rsid w:val="00585469"/>
    <w:rsid w:val="00585550"/>
    <w:rsid w:val="00592FFD"/>
    <w:rsid w:val="00595811"/>
    <w:rsid w:val="005978B1"/>
    <w:rsid w:val="005A5C02"/>
    <w:rsid w:val="005B0406"/>
    <w:rsid w:val="005B13C8"/>
    <w:rsid w:val="005B2167"/>
    <w:rsid w:val="005B26F8"/>
    <w:rsid w:val="005B2747"/>
    <w:rsid w:val="005B57B0"/>
    <w:rsid w:val="005B792F"/>
    <w:rsid w:val="005C23CB"/>
    <w:rsid w:val="005C4094"/>
    <w:rsid w:val="005C6B86"/>
    <w:rsid w:val="005D0E6D"/>
    <w:rsid w:val="005D1747"/>
    <w:rsid w:val="005D31B4"/>
    <w:rsid w:val="005D6188"/>
    <w:rsid w:val="005E54C3"/>
    <w:rsid w:val="005F4B49"/>
    <w:rsid w:val="005F5021"/>
    <w:rsid w:val="005F6572"/>
    <w:rsid w:val="005F695A"/>
    <w:rsid w:val="006005E8"/>
    <w:rsid w:val="00602273"/>
    <w:rsid w:val="006032CA"/>
    <w:rsid w:val="006050A6"/>
    <w:rsid w:val="00605CD4"/>
    <w:rsid w:val="00614507"/>
    <w:rsid w:val="00614C02"/>
    <w:rsid w:val="0061535F"/>
    <w:rsid w:val="00621F6F"/>
    <w:rsid w:val="00625256"/>
    <w:rsid w:val="0062599E"/>
    <w:rsid w:val="00627616"/>
    <w:rsid w:val="006306D7"/>
    <w:rsid w:val="00632185"/>
    <w:rsid w:val="00633363"/>
    <w:rsid w:val="00633FEC"/>
    <w:rsid w:val="006350AB"/>
    <w:rsid w:val="00637718"/>
    <w:rsid w:val="006409EE"/>
    <w:rsid w:val="00640DC9"/>
    <w:rsid w:val="0064293A"/>
    <w:rsid w:val="00642DA0"/>
    <w:rsid w:val="00642DD0"/>
    <w:rsid w:val="006464E6"/>
    <w:rsid w:val="00650B5E"/>
    <w:rsid w:val="00654253"/>
    <w:rsid w:val="00657389"/>
    <w:rsid w:val="006650CA"/>
    <w:rsid w:val="00666F56"/>
    <w:rsid w:val="0066704C"/>
    <w:rsid w:val="00675E3D"/>
    <w:rsid w:val="00685615"/>
    <w:rsid w:val="00685EF8"/>
    <w:rsid w:val="006870F1"/>
    <w:rsid w:val="006922AC"/>
    <w:rsid w:val="006A2B29"/>
    <w:rsid w:val="006A46D5"/>
    <w:rsid w:val="006A4844"/>
    <w:rsid w:val="006A6227"/>
    <w:rsid w:val="006B465D"/>
    <w:rsid w:val="006C3C7C"/>
    <w:rsid w:val="006C44B5"/>
    <w:rsid w:val="006D1693"/>
    <w:rsid w:val="006D3A70"/>
    <w:rsid w:val="006F08C9"/>
    <w:rsid w:val="006F2CA3"/>
    <w:rsid w:val="006F4C3A"/>
    <w:rsid w:val="00704AEE"/>
    <w:rsid w:val="00704E82"/>
    <w:rsid w:val="007075E5"/>
    <w:rsid w:val="00711A54"/>
    <w:rsid w:val="0071266F"/>
    <w:rsid w:val="00712B31"/>
    <w:rsid w:val="007171F0"/>
    <w:rsid w:val="00732798"/>
    <w:rsid w:val="00740A25"/>
    <w:rsid w:val="00740F23"/>
    <w:rsid w:val="007421AE"/>
    <w:rsid w:val="0074331D"/>
    <w:rsid w:val="0074489D"/>
    <w:rsid w:val="00744D82"/>
    <w:rsid w:val="00746E07"/>
    <w:rsid w:val="00750C5D"/>
    <w:rsid w:val="00750DFA"/>
    <w:rsid w:val="00755F53"/>
    <w:rsid w:val="007611AE"/>
    <w:rsid w:val="007614EF"/>
    <w:rsid w:val="00761672"/>
    <w:rsid w:val="007647D9"/>
    <w:rsid w:val="00765D1A"/>
    <w:rsid w:val="0076679A"/>
    <w:rsid w:val="00771BB1"/>
    <w:rsid w:val="0077213A"/>
    <w:rsid w:val="00780639"/>
    <w:rsid w:val="00781148"/>
    <w:rsid w:val="00787CBC"/>
    <w:rsid w:val="00792D33"/>
    <w:rsid w:val="00796284"/>
    <w:rsid w:val="007A6407"/>
    <w:rsid w:val="007A7ADE"/>
    <w:rsid w:val="007A7FBE"/>
    <w:rsid w:val="007B4348"/>
    <w:rsid w:val="007B56EB"/>
    <w:rsid w:val="007B57FB"/>
    <w:rsid w:val="007B6625"/>
    <w:rsid w:val="007C1100"/>
    <w:rsid w:val="007C1235"/>
    <w:rsid w:val="007D1669"/>
    <w:rsid w:val="007D1A4F"/>
    <w:rsid w:val="007D399A"/>
    <w:rsid w:val="007D582F"/>
    <w:rsid w:val="007D6622"/>
    <w:rsid w:val="007E4522"/>
    <w:rsid w:val="007E644E"/>
    <w:rsid w:val="007F26D6"/>
    <w:rsid w:val="007F6AF8"/>
    <w:rsid w:val="007F7B6F"/>
    <w:rsid w:val="00806DCF"/>
    <w:rsid w:val="00807334"/>
    <w:rsid w:val="00811466"/>
    <w:rsid w:val="00811775"/>
    <w:rsid w:val="00811D5C"/>
    <w:rsid w:val="0081663B"/>
    <w:rsid w:val="0081753A"/>
    <w:rsid w:val="00817FA0"/>
    <w:rsid w:val="0082247E"/>
    <w:rsid w:val="00822784"/>
    <w:rsid w:val="00824B52"/>
    <w:rsid w:val="008251FD"/>
    <w:rsid w:val="00830FDA"/>
    <w:rsid w:val="0083232E"/>
    <w:rsid w:val="008324C7"/>
    <w:rsid w:val="00836B11"/>
    <w:rsid w:val="0084086A"/>
    <w:rsid w:val="008449CC"/>
    <w:rsid w:val="0084789F"/>
    <w:rsid w:val="008530BC"/>
    <w:rsid w:val="0085395F"/>
    <w:rsid w:val="008539A5"/>
    <w:rsid w:val="00862BD2"/>
    <w:rsid w:val="00863127"/>
    <w:rsid w:val="008645CE"/>
    <w:rsid w:val="00870E2E"/>
    <w:rsid w:val="00871AFC"/>
    <w:rsid w:val="00883FE2"/>
    <w:rsid w:val="00887C18"/>
    <w:rsid w:val="008905D8"/>
    <w:rsid w:val="00893965"/>
    <w:rsid w:val="0089509D"/>
    <w:rsid w:val="008B0F98"/>
    <w:rsid w:val="008B1858"/>
    <w:rsid w:val="008B4A6E"/>
    <w:rsid w:val="008C2B21"/>
    <w:rsid w:val="008C3776"/>
    <w:rsid w:val="008C4836"/>
    <w:rsid w:val="008C67C1"/>
    <w:rsid w:val="008D3094"/>
    <w:rsid w:val="008D340D"/>
    <w:rsid w:val="008E2235"/>
    <w:rsid w:val="008E5EAE"/>
    <w:rsid w:val="008F164E"/>
    <w:rsid w:val="008F2B8F"/>
    <w:rsid w:val="008F4BA2"/>
    <w:rsid w:val="009039B5"/>
    <w:rsid w:val="00905E28"/>
    <w:rsid w:val="00910530"/>
    <w:rsid w:val="00912BE6"/>
    <w:rsid w:val="00913190"/>
    <w:rsid w:val="00914B10"/>
    <w:rsid w:val="0091514E"/>
    <w:rsid w:val="00917337"/>
    <w:rsid w:val="0092720A"/>
    <w:rsid w:val="009273D3"/>
    <w:rsid w:val="00927CAD"/>
    <w:rsid w:val="009301A1"/>
    <w:rsid w:val="00931A2F"/>
    <w:rsid w:val="0093206B"/>
    <w:rsid w:val="009456A8"/>
    <w:rsid w:val="0094701A"/>
    <w:rsid w:val="009470BE"/>
    <w:rsid w:val="00947847"/>
    <w:rsid w:val="00950183"/>
    <w:rsid w:val="009507F3"/>
    <w:rsid w:val="0095222F"/>
    <w:rsid w:val="00952829"/>
    <w:rsid w:val="00953107"/>
    <w:rsid w:val="00953685"/>
    <w:rsid w:val="00960BAE"/>
    <w:rsid w:val="00961C79"/>
    <w:rsid w:val="00966069"/>
    <w:rsid w:val="00967193"/>
    <w:rsid w:val="009815B6"/>
    <w:rsid w:val="009865CD"/>
    <w:rsid w:val="009907AB"/>
    <w:rsid w:val="00991AEC"/>
    <w:rsid w:val="009920CF"/>
    <w:rsid w:val="00992BF4"/>
    <w:rsid w:val="0099376E"/>
    <w:rsid w:val="00994B86"/>
    <w:rsid w:val="00996693"/>
    <w:rsid w:val="00996DA6"/>
    <w:rsid w:val="00997C36"/>
    <w:rsid w:val="009A05A8"/>
    <w:rsid w:val="009A342F"/>
    <w:rsid w:val="009A3AF8"/>
    <w:rsid w:val="009A42F2"/>
    <w:rsid w:val="009A4571"/>
    <w:rsid w:val="009A6C53"/>
    <w:rsid w:val="009B0B6F"/>
    <w:rsid w:val="009B4BAF"/>
    <w:rsid w:val="009B5AD9"/>
    <w:rsid w:val="009C7E51"/>
    <w:rsid w:val="009D62D9"/>
    <w:rsid w:val="009E059A"/>
    <w:rsid w:val="009E6FDE"/>
    <w:rsid w:val="009F630D"/>
    <w:rsid w:val="00A02B8C"/>
    <w:rsid w:val="00A05E6E"/>
    <w:rsid w:val="00A147D1"/>
    <w:rsid w:val="00A16DF6"/>
    <w:rsid w:val="00A17542"/>
    <w:rsid w:val="00A21133"/>
    <w:rsid w:val="00A216C6"/>
    <w:rsid w:val="00A21D7E"/>
    <w:rsid w:val="00A22F63"/>
    <w:rsid w:val="00A234BB"/>
    <w:rsid w:val="00A24306"/>
    <w:rsid w:val="00A268FA"/>
    <w:rsid w:val="00A37EAF"/>
    <w:rsid w:val="00A406DF"/>
    <w:rsid w:val="00A41C8C"/>
    <w:rsid w:val="00A43C5F"/>
    <w:rsid w:val="00A4418B"/>
    <w:rsid w:val="00A4611E"/>
    <w:rsid w:val="00A653DB"/>
    <w:rsid w:val="00A707FD"/>
    <w:rsid w:val="00A756DC"/>
    <w:rsid w:val="00A84F33"/>
    <w:rsid w:val="00A86F32"/>
    <w:rsid w:val="00A87907"/>
    <w:rsid w:val="00A94694"/>
    <w:rsid w:val="00A9786C"/>
    <w:rsid w:val="00AA7950"/>
    <w:rsid w:val="00AA7F04"/>
    <w:rsid w:val="00AC12D2"/>
    <w:rsid w:val="00AC20B3"/>
    <w:rsid w:val="00AC670E"/>
    <w:rsid w:val="00AD4161"/>
    <w:rsid w:val="00AD48B1"/>
    <w:rsid w:val="00AD5847"/>
    <w:rsid w:val="00AD5940"/>
    <w:rsid w:val="00AD5A9C"/>
    <w:rsid w:val="00AD5AF7"/>
    <w:rsid w:val="00AD7B63"/>
    <w:rsid w:val="00AE0130"/>
    <w:rsid w:val="00AE4FFE"/>
    <w:rsid w:val="00AE5432"/>
    <w:rsid w:val="00AE7A2C"/>
    <w:rsid w:val="00AF15E8"/>
    <w:rsid w:val="00AF26CC"/>
    <w:rsid w:val="00AF737F"/>
    <w:rsid w:val="00B00F6C"/>
    <w:rsid w:val="00B01472"/>
    <w:rsid w:val="00B02549"/>
    <w:rsid w:val="00B0368C"/>
    <w:rsid w:val="00B03B27"/>
    <w:rsid w:val="00B04871"/>
    <w:rsid w:val="00B050F7"/>
    <w:rsid w:val="00B1056A"/>
    <w:rsid w:val="00B10EC8"/>
    <w:rsid w:val="00B13B93"/>
    <w:rsid w:val="00B167E1"/>
    <w:rsid w:val="00B167E3"/>
    <w:rsid w:val="00B16F7F"/>
    <w:rsid w:val="00B175BA"/>
    <w:rsid w:val="00B25C0A"/>
    <w:rsid w:val="00B32776"/>
    <w:rsid w:val="00B36D7F"/>
    <w:rsid w:val="00B4054D"/>
    <w:rsid w:val="00B411B0"/>
    <w:rsid w:val="00B41655"/>
    <w:rsid w:val="00B42BFD"/>
    <w:rsid w:val="00B44BBA"/>
    <w:rsid w:val="00B508E4"/>
    <w:rsid w:val="00B50DA3"/>
    <w:rsid w:val="00B53549"/>
    <w:rsid w:val="00B541BA"/>
    <w:rsid w:val="00B5699C"/>
    <w:rsid w:val="00B6318A"/>
    <w:rsid w:val="00B631D0"/>
    <w:rsid w:val="00B67753"/>
    <w:rsid w:val="00B73527"/>
    <w:rsid w:val="00B779CC"/>
    <w:rsid w:val="00B8150B"/>
    <w:rsid w:val="00B82998"/>
    <w:rsid w:val="00B8527E"/>
    <w:rsid w:val="00B87C79"/>
    <w:rsid w:val="00B87CBF"/>
    <w:rsid w:val="00B903B8"/>
    <w:rsid w:val="00B90BFA"/>
    <w:rsid w:val="00B917BF"/>
    <w:rsid w:val="00B92BB9"/>
    <w:rsid w:val="00B948DE"/>
    <w:rsid w:val="00B97997"/>
    <w:rsid w:val="00B97E30"/>
    <w:rsid w:val="00BA1414"/>
    <w:rsid w:val="00BA20CA"/>
    <w:rsid w:val="00BA2E33"/>
    <w:rsid w:val="00BA4220"/>
    <w:rsid w:val="00BA78DB"/>
    <w:rsid w:val="00BA7FD7"/>
    <w:rsid w:val="00BB3444"/>
    <w:rsid w:val="00BC08BD"/>
    <w:rsid w:val="00BC2BBF"/>
    <w:rsid w:val="00BC2ECB"/>
    <w:rsid w:val="00BC4DE7"/>
    <w:rsid w:val="00BC624F"/>
    <w:rsid w:val="00BC72F5"/>
    <w:rsid w:val="00BD2321"/>
    <w:rsid w:val="00BE3856"/>
    <w:rsid w:val="00BE5781"/>
    <w:rsid w:val="00BE6788"/>
    <w:rsid w:val="00BF443C"/>
    <w:rsid w:val="00BF50A2"/>
    <w:rsid w:val="00BF5B0A"/>
    <w:rsid w:val="00BF76A5"/>
    <w:rsid w:val="00BF7CFC"/>
    <w:rsid w:val="00BF7DD6"/>
    <w:rsid w:val="00C01617"/>
    <w:rsid w:val="00C02527"/>
    <w:rsid w:val="00C0675C"/>
    <w:rsid w:val="00C07A44"/>
    <w:rsid w:val="00C11151"/>
    <w:rsid w:val="00C11689"/>
    <w:rsid w:val="00C22C0B"/>
    <w:rsid w:val="00C30CC4"/>
    <w:rsid w:val="00C32502"/>
    <w:rsid w:val="00C32974"/>
    <w:rsid w:val="00C33C8E"/>
    <w:rsid w:val="00C34A20"/>
    <w:rsid w:val="00C42E7F"/>
    <w:rsid w:val="00C43913"/>
    <w:rsid w:val="00C504C7"/>
    <w:rsid w:val="00C50A45"/>
    <w:rsid w:val="00C54E29"/>
    <w:rsid w:val="00C57708"/>
    <w:rsid w:val="00C60721"/>
    <w:rsid w:val="00C7178D"/>
    <w:rsid w:val="00C720AD"/>
    <w:rsid w:val="00C73C8F"/>
    <w:rsid w:val="00C76691"/>
    <w:rsid w:val="00C854D5"/>
    <w:rsid w:val="00C904BC"/>
    <w:rsid w:val="00C90A5E"/>
    <w:rsid w:val="00C94243"/>
    <w:rsid w:val="00C974C6"/>
    <w:rsid w:val="00CA1E7F"/>
    <w:rsid w:val="00CA50E9"/>
    <w:rsid w:val="00CA6E5E"/>
    <w:rsid w:val="00CB2F0D"/>
    <w:rsid w:val="00CB3BA4"/>
    <w:rsid w:val="00CB51F6"/>
    <w:rsid w:val="00CB59C3"/>
    <w:rsid w:val="00CB748C"/>
    <w:rsid w:val="00CB777D"/>
    <w:rsid w:val="00CC1B07"/>
    <w:rsid w:val="00CC4176"/>
    <w:rsid w:val="00CC5177"/>
    <w:rsid w:val="00CC5C4C"/>
    <w:rsid w:val="00CC7D3E"/>
    <w:rsid w:val="00CC7DF6"/>
    <w:rsid w:val="00CD2863"/>
    <w:rsid w:val="00CD3BAF"/>
    <w:rsid w:val="00CD43EE"/>
    <w:rsid w:val="00CD6390"/>
    <w:rsid w:val="00CD65AA"/>
    <w:rsid w:val="00CE0AD4"/>
    <w:rsid w:val="00CE297A"/>
    <w:rsid w:val="00CE2DF3"/>
    <w:rsid w:val="00CF1502"/>
    <w:rsid w:val="00CF475C"/>
    <w:rsid w:val="00CF482A"/>
    <w:rsid w:val="00CF49FD"/>
    <w:rsid w:val="00CF5314"/>
    <w:rsid w:val="00CF7374"/>
    <w:rsid w:val="00D0140C"/>
    <w:rsid w:val="00D0377C"/>
    <w:rsid w:val="00D14433"/>
    <w:rsid w:val="00D213EE"/>
    <w:rsid w:val="00D24378"/>
    <w:rsid w:val="00D260CB"/>
    <w:rsid w:val="00D305DE"/>
    <w:rsid w:val="00D31BF9"/>
    <w:rsid w:val="00D3363B"/>
    <w:rsid w:val="00D33AED"/>
    <w:rsid w:val="00D36265"/>
    <w:rsid w:val="00D4155A"/>
    <w:rsid w:val="00D45A4A"/>
    <w:rsid w:val="00D51AA6"/>
    <w:rsid w:val="00D52D3D"/>
    <w:rsid w:val="00D53A0E"/>
    <w:rsid w:val="00D53A80"/>
    <w:rsid w:val="00D61DAC"/>
    <w:rsid w:val="00D70175"/>
    <w:rsid w:val="00D70292"/>
    <w:rsid w:val="00D733BC"/>
    <w:rsid w:val="00D75208"/>
    <w:rsid w:val="00D769C9"/>
    <w:rsid w:val="00D819A8"/>
    <w:rsid w:val="00D86D2E"/>
    <w:rsid w:val="00D87C7F"/>
    <w:rsid w:val="00D92AF6"/>
    <w:rsid w:val="00D93D06"/>
    <w:rsid w:val="00D97998"/>
    <w:rsid w:val="00DB1CB8"/>
    <w:rsid w:val="00DB4F28"/>
    <w:rsid w:val="00DC7B7D"/>
    <w:rsid w:val="00DD52FA"/>
    <w:rsid w:val="00DD7B22"/>
    <w:rsid w:val="00DE15D4"/>
    <w:rsid w:val="00DE2E4D"/>
    <w:rsid w:val="00DE3FA1"/>
    <w:rsid w:val="00DE402C"/>
    <w:rsid w:val="00DE592F"/>
    <w:rsid w:val="00DE74BB"/>
    <w:rsid w:val="00DE74F5"/>
    <w:rsid w:val="00DF221F"/>
    <w:rsid w:val="00DF23AB"/>
    <w:rsid w:val="00DF27F3"/>
    <w:rsid w:val="00DF3014"/>
    <w:rsid w:val="00DF38C0"/>
    <w:rsid w:val="00DF66E1"/>
    <w:rsid w:val="00E01EF9"/>
    <w:rsid w:val="00E03AB9"/>
    <w:rsid w:val="00E06BA6"/>
    <w:rsid w:val="00E22478"/>
    <w:rsid w:val="00E237D4"/>
    <w:rsid w:val="00E23D24"/>
    <w:rsid w:val="00E26895"/>
    <w:rsid w:val="00E3211D"/>
    <w:rsid w:val="00E330D3"/>
    <w:rsid w:val="00E41AD8"/>
    <w:rsid w:val="00E420FC"/>
    <w:rsid w:val="00E46AAF"/>
    <w:rsid w:val="00E478D1"/>
    <w:rsid w:val="00E5460F"/>
    <w:rsid w:val="00E54CE0"/>
    <w:rsid w:val="00E55B09"/>
    <w:rsid w:val="00E56DD6"/>
    <w:rsid w:val="00E61F12"/>
    <w:rsid w:val="00E62083"/>
    <w:rsid w:val="00E73F89"/>
    <w:rsid w:val="00E81B9F"/>
    <w:rsid w:val="00E851FE"/>
    <w:rsid w:val="00E90E4C"/>
    <w:rsid w:val="00E9546F"/>
    <w:rsid w:val="00E955FD"/>
    <w:rsid w:val="00E97FB5"/>
    <w:rsid w:val="00EA1671"/>
    <w:rsid w:val="00EA35F8"/>
    <w:rsid w:val="00EB4CCA"/>
    <w:rsid w:val="00EC0615"/>
    <w:rsid w:val="00EC0B83"/>
    <w:rsid w:val="00ED1CA6"/>
    <w:rsid w:val="00ED2651"/>
    <w:rsid w:val="00ED391D"/>
    <w:rsid w:val="00EE0948"/>
    <w:rsid w:val="00EE5DB8"/>
    <w:rsid w:val="00EE5DEA"/>
    <w:rsid w:val="00EE7FDA"/>
    <w:rsid w:val="00EF1786"/>
    <w:rsid w:val="00F0023A"/>
    <w:rsid w:val="00F0260B"/>
    <w:rsid w:val="00F0269C"/>
    <w:rsid w:val="00F066FE"/>
    <w:rsid w:val="00F06CDA"/>
    <w:rsid w:val="00F1052C"/>
    <w:rsid w:val="00F12904"/>
    <w:rsid w:val="00F12BDB"/>
    <w:rsid w:val="00F273DF"/>
    <w:rsid w:val="00F275FF"/>
    <w:rsid w:val="00F30613"/>
    <w:rsid w:val="00F30BA5"/>
    <w:rsid w:val="00F34622"/>
    <w:rsid w:val="00F37EF3"/>
    <w:rsid w:val="00F4038E"/>
    <w:rsid w:val="00F434B4"/>
    <w:rsid w:val="00F43D68"/>
    <w:rsid w:val="00F466F7"/>
    <w:rsid w:val="00F47448"/>
    <w:rsid w:val="00F50659"/>
    <w:rsid w:val="00F5074B"/>
    <w:rsid w:val="00F518B5"/>
    <w:rsid w:val="00F51AF1"/>
    <w:rsid w:val="00F52C58"/>
    <w:rsid w:val="00F643C9"/>
    <w:rsid w:val="00F64757"/>
    <w:rsid w:val="00F675BA"/>
    <w:rsid w:val="00F72A40"/>
    <w:rsid w:val="00F75055"/>
    <w:rsid w:val="00F760E1"/>
    <w:rsid w:val="00F771A7"/>
    <w:rsid w:val="00F80A68"/>
    <w:rsid w:val="00F80E13"/>
    <w:rsid w:val="00F819FD"/>
    <w:rsid w:val="00F84527"/>
    <w:rsid w:val="00F84AB6"/>
    <w:rsid w:val="00F84C85"/>
    <w:rsid w:val="00F8597D"/>
    <w:rsid w:val="00F91C4C"/>
    <w:rsid w:val="00F93317"/>
    <w:rsid w:val="00F93FB6"/>
    <w:rsid w:val="00F951C7"/>
    <w:rsid w:val="00F972F6"/>
    <w:rsid w:val="00F976DB"/>
    <w:rsid w:val="00FA0433"/>
    <w:rsid w:val="00FA438A"/>
    <w:rsid w:val="00FA4478"/>
    <w:rsid w:val="00FA4A2A"/>
    <w:rsid w:val="00FB2CE5"/>
    <w:rsid w:val="00FB3283"/>
    <w:rsid w:val="00FB61AF"/>
    <w:rsid w:val="00FD10F1"/>
    <w:rsid w:val="00FD196C"/>
    <w:rsid w:val="00FD2060"/>
    <w:rsid w:val="00FD39E9"/>
    <w:rsid w:val="00FD4A22"/>
    <w:rsid w:val="00FD5A2D"/>
    <w:rsid w:val="00FE1603"/>
    <w:rsid w:val="00FF0DD8"/>
    <w:rsid w:val="00FF1D29"/>
    <w:rsid w:val="00FF6483"/>
    <w:rsid w:val="024014C7"/>
    <w:rsid w:val="02C4274E"/>
    <w:rsid w:val="03B74063"/>
    <w:rsid w:val="08ED01C0"/>
    <w:rsid w:val="092F1A81"/>
    <w:rsid w:val="096802A0"/>
    <w:rsid w:val="0AF65D7F"/>
    <w:rsid w:val="0B8B050F"/>
    <w:rsid w:val="0C2159EE"/>
    <w:rsid w:val="0F151E06"/>
    <w:rsid w:val="0F5D414C"/>
    <w:rsid w:val="0FA21F87"/>
    <w:rsid w:val="10E9275B"/>
    <w:rsid w:val="11407D54"/>
    <w:rsid w:val="11683FEB"/>
    <w:rsid w:val="11CE5360"/>
    <w:rsid w:val="12FC6228"/>
    <w:rsid w:val="130C25E4"/>
    <w:rsid w:val="1647072B"/>
    <w:rsid w:val="16674B33"/>
    <w:rsid w:val="18A24C56"/>
    <w:rsid w:val="18D82ED1"/>
    <w:rsid w:val="1CA4388D"/>
    <w:rsid w:val="1D7457D3"/>
    <w:rsid w:val="1F1F4F04"/>
    <w:rsid w:val="1FFE42F4"/>
    <w:rsid w:val="203F378D"/>
    <w:rsid w:val="21185C40"/>
    <w:rsid w:val="2132074F"/>
    <w:rsid w:val="218056DD"/>
    <w:rsid w:val="2227623A"/>
    <w:rsid w:val="22916662"/>
    <w:rsid w:val="29064539"/>
    <w:rsid w:val="294813D7"/>
    <w:rsid w:val="2BE4452A"/>
    <w:rsid w:val="2D464230"/>
    <w:rsid w:val="2E534113"/>
    <w:rsid w:val="2E747F55"/>
    <w:rsid w:val="305D574B"/>
    <w:rsid w:val="30A1145E"/>
    <w:rsid w:val="30A74E11"/>
    <w:rsid w:val="319650A8"/>
    <w:rsid w:val="31A04AEB"/>
    <w:rsid w:val="31CA749A"/>
    <w:rsid w:val="32313FA5"/>
    <w:rsid w:val="327E299E"/>
    <w:rsid w:val="32906CC9"/>
    <w:rsid w:val="340708DE"/>
    <w:rsid w:val="34735BC7"/>
    <w:rsid w:val="355C0D99"/>
    <w:rsid w:val="356F2497"/>
    <w:rsid w:val="36560E5A"/>
    <w:rsid w:val="36BD5CE8"/>
    <w:rsid w:val="37C610F3"/>
    <w:rsid w:val="389C7880"/>
    <w:rsid w:val="3A522D3D"/>
    <w:rsid w:val="3A6A3825"/>
    <w:rsid w:val="3AB16C65"/>
    <w:rsid w:val="3AC23405"/>
    <w:rsid w:val="3BB014AF"/>
    <w:rsid w:val="3C56216E"/>
    <w:rsid w:val="3C5E18B4"/>
    <w:rsid w:val="3C93049A"/>
    <w:rsid w:val="3CB036B4"/>
    <w:rsid w:val="3D33527F"/>
    <w:rsid w:val="3F742CE5"/>
    <w:rsid w:val="406F74F3"/>
    <w:rsid w:val="408719BA"/>
    <w:rsid w:val="411626C2"/>
    <w:rsid w:val="418C098E"/>
    <w:rsid w:val="41B8220E"/>
    <w:rsid w:val="426024C3"/>
    <w:rsid w:val="456B5990"/>
    <w:rsid w:val="474B3AB3"/>
    <w:rsid w:val="47AF4ADF"/>
    <w:rsid w:val="48B03E86"/>
    <w:rsid w:val="48DB7C50"/>
    <w:rsid w:val="493F0316"/>
    <w:rsid w:val="49B2660D"/>
    <w:rsid w:val="4BD4276A"/>
    <w:rsid w:val="4BE657B6"/>
    <w:rsid w:val="4C3701C4"/>
    <w:rsid w:val="4C7249F8"/>
    <w:rsid w:val="4D3F130B"/>
    <w:rsid w:val="4D3F38CB"/>
    <w:rsid w:val="4EF958A8"/>
    <w:rsid w:val="4F1561E8"/>
    <w:rsid w:val="502A762A"/>
    <w:rsid w:val="503E30D6"/>
    <w:rsid w:val="50C13896"/>
    <w:rsid w:val="514F0A0C"/>
    <w:rsid w:val="51B4094F"/>
    <w:rsid w:val="547F2161"/>
    <w:rsid w:val="55294EEF"/>
    <w:rsid w:val="55986144"/>
    <w:rsid w:val="56EF6E93"/>
    <w:rsid w:val="57A83B5A"/>
    <w:rsid w:val="58635234"/>
    <w:rsid w:val="5A677E93"/>
    <w:rsid w:val="5AAC2001"/>
    <w:rsid w:val="5ACC4024"/>
    <w:rsid w:val="5AF051BD"/>
    <w:rsid w:val="5BEF40E4"/>
    <w:rsid w:val="5D3A4C25"/>
    <w:rsid w:val="5D6B3945"/>
    <w:rsid w:val="5E365670"/>
    <w:rsid w:val="5FFD6F2A"/>
    <w:rsid w:val="60D73318"/>
    <w:rsid w:val="6190717E"/>
    <w:rsid w:val="658C0BA7"/>
    <w:rsid w:val="661308C0"/>
    <w:rsid w:val="683F7341"/>
    <w:rsid w:val="6A1865D6"/>
    <w:rsid w:val="6C20024E"/>
    <w:rsid w:val="6D3A479B"/>
    <w:rsid w:val="6DE17F47"/>
    <w:rsid w:val="6EAB1C94"/>
    <w:rsid w:val="705411CD"/>
    <w:rsid w:val="71047DA2"/>
    <w:rsid w:val="71834994"/>
    <w:rsid w:val="72A66B8C"/>
    <w:rsid w:val="74BA56D1"/>
    <w:rsid w:val="74D93DAE"/>
    <w:rsid w:val="75FF7605"/>
    <w:rsid w:val="793031D3"/>
    <w:rsid w:val="7C4D0079"/>
    <w:rsid w:val="7CFB7AD5"/>
    <w:rsid w:val="7DB96FB1"/>
    <w:rsid w:val="7E1B2E38"/>
    <w:rsid w:val="7E762BF0"/>
    <w:rsid w:val="7F7B4D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2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8">
    <w:name w:val="Default Paragraph Font"/>
    <w:semiHidden/>
    <w:unhideWhenUsed/>
    <w:qFormat/>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2">
    <w:name w:val="Body Text"/>
    <w:basedOn w:val="1"/>
    <w:link w:val="27"/>
    <w:unhideWhenUsed/>
    <w:qFormat/>
    <w:uiPriority w:val="99"/>
    <w:pPr>
      <w:spacing w:after="120"/>
    </w:pPr>
  </w:style>
  <w:style w:type="paragraph" w:styleId="5">
    <w:name w:val="Normal Indent"/>
    <w:basedOn w:val="1"/>
    <w:next w:val="2"/>
    <w:qFormat/>
    <w:uiPriority w:val="0"/>
    <w:pPr>
      <w:adjustRightInd w:val="0"/>
      <w:spacing w:line="400" w:lineRule="exact"/>
      <w:ind w:firstLine="420"/>
    </w:pPr>
    <w:rPr>
      <w:rFonts w:ascii="Calibri" w:hAnsi="Calibri" w:eastAsia="宋体" w:cs="Times New Roman"/>
      <w:szCs w:val="21"/>
    </w:rPr>
  </w:style>
  <w:style w:type="paragraph" w:styleId="6">
    <w:name w:val="annotation text"/>
    <w:basedOn w:val="1"/>
    <w:link w:val="36"/>
    <w:unhideWhenUsed/>
    <w:qFormat/>
    <w:uiPriority w:val="99"/>
    <w:pPr>
      <w:jc w:val="left"/>
    </w:pPr>
  </w:style>
  <w:style w:type="paragraph" w:styleId="7">
    <w:name w:val="toc 3"/>
    <w:basedOn w:val="1"/>
    <w:next w:val="1"/>
    <w:unhideWhenUsed/>
    <w:qFormat/>
    <w:uiPriority w:val="39"/>
    <w:pPr>
      <w:adjustRightInd w:val="0"/>
      <w:spacing w:line="300" w:lineRule="exact"/>
      <w:ind w:left="420"/>
    </w:pPr>
    <w:rPr>
      <w:rFonts w:ascii="宋体" w:hAnsi="Calibri" w:eastAsia="宋体" w:cs="Times New Roman"/>
      <w:szCs w:val="21"/>
    </w:rPr>
  </w:style>
  <w:style w:type="paragraph" w:styleId="8">
    <w:name w:val="Date"/>
    <w:basedOn w:val="1"/>
    <w:next w:val="1"/>
    <w:link w:val="41"/>
    <w:semiHidden/>
    <w:unhideWhenUsed/>
    <w:qFormat/>
    <w:uiPriority w:val="99"/>
    <w:pPr>
      <w:ind w:left="100" w:leftChars="2500"/>
    </w:pPr>
  </w:style>
  <w:style w:type="paragraph" w:styleId="9">
    <w:name w:val="endnote text"/>
    <w:basedOn w:val="1"/>
    <w:link w:val="42"/>
    <w:semiHidden/>
    <w:unhideWhenUsed/>
    <w:qFormat/>
    <w:uiPriority w:val="99"/>
    <w:pPr>
      <w:snapToGrid w:val="0"/>
      <w:jc w:val="left"/>
    </w:pPr>
  </w:style>
  <w:style w:type="paragraph" w:styleId="10">
    <w:name w:val="footer"/>
    <w:basedOn w:val="1"/>
    <w:link w:val="24"/>
    <w:unhideWhenUsed/>
    <w:qFormat/>
    <w:uiPriority w:val="99"/>
    <w:pPr>
      <w:tabs>
        <w:tab w:val="center" w:pos="4153"/>
        <w:tab w:val="right" w:pos="8306"/>
      </w:tabs>
      <w:snapToGrid w:val="0"/>
      <w:jc w:val="left"/>
    </w:pPr>
    <w:rPr>
      <w:sz w:val="18"/>
      <w:szCs w:val="18"/>
    </w:rPr>
  </w:style>
  <w:style w:type="paragraph" w:styleId="11">
    <w:name w:val="header"/>
    <w:basedOn w:val="1"/>
    <w:link w:val="23"/>
    <w:unhideWhenUsed/>
    <w:qFormat/>
    <w:uiPriority w:val="99"/>
    <w:pPr>
      <w:tabs>
        <w:tab w:val="center" w:pos="4153"/>
        <w:tab w:val="right" w:pos="8306"/>
      </w:tabs>
      <w:snapToGrid w:val="0"/>
      <w:jc w:val="center"/>
    </w:pPr>
    <w:rPr>
      <w:sz w:val="18"/>
      <w:szCs w:val="18"/>
    </w:rPr>
  </w:style>
  <w:style w:type="paragraph" w:styleId="12">
    <w:name w:val="toc 1"/>
    <w:basedOn w:val="1"/>
    <w:next w:val="1"/>
    <w:unhideWhenUsed/>
    <w:qFormat/>
    <w:uiPriority w:val="39"/>
  </w:style>
  <w:style w:type="paragraph" w:styleId="13">
    <w:name w:val="toc 2"/>
    <w:basedOn w:val="1"/>
    <w:next w:val="1"/>
    <w:unhideWhenUsed/>
    <w:qFormat/>
    <w:uiPriority w:val="39"/>
    <w:pPr>
      <w:tabs>
        <w:tab w:val="right" w:leader="dot" w:pos="8302"/>
      </w:tabs>
      <w:ind w:left="420" w:leftChars="200"/>
    </w:pPr>
    <w:rPr>
      <w:rFonts w:ascii="宋体" w:hAnsi="宋体" w:eastAsia="宋体" w:cs="Times New Roman"/>
      <w:b/>
      <w:bCs/>
      <w:sz w:val="24"/>
      <w:szCs w:val="28"/>
    </w:rPr>
  </w:style>
  <w:style w:type="paragraph" w:styleId="14">
    <w:name w:val="Normal (Web)"/>
    <w:basedOn w:val="1"/>
    <w:qFormat/>
    <w:uiPriority w:val="0"/>
    <w:pPr>
      <w:widowControl/>
      <w:spacing w:line="200" w:lineRule="atLeast"/>
      <w:jc w:val="left"/>
    </w:pPr>
    <w:rPr>
      <w:sz w:val="24"/>
    </w:rPr>
  </w:style>
  <w:style w:type="paragraph" w:styleId="15">
    <w:name w:val="annotation subject"/>
    <w:basedOn w:val="6"/>
    <w:next w:val="6"/>
    <w:link w:val="46"/>
    <w:semiHidden/>
    <w:unhideWhenUsed/>
    <w:qFormat/>
    <w:uiPriority w:val="99"/>
    <w:rPr>
      <w:b/>
      <w:bCs/>
    </w:rPr>
  </w:style>
  <w:style w:type="table" w:styleId="17">
    <w:name w:val="Table Grid"/>
    <w:basedOn w:val="1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22"/>
    <w:rPr>
      <w:b/>
    </w:rPr>
  </w:style>
  <w:style w:type="character" w:styleId="20">
    <w:name w:val="endnote reference"/>
    <w:basedOn w:val="18"/>
    <w:semiHidden/>
    <w:unhideWhenUsed/>
    <w:qFormat/>
    <w:uiPriority w:val="99"/>
    <w:rPr>
      <w:vertAlign w:val="superscript"/>
    </w:rPr>
  </w:style>
  <w:style w:type="character" w:styleId="21">
    <w:name w:val="Hyperlink"/>
    <w:basedOn w:val="18"/>
    <w:unhideWhenUsed/>
    <w:qFormat/>
    <w:uiPriority w:val="99"/>
    <w:rPr>
      <w:color w:val="0563C1" w:themeColor="hyperlink"/>
      <w:u w:val="single"/>
      <w14:textFill>
        <w14:solidFill>
          <w14:schemeClr w14:val="hlink"/>
        </w14:solidFill>
      </w14:textFill>
    </w:rPr>
  </w:style>
  <w:style w:type="character" w:styleId="22">
    <w:name w:val="annotation reference"/>
    <w:basedOn w:val="18"/>
    <w:semiHidden/>
    <w:unhideWhenUsed/>
    <w:qFormat/>
    <w:uiPriority w:val="99"/>
    <w:rPr>
      <w:sz w:val="21"/>
      <w:szCs w:val="21"/>
    </w:rPr>
  </w:style>
  <w:style w:type="character" w:customStyle="1" w:styleId="23">
    <w:name w:val="页眉 字符"/>
    <w:basedOn w:val="18"/>
    <w:link w:val="11"/>
    <w:qFormat/>
    <w:uiPriority w:val="99"/>
    <w:rPr>
      <w:sz w:val="18"/>
      <w:szCs w:val="18"/>
    </w:rPr>
  </w:style>
  <w:style w:type="character" w:customStyle="1" w:styleId="24">
    <w:name w:val="页脚 字符"/>
    <w:basedOn w:val="18"/>
    <w:link w:val="10"/>
    <w:qFormat/>
    <w:uiPriority w:val="99"/>
    <w:rPr>
      <w:sz w:val="18"/>
      <w:szCs w:val="18"/>
    </w:rPr>
  </w:style>
  <w:style w:type="paragraph" w:customStyle="1" w:styleId="25">
    <w:name w:val="标准标题1"/>
    <w:basedOn w:val="3"/>
    <w:next w:val="1"/>
    <w:link w:val="26"/>
    <w:qFormat/>
    <w:uiPriority w:val="0"/>
    <w:pPr>
      <w:spacing w:line="576" w:lineRule="auto"/>
      <w:jc w:val="center"/>
    </w:pPr>
    <w:rPr>
      <w:rFonts w:ascii="Times New Roman" w:hAnsi="Times New Roman" w:eastAsia="宋体"/>
      <w:bCs w:val="0"/>
      <w:szCs w:val="22"/>
    </w:rPr>
  </w:style>
  <w:style w:type="character" w:customStyle="1" w:styleId="26">
    <w:name w:val="标准标题1 Char"/>
    <w:link w:val="25"/>
    <w:qFormat/>
    <w:uiPriority w:val="0"/>
    <w:rPr>
      <w:rFonts w:ascii="Times New Roman" w:hAnsi="Times New Roman" w:eastAsia="宋体"/>
      <w:b/>
      <w:kern w:val="44"/>
      <w:sz w:val="44"/>
      <w14:ligatures w14:val="none"/>
    </w:rPr>
  </w:style>
  <w:style w:type="character" w:customStyle="1" w:styleId="27">
    <w:name w:val="正文文本 字符"/>
    <w:basedOn w:val="18"/>
    <w:link w:val="2"/>
    <w:qFormat/>
    <w:uiPriority w:val="99"/>
    <w:rPr>
      <w14:ligatures w14:val="none"/>
    </w:rPr>
  </w:style>
  <w:style w:type="character" w:customStyle="1" w:styleId="28">
    <w:name w:val="标题 1 字符"/>
    <w:basedOn w:val="18"/>
    <w:link w:val="3"/>
    <w:qFormat/>
    <w:uiPriority w:val="9"/>
    <w:rPr>
      <w:b/>
      <w:bCs/>
      <w:kern w:val="44"/>
      <w:sz w:val="44"/>
      <w:szCs w:val="44"/>
      <w14:ligatures w14:val="none"/>
    </w:rPr>
  </w:style>
  <w:style w:type="paragraph" w:customStyle="1" w:styleId="29">
    <w:name w:val="标准标题2"/>
    <w:basedOn w:val="1"/>
    <w:next w:val="1"/>
    <w:link w:val="30"/>
    <w:qFormat/>
    <w:uiPriority w:val="0"/>
    <w:pPr>
      <w:keepNext/>
      <w:keepLines/>
      <w:spacing w:before="260" w:after="260" w:line="413" w:lineRule="auto"/>
      <w:jc w:val="center"/>
      <w:outlineLvl w:val="1"/>
    </w:pPr>
    <w:rPr>
      <w:rFonts w:ascii="Times New Roman" w:hAnsi="Times New Roman" w:eastAsia="宋体" w:cs="Times New Roman"/>
      <w:b/>
      <w:sz w:val="28"/>
      <w:szCs w:val="28"/>
    </w:rPr>
  </w:style>
  <w:style w:type="character" w:customStyle="1" w:styleId="30">
    <w:name w:val="标准标题2 Char"/>
    <w:link w:val="29"/>
    <w:qFormat/>
    <w:uiPriority w:val="0"/>
    <w:rPr>
      <w:rFonts w:ascii="Times New Roman" w:hAnsi="Times New Roman" w:eastAsia="宋体" w:cs="Times New Roman"/>
      <w:b/>
      <w:sz w:val="28"/>
      <w:szCs w:val="28"/>
      <w14:ligatures w14:val="none"/>
    </w:rPr>
  </w:style>
  <w:style w:type="character" w:customStyle="1" w:styleId="31">
    <w:name w:val="段 Char"/>
    <w:link w:val="32"/>
    <w:qFormat/>
    <w:uiPriority w:val="0"/>
    <w:rPr>
      <w:rFonts w:ascii="宋体" w:hAnsi="Calibri"/>
    </w:rPr>
  </w:style>
  <w:style w:type="paragraph" w:customStyle="1" w:styleId="32">
    <w:name w:val="段"/>
    <w:link w:val="31"/>
    <w:qFormat/>
    <w:uiPriority w:val="0"/>
    <w:pPr>
      <w:tabs>
        <w:tab w:val="center" w:pos="4201"/>
        <w:tab w:val="right" w:leader="dot" w:pos="9298"/>
      </w:tabs>
      <w:autoSpaceDE w:val="0"/>
      <w:autoSpaceDN w:val="0"/>
      <w:ind w:firstLine="420" w:firstLineChars="200"/>
      <w:jc w:val="both"/>
    </w:pPr>
    <w:rPr>
      <w:rFonts w:ascii="宋体" w:hAnsi="Calibri" w:eastAsiaTheme="minorEastAsia" w:cstheme="minorBidi"/>
      <w:kern w:val="2"/>
      <w:sz w:val="21"/>
      <w:szCs w:val="22"/>
      <w:lang w:val="en-US" w:eastAsia="zh-CN" w:bidi="ar-SA"/>
      <w14:ligatures w14:val="standardContextual"/>
    </w:rPr>
  </w:style>
  <w:style w:type="paragraph" w:customStyle="1" w:styleId="33">
    <w:name w:val="章标题"/>
    <w:next w:val="32"/>
    <w:qFormat/>
    <w:uiPriority w:val="0"/>
    <w:pPr>
      <w:numPr>
        <w:ilvl w:val="0"/>
        <w:numId w:val="1"/>
      </w:numPr>
      <w:spacing w:beforeLines="100" w:afterLines="100"/>
      <w:jc w:val="both"/>
      <w:outlineLvl w:val="1"/>
    </w:pPr>
    <w:rPr>
      <w:rFonts w:ascii="黑体" w:hAnsi="Calibri" w:eastAsia="黑体" w:cs="Times New Roman"/>
      <w:sz w:val="21"/>
      <w:lang w:val="en-US" w:eastAsia="zh-CN" w:bidi="ar-SA"/>
    </w:rPr>
  </w:style>
  <w:style w:type="paragraph" w:customStyle="1" w:styleId="34">
    <w:name w:val="一级条标题"/>
    <w:next w:val="32"/>
    <w:qFormat/>
    <w:uiPriority w:val="0"/>
    <w:pPr>
      <w:numPr>
        <w:ilvl w:val="1"/>
        <w:numId w:val="1"/>
      </w:numPr>
      <w:spacing w:beforeLines="50" w:afterLines="50"/>
      <w:outlineLvl w:val="2"/>
    </w:pPr>
    <w:rPr>
      <w:rFonts w:ascii="黑体" w:hAnsi="Calibri" w:eastAsia="黑体" w:cs="Times New Roman"/>
      <w:sz w:val="21"/>
      <w:szCs w:val="21"/>
      <w:lang w:val="en-US" w:eastAsia="zh-CN" w:bidi="ar-SA"/>
    </w:rPr>
  </w:style>
  <w:style w:type="character" w:customStyle="1" w:styleId="35">
    <w:name w:val="标题 2 字符"/>
    <w:basedOn w:val="18"/>
    <w:link w:val="4"/>
    <w:qFormat/>
    <w:uiPriority w:val="9"/>
    <w:rPr>
      <w:rFonts w:asciiTheme="majorHAnsi" w:hAnsiTheme="majorHAnsi" w:eastAsiaTheme="majorEastAsia" w:cstheme="majorBidi"/>
      <w:b/>
      <w:bCs/>
      <w:sz w:val="32"/>
      <w:szCs w:val="32"/>
      <w14:ligatures w14:val="none"/>
    </w:rPr>
  </w:style>
  <w:style w:type="character" w:customStyle="1" w:styleId="36">
    <w:name w:val="批注文字 字符"/>
    <w:basedOn w:val="18"/>
    <w:link w:val="6"/>
    <w:qFormat/>
    <w:uiPriority w:val="99"/>
    <w:rPr>
      <w14:ligatures w14:val="none"/>
    </w:rPr>
  </w:style>
  <w:style w:type="paragraph" w:styleId="37">
    <w:name w:val="List Paragraph"/>
    <w:basedOn w:val="1"/>
    <w:qFormat/>
    <w:uiPriority w:val="34"/>
    <w:pPr>
      <w:ind w:firstLine="420" w:firstLineChars="200"/>
    </w:pPr>
  </w:style>
  <w:style w:type="paragraph" w:customStyle="1" w:styleId="38">
    <w:name w:val="四级标题"/>
    <w:basedOn w:val="8"/>
    <w:next w:val="1"/>
    <w:qFormat/>
    <w:uiPriority w:val="0"/>
    <w:pPr>
      <w:spacing w:line="360" w:lineRule="auto"/>
      <w:jc w:val="left"/>
    </w:pPr>
    <w:rPr>
      <w:rFonts w:ascii="宋体" w:hAnsi="宋体" w:eastAsia="黑体"/>
      <w:kern w:val="0"/>
      <w:sz w:val="28"/>
    </w:rPr>
  </w:style>
  <w:style w:type="table" w:customStyle="1" w:styleId="39">
    <w:name w:val="Table Normal"/>
    <w:semiHidden/>
    <w:unhideWhenUsed/>
    <w:qFormat/>
    <w:uiPriority w:val="0"/>
    <w:tblPr>
      <w:tblCellMar>
        <w:top w:w="0" w:type="dxa"/>
        <w:left w:w="0" w:type="dxa"/>
        <w:bottom w:w="0" w:type="dxa"/>
        <w:right w:w="0" w:type="dxa"/>
      </w:tblCellMar>
    </w:tblPr>
  </w:style>
  <w:style w:type="character" w:customStyle="1" w:styleId="40">
    <w:name w:val="font01"/>
    <w:basedOn w:val="18"/>
    <w:qFormat/>
    <w:uiPriority w:val="0"/>
    <w:rPr>
      <w:rFonts w:hint="eastAsia" w:ascii="宋体" w:hAnsi="宋体" w:eastAsia="宋体" w:cs="宋体"/>
      <w:color w:val="000000"/>
      <w:sz w:val="22"/>
      <w:szCs w:val="22"/>
      <w:u w:val="none"/>
    </w:rPr>
  </w:style>
  <w:style w:type="character" w:customStyle="1" w:styleId="41">
    <w:name w:val="日期 字符"/>
    <w:basedOn w:val="18"/>
    <w:link w:val="8"/>
    <w:semiHidden/>
    <w:qFormat/>
    <w:uiPriority w:val="99"/>
    <w:rPr>
      <w14:ligatures w14:val="none"/>
    </w:rPr>
  </w:style>
  <w:style w:type="character" w:customStyle="1" w:styleId="42">
    <w:name w:val="尾注文本 字符"/>
    <w:basedOn w:val="18"/>
    <w:link w:val="9"/>
    <w:semiHidden/>
    <w:qFormat/>
    <w:uiPriority w:val="99"/>
    <w:rPr>
      <w14:ligatures w14:val="none"/>
    </w:rPr>
  </w:style>
  <w:style w:type="paragraph" w:customStyle="1" w:styleId="43">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paragraph" w:customStyle="1" w:styleId="44">
    <w:name w:val="标准正文"/>
    <w:basedOn w:val="1"/>
    <w:qFormat/>
    <w:uiPriority w:val="0"/>
    <w:pPr>
      <w:widowControl/>
      <w:spacing w:line="360" w:lineRule="auto"/>
      <w:jc w:val="left"/>
      <w:textAlignment w:val="center"/>
      <w:outlineLvl w:val="0"/>
    </w:pPr>
    <w:rPr>
      <w:rFonts w:hint="eastAsia" w:ascii="Times New Roman" w:hAnsi="Times New Roman" w:eastAsia="宋体" w:cs="Times New Roman"/>
      <w:szCs w:val="20"/>
    </w:rPr>
  </w:style>
  <w:style w:type="paragraph" w:customStyle="1" w:styleId="45">
    <w:name w:val="修订1"/>
    <w:hidden/>
    <w:unhideWhenUsed/>
    <w:qFormat/>
    <w:uiPriority w:val="99"/>
    <w:rPr>
      <w:rFonts w:asciiTheme="minorHAnsi" w:hAnsiTheme="minorHAnsi" w:eastAsiaTheme="minorEastAsia" w:cstheme="minorBidi"/>
      <w:kern w:val="2"/>
      <w:sz w:val="21"/>
      <w:szCs w:val="22"/>
      <w:lang w:val="en-US" w:eastAsia="zh-CN" w:bidi="ar-SA"/>
    </w:rPr>
  </w:style>
  <w:style w:type="character" w:customStyle="1" w:styleId="46">
    <w:name w:val="批注主题 字符"/>
    <w:basedOn w:val="36"/>
    <w:link w:val="15"/>
    <w:semiHidden/>
    <w:qFormat/>
    <w:uiPriority w:val="99"/>
    <w:rPr>
      <w:b/>
      <w:bCs/>
      <w:kern w:val="2"/>
      <w:sz w:val="21"/>
      <w:szCs w:val="22"/>
      <w14:ligatures w14:val="none"/>
    </w:rPr>
  </w:style>
  <w:style w:type="paragraph" w:customStyle="1" w:styleId="47">
    <w:name w:val="修订2"/>
    <w:hidden/>
    <w:unhideWhenUsed/>
    <w:qFormat/>
    <w:uiPriority w:val="99"/>
    <w:rPr>
      <w:rFonts w:asciiTheme="minorHAnsi" w:hAnsiTheme="minorHAnsi" w:eastAsiaTheme="minorEastAsia" w:cstheme="minorBidi"/>
      <w:kern w:val="2"/>
      <w:sz w:val="21"/>
      <w:szCs w:val="22"/>
      <w:lang w:val="en-US" w:eastAsia="zh-CN" w:bidi="ar-SA"/>
    </w:rPr>
  </w:style>
  <w:style w:type="paragraph" w:customStyle="1" w:styleId="48">
    <w:name w:val="修订3"/>
    <w:hidden/>
    <w:unhideWhenUsed/>
    <w:qFormat/>
    <w:uiPriority w:val="99"/>
    <w:rPr>
      <w:rFonts w:asciiTheme="minorHAnsi" w:hAnsiTheme="minorHAnsi" w:eastAsiaTheme="minorEastAsia" w:cstheme="minorBidi"/>
      <w:kern w:val="2"/>
      <w:sz w:val="21"/>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emf"/><Relationship Id="rId7" Type="http://schemas.openxmlformats.org/officeDocument/2006/relationships/image" Target="media/image1.wmf"/><Relationship Id="rId62" Type="http://schemas.openxmlformats.org/officeDocument/2006/relationships/fontTable" Target="fontTable.xml"/><Relationship Id="rId61" Type="http://schemas.openxmlformats.org/officeDocument/2006/relationships/customXml" Target="../customXml/item2.xml"/><Relationship Id="rId60" Type="http://schemas.openxmlformats.org/officeDocument/2006/relationships/numbering" Target="numbering.xml"/><Relationship Id="rId6" Type="http://schemas.openxmlformats.org/officeDocument/2006/relationships/oleObject" Target="embeddings/oleObject1.bin"/><Relationship Id="rId59" Type="http://schemas.openxmlformats.org/officeDocument/2006/relationships/customXml" Target="../customXml/item1.xml"/><Relationship Id="rId58" Type="http://schemas.openxmlformats.org/officeDocument/2006/relationships/image" Target="media/image35.emf"/><Relationship Id="rId57" Type="http://schemas.openxmlformats.org/officeDocument/2006/relationships/image" Target="media/image34.emf"/><Relationship Id="rId56" Type="http://schemas.openxmlformats.org/officeDocument/2006/relationships/image" Target="media/image33.emf"/><Relationship Id="rId55" Type="http://schemas.openxmlformats.org/officeDocument/2006/relationships/image" Target="media/image32.png"/><Relationship Id="rId54" Type="http://schemas.openxmlformats.org/officeDocument/2006/relationships/image" Target="media/image31.png"/><Relationship Id="rId53" Type="http://schemas.openxmlformats.org/officeDocument/2006/relationships/image" Target="media/image30.png"/><Relationship Id="rId52" Type="http://schemas.openxmlformats.org/officeDocument/2006/relationships/image" Target="media/image29.png"/><Relationship Id="rId51" Type="http://schemas.openxmlformats.org/officeDocument/2006/relationships/image" Target="media/image28.png"/><Relationship Id="rId50" Type="http://schemas.openxmlformats.org/officeDocument/2006/relationships/image" Target="media/image27.png"/><Relationship Id="rId5" Type="http://schemas.openxmlformats.org/officeDocument/2006/relationships/theme" Target="theme/theme1.xml"/><Relationship Id="rId49" Type="http://schemas.openxmlformats.org/officeDocument/2006/relationships/image" Target="media/image26.png"/><Relationship Id="rId48" Type="http://schemas.openxmlformats.org/officeDocument/2006/relationships/image" Target="media/image25.png"/><Relationship Id="rId47" Type="http://schemas.openxmlformats.org/officeDocument/2006/relationships/image" Target="media/image24.wmf"/><Relationship Id="rId46" Type="http://schemas.openxmlformats.org/officeDocument/2006/relationships/oleObject" Target="embeddings/oleObject18.bin"/><Relationship Id="rId45" Type="http://schemas.openxmlformats.org/officeDocument/2006/relationships/oleObject" Target="embeddings/oleObject17.bin"/><Relationship Id="rId44" Type="http://schemas.openxmlformats.org/officeDocument/2006/relationships/image" Target="media/image23.wmf"/><Relationship Id="rId43" Type="http://schemas.openxmlformats.org/officeDocument/2006/relationships/oleObject" Target="embeddings/oleObject16.bin"/><Relationship Id="rId42" Type="http://schemas.openxmlformats.org/officeDocument/2006/relationships/image" Target="media/image22.wmf"/><Relationship Id="rId41" Type="http://schemas.openxmlformats.org/officeDocument/2006/relationships/oleObject" Target="embeddings/oleObject15.bin"/><Relationship Id="rId40" Type="http://schemas.openxmlformats.org/officeDocument/2006/relationships/image" Target="media/image21.wmf"/><Relationship Id="rId4" Type="http://schemas.openxmlformats.org/officeDocument/2006/relationships/footer" Target="footer2.xml"/><Relationship Id="rId39" Type="http://schemas.openxmlformats.org/officeDocument/2006/relationships/oleObject" Target="embeddings/oleObject14.bin"/><Relationship Id="rId38" Type="http://schemas.openxmlformats.org/officeDocument/2006/relationships/image" Target="media/image20.png"/><Relationship Id="rId37" Type="http://schemas.openxmlformats.org/officeDocument/2006/relationships/image" Target="media/image19.wmf"/><Relationship Id="rId36" Type="http://schemas.openxmlformats.org/officeDocument/2006/relationships/oleObject" Target="embeddings/oleObject13.bin"/><Relationship Id="rId35" Type="http://schemas.openxmlformats.org/officeDocument/2006/relationships/image" Target="media/image18.wmf"/><Relationship Id="rId34" Type="http://schemas.openxmlformats.org/officeDocument/2006/relationships/oleObject" Target="embeddings/oleObject12.bin"/><Relationship Id="rId33" Type="http://schemas.openxmlformats.org/officeDocument/2006/relationships/image" Target="media/image17.png"/><Relationship Id="rId32" Type="http://schemas.openxmlformats.org/officeDocument/2006/relationships/image" Target="media/image16.wmf"/><Relationship Id="rId31" Type="http://schemas.openxmlformats.org/officeDocument/2006/relationships/oleObject" Target="embeddings/oleObject11.bin"/><Relationship Id="rId30" Type="http://schemas.openxmlformats.org/officeDocument/2006/relationships/image" Target="media/image15.wmf"/><Relationship Id="rId3" Type="http://schemas.openxmlformats.org/officeDocument/2006/relationships/footer" Target="footer1.xml"/><Relationship Id="rId29" Type="http://schemas.openxmlformats.org/officeDocument/2006/relationships/oleObject" Target="embeddings/oleObject10.bin"/><Relationship Id="rId28" Type="http://schemas.openxmlformats.org/officeDocument/2006/relationships/image" Target="media/image14.wmf"/><Relationship Id="rId27" Type="http://schemas.openxmlformats.org/officeDocument/2006/relationships/oleObject" Target="embeddings/oleObject9.bin"/><Relationship Id="rId26" Type="http://schemas.openxmlformats.org/officeDocument/2006/relationships/image" Target="media/image13.wmf"/><Relationship Id="rId25" Type="http://schemas.openxmlformats.org/officeDocument/2006/relationships/oleObject" Target="embeddings/oleObject8.bin"/><Relationship Id="rId24" Type="http://schemas.openxmlformats.org/officeDocument/2006/relationships/image" Target="media/image12.wmf"/><Relationship Id="rId23" Type="http://schemas.openxmlformats.org/officeDocument/2006/relationships/oleObject" Target="embeddings/oleObject7.bin"/><Relationship Id="rId22" Type="http://schemas.openxmlformats.org/officeDocument/2006/relationships/image" Target="media/image11.wmf"/><Relationship Id="rId21" Type="http://schemas.openxmlformats.org/officeDocument/2006/relationships/oleObject" Target="embeddings/oleObject6.bin"/><Relationship Id="rId20" Type="http://schemas.openxmlformats.org/officeDocument/2006/relationships/image" Target="media/image10.wmf"/><Relationship Id="rId2" Type="http://schemas.openxmlformats.org/officeDocument/2006/relationships/settings" Target="settings.xml"/><Relationship Id="rId19" Type="http://schemas.openxmlformats.org/officeDocument/2006/relationships/oleObject" Target="embeddings/oleObject5.bin"/><Relationship Id="rId18" Type="http://schemas.openxmlformats.org/officeDocument/2006/relationships/image" Target="media/image9.wmf"/><Relationship Id="rId17" Type="http://schemas.openxmlformats.org/officeDocument/2006/relationships/oleObject" Target="embeddings/oleObject4.bin"/><Relationship Id="rId16" Type="http://schemas.openxmlformats.org/officeDocument/2006/relationships/image" Target="media/image8.wmf"/><Relationship Id="rId15" Type="http://schemas.openxmlformats.org/officeDocument/2006/relationships/oleObject" Target="embeddings/oleObject3.bin"/><Relationship Id="rId14" Type="http://schemas.openxmlformats.org/officeDocument/2006/relationships/image" Target="media/image7.png"/><Relationship Id="rId13" Type="http://schemas.openxmlformats.org/officeDocument/2006/relationships/image" Target="media/image6.png"/><Relationship Id="rId12" Type="http://schemas.openxmlformats.org/officeDocument/2006/relationships/image" Target="media/image5.wmf"/><Relationship Id="rId11" Type="http://schemas.openxmlformats.org/officeDocument/2006/relationships/oleObject" Target="embeddings/oleObject2.bin"/><Relationship Id="rId10" Type="http://schemas.openxmlformats.org/officeDocument/2006/relationships/image" Target="media/image4.e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2353C7F-0C82-4755-B455-A6709F5E5153}">
  <ds:schemaRefs/>
</ds:datastoreItem>
</file>

<file path=docProps/app.xml><?xml version="1.0" encoding="utf-8"?>
<Properties xmlns="http://schemas.openxmlformats.org/officeDocument/2006/extended-properties" xmlns:vt="http://schemas.openxmlformats.org/officeDocument/2006/docPropsVTypes">
  <Template>Normal.dotm</Template>
  <Pages>47</Pages>
  <Words>4406</Words>
  <Characters>25117</Characters>
  <Lines>209</Lines>
  <Paragraphs>58</Paragraphs>
  <TotalTime>16</TotalTime>
  <ScaleCrop>false</ScaleCrop>
  <LinksUpToDate>false</LinksUpToDate>
  <CharactersWithSpaces>29465</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2024-07-18T05:49:00Z</dcterms:created>
  <dc:creator>坚 谢</dc:creator>
  <cp:lastModifiedBy>ying123lin163com</cp:lastModifiedBy>
  <cp:lastPrinted>2024-12-09T06:45:00Z</cp:lastPrinted>
  <dcterms:modified xsi:type="dcterms:W3CDTF">2025-01-21T02:48:54Z</dcterms:modified>
  <cp:revision>2123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54012E9048304711B7297D787FB0B9A1_13</vt:lpwstr>
  </property>
  <property fmtid="{D5CDD505-2E9C-101B-9397-08002B2CF9AE}" pid="4" name="KSOTemplateDocerSaveRecord">
    <vt:lpwstr>eyJoZGlkIjoiYjJjOTQxYzhjODMyMDAzZmE0MDJkMWFkNmJlNDkwYTUiLCJ1c2VySWQiOiI1MDAyNjQ5ODIifQ==</vt:lpwstr>
  </property>
</Properties>
</file>