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7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8"/>
              <w:adjustRightInd w:val="0"/>
              <w:spacing w:line="360" w:lineRule="auto"/>
              <w:ind w:firstLine="0" w:firstLineChars="0"/>
              <w:contextualSpacing/>
              <w:jc w:val="center"/>
              <w:rPr>
                <w:rFonts w:hint="eastAsia" w:hAnsi="宋体"/>
                <w:szCs w:val="21"/>
              </w:rPr>
            </w:pPr>
            <w:r>
              <w:rPr>
                <w:rFonts w:hint="eastAsia" w:hAnsi="宋体"/>
                <w:szCs w:val="21"/>
              </w:rPr>
              <w:t>标准名称</w:t>
            </w:r>
          </w:p>
        </w:tc>
        <w:tc>
          <w:tcPr>
            <w:tcW w:w="7945" w:type="dxa"/>
            <w:vAlign w:val="center"/>
          </w:tcPr>
          <w:p>
            <w:pPr>
              <w:pStyle w:val="8"/>
              <w:adjustRightInd w:val="0"/>
              <w:spacing w:line="360" w:lineRule="auto"/>
              <w:ind w:firstLine="0" w:firstLineChars="0"/>
              <w:contextualSpacing/>
              <w:rPr>
                <w:rFonts w:hint="eastAsia" w:hAnsi="宋体"/>
                <w:szCs w:val="21"/>
              </w:rPr>
            </w:pPr>
            <w:r>
              <w:rPr>
                <w:rFonts w:hint="eastAsia" w:hAnsi="宋体" w:cs="宋体"/>
                <w:szCs w:val="21"/>
              </w:rPr>
              <w:t>《</w:t>
            </w:r>
            <w:r>
              <w:rPr>
                <w:rFonts w:hAnsi="宋体" w:cs="宋体"/>
              </w:rPr>
              <w:t>熟料库网架应用技术规程</w:t>
            </w:r>
            <w:r>
              <w:rPr>
                <w:rFonts w:hint="eastAsia"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8"/>
              <w:adjustRightInd w:val="0"/>
              <w:spacing w:line="360" w:lineRule="auto"/>
              <w:ind w:firstLine="0" w:firstLineChars="0"/>
              <w:contextualSpacing/>
              <w:jc w:val="center"/>
              <w:rPr>
                <w:rFonts w:hint="eastAsia" w:hAnsi="宋体"/>
                <w:szCs w:val="21"/>
              </w:rPr>
            </w:pPr>
            <w:r>
              <w:rPr>
                <w:rFonts w:hint="eastAsia" w:hAnsi="宋体"/>
                <w:szCs w:val="21"/>
              </w:rPr>
              <w:t>任务来源</w:t>
            </w:r>
          </w:p>
          <w:p>
            <w:pPr>
              <w:pStyle w:val="8"/>
              <w:adjustRightInd w:val="0"/>
              <w:spacing w:line="360" w:lineRule="auto"/>
              <w:ind w:firstLine="0" w:firstLineChars="0"/>
              <w:contextualSpacing/>
              <w:jc w:val="center"/>
              <w:rPr>
                <w:rFonts w:hint="eastAsia" w:hAnsi="宋体"/>
                <w:szCs w:val="21"/>
              </w:rPr>
            </w:pPr>
            <w:r>
              <w:rPr>
                <w:rFonts w:hint="eastAsia" w:hAnsi="宋体"/>
                <w:szCs w:val="21"/>
              </w:rPr>
              <w:t>（项目计划号）</w:t>
            </w:r>
          </w:p>
        </w:tc>
        <w:tc>
          <w:tcPr>
            <w:tcW w:w="7945" w:type="dxa"/>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《安徽省市场监督管理局关于下达2023年第三批安徽省地方标准制修订计划的通知》（皖市监函〔2023〕622号），项目计划号：2</w:t>
            </w:r>
            <w:r>
              <w:rPr>
                <w:rFonts w:hAnsi="宋体"/>
                <w:szCs w:val="21"/>
              </w:rPr>
              <w:t>0</w:t>
            </w:r>
            <w:r>
              <w:rPr>
                <w:rFonts w:hint="eastAsia" w:hAnsi="宋体"/>
                <w:szCs w:val="21"/>
              </w:rPr>
              <w:t>23-3-88</w:t>
            </w:r>
            <w:bookmarkStart w:id="30" w:name="_GoBack"/>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8"/>
              <w:adjustRightInd w:val="0"/>
              <w:spacing w:line="360" w:lineRule="auto"/>
              <w:ind w:firstLine="0" w:firstLineChars="0"/>
              <w:contextualSpacing/>
              <w:jc w:val="center"/>
              <w:rPr>
                <w:rFonts w:hint="eastAsia" w:hAnsi="宋体"/>
                <w:szCs w:val="21"/>
              </w:rPr>
            </w:pPr>
            <w:r>
              <w:rPr>
                <w:rFonts w:hint="eastAsia" w:hAnsi="宋体"/>
                <w:szCs w:val="21"/>
              </w:rPr>
              <w:t>第一起草单位</w:t>
            </w:r>
          </w:p>
        </w:tc>
        <w:tc>
          <w:tcPr>
            <w:tcW w:w="7945" w:type="dxa"/>
            <w:vAlign w:val="center"/>
          </w:tcPr>
          <w:p>
            <w:pPr>
              <w:pStyle w:val="8"/>
              <w:adjustRightInd w:val="0"/>
              <w:spacing w:line="360" w:lineRule="auto"/>
              <w:ind w:firstLine="0" w:firstLineChars="0"/>
              <w:contextualSpacing/>
              <w:rPr>
                <w:rFonts w:hint="eastAsia" w:hAnsi="宋体"/>
                <w:szCs w:val="21"/>
              </w:rPr>
            </w:pPr>
            <w:r>
              <w:rPr>
                <w:rFonts w:hint="eastAsia" w:hAnsi="宋体" w:cs="宋体"/>
                <w:szCs w:val="21"/>
              </w:rPr>
              <w:t>合肥水泥研究设计院有限公司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8"/>
              <w:adjustRightInd w:val="0"/>
              <w:spacing w:line="360" w:lineRule="auto"/>
              <w:ind w:firstLine="0" w:firstLineChars="0"/>
              <w:contextualSpacing/>
              <w:jc w:val="center"/>
              <w:rPr>
                <w:rFonts w:hint="eastAsia" w:hAnsi="宋体"/>
                <w:szCs w:val="21"/>
              </w:rPr>
            </w:pPr>
            <w:r>
              <w:rPr>
                <w:rFonts w:hint="eastAsia" w:hAnsi="宋体"/>
                <w:szCs w:val="21"/>
              </w:rPr>
              <w:t>单位地址</w:t>
            </w:r>
          </w:p>
        </w:tc>
        <w:tc>
          <w:tcPr>
            <w:tcW w:w="7945" w:type="dxa"/>
            <w:vAlign w:val="center"/>
          </w:tcPr>
          <w:p>
            <w:pPr>
              <w:pStyle w:val="8"/>
              <w:adjustRightInd w:val="0"/>
              <w:spacing w:line="360" w:lineRule="auto"/>
              <w:ind w:firstLine="0" w:firstLineChars="0"/>
              <w:contextualSpacing/>
              <w:rPr>
                <w:rFonts w:hint="eastAsia" w:hAnsi="宋体"/>
                <w:szCs w:val="21"/>
              </w:rPr>
            </w:pPr>
            <w:r>
              <w:rPr>
                <w:rFonts w:hint="eastAsia" w:hAnsi="宋体" w:cs="宋体"/>
                <w:szCs w:val="21"/>
              </w:rPr>
              <w:t>安徽省合肥市包河区黄河路与辽宁路交口中国建材（合肥）技术中心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8"/>
              <w:adjustRightInd w:val="0"/>
              <w:spacing w:line="360" w:lineRule="auto"/>
              <w:ind w:firstLine="0" w:firstLineChars="0"/>
              <w:contextualSpacing/>
              <w:jc w:val="center"/>
              <w:rPr>
                <w:rFonts w:hint="eastAsia" w:hAnsi="宋体"/>
                <w:szCs w:val="21"/>
              </w:rPr>
            </w:pPr>
            <w:r>
              <w:rPr>
                <w:rFonts w:hint="eastAsia" w:hAnsi="宋体"/>
                <w:szCs w:val="21"/>
              </w:rPr>
              <w:t>参与起草单位</w:t>
            </w:r>
          </w:p>
        </w:tc>
        <w:tc>
          <w:tcPr>
            <w:tcW w:w="7945" w:type="dxa"/>
            <w:vAlign w:val="center"/>
          </w:tcPr>
          <w:p>
            <w:pPr>
              <w:rPr>
                <w:rFonts w:hint="eastAsia" w:ascii="宋体" w:hAnsi="宋体"/>
              </w:rPr>
            </w:pPr>
            <w:r>
              <w:rPr>
                <w:rFonts w:hint="eastAsia" w:ascii="宋体" w:hAnsi="宋体" w:cs="宋体"/>
              </w:rPr>
              <w:t>中建材（合肥）钢构科技有限公司、安徽建筑大学、安徽文达信息工程学院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jc w:val="center"/>
              <w:rPr>
                <w:rFonts w:hint="eastAsia" w:hAnsi="宋体"/>
                <w:szCs w:val="21"/>
              </w:rPr>
            </w:pPr>
            <w:r>
              <w:rPr>
                <w:rFonts w:hint="eastAsia" w:hAnsi="宋体"/>
                <w:b/>
                <w:bCs/>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b/>
                <w:bCs/>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contextualSpacing/>
              <w:rPr>
                <w:rFonts w:hint="eastAsia" w:hAnsi="宋体"/>
              </w:rPr>
            </w:pPr>
            <w:r>
              <w:rPr>
                <w:rFonts w:hint="eastAsia"/>
                <w:szCs w:val="21"/>
              </w:rPr>
              <w:t>2024年7月3日，召开</w:t>
            </w:r>
            <w:r>
              <w:rPr>
                <w:rFonts w:hint="eastAsia" w:hAnsi="宋体"/>
              </w:rPr>
              <w:t>大纲编制专家讨论会；</w:t>
            </w:r>
          </w:p>
          <w:p>
            <w:pPr>
              <w:pStyle w:val="8"/>
              <w:adjustRightInd w:val="0"/>
              <w:spacing w:line="360" w:lineRule="auto"/>
              <w:contextualSpacing/>
            </w:pPr>
            <w:r>
              <w:rPr>
                <w:rFonts w:hint="eastAsia" w:hAnsi="宋体"/>
              </w:rPr>
              <w:t>2</w:t>
            </w:r>
            <w:r>
              <w:rPr>
                <w:rFonts w:hAnsi="宋体"/>
              </w:rPr>
              <w:t>02</w:t>
            </w:r>
            <w:r>
              <w:rPr>
                <w:rFonts w:hint="eastAsia" w:hAnsi="宋体"/>
              </w:rPr>
              <w:t>4年7月18日，</w:t>
            </w:r>
            <w:r>
              <w:rPr>
                <w:rFonts w:hint="eastAsia"/>
                <w:szCs w:val="21"/>
              </w:rPr>
              <w:t>召开</w:t>
            </w:r>
            <w:r>
              <w:rPr>
                <w:rFonts w:hint="eastAsia"/>
              </w:rPr>
              <w:t>主、参编单位全体会议，全体编制组成员共同讨论项目进程、项目计划安排及项目大纲初步成果等；</w:t>
            </w:r>
          </w:p>
          <w:p>
            <w:pPr>
              <w:pStyle w:val="8"/>
              <w:adjustRightInd w:val="0"/>
              <w:spacing w:line="360" w:lineRule="auto"/>
              <w:contextualSpacing/>
            </w:pPr>
            <w:r>
              <w:rPr>
                <w:rFonts w:hint="eastAsia"/>
              </w:rPr>
              <w:t>2</w:t>
            </w:r>
            <w:r>
              <w:t>02</w:t>
            </w:r>
            <w:r>
              <w:rPr>
                <w:rFonts w:hint="eastAsia"/>
              </w:rPr>
              <w:t>4年9月12日，</w:t>
            </w:r>
            <w:r>
              <w:rPr>
                <w:rFonts w:hint="eastAsia"/>
                <w:szCs w:val="21"/>
              </w:rPr>
              <w:t>召开</w:t>
            </w:r>
            <w:r>
              <w:rPr>
                <w:rFonts w:hint="eastAsia" w:hAnsi="宋体"/>
              </w:rPr>
              <w:t>编制组讨论会，形成标准草案；</w:t>
            </w:r>
          </w:p>
          <w:p>
            <w:pPr>
              <w:pStyle w:val="8"/>
              <w:adjustRightInd w:val="0"/>
              <w:spacing w:line="360" w:lineRule="auto"/>
              <w:contextualSpacing/>
            </w:pPr>
            <w:r>
              <w:rPr>
                <w:rFonts w:hint="eastAsia"/>
              </w:rPr>
              <w:t>2</w:t>
            </w:r>
            <w:r>
              <w:t>02</w:t>
            </w:r>
            <w:r>
              <w:rPr>
                <w:rFonts w:hint="eastAsia"/>
              </w:rPr>
              <w:t>4年12月10日，</w:t>
            </w:r>
            <w:r>
              <w:rPr>
                <w:rFonts w:hint="eastAsia" w:hAnsi="宋体"/>
              </w:rPr>
              <w:t>召开</w:t>
            </w:r>
            <w:r>
              <w:rPr>
                <w:rFonts w:hint="eastAsia"/>
              </w:rPr>
              <w:t>草案</w:t>
            </w:r>
            <w:r>
              <w:rPr>
                <w:rFonts w:hint="eastAsia" w:hAnsi="宋体"/>
              </w:rPr>
              <w:t>专家论证会，</w:t>
            </w:r>
            <w:r>
              <w:rPr>
                <w:rFonts w:hint="eastAsia"/>
              </w:rPr>
              <w:t>会议邀请相关专家共同探讨标准草案成果，</w:t>
            </w:r>
            <w:r>
              <w:rPr>
                <w:rFonts w:hint="eastAsia" w:hAnsi="宋体" w:cs="宋体"/>
                <w:szCs w:val="21"/>
              </w:rPr>
              <w:t>经充分讨论，同意初稿通过论证，修改完善后形成征求意见稿。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b/>
                <w:bCs/>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color w:val="000000"/>
                <w:kern w:val="0"/>
              </w:rPr>
            </w:pPr>
            <w:r>
              <w:rPr>
                <w:rFonts w:hint="eastAsia"/>
                <w:color w:val="000000"/>
                <w:kern w:val="0"/>
              </w:rPr>
              <w:t>熟料库库顶钢结构网架不仅仅作为熟料库的屋盖系统，更为重要的作用是作为熟料库顶部拉链机、收尘器等卸料设备的平台基础。熟料库顶部钢结构网架承受荷载极为复杂，包含屋盖系统恒荷载、活荷载、积灰荷载、风荷载、温度作用、地震作用、设备的动荷载、拉链机桁架恒载等。</w:t>
            </w:r>
          </w:p>
          <w:p>
            <w:pPr>
              <w:ind w:firstLine="420" w:firstLineChars="200"/>
              <w:rPr>
                <w:rFonts w:hint="eastAsia"/>
                <w:color w:val="000000"/>
                <w:kern w:val="0"/>
              </w:rPr>
            </w:pPr>
            <w:r>
              <w:rPr>
                <w:rFonts w:hint="eastAsia"/>
                <w:color w:val="000000"/>
                <w:kern w:val="0"/>
              </w:rPr>
              <w:t>因其特殊的圆台型结构形式及复杂的受力状况，常规设计为全部采用螺栓球节点的网架结构体系，此结构体系算出的螺栓规格大，现场施工难以保障高强螺栓的设计预紧力要求。熟料库网架所处环境高温，且灰荷载较大，缺少定期维护，使用寿命一般为20年左右，难以达到结构工作年限。目前国内尚没有统一的熟料库网架应用技术标准和规范，编制组从材料、荷载效应、设计方法、使用要求、加工制造和工程验收等方面，从多方面进行总结归纳，归纳研究成果后申报安徽省地方标准。</w:t>
            </w:r>
          </w:p>
          <w:p>
            <w:pPr>
              <w:ind w:firstLine="420" w:firstLineChars="200"/>
              <w:rPr>
                <w:color w:val="000000"/>
                <w:kern w:val="0"/>
              </w:rPr>
            </w:pPr>
            <w:r>
              <w:rPr>
                <w:rFonts w:hint="eastAsia"/>
                <w:color w:val="000000"/>
                <w:kern w:val="0"/>
              </w:rPr>
              <w:t>通过前期的调研和走访、实地勘验、收集资料，将国内外网架结构设计理论与实例收集整理，参照相关国家标准和规范，编制一套系统的熟料库网架应用技术规程，使标准适用于安徽省的水泥行业钢结构设计领域，为本地区的熟料库网架应用提供一个标准，也是为了更好地把传统技术和现代技术有机结合，符合国家低碳环保绿色建筑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b/>
                <w:bCs/>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561"/>
              <w:rPr>
                <w:rFonts w:hint="eastAsia" w:ascii="宋体" w:hAnsi="宋体"/>
                <w:kern w:val="0"/>
              </w:rPr>
            </w:pPr>
            <w:r>
              <w:rPr>
                <w:rFonts w:hint="eastAsia" w:ascii="宋体" w:hAnsi="宋体"/>
                <w:kern w:val="0"/>
              </w:rPr>
              <w:t>本规程是在结合国家标准、规范、行业标准和安徽省地方标准基础上，在熟料库网壳结构领域对现有法律法规、标准的补充。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b/>
                <w:bCs/>
                <w:szCs w:val="21"/>
              </w:rPr>
              <w:t>4、主要条款的说明，主要技术指标、参数、试验验证的论述（详细说明）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ascii="宋体" w:hAnsi="宋体"/>
                <w:kern w:val="0"/>
              </w:rPr>
            </w:pPr>
            <w:r>
              <w:rPr>
                <w:rFonts w:hint="eastAsia" w:ascii="宋体" w:hAnsi="宋体"/>
                <w:kern w:val="0"/>
              </w:rPr>
              <w:t>1.0.2 对水泥熟料库网壳结构的使用范围作了规定，主要依据参编单位多年的成果和工程应用所得。</w:t>
            </w:r>
          </w:p>
          <w:p>
            <w:pPr>
              <w:ind w:firstLine="420" w:firstLineChars="200"/>
              <w:rPr>
                <w:rFonts w:hint="eastAsia" w:ascii="宋体" w:hAnsi="宋体"/>
                <w:kern w:val="0"/>
              </w:rPr>
            </w:pPr>
            <w:r>
              <w:rPr>
                <w:rFonts w:hint="eastAsia" w:ascii="宋体" w:hAnsi="宋体"/>
                <w:kern w:val="0"/>
              </w:rPr>
              <w:t>第2章 对本规程的术语、符号提出了明确规定，定义了圆台网壳、库顶房、熟料库网壳跨度、加强圈等术语的含义，并对相关章节的计算符号进行了说明。</w:t>
            </w:r>
          </w:p>
          <w:p>
            <w:pPr>
              <w:ind w:firstLine="420" w:firstLineChars="200"/>
              <w:rPr>
                <w:rFonts w:hint="eastAsia" w:ascii="宋体" w:hAnsi="宋体"/>
                <w:kern w:val="0"/>
              </w:rPr>
            </w:pPr>
            <w:r>
              <w:rPr>
                <w:rFonts w:ascii="宋体" w:hAnsi="宋体"/>
                <w:kern w:val="0"/>
              </w:rPr>
              <w:t>3.1.1 对熟料库圆台网壳的构造尺寸作了规定，这是根据公司已建成的熟料库网壳工程统计所得的经验数值。</w:t>
            </w:r>
          </w:p>
          <w:p>
            <w:pPr>
              <w:ind w:firstLine="420" w:firstLineChars="200"/>
              <w:rPr>
                <w:rFonts w:hint="eastAsia" w:ascii="宋体" w:hAnsi="宋体"/>
                <w:kern w:val="0"/>
              </w:rPr>
            </w:pPr>
            <w:r>
              <w:rPr>
                <w:rFonts w:ascii="宋体" w:hAnsi="宋体"/>
                <w:kern w:val="0"/>
              </w:rPr>
              <w:t>3.1.2 网壳的支撑构造对网壳的正确受力十分重要，特别提出计算要求。</w:t>
            </w:r>
          </w:p>
          <w:p>
            <w:pPr>
              <w:ind w:firstLine="420" w:firstLineChars="200"/>
              <w:rPr>
                <w:rFonts w:hint="eastAsia" w:ascii="宋体" w:hAnsi="宋体"/>
                <w:kern w:val="0"/>
              </w:rPr>
            </w:pPr>
            <w:r>
              <w:rPr>
                <w:rFonts w:ascii="宋体" w:hAnsi="宋体"/>
                <w:kern w:val="0"/>
              </w:rPr>
              <w:t>3.1.3 对熟料库圆台网壳的计算容许挠度值提出要求。因其上部作用较大的设备荷载，相应提高了容许挠度限值。</w:t>
            </w:r>
          </w:p>
          <w:p>
            <w:pPr>
              <w:ind w:firstLine="420" w:firstLineChars="200"/>
              <w:rPr>
                <w:rFonts w:hint="eastAsia" w:ascii="宋体" w:hAnsi="宋体"/>
                <w:kern w:val="0"/>
              </w:rPr>
            </w:pPr>
            <w:r>
              <w:rPr>
                <w:rFonts w:ascii="宋体" w:hAnsi="宋体"/>
                <w:kern w:val="0"/>
              </w:rPr>
              <w:t>3.2.1 对熟料库圆台网壳的钢材提出要求。</w:t>
            </w:r>
          </w:p>
          <w:p>
            <w:pPr>
              <w:ind w:firstLine="420" w:firstLineChars="200"/>
              <w:rPr>
                <w:rFonts w:ascii="宋体" w:hAnsi="宋体"/>
                <w:kern w:val="0"/>
              </w:rPr>
            </w:pPr>
            <w:r>
              <w:rPr>
                <w:rFonts w:ascii="宋体" w:hAnsi="宋体"/>
                <w:kern w:val="0"/>
              </w:rPr>
              <w:t>3.2.2  3.2.3  对熟料库圆台网壳结构的杆件及配件提出材质要求。</w:t>
            </w:r>
          </w:p>
          <w:p>
            <w:pPr>
              <w:ind w:firstLine="420" w:firstLineChars="200"/>
              <w:rPr>
                <w:rFonts w:hint="eastAsia" w:ascii="宋体" w:hAnsi="宋体"/>
                <w:kern w:val="0"/>
              </w:rPr>
            </w:pPr>
            <w:r>
              <w:rPr>
                <w:rFonts w:hint="eastAsia" w:ascii="宋体" w:hAnsi="宋体"/>
                <w:kern w:val="0"/>
              </w:rPr>
              <w:t>4.2.2 明确了熟料库网壳结构的风荷载体型系数分区及取值，参照《建筑结构荷载规范》GB50009-2021 表8.3.1第30款正多边形封闭式房屋的体型系数划分。</w:t>
            </w:r>
          </w:p>
          <w:p>
            <w:pPr>
              <w:ind w:firstLine="420" w:firstLineChars="200"/>
              <w:rPr>
                <w:rFonts w:hint="eastAsia" w:ascii="宋体" w:hAnsi="宋体"/>
                <w:kern w:val="0"/>
              </w:rPr>
            </w:pPr>
            <w:r>
              <w:rPr>
                <w:rFonts w:hint="eastAsia" w:ascii="宋体" w:hAnsi="宋体"/>
                <w:kern w:val="0"/>
              </w:rPr>
              <w:t>4.3.2 明确了熟料库网壳屋面积雪分布系数的取值，分为均匀分布及不均匀分布两种情况。</w:t>
            </w:r>
          </w:p>
          <w:p>
            <w:pPr>
              <w:ind w:firstLine="420" w:firstLineChars="200"/>
              <w:rPr>
                <w:rFonts w:hint="eastAsia" w:ascii="宋体" w:hAnsi="宋体"/>
                <w:kern w:val="0"/>
              </w:rPr>
            </w:pPr>
            <w:r>
              <w:rPr>
                <w:rFonts w:hint="eastAsia" w:ascii="宋体" w:hAnsi="宋体"/>
                <w:kern w:val="0"/>
              </w:rPr>
              <w:t>4.5.2 提出圆台网壳结构的最高平均温度和最低平均温度应分别根据进库熟料不同类型进行区分考虑，并依据工艺专业的建议规定最高平均温度不应低于70℃，最低平均温度不应高于-15℃。对于存储高温熟料的情况，应满足工艺专业对网架结构耐热性能的要求。</w:t>
            </w:r>
          </w:p>
          <w:p>
            <w:pPr>
              <w:ind w:firstLine="420" w:firstLineChars="200"/>
              <w:rPr>
                <w:rFonts w:hint="eastAsia" w:ascii="宋体" w:hAnsi="宋体"/>
                <w:kern w:val="0"/>
              </w:rPr>
            </w:pPr>
            <w:r>
              <w:rPr>
                <w:rFonts w:ascii="宋体" w:hAnsi="宋体"/>
                <w:kern w:val="0"/>
              </w:rPr>
              <w:t>5.1.1明确熟料库网壳结构的内力和位移可按弹性理论计算；网壳结构的整体稳定性计算应考虑结构的非线性影响。在位移、内力计算时，根据具体情况考虑地震作用、温度变化、设备荷载、施工安装的影响。</w:t>
            </w:r>
          </w:p>
          <w:p>
            <w:pPr>
              <w:ind w:firstLine="420" w:firstLineChars="200"/>
              <w:rPr>
                <w:rFonts w:hint="eastAsia" w:ascii="宋体" w:hAnsi="宋体"/>
                <w:kern w:val="0"/>
              </w:rPr>
            </w:pPr>
            <w:r>
              <w:rPr>
                <w:rFonts w:ascii="宋体" w:hAnsi="宋体"/>
                <w:kern w:val="0"/>
              </w:rPr>
              <w:t>5.1.7 熟料库网壳结构平面为圆形，建议支座约束采用斜边界进行计算。</w:t>
            </w:r>
          </w:p>
          <w:p>
            <w:pPr>
              <w:ind w:firstLine="420" w:firstLineChars="200"/>
              <w:rPr>
                <w:rFonts w:hint="eastAsia" w:ascii="宋体" w:hAnsi="宋体"/>
                <w:kern w:val="0"/>
              </w:rPr>
            </w:pPr>
            <w:r>
              <w:rPr>
                <w:rFonts w:ascii="宋体" w:hAnsi="宋体"/>
                <w:kern w:val="0"/>
              </w:rPr>
              <w:t>5.1.10指出熟料库网壳的防火设计应符合现行国家标准《建筑设计防火规范》 GB50016的有关规定。</w:t>
            </w:r>
          </w:p>
          <w:p>
            <w:pPr>
              <w:ind w:firstLine="420" w:firstLineChars="200"/>
              <w:rPr>
                <w:rFonts w:hint="eastAsia" w:ascii="宋体" w:hAnsi="宋体"/>
                <w:kern w:val="0"/>
              </w:rPr>
            </w:pPr>
            <w:r>
              <w:rPr>
                <w:rFonts w:ascii="宋体" w:hAnsi="宋体"/>
                <w:kern w:val="0"/>
              </w:rPr>
              <w:t>5.2.1明确熟料库网壳结构静力计算采用空间杆系有限元法的基本方程。</w:t>
            </w:r>
          </w:p>
          <w:p>
            <w:pPr>
              <w:ind w:firstLine="420" w:firstLineChars="200"/>
              <w:rPr>
                <w:rFonts w:hint="eastAsia" w:ascii="宋体" w:hAnsi="宋体"/>
                <w:kern w:val="0"/>
              </w:rPr>
            </w:pPr>
            <w:r>
              <w:rPr>
                <w:rFonts w:ascii="宋体" w:hAnsi="宋体"/>
                <w:kern w:val="0"/>
              </w:rPr>
              <w:t>5.3.1对熟料库网壳结构在不同抗震设防烈度下抗震验算的要求。</w:t>
            </w:r>
          </w:p>
          <w:p>
            <w:pPr>
              <w:ind w:firstLine="420" w:firstLineChars="200"/>
              <w:rPr>
                <w:rFonts w:hint="eastAsia" w:ascii="宋体" w:hAnsi="宋体"/>
                <w:kern w:val="0"/>
              </w:rPr>
            </w:pPr>
            <w:r>
              <w:rPr>
                <w:rFonts w:ascii="宋体" w:hAnsi="宋体"/>
                <w:kern w:val="0"/>
              </w:rPr>
              <w:t>5.3.3指出位于混凝土库壁上方的熟料库网壳结构，阻尼比可取0.03。</w:t>
            </w:r>
          </w:p>
          <w:p>
            <w:pPr>
              <w:ind w:firstLine="420" w:firstLineChars="200"/>
              <w:rPr>
                <w:rFonts w:hint="eastAsia" w:ascii="宋体" w:hAnsi="宋体"/>
                <w:kern w:val="0"/>
              </w:rPr>
            </w:pPr>
            <w:r>
              <w:rPr>
                <w:rFonts w:ascii="宋体" w:hAnsi="宋体"/>
                <w:kern w:val="0"/>
              </w:rPr>
              <w:t>5.4.1对厚度小于直径1/50的熟料库网壳结构提出应进行稳定性计算的要求。</w:t>
            </w:r>
          </w:p>
          <w:p>
            <w:pPr>
              <w:ind w:firstLine="420" w:firstLineChars="200"/>
              <w:rPr>
                <w:rFonts w:hint="eastAsia" w:ascii="宋体" w:hAnsi="宋体"/>
                <w:kern w:val="0"/>
              </w:rPr>
            </w:pPr>
            <w:r>
              <w:rPr>
                <w:rFonts w:ascii="宋体" w:hAnsi="宋体"/>
                <w:kern w:val="0"/>
              </w:rPr>
              <w:t>5.5.2  5.5.3 熟料库网壳结构杆件的计算长度及容许长细比，提出考虑在施工过程中杆件的受力变化，受拉杆件的容许长细比限值均可取为180。</w:t>
            </w:r>
          </w:p>
          <w:p>
            <w:pPr>
              <w:ind w:firstLine="420" w:firstLineChars="200"/>
              <w:rPr>
                <w:rFonts w:hint="eastAsia" w:ascii="宋体" w:hAnsi="宋体"/>
                <w:kern w:val="0"/>
              </w:rPr>
            </w:pPr>
            <w:r>
              <w:rPr>
                <w:rFonts w:ascii="宋体" w:hAnsi="宋体"/>
                <w:kern w:val="0"/>
              </w:rPr>
              <w:t>5.6.2 指出焊接空心球的受压和受拉承载力设计值的计算公式。</w:t>
            </w:r>
          </w:p>
          <w:p>
            <w:pPr>
              <w:ind w:firstLine="420" w:firstLineChars="200"/>
              <w:rPr>
                <w:rFonts w:hint="eastAsia" w:ascii="宋体" w:hAnsi="宋体"/>
                <w:kern w:val="0"/>
              </w:rPr>
            </w:pPr>
            <w:r>
              <w:rPr>
                <w:rFonts w:ascii="宋体" w:hAnsi="宋体"/>
                <w:kern w:val="0"/>
              </w:rPr>
              <w:t>5.7.1由钢球、高强度螺栓、套筒、紧固螺钉、锥头或封板等零件组成的螺栓球节点形式。</w:t>
            </w:r>
          </w:p>
          <w:p>
            <w:pPr>
              <w:ind w:firstLine="420" w:firstLineChars="200"/>
              <w:rPr>
                <w:rFonts w:hint="eastAsia" w:ascii="宋体" w:hAnsi="宋体"/>
                <w:kern w:val="0"/>
              </w:rPr>
            </w:pPr>
            <w:r>
              <w:rPr>
                <w:rFonts w:ascii="宋体" w:hAnsi="宋体"/>
                <w:kern w:val="0"/>
              </w:rPr>
              <w:t>5.8.2指出熟料库网壳结构常用的支座节点形式。</w:t>
            </w:r>
          </w:p>
          <w:p>
            <w:pPr>
              <w:ind w:firstLine="420" w:firstLineChars="200"/>
              <w:rPr>
                <w:rFonts w:hint="eastAsia" w:ascii="宋体" w:hAnsi="宋体"/>
                <w:kern w:val="0"/>
              </w:rPr>
            </w:pPr>
            <w:r>
              <w:rPr>
                <w:rFonts w:ascii="宋体" w:hAnsi="宋体"/>
                <w:kern w:val="0"/>
              </w:rPr>
              <w:t>5.9.1熟料库库顶房楼面钢梁与下部球节点的连接设计要求。</w:t>
            </w:r>
          </w:p>
          <w:p>
            <w:pPr>
              <w:ind w:firstLine="420" w:firstLineChars="200"/>
              <w:rPr>
                <w:rFonts w:hint="eastAsia" w:ascii="宋体" w:hAnsi="宋体"/>
                <w:kern w:val="0"/>
              </w:rPr>
            </w:pPr>
            <w:r>
              <w:rPr>
                <w:rFonts w:ascii="宋体" w:hAnsi="宋体"/>
                <w:kern w:val="0"/>
              </w:rPr>
              <w:t>5.9.3库顶房楼面采用钢与混凝土组合楼盖或花纹钢板楼面的相关设计要求。</w:t>
            </w:r>
          </w:p>
          <w:p>
            <w:pPr>
              <w:ind w:firstLine="420" w:firstLineChars="200"/>
              <w:rPr>
                <w:rFonts w:hint="eastAsia" w:ascii="宋体" w:hAnsi="宋体"/>
                <w:kern w:val="0"/>
              </w:rPr>
            </w:pPr>
            <w:r>
              <w:rPr>
                <w:rFonts w:ascii="宋体" w:hAnsi="宋体"/>
                <w:kern w:val="0"/>
              </w:rPr>
              <w:t>5.9.6当库顶房顶部设置检修吊具等悬挂运输轨道时，悬挂运输轨道与球节点的连接做法。</w:t>
            </w:r>
          </w:p>
          <w:p>
            <w:pPr>
              <w:ind w:firstLine="420" w:firstLineChars="200"/>
              <w:rPr>
                <w:rFonts w:hint="eastAsia" w:ascii="宋体" w:hAnsi="宋体"/>
                <w:kern w:val="0"/>
              </w:rPr>
            </w:pPr>
            <w:r>
              <w:rPr>
                <w:rFonts w:ascii="宋体" w:hAnsi="宋体"/>
                <w:kern w:val="0"/>
              </w:rPr>
              <w:t>5.10.1明确熟料库网壳围护结构的内容包括檩条、屋面板、采光板等。指出檩条、屋面板、墙面板需保证其强度及刚度要求。</w:t>
            </w:r>
          </w:p>
          <w:p>
            <w:pPr>
              <w:ind w:firstLine="420" w:firstLineChars="200"/>
              <w:rPr>
                <w:rFonts w:ascii="宋体" w:hAnsi="宋体" w:cs="宋体"/>
                <w:color w:val="000000"/>
                <w:sz w:val="24"/>
              </w:rPr>
            </w:pPr>
            <w:r>
              <w:rPr>
                <w:rFonts w:ascii="宋体" w:hAnsi="宋体"/>
                <w:kern w:val="0"/>
              </w:rPr>
              <w:t>5.10.6 对屋面板及墙面板搭接长度提出要求</w:t>
            </w:r>
            <w:r>
              <w:rPr>
                <w:rFonts w:ascii="宋体" w:hAnsi="宋体" w:cs="宋体"/>
                <w:color w:val="000000"/>
                <w:sz w:val="24"/>
              </w:rPr>
              <w:t>。</w:t>
            </w:r>
          </w:p>
          <w:p>
            <w:pPr>
              <w:ind w:firstLine="420" w:firstLineChars="200"/>
              <w:rPr>
                <w:rFonts w:ascii="宋体" w:hAnsi="宋体"/>
                <w:kern w:val="0"/>
              </w:rPr>
            </w:pPr>
            <w:r>
              <w:rPr>
                <w:rFonts w:hint="eastAsia" w:ascii="宋体" w:hAnsi="宋体"/>
                <w:kern w:val="0"/>
              </w:rPr>
              <w:t>6.1 对制作、安装与验收的一般规定提出了要求，基本涵盖了熟料库网壳结构的各个方面。</w:t>
            </w:r>
          </w:p>
          <w:p>
            <w:pPr>
              <w:ind w:firstLine="420" w:firstLineChars="200"/>
              <w:rPr>
                <w:rFonts w:ascii="宋体" w:hAnsi="宋体"/>
                <w:kern w:val="0"/>
              </w:rPr>
            </w:pPr>
            <w:r>
              <w:rPr>
                <w:rFonts w:hint="eastAsia" w:ascii="宋体" w:hAnsi="宋体"/>
                <w:kern w:val="0"/>
              </w:rPr>
              <w:t>6.2.2 和6.2.3 明确了结构的焊缝要求，同事对焊缝检测提出了明确要求。</w:t>
            </w:r>
          </w:p>
          <w:p>
            <w:pPr>
              <w:ind w:firstLine="420" w:firstLineChars="200"/>
              <w:rPr>
                <w:rFonts w:ascii="宋体" w:hAnsi="宋体"/>
                <w:kern w:val="0"/>
              </w:rPr>
            </w:pPr>
            <w:r>
              <w:rPr>
                <w:rFonts w:hint="eastAsia" w:ascii="宋体" w:hAnsi="宋体"/>
                <w:kern w:val="0"/>
              </w:rPr>
              <w:t>6.2.4 明确了制作的相关规定，包括杆件、焊接球、螺栓球、高强螺栓、锥头、封板、套筒等。</w:t>
            </w:r>
          </w:p>
          <w:p>
            <w:pPr>
              <w:ind w:firstLine="420" w:firstLineChars="200"/>
              <w:rPr>
                <w:rFonts w:hint="eastAsia"/>
              </w:rPr>
            </w:pPr>
            <w:r>
              <w:rPr>
                <w:rFonts w:hint="eastAsia" w:ascii="宋体" w:hAnsi="宋体"/>
                <w:kern w:val="0"/>
              </w:rPr>
              <w:t>6.3、6.4、6.5节对常用的施工方法：高空散装法、分条或分块安装法和整体提升法提出了明确要求。</w:t>
            </w:r>
          </w:p>
          <w:p>
            <w:pPr>
              <w:ind w:firstLine="420" w:firstLineChars="200"/>
            </w:pPr>
            <w:r>
              <w:rPr>
                <w:rFonts w:ascii="宋体" w:hAnsi="宋体"/>
                <w:kern w:val="0"/>
              </w:rPr>
              <w:t>6.6</w:t>
            </w:r>
            <w:r>
              <w:rPr>
                <w:rFonts w:hint="eastAsia" w:ascii="宋体" w:hAnsi="宋体"/>
                <w:kern w:val="0"/>
              </w:rPr>
              <w:t xml:space="preserve"> </w:t>
            </w:r>
            <w:r>
              <w:rPr>
                <w:rFonts w:ascii="宋体" w:hAnsi="宋体"/>
                <w:kern w:val="0"/>
              </w:rPr>
              <w:t>明确</w:t>
            </w:r>
            <w:r>
              <w:rPr>
                <w:rFonts w:hint="eastAsia" w:ascii="宋体" w:hAnsi="宋体"/>
                <w:kern w:val="0"/>
              </w:rPr>
              <w:t>了熟料库网壳结构的过程验收要求和资料要求，弥补了相关的规范空白</w:t>
            </w:r>
            <w:r>
              <w:rPr>
                <w:rFonts w:ascii="宋体" w:hAnsi="宋体" w:cs="宋体"/>
                <w:color w:val="000000"/>
                <w:sz w:val="24"/>
              </w:rPr>
              <w:t>。</w:t>
            </w:r>
          </w:p>
          <w:p>
            <w:pPr>
              <w:ind w:firstLine="420" w:firstLineChars="200"/>
              <w:rPr>
                <w:rFonts w:hint="eastAsia" w:ascii="宋体" w:hAnsi="宋体"/>
                <w:kern w:val="0"/>
              </w:rPr>
            </w:pPr>
            <w:r>
              <w:rPr>
                <w:rFonts w:hint="eastAsia" w:ascii="宋体" w:hAnsi="宋体"/>
                <w:kern w:val="0"/>
              </w:rPr>
              <w:t>第7章对熟料库网壳的使用与维护提出了要求，对熟料库网壳结构的使用寿命提供了保障，弥补了相关规范的空白。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bookmarkStart w:id="0" w:name="_Toc464905557"/>
            <w:bookmarkStart w:id="1" w:name="_Toc464902852"/>
            <w:bookmarkStart w:id="2" w:name="_Toc465074266"/>
            <w:bookmarkStart w:id="3" w:name="_Toc464905613"/>
            <w:bookmarkStart w:id="4" w:name="_Toc464905809"/>
            <w:r>
              <w:rPr>
                <w:rFonts w:hint="eastAsia" w:hAnsi="宋体"/>
                <w:b/>
                <w:bCs/>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bookmarkStart w:id="5" w:name="_Toc465074267"/>
            <w:bookmarkStart w:id="6" w:name="_Toc464905810"/>
            <w:bookmarkStart w:id="7" w:name="_Toc464902853"/>
            <w:bookmarkStart w:id="8" w:name="_Toc464905614"/>
            <w:bookmarkStart w:id="9" w:name="_Toc464905558"/>
            <w:r>
              <w:rPr>
                <w:rFonts w:hint="eastAsia" w:hAnsi="宋体"/>
                <w:b/>
                <w:bCs/>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bookmarkStart w:id="10" w:name="_Toc465074268"/>
            <w:bookmarkStart w:id="11" w:name="_Toc464902854"/>
            <w:bookmarkStart w:id="12" w:name="_Toc464905615"/>
            <w:bookmarkStart w:id="13" w:name="_Toc464905811"/>
            <w:bookmarkStart w:id="14" w:name="_Toc464905559"/>
            <w:r>
              <w:rPr>
                <w:rFonts w:hint="eastAsia" w:hAnsi="宋体"/>
                <w:b/>
                <w:bCs/>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bookmarkStart w:id="15" w:name="_Toc464905812"/>
            <w:bookmarkStart w:id="16" w:name="_Toc464902855"/>
            <w:bookmarkStart w:id="17" w:name="_Toc464905560"/>
            <w:bookmarkStart w:id="18" w:name="_Toc465074269"/>
            <w:bookmarkStart w:id="19" w:name="_Toc464905616"/>
            <w:r>
              <w:rPr>
                <w:rFonts w:hint="eastAsia" w:hAnsi="宋体"/>
                <w:b/>
                <w:bCs/>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bookmarkStart w:id="20" w:name="_Toc464905617"/>
            <w:bookmarkStart w:id="21" w:name="_Toc464905813"/>
            <w:bookmarkStart w:id="22" w:name="_Toc465074270"/>
            <w:bookmarkStart w:id="23" w:name="_Toc464902856"/>
            <w:bookmarkStart w:id="24" w:name="_Toc464905561"/>
            <w:r>
              <w:rPr>
                <w:rFonts w:hint="eastAsia" w:hAnsi="宋体"/>
                <w:b/>
                <w:bCs/>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bookmarkStart w:id="25" w:name="_Toc464905618"/>
            <w:bookmarkStart w:id="26" w:name="_Toc464905562"/>
            <w:bookmarkStart w:id="27" w:name="_Toc465074271"/>
            <w:bookmarkStart w:id="28" w:name="_Toc464905814"/>
            <w:bookmarkStart w:id="29" w:name="_Toc464902857"/>
            <w:r>
              <w:rPr>
                <w:rFonts w:hint="eastAsia" w:hAnsi="宋体"/>
                <w:b/>
                <w:bCs/>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8"/>
              <w:adjustRightInd w:val="0"/>
              <w:spacing w:line="360" w:lineRule="auto"/>
              <w:ind w:firstLine="0" w:firstLineChars="0"/>
              <w:contextualSpacing/>
              <w:rPr>
                <w:rFonts w:hint="eastAsia" w:hAnsi="宋体"/>
                <w:szCs w:val="21"/>
              </w:rPr>
            </w:pPr>
            <w:r>
              <w:rPr>
                <w:rFonts w:hint="eastAsia" w:hAnsi="宋体"/>
                <w:szCs w:val="21"/>
              </w:rPr>
              <w:t>无</w:t>
            </w:r>
          </w:p>
        </w:tc>
      </w:tr>
    </w:tbl>
    <w:p>
      <w:pPr>
        <w:pStyle w:val="12"/>
      </w:pPr>
      <w:r>
        <w:rPr>
          <w:rFonts w:hint="eastAsia"/>
        </w:rPr>
        <w:t>没有的请填写 “无”。</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9"/>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6DBF04F4"/>
    <w:multiLevelType w:val="multilevel"/>
    <w:tmpl w:val="6DBF04F4"/>
    <w:lvl w:ilvl="0" w:tentative="0">
      <w:start w:val="1"/>
      <w:numFmt w:val="none"/>
      <w:pStyle w:val="1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OGFlZjdiMDkyMmU3Y2M3NGEzMmY5ODE2OTJlMzAifQ=="/>
  </w:docVars>
  <w:rsids>
    <w:rsidRoot w:val="11937BFE"/>
    <w:rsid w:val="0000424A"/>
    <w:rsid w:val="00022D15"/>
    <w:rsid w:val="00024FA6"/>
    <w:rsid w:val="00037EC4"/>
    <w:rsid w:val="00041DC3"/>
    <w:rsid w:val="000614F3"/>
    <w:rsid w:val="00095D6F"/>
    <w:rsid w:val="000B1103"/>
    <w:rsid w:val="000B133E"/>
    <w:rsid w:val="000C1DBE"/>
    <w:rsid w:val="000F45C2"/>
    <w:rsid w:val="00101794"/>
    <w:rsid w:val="0011059C"/>
    <w:rsid w:val="001200ED"/>
    <w:rsid w:val="00161F60"/>
    <w:rsid w:val="001649DF"/>
    <w:rsid w:val="001773D2"/>
    <w:rsid w:val="001C48B2"/>
    <w:rsid w:val="001D60F1"/>
    <w:rsid w:val="00200018"/>
    <w:rsid w:val="002111AF"/>
    <w:rsid w:val="00243167"/>
    <w:rsid w:val="0025402E"/>
    <w:rsid w:val="00275B1C"/>
    <w:rsid w:val="002B4531"/>
    <w:rsid w:val="002C4F30"/>
    <w:rsid w:val="002F3700"/>
    <w:rsid w:val="003120E4"/>
    <w:rsid w:val="003151D3"/>
    <w:rsid w:val="00374D31"/>
    <w:rsid w:val="00381D76"/>
    <w:rsid w:val="00382EC6"/>
    <w:rsid w:val="003B641A"/>
    <w:rsid w:val="003C32A3"/>
    <w:rsid w:val="0040754A"/>
    <w:rsid w:val="0046382E"/>
    <w:rsid w:val="004B1E7D"/>
    <w:rsid w:val="004B53BE"/>
    <w:rsid w:val="004C054F"/>
    <w:rsid w:val="004C7E1D"/>
    <w:rsid w:val="00520F21"/>
    <w:rsid w:val="005900F3"/>
    <w:rsid w:val="00595E7C"/>
    <w:rsid w:val="005F142B"/>
    <w:rsid w:val="00600DBC"/>
    <w:rsid w:val="0064069E"/>
    <w:rsid w:val="00672C67"/>
    <w:rsid w:val="00675E3D"/>
    <w:rsid w:val="00680642"/>
    <w:rsid w:val="006912C0"/>
    <w:rsid w:val="006B40F3"/>
    <w:rsid w:val="006C1EF2"/>
    <w:rsid w:val="006D3CC3"/>
    <w:rsid w:val="00710393"/>
    <w:rsid w:val="00764F30"/>
    <w:rsid w:val="007A1B5D"/>
    <w:rsid w:val="007C7D2D"/>
    <w:rsid w:val="007F5F75"/>
    <w:rsid w:val="00835150"/>
    <w:rsid w:val="008355C7"/>
    <w:rsid w:val="008B2752"/>
    <w:rsid w:val="008E1BC9"/>
    <w:rsid w:val="008F69A3"/>
    <w:rsid w:val="00934A62"/>
    <w:rsid w:val="00973198"/>
    <w:rsid w:val="00992834"/>
    <w:rsid w:val="009D136B"/>
    <w:rsid w:val="009E6B8D"/>
    <w:rsid w:val="00A070D2"/>
    <w:rsid w:val="00A64177"/>
    <w:rsid w:val="00A91ED5"/>
    <w:rsid w:val="00AA0056"/>
    <w:rsid w:val="00B52793"/>
    <w:rsid w:val="00B532B6"/>
    <w:rsid w:val="00BA32EC"/>
    <w:rsid w:val="00BB2B61"/>
    <w:rsid w:val="00BC2427"/>
    <w:rsid w:val="00BD691C"/>
    <w:rsid w:val="00C022CA"/>
    <w:rsid w:val="00C06106"/>
    <w:rsid w:val="00C127B9"/>
    <w:rsid w:val="00C1334E"/>
    <w:rsid w:val="00C17F4B"/>
    <w:rsid w:val="00C6226B"/>
    <w:rsid w:val="00C62F50"/>
    <w:rsid w:val="00C645AD"/>
    <w:rsid w:val="00C953FB"/>
    <w:rsid w:val="00CD36D7"/>
    <w:rsid w:val="00D279CA"/>
    <w:rsid w:val="00D47E8A"/>
    <w:rsid w:val="00DA23A5"/>
    <w:rsid w:val="00E00E61"/>
    <w:rsid w:val="00E17581"/>
    <w:rsid w:val="00E414C4"/>
    <w:rsid w:val="00EC5622"/>
    <w:rsid w:val="00EF0423"/>
    <w:rsid w:val="00F5620E"/>
    <w:rsid w:val="00F575B3"/>
    <w:rsid w:val="00F62C5A"/>
    <w:rsid w:val="00F709E5"/>
    <w:rsid w:val="00F9069E"/>
    <w:rsid w:val="00F923AF"/>
    <w:rsid w:val="00F94A64"/>
    <w:rsid w:val="00FC7C4E"/>
    <w:rsid w:val="00FF5225"/>
    <w:rsid w:val="0E0139D1"/>
    <w:rsid w:val="11937BFE"/>
    <w:rsid w:val="2189338F"/>
    <w:rsid w:val="24B42D48"/>
    <w:rsid w:val="25216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spacing w:line="240" w:lineRule="atLeast"/>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7">
    <w:name w:val="页眉 字符"/>
    <w:basedOn w:val="6"/>
    <w:link w:val="3"/>
    <w:qFormat/>
    <w:uiPriority w:val="0"/>
    <w:rPr>
      <w:rFonts w:ascii="Calibri" w:hAnsi="Calibri" w:eastAsia="宋体" w:cs="Times New Roman"/>
      <w:kern w:val="2"/>
      <w:sz w:val="18"/>
      <w:szCs w:val="18"/>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
    <w:name w:val="标准文件_附录标识"/>
    <w:next w:val="10"/>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页脚 字符"/>
    <w:basedOn w:val="6"/>
    <w:link w:val="2"/>
    <w:qFormat/>
    <w:uiPriority w:val="0"/>
    <w:rPr>
      <w:rFonts w:ascii="Calibri" w:hAnsi="Calibri" w:eastAsia="宋体" w:cs="Times New Roman"/>
      <w:kern w:val="2"/>
      <w:sz w:val="18"/>
      <w:szCs w:val="18"/>
    </w:rPr>
  </w:style>
  <w:style w:type="paragraph" w:customStyle="1" w:styleId="12">
    <w:name w:val="标准文件_注："/>
    <w:next w:val="10"/>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character" w:customStyle="1" w:styleId="13">
    <w:name w:val="op_exactqa_word_word_text1"/>
    <w:basedOn w:val="6"/>
    <w:qFormat/>
    <w:uiPriority w:val="0"/>
    <w:rPr>
      <w:spacing w:val="15"/>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413</Words>
  <Characters>2356</Characters>
  <Lines>19</Lines>
  <Paragraphs>5</Paragraphs>
  <TotalTime>71</TotalTime>
  <ScaleCrop>false</ScaleCrop>
  <LinksUpToDate>false</LinksUpToDate>
  <CharactersWithSpaces>2764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2025-01-13T14:34:00Z</dcterms:created>
  <dc:creator>ASUS</dc:creator>
  <cp:lastModifiedBy>ying123lin163com</cp:lastModifiedBy>
  <dcterms:modified xsi:type="dcterms:W3CDTF">2025-01-21T02:50:07Z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D78F774CA2C44D5793F88AA314089A40_12</vt:lpwstr>
  </property>
</Properties>
</file>