
<file path=[Content_Types].xml><?xml version="1.0" encoding="utf-8"?>
<Types xmlns="http://schemas.openxmlformats.org/package/2006/content-types">
  <Default Extension="xml" ContentType="application/xml"/>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7923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6C25F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142E5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rPr>
              <w:t>67.040</w:t>
            </w:r>
          </w:p>
        </w:tc>
      </w:tr>
      <w:tr w14:paraId="30489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7A6A23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88C9EB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0"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 09</w:t>
            </w:r>
            <w:r>
              <w:rPr>
                <w:rFonts w:ascii="黑体" w:hAnsi="黑体" w:eastAsia="黑体"/>
                <w:sz w:val="21"/>
                <w:szCs w:val="21"/>
              </w:rPr>
              <w:fldChar w:fldCharType="end"/>
            </w:r>
            <w:bookmarkEnd w:id="0"/>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384BE4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6DC34D9">
            <w:pPr>
              <w:pStyle w:val="50"/>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34</w:t>
            </w:r>
            <w:r>
              <w:fldChar w:fldCharType="end"/>
            </w:r>
            <w:bookmarkEnd w:id="2"/>
          </w:p>
        </w:tc>
      </w:tr>
    </w:tbl>
    <w:p w14:paraId="3F33706D">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061E70A6">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34/T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1849AFF0">
      <w:pPr>
        <w:pStyle w:val="197"/>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E2D494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B711EF">
      <w:pPr>
        <w:pStyle w:val="51"/>
        <w:framePr w:w="9639" w:h="6976" w:hRule="exact" w:hSpace="0" w:vSpace="0" w:wrap="around" w:hAnchor="page" w:y="6408"/>
        <w:jc w:val="center"/>
        <w:rPr>
          <w:rFonts w:ascii="黑体" w:hAnsi="黑体" w:eastAsia="黑体"/>
          <w:b w:val="0"/>
          <w:bCs w:val="0"/>
          <w:w w:val="100"/>
        </w:rPr>
      </w:pPr>
    </w:p>
    <w:p w14:paraId="2E69A5F3">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食品生产风险防控标识使用规范</w:t>
      </w:r>
      <w:r>
        <w:fldChar w:fldCharType="end"/>
      </w:r>
      <w:bookmarkEnd w:id="8"/>
    </w:p>
    <w:p w14:paraId="3D989005">
      <w:pPr>
        <w:framePr w:w="9639" w:h="6974" w:hRule="exact" w:wrap="around" w:vAnchor="page" w:hAnchor="page" w:x="1419" w:y="6408" w:anchorLock="1"/>
        <w:ind w:left="-1418"/>
      </w:pPr>
    </w:p>
    <w:p w14:paraId="1847C6E8">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Specifications for the use of risk control labels in food production</w:t>
      </w:r>
      <w:r>
        <w:rPr>
          <w:rFonts w:eastAsia="黑体"/>
          <w:szCs w:val="28"/>
        </w:rPr>
        <w:fldChar w:fldCharType="end"/>
      </w:r>
      <w:bookmarkEnd w:id="9"/>
    </w:p>
    <w:p w14:paraId="4C725ED7">
      <w:pPr>
        <w:framePr w:w="9639" w:h="6974" w:hRule="exact" w:wrap="around" w:vAnchor="page" w:hAnchor="page" w:x="1419" w:y="6408" w:anchorLock="1"/>
        <w:spacing w:line="760" w:lineRule="exact"/>
        <w:ind w:left="-1418"/>
      </w:pPr>
    </w:p>
    <w:p w14:paraId="49ABE311">
      <w:pPr>
        <w:pStyle w:val="126"/>
        <w:framePr w:w="9639" w:h="6974" w:hRule="exact" w:wrap="around" w:vAnchor="page" w:hAnchor="page" w:x="1419" w:y="6408" w:anchorLock="1"/>
        <w:textAlignment w:val="bottom"/>
        <w:rPr>
          <w:rFonts w:eastAsia="黑体"/>
          <w:szCs w:val="28"/>
        </w:rPr>
      </w:pPr>
    </w:p>
    <w:p w14:paraId="1A7C4D6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2FEDFA05">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3649C10C">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5E9B145D">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5A1E3D3">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5844EB03">
      <w:pPr>
        <w:pStyle w:val="152"/>
        <w:framePr w:h="584" w:hRule="exact" w:hSpace="181" w:vSpace="181" w:wrap="around" w:y="15027"/>
        <w:rPr>
          <w:rFonts w:hAnsi="黑体"/>
        </w:rPr>
      </w:pPr>
      <w:r>
        <w:rPr>
          <w:rFonts w:hint="eastAsia" w:ascii="Times New Roman"/>
          <w:w w:val="100"/>
          <w:sz w:val="28"/>
        </w:rPr>
        <w:t>安徽省市场监督管理局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3C2F5B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E10DC23">
      <w:pPr>
        <w:pStyle w:val="90"/>
        <w:spacing w:before="900" w:after="468"/>
      </w:pPr>
      <w:bookmarkStart w:id="19" w:name="BookMark2"/>
      <w:r>
        <w:rPr>
          <w:spacing w:val="320"/>
        </w:rPr>
        <w:t>前</w:t>
      </w:r>
      <w:r>
        <w:t>言</w:t>
      </w:r>
    </w:p>
    <w:p w14:paraId="392E1359">
      <w:pPr>
        <w:pStyle w:val="57"/>
        <w:ind w:firstLine="420"/>
      </w:pPr>
      <w:r>
        <w:rPr>
          <w:rFonts w:hint="eastAsia"/>
        </w:rPr>
        <w:t>本文件按照GB/T 1.1—2020《标准化工作导则  第1部分：标准化文件的结构和起草规则》的规定起草。</w:t>
      </w:r>
    </w:p>
    <w:p w14:paraId="0FC14D45">
      <w:pPr>
        <w:pStyle w:val="57"/>
        <w:ind w:firstLine="420"/>
      </w:pPr>
      <w:r>
        <w:rPr>
          <w:rFonts w:hint="eastAsia"/>
        </w:rPr>
        <w:t>请注意本文件的某些内容可能涉及专利。本文件的发布机构不承担识别专利的责任。</w:t>
      </w:r>
    </w:p>
    <w:p w14:paraId="01E0C0AE">
      <w:pPr>
        <w:pStyle w:val="57"/>
        <w:ind w:firstLine="420"/>
      </w:pPr>
      <w:r>
        <w:rPr>
          <w:rFonts w:hint="eastAsia"/>
        </w:rPr>
        <w:t>本文件由芜湖市标准化研究院提出。</w:t>
      </w:r>
    </w:p>
    <w:p w14:paraId="7C537473">
      <w:pPr>
        <w:pStyle w:val="57"/>
        <w:ind w:firstLine="420"/>
      </w:pPr>
      <w:r>
        <w:rPr>
          <w:rFonts w:hint="eastAsia"/>
        </w:rPr>
        <w:t>本文件由安徽省市场监督管理局归口。</w:t>
      </w:r>
    </w:p>
    <w:p w14:paraId="7152B033">
      <w:pPr>
        <w:pStyle w:val="57"/>
        <w:ind w:firstLine="420"/>
        <w:rPr>
          <w:rFonts w:hint="eastAsia"/>
        </w:rPr>
      </w:pPr>
      <w:r>
        <w:rPr>
          <w:rFonts w:hint="eastAsia"/>
        </w:rPr>
        <w:t>本文件起草单位：</w:t>
      </w:r>
    </w:p>
    <w:p w14:paraId="4E8A4C69">
      <w:pPr>
        <w:pStyle w:val="57"/>
        <w:ind w:firstLine="420"/>
      </w:pPr>
      <w:bookmarkStart w:id="44" w:name="_GoBack"/>
      <w:bookmarkEnd w:id="44"/>
      <w:r>
        <w:rPr>
          <w:rFonts w:hint="eastAsia"/>
        </w:rPr>
        <w:t>本文件主要起草人：</w:t>
      </w:r>
    </w:p>
    <w:p w14:paraId="01EF3E54">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9"/>
    <w:p w14:paraId="7960AD5E">
      <w:pPr>
        <w:spacing w:line="20" w:lineRule="exact"/>
        <w:jc w:val="center"/>
        <w:rPr>
          <w:rFonts w:ascii="黑体" w:hAnsi="黑体" w:eastAsia="黑体"/>
          <w:sz w:val="32"/>
          <w:szCs w:val="32"/>
        </w:rPr>
      </w:pPr>
      <w:bookmarkStart w:id="20" w:name="BookMark4"/>
    </w:p>
    <w:p w14:paraId="52981B6C">
      <w:pPr>
        <w:spacing w:line="20" w:lineRule="exact"/>
        <w:jc w:val="center"/>
        <w:rPr>
          <w:rFonts w:ascii="黑体" w:hAnsi="黑体" w:eastAsia="黑体"/>
          <w:sz w:val="32"/>
          <w:szCs w:val="32"/>
        </w:rPr>
      </w:pPr>
    </w:p>
    <w:sdt>
      <w:sdtPr>
        <w:tag w:val="NEW_STAND_NAME"/>
        <w:id w:val="595910757"/>
        <w:lock w:val="sdtLocked"/>
        <w:placeholder>
          <w:docPart w:val="7F5847ADF7CF4A6C99B0DC8772CA24DD"/>
        </w:placeholder>
      </w:sdtPr>
      <w:sdtContent>
        <w:p w14:paraId="7BA2396A">
          <w:pPr>
            <w:pStyle w:val="178"/>
            <w:spacing w:before="312" w:beforeLines="100" w:after="686" w:afterLines="220"/>
          </w:pPr>
          <w:bookmarkStart w:id="21" w:name="NEW_STAND_NAME"/>
          <w:r>
            <w:rPr>
              <w:rFonts w:hint="eastAsia"/>
            </w:rPr>
            <w:t>食品生产风险防控标识使用规范</w:t>
          </w:r>
        </w:p>
      </w:sdtContent>
    </w:sdt>
    <w:bookmarkEnd w:id="21"/>
    <w:p w14:paraId="493995D1">
      <w:pPr>
        <w:pStyle w:val="105"/>
        <w:spacing w:before="312" w:after="312"/>
      </w:pPr>
      <w:bookmarkStart w:id="22" w:name="_Toc26648465"/>
      <w:bookmarkStart w:id="23" w:name="_Toc26718930"/>
      <w:bookmarkStart w:id="24" w:name="_Toc24884211"/>
      <w:bookmarkStart w:id="25" w:name="_Toc26986771"/>
      <w:bookmarkStart w:id="26" w:name="_Toc17233325"/>
      <w:bookmarkStart w:id="27" w:name="_Toc97191423"/>
      <w:bookmarkStart w:id="28" w:name="_Toc17233333"/>
      <w:bookmarkStart w:id="29" w:name="_Toc24884218"/>
      <w:bookmarkStart w:id="30" w:name="_Toc26986530"/>
      <w:r>
        <w:rPr>
          <w:rFonts w:hint="eastAsia"/>
        </w:rPr>
        <w:t>范围</w:t>
      </w:r>
      <w:bookmarkEnd w:id="22"/>
      <w:bookmarkEnd w:id="23"/>
      <w:bookmarkEnd w:id="24"/>
      <w:bookmarkEnd w:id="25"/>
      <w:bookmarkEnd w:id="26"/>
      <w:bookmarkEnd w:id="27"/>
      <w:bookmarkEnd w:id="28"/>
      <w:bookmarkEnd w:id="29"/>
      <w:bookmarkEnd w:id="30"/>
    </w:p>
    <w:p w14:paraId="06F1AF98">
      <w:pPr>
        <w:pStyle w:val="57"/>
        <w:ind w:firstLine="420"/>
      </w:pPr>
      <w:bookmarkStart w:id="31" w:name="_Toc26648466"/>
      <w:bookmarkStart w:id="32" w:name="_Toc17233334"/>
      <w:bookmarkStart w:id="33" w:name="_Toc24884219"/>
      <w:bookmarkStart w:id="34" w:name="_Toc24884212"/>
      <w:bookmarkStart w:id="35" w:name="_Toc17233326"/>
      <w:r>
        <w:rPr>
          <w:rFonts w:hint="eastAsia"/>
        </w:rPr>
        <w:t>本文件规定了食品生产风险防控标识（以下简称“标识”）的基本要求、内容、制作、设置和管理。</w:t>
      </w:r>
    </w:p>
    <w:p w14:paraId="26A5BBE3">
      <w:pPr>
        <w:pStyle w:val="57"/>
        <w:ind w:firstLine="420"/>
      </w:pPr>
      <w:r>
        <w:rPr>
          <w:rFonts w:hint="eastAsia"/>
        </w:rPr>
        <w:t>本文件适用于指导食品生产者风险防控标识的使用活动。</w:t>
      </w:r>
    </w:p>
    <w:p w14:paraId="3C9B81F9">
      <w:pPr>
        <w:pStyle w:val="105"/>
        <w:spacing w:before="312" w:after="312"/>
      </w:pPr>
      <w:bookmarkStart w:id="36" w:name="_Toc26986772"/>
      <w:bookmarkStart w:id="37" w:name="_Toc26986531"/>
      <w:bookmarkStart w:id="38" w:name="_Toc97191424"/>
      <w:bookmarkStart w:id="39" w:name="_Toc26718931"/>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F611956CFA1649DD9A3CA82D6C44840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08E0B19">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2AD171">
      <w:pPr>
        <w:pStyle w:val="57"/>
        <w:ind w:firstLine="420"/>
      </w:pPr>
      <w:r>
        <w:rPr>
          <w:rFonts w:hint="eastAsia"/>
        </w:rPr>
        <w:t>GB 2893  安全色</w:t>
      </w:r>
    </w:p>
    <w:p w14:paraId="0912224C">
      <w:pPr>
        <w:pStyle w:val="57"/>
        <w:ind w:firstLine="420"/>
      </w:pPr>
      <w:bookmarkStart w:id="40" w:name="_Hlk186192387"/>
      <w:r>
        <w:rPr>
          <w:rFonts w:hint="eastAsia"/>
        </w:rPr>
        <w:t>GB 14881</w:t>
      </w:r>
      <w:bookmarkEnd w:id="40"/>
      <w:r>
        <w:rPr>
          <w:rFonts w:hint="eastAsia"/>
        </w:rPr>
        <w:t xml:space="preserve">  食品安全国家标准 食品生产通用卫生规范</w:t>
      </w:r>
    </w:p>
    <w:p w14:paraId="1152ECB2">
      <w:pPr>
        <w:pStyle w:val="57"/>
        <w:ind w:firstLine="420"/>
      </w:pPr>
      <w:r>
        <w:rPr>
          <w:rFonts w:hint="eastAsia"/>
        </w:rPr>
        <w:t>GB/T 16900  图形符号表示规则 总则</w:t>
      </w:r>
    </w:p>
    <w:p w14:paraId="51210990">
      <w:pPr>
        <w:pStyle w:val="57"/>
        <w:ind w:firstLine="420"/>
      </w:pPr>
      <w:r>
        <w:rPr>
          <w:rFonts w:hint="eastAsia"/>
        </w:rPr>
        <w:t>GB/T 19538  危害分析与关键控制点（HACCP）体系及其应用指南</w:t>
      </w:r>
    </w:p>
    <w:p w14:paraId="21327C85">
      <w:pPr>
        <w:pStyle w:val="57"/>
        <w:ind w:firstLine="420"/>
      </w:pPr>
      <w:r>
        <w:rPr>
          <w:rFonts w:hint="eastAsia"/>
        </w:rPr>
        <w:t>GB/T 27341  危害分析与关键控制点（HACCP）体系 食品生产企业通用要求</w:t>
      </w:r>
    </w:p>
    <w:p w14:paraId="134339C0">
      <w:pPr>
        <w:pStyle w:val="57"/>
        <w:ind w:firstLine="420"/>
        <w:rPr>
          <w:rFonts w:hint="eastAsia"/>
        </w:rPr>
      </w:pPr>
      <w:r>
        <w:rPr>
          <w:rFonts w:hint="eastAsia"/>
        </w:rPr>
        <w:t>MR/T ×</w:t>
      </w:r>
      <w:r>
        <w:rPr>
          <w:rFonts w:hint="eastAsia" w:ascii="Segoe UI Symbol" w:hAnsi="Segoe UI Symbol" w:cs="Segoe UI Symbol"/>
        </w:rPr>
        <w:t xml:space="preserve">×  </w:t>
      </w:r>
      <w:r>
        <w:rPr>
          <w:rFonts w:hint="eastAsia"/>
        </w:rPr>
        <w:t>食品安全日管控周排查月调度工作规范</w:t>
      </w:r>
    </w:p>
    <w:p w14:paraId="6E246E7A">
      <w:pPr>
        <w:pStyle w:val="57"/>
        <w:ind w:firstLine="420"/>
        <w:rPr>
          <w:rFonts w:hint="eastAsia"/>
        </w:rPr>
      </w:pPr>
      <w:r>
        <w:rPr>
          <w:rFonts w:hint="eastAsia"/>
        </w:rPr>
        <w:t>DBS 34/ 003</w:t>
      </w:r>
      <w:r>
        <w:rPr>
          <w:rFonts w:hint="eastAsia"/>
          <w:lang w:val="en-US" w:eastAsia="zh-CN"/>
        </w:rPr>
        <w:t xml:space="preserve">  </w:t>
      </w:r>
      <w:r>
        <w:rPr>
          <w:rFonts w:hint="eastAsia"/>
        </w:rPr>
        <w:t>食品安全地方标准食品小作坊卫生规范</w:t>
      </w:r>
    </w:p>
    <w:p w14:paraId="43A63C03">
      <w:pPr>
        <w:pStyle w:val="105"/>
        <w:spacing w:before="312" w:after="312"/>
      </w:pPr>
      <w:bookmarkStart w:id="41" w:name="_Toc97191425"/>
      <w:r>
        <w:rPr>
          <w:rFonts w:hint="eastAsia"/>
          <w:szCs w:val="21"/>
        </w:rPr>
        <w:t>术语和定义</w:t>
      </w:r>
      <w:bookmarkEnd w:id="41"/>
    </w:p>
    <w:sdt>
      <w:sdtPr>
        <w:id w:val="-1909835108"/>
        <w:placeholder>
          <w:docPart w:val="2C9FAF2F31354427A7153E73871166A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ED246A2">
          <w:pPr>
            <w:pStyle w:val="57"/>
            <w:ind w:firstLine="420"/>
          </w:pPr>
          <w:bookmarkStart w:id="42" w:name="_Toc26986532"/>
          <w:bookmarkEnd w:id="42"/>
          <w:r>
            <w:t>本文件没有需要界定的术语和定义。</w:t>
          </w:r>
        </w:p>
      </w:sdtContent>
    </w:sdt>
    <w:p w14:paraId="3190031D">
      <w:pPr>
        <w:pStyle w:val="105"/>
        <w:spacing w:before="312" w:after="312"/>
      </w:pPr>
      <w:r>
        <w:rPr>
          <w:rFonts w:hint="eastAsia"/>
        </w:rPr>
        <w:t>基本要求</w:t>
      </w:r>
    </w:p>
    <w:p w14:paraId="3EF807B9">
      <w:pPr>
        <w:pStyle w:val="163"/>
      </w:pPr>
      <w:r>
        <w:rPr>
          <w:rFonts w:hint="eastAsia"/>
        </w:rPr>
        <w:t>食品生产者依据</w:t>
      </w:r>
      <w:r>
        <w:t>GB 14881</w:t>
      </w:r>
      <w:r>
        <w:rPr>
          <w:rFonts w:hint="eastAsia"/>
        </w:rPr>
        <w:t>、GB/T 19538、GB/T 27341、MR/T ×</w:t>
      </w:r>
      <w:r>
        <w:rPr>
          <w:rFonts w:hint="eastAsia" w:ascii="Segoe UI Symbol" w:hAnsi="Segoe UI Symbol" w:cs="Segoe UI Symbol"/>
        </w:rPr>
        <w:t>×</w:t>
      </w:r>
      <w:r>
        <w:rPr>
          <w:rFonts w:hint="eastAsia"/>
        </w:rPr>
        <w:t>中的相关要求，</w:t>
      </w:r>
      <w:r>
        <w:rPr>
          <w:rFonts w:hint="eastAsia"/>
          <w:lang w:val="en-US" w:eastAsia="zh-CN"/>
        </w:rPr>
        <w:t>食品小作坊还应依据DBS 34/ 003</w:t>
      </w:r>
      <w:r>
        <w:rPr>
          <w:rFonts w:hint="eastAsia"/>
        </w:rPr>
        <w:t>中的相关要求</w:t>
      </w:r>
      <w:r>
        <w:rPr>
          <w:rFonts w:hint="eastAsia"/>
          <w:lang w:val="en-US" w:eastAsia="zh-CN"/>
        </w:rPr>
        <w:t>，</w:t>
      </w:r>
      <w:r>
        <w:rPr>
          <w:rFonts w:hint="eastAsia"/>
        </w:rPr>
        <w:t>结合经营业态、规模大小、食品类别等，进行危害分析和制定控制措施，在环境条件、进货查验、生产过程控制、产品检验、物流储运、从业人员管理等食品生产环节，识别出存在的食品生产风险，建立实施食品安全风险管控清单，将重点进行归纳总结，转化制作标识。</w:t>
      </w:r>
    </w:p>
    <w:p w14:paraId="5222E03A">
      <w:pPr>
        <w:pStyle w:val="163"/>
      </w:pPr>
      <w:r>
        <w:rPr>
          <w:rFonts w:hint="eastAsia"/>
        </w:rPr>
        <w:t>标识主要以颜色、文字，辅以图形符号等，向从业人员传递食品安全风险防控信息，信息含义应明确、简洁，避免出现信息不足或过载的现象，以引起从业人员关注。</w:t>
      </w:r>
    </w:p>
    <w:p w14:paraId="4A63540E">
      <w:pPr>
        <w:pStyle w:val="163"/>
      </w:pPr>
      <w:r>
        <w:rPr>
          <w:rFonts w:hint="eastAsia"/>
        </w:rPr>
        <w:t>标识的使用应与食品安全日管控、周排查、月调度工作相结合，普及食品安全知识，规范食品生产者各环节食品生产行为，有效防范食品生产安全风险。</w:t>
      </w:r>
    </w:p>
    <w:p w14:paraId="3FA4DE0A">
      <w:pPr>
        <w:pStyle w:val="105"/>
        <w:spacing w:before="312" w:after="312"/>
      </w:pPr>
      <w:r>
        <w:rPr>
          <w:rFonts w:hint="eastAsia"/>
        </w:rPr>
        <w:t>标识内容</w:t>
      </w:r>
    </w:p>
    <w:p w14:paraId="0FC87C7C">
      <w:pPr>
        <w:pStyle w:val="106"/>
        <w:spacing w:before="156" w:after="156"/>
      </w:pPr>
      <w:r>
        <w:rPr>
          <w:rFonts w:hint="eastAsia"/>
        </w:rPr>
        <w:t>分类</w:t>
      </w:r>
    </w:p>
    <w:p w14:paraId="56A25ACB">
      <w:pPr>
        <w:pStyle w:val="166"/>
      </w:pPr>
      <w:r>
        <w:rPr>
          <w:rFonts w:hint="eastAsia"/>
        </w:rPr>
        <w:t>按照标识的作用分类，分为：</w:t>
      </w:r>
    </w:p>
    <w:p w14:paraId="08BB23E0">
      <w:pPr>
        <w:pStyle w:val="175"/>
      </w:pPr>
      <w:r>
        <w:rPr>
          <w:rFonts w:hint="eastAsia"/>
        </w:rPr>
        <w:t>禁止标识：禁止或限制从业人员行为的标识，主要由食品生产禁止性内容文字和红色边框或背景构成，用于警醒食品生产者不应从事食品安全违法违规行为；</w:t>
      </w:r>
    </w:p>
    <w:p w14:paraId="440B13A3">
      <w:pPr>
        <w:pStyle w:val="175"/>
      </w:pPr>
      <w:r>
        <w:rPr>
          <w:rFonts w:hint="eastAsia"/>
        </w:rPr>
        <w:t>警示标识：警告从业人员关注食品生产风险事项的标识，主要由食品生产警示性内容文字和黄色边框或背景构成，用于警示食品生产者依法依规从事生产经营；</w:t>
      </w:r>
    </w:p>
    <w:p w14:paraId="3C56E52E">
      <w:pPr>
        <w:pStyle w:val="175"/>
      </w:pPr>
      <w:r>
        <w:rPr>
          <w:rFonts w:hint="eastAsia"/>
        </w:rPr>
        <w:t>引导标识：传递或提供从业人员一般提示信息的标识，主要由食品生产引导性内容文字和绿色边框或背景构成，用于引导食品生产者提高食品生产风险防控能力。</w:t>
      </w:r>
    </w:p>
    <w:p w14:paraId="2DEC6EC8">
      <w:pPr>
        <w:pStyle w:val="166"/>
      </w:pPr>
      <w:r>
        <w:rPr>
          <w:rFonts w:hint="eastAsia"/>
        </w:rPr>
        <w:t>按照标识的适用范围分类，分为：</w:t>
      </w:r>
    </w:p>
    <w:p w14:paraId="057BC35E">
      <w:pPr>
        <w:pStyle w:val="175"/>
        <w:numPr>
          <w:ilvl w:val="0"/>
          <w:numId w:val="32"/>
        </w:numPr>
      </w:pPr>
      <w:r>
        <w:t>通用</w:t>
      </w:r>
      <w:r>
        <w:rPr>
          <w:rFonts w:hint="eastAsia"/>
        </w:rPr>
        <w:t>标识：针对食品生产过程中常见风险而设计的标识，普遍适用多种类型食品生产者；</w:t>
      </w:r>
    </w:p>
    <w:p w14:paraId="4544CA5E">
      <w:pPr>
        <w:pStyle w:val="175"/>
      </w:pPr>
      <w:r>
        <w:t>特殊</w:t>
      </w:r>
      <w:r>
        <w:rPr>
          <w:rFonts w:hint="eastAsia"/>
        </w:rPr>
        <w:t>标识：除通用标识外，</w:t>
      </w:r>
      <w:r>
        <w:rPr>
          <w:rFonts w:hint="eastAsia"/>
          <w:lang w:val="en-US" w:eastAsia="zh-CN"/>
        </w:rPr>
        <w:t>针对特定食品生产过程中存在的风险或</w:t>
      </w:r>
      <w:r>
        <w:rPr>
          <w:rFonts w:hint="eastAsia"/>
        </w:rPr>
        <w:t>食品生产者针对其自身在食品生产过程所识别的风险而设计的标识，</w:t>
      </w:r>
      <w:r>
        <w:rPr>
          <w:rFonts w:hint="eastAsia"/>
          <w:highlight w:val="none"/>
        </w:rPr>
        <w:t>一般适用于特定的</w:t>
      </w:r>
      <w:r>
        <w:rPr>
          <w:rFonts w:hint="eastAsia"/>
          <w:highlight w:val="none"/>
          <w:lang w:eastAsia="zh-CN"/>
        </w:rPr>
        <w:t>食品生产者</w:t>
      </w:r>
      <w:r>
        <w:rPr>
          <w:rFonts w:hint="eastAsia"/>
          <w:highlight w:val="none"/>
        </w:rPr>
        <w:t>。</w:t>
      </w:r>
    </w:p>
    <w:p w14:paraId="006EEBF0">
      <w:pPr>
        <w:pStyle w:val="106"/>
        <w:spacing w:before="156" w:after="156"/>
      </w:pPr>
      <w:r>
        <w:t>样式</w:t>
      </w:r>
    </w:p>
    <w:p w14:paraId="3F320200">
      <w:pPr>
        <w:pStyle w:val="166"/>
      </w:pPr>
      <w:r>
        <w:rPr>
          <w:rFonts w:hint="eastAsia"/>
        </w:rPr>
        <w:t>标识形状宜选用圆角矩形，尺寸宜选用40</w:t>
      </w:r>
      <w:r>
        <w:t xml:space="preserve"> </w:t>
      </w:r>
      <w:r>
        <w:rPr>
          <w:rFonts w:hint="eastAsia"/>
        </w:rPr>
        <w:t>cm×15</w:t>
      </w:r>
      <w:r>
        <w:t xml:space="preserve"> </w:t>
      </w:r>
      <w:r>
        <w:rPr>
          <w:rFonts w:hint="eastAsia"/>
        </w:rPr>
        <w:t>cm。</w:t>
      </w:r>
    </w:p>
    <w:p w14:paraId="539F8ADE">
      <w:pPr>
        <w:pStyle w:val="166"/>
      </w:pPr>
      <w:r>
        <w:rPr>
          <w:rFonts w:hint="eastAsia"/>
        </w:rPr>
        <w:t>标识文字应采用中文，表述规范、无歧义，字体清晰、工整。使用英文时第一个字母大写、其余小写。</w:t>
      </w:r>
    </w:p>
    <w:p w14:paraId="357C82AC">
      <w:pPr>
        <w:pStyle w:val="166"/>
      </w:pPr>
      <w:r>
        <w:rPr>
          <w:rFonts w:hint="eastAsia"/>
        </w:rPr>
        <w:t>标识边框或背景颜色应采用红、黄、绿三种，分别对应禁止标识、警示标识、引导标识，并根据GB 2893的规定与字体颜色形成对比色，见表1。</w:t>
      </w:r>
    </w:p>
    <w:p w14:paraId="38896953">
      <w:pPr>
        <w:pStyle w:val="113"/>
        <w:spacing w:before="156" w:after="156"/>
        <w:rPr>
          <w:rFonts w:hint="eastAsia"/>
        </w:rPr>
      </w:pPr>
      <w:r>
        <w:rPr>
          <w:rFonts w:hint="eastAsia"/>
        </w:rPr>
        <w:t>标识示例</w:t>
      </w:r>
    </w:p>
    <w:tbl>
      <w:tblPr>
        <w:tblStyle w:val="28"/>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28"/>
        <w:gridCol w:w="4163"/>
        <w:gridCol w:w="4383"/>
      </w:tblGrid>
      <w:tr w14:paraId="2C2313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28" w:type="dxa"/>
            <w:tcBorders>
              <w:top w:val="single" w:color="auto" w:sz="8" w:space="0"/>
              <w:bottom w:val="single" w:color="auto" w:sz="8" w:space="0"/>
            </w:tcBorders>
            <w:shd w:val="clear" w:color="auto" w:fill="auto"/>
            <w:vAlign w:val="center"/>
          </w:tcPr>
          <w:p w14:paraId="59C1C78D">
            <w:pPr>
              <w:pStyle w:val="179"/>
            </w:pPr>
            <w:r>
              <w:rPr>
                <w:rFonts w:hint="eastAsia"/>
              </w:rPr>
              <w:t>标识类别</w:t>
            </w:r>
          </w:p>
        </w:tc>
        <w:tc>
          <w:tcPr>
            <w:tcW w:w="8546" w:type="dxa"/>
            <w:gridSpan w:val="2"/>
            <w:tcBorders>
              <w:top w:val="single" w:color="auto" w:sz="8" w:space="0"/>
              <w:bottom w:val="single" w:color="auto" w:sz="8" w:space="0"/>
            </w:tcBorders>
            <w:shd w:val="clear" w:color="auto" w:fill="auto"/>
            <w:vAlign w:val="center"/>
          </w:tcPr>
          <w:p w14:paraId="7C2AC210">
            <w:pPr>
              <w:pStyle w:val="179"/>
            </w:pPr>
            <w:r>
              <w:rPr>
                <w:rFonts w:hint="eastAsia"/>
              </w:rPr>
              <w:t>标识示例</w:t>
            </w:r>
          </w:p>
        </w:tc>
      </w:tr>
      <w:tr w14:paraId="2D4B9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0" w:hRule="atLeast"/>
          <w:jc w:val="center"/>
        </w:trPr>
        <w:tc>
          <w:tcPr>
            <w:tcW w:w="828" w:type="dxa"/>
            <w:tcBorders>
              <w:top w:val="single" w:color="auto" w:sz="8" w:space="0"/>
            </w:tcBorders>
            <w:shd w:val="clear" w:color="auto" w:fill="auto"/>
            <w:vAlign w:val="center"/>
          </w:tcPr>
          <w:p w14:paraId="7BDECF0F">
            <w:pPr>
              <w:pStyle w:val="166"/>
              <w:numPr>
                <w:ilvl w:val="3"/>
                <w:numId w:val="0"/>
              </w:numPr>
              <w:jc w:val="center"/>
              <w:rPr>
                <w:sz w:val="18"/>
                <w:szCs w:val="18"/>
              </w:rPr>
            </w:pPr>
            <w:r>
              <w:rPr>
                <w:rFonts w:hint="eastAsia"/>
                <w:sz w:val="18"/>
                <w:szCs w:val="18"/>
              </w:rPr>
              <w:t>禁止标识</w:t>
            </w:r>
          </w:p>
        </w:tc>
        <w:tc>
          <w:tcPr>
            <w:tcW w:w="4163" w:type="dxa"/>
            <w:tcBorders>
              <w:top w:val="single" w:color="auto" w:sz="8" w:space="0"/>
            </w:tcBorders>
            <w:shd w:val="clear" w:color="auto" w:fill="auto"/>
            <w:vAlign w:val="center"/>
          </w:tcPr>
          <w:p w14:paraId="672DEAE0">
            <w:pPr>
              <w:pStyle w:val="179"/>
              <w:rPr>
                <w:rFonts w:hint="eastAsia"/>
              </w:rPr>
            </w:pPr>
            <w:r>
              <w:drawing>
                <wp:inline distT="0" distB="0" distL="114300" distR="114300">
                  <wp:extent cx="2548890" cy="590550"/>
                  <wp:effectExtent l="0" t="0" r="381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4"/>
                          <a:stretch>
                            <a:fillRect/>
                          </a:stretch>
                        </pic:blipFill>
                        <pic:spPr>
                          <a:xfrm>
                            <a:off x="0" y="0"/>
                            <a:ext cx="2548890" cy="590550"/>
                          </a:xfrm>
                          <a:prstGeom prst="rect">
                            <a:avLst/>
                          </a:prstGeom>
                          <a:noFill/>
                          <a:ln>
                            <a:noFill/>
                          </a:ln>
                        </pic:spPr>
                      </pic:pic>
                    </a:graphicData>
                  </a:graphic>
                </wp:inline>
              </w:drawing>
            </w:r>
          </w:p>
        </w:tc>
        <w:tc>
          <w:tcPr>
            <w:tcW w:w="4383" w:type="dxa"/>
            <w:tcBorders>
              <w:top w:val="single" w:color="auto" w:sz="8" w:space="0"/>
            </w:tcBorders>
            <w:shd w:val="clear" w:color="auto" w:fill="auto"/>
            <w:vAlign w:val="center"/>
          </w:tcPr>
          <w:p w14:paraId="63006991">
            <w:pPr>
              <w:pStyle w:val="179"/>
              <w:rPr>
                <w:rFonts w:hint="eastAsia"/>
              </w:rPr>
            </w:pPr>
            <w:r>
              <w:drawing>
                <wp:inline distT="0" distB="0" distL="114300" distR="114300">
                  <wp:extent cx="2622550" cy="659130"/>
                  <wp:effectExtent l="0" t="0" r="6350" b="762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2622550" cy="659130"/>
                          </a:xfrm>
                          <a:prstGeom prst="rect">
                            <a:avLst/>
                          </a:prstGeom>
                          <a:noFill/>
                          <a:ln>
                            <a:noFill/>
                          </a:ln>
                        </pic:spPr>
                      </pic:pic>
                    </a:graphicData>
                  </a:graphic>
                </wp:inline>
              </w:drawing>
            </w:r>
          </w:p>
        </w:tc>
      </w:tr>
      <w:tr w14:paraId="7345FF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0" w:hRule="atLeast"/>
          <w:jc w:val="center"/>
        </w:trPr>
        <w:tc>
          <w:tcPr>
            <w:tcW w:w="828" w:type="dxa"/>
            <w:shd w:val="clear" w:color="auto" w:fill="auto"/>
            <w:vAlign w:val="center"/>
          </w:tcPr>
          <w:p w14:paraId="560C3117">
            <w:pPr>
              <w:pStyle w:val="166"/>
              <w:numPr>
                <w:ilvl w:val="3"/>
                <w:numId w:val="0"/>
              </w:numPr>
              <w:jc w:val="center"/>
              <w:rPr>
                <w:sz w:val="18"/>
                <w:szCs w:val="18"/>
              </w:rPr>
            </w:pPr>
            <w:r>
              <w:rPr>
                <w:rFonts w:hint="eastAsia"/>
                <w:sz w:val="18"/>
                <w:szCs w:val="18"/>
              </w:rPr>
              <w:t>警示标识</w:t>
            </w:r>
          </w:p>
        </w:tc>
        <w:tc>
          <w:tcPr>
            <w:tcW w:w="4163" w:type="dxa"/>
            <w:shd w:val="clear" w:color="auto" w:fill="auto"/>
            <w:vAlign w:val="center"/>
          </w:tcPr>
          <w:p w14:paraId="6520A033">
            <w:pPr>
              <w:pStyle w:val="179"/>
              <w:rPr>
                <w:rFonts w:hint="eastAsia"/>
              </w:rPr>
            </w:pPr>
            <w:r>
              <w:drawing>
                <wp:inline distT="0" distB="0" distL="114300" distR="114300">
                  <wp:extent cx="2567305" cy="586740"/>
                  <wp:effectExtent l="0" t="0" r="4445" b="381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6"/>
                          <a:stretch>
                            <a:fillRect/>
                          </a:stretch>
                        </pic:blipFill>
                        <pic:spPr>
                          <a:xfrm>
                            <a:off x="0" y="0"/>
                            <a:ext cx="2567305" cy="586740"/>
                          </a:xfrm>
                          <a:prstGeom prst="rect">
                            <a:avLst/>
                          </a:prstGeom>
                          <a:noFill/>
                          <a:ln>
                            <a:noFill/>
                          </a:ln>
                        </pic:spPr>
                      </pic:pic>
                    </a:graphicData>
                  </a:graphic>
                </wp:inline>
              </w:drawing>
            </w:r>
          </w:p>
        </w:tc>
        <w:tc>
          <w:tcPr>
            <w:tcW w:w="4383" w:type="dxa"/>
            <w:shd w:val="clear" w:color="auto" w:fill="auto"/>
            <w:vAlign w:val="center"/>
          </w:tcPr>
          <w:p w14:paraId="238B5472">
            <w:pPr>
              <w:pStyle w:val="179"/>
              <w:rPr>
                <w:rFonts w:hint="eastAsia"/>
              </w:rPr>
            </w:pPr>
            <w:r>
              <w:drawing>
                <wp:inline distT="0" distB="0" distL="114300" distR="114300">
                  <wp:extent cx="2638425" cy="655955"/>
                  <wp:effectExtent l="0" t="0" r="9525" b="1079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7"/>
                          <a:stretch>
                            <a:fillRect/>
                          </a:stretch>
                        </pic:blipFill>
                        <pic:spPr>
                          <a:xfrm>
                            <a:off x="0" y="0"/>
                            <a:ext cx="2638425" cy="655955"/>
                          </a:xfrm>
                          <a:prstGeom prst="rect">
                            <a:avLst/>
                          </a:prstGeom>
                          <a:noFill/>
                          <a:ln>
                            <a:noFill/>
                          </a:ln>
                        </pic:spPr>
                      </pic:pic>
                    </a:graphicData>
                  </a:graphic>
                </wp:inline>
              </w:drawing>
            </w:r>
          </w:p>
        </w:tc>
      </w:tr>
      <w:tr w14:paraId="22227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0" w:hRule="atLeast"/>
          <w:jc w:val="center"/>
        </w:trPr>
        <w:tc>
          <w:tcPr>
            <w:tcW w:w="828" w:type="dxa"/>
            <w:shd w:val="clear" w:color="auto" w:fill="auto"/>
            <w:vAlign w:val="center"/>
          </w:tcPr>
          <w:p w14:paraId="36DFED0E">
            <w:pPr>
              <w:pStyle w:val="166"/>
              <w:numPr>
                <w:ilvl w:val="3"/>
                <w:numId w:val="0"/>
              </w:numPr>
              <w:jc w:val="center"/>
              <w:rPr>
                <w:sz w:val="18"/>
                <w:szCs w:val="18"/>
              </w:rPr>
            </w:pPr>
            <w:r>
              <w:rPr>
                <w:rFonts w:hint="eastAsia"/>
                <w:sz w:val="18"/>
                <w:szCs w:val="18"/>
              </w:rPr>
              <w:t>引导标识</w:t>
            </w:r>
          </w:p>
        </w:tc>
        <w:tc>
          <w:tcPr>
            <w:tcW w:w="4163" w:type="dxa"/>
            <w:shd w:val="clear" w:color="auto" w:fill="auto"/>
            <w:vAlign w:val="center"/>
          </w:tcPr>
          <w:p w14:paraId="54DAF650">
            <w:pPr>
              <w:pStyle w:val="179"/>
              <w:rPr>
                <w:rFonts w:hint="eastAsia"/>
              </w:rPr>
            </w:pPr>
            <w:r>
              <w:drawing>
                <wp:inline distT="0" distB="0" distL="114300" distR="114300">
                  <wp:extent cx="2559685" cy="584835"/>
                  <wp:effectExtent l="0" t="0" r="12065" b="571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8"/>
                          <a:stretch>
                            <a:fillRect/>
                          </a:stretch>
                        </pic:blipFill>
                        <pic:spPr>
                          <a:xfrm>
                            <a:off x="0" y="0"/>
                            <a:ext cx="2559685" cy="584835"/>
                          </a:xfrm>
                          <a:prstGeom prst="rect">
                            <a:avLst/>
                          </a:prstGeom>
                          <a:noFill/>
                          <a:ln>
                            <a:noFill/>
                          </a:ln>
                        </pic:spPr>
                      </pic:pic>
                    </a:graphicData>
                  </a:graphic>
                </wp:inline>
              </w:drawing>
            </w:r>
          </w:p>
        </w:tc>
        <w:tc>
          <w:tcPr>
            <w:tcW w:w="4383" w:type="dxa"/>
            <w:shd w:val="clear" w:color="auto" w:fill="auto"/>
            <w:vAlign w:val="center"/>
          </w:tcPr>
          <w:p w14:paraId="036F0808">
            <w:pPr>
              <w:pStyle w:val="179"/>
              <w:rPr>
                <w:rFonts w:hint="eastAsia"/>
              </w:rPr>
            </w:pPr>
            <w:r>
              <w:drawing>
                <wp:inline distT="0" distB="0" distL="114300" distR="114300">
                  <wp:extent cx="2643505" cy="657860"/>
                  <wp:effectExtent l="0" t="0" r="4445" b="889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9"/>
                          <a:stretch>
                            <a:fillRect/>
                          </a:stretch>
                        </pic:blipFill>
                        <pic:spPr>
                          <a:xfrm>
                            <a:off x="0" y="0"/>
                            <a:ext cx="2643505" cy="657860"/>
                          </a:xfrm>
                          <a:prstGeom prst="rect">
                            <a:avLst/>
                          </a:prstGeom>
                          <a:noFill/>
                          <a:ln>
                            <a:noFill/>
                          </a:ln>
                        </pic:spPr>
                      </pic:pic>
                    </a:graphicData>
                  </a:graphic>
                </wp:inline>
              </w:drawing>
            </w:r>
          </w:p>
        </w:tc>
      </w:tr>
    </w:tbl>
    <w:p w14:paraId="0B3B5FD0">
      <w:pPr>
        <w:pStyle w:val="166"/>
      </w:pPr>
      <w:r>
        <w:rPr>
          <w:rFonts w:hint="eastAsia"/>
        </w:rPr>
        <w:t>标识含图形符号的，优先从相关国家标准中检索、选用、组合形成，新设计标识用图形符号应遵守GB/T 16900的规定。</w:t>
      </w:r>
    </w:p>
    <w:p w14:paraId="3565F46F">
      <w:pPr>
        <w:pStyle w:val="105"/>
        <w:spacing w:before="312" w:after="312"/>
      </w:pPr>
      <w:r>
        <w:t>标识制作</w:t>
      </w:r>
    </w:p>
    <w:p w14:paraId="3CF796A9">
      <w:pPr>
        <w:pStyle w:val="163"/>
        <w:numPr>
          <w:ilvl w:val="2"/>
          <w:numId w:val="0"/>
        </w:numPr>
        <w:spacing w:after="156"/>
        <w:ind w:firstLine="420" w:firstLineChars="200"/>
      </w:pPr>
      <w:r>
        <w:rPr>
          <w:rFonts w:hint="eastAsia"/>
        </w:rPr>
        <w:t>标识应由经久耐用的材料制成，可粘贴或磁吸在食品生产场所，表面光滑易清洁，信息清晰完整，本身不产生异物风险。</w:t>
      </w:r>
    </w:p>
    <w:p w14:paraId="7EAEC43F">
      <w:pPr>
        <w:pStyle w:val="105"/>
        <w:spacing w:before="312" w:after="312"/>
      </w:pPr>
      <w:r>
        <w:t>标识设置</w:t>
      </w:r>
    </w:p>
    <w:p w14:paraId="514D5F38">
      <w:pPr>
        <w:pStyle w:val="106"/>
        <w:spacing w:before="156" w:after="156"/>
      </w:pPr>
      <w:r>
        <w:rPr>
          <w:rFonts w:hint="eastAsia"/>
        </w:rPr>
        <w:t>一般规定</w:t>
      </w:r>
    </w:p>
    <w:p w14:paraId="552411B9">
      <w:pPr>
        <w:pStyle w:val="166"/>
      </w:pPr>
      <w:r>
        <w:rPr>
          <w:rFonts w:hint="eastAsia"/>
        </w:rPr>
        <w:t>标识根据需要设置在食品生产场所对应区域，宜考虑周围的亮度及同其他颜色标识的关系，确保标识能正确、清晰辨认，与其他标识相协调。</w:t>
      </w:r>
    </w:p>
    <w:p w14:paraId="270E05B5">
      <w:pPr>
        <w:pStyle w:val="166"/>
      </w:pPr>
      <w:r>
        <w:rPr>
          <w:rFonts w:hint="eastAsia"/>
        </w:rPr>
        <w:t>宜设置在从业人员进入该区域门口或两侧醒目位置，或根据标识所传递信息设置对应操作工位，重要的标识在区域出入口和操作工位可合理重复设置。</w:t>
      </w:r>
    </w:p>
    <w:p w14:paraId="477CEB8D">
      <w:pPr>
        <w:pStyle w:val="166"/>
      </w:pPr>
      <w:r>
        <w:rPr>
          <w:rFonts w:hint="eastAsia"/>
        </w:rPr>
        <w:t>设置的高度，尽量与人眼的视线高度相一致，确保从业人员能够注意其所显示的内容。</w:t>
      </w:r>
    </w:p>
    <w:p w14:paraId="3020F80E">
      <w:pPr>
        <w:pStyle w:val="166"/>
      </w:pPr>
      <w:r>
        <w:rPr>
          <w:rFonts w:hint="eastAsia"/>
        </w:rPr>
        <w:t>同一地点需要设置两个以上标识时，宜按照禁止标识、警示标识、引导标识的顺序从上往下、从左往右规律设置，避免不同种类标识混设。</w:t>
      </w:r>
    </w:p>
    <w:p w14:paraId="0C733C22">
      <w:pPr>
        <w:pStyle w:val="166"/>
      </w:pPr>
      <w:r>
        <w:rPr>
          <w:rFonts w:hint="eastAsia"/>
        </w:rPr>
        <w:t>特殊标识宜单独设置。</w:t>
      </w:r>
    </w:p>
    <w:p w14:paraId="4733A62C">
      <w:pPr>
        <w:pStyle w:val="106"/>
        <w:spacing w:before="156" w:after="156"/>
      </w:pPr>
      <w:r>
        <w:rPr>
          <w:rFonts w:hint="eastAsia"/>
        </w:rPr>
        <w:t>生产厂区、车间</w:t>
      </w:r>
    </w:p>
    <w:p w14:paraId="201640E4">
      <w:pPr>
        <w:pStyle w:val="57"/>
        <w:ind w:firstLine="420"/>
      </w:pPr>
      <w:r>
        <w:rPr>
          <w:rFonts w:hint="eastAsia"/>
        </w:rPr>
        <w:t>该区域所设置的标识可在下列通用标识中选用，或</w:t>
      </w:r>
      <w:r>
        <w:rPr>
          <w:rFonts w:hint="eastAsia"/>
          <w:lang w:eastAsia="zh-CN"/>
        </w:rPr>
        <w:t>食品生产者</w:t>
      </w:r>
      <w:r>
        <w:rPr>
          <w:rFonts w:hint="eastAsia"/>
        </w:rPr>
        <w:t>自行设计。</w:t>
      </w:r>
    </w:p>
    <w:p w14:paraId="2FFBA6C4">
      <w:pPr>
        <w:pStyle w:val="133"/>
      </w:pPr>
      <w:r>
        <w:rPr>
          <w:rFonts w:hint="eastAsia"/>
        </w:rPr>
        <w:t>禁止标识：</w:t>
      </w:r>
    </w:p>
    <w:p w14:paraId="0FBD3A47">
      <w:pPr>
        <w:pStyle w:val="188"/>
      </w:pPr>
      <w:r>
        <w:rPr>
          <w:rFonts w:hint="eastAsia"/>
        </w:rPr>
        <w:t>严禁超范围、超限量使用食品添加剂；</w:t>
      </w:r>
    </w:p>
    <w:p w14:paraId="60867D49">
      <w:pPr>
        <w:pStyle w:val="188"/>
      </w:pPr>
      <w:r>
        <w:rPr>
          <w:rFonts w:hint="eastAsia"/>
        </w:rPr>
        <w:t>严禁使用回收、过期食品；</w:t>
      </w:r>
    </w:p>
    <w:p w14:paraId="3806FEE6">
      <w:pPr>
        <w:pStyle w:val="188"/>
      </w:pPr>
      <w:r>
        <w:rPr>
          <w:rFonts w:hint="eastAsia"/>
        </w:rPr>
        <w:t>严禁使用非食品原料；</w:t>
      </w:r>
    </w:p>
    <w:p w14:paraId="4238DFE9">
      <w:pPr>
        <w:pStyle w:val="188"/>
      </w:pPr>
      <w:r>
        <w:rPr>
          <w:rFonts w:hint="eastAsia"/>
        </w:rPr>
        <w:t>严禁超范围生产；</w:t>
      </w:r>
    </w:p>
    <w:p w14:paraId="48586D9B">
      <w:pPr>
        <w:pStyle w:val="188"/>
      </w:pPr>
      <w:r>
        <w:rPr>
          <w:rFonts w:hint="eastAsia"/>
        </w:rPr>
        <w:t>严禁掺假掺杂；</w:t>
      </w:r>
    </w:p>
    <w:p w14:paraId="26035840">
      <w:pPr>
        <w:pStyle w:val="188"/>
      </w:pPr>
      <w:r>
        <w:rPr>
          <w:rFonts w:hint="eastAsia"/>
        </w:rPr>
        <w:t>严禁虚标生产日期、保质期；</w:t>
      </w:r>
    </w:p>
    <w:p w14:paraId="31561A32">
      <w:pPr>
        <w:pStyle w:val="188"/>
      </w:pPr>
      <w:r>
        <w:rPr>
          <w:rFonts w:hint="eastAsia"/>
        </w:rPr>
        <w:t>严禁非法添加药品。</w:t>
      </w:r>
    </w:p>
    <w:p w14:paraId="0D7752D1">
      <w:pPr>
        <w:pStyle w:val="133"/>
      </w:pPr>
      <w:r>
        <w:rPr>
          <w:rFonts w:hint="eastAsia"/>
        </w:rPr>
        <w:t>警示标识：</w:t>
      </w:r>
    </w:p>
    <w:p w14:paraId="796F55F1">
      <w:pPr>
        <w:pStyle w:val="188"/>
      </w:pPr>
      <w:r>
        <w:rPr>
          <w:rFonts w:hint="eastAsia"/>
        </w:rPr>
        <w:t>严格按工艺规程生产；</w:t>
      </w:r>
    </w:p>
    <w:p w14:paraId="6B9E6DB8">
      <w:pPr>
        <w:pStyle w:val="188"/>
      </w:pPr>
      <w:r>
        <w:rPr>
          <w:rFonts w:hint="eastAsia"/>
        </w:rPr>
        <w:t>精准称量食品添加剂；</w:t>
      </w:r>
    </w:p>
    <w:p w14:paraId="543D2377">
      <w:pPr>
        <w:pStyle w:val="188"/>
      </w:pPr>
      <w:r>
        <w:rPr>
          <w:rFonts w:hint="eastAsia"/>
        </w:rPr>
        <w:t>确保拌料均匀；</w:t>
      </w:r>
    </w:p>
    <w:p w14:paraId="3D641D93">
      <w:pPr>
        <w:pStyle w:val="188"/>
      </w:pPr>
      <w:r>
        <w:rPr>
          <w:rFonts w:hint="eastAsia"/>
        </w:rPr>
        <w:t>严格时间温度等关键点控制；</w:t>
      </w:r>
    </w:p>
    <w:p w14:paraId="1CEBC75F">
      <w:pPr>
        <w:pStyle w:val="188"/>
      </w:pPr>
      <w:r>
        <w:rPr>
          <w:rFonts w:hint="eastAsia"/>
        </w:rPr>
        <w:t>关键控制点记录齐全、完整；</w:t>
      </w:r>
    </w:p>
    <w:p w14:paraId="4204B7FA">
      <w:pPr>
        <w:pStyle w:val="188"/>
      </w:pPr>
      <w:r>
        <w:rPr>
          <w:rFonts w:hint="eastAsia"/>
        </w:rPr>
        <w:t>投料记录真实、完整；</w:t>
      </w:r>
    </w:p>
    <w:p w14:paraId="76B7F317">
      <w:pPr>
        <w:pStyle w:val="188"/>
      </w:pPr>
      <w:r>
        <w:rPr>
          <w:rFonts w:hint="eastAsia"/>
        </w:rPr>
        <w:t>严格管控清洁作业区；</w:t>
      </w:r>
    </w:p>
    <w:p w14:paraId="5D0661A7">
      <w:pPr>
        <w:pStyle w:val="188"/>
      </w:pPr>
      <w:r>
        <w:rPr>
          <w:rFonts w:hint="eastAsia"/>
        </w:rPr>
        <w:t>人流物流不交叉；</w:t>
      </w:r>
    </w:p>
    <w:p w14:paraId="4A90B358">
      <w:pPr>
        <w:pStyle w:val="188"/>
      </w:pPr>
      <w:r>
        <w:rPr>
          <w:rFonts w:hint="eastAsia"/>
        </w:rPr>
        <w:t>严格异物控制；</w:t>
      </w:r>
    </w:p>
    <w:p w14:paraId="0866EADD">
      <w:pPr>
        <w:pStyle w:val="188"/>
      </w:pPr>
      <w:r>
        <w:rPr>
          <w:rFonts w:hint="eastAsia"/>
        </w:rPr>
        <w:t>科学合理确定产品保质期。</w:t>
      </w:r>
    </w:p>
    <w:p w14:paraId="63D23F0F">
      <w:pPr>
        <w:pStyle w:val="133"/>
      </w:pPr>
      <w:r>
        <w:rPr>
          <w:rFonts w:hint="eastAsia"/>
        </w:rPr>
        <w:t>引导标识：</w:t>
      </w:r>
    </w:p>
    <w:p w14:paraId="0CC9A1B9">
      <w:pPr>
        <w:pStyle w:val="188"/>
      </w:pPr>
      <w:r>
        <w:rPr>
          <w:rFonts w:hint="eastAsia"/>
        </w:rPr>
        <w:t>无扬尘无积水；</w:t>
      </w:r>
    </w:p>
    <w:p w14:paraId="7278805B">
      <w:pPr>
        <w:pStyle w:val="188"/>
      </w:pPr>
      <w:r>
        <w:rPr>
          <w:rFonts w:hint="eastAsia"/>
        </w:rPr>
        <w:t>干净整洁无杂物；</w:t>
      </w:r>
    </w:p>
    <w:p w14:paraId="33FB676E">
      <w:pPr>
        <w:pStyle w:val="188"/>
      </w:pPr>
      <w:r>
        <w:rPr>
          <w:rFonts w:hint="eastAsia"/>
        </w:rPr>
        <w:t>无污垢无霉变；</w:t>
      </w:r>
    </w:p>
    <w:p w14:paraId="51AFEFE1">
      <w:pPr>
        <w:pStyle w:val="188"/>
      </w:pPr>
      <w:r>
        <w:rPr>
          <w:rFonts w:hint="eastAsia"/>
        </w:rPr>
        <w:t>专用设备标识清晰；</w:t>
      </w:r>
    </w:p>
    <w:p w14:paraId="18CF6D11">
      <w:pPr>
        <w:pStyle w:val="188"/>
      </w:pPr>
      <w:r>
        <w:rPr>
          <w:rFonts w:hint="eastAsia"/>
        </w:rPr>
        <w:t>班前班后清洁消毒；</w:t>
      </w:r>
    </w:p>
    <w:p w14:paraId="20270B2A">
      <w:pPr>
        <w:pStyle w:val="188"/>
      </w:pPr>
      <w:r>
        <w:rPr>
          <w:rFonts w:hint="eastAsia"/>
        </w:rPr>
        <w:t>洗涤剂、消毒剂专管专用；</w:t>
      </w:r>
    </w:p>
    <w:p w14:paraId="377F1BD1">
      <w:pPr>
        <w:pStyle w:val="188"/>
      </w:pPr>
      <w:r>
        <w:rPr>
          <w:rFonts w:hint="eastAsia"/>
        </w:rPr>
        <w:t>防鼠、防蝇、防虫；</w:t>
      </w:r>
    </w:p>
    <w:p w14:paraId="4024BB22">
      <w:pPr>
        <w:pStyle w:val="188"/>
      </w:pPr>
      <w:r>
        <w:rPr>
          <w:rFonts w:hint="eastAsia"/>
        </w:rPr>
        <w:t>原料脱包进车间；</w:t>
      </w:r>
    </w:p>
    <w:p w14:paraId="3985E18A">
      <w:pPr>
        <w:pStyle w:val="188"/>
      </w:pPr>
      <w:r>
        <w:rPr>
          <w:rFonts w:hint="eastAsia"/>
        </w:rPr>
        <w:t>半成品标识完整；</w:t>
      </w:r>
    </w:p>
    <w:p w14:paraId="4AE70357">
      <w:pPr>
        <w:pStyle w:val="188"/>
      </w:pPr>
      <w:r>
        <w:rPr>
          <w:rFonts w:hint="eastAsia"/>
        </w:rPr>
        <w:t>洁净包材密封包装；</w:t>
      </w:r>
    </w:p>
    <w:p w14:paraId="33BDD818">
      <w:pPr>
        <w:pStyle w:val="188"/>
      </w:pPr>
      <w:r>
        <w:rPr>
          <w:rFonts w:hint="eastAsia"/>
        </w:rPr>
        <w:t>采用有效保鲜手段。</w:t>
      </w:r>
    </w:p>
    <w:p w14:paraId="06A819B4">
      <w:pPr>
        <w:pStyle w:val="106"/>
        <w:spacing w:before="156" w:after="156"/>
      </w:pPr>
      <w:r>
        <w:rPr>
          <w:rFonts w:hint="eastAsia"/>
        </w:rPr>
        <w:t>更衣室</w:t>
      </w:r>
    </w:p>
    <w:p w14:paraId="1D9C10D7">
      <w:pPr>
        <w:pStyle w:val="57"/>
        <w:ind w:firstLine="420"/>
      </w:pPr>
      <w:r>
        <w:rPr>
          <w:rFonts w:hint="eastAsia"/>
        </w:rPr>
        <w:t>该区域所设置的标识可在下列通用标识中选用，或</w:t>
      </w:r>
      <w:r>
        <w:rPr>
          <w:rFonts w:hint="eastAsia"/>
          <w:lang w:eastAsia="zh-CN"/>
        </w:rPr>
        <w:t>食品生产者</w:t>
      </w:r>
      <w:r>
        <w:rPr>
          <w:rFonts w:hint="eastAsia"/>
        </w:rPr>
        <w:t>自行设计。</w:t>
      </w:r>
    </w:p>
    <w:p w14:paraId="6756845B">
      <w:pPr>
        <w:pStyle w:val="133"/>
      </w:pPr>
      <w:r>
        <w:rPr>
          <w:rFonts w:hint="eastAsia"/>
        </w:rPr>
        <w:t>警示标识：</w:t>
      </w:r>
    </w:p>
    <w:p w14:paraId="370F571D">
      <w:pPr>
        <w:pStyle w:val="188"/>
      </w:pPr>
      <w:r>
        <w:rPr>
          <w:rFonts w:hint="eastAsia"/>
        </w:rPr>
        <w:t>穿着不规范不得进入车间；</w:t>
      </w:r>
    </w:p>
    <w:p w14:paraId="442289A4">
      <w:pPr>
        <w:pStyle w:val="188"/>
      </w:pPr>
      <w:r>
        <w:rPr>
          <w:rFonts w:hint="eastAsia"/>
        </w:rPr>
        <w:t>生产无关物品不得带入车间。</w:t>
      </w:r>
    </w:p>
    <w:p w14:paraId="1B0D19A0">
      <w:pPr>
        <w:pStyle w:val="133"/>
      </w:pPr>
      <w:r>
        <w:rPr>
          <w:rFonts w:hint="eastAsia"/>
        </w:rPr>
        <w:t>引导标识：</w:t>
      </w:r>
    </w:p>
    <w:p w14:paraId="739DBFC4">
      <w:pPr>
        <w:pStyle w:val="188"/>
      </w:pPr>
      <w:r>
        <w:rPr>
          <w:rFonts w:hint="eastAsia"/>
        </w:rPr>
        <w:t>规范洗手、干手、消毒；</w:t>
      </w:r>
    </w:p>
    <w:p w14:paraId="1A18DC4D">
      <w:pPr>
        <w:pStyle w:val="188"/>
      </w:pPr>
      <w:r>
        <w:rPr>
          <w:rFonts w:hint="eastAsia"/>
        </w:rPr>
        <w:t>工服、鞋、帽、口罩佩戴规范；</w:t>
      </w:r>
    </w:p>
    <w:p w14:paraId="0ECF4773">
      <w:pPr>
        <w:pStyle w:val="188"/>
      </w:pPr>
      <w:r>
        <w:rPr>
          <w:rFonts w:hint="eastAsia"/>
        </w:rPr>
        <w:t>有效杀菌消毒。</w:t>
      </w:r>
    </w:p>
    <w:p w14:paraId="14D9F417">
      <w:pPr>
        <w:pStyle w:val="106"/>
        <w:spacing w:before="156" w:after="156"/>
      </w:pPr>
      <w:r>
        <w:rPr>
          <w:rFonts w:hint="eastAsia"/>
        </w:rPr>
        <w:t>检验室</w:t>
      </w:r>
    </w:p>
    <w:p w14:paraId="312721B5">
      <w:pPr>
        <w:pStyle w:val="57"/>
        <w:ind w:firstLine="420"/>
      </w:pPr>
      <w:r>
        <w:rPr>
          <w:rFonts w:hint="eastAsia"/>
        </w:rPr>
        <w:t>该区域所设置的标识可在下列通用标识中选用，或</w:t>
      </w:r>
      <w:r>
        <w:rPr>
          <w:rFonts w:hint="eastAsia"/>
          <w:lang w:eastAsia="zh-CN"/>
        </w:rPr>
        <w:t>食品生产者</w:t>
      </w:r>
      <w:r>
        <w:rPr>
          <w:rFonts w:hint="eastAsia"/>
        </w:rPr>
        <w:t>自行设计。</w:t>
      </w:r>
    </w:p>
    <w:p w14:paraId="64A4E3B2">
      <w:pPr>
        <w:pStyle w:val="133"/>
      </w:pPr>
      <w:r>
        <w:rPr>
          <w:rFonts w:hint="eastAsia"/>
        </w:rPr>
        <w:t>警示标识：</w:t>
      </w:r>
    </w:p>
    <w:p w14:paraId="173E07A5">
      <w:pPr>
        <w:pStyle w:val="188"/>
      </w:pPr>
      <w:r>
        <w:rPr>
          <w:rFonts w:hint="eastAsia"/>
        </w:rPr>
        <w:t>检验记录真实完整；</w:t>
      </w:r>
    </w:p>
    <w:p w14:paraId="715081C9">
      <w:pPr>
        <w:pStyle w:val="188"/>
      </w:pPr>
      <w:r>
        <w:rPr>
          <w:rFonts w:hint="eastAsia"/>
        </w:rPr>
        <w:t>检验设备按期检定、校准；</w:t>
      </w:r>
    </w:p>
    <w:p w14:paraId="5AF9B125">
      <w:pPr>
        <w:pStyle w:val="188"/>
      </w:pPr>
      <w:r>
        <w:rPr>
          <w:rFonts w:hint="eastAsia"/>
        </w:rPr>
        <w:t>检验合格方可出厂；</w:t>
      </w:r>
    </w:p>
    <w:p w14:paraId="4AE3BCB9">
      <w:pPr>
        <w:pStyle w:val="188"/>
      </w:pPr>
      <w:r>
        <w:rPr>
          <w:rFonts w:hint="eastAsia"/>
        </w:rPr>
        <w:t>试剂、耗材有效。</w:t>
      </w:r>
    </w:p>
    <w:p w14:paraId="154AF169">
      <w:pPr>
        <w:pStyle w:val="133"/>
      </w:pPr>
      <w:r>
        <w:rPr>
          <w:rFonts w:hint="eastAsia"/>
        </w:rPr>
        <w:t>引导标识：</w:t>
      </w:r>
    </w:p>
    <w:p w14:paraId="0E0DC6D0">
      <w:pPr>
        <w:pStyle w:val="188"/>
      </w:pPr>
      <w:r>
        <w:rPr>
          <w:rFonts w:hint="eastAsia"/>
        </w:rPr>
        <w:t>检验设备、试剂齐全；</w:t>
      </w:r>
    </w:p>
    <w:p w14:paraId="062BCC6A">
      <w:pPr>
        <w:pStyle w:val="188"/>
      </w:pPr>
      <w:r>
        <w:rPr>
          <w:rFonts w:hint="eastAsia"/>
        </w:rPr>
        <w:t>出厂检验项目齐全；</w:t>
      </w:r>
    </w:p>
    <w:p w14:paraId="4C724066">
      <w:pPr>
        <w:pStyle w:val="188"/>
      </w:pPr>
      <w:r>
        <w:rPr>
          <w:rFonts w:hint="eastAsia"/>
        </w:rPr>
        <w:t>规范保存记录；</w:t>
      </w:r>
    </w:p>
    <w:p w14:paraId="17A8812B">
      <w:pPr>
        <w:pStyle w:val="188"/>
      </w:pPr>
      <w:r>
        <w:rPr>
          <w:rFonts w:hint="eastAsia"/>
        </w:rPr>
        <w:t>规范留样。</w:t>
      </w:r>
    </w:p>
    <w:p w14:paraId="0D83A69C">
      <w:pPr>
        <w:pStyle w:val="106"/>
        <w:spacing w:before="156" w:after="156"/>
      </w:pPr>
      <w:r>
        <w:rPr>
          <w:rFonts w:hint="eastAsia"/>
        </w:rPr>
        <w:t>原辅料库、包材库、成品库等库房</w:t>
      </w:r>
    </w:p>
    <w:p w14:paraId="1957F7FE">
      <w:pPr>
        <w:pStyle w:val="57"/>
        <w:ind w:firstLine="420"/>
      </w:pPr>
      <w:r>
        <w:rPr>
          <w:rFonts w:hint="eastAsia"/>
        </w:rPr>
        <w:t>该区域所设置的标识可在下列通用标识中选用，或</w:t>
      </w:r>
      <w:r>
        <w:rPr>
          <w:rFonts w:hint="eastAsia"/>
          <w:lang w:eastAsia="zh-CN"/>
        </w:rPr>
        <w:t>食品生产者</w:t>
      </w:r>
      <w:r>
        <w:rPr>
          <w:rFonts w:hint="eastAsia"/>
        </w:rPr>
        <w:t>自行设计。</w:t>
      </w:r>
    </w:p>
    <w:p w14:paraId="5A1DD095">
      <w:pPr>
        <w:pStyle w:val="133"/>
      </w:pPr>
      <w:r>
        <w:rPr>
          <w:rFonts w:hint="eastAsia"/>
        </w:rPr>
        <w:t>禁止标识：</w:t>
      </w:r>
    </w:p>
    <w:p w14:paraId="48933674">
      <w:pPr>
        <w:pStyle w:val="188"/>
      </w:pPr>
      <w:r>
        <w:rPr>
          <w:rFonts w:hint="eastAsia"/>
        </w:rPr>
        <w:t>严禁贮存非法添加物质；</w:t>
      </w:r>
    </w:p>
    <w:p w14:paraId="63FA4EAB">
      <w:pPr>
        <w:pStyle w:val="188"/>
      </w:pPr>
      <w:r>
        <w:rPr>
          <w:rFonts w:hint="eastAsia"/>
        </w:rPr>
        <w:t>严禁标签虚假、夸大；</w:t>
      </w:r>
    </w:p>
    <w:p w14:paraId="5C80E6C1">
      <w:pPr>
        <w:pStyle w:val="188"/>
      </w:pPr>
      <w:r>
        <w:rPr>
          <w:rFonts w:hint="eastAsia"/>
        </w:rPr>
        <w:t>严禁宣称治病、防病。</w:t>
      </w:r>
    </w:p>
    <w:p w14:paraId="583E7206">
      <w:pPr>
        <w:pStyle w:val="133"/>
      </w:pPr>
      <w:r>
        <w:rPr>
          <w:rFonts w:hint="eastAsia"/>
        </w:rPr>
        <w:t>警示标识：</w:t>
      </w:r>
    </w:p>
    <w:p w14:paraId="05E77BBA">
      <w:pPr>
        <w:pStyle w:val="188"/>
      </w:pPr>
      <w:r>
        <w:rPr>
          <w:rFonts w:hint="eastAsia"/>
        </w:rPr>
        <w:t>食品添加剂专人专区专柜管理；</w:t>
      </w:r>
    </w:p>
    <w:p w14:paraId="060C7525">
      <w:pPr>
        <w:pStyle w:val="188"/>
      </w:pPr>
      <w:r>
        <w:rPr>
          <w:rFonts w:hint="eastAsia"/>
        </w:rPr>
        <w:t>产品标签真实完整合规；</w:t>
      </w:r>
    </w:p>
    <w:p w14:paraId="7112A375">
      <w:pPr>
        <w:pStyle w:val="188"/>
      </w:pPr>
      <w:r>
        <w:rPr>
          <w:rFonts w:hint="eastAsia"/>
        </w:rPr>
        <w:t>产品贮存运输符合要求。</w:t>
      </w:r>
    </w:p>
    <w:p w14:paraId="5E12811F">
      <w:pPr>
        <w:pStyle w:val="133"/>
      </w:pPr>
      <w:r>
        <w:rPr>
          <w:rFonts w:hint="eastAsia"/>
        </w:rPr>
        <w:t>引导标识：</w:t>
      </w:r>
    </w:p>
    <w:p w14:paraId="74E598F3">
      <w:pPr>
        <w:pStyle w:val="188"/>
      </w:pPr>
      <w:r>
        <w:rPr>
          <w:rFonts w:hint="eastAsia"/>
        </w:rPr>
        <w:t>原辅料先进先出；</w:t>
      </w:r>
    </w:p>
    <w:p w14:paraId="2B06A7D7">
      <w:pPr>
        <w:pStyle w:val="188"/>
      </w:pPr>
      <w:r>
        <w:rPr>
          <w:rFonts w:hint="eastAsia"/>
        </w:rPr>
        <w:t>出入库记录完整清晰；</w:t>
      </w:r>
    </w:p>
    <w:p w14:paraId="73E6D243">
      <w:pPr>
        <w:pStyle w:val="188"/>
      </w:pPr>
      <w:r>
        <w:rPr>
          <w:rFonts w:hint="eastAsia"/>
        </w:rPr>
        <w:t>原辅料离墙离地；</w:t>
      </w:r>
    </w:p>
    <w:p w14:paraId="2CE28BBA">
      <w:pPr>
        <w:pStyle w:val="188"/>
      </w:pPr>
      <w:r>
        <w:rPr>
          <w:rFonts w:hint="eastAsia"/>
        </w:rPr>
        <w:t>明示不合格品区；</w:t>
      </w:r>
    </w:p>
    <w:p w14:paraId="6769F805">
      <w:pPr>
        <w:pStyle w:val="188"/>
      </w:pPr>
      <w:r>
        <w:rPr>
          <w:rFonts w:hint="eastAsia"/>
        </w:rPr>
        <w:t>原料库不得放杂物；</w:t>
      </w:r>
    </w:p>
    <w:p w14:paraId="303DB673">
      <w:pPr>
        <w:pStyle w:val="188"/>
      </w:pPr>
      <w:r>
        <w:rPr>
          <w:rFonts w:hint="eastAsia"/>
        </w:rPr>
        <w:t>通风、控制温湿度；</w:t>
      </w:r>
    </w:p>
    <w:p w14:paraId="36A46C5E">
      <w:pPr>
        <w:pStyle w:val="188"/>
      </w:pPr>
      <w:r>
        <w:rPr>
          <w:rFonts w:hint="eastAsia"/>
        </w:rPr>
        <w:t>不合格品处置规范；</w:t>
      </w:r>
    </w:p>
    <w:p w14:paraId="4FAFD544">
      <w:pPr>
        <w:pStyle w:val="188"/>
      </w:pPr>
      <w:r>
        <w:rPr>
          <w:rFonts w:hint="eastAsia"/>
        </w:rPr>
        <w:t>销售记录真实完整。</w:t>
      </w:r>
    </w:p>
    <w:p w14:paraId="6C614A1D">
      <w:pPr>
        <w:pStyle w:val="106"/>
        <w:spacing w:before="156" w:after="156"/>
      </w:pPr>
      <w:r>
        <w:rPr>
          <w:rFonts w:hint="eastAsia"/>
        </w:rPr>
        <w:t>品控、采购等部门办公室</w:t>
      </w:r>
    </w:p>
    <w:p w14:paraId="6444D78B">
      <w:pPr>
        <w:pStyle w:val="57"/>
        <w:ind w:firstLine="420"/>
      </w:pPr>
      <w:r>
        <w:rPr>
          <w:rFonts w:hint="eastAsia"/>
        </w:rPr>
        <w:t>该区域所设置的标识可在下列通用标识中选用，或</w:t>
      </w:r>
      <w:r>
        <w:rPr>
          <w:rFonts w:hint="eastAsia"/>
          <w:lang w:eastAsia="zh-CN"/>
        </w:rPr>
        <w:t>食品生产者</w:t>
      </w:r>
      <w:r>
        <w:rPr>
          <w:rFonts w:hint="eastAsia"/>
        </w:rPr>
        <w:t>自行设计。</w:t>
      </w:r>
    </w:p>
    <w:p w14:paraId="7C7131AF">
      <w:pPr>
        <w:pStyle w:val="133"/>
      </w:pPr>
      <w:r>
        <w:rPr>
          <w:rFonts w:hint="eastAsia"/>
        </w:rPr>
        <w:t>禁止标识：严禁采购非法原辅料。</w:t>
      </w:r>
    </w:p>
    <w:p w14:paraId="14157633">
      <w:pPr>
        <w:pStyle w:val="133"/>
      </w:pPr>
      <w:r>
        <w:rPr>
          <w:rFonts w:hint="eastAsia"/>
        </w:rPr>
        <w:t>警示标识：</w:t>
      </w:r>
    </w:p>
    <w:p w14:paraId="2B554FAD">
      <w:pPr>
        <w:pStyle w:val="188"/>
      </w:pPr>
      <w:r>
        <w:rPr>
          <w:rFonts w:hint="eastAsia"/>
        </w:rPr>
        <w:t>索证索票齐全；</w:t>
      </w:r>
    </w:p>
    <w:p w14:paraId="686BC22C">
      <w:pPr>
        <w:pStyle w:val="188"/>
      </w:pPr>
      <w:r>
        <w:rPr>
          <w:rFonts w:hint="eastAsia"/>
        </w:rPr>
        <w:t>进货查验记录完整。</w:t>
      </w:r>
    </w:p>
    <w:p w14:paraId="113544D5">
      <w:pPr>
        <w:pStyle w:val="133"/>
      </w:pPr>
      <w:r>
        <w:rPr>
          <w:rFonts w:hint="eastAsia"/>
        </w:rPr>
        <w:t>引导标识：原辅料验收合格。</w:t>
      </w:r>
    </w:p>
    <w:p w14:paraId="773EA860">
      <w:pPr>
        <w:pStyle w:val="106"/>
        <w:spacing w:before="156" w:after="156"/>
      </w:pPr>
      <w:r>
        <w:rPr>
          <w:rFonts w:hint="eastAsia"/>
        </w:rPr>
        <w:t>主要负责人、食品安全总监、食品安全员等人员办公室</w:t>
      </w:r>
    </w:p>
    <w:p w14:paraId="276856A7">
      <w:pPr>
        <w:pStyle w:val="57"/>
        <w:ind w:firstLine="420"/>
      </w:pPr>
      <w:r>
        <w:rPr>
          <w:rFonts w:hint="eastAsia"/>
        </w:rPr>
        <w:t>该区域所设置的标识可在下列通用标识中选用，或</w:t>
      </w:r>
      <w:r>
        <w:rPr>
          <w:rFonts w:hint="eastAsia"/>
          <w:lang w:eastAsia="zh-CN"/>
        </w:rPr>
        <w:t>食品生产者</w:t>
      </w:r>
      <w:r>
        <w:rPr>
          <w:rFonts w:hint="eastAsia"/>
        </w:rPr>
        <w:t>自行设计。</w:t>
      </w:r>
    </w:p>
    <w:p w14:paraId="653FB567">
      <w:pPr>
        <w:pStyle w:val="133"/>
      </w:pPr>
      <w:r>
        <w:rPr>
          <w:rFonts w:hint="eastAsia"/>
        </w:rPr>
        <w:t>禁止标识：严禁聘用从业禁止人员。</w:t>
      </w:r>
    </w:p>
    <w:p w14:paraId="1276FE01">
      <w:pPr>
        <w:pStyle w:val="133"/>
      </w:pPr>
      <w:r>
        <w:rPr>
          <w:rFonts w:hint="eastAsia"/>
        </w:rPr>
        <w:t>警示标识：</w:t>
      </w:r>
    </w:p>
    <w:p w14:paraId="6AF5F2E4">
      <w:pPr>
        <w:pStyle w:val="188"/>
      </w:pPr>
      <w:r>
        <w:rPr>
          <w:rFonts w:hint="eastAsia"/>
        </w:rPr>
        <w:t>严格落实日管控、周排查、月调度；</w:t>
      </w:r>
    </w:p>
    <w:p w14:paraId="11204BF6">
      <w:pPr>
        <w:pStyle w:val="188"/>
      </w:pPr>
      <w:r>
        <w:rPr>
          <w:rFonts w:hint="eastAsia"/>
        </w:rPr>
        <w:t>无健康证不得接触直接入口食品。</w:t>
      </w:r>
    </w:p>
    <w:p w14:paraId="252FFB42">
      <w:pPr>
        <w:pStyle w:val="133"/>
      </w:pPr>
      <w:r>
        <w:rPr>
          <w:rFonts w:hint="eastAsia"/>
        </w:rPr>
        <w:t>引导标识：</w:t>
      </w:r>
    </w:p>
    <w:p w14:paraId="501032BA">
      <w:pPr>
        <w:pStyle w:val="188"/>
      </w:pPr>
      <w:r>
        <w:rPr>
          <w:rFonts w:hint="eastAsia"/>
        </w:rPr>
        <w:t>食品安全员履职尽责；</w:t>
      </w:r>
    </w:p>
    <w:p w14:paraId="626C6520">
      <w:pPr>
        <w:pStyle w:val="188"/>
      </w:pPr>
      <w:r>
        <w:rPr>
          <w:rFonts w:hint="eastAsia"/>
        </w:rPr>
        <w:t>培训考核有记录有成效；</w:t>
      </w:r>
    </w:p>
    <w:p w14:paraId="44D4B06D">
      <w:pPr>
        <w:pStyle w:val="188"/>
      </w:pPr>
      <w:r>
        <w:rPr>
          <w:rFonts w:hint="eastAsia"/>
        </w:rPr>
        <w:t>定期核查健康证；</w:t>
      </w:r>
    </w:p>
    <w:p w14:paraId="0299E1F0">
      <w:pPr>
        <w:pStyle w:val="188"/>
      </w:pPr>
      <w:r>
        <w:rPr>
          <w:rFonts w:hint="eastAsia"/>
        </w:rPr>
        <w:t>食品安全风险管控到位。</w:t>
      </w:r>
    </w:p>
    <w:p w14:paraId="67F8231C">
      <w:pPr>
        <w:pStyle w:val="105"/>
        <w:spacing w:before="312" w:after="312"/>
      </w:pPr>
      <w:r>
        <w:t>标识管理</w:t>
      </w:r>
    </w:p>
    <w:p w14:paraId="0668176C">
      <w:pPr>
        <w:pStyle w:val="163"/>
        <w:spacing w:after="156"/>
      </w:pPr>
      <w:r>
        <w:rPr>
          <w:rFonts w:hint="eastAsia"/>
        </w:rPr>
        <w:t>标识应保持整洁、明亮，当标识破损、变色、褪色时，</w:t>
      </w:r>
      <w:r>
        <w:rPr>
          <w:rFonts w:hint="eastAsia"/>
          <w:lang w:eastAsia="zh-CN"/>
        </w:rPr>
        <w:t>食品生产者</w:t>
      </w:r>
      <w:r>
        <w:rPr>
          <w:rFonts w:hint="eastAsia"/>
        </w:rPr>
        <w:t>应及时维护、更新，以保证标识正确、醒目，达到安全警示的目的。</w:t>
      </w:r>
    </w:p>
    <w:p w14:paraId="1BAD9251">
      <w:pPr>
        <w:pStyle w:val="163"/>
        <w:spacing w:after="156"/>
      </w:pPr>
      <w:r>
        <w:rPr>
          <w:rFonts w:hint="eastAsia"/>
        </w:rPr>
        <w:t>当食品生产工艺流程变更、设施设备更换、加工车间升级改造等情况，应对标识及时维护、更新。</w:t>
      </w:r>
      <w:bookmarkEnd w:id="20"/>
    </w:p>
    <w:p w14:paraId="5C64BB38">
      <w:pPr>
        <w:pStyle w:val="163"/>
        <w:numPr>
          <w:ilvl w:val="2"/>
          <w:numId w:val="0"/>
        </w:numPr>
        <w:spacing w:after="156"/>
        <w:ind w:leftChars="0"/>
        <w:jc w:val="center"/>
      </w:pPr>
      <w:bookmarkStart w:id="43" w:name="BookMark8"/>
      <w:r>
        <w:rPr>
          <w:rFonts w:hint="eastAsia"/>
        </w:rPr>
        <w:drawing>
          <wp:inline distT="0" distB="0" distL="0" distR="0">
            <wp:extent cx="1485900" cy="317500"/>
            <wp:effectExtent l="0" t="0" r="0" b="6350"/>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B370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F25C9">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C6089">
    <w:pPr>
      <w:pStyle w:val="53"/>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12A2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32CF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39CBF">
    <w:pPr>
      <w:pStyle w:val="62"/>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095E">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86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86C"/>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D29"/>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1A5"/>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231"/>
    <w:rsid w:val="0041477A"/>
    <w:rsid w:val="004167A3"/>
    <w:rsid w:val="00432DAA"/>
    <w:rsid w:val="00434305"/>
    <w:rsid w:val="00435DF7"/>
    <w:rsid w:val="0044083F"/>
    <w:rsid w:val="00441AE7"/>
    <w:rsid w:val="00445574"/>
    <w:rsid w:val="004467FB"/>
    <w:rsid w:val="00452D6B"/>
    <w:rsid w:val="00454484"/>
    <w:rsid w:val="0045517B"/>
    <w:rsid w:val="00461D2F"/>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515"/>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C4B"/>
    <w:rsid w:val="005B3A65"/>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F7B"/>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CD8"/>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942"/>
    <w:rsid w:val="00A4452E"/>
    <w:rsid w:val="00A4472C"/>
    <w:rsid w:val="00A44E69"/>
    <w:rsid w:val="00A4661E"/>
    <w:rsid w:val="00A55BD6"/>
    <w:rsid w:val="00A55D50"/>
    <w:rsid w:val="00A57142"/>
    <w:rsid w:val="00A648CD"/>
    <w:rsid w:val="00A6537A"/>
    <w:rsid w:val="00A67866"/>
    <w:rsid w:val="00A70B07"/>
    <w:rsid w:val="00A723F8"/>
    <w:rsid w:val="00A77CCB"/>
    <w:rsid w:val="00A8114D"/>
    <w:rsid w:val="00A83D8D"/>
    <w:rsid w:val="00A8446B"/>
    <w:rsid w:val="00A8473F"/>
    <w:rsid w:val="00A862D6"/>
    <w:rsid w:val="00A8715E"/>
    <w:rsid w:val="00A9295B"/>
    <w:rsid w:val="00A93861"/>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A78"/>
    <w:rsid w:val="00BA7C9A"/>
    <w:rsid w:val="00BB071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0B1"/>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3FA"/>
    <w:rsid w:val="00CA375D"/>
    <w:rsid w:val="00CA662A"/>
    <w:rsid w:val="00CA7AFD"/>
    <w:rsid w:val="00CA7C3C"/>
    <w:rsid w:val="00CB0189"/>
    <w:rsid w:val="00CB0BA2"/>
    <w:rsid w:val="00CB1A42"/>
    <w:rsid w:val="00CB1B0C"/>
    <w:rsid w:val="00CB2C0B"/>
    <w:rsid w:val="00CB517D"/>
    <w:rsid w:val="00CB6DA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6CE5"/>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97F"/>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2C5712"/>
    <w:rsid w:val="1A450F5F"/>
    <w:rsid w:val="23AE544F"/>
    <w:rsid w:val="24821EA2"/>
    <w:rsid w:val="2B4F70BA"/>
    <w:rsid w:val="4823312A"/>
    <w:rsid w:val="4E0B487F"/>
    <w:rsid w:val="54E342B3"/>
    <w:rsid w:val="55E818E2"/>
    <w:rsid w:val="5F5F6BC4"/>
    <w:rsid w:val="60B83AF3"/>
    <w:rsid w:val="60E65F12"/>
    <w:rsid w:val="664220A1"/>
    <w:rsid w:val="66F17B8E"/>
    <w:rsid w:val="77693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修订1"/>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image" Target="media/image2.emf"/><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5847ADF7CF4A6C99B0DC8772CA24DD"/>
        <w:style w:val=""/>
        <w:category>
          <w:name w:val="常规"/>
          <w:gallery w:val="placeholder"/>
        </w:category>
        <w:types>
          <w:type w:val="bbPlcHdr"/>
        </w:types>
        <w:behaviors>
          <w:behavior w:val="content"/>
        </w:behaviors>
        <w:description w:val=""/>
        <w:guid w:val="{FC70CA66-B28B-4C9C-BD08-2B81D8398356}"/>
      </w:docPartPr>
      <w:docPartBody>
        <w:p w14:paraId="37533D1E">
          <w:pPr>
            <w:pStyle w:val="5"/>
          </w:pPr>
          <w:r>
            <w:rPr>
              <w:rStyle w:val="4"/>
              <w:rFonts w:hint="eastAsia"/>
            </w:rPr>
            <w:t>单击或点击此处输入文字。</w:t>
          </w:r>
        </w:p>
      </w:docPartBody>
    </w:docPart>
    <w:docPart>
      <w:docPartPr>
        <w:name w:val="F611956CFA1649DD9A3CA82D6C448408"/>
        <w:style w:val=""/>
        <w:category>
          <w:name w:val="常规"/>
          <w:gallery w:val="placeholder"/>
        </w:category>
        <w:types>
          <w:type w:val="bbPlcHdr"/>
        </w:types>
        <w:behaviors>
          <w:behavior w:val="content"/>
        </w:behaviors>
        <w:description w:val=""/>
        <w:guid w:val="{38712F82-EEEE-4E33-B6CA-DAFA3C1E6F7E}"/>
      </w:docPartPr>
      <w:docPartBody>
        <w:p w14:paraId="080F038D">
          <w:pPr>
            <w:pStyle w:val="6"/>
          </w:pPr>
          <w:r>
            <w:rPr>
              <w:rStyle w:val="4"/>
              <w:rFonts w:hint="eastAsia"/>
            </w:rPr>
            <w:t>选择一项。</w:t>
          </w:r>
        </w:p>
      </w:docPartBody>
    </w:docPart>
    <w:docPart>
      <w:docPartPr>
        <w:name w:val="2C9FAF2F31354427A7153E73871166A6"/>
        <w:style w:val=""/>
        <w:category>
          <w:name w:val="常规"/>
          <w:gallery w:val="placeholder"/>
        </w:category>
        <w:types>
          <w:type w:val="bbPlcHdr"/>
        </w:types>
        <w:behaviors>
          <w:behavior w:val="content"/>
        </w:behaviors>
        <w:description w:val=""/>
        <w:guid w:val="{9841C181-4E53-4BD0-B9FE-A66C0D3FD6EC}"/>
      </w:docPartPr>
      <w:docPartBody>
        <w:p w14:paraId="199ADEB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2C2"/>
    <w:rsid w:val="00195099"/>
    <w:rsid w:val="00390607"/>
    <w:rsid w:val="007132C2"/>
    <w:rsid w:val="0071496A"/>
    <w:rsid w:val="00771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F5847ADF7CF4A6C99B0DC8772CA24D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611956CFA1649DD9A3CA82D6C4484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C9FAF2F31354427A7153E73871166A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517</Words>
  <Characters>639</Characters>
  <Lines>25</Lines>
  <Paragraphs>7</Paragraphs>
  <TotalTime>5</TotalTime>
  <ScaleCrop>false</ScaleCrop>
  <LinksUpToDate>false</LinksUpToDate>
  <CharactersWithSpaces>682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2024-12-27T04:05:00Z</dcterms:created>
  <dc:creator>标准研究部</dc:creator>
  <dc:description>&lt;config cover="true" show_menu="true" version="1.0.0" doctype="SDKXY"&gt;_x000d_
&lt;/config&gt;</dc:description>
  <cp:lastModifiedBy>VVADE</cp:lastModifiedBy>
  <cp:lastPrinted>2020-08-30T10:00:00Z</cp:lastPrinted>
  <dcterms:modified xsi:type="dcterms:W3CDTF">2025-01-07T01:10:06Z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eyJoZGlkIjoiYzQxNmZjYWVlOWU0NTg5N2ZhNjYyNDg3ZTJjYWJhNTMiLCJ1c2VySWQiOiIyODI3NzAzMTAifQ==</vt:lpwstr>
  </property>
  <property fmtid="{D5CDD505-2E9C-101B-9397-08002B2CF9AE}" pid="15" name="KSOProductBuildVer">
    <vt:lpwstr>2052-12.1.0.19770</vt:lpwstr>
  </property>
  <property fmtid="{D5CDD505-2E9C-101B-9397-08002B2CF9AE}" pid="16" name="ICV">
    <vt:lpwstr>C787313B7B5149188EFA169944E2F88F_13</vt:lpwstr>
  </property>
</Properties>
</file>