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C714A">
      <w:pPr>
        <w:spacing w:line="360" w:lineRule="auto"/>
        <w:jc w:val="center"/>
        <w:rPr>
          <w:rFonts w:ascii="华文中宋" w:hAnsi="华文中宋" w:eastAsia="华文中宋"/>
          <w:color w:val="000000"/>
          <w:sz w:val="36"/>
          <w:szCs w:val="36"/>
        </w:rPr>
      </w:pPr>
      <w:r>
        <w:rPr>
          <w:rFonts w:hint="eastAsia" w:ascii="黑体" w:hAnsi="黑体" w:eastAsia="黑体" w:cs="黑体"/>
          <w:color w:val="000000"/>
        </w:rPr>
        <w:t>安徽省地方标准编制说明</w:t>
      </w:r>
    </w:p>
    <w:tbl>
      <w:tblPr>
        <w:tblStyle w:val="2"/>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322"/>
        <w:gridCol w:w="3501"/>
        <w:gridCol w:w="879"/>
        <w:gridCol w:w="1122"/>
        <w:gridCol w:w="2052"/>
      </w:tblGrid>
      <w:tr w14:paraId="0CD0F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20D95271">
            <w:pPr>
              <w:pStyle w:val="4"/>
              <w:adjustRightInd w:val="0"/>
              <w:spacing w:line="360" w:lineRule="auto"/>
              <w:ind w:firstLine="0" w:firstLineChars="0"/>
              <w:contextualSpacing/>
              <w:jc w:val="center"/>
              <w:rPr>
                <w:rFonts w:hAnsi="宋体"/>
                <w:szCs w:val="21"/>
              </w:rPr>
            </w:pPr>
            <w:r>
              <w:rPr>
                <w:rFonts w:hint="eastAsia" w:hAnsi="宋体"/>
                <w:szCs w:val="21"/>
              </w:rPr>
              <w:t>标准名称</w:t>
            </w:r>
          </w:p>
        </w:tc>
        <w:tc>
          <w:tcPr>
            <w:tcW w:w="7554" w:type="dxa"/>
            <w:gridSpan w:val="4"/>
            <w:vAlign w:val="center"/>
          </w:tcPr>
          <w:p w14:paraId="689A051B">
            <w:pPr>
              <w:pStyle w:val="4"/>
              <w:adjustRightInd w:val="0"/>
              <w:spacing w:line="360" w:lineRule="auto"/>
              <w:ind w:firstLine="0" w:firstLineChars="0"/>
              <w:contextualSpacing/>
              <w:jc w:val="left"/>
              <w:rPr>
                <w:rFonts w:hint="eastAsia" w:hAnsi="宋体"/>
                <w:szCs w:val="21"/>
              </w:rPr>
            </w:pPr>
            <w:r>
              <w:rPr>
                <w:rFonts w:hint="eastAsia" w:hAnsi="宋体"/>
                <w:szCs w:val="21"/>
              </w:rPr>
              <w:t>食品生产风险防控标识使用规范</w:t>
            </w:r>
          </w:p>
        </w:tc>
      </w:tr>
      <w:tr w14:paraId="441A6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37939492">
            <w:pPr>
              <w:pStyle w:val="4"/>
              <w:adjustRightInd w:val="0"/>
              <w:spacing w:line="360" w:lineRule="auto"/>
              <w:ind w:firstLine="0" w:firstLineChars="0"/>
              <w:contextualSpacing/>
              <w:jc w:val="center"/>
              <w:rPr>
                <w:rFonts w:hAnsi="宋体"/>
                <w:szCs w:val="21"/>
              </w:rPr>
            </w:pPr>
            <w:r>
              <w:rPr>
                <w:rFonts w:hint="eastAsia" w:hAnsi="宋体"/>
                <w:szCs w:val="21"/>
              </w:rPr>
              <w:t>任务来源</w:t>
            </w:r>
          </w:p>
          <w:p w14:paraId="0C41F856">
            <w:pPr>
              <w:pStyle w:val="4"/>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554" w:type="dxa"/>
            <w:gridSpan w:val="4"/>
            <w:vAlign w:val="center"/>
          </w:tcPr>
          <w:p w14:paraId="2FF182D6">
            <w:pPr>
              <w:pStyle w:val="4"/>
              <w:adjustRightInd w:val="0"/>
              <w:spacing w:line="360" w:lineRule="auto"/>
              <w:ind w:firstLine="0" w:firstLineChars="0"/>
              <w:contextualSpacing/>
              <w:jc w:val="left"/>
              <w:rPr>
                <w:rFonts w:hint="default" w:hAnsi="宋体"/>
                <w:szCs w:val="21"/>
                <w:lang w:val="en-US" w:eastAsia="zh-CN"/>
              </w:rPr>
            </w:pPr>
            <w:r>
              <w:rPr>
                <w:rFonts w:hint="eastAsia" w:hAnsi="宋体"/>
                <w:szCs w:val="21"/>
                <w:lang w:val="en-US" w:eastAsia="zh-CN"/>
              </w:rPr>
              <w:t>2024-4-18</w:t>
            </w:r>
          </w:p>
        </w:tc>
      </w:tr>
      <w:tr w14:paraId="73C86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3BAB659C">
            <w:pPr>
              <w:pStyle w:val="4"/>
              <w:adjustRightInd w:val="0"/>
              <w:spacing w:line="360" w:lineRule="auto"/>
              <w:ind w:firstLine="0" w:firstLineChars="0"/>
              <w:contextualSpacing/>
              <w:jc w:val="center"/>
              <w:rPr>
                <w:rFonts w:hAnsi="宋体"/>
                <w:szCs w:val="21"/>
              </w:rPr>
            </w:pPr>
            <w:r>
              <w:rPr>
                <w:rFonts w:hint="eastAsia" w:hAnsi="宋体"/>
                <w:szCs w:val="21"/>
              </w:rPr>
              <w:t>第一起草单位</w:t>
            </w:r>
          </w:p>
          <w:p w14:paraId="399F167C">
            <w:pPr>
              <w:pStyle w:val="4"/>
              <w:adjustRightInd w:val="0"/>
              <w:spacing w:line="360" w:lineRule="auto"/>
              <w:ind w:firstLine="0" w:firstLineChars="0"/>
              <w:contextualSpacing/>
              <w:jc w:val="center"/>
              <w:rPr>
                <w:rFonts w:hAnsi="宋体"/>
                <w:szCs w:val="21"/>
              </w:rPr>
            </w:pPr>
            <w:r>
              <w:rPr>
                <w:rFonts w:hint="eastAsia" w:hAnsi="宋体"/>
                <w:szCs w:val="21"/>
              </w:rPr>
              <w:t>（盖章）</w:t>
            </w:r>
          </w:p>
        </w:tc>
        <w:tc>
          <w:tcPr>
            <w:tcW w:w="7554" w:type="dxa"/>
            <w:gridSpan w:val="4"/>
            <w:vAlign w:val="center"/>
          </w:tcPr>
          <w:p w14:paraId="3805B05C">
            <w:pPr>
              <w:pStyle w:val="4"/>
              <w:adjustRightInd w:val="0"/>
              <w:spacing w:line="360" w:lineRule="auto"/>
              <w:ind w:firstLine="0" w:firstLineChars="0"/>
              <w:contextualSpacing/>
              <w:jc w:val="left"/>
              <w:rPr>
                <w:rFonts w:hint="default" w:hAnsi="宋体"/>
                <w:szCs w:val="21"/>
                <w:lang w:val="en-US" w:eastAsia="zh-CN"/>
              </w:rPr>
            </w:pPr>
            <w:r>
              <w:rPr>
                <w:rFonts w:hint="eastAsia" w:hAnsi="宋体"/>
                <w:szCs w:val="21"/>
                <w:lang w:val="en-US" w:eastAsia="zh-CN"/>
              </w:rPr>
              <w:t>芜湖市标准化研究院</w:t>
            </w:r>
          </w:p>
        </w:tc>
      </w:tr>
      <w:tr w14:paraId="5E6C6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2C9593F6">
            <w:pPr>
              <w:pStyle w:val="4"/>
              <w:adjustRightInd w:val="0"/>
              <w:spacing w:line="360" w:lineRule="auto"/>
              <w:ind w:firstLine="0" w:firstLineChars="0"/>
              <w:contextualSpacing/>
              <w:jc w:val="center"/>
              <w:rPr>
                <w:rFonts w:hAnsi="宋体"/>
                <w:szCs w:val="21"/>
              </w:rPr>
            </w:pPr>
            <w:r>
              <w:rPr>
                <w:rFonts w:hint="eastAsia" w:hAnsi="宋体"/>
                <w:szCs w:val="21"/>
              </w:rPr>
              <w:t>单位地址</w:t>
            </w:r>
          </w:p>
        </w:tc>
        <w:tc>
          <w:tcPr>
            <w:tcW w:w="7554" w:type="dxa"/>
            <w:gridSpan w:val="4"/>
            <w:vAlign w:val="center"/>
          </w:tcPr>
          <w:p w14:paraId="3E854BC3">
            <w:pPr>
              <w:pStyle w:val="4"/>
              <w:adjustRightInd w:val="0"/>
              <w:spacing w:line="360" w:lineRule="auto"/>
              <w:ind w:firstLine="0" w:firstLineChars="0"/>
              <w:contextualSpacing/>
              <w:jc w:val="left"/>
              <w:rPr>
                <w:rFonts w:hint="default" w:hAnsi="宋体"/>
                <w:szCs w:val="21"/>
                <w:lang w:val="en-US" w:eastAsia="zh-CN"/>
              </w:rPr>
            </w:pPr>
            <w:r>
              <w:rPr>
                <w:rFonts w:hint="eastAsia" w:hAnsi="宋体"/>
                <w:szCs w:val="21"/>
                <w:lang w:val="en-US" w:eastAsia="zh-CN"/>
              </w:rPr>
              <w:t>芜湖市鸠江区万春西路20号</w:t>
            </w:r>
          </w:p>
        </w:tc>
      </w:tr>
      <w:tr w14:paraId="0908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64287F09">
            <w:pPr>
              <w:pStyle w:val="4"/>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554" w:type="dxa"/>
            <w:gridSpan w:val="4"/>
            <w:vAlign w:val="center"/>
          </w:tcPr>
          <w:p w14:paraId="5421F945">
            <w:pPr>
              <w:pStyle w:val="4"/>
              <w:adjustRightInd w:val="0"/>
              <w:spacing w:line="360" w:lineRule="auto"/>
              <w:ind w:firstLine="0" w:firstLineChars="0"/>
              <w:contextualSpacing/>
              <w:jc w:val="left"/>
              <w:rPr>
                <w:rFonts w:hint="eastAsia" w:hAnsi="宋体"/>
                <w:szCs w:val="21"/>
              </w:rPr>
            </w:pPr>
          </w:p>
        </w:tc>
      </w:tr>
      <w:tr w14:paraId="04BE3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56A04666">
            <w:pPr>
              <w:pStyle w:val="4"/>
              <w:adjustRightInd w:val="0"/>
              <w:spacing w:line="360" w:lineRule="auto"/>
              <w:ind w:firstLine="0" w:firstLineChars="0"/>
              <w:contextualSpacing/>
              <w:jc w:val="center"/>
              <w:rPr>
                <w:rFonts w:hAnsi="宋体"/>
                <w:szCs w:val="21"/>
              </w:rPr>
            </w:pPr>
            <w:r>
              <w:rPr>
                <w:rFonts w:hint="eastAsia" w:hAnsi="宋体"/>
                <w:szCs w:val="21"/>
              </w:rPr>
              <w:t>标准起草人</w:t>
            </w:r>
          </w:p>
          <w:p w14:paraId="07914231">
            <w:pPr>
              <w:pStyle w:val="4"/>
              <w:adjustRightInd w:val="0"/>
              <w:spacing w:line="360" w:lineRule="auto"/>
              <w:ind w:firstLine="0" w:firstLineChars="0"/>
              <w:contextualSpacing/>
              <w:jc w:val="center"/>
              <w:rPr>
                <w:rFonts w:hAnsi="宋体"/>
                <w:szCs w:val="21"/>
              </w:rPr>
            </w:pPr>
            <w:r>
              <w:rPr>
                <w:rFonts w:hint="eastAsia" w:hAnsi="宋体"/>
                <w:szCs w:val="21"/>
              </w:rPr>
              <w:t>（全部起草人，应与标准文本前言中起草人排序一致）</w:t>
            </w:r>
          </w:p>
        </w:tc>
      </w:tr>
      <w:tr w14:paraId="5AE8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B0F49CD">
            <w:pPr>
              <w:pStyle w:val="4"/>
              <w:adjustRightInd w:val="0"/>
              <w:spacing w:line="360" w:lineRule="auto"/>
              <w:ind w:firstLine="0" w:firstLineChars="0"/>
              <w:contextualSpacing/>
              <w:jc w:val="center"/>
              <w:rPr>
                <w:rFonts w:hAnsi="宋体"/>
                <w:szCs w:val="21"/>
              </w:rPr>
            </w:pPr>
            <w:r>
              <w:rPr>
                <w:rFonts w:hint="eastAsia" w:hAnsi="宋体"/>
                <w:szCs w:val="21"/>
              </w:rPr>
              <w:t>序号</w:t>
            </w:r>
          </w:p>
        </w:tc>
        <w:tc>
          <w:tcPr>
            <w:tcW w:w="1322" w:type="dxa"/>
            <w:vAlign w:val="center"/>
          </w:tcPr>
          <w:p w14:paraId="16B81A9F">
            <w:pPr>
              <w:pStyle w:val="4"/>
              <w:adjustRightInd w:val="0"/>
              <w:spacing w:line="360" w:lineRule="auto"/>
              <w:ind w:firstLine="0" w:firstLineChars="0"/>
              <w:contextualSpacing/>
              <w:jc w:val="center"/>
              <w:rPr>
                <w:rFonts w:hAnsi="宋体"/>
                <w:szCs w:val="21"/>
              </w:rPr>
            </w:pPr>
            <w:r>
              <w:rPr>
                <w:rFonts w:hint="eastAsia" w:hAnsi="宋体"/>
                <w:szCs w:val="21"/>
              </w:rPr>
              <w:t>姓名</w:t>
            </w:r>
          </w:p>
        </w:tc>
        <w:tc>
          <w:tcPr>
            <w:tcW w:w="3501" w:type="dxa"/>
            <w:vAlign w:val="center"/>
          </w:tcPr>
          <w:p w14:paraId="35A5C422">
            <w:pPr>
              <w:pStyle w:val="4"/>
              <w:adjustRightInd w:val="0"/>
              <w:spacing w:line="360" w:lineRule="auto"/>
              <w:ind w:firstLine="0" w:firstLineChars="0"/>
              <w:contextualSpacing/>
              <w:jc w:val="center"/>
              <w:rPr>
                <w:rFonts w:hAnsi="宋体"/>
                <w:szCs w:val="21"/>
              </w:rPr>
            </w:pPr>
            <w:r>
              <w:rPr>
                <w:rFonts w:hint="eastAsia" w:hAnsi="宋体"/>
                <w:szCs w:val="21"/>
              </w:rPr>
              <w:t>单位</w:t>
            </w:r>
          </w:p>
        </w:tc>
        <w:tc>
          <w:tcPr>
            <w:tcW w:w="879" w:type="dxa"/>
            <w:vAlign w:val="center"/>
          </w:tcPr>
          <w:p w14:paraId="17804871">
            <w:pPr>
              <w:pStyle w:val="4"/>
              <w:adjustRightInd w:val="0"/>
              <w:spacing w:line="360" w:lineRule="auto"/>
              <w:ind w:firstLine="0" w:firstLineChars="0"/>
              <w:contextualSpacing/>
              <w:jc w:val="center"/>
              <w:rPr>
                <w:rFonts w:hAnsi="宋体"/>
                <w:szCs w:val="21"/>
              </w:rPr>
            </w:pPr>
            <w:r>
              <w:rPr>
                <w:rFonts w:hint="eastAsia" w:hAnsi="宋体"/>
                <w:szCs w:val="21"/>
              </w:rPr>
              <w:t>职务</w:t>
            </w:r>
          </w:p>
        </w:tc>
        <w:tc>
          <w:tcPr>
            <w:tcW w:w="1122" w:type="dxa"/>
            <w:vAlign w:val="center"/>
          </w:tcPr>
          <w:p w14:paraId="58E03043">
            <w:pPr>
              <w:pStyle w:val="4"/>
              <w:adjustRightInd w:val="0"/>
              <w:spacing w:line="360" w:lineRule="auto"/>
              <w:ind w:firstLine="0" w:firstLineChars="0"/>
              <w:contextualSpacing/>
              <w:jc w:val="center"/>
              <w:rPr>
                <w:rFonts w:hAnsi="宋体"/>
                <w:szCs w:val="21"/>
              </w:rPr>
            </w:pPr>
            <w:r>
              <w:rPr>
                <w:rFonts w:hint="eastAsia" w:hAnsi="宋体"/>
                <w:szCs w:val="21"/>
              </w:rPr>
              <w:t>职称</w:t>
            </w:r>
          </w:p>
        </w:tc>
        <w:tc>
          <w:tcPr>
            <w:tcW w:w="2052" w:type="dxa"/>
            <w:vAlign w:val="center"/>
          </w:tcPr>
          <w:p w14:paraId="12EB7DFA">
            <w:pPr>
              <w:pStyle w:val="4"/>
              <w:adjustRightInd w:val="0"/>
              <w:spacing w:line="360" w:lineRule="auto"/>
              <w:ind w:firstLine="0" w:firstLineChars="0"/>
              <w:contextualSpacing/>
              <w:jc w:val="center"/>
              <w:rPr>
                <w:rFonts w:hAnsi="宋体"/>
                <w:szCs w:val="21"/>
              </w:rPr>
            </w:pPr>
            <w:r>
              <w:rPr>
                <w:rFonts w:hint="eastAsia" w:hAnsi="宋体"/>
                <w:szCs w:val="21"/>
              </w:rPr>
              <w:t>电话</w:t>
            </w:r>
          </w:p>
        </w:tc>
      </w:tr>
      <w:tr w14:paraId="56D2D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2684DE17">
            <w:pPr>
              <w:pStyle w:val="4"/>
              <w:adjustRightInd w:val="0"/>
              <w:spacing w:line="360" w:lineRule="auto"/>
              <w:ind w:firstLine="0" w:firstLineChars="0"/>
              <w:contextualSpacing/>
              <w:rPr>
                <w:rFonts w:hAnsi="宋体"/>
                <w:szCs w:val="21"/>
              </w:rPr>
            </w:pPr>
          </w:p>
        </w:tc>
        <w:tc>
          <w:tcPr>
            <w:tcW w:w="1322" w:type="dxa"/>
            <w:vAlign w:val="center"/>
          </w:tcPr>
          <w:p w14:paraId="3749359B">
            <w:pPr>
              <w:pStyle w:val="4"/>
              <w:adjustRightInd w:val="0"/>
              <w:spacing w:line="360" w:lineRule="auto"/>
              <w:ind w:firstLine="0" w:firstLineChars="0"/>
              <w:contextualSpacing/>
              <w:rPr>
                <w:rFonts w:hAnsi="宋体"/>
                <w:szCs w:val="21"/>
              </w:rPr>
            </w:pPr>
          </w:p>
        </w:tc>
        <w:tc>
          <w:tcPr>
            <w:tcW w:w="3501" w:type="dxa"/>
            <w:vAlign w:val="center"/>
          </w:tcPr>
          <w:p w14:paraId="1A044CEE">
            <w:pPr>
              <w:pStyle w:val="4"/>
              <w:adjustRightInd w:val="0"/>
              <w:spacing w:line="360" w:lineRule="auto"/>
              <w:ind w:firstLine="0" w:firstLineChars="0"/>
              <w:contextualSpacing/>
              <w:rPr>
                <w:rFonts w:hAnsi="宋体"/>
                <w:szCs w:val="21"/>
              </w:rPr>
            </w:pPr>
          </w:p>
        </w:tc>
        <w:tc>
          <w:tcPr>
            <w:tcW w:w="879" w:type="dxa"/>
            <w:vAlign w:val="center"/>
          </w:tcPr>
          <w:p w14:paraId="6833281A">
            <w:pPr>
              <w:pStyle w:val="4"/>
              <w:adjustRightInd w:val="0"/>
              <w:spacing w:line="360" w:lineRule="auto"/>
              <w:ind w:firstLine="0" w:firstLineChars="0"/>
              <w:contextualSpacing/>
              <w:rPr>
                <w:rFonts w:hAnsi="宋体"/>
                <w:szCs w:val="21"/>
              </w:rPr>
            </w:pPr>
          </w:p>
        </w:tc>
        <w:tc>
          <w:tcPr>
            <w:tcW w:w="1122" w:type="dxa"/>
            <w:vAlign w:val="center"/>
          </w:tcPr>
          <w:p w14:paraId="2710361C">
            <w:pPr>
              <w:pStyle w:val="4"/>
              <w:adjustRightInd w:val="0"/>
              <w:spacing w:line="360" w:lineRule="auto"/>
              <w:ind w:firstLine="0" w:firstLineChars="0"/>
              <w:contextualSpacing/>
              <w:rPr>
                <w:rFonts w:hAnsi="宋体"/>
                <w:szCs w:val="21"/>
              </w:rPr>
            </w:pPr>
          </w:p>
        </w:tc>
        <w:tc>
          <w:tcPr>
            <w:tcW w:w="2052" w:type="dxa"/>
            <w:vAlign w:val="center"/>
          </w:tcPr>
          <w:p w14:paraId="073C9A84">
            <w:pPr>
              <w:pStyle w:val="4"/>
              <w:adjustRightInd w:val="0"/>
              <w:spacing w:line="360" w:lineRule="auto"/>
              <w:ind w:firstLine="0" w:firstLineChars="0"/>
              <w:contextualSpacing/>
              <w:rPr>
                <w:rFonts w:hAnsi="宋体"/>
                <w:szCs w:val="21"/>
              </w:rPr>
            </w:pPr>
          </w:p>
        </w:tc>
      </w:tr>
      <w:tr w14:paraId="1D39B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1D40B98F">
            <w:pPr>
              <w:pStyle w:val="4"/>
              <w:adjustRightInd w:val="0"/>
              <w:spacing w:line="360" w:lineRule="auto"/>
              <w:ind w:firstLine="0" w:firstLineChars="0"/>
              <w:contextualSpacing/>
              <w:rPr>
                <w:rFonts w:hAnsi="宋体"/>
                <w:szCs w:val="21"/>
              </w:rPr>
            </w:pPr>
          </w:p>
        </w:tc>
        <w:tc>
          <w:tcPr>
            <w:tcW w:w="1322" w:type="dxa"/>
            <w:vAlign w:val="center"/>
          </w:tcPr>
          <w:p w14:paraId="17ABF53F">
            <w:pPr>
              <w:pStyle w:val="4"/>
              <w:adjustRightInd w:val="0"/>
              <w:spacing w:line="360" w:lineRule="auto"/>
              <w:ind w:firstLine="0" w:firstLineChars="0"/>
              <w:contextualSpacing/>
              <w:rPr>
                <w:rFonts w:hAnsi="宋体"/>
                <w:szCs w:val="21"/>
              </w:rPr>
            </w:pPr>
          </w:p>
        </w:tc>
        <w:tc>
          <w:tcPr>
            <w:tcW w:w="3501" w:type="dxa"/>
            <w:vAlign w:val="center"/>
          </w:tcPr>
          <w:p w14:paraId="645F1A4B">
            <w:pPr>
              <w:pStyle w:val="4"/>
              <w:adjustRightInd w:val="0"/>
              <w:spacing w:line="360" w:lineRule="auto"/>
              <w:ind w:firstLine="0" w:firstLineChars="0"/>
              <w:contextualSpacing/>
              <w:rPr>
                <w:rFonts w:hAnsi="宋体"/>
                <w:szCs w:val="21"/>
              </w:rPr>
            </w:pPr>
          </w:p>
        </w:tc>
        <w:tc>
          <w:tcPr>
            <w:tcW w:w="879" w:type="dxa"/>
            <w:vAlign w:val="center"/>
          </w:tcPr>
          <w:p w14:paraId="776F227B">
            <w:pPr>
              <w:pStyle w:val="4"/>
              <w:adjustRightInd w:val="0"/>
              <w:spacing w:line="360" w:lineRule="auto"/>
              <w:ind w:firstLine="0" w:firstLineChars="0"/>
              <w:contextualSpacing/>
              <w:rPr>
                <w:rFonts w:hAnsi="宋体"/>
                <w:szCs w:val="21"/>
              </w:rPr>
            </w:pPr>
          </w:p>
        </w:tc>
        <w:tc>
          <w:tcPr>
            <w:tcW w:w="1122" w:type="dxa"/>
            <w:vAlign w:val="center"/>
          </w:tcPr>
          <w:p w14:paraId="1494C2C1">
            <w:pPr>
              <w:pStyle w:val="4"/>
              <w:adjustRightInd w:val="0"/>
              <w:spacing w:line="360" w:lineRule="auto"/>
              <w:ind w:firstLine="0" w:firstLineChars="0"/>
              <w:contextualSpacing/>
              <w:rPr>
                <w:rFonts w:hAnsi="宋体"/>
                <w:szCs w:val="21"/>
              </w:rPr>
            </w:pPr>
          </w:p>
        </w:tc>
        <w:tc>
          <w:tcPr>
            <w:tcW w:w="2052" w:type="dxa"/>
            <w:vAlign w:val="center"/>
          </w:tcPr>
          <w:p w14:paraId="489B877F">
            <w:pPr>
              <w:pStyle w:val="4"/>
              <w:adjustRightInd w:val="0"/>
              <w:spacing w:line="360" w:lineRule="auto"/>
              <w:ind w:firstLine="0" w:firstLineChars="0"/>
              <w:contextualSpacing/>
              <w:rPr>
                <w:rFonts w:hAnsi="宋体"/>
                <w:szCs w:val="21"/>
              </w:rPr>
            </w:pPr>
          </w:p>
        </w:tc>
      </w:tr>
      <w:tr w14:paraId="75CA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32DC5A2">
            <w:pPr>
              <w:pStyle w:val="4"/>
              <w:adjustRightInd w:val="0"/>
              <w:spacing w:line="360" w:lineRule="auto"/>
              <w:ind w:firstLine="0" w:firstLineChars="0"/>
              <w:contextualSpacing/>
              <w:rPr>
                <w:rFonts w:hAnsi="宋体"/>
                <w:szCs w:val="21"/>
              </w:rPr>
            </w:pPr>
          </w:p>
        </w:tc>
        <w:tc>
          <w:tcPr>
            <w:tcW w:w="1322" w:type="dxa"/>
            <w:vAlign w:val="center"/>
          </w:tcPr>
          <w:p w14:paraId="7D44FD80">
            <w:pPr>
              <w:pStyle w:val="4"/>
              <w:adjustRightInd w:val="0"/>
              <w:spacing w:line="360" w:lineRule="auto"/>
              <w:ind w:firstLine="0" w:firstLineChars="0"/>
              <w:contextualSpacing/>
              <w:rPr>
                <w:rFonts w:hAnsi="宋体"/>
                <w:szCs w:val="21"/>
              </w:rPr>
            </w:pPr>
          </w:p>
        </w:tc>
        <w:tc>
          <w:tcPr>
            <w:tcW w:w="3501" w:type="dxa"/>
            <w:vAlign w:val="center"/>
          </w:tcPr>
          <w:p w14:paraId="3886E378">
            <w:pPr>
              <w:pStyle w:val="4"/>
              <w:adjustRightInd w:val="0"/>
              <w:spacing w:line="360" w:lineRule="auto"/>
              <w:ind w:firstLine="0" w:firstLineChars="0"/>
              <w:contextualSpacing/>
              <w:rPr>
                <w:rFonts w:hAnsi="宋体"/>
                <w:szCs w:val="21"/>
              </w:rPr>
            </w:pPr>
          </w:p>
        </w:tc>
        <w:tc>
          <w:tcPr>
            <w:tcW w:w="879" w:type="dxa"/>
            <w:vAlign w:val="center"/>
          </w:tcPr>
          <w:p w14:paraId="62D4970A">
            <w:pPr>
              <w:pStyle w:val="4"/>
              <w:adjustRightInd w:val="0"/>
              <w:spacing w:line="360" w:lineRule="auto"/>
              <w:ind w:firstLine="0" w:firstLineChars="0"/>
              <w:contextualSpacing/>
              <w:rPr>
                <w:rFonts w:hAnsi="宋体"/>
                <w:szCs w:val="21"/>
              </w:rPr>
            </w:pPr>
          </w:p>
        </w:tc>
        <w:tc>
          <w:tcPr>
            <w:tcW w:w="1122" w:type="dxa"/>
            <w:vAlign w:val="center"/>
          </w:tcPr>
          <w:p w14:paraId="38C2D12E">
            <w:pPr>
              <w:pStyle w:val="4"/>
              <w:adjustRightInd w:val="0"/>
              <w:spacing w:line="360" w:lineRule="auto"/>
              <w:ind w:firstLine="0" w:firstLineChars="0"/>
              <w:contextualSpacing/>
              <w:rPr>
                <w:rFonts w:hAnsi="宋体"/>
                <w:szCs w:val="21"/>
              </w:rPr>
            </w:pPr>
          </w:p>
        </w:tc>
        <w:tc>
          <w:tcPr>
            <w:tcW w:w="2052" w:type="dxa"/>
            <w:vAlign w:val="center"/>
          </w:tcPr>
          <w:p w14:paraId="40E6A08E">
            <w:pPr>
              <w:pStyle w:val="4"/>
              <w:adjustRightInd w:val="0"/>
              <w:spacing w:line="360" w:lineRule="auto"/>
              <w:ind w:firstLine="0" w:firstLineChars="0"/>
              <w:contextualSpacing/>
              <w:rPr>
                <w:rFonts w:hAnsi="宋体"/>
                <w:szCs w:val="21"/>
              </w:rPr>
            </w:pPr>
          </w:p>
        </w:tc>
      </w:tr>
      <w:tr w14:paraId="185E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467B664C">
            <w:pPr>
              <w:pStyle w:val="4"/>
              <w:adjustRightInd w:val="0"/>
              <w:spacing w:line="360" w:lineRule="auto"/>
              <w:ind w:firstLine="0" w:firstLineChars="0"/>
              <w:contextualSpacing/>
              <w:rPr>
                <w:rFonts w:hAnsi="宋体"/>
                <w:szCs w:val="21"/>
              </w:rPr>
            </w:pPr>
          </w:p>
        </w:tc>
        <w:tc>
          <w:tcPr>
            <w:tcW w:w="1322" w:type="dxa"/>
            <w:vAlign w:val="center"/>
          </w:tcPr>
          <w:p w14:paraId="62DA1492">
            <w:pPr>
              <w:pStyle w:val="4"/>
              <w:adjustRightInd w:val="0"/>
              <w:spacing w:line="360" w:lineRule="auto"/>
              <w:ind w:firstLine="0" w:firstLineChars="0"/>
              <w:contextualSpacing/>
              <w:rPr>
                <w:rFonts w:hAnsi="宋体"/>
                <w:szCs w:val="21"/>
              </w:rPr>
            </w:pPr>
          </w:p>
        </w:tc>
        <w:tc>
          <w:tcPr>
            <w:tcW w:w="3501" w:type="dxa"/>
            <w:vAlign w:val="center"/>
          </w:tcPr>
          <w:p w14:paraId="40258E3D">
            <w:pPr>
              <w:pStyle w:val="4"/>
              <w:adjustRightInd w:val="0"/>
              <w:spacing w:line="360" w:lineRule="auto"/>
              <w:ind w:firstLine="0" w:firstLineChars="0"/>
              <w:contextualSpacing/>
              <w:rPr>
                <w:rFonts w:hAnsi="宋体"/>
                <w:szCs w:val="21"/>
              </w:rPr>
            </w:pPr>
          </w:p>
        </w:tc>
        <w:tc>
          <w:tcPr>
            <w:tcW w:w="879" w:type="dxa"/>
            <w:vAlign w:val="center"/>
          </w:tcPr>
          <w:p w14:paraId="1424F016">
            <w:pPr>
              <w:pStyle w:val="4"/>
              <w:adjustRightInd w:val="0"/>
              <w:spacing w:line="360" w:lineRule="auto"/>
              <w:ind w:firstLine="0" w:firstLineChars="0"/>
              <w:contextualSpacing/>
              <w:rPr>
                <w:rFonts w:hAnsi="宋体"/>
                <w:szCs w:val="21"/>
              </w:rPr>
            </w:pPr>
          </w:p>
        </w:tc>
        <w:tc>
          <w:tcPr>
            <w:tcW w:w="1122" w:type="dxa"/>
            <w:vAlign w:val="center"/>
          </w:tcPr>
          <w:p w14:paraId="08B0EB69">
            <w:pPr>
              <w:pStyle w:val="4"/>
              <w:adjustRightInd w:val="0"/>
              <w:spacing w:line="360" w:lineRule="auto"/>
              <w:ind w:firstLine="0" w:firstLineChars="0"/>
              <w:contextualSpacing/>
              <w:rPr>
                <w:rFonts w:hAnsi="宋体"/>
                <w:szCs w:val="21"/>
              </w:rPr>
            </w:pPr>
          </w:p>
        </w:tc>
        <w:tc>
          <w:tcPr>
            <w:tcW w:w="2052" w:type="dxa"/>
            <w:vAlign w:val="center"/>
          </w:tcPr>
          <w:p w14:paraId="66788DD9">
            <w:pPr>
              <w:pStyle w:val="4"/>
              <w:adjustRightInd w:val="0"/>
              <w:spacing w:line="360" w:lineRule="auto"/>
              <w:ind w:firstLine="0" w:firstLineChars="0"/>
              <w:contextualSpacing/>
              <w:rPr>
                <w:rFonts w:hAnsi="宋体"/>
                <w:szCs w:val="21"/>
              </w:rPr>
            </w:pPr>
          </w:p>
        </w:tc>
      </w:tr>
      <w:tr w14:paraId="7992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96F5ED6">
            <w:pPr>
              <w:pStyle w:val="4"/>
              <w:adjustRightInd w:val="0"/>
              <w:spacing w:line="360" w:lineRule="auto"/>
              <w:ind w:firstLine="0" w:firstLineChars="0"/>
              <w:contextualSpacing/>
              <w:rPr>
                <w:rFonts w:hAnsi="宋体"/>
                <w:szCs w:val="21"/>
              </w:rPr>
            </w:pPr>
          </w:p>
        </w:tc>
        <w:tc>
          <w:tcPr>
            <w:tcW w:w="1322" w:type="dxa"/>
            <w:vAlign w:val="center"/>
          </w:tcPr>
          <w:p w14:paraId="156C4550">
            <w:pPr>
              <w:pStyle w:val="4"/>
              <w:adjustRightInd w:val="0"/>
              <w:spacing w:line="360" w:lineRule="auto"/>
              <w:ind w:firstLine="0" w:firstLineChars="0"/>
              <w:contextualSpacing/>
              <w:rPr>
                <w:rFonts w:hAnsi="宋体"/>
                <w:szCs w:val="21"/>
              </w:rPr>
            </w:pPr>
          </w:p>
        </w:tc>
        <w:tc>
          <w:tcPr>
            <w:tcW w:w="3501" w:type="dxa"/>
            <w:vAlign w:val="center"/>
          </w:tcPr>
          <w:p w14:paraId="535F484A">
            <w:pPr>
              <w:pStyle w:val="4"/>
              <w:adjustRightInd w:val="0"/>
              <w:spacing w:line="360" w:lineRule="auto"/>
              <w:ind w:firstLine="0" w:firstLineChars="0"/>
              <w:contextualSpacing/>
              <w:rPr>
                <w:rFonts w:hAnsi="宋体"/>
                <w:szCs w:val="21"/>
              </w:rPr>
            </w:pPr>
          </w:p>
        </w:tc>
        <w:tc>
          <w:tcPr>
            <w:tcW w:w="879" w:type="dxa"/>
            <w:vAlign w:val="center"/>
          </w:tcPr>
          <w:p w14:paraId="380BEC6A">
            <w:pPr>
              <w:pStyle w:val="4"/>
              <w:adjustRightInd w:val="0"/>
              <w:spacing w:line="360" w:lineRule="auto"/>
              <w:ind w:firstLine="0" w:firstLineChars="0"/>
              <w:contextualSpacing/>
              <w:rPr>
                <w:rFonts w:hAnsi="宋体"/>
                <w:szCs w:val="21"/>
              </w:rPr>
            </w:pPr>
          </w:p>
        </w:tc>
        <w:tc>
          <w:tcPr>
            <w:tcW w:w="1122" w:type="dxa"/>
            <w:vAlign w:val="center"/>
          </w:tcPr>
          <w:p w14:paraId="454BA6FA">
            <w:pPr>
              <w:pStyle w:val="4"/>
              <w:adjustRightInd w:val="0"/>
              <w:spacing w:line="360" w:lineRule="auto"/>
              <w:ind w:firstLine="0" w:firstLineChars="0"/>
              <w:contextualSpacing/>
              <w:rPr>
                <w:rFonts w:hAnsi="宋体"/>
                <w:szCs w:val="21"/>
              </w:rPr>
            </w:pPr>
          </w:p>
        </w:tc>
        <w:tc>
          <w:tcPr>
            <w:tcW w:w="2052" w:type="dxa"/>
            <w:vAlign w:val="center"/>
          </w:tcPr>
          <w:p w14:paraId="64D01E54">
            <w:pPr>
              <w:pStyle w:val="4"/>
              <w:adjustRightInd w:val="0"/>
              <w:spacing w:line="360" w:lineRule="auto"/>
              <w:ind w:firstLine="0" w:firstLineChars="0"/>
              <w:contextualSpacing/>
              <w:rPr>
                <w:rFonts w:hAnsi="宋体"/>
                <w:szCs w:val="21"/>
              </w:rPr>
            </w:pPr>
          </w:p>
        </w:tc>
      </w:tr>
      <w:tr w14:paraId="12D5E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90EC1DB">
            <w:pPr>
              <w:pStyle w:val="4"/>
              <w:adjustRightInd w:val="0"/>
              <w:spacing w:line="360" w:lineRule="auto"/>
              <w:ind w:firstLine="0" w:firstLineChars="0"/>
              <w:contextualSpacing/>
              <w:jc w:val="center"/>
              <w:rPr>
                <w:rFonts w:hAnsi="宋体"/>
                <w:szCs w:val="21"/>
              </w:rPr>
            </w:pPr>
            <w:r>
              <w:rPr>
                <w:rFonts w:hint="eastAsia" w:hAnsi="宋体"/>
                <w:szCs w:val="21"/>
              </w:rPr>
              <w:t>编制情况</w:t>
            </w:r>
          </w:p>
        </w:tc>
      </w:tr>
      <w:tr w14:paraId="3BA47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F9E8094">
            <w:pPr>
              <w:pStyle w:val="4"/>
              <w:adjustRightInd w:val="0"/>
              <w:spacing w:line="360" w:lineRule="auto"/>
              <w:ind w:firstLine="0" w:firstLineChars="0"/>
              <w:contextualSpacing/>
              <w:rPr>
                <w:rFonts w:hAnsi="宋体"/>
                <w:szCs w:val="21"/>
              </w:rPr>
            </w:pPr>
            <w:r>
              <w:rPr>
                <w:rFonts w:hint="eastAsia" w:hAnsi="宋体"/>
                <w:szCs w:val="21"/>
              </w:rPr>
              <w:t>1、编制过程简介</w:t>
            </w:r>
          </w:p>
        </w:tc>
      </w:tr>
      <w:tr w14:paraId="3ABC9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36E504C1">
            <w:pPr>
              <w:pStyle w:val="4"/>
              <w:adjustRightInd w:val="0"/>
              <w:spacing w:line="360" w:lineRule="auto"/>
              <w:contextualSpacing/>
              <w:rPr>
                <w:rFonts w:hint="eastAsia" w:hAnsi="宋体" w:eastAsia="宋体"/>
                <w:szCs w:val="21"/>
                <w:lang w:eastAsia="zh-CN"/>
              </w:rPr>
            </w:pPr>
            <w:r>
              <w:rPr>
                <w:rFonts w:hint="eastAsia" w:hAnsi="宋体"/>
                <w:szCs w:val="21"/>
                <w:lang w:val="en-US" w:eastAsia="zh-CN"/>
              </w:rPr>
              <w:t>2024</w:t>
            </w:r>
            <w:r>
              <w:rPr>
                <w:rFonts w:hint="eastAsia" w:hAnsi="宋体"/>
                <w:szCs w:val="21"/>
              </w:rPr>
              <w:t>年</w:t>
            </w:r>
            <w:r>
              <w:rPr>
                <w:rFonts w:hint="eastAsia" w:hAnsi="宋体"/>
                <w:szCs w:val="21"/>
                <w:lang w:val="en-US" w:eastAsia="zh-CN"/>
              </w:rPr>
              <w:t>10</w:t>
            </w:r>
            <w:r>
              <w:rPr>
                <w:rFonts w:hint="eastAsia" w:hAnsi="宋体"/>
                <w:szCs w:val="21"/>
              </w:rPr>
              <w:t>月</w:t>
            </w:r>
            <w:r>
              <w:rPr>
                <w:rFonts w:hint="eastAsia" w:hAnsi="宋体"/>
                <w:szCs w:val="21"/>
                <w:lang w:val="en-US" w:eastAsia="zh-CN"/>
              </w:rPr>
              <w:t>28</w:t>
            </w:r>
            <w:r>
              <w:rPr>
                <w:rFonts w:hint="eastAsia" w:hAnsi="宋体"/>
                <w:szCs w:val="21"/>
              </w:rPr>
              <w:t>日，收到</w:t>
            </w:r>
            <w:r>
              <w:rPr>
                <w:rFonts w:hint="eastAsia" w:hAnsi="宋体"/>
                <w:szCs w:val="21"/>
                <w:lang w:eastAsia="zh-CN"/>
              </w:rPr>
              <w:t>《</w:t>
            </w:r>
            <w:r>
              <w:rPr>
                <w:rFonts w:hint="eastAsia" w:hAnsi="宋体"/>
                <w:szCs w:val="21"/>
              </w:rPr>
              <w:t>安徽省市场监督管理局关于下达2024年第四批安徽省地方标准制修订计划的通知</w:t>
            </w:r>
            <w:r>
              <w:rPr>
                <w:rFonts w:hint="eastAsia" w:hAnsi="宋体"/>
                <w:szCs w:val="21"/>
                <w:lang w:eastAsia="zh-CN"/>
              </w:rPr>
              <w:t>》</w:t>
            </w:r>
            <w:r>
              <w:rPr>
                <w:rFonts w:hint="eastAsia" w:hAnsi="宋体"/>
                <w:szCs w:val="21"/>
              </w:rPr>
              <w:t>后，成立标准编制小组，成员有</w:t>
            </w:r>
            <w:r>
              <w:rPr>
                <w:rFonts w:hint="eastAsia" w:hAnsi="宋体"/>
                <w:szCs w:val="21"/>
                <w:lang w:val="en-US" w:eastAsia="zh-CN"/>
              </w:rPr>
              <w:t>芜湖市标准化研究院、</w:t>
            </w:r>
            <w:r>
              <w:rPr>
                <w:rFonts w:hint="eastAsia"/>
              </w:rPr>
              <w:t>芜湖市市场监督管理局、芜湖市食品安全协会、芜湖市繁昌区市场监督管理局、芜湖市食品药品检验中心、安徽同福集团股份有限公司</w:t>
            </w:r>
            <w:r>
              <w:rPr>
                <w:rFonts w:hint="eastAsia"/>
                <w:lang w:val="en-US" w:eastAsia="zh-CN"/>
              </w:rPr>
              <w:t>各单位的专家</w:t>
            </w:r>
            <w:r>
              <w:rPr>
                <w:rFonts w:hint="eastAsia" w:hAnsi="宋体"/>
                <w:szCs w:val="21"/>
              </w:rPr>
              <w:t>。标准编制小组召开工作会议，就标准的基本框架及内容进行充分讨论，并对编写组成员的分工、工作进度指标作了具体安排</w:t>
            </w:r>
            <w:r>
              <w:rPr>
                <w:rFonts w:hint="eastAsia" w:hAnsi="宋体"/>
                <w:szCs w:val="21"/>
                <w:lang w:eastAsia="zh-CN"/>
              </w:rPr>
              <w:t>。</w:t>
            </w:r>
          </w:p>
          <w:p w14:paraId="4BF6583F">
            <w:pPr>
              <w:pStyle w:val="4"/>
              <w:adjustRightInd w:val="0"/>
              <w:spacing w:line="360" w:lineRule="auto"/>
              <w:contextualSpacing/>
              <w:rPr>
                <w:rFonts w:hint="eastAsia" w:hAnsi="宋体"/>
                <w:szCs w:val="21"/>
              </w:rPr>
            </w:pPr>
            <w:r>
              <w:rPr>
                <w:rFonts w:hint="eastAsia" w:hAnsi="宋体"/>
                <w:szCs w:val="21"/>
              </w:rPr>
              <w:t>标准起草过程：</w:t>
            </w:r>
            <w:r>
              <w:rPr>
                <w:rFonts w:hint="eastAsia" w:hAnsi="宋体"/>
                <w:szCs w:val="21"/>
                <w:lang w:val="en-US" w:eastAsia="zh-CN"/>
              </w:rPr>
              <w:t>2024</w:t>
            </w:r>
            <w:r>
              <w:rPr>
                <w:rFonts w:hint="eastAsia" w:hAnsi="宋体"/>
                <w:szCs w:val="21"/>
              </w:rPr>
              <w:t>年12月25日，芜湖市标准化研究院前往安徽优库食品有限公司、芜湖时光奶酪食品有限公司展开实地调研，</w:t>
            </w:r>
            <w:r>
              <w:rPr>
                <w:rFonts w:hint="eastAsia" w:hAnsi="宋体"/>
                <w:szCs w:val="21"/>
                <w:lang w:val="en-US" w:eastAsia="zh-CN"/>
              </w:rPr>
              <w:t>结合企业实际情况，参考相关标准和文献，修改</w:t>
            </w:r>
            <w:r>
              <w:rPr>
                <w:rFonts w:hint="eastAsia" w:hAnsi="宋体"/>
                <w:szCs w:val="21"/>
              </w:rPr>
              <w:t>标准文本，并发送给各起草单位</w:t>
            </w:r>
            <w:r>
              <w:rPr>
                <w:rFonts w:hint="eastAsia" w:hAnsi="宋体"/>
                <w:szCs w:val="21"/>
                <w:lang w:eastAsia="zh-CN"/>
              </w:rPr>
              <w:t>，</w:t>
            </w:r>
            <w:r>
              <w:rPr>
                <w:rFonts w:hint="eastAsia" w:hAnsi="宋体"/>
                <w:szCs w:val="21"/>
              </w:rPr>
              <w:t>确认无误后</w:t>
            </w:r>
            <w:r>
              <w:rPr>
                <w:rFonts w:hint="eastAsia" w:hAnsi="宋体"/>
                <w:szCs w:val="21"/>
                <w:lang w:val="en-US" w:eastAsia="zh-CN"/>
              </w:rPr>
              <w:t>于2025年1月3日</w:t>
            </w:r>
            <w:r>
              <w:rPr>
                <w:rFonts w:hint="eastAsia" w:hAnsi="宋体"/>
                <w:szCs w:val="21"/>
              </w:rPr>
              <w:t>形成</w:t>
            </w:r>
            <w:r>
              <w:rPr>
                <w:rFonts w:hint="eastAsia" w:hAnsi="宋体"/>
                <w:szCs w:val="21"/>
                <w:lang w:eastAsia="zh-CN"/>
              </w:rPr>
              <w:t>《</w:t>
            </w:r>
            <w:r>
              <w:rPr>
                <w:rFonts w:hint="eastAsia" w:hAnsi="宋体"/>
                <w:szCs w:val="21"/>
              </w:rPr>
              <w:t>食品生产风险防控标识使用规范</w:t>
            </w:r>
            <w:r>
              <w:rPr>
                <w:rFonts w:hint="eastAsia" w:hAnsi="宋体"/>
                <w:szCs w:val="21"/>
                <w:lang w:eastAsia="zh-CN"/>
              </w:rPr>
              <w:t>》</w:t>
            </w:r>
            <w:r>
              <w:rPr>
                <w:rFonts w:hint="eastAsia" w:hAnsi="宋体"/>
                <w:szCs w:val="21"/>
              </w:rPr>
              <w:t>征求意见稿。</w:t>
            </w:r>
          </w:p>
        </w:tc>
      </w:tr>
      <w:tr w14:paraId="3236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5161F238">
            <w:pPr>
              <w:pStyle w:val="4"/>
              <w:adjustRightInd w:val="0"/>
              <w:spacing w:line="360" w:lineRule="auto"/>
              <w:ind w:firstLine="0" w:firstLineChars="0"/>
              <w:contextualSpacing/>
              <w:rPr>
                <w:rFonts w:hAnsi="宋体"/>
                <w:szCs w:val="21"/>
              </w:rPr>
            </w:pPr>
            <w:r>
              <w:rPr>
                <w:rFonts w:hint="eastAsia" w:hAnsi="宋体"/>
                <w:szCs w:val="21"/>
              </w:rPr>
              <w:t>2、制定标准的必要性和意义</w:t>
            </w:r>
          </w:p>
        </w:tc>
      </w:tr>
      <w:tr w14:paraId="766C5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966F440">
            <w:pPr>
              <w:pStyle w:val="4"/>
              <w:adjustRightInd w:val="0"/>
              <w:spacing w:line="360" w:lineRule="auto"/>
              <w:ind w:firstLine="0" w:firstLineChars="0"/>
              <w:contextualSpacing/>
              <w:rPr>
                <w:rFonts w:hAnsi="宋体"/>
                <w:b/>
                <w:szCs w:val="21"/>
              </w:rPr>
            </w:pPr>
            <w:r>
              <w:rPr>
                <w:rFonts w:hint="eastAsia" w:hAnsi="宋体"/>
                <w:b/>
                <w:szCs w:val="21"/>
              </w:rPr>
              <w:t>必要性：</w:t>
            </w:r>
          </w:p>
          <w:p w14:paraId="6018EB49">
            <w:pPr>
              <w:pStyle w:val="4"/>
              <w:adjustRightInd w:val="0"/>
              <w:spacing w:line="360" w:lineRule="auto"/>
              <w:contextualSpacing/>
              <w:rPr>
                <w:rFonts w:hAnsi="宋体"/>
                <w:szCs w:val="21"/>
              </w:rPr>
            </w:pPr>
            <w:r>
              <w:rPr>
                <w:rFonts w:hint="eastAsia" w:ascii="宋体" w:hAnsi="宋体" w:eastAsia="宋体" w:cs="Times New Roman"/>
                <w:kern w:val="0"/>
                <w:sz w:val="21"/>
                <w:szCs w:val="21"/>
                <w:lang w:val="en-US" w:eastAsia="zh-CN" w:bidi="ar-SA"/>
              </w:rPr>
              <w:t>食品生产涉及多个环节和流程，每个环节都可能存在潜在的风险，进而影响食品安全，直接关系到公众的健康和生命安全。安徽省市场监督管理提出要“组织食品安全管理知识‘大学习’，张贴标识随时学”，并在全省范围内大力推动张贴食品生产安全标识。芜湖市积极响应省局意见推行了食品生产风险防控标识，取得了良好的效果，得到了省局有关领导的肯定。因此将芜湖市推行食品生产风险防控标识的经验转化为标准有着现实的需求和实践的基础。一方面通过明确食品生产风险防控标识的分类、功能等内容，明确食品生产过程中的风险点，可以通过统一的标识提醒食品生产企业规范生产行为，提高食品生产的质量，保障人民群众食品安全，同时能够推动食品行业的标准化和规范化发展，提升行业整体形象和竞争力；另一方面通过标准将芜湖市经验向全省推广，可以推动省局“组织食品安全管理知识‘大学习’，张贴标识随时学”工作要求在全省范围内的贯彻落实。</w:t>
            </w:r>
          </w:p>
          <w:p w14:paraId="3192B590">
            <w:pPr>
              <w:pStyle w:val="4"/>
              <w:adjustRightInd w:val="0"/>
              <w:spacing w:line="360" w:lineRule="auto"/>
              <w:ind w:firstLine="0" w:firstLineChars="0"/>
              <w:contextualSpacing/>
              <w:rPr>
                <w:rFonts w:hAnsi="宋体"/>
                <w:b/>
                <w:szCs w:val="21"/>
              </w:rPr>
            </w:pPr>
            <w:r>
              <w:rPr>
                <w:rFonts w:hint="eastAsia" w:hAnsi="宋体"/>
                <w:b/>
                <w:szCs w:val="21"/>
              </w:rPr>
              <w:t>意义：</w:t>
            </w:r>
          </w:p>
          <w:p w14:paraId="7B2FCC23">
            <w:pPr>
              <w:pStyle w:val="4"/>
              <w:adjustRightInd w:val="0"/>
              <w:spacing w:line="360" w:lineRule="auto"/>
              <w:contextualSpacing/>
              <w:rPr>
                <w:rFonts w:hint="eastAsia" w:hAnsi="宋体"/>
                <w:szCs w:val="21"/>
              </w:rPr>
            </w:pPr>
            <w:r>
              <w:rPr>
                <w:rFonts w:hint="eastAsia" w:hAnsi="宋体"/>
                <w:szCs w:val="21"/>
              </w:rPr>
              <w:t>食品生产加工过程的规范性直接关系到食品的安全和质量，也是提高食品生产效率、降低成本的重要保障。随着消费者对食品安全问题的关注度不断提高，食品加工过程的规范性也成为了消费者选择食品的重要考量因素。如何提高食品生产企业食品管理水平、保障食品安全质量自然也是市场监管部门食品监管的工作重点。</w:t>
            </w:r>
          </w:p>
          <w:p w14:paraId="188080E0">
            <w:pPr>
              <w:pStyle w:val="4"/>
              <w:adjustRightInd w:val="0"/>
              <w:spacing w:line="360" w:lineRule="auto"/>
              <w:contextualSpacing/>
              <w:rPr>
                <w:rFonts w:hint="eastAsia" w:hAnsi="宋体"/>
                <w:szCs w:val="21"/>
              </w:rPr>
            </w:pPr>
            <w:r>
              <w:rPr>
                <w:rFonts w:hint="eastAsia" w:hAnsi="宋体"/>
                <w:szCs w:val="21"/>
              </w:rPr>
              <w:t>近年来，我国食品工业发展迅速，企业数量不断增加，市场规模持续扩大。然而，在快速发展的同时，食品生产安全问题也日益凸显。一部分中小微食品生产企业食品安全主体责任意识薄弱，食品安全管理水平参差不齐，导致了食品安全风险隐患，给消费者健康带来了威胁。为提升食品安全主体责任落实能力，保障人民群众的饮食安全，安徽省市场监督管理局印发《关于在食品生产企业和小作坊常态化规范提升工作中开展食品安全主体责任落实能力提升行动的通知（皖市监食生函〔2024〕6 号）》的通知，提出“组织食品安全管理知识‘大学习’，张贴标识随时学”，并在全省范围内大力推动张贴食品生产安全标识。芜湖市市场监管局积极响应，以本地食品生产单位常见食品安全违法违规问题知识为标识重点内容，牵头设计、印制简洁、易懂和醒目的“禁止标识”“警示标识”和“引导标识”。并以中小型食品生产企业、食品小作坊为重点，推动食品生产单位在生产场所相关点位张贴，随时提醒从业人员规范食品生产行为。但是目前还存在标识不统一、不规范等问题，为保障食品生产风险防控标识真正发挥实效，助力食品生产单位提高食品安全管理水平，现对食品生产风险防控标识使用进行规范。</w:t>
            </w:r>
          </w:p>
          <w:p w14:paraId="6B5A59BD">
            <w:pPr>
              <w:pStyle w:val="4"/>
              <w:adjustRightInd w:val="0"/>
              <w:spacing w:line="360" w:lineRule="auto"/>
              <w:contextualSpacing/>
              <w:rPr>
                <w:rFonts w:hint="eastAsia" w:hAnsi="宋体"/>
                <w:szCs w:val="21"/>
              </w:rPr>
            </w:pPr>
            <w:r>
              <w:rPr>
                <w:rFonts w:hint="eastAsia" w:hAnsi="宋体"/>
                <w:szCs w:val="21"/>
              </w:rPr>
              <w:t>食品生产风险防控标识是将食品生产环境条件、进货查验、生产过程控制、产品检验、从业人员管理等食品生产各环节重点要求进行归纳总结，由简练的文字搭配红绿黄三色几何边框</w:t>
            </w:r>
            <w:r>
              <w:rPr>
                <w:rFonts w:hint="eastAsia" w:hAnsi="宋体"/>
                <w:szCs w:val="21"/>
                <w:lang w:val="en-US" w:eastAsia="zh-CN"/>
              </w:rPr>
              <w:t>或背景</w:t>
            </w:r>
            <w:r>
              <w:rPr>
                <w:rFonts w:hint="eastAsia" w:hAnsi="宋体"/>
                <w:szCs w:val="21"/>
              </w:rPr>
              <w:t>，从而形成食品生产安全“禁止标识”“警示标识”和“引导标识”。</w:t>
            </w:r>
          </w:p>
          <w:p w14:paraId="32F9C482">
            <w:pPr>
              <w:pStyle w:val="4"/>
              <w:adjustRightInd w:val="0"/>
              <w:spacing w:line="360" w:lineRule="auto"/>
              <w:contextualSpacing/>
              <w:rPr>
                <w:rFonts w:hAnsi="宋体"/>
                <w:szCs w:val="21"/>
              </w:rPr>
            </w:pPr>
            <w:r>
              <w:rPr>
                <w:rFonts w:hint="eastAsia" w:hAnsi="宋体"/>
                <w:szCs w:val="21"/>
              </w:rPr>
              <w:t>通过在食品生产企业生产场所关键位置张贴简洁、易懂、醒目的三色食品生产风险防控标识，实现 “即时普法”“精准普法”，让从业人员在视觉冲击提醒之下杜绝“不合规”的行为，引导、警醒其依法依规生产。同时能够进一步强化食品生产安全知识普及，引导食品生产企业安全合规生产，提升全省食品生产安全管理水平，全力保障广大人民群众吃得安心、吃得放心。</w:t>
            </w:r>
          </w:p>
        </w:tc>
      </w:tr>
      <w:tr w14:paraId="082E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89148DA">
            <w:pPr>
              <w:pStyle w:val="4"/>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14:paraId="1773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36E26A1C">
            <w:pPr>
              <w:pStyle w:val="4"/>
              <w:adjustRightInd w:val="0"/>
              <w:spacing w:line="360" w:lineRule="auto"/>
              <w:ind w:firstLine="420" w:firstLineChars="200"/>
              <w:contextualSpacing/>
              <w:rPr>
                <w:rFonts w:hint="eastAsia" w:hAnsi="宋体"/>
                <w:szCs w:val="21"/>
              </w:rPr>
            </w:pPr>
            <w:r>
              <w:rPr>
                <w:rFonts w:hint="eastAsia" w:hAnsi="宋体"/>
                <w:szCs w:val="21"/>
              </w:rPr>
              <w:t>本标准符合GB 2893—2008《安全色》、GB 14881—2013《食品安全国家标准 食品生产通用卫生规范》的要求，参照《中华人民共和国食品安全法》《市场监管总局办公厅关于指导食品生产经营企业完善〈食品安全风险管控清单〉的通知》相关要求，与相关强制性标准、法律法规协调配套。</w:t>
            </w:r>
          </w:p>
          <w:p w14:paraId="6619B6AE">
            <w:pPr>
              <w:pStyle w:val="4"/>
              <w:adjustRightInd w:val="0"/>
              <w:spacing w:line="360" w:lineRule="auto"/>
              <w:ind w:firstLine="420" w:firstLineChars="200"/>
              <w:contextualSpacing/>
              <w:rPr>
                <w:rFonts w:hint="eastAsia" w:hAnsi="宋体"/>
                <w:szCs w:val="21"/>
              </w:rPr>
            </w:pPr>
            <w:r>
              <w:rPr>
                <w:rFonts w:hint="eastAsia" w:hAnsi="宋体"/>
                <w:szCs w:val="21"/>
              </w:rPr>
              <w:t>本标准的编写内容与格式严格按照GB/T 1.1—2020 《标准化工作导则 第1部分：标准化文件的结构和起草规则》要求进行编制。在标准制定过程中，本标准将充分了解调研各食品生产监督管理部门，食品生产企业、食品小作坊从业人员和相关专家学者，充分保证该标准的科学性、实用性。</w:t>
            </w:r>
          </w:p>
        </w:tc>
      </w:tr>
      <w:tr w14:paraId="2A686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BAF8852">
            <w:pPr>
              <w:pStyle w:val="4"/>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w:t>
            </w:r>
            <w:r>
              <w:rPr>
                <w:rFonts w:hint="eastAsia" w:hAnsi="宋体"/>
                <w:b/>
                <w:szCs w:val="21"/>
              </w:rPr>
              <w:t>详细说明</w:t>
            </w:r>
            <w:r>
              <w:rPr>
                <w:rFonts w:hint="eastAsia" w:hAnsi="宋体"/>
                <w:szCs w:val="21"/>
              </w:rPr>
              <w:t>）</w:t>
            </w:r>
          </w:p>
        </w:tc>
      </w:tr>
      <w:tr w14:paraId="7F78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955521A">
            <w:pPr>
              <w:pStyle w:val="4"/>
              <w:adjustRightInd w:val="0"/>
              <w:spacing w:line="400" w:lineRule="atLeast"/>
              <w:ind w:firstLine="0" w:firstLineChars="0"/>
              <w:contextualSpacing/>
              <w:rPr>
                <w:rFonts w:hint="eastAsia" w:hAnsi="宋体" w:eastAsia="宋体"/>
                <w:b/>
                <w:bCs/>
                <w:szCs w:val="21"/>
                <w:lang w:val="en-US" w:eastAsia="zh-CN"/>
              </w:rPr>
            </w:pPr>
            <w:r>
              <w:rPr>
                <w:rFonts w:hint="eastAsia" w:hAnsi="宋体"/>
                <w:b/>
                <w:bCs/>
                <w:szCs w:val="21"/>
              </w:rPr>
              <w:t>范围</w:t>
            </w:r>
            <w:r>
              <w:rPr>
                <w:rFonts w:hint="eastAsia" w:hAnsi="宋体"/>
                <w:b/>
                <w:bCs/>
                <w:szCs w:val="21"/>
                <w:lang w:val="en-US" w:eastAsia="zh-CN"/>
              </w:rPr>
              <w:t>:</w:t>
            </w:r>
          </w:p>
          <w:p w14:paraId="417194A8">
            <w:pPr>
              <w:pStyle w:val="4"/>
              <w:adjustRightInd w:val="0"/>
              <w:spacing w:line="400" w:lineRule="atLeast"/>
              <w:ind w:firstLine="420" w:firstLineChars="200"/>
              <w:contextualSpacing/>
              <w:rPr>
                <w:rFonts w:hint="eastAsia" w:hAnsi="宋体"/>
                <w:szCs w:val="21"/>
              </w:rPr>
            </w:pPr>
            <w:r>
              <w:rPr>
                <w:rFonts w:hint="eastAsia" w:hAnsi="宋体"/>
                <w:szCs w:val="21"/>
              </w:rPr>
              <w:t>本文件规定了食品生产风险防控标识的基本要求、内容、制作、设置和管理。</w:t>
            </w:r>
          </w:p>
          <w:p w14:paraId="6C39C176">
            <w:pPr>
              <w:pStyle w:val="4"/>
              <w:adjustRightInd w:val="0"/>
              <w:spacing w:line="400" w:lineRule="atLeast"/>
              <w:ind w:firstLine="420" w:firstLineChars="200"/>
              <w:contextualSpacing/>
              <w:rPr>
                <w:rFonts w:hint="eastAsia" w:hAnsi="宋体"/>
                <w:szCs w:val="21"/>
              </w:rPr>
            </w:pPr>
            <w:r>
              <w:rPr>
                <w:rFonts w:hint="eastAsia" w:hAnsi="宋体"/>
                <w:szCs w:val="21"/>
              </w:rPr>
              <w:t>本文件适用于指导</w:t>
            </w:r>
            <w:r>
              <w:rPr>
                <w:rFonts w:hint="eastAsia" w:hAnsi="宋体"/>
                <w:szCs w:val="21"/>
                <w:lang w:eastAsia="zh-CN"/>
              </w:rPr>
              <w:t>食品生产者</w:t>
            </w:r>
            <w:r>
              <w:rPr>
                <w:rFonts w:hint="eastAsia" w:hAnsi="宋体"/>
                <w:szCs w:val="21"/>
              </w:rPr>
              <w:t>风险防控标识的使用活动。</w:t>
            </w:r>
          </w:p>
          <w:p w14:paraId="0AC843BE">
            <w:pPr>
              <w:pStyle w:val="4"/>
              <w:adjustRightInd w:val="0"/>
              <w:spacing w:line="400" w:lineRule="atLeast"/>
              <w:ind w:firstLine="0" w:firstLineChars="0"/>
              <w:contextualSpacing/>
              <w:rPr>
                <w:rFonts w:hint="eastAsia" w:hAnsi="宋体" w:eastAsia="宋体"/>
                <w:b/>
                <w:bCs/>
                <w:szCs w:val="21"/>
                <w:lang w:val="en-US" w:eastAsia="zh-CN"/>
              </w:rPr>
            </w:pPr>
            <w:r>
              <w:rPr>
                <w:rFonts w:hint="eastAsia" w:hAnsi="宋体"/>
                <w:b/>
                <w:bCs/>
                <w:szCs w:val="21"/>
              </w:rPr>
              <w:t>主要技术内容</w:t>
            </w:r>
            <w:r>
              <w:rPr>
                <w:rFonts w:hint="eastAsia" w:hAnsi="宋体"/>
                <w:b/>
                <w:bCs/>
                <w:szCs w:val="21"/>
                <w:lang w:val="en-US" w:eastAsia="zh-CN"/>
              </w:rPr>
              <w:t>:</w:t>
            </w:r>
          </w:p>
          <w:p w14:paraId="45406C64">
            <w:pPr>
              <w:pStyle w:val="4"/>
              <w:adjustRightInd w:val="0"/>
              <w:spacing w:line="400" w:lineRule="atLeast"/>
              <w:ind w:firstLine="420" w:firstLineChars="200"/>
              <w:contextualSpacing/>
              <w:rPr>
                <w:rFonts w:hint="eastAsia" w:hAnsi="宋体"/>
                <w:szCs w:val="21"/>
              </w:rPr>
            </w:pPr>
            <w:r>
              <w:rPr>
                <w:rFonts w:hint="eastAsia" w:hAnsi="宋体"/>
                <w:szCs w:val="21"/>
              </w:rPr>
              <w:t>第四章基本要求，</w:t>
            </w:r>
            <w:r>
              <w:rPr>
                <w:rFonts w:hint="eastAsia" w:hAnsi="宋体"/>
                <w:szCs w:val="21"/>
                <w:lang w:eastAsia="zh-CN"/>
              </w:rPr>
              <w:t>食品生产者</w:t>
            </w:r>
            <w:r>
              <w:rPr>
                <w:rFonts w:hint="eastAsia" w:hAnsi="宋体"/>
                <w:szCs w:val="21"/>
              </w:rPr>
              <w:t>依据 GB 14881、GB/T 19538 等相关要求，结合自身经营业态、规模、食品类别等，在食品生产各环节识别风险，建立实施食品安全风险管控清单并转化制作标识。标识主要通过颜色、文字并辅以图形符号等传递食品安全风险防控信息，信息需明确简洁，还要与食品安全日管控、周排查、月调度工作相结合。</w:t>
            </w:r>
          </w:p>
          <w:p w14:paraId="158DA638">
            <w:pPr>
              <w:pStyle w:val="4"/>
              <w:adjustRightInd w:val="0"/>
              <w:spacing w:line="400" w:lineRule="atLeast"/>
              <w:ind w:firstLine="420" w:firstLineChars="200"/>
              <w:contextualSpacing/>
              <w:rPr>
                <w:rFonts w:hint="eastAsia" w:hAnsi="宋体"/>
                <w:szCs w:val="21"/>
              </w:rPr>
            </w:pPr>
            <w:r>
              <w:rPr>
                <w:rFonts w:hint="eastAsia" w:hAnsi="宋体"/>
                <w:szCs w:val="21"/>
              </w:rPr>
              <w:t>第五章标识内容包含分类和样式两部分。分类上，按作用可分为禁止标识（由食品生产禁止性内容文字和红色边框或背景构成）、警示标识（由食品生产警示性内容文字和黄色边框或背景构成）、引导标识（由食品生产引导性内容文字和绿色边框或背景构成）；按适用范围分为通用标识（针对常见风险，适用于多种类型</w:t>
            </w:r>
            <w:r>
              <w:rPr>
                <w:rFonts w:hint="eastAsia" w:hAnsi="宋体"/>
                <w:szCs w:val="21"/>
                <w:lang w:eastAsia="zh-CN"/>
              </w:rPr>
              <w:t>食品生产者</w:t>
            </w:r>
            <w:r>
              <w:rPr>
                <w:rFonts w:hint="eastAsia" w:hAnsi="宋体"/>
                <w:szCs w:val="21"/>
              </w:rPr>
              <w:t>）和特殊标识（针对自身识别的风险，适用于特定食品生产者）。样式上，标识形状宜选用圆角矩形，尺寸宜为40cm×</w:t>
            </w:r>
            <w:bookmarkStart w:id="30" w:name="_GoBack"/>
            <w:bookmarkEnd w:id="30"/>
            <w:r>
              <w:rPr>
                <w:rFonts w:hint="eastAsia" w:hAnsi="宋体"/>
                <w:szCs w:val="21"/>
              </w:rPr>
              <w:t>15cm；文字采用中文，表述规范无歧义，使用英文时首字母大写；边框或背景颜色依据标识类别对应红、黄、绿，并与字体形成对比色；含图形符号的优先从国家标准选用，新设计的需遵守 GB/T 16900 规定。</w:t>
            </w:r>
          </w:p>
          <w:p w14:paraId="59CEF353">
            <w:pPr>
              <w:pStyle w:val="4"/>
              <w:adjustRightInd w:val="0"/>
              <w:spacing w:line="400" w:lineRule="atLeast"/>
              <w:ind w:firstLine="420" w:firstLineChars="200"/>
              <w:contextualSpacing/>
              <w:rPr>
                <w:rFonts w:hint="eastAsia" w:hAnsi="宋体"/>
                <w:szCs w:val="21"/>
              </w:rPr>
            </w:pPr>
            <w:r>
              <w:rPr>
                <w:rFonts w:hint="eastAsia" w:hAnsi="宋体"/>
                <w:szCs w:val="21"/>
              </w:rPr>
              <w:t>第六章标识制作，要求标识由经久耐用的材料制成，可粘贴或磁吸在食品生产场所，表面要光滑易清洁，信息清晰完整且不产生异物风险。</w:t>
            </w:r>
          </w:p>
          <w:p w14:paraId="705491C9">
            <w:pPr>
              <w:pStyle w:val="4"/>
              <w:adjustRightInd w:val="0"/>
              <w:spacing w:line="400" w:lineRule="atLeast"/>
              <w:ind w:firstLine="420" w:firstLineChars="200"/>
              <w:contextualSpacing/>
              <w:rPr>
                <w:rFonts w:hint="eastAsia" w:hAnsi="宋体"/>
                <w:szCs w:val="21"/>
              </w:rPr>
            </w:pPr>
            <w:r>
              <w:rPr>
                <w:rFonts w:hint="eastAsia" w:hAnsi="宋体"/>
                <w:szCs w:val="21"/>
              </w:rPr>
              <w:t>第七章标识设置，标识要按需设置在食品生产场所对应区域，考虑周围的亮度及同其他颜色标识的关系；设置在从业人员进入区域的门口或两侧醒目位置，或对应操作工位，重要标识可重复设置；设置高度尽量与人眼视线高度一致；多种标识按禁止、警示、引导顺序设置，特殊标识单独设置。不同区域设置内容针对生产厂区和车间、更衣室、检验室、库房、部门办公室及人员办公室等，分别列举了可选用的通用标识，也允许</w:t>
            </w:r>
            <w:r>
              <w:rPr>
                <w:rFonts w:hint="eastAsia" w:hAnsi="宋体"/>
                <w:szCs w:val="21"/>
                <w:lang w:eastAsia="zh-CN"/>
              </w:rPr>
              <w:t>食品生产者</w:t>
            </w:r>
            <w:r>
              <w:rPr>
                <w:rFonts w:hint="eastAsia" w:hAnsi="宋体"/>
                <w:szCs w:val="21"/>
              </w:rPr>
              <w:t>自行设计。</w:t>
            </w:r>
          </w:p>
          <w:p w14:paraId="329A76FA">
            <w:pPr>
              <w:pStyle w:val="4"/>
              <w:adjustRightInd w:val="0"/>
              <w:spacing w:line="400" w:lineRule="atLeast"/>
              <w:ind w:firstLine="420" w:firstLineChars="200"/>
              <w:contextualSpacing/>
              <w:rPr>
                <w:rFonts w:hAnsi="宋体"/>
                <w:szCs w:val="21"/>
              </w:rPr>
            </w:pPr>
            <w:r>
              <w:rPr>
                <w:rFonts w:hint="eastAsia" w:hAnsi="宋体"/>
                <w:szCs w:val="21"/>
              </w:rPr>
              <w:t>第八章标识管理，要求标识保持整洁、明亮，当出现破损、变色、褪色或食品生产工艺流程变更、设施设备更换等情况时，</w:t>
            </w:r>
            <w:r>
              <w:rPr>
                <w:rFonts w:hint="eastAsia" w:hAnsi="宋体"/>
                <w:szCs w:val="21"/>
                <w:lang w:eastAsia="zh-CN"/>
              </w:rPr>
              <w:t>食品生产者</w:t>
            </w:r>
            <w:r>
              <w:rPr>
                <w:rFonts w:hint="eastAsia" w:hAnsi="宋体"/>
                <w:szCs w:val="21"/>
              </w:rPr>
              <w:t>应及时维护、更新标识。</w:t>
            </w:r>
          </w:p>
        </w:tc>
      </w:tr>
      <w:tr w14:paraId="03F7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7A52293">
            <w:pPr>
              <w:pStyle w:val="4"/>
              <w:adjustRightInd w:val="0"/>
              <w:spacing w:line="360" w:lineRule="auto"/>
              <w:ind w:firstLine="0" w:firstLineChars="0"/>
              <w:contextualSpacing/>
              <w:rPr>
                <w:rFonts w:hAnsi="宋体"/>
                <w:szCs w:val="21"/>
              </w:rPr>
            </w:pPr>
            <w:bookmarkStart w:id="0" w:name="_Toc464905613"/>
            <w:bookmarkStart w:id="1" w:name="_Toc464905557"/>
            <w:bookmarkStart w:id="2" w:name="_Toc464905809"/>
            <w:bookmarkStart w:id="3" w:name="_Toc464902852"/>
            <w:bookmarkStart w:id="4" w:name="_Toc465074266"/>
            <w:r>
              <w:rPr>
                <w:rFonts w:hint="eastAsia" w:hAnsi="宋体"/>
                <w:szCs w:val="21"/>
              </w:rPr>
              <w:t>5、标准中如果涉及专利，应有明确的知识产权说明</w:t>
            </w:r>
            <w:bookmarkEnd w:id="0"/>
            <w:bookmarkEnd w:id="1"/>
            <w:bookmarkEnd w:id="2"/>
            <w:bookmarkEnd w:id="3"/>
            <w:bookmarkEnd w:id="4"/>
          </w:p>
        </w:tc>
      </w:tr>
      <w:tr w14:paraId="7ABE8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CB78FD7">
            <w:pPr>
              <w:pStyle w:val="4"/>
              <w:adjustRightInd w:val="0"/>
              <w:spacing w:line="360" w:lineRule="auto"/>
              <w:ind w:firstLine="420" w:firstLineChars="200"/>
              <w:contextualSpacing/>
              <w:rPr>
                <w:rFonts w:hint="eastAsia" w:hAnsi="宋体" w:eastAsia="宋体"/>
                <w:szCs w:val="21"/>
                <w:lang w:val="en-US" w:eastAsia="zh-CN"/>
              </w:rPr>
            </w:pPr>
            <w:r>
              <w:rPr>
                <w:rFonts w:hint="eastAsia" w:hAnsi="宋体"/>
                <w:szCs w:val="21"/>
                <w:lang w:val="en-US" w:eastAsia="zh-CN"/>
              </w:rPr>
              <w:t>无。</w:t>
            </w:r>
          </w:p>
        </w:tc>
      </w:tr>
      <w:tr w14:paraId="508A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ACE9AFA">
            <w:pPr>
              <w:pStyle w:val="4"/>
              <w:adjustRightInd w:val="0"/>
              <w:spacing w:line="360" w:lineRule="auto"/>
              <w:ind w:firstLine="0" w:firstLineChars="0"/>
              <w:contextualSpacing/>
              <w:rPr>
                <w:rFonts w:hAnsi="宋体"/>
                <w:szCs w:val="21"/>
              </w:rPr>
            </w:pPr>
            <w:bookmarkStart w:id="5" w:name="_Toc464905614"/>
            <w:bookmarkStart w:id="6" w:name="_Toc465074267"/>
            <w:bookmarkStart w:id="7" w:name="_Toc464905810"/>
            <w:bookmarkStart w:id="8" w:name="_Toc464902853"/>
            <w:bookmarkStart w:id="9" w:name="_Toc464905558"/>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14:paraId="0B5D8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3ECF5C3">
            <w:pPr>
              <w:pStyle w:val="4"/>
              <w:adjustRightInd w:val="0"/>
              <w:spacing w:line="360" w:lineRule="auto"/>
              <w:ind w:firstLine="420" w:firstLineChars="200"/>
              <w:contextualSpacing/>
              <w:rPr>
                <w:rFonts w:hAnsi="宋体"/>
                <w:szCs w:val="21"/>
              </w:rPr>
            </w:pPr>
            <w:r>
              <w:rPr>
                <w:rFonts w:hint="eastAsia" w:hAnsi="宋体"/>
                <w:szCs w:val="21"/>
                <w:lang w:val="en-US" w:eastAsia="zh-CN"/>
              </w:rPr>
              <w:t>无。</w:t>
            </w:r>
          </w:p>
        </w:tc>
      </w:tr>
      <w:tr w14:paraId="397D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FC7B7A3">
            <w:pPr>
              <w:pStyle w:val="4"/>
              <w:adjustRightInd w:val="0"/>
              <w:spacing w:line="360" w:lineRule="auto"/>
              <w:ind w:firstLine="0" w:firstLineChars="0"/>
              <w:contextualSpacing/>
              <w:rPr>
                <w:rFonts w:hAnsi="宋体"/>
                <w:szCs w:val="21"/>
              </w:rPr>
            </w:pPr>
            <w:bookmarkStart w:id="10" w:name="_Toc464905615"/>
            <w:bookmarkStart w:id="11" w:name="_Toc464905559"/>
            <w:bookmarkStart w:id="12" w:name="_Toc465074268"/>
            <w:bookmarkStart w:id="13" w:name="_Toc464905811"/>
            <w:bookmarkStart w:id="14" w:name="_Toc464902854"/>
            <w:r>
              <w:rPr>
                <w:rFonts w:hint="eastAsia" w:hAnsi="宋体"/>
                <w:szCs w:val="21"/>
              </w:rPr>
              <w:t>7、重大分歧意见的处理经过和依据</w:t>
            </w:r>
            <w:bookmarkEnd w:id="10"/>
            <w:bookmarkEnd w:id="11"/>
            <w:bookmarkEnd w:id="12"/>
            <w:bookmarkEnd w:id="13"/>
            <w:bookmarkEnd w:id="14"/>
          </w:p>
        </w:tc>
      </w:tr>
      <w:tr w14:paraId="5ECA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533068D">
            <w:pPr>
              <w:pStyle w:val="4"/>
              <w:adjustRightInd w:val="0"/>
              <w:spacing w:line="360" w:lineRule="auto"/>
              <w:ind w:firstLine="420" w:firstLineChars="200"/>
              <w:contextualSpacing/>
              <w:rPr>
                <w:rFonts w:hAnsi="宋体"/>
                <w:szCs w:val="21"/>
              </w:rPr>
            </w:pPr>
            <w:r>
              <w:rPr>
                <w:rFonts w:hint="eastAsia" w:hAnsi="宋体"/>
                <w:szCs w:val="21"/>
                <w:lang w:val="en-US" w:eastAsia="zh-CN"/>
              </w:rPr>
              <w:t>无。</w:t>
            </w:r>
          </w:p>
        </w:tc>
      </w:tr>
      <w:tr w14:paraId="72BCF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2FC6D1F">
            <w:pPr>
              <w:pStyle w:val="4"/>
              <w:adjustRightInd w:val="0"/>
              <w:spacing w:line="360" w:lineRule="auto"/>
              <w:ind w:firstLine="0" w:firstLineChars="0"/>
              <w:contextualSpacing/>
              <w:rPr>
                <w:rFonts w:hAnsi="宋体"/>
                <w:szCs w:val="21"/>
              </w:rPr>
            </w:pPr>
            <w:bookmarkStart w:id="15" w:name="_Toc464902855"/>
            <w:bookmarkStart w:id="16" w:name="_Toc465074269"/>
            <w:bookmarkStart w:id="17" w:name="_Toc464905812"/>
            <w:bookmarkStart w:id="18" w:name="_Toc464905560"/>
            <w:bookmarkStart w:id="19" w:name="_Toc464905616"/>
            <w:r>
              <w:rPr>
                <w:rFonts w:hint="eastAsia" w:hAnsi="宋体"/>
                <w:szCs w:val="21"/>
              </w:rPr>
              <w:t>8、贯彻标准的要求和措施建议（包括组织措施、技术措施、过渡办法、实施日期等）</w:t>
            </w:r>
            <w:bookmarkEnd w:id="15"/>
            <w:bookmarkEnd w:id="16"/>
            <w:bookmarkEnd w:id="17"/>
            <w:bookmarkEnd w:id="18"/>
            <w:bookmarkEnd w:id="19"/>
          </w:p>
        </w:tc>
      </w:tr>
      <w:tr w14:paraId="2C471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D5F5B91">
            <w:pPr>
              <w:pStyle w:val="4"/>
              <w:adjustRightInd w:val="0"/>
              <w:spacing w:line="360" w:lineRule="auto"/>
              <w:ind w:firstLine="0" w:firstLineChars="0"/>
              <w:contextualSpacing/>
              <w:rPr>
                <w:rFonts w:hint="eastAsia" w:hAnsi="宋体"/>
                <w:szCs w:val="21"/>
              </w:rPr>
            </w:pPr>
            <w:r>
              <w:rPr>
                <w:rFonts w:hint="eastAsia" w:hAnsi="宋体"/>
                <w:b/>
                <w:bCs/>
                <w:szCs w:val="21"/>
              </w:rPr>
              <w:t>使用对象：</w:t>
            </w:r>
            <w:r>
              <w:rPr>
                <w:rFonts w:hint="eastAsia" w:hAnsi="宋体"/>
                <w:szCs w:val="21"/>
              </w:rPr>
              <w:t>安徽省内食品生产监督管理部门、食品生产企业、食品小作坊从业人员和广大消费者等。</w:t>
            </w:r>
          </w:p>
          <w:p w14:paraId="551AA983">
            <w:pPr>
              <w:pStyle w:val="4"/>
              <w:adjustRightInd w:val="0"/>
              <w:spacing w:line="360" w:lineRule="auto"/>
              <w:ind w:firstLine="0" w:firstLineChars="0"/>
              <w:contextualSpacing/>
              <w:rPr>
                <w:rFonts w:hint="eastAsia" w:hAnsi="宋体"/>
                <w:b/>
                <w:bCs/>
                <w:szCs w:val="21"/>
              </w:rPr>
            </w:pPr>
            <w:r>
              <w:rPr>
                <w:rFonts w:hint="eastAsia" w:hAnsi="宋体"/>
                <w:b/>
                <w:bCs/>
                <w:szCs w:val="21"/>
              </w:rPr>
              <w:t>标准宣贯实施计划：</w:t>
            </w:r>
          </w:p>
          <w:p w14:paraId="506C3B71">
            <w:pPr>
              <w:pStyle w:val="4"/>
              <w:adjustRightInd w:val="0"/>
              <w:spacing w:line="360" w:lineRule="auto"/>
              <w:ind w:firstLine="0" w:firstLineChars="0"/>
              <w:contextualSpacing/>
              <w:rPr>
                <w:rFonts w:hint="eastAsia" w:hAnsi="宋体"/>
                <w:szCs w:val="21"/>
              </w:rPr>
            </w:pPr>
            <w:r>
              <w:rPr>
                <w:rFonts w:hint="eastAsia" w:hAnsi="宋体"/>
                <w:szCs w:val="21"/>
              </w:rPr>
              <w:t>（1）提高标准认识，强化标准创新管理。及时汇报，争取主管部门支持，充分认识开展《食品生产风险防控标识使用规范》的宣贯活动的重要性和目的意义，切实加强组织、开展各阶段宣贯工作。对活动中遇到的问题,加强沟通协调,推动标准宣贯活动的扎实有序进行，深入推动标准技术创新、模式创新、管理创新，加快推进构建以标准为导向的技术创新体系，不断提高食品生产风险防控的标准和质量。</w:t>
            </w:r>
          </w:p>
          <w:p w14:paraId="6CE75FC7">
            <w:pPr>
              <w:pStyle w:val="4"/>
              <w:adjustRightInd w:val="0"/>
              <w:spacing w:line="360" w:lineRule="auto"/>
              <w:ind w:firstLine="0" w:firstLineChars="0"/>
              <w:contextualSpacing/>
              <w:rPr>
                <w:rFonts w:hint="eastAsia" w:hAnsi="宋体"/>
                <w:szCs w:val="21"/>
              </w:rPr>
            </w:pPr>
            <w:r>
              <w:rPr>
                <w:rFonts w:hint="eastAsia" w:hAnsi="宋体"/>
                <w:szCs w:val="21"/>
              </w:rPr>
              <w:t xml:space="preserve">（2）扎实标准宣传，深化标准科技引领。在标准制定过程中和发布实施后，扩展标准研制、发布和实施的新思路、新路径、新模式，通过媒体宣传、会议座谈、网站发布等线上线下一体化宣传方式，制作宣传栏、明白纸，举办现场讲座、实地到食品生产企业，加快食品生产从业人员对《食品生产风险防控标识使用规范》的了解和熟悉，宣传推广食品生产风险防控标识标准化的理念和思想。 </w:t>
            </w:r>
          </w:p>
          <w:p w14:paraId="5B9BE4FB">
            <w:pPr>
              <w:pStyle w:val="4"/>
              <w:adjustRightInd w:val="0"/>
              <w:spacing w:line="360" w:lineRule="auto"/>
              <w:ind w:firstLine="0" w:firstLineChars="0"/>
              <w:contextualSpacing/>
              <w:rPr>
                <w:rFonts w:hAnsi="宋体"/>
                <w:szCs w:val="21"/>
              </w:rPr>
            </w:pPr>
            <w:r>
              <w:rPr>
                <w:rFonts w:hint="eastAsia" w:hAnsi="宋体"/>
                <w:szCs w:val="21"/>
              </w:rPr>
              <w:t>（3）加强标准学习，全面领会。举办食品生产风险防控标识标准专项培训班、标准化基础知识培训班，将标准基础知识与标准实务相结合，让标准理论与食品生产风险防控标识标准实际相结合，促进该项标准的落地实施。将标准内容宣贯到各食品生产监督管理部门、食品生产企业、食品小作坊从业人员和广大消费者等，并通过集中授课、现场交流、观摩教学等方式，扩大培训学习范围，深入剖析食品生产风险防控标识使用的要点，着实推动该项地方标准全面有效实施，进一步加强食品生产安全监管，有效预防和控制食品生产加工过程中的食品安全风险，守护人民群众舌尖安全。</w:t>
            </w:r>
          </w:p>
        </w:tc>
      </w:tr>
      <w:tr w14:paraId="23659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1C02CE9">
            <w:pPr>
              <w:pStyle w:val="4"/>
              <w:adjustRightInd w:val="0"/>
              <w:spacing w:line="360" w:lineRule="auto"/>
              <w:ind w:firstLine="0" w:firstLineChars="0"/>
              <w:contextualSpacing/>
              <w:rPr>
                <w:rFonts w:hAnsi="宋体"/>
                <w:szCs w:val="21"/>
              </w:rPr>
            </w:pPr>
            <w:bookmarkStart w:id="20" w:name="_Toc464905813"/>
            <w:bookmarkStart w:id="21" w:name="_Toc464905617"/>
            <w:bookmarkStart w:id="22" w:name="_Toc464902856"/>
            <w:bookmarkStart w:id="23" w:name="_Toc465074270"/>
            <w:bookmarkStart w:id="24" w:name="_Toc464905561"/>
            <w:r>
              <w:rPr>
                <w:rFonts w:hint="eastAsia" w:hAnsi="宋体"/>
                <w:szCs w:val="21"/>
              </w:rPr>
              <w:t>9、废止现行相关标准的建议</w:t>
            </w:r>
            <w:bookmarkEnd w:id="20"/>
            <w:bookmarkEnd w:id="21"/>
            <w:bookmarkEnd w:id="22"/>
            <w:bookmarkEnd w:id="23"/>
            <w:bookmarkEnd w:id="24"/>
          </w:p>
        </w:tc>
      </w:tr>
      <w:tr w14:paraId="18366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24917C3">
            <w:pPr>
              <w:pStyle w:val="4"/>
              <w:adjustRightInd w:val="0"/>
              <w:spacing w:line="360" w:lineRule="auto"/>
              <w:ind w:firstLine="420" w:firstLineChars="200"/>
              <w:contextualSpacing/>
              <w:rPr>
                <w:rFonts w:hAnsi="宋体"/>
                <w:szCs w:val="21"/>
              </w:rPr>
            </w:pPr>
            <w:r>
              <w:rPr>
                <w:rFonts w:hint="eastAsia" w:hAnsi="宋体"/>
                <w:szCs w:val="21"/>
                <w:lang w:val="en-US" w:eastAsia="zh-CN"/>
              </w:rPr>
              <w:t>无。</w:t>
            </w:r>
          </w:p>
        </w:tc>
      </w:tr>
      <w:tr w14:paraId="4A994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FB6F2F1">
            <w:pPr>
              <w:pStyle w:val="4"/>
              <w:adjustRightInd w:val="0"/>
              <w:spacing w:line="360" w:lineRule="auto"/>
              <w:ind w:firstLine="0" w:firstLineChars="0"/>
              <w:contextualSpacing/>
              <w:rPr>
                <w:rFonts w:hAnsi="宋体"/>
                <w:szCs w:val="21"/>
              </w:rPr>
            </w:pPr>
            <w:bookmarkStart w:id="25" w:name="_Toc464905618"/>
            <w:bookmarkStart w:id="26" w:name="_Toc464902857"/>
            <w:bookmarkStart w:id="27" w:name="_Toc464905562"/>
            <w:bookmarkStart w:id="28" w:name="_Toc464905814"/>
            <w:bookmarkStart w:id="29" w:name="_Toc465074271"/>
            <w:r>
              <w:rPr>
                <w:rFonts w:hint="eastAsia" w:hAnsi="宋体"/>
                <w:szCs w:val="21"/>
              </w:rPr>
              <w:t>10、其它应予说明的事项</w:t>
            </w:r>
            <w:bookmarkEnd w:id="25"/>
            <w:bookmarkEnd w:id="26"/>
            <w:bookmarkEnd w:id="27"/>
            <w:bookmarkEnd w:id="28"/>
            <w:bookmarkEnd w:id="29"/>
          </w:p>
        </w:tc>
      </w:tr>
      <w:tr w14:paraId="34A4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3D0B063">
            <w:pPr>
              <w:pStyle w:val="4"/>
              <w:adjustRightInd w:val="0"/>
              <w:spacing w:line="360" w:lineRule="auto"/>
              <w:ind w:firstLine="420" w:firstLineChars="200"/>
              <w:contextualSpacing/>
              <w:rPr>
                <w:rFonts w:hAnsi="宋体"/>
                <w:szCs w:val="21"/>
              </w:rPr>
            </w:pPr>
            <w:r>
              <w:rPr>
                <w:rFonts w:hint="eastAsia" w:hAnsi="宋体"/>
                <w:szCs w:val="21"/>
                <w:lang w:val="en-US" w:eastAsia="zh-CN"/>
              </w:rPr>
              <w:t>无。</w:t>
            </w:r>
          </w:p>
        </w:tc>
      </w:tr>
    </w:tbl>
    <w:p w14:paraId="33E49533">
      <w:pPr>
        <w:pStyle w:val="5"/>
      </w:pPr>
      <w:r>
        <w:rPr>
          <w:rFonts w:hint="eastAsia"/>
        </w:rPr>
        <w:t>没有的请填写 “无”。</w:t>
      </w:r>
    </w:p>
    <w:p w14:paraId="0ADDEF8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BF04F4"/>
    <w:multiLevelType w:val="multilevel"/>
    <w:tmpl w:val="6DBF04F4"/>
    <w:lvl w:ilvl="0" w:tentative="0">
      <w:start w:val="1"/>
      <w:numFmt w:val="none"/>
      <w:pStyle w:val="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706E67"/>
    <w:rsid w:val="06EC4F52"/>
    <w:rsid w:val="0CDC5FFA"/>
    <w:rsid w:val="16757F7D"/>
    <w:rsid w:val="16834105"/>
    <w:rsid w:val="2D633E56"/>
    <w:rsid w:val="3345009E"/>
    <w:rsid w:val="3D565B5D"/>
    <w:rsid w:val="46CE3A33"/>
    <w:rsid w:val="47D776D1"/>
    <w:rsid w:val="4B664C65"/>
    <w:rsid w:val="568329CA"/>
    <w:rsid w:val="7FBE1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5">
    <w:name w:val="标准文件_注："/>
    <w:next w:val="6"/>
    <w:qFormat/>
    <w:uiPriority w:val="0"/>
    <w:pPr>
      <w:widowControl w:val="0"/>
      <w:numPr>
        <w:ilvl w:val="0"/>
        <w:numId w:val="1"/>
      </w:numPr>
      <w:autoSpaceDE w:val="0"/>
      <w:autoSpaceDN w:val="0"/>
      <w:jc w:val="both"/>
    </w:pPr>
    <w:rPr>
      <w:rFonts w:ascii="宋体" w:hAnsi="Times New Roman" w:eastAsia="宋体" w:cs="Times New Roman"/>
      <w:kern w:val="0"/>
      <w:sz w:val="18"/>
      <w:szCs w:val="18"/>
      <w:lang w:val="en-US" w:eastAsia="zh-CN" w:bidi="ar-SA"/>
    </w:rPr>
  </w:style>
  <w:style w:type="paragraph" w:customStyle="1" w:styleId="6">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3730</Words>
  <Characters>3807</Characters>
  <Lines>0</Lines>
  <Paragraphs>0</Paragraphs>
  <TotalTime>0</TotalTime>
  <ScaleCrop>false</ScaleCrop>
  <LinksUpToDate>false</LinksUpToDate>
  <CharactersWithSpaces>3827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2024-12-30T07:32:00Z</dcterms:created>
  <dc:creator>VVADE</dc:creator>
  <cp:lastModifiedBy>VVADE</cp:lastModifiedBy>
  <dcterms:modified xsi:type="dcterms:W3CDTF">2025-02-06T01:07:08Z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CD2CBAE5BFDF42A4ADE080499A5A9F9E_11</vt:lpwstr>
  </property>
  <property fmtid="{D5CDD505-2E9C-101B-9397-08002B2CF9AE}" pid="4" name="KSOTemplateDocerSaveRecord">
    <vt:lpwstr>eyJoZGlkIjoiMzZiYTg0NDJmZDY5N2ZmYzcxNDlhMGNlNGRlMjI1NzgiLCJ1c2VySWQiOiIyODI3NzAzMTAifQ==</vt:lpwstr>
  </property>
</Properties>
</file>