
<file path=[Content_Types].xml><?xml version="1.0" encoding="utf-8"?>
<Types xmlns="http://schemas.openxmlformats.org/package/2006/content-types">
  <Default Extension="xml" ContentType="application/xml"/>
  <Default Extension="tiff" ContentType="image/tif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4BB902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37E6A78E">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84DD40D">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14:paraId="6E35C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9883100">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255E5DA2">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66A5067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407" w:type="dxa"/>
          </w:tcPr>
          <w:p w14:paraId="11675DB2">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36</w:t>
            </w:r>
            <w:r>
              <w:fldChar w:fldCharType="end"/>
            </w:r>
            <w:bookmarkEnd w:id="3"/>
          </w:p>
        </w:tc>
      </w:tr>
    </w:tbl>
    <w:p w14:paraId="0D2C81C8">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江西省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2F0E6869">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36</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4973C2CB">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087EEC9E">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0F4F83B">
      <w:pPr>
        <w:pStyle w:val="50"/>
        <w:framePr w:w="9639" w:h="6976" w:hRule="exact" w:hSpace="0" w:vSpace="0" w:wrap="around" w:hAnchor="page" w:y="6408"/>
        <w:jc w:val="center"/>
        <w:rPr>
          <w:rFonts w:ascii="黑体" w:hAnsi="黑体" w:eastAsia="黑体"/>
          <w:b w:val="0"/>
          <w:bCs w:val="0"/>
          <w:w w:val="100"/>
        </w:rPr>
      </w:pPr>
    </w:p>
    <w:p w14:paraId="4145D178">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茶油小作坊改造提升</w:t>
      </w:r>
      <w:r>
        <w:rPr>
          <w:rFonts w:hint="eastAsia"/>
        </w:rPr>
        <w:t>管理</w:t>
      </w:r>
      <w:r>
        <w:t>规范</w:t>
      </w:r>
      <w:r>
        <w:fldChar w:fldCharType="end"/>
      </w:r>
      <w:bookmarkEnd w:id="9"/>
    </w:p>
    <w:p w14:paraId="48200064">
      <w:pPr>
        <w:framePr w:w="9639" w:h="6974" w:hRule="exact" w:wrap="around" w:vAnchor="page" w:hAnchor="page" w:x="1419" w:y="6408" w:anchorLock="1"/>
        <w:ind w:left="-1418"/>
      </w:pPr>
    </w:p>
    <w:p w14:paraId="49EBCE14">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点击此处添加标准名称的英文译名</w:t>
      </w:r>
      <w:r>
        <w:rPr>
          <w:rFonts w:eastAsia="黑体"/>
          <w:szCs w:val="28"/>
        </w:rPr>
        <w:fldChar w:fldCharType="end"/>
      </w:r>
      <w:bookmarkEnd w:id="10"/>
    </w:p>
    <w:p w14:paraId="27B07893">
      <w:pPr>
        <w:framePr w:w="9639" w:h="6974" w:hRule="exact" w:wrap="around" w:vAnchor="page" w:hAnchor="page" w:x="1419" w:y="6408" w:anchorLock="1"/>
        <w:spacing w:line="760" w:lineRule="exact"/>
        <w:ind w:left="-1418"/>
      </w:pPr>
    </w:p>
    <w:p w14:paraId="73CB6754">
      <w:pPr>
        <w:pStyle w:val="125"/>
        <w:framePr w:w="9639" w:h="6974" w:hRule="exact" w:wrap="around" w:vAnchor="page" w:hAnchor="page" w:x="1419" w:y="6408" w:anchorLock="1"/>
        <w:textAlignment w:val="bottom"/>
        <w:rPr>
          <w:rFonts w:eastAsia="黑体"/>
          <w:szCs w:val="28"/>
        </w:rPr>
      </w:pPr>
    </w:p>
    <w:p w14:paraId="184F92C9">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4FDAD51A">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72CBA7D2">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0D34415B">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477B30D">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18183422">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江西省市场监督</w:t>
      </w:r>
      <w:r>
        <w:rPr>
          <w:rFonts w:hAnsi="黑体"/>
          <w:w w:val="100"/>
          <w:sz w:val="28"/>
        </w:rPr>
        <w:t>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AF5288E">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AAF80CE">
      <w:pPr>
        <w:pStyle w:val="91"/>
        <w:spacing w:after="468"/>
      </w:pPr>
      <w:bookmarkStart w:id="21" w:name="BookMark1"/>
      <w:bookmarkStart w:id="22" w:name="_Toc178600840"/>
      <w:bookmarkStart w:id="23" w:name="_Toc178600822"/>
      <w:r>
        <w:rPr>
          <w:rFonts w:hint="eastAsia"/>
          <w:spacing w:val="320"/>
        </w:rPr>
        <w:t>目</w:t>
      </w:r>
      <w:r>
        <w:rPr>
          <w:rFonts w:hint="eastAsia"/>
        </w:rPr>
        <w:t>次</w:t>
      </w:r>
    </w:p>
    <w:p w14:paraId="5F9E03F9">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"_Toc179530433" </w:instrText>
      </w:r>
      <w:r>
        <w:fldChar w:fldCharType="separate"/>
      </w:r>
      <w:r>
        <w:rPr>
          <w:rStyle w:val="32"/>
        </w:rPr>
        <w:t>前言</w:t>
      </w:r>
      <w:r>
        <w:tab/>
      </w:r>
      <w:r>
        <w:fldChar w:fldCharType="begin"/>
      </w:r>
      <w:r>
        <w:instrText xml:space="preserve"> PAGEREF _Toc179530433 \h </w:instrText>
      </w:r>
      <w:r>
        <w:fldChar w:fldCharType="separate"/>
      </w:r>
      <w:r>
        <w:t>II</w:t>
      </w:r>
      <w:r>
        <w:fldChar w:fldCharType="end"/>
      </w:r>
      <w:r>
        <w:fldChar w:fldCharType="end"/>
      </w:r>
    </w:p>
    <w:p w14:paraId="3CA4CEB9">
      <w:pPr>
        <w:pStyle w:val="19"/>
        <w:tabs>
          <w:tab w:val="right" w:leader="dot" w:pos="9344"/>
        </w:tabs>
        <w:rPr>
          <w:rFonts w:asciiTheme="minorHAnsi" w:hAnsiTheme="minorHAnsi" w:eastAsiaTheme="minorEastAsia" w:cstheme="minorBidi"/>
          <w:szCs w:val="22"/>
        </w:rPr>
      </w:pPr>
      <w:r>
        <w:fldChar w:fldCharType="begin"/>
      </w:r>
      <w:r>
        <w:instrText xml:space="preserve"> HYPERLINK \l "_Toc179530434" </w:instrText>
      </w:r>
      <w:r>
        <w:fldChar w:fldCharType="separate"/>
      </w:r>
      <w:r>
        <w:rPr>
          <w:rStyle w:val="32"/>
        </w:rPr>
        <w:t>1  范围</w:t>
      </w:r>
      <w:r>
        <w:tab/>
      </w:r>
      <w:r>
        <w:fldChar w:fldCharType="begin"/>
      </w:r>
      <w:r>
        <w:instrText xml:space="preserve"> PAGEREF _Toc179530434 \h </w:instrText>
      </w:r>
      <w:r>
        <w:fldChar w:fldCharType="separate"/>
      </w:r>
      <w:r>
        <w:t>1</w:t>
      </w:r>
      <w:r>
        <w:fldChar w:fldCharType="end"/>
      </w:r>
      <w:r>
        <w:fldChar w:fldCharType="end"/>
      </w:r>
    </w:p>
    <w:p w14:paraId="5E6A1E89">
      <w:pPr>
        <w:pStyle w:val="19"/>
        <w:tabs>
          <w:tab w:val="right" w:leader="dot" w:pos="9344"/>
        </w:tabs>
        <w:rPr>
          <w:rFonts w:asciiTheme="minorHAnsi" w:hAnsiTheme="minorHAnsi" w:eastAsiaTheme="minorEastAsia" w:cstheme="minorBidi"/>
          <w:szCs w:val="22"/>
        </w:rPr>
      </w:pPr>
      <w:r>
        <w:fldChar w:fldCharType="begin"/>
      </w:r>
      <w:r>
        <w:instrText xml:space="preserve"> HYPERLINK \l "_Toc179530435" </w:instrText>
      </w:r>
      <w:r>
        <w:fldChar w:fldCharType="separate"/>
      </w:r>
      <w:r>
        <w:rPr>
          <w:rStyle w:val="32"/>
        </w:rPr>
        <w:t>2  规范性引用文件</w:t>
      </w:r>
      <w:r>
        <w:tab/>
      </w:r>
      <w:r>
        <w:fldChar w:fldCharType="begin"/>
      </w:r>
      <w:r>
        <w:instrText xml:space="preserve"> PAGEREF _Toc179530435 \h </w:instrText>
      </w:r>
      <w:r>
        <w:fldChar w:fldCharType="separate"/>
      </w:r>
      <w:r>
        <w:t>1</w:t>
      </w:r>
      <w:r>
        <w:fldChar w:fldCharType="end"/>
      </w:r>
      <w:r>
        <w:fldChar w:fldCharType="end"/>
      </w:r>
    </w:p>
    <w:p w14:paraId="5C98FE78">
      <w:pPr>
        <w:pStyle w:val="19"/>
        <w:tabs>
          <w:tab w:val="right" w:leader="dot" w:pos="9344"/>
        </w:tabs>
        <w:rPr>
          <w:rFonts w:asciiTheme="minorHAnsi" w:hAnsiTheme="minorHAnsi" w:eastAsiaTheme="minorEastAsia" w:cstheme="minorBidi"/>
          <w:szCs w:val="22"/>
        </w:rPr>
      </w:pPr>
      <w:r>
        <w:fldChar w:fldCharType="begin"/>
      </w:r>
      <w:r>
        <w:instrText xml:space="preserve"> HYPERLINK \l "_Toc179530436" </w:instrText>
      </w:r>
      <w:r>
        <w:fldChar w:fldCharType="separate"/>
      </w:r>
      <w:r>
        <w:rPr>
          <w:rStyle w:val="32"/>
        </w:rPr>
        <w:t>3  术语和定义</w:t>
      </w:r>
      <w:r>
        <w:tab/>
      </w:r>
      <w:r>
        <w:fldChar w:fldCharType="begin"/>
      </w:r>
      <w:r>
        <w:instrText xml:space="preserve"> PAGEREF _Toc179530436 \h </w:instrText>
      </w:r>
      <w:r>
        <w:fldChar w:fldCharType="separate"/>
      </w:r>
      <w:r>
        <w:t>1</w:t>
      </w:r>
      <w:r>
        <w:fldChar w:fldCharType="end"/>
      </w:r>
      <w:r>
        <w:fldChar w:fldCharType="end"/>
      </w:r>
    </w:p>
    <w:p w14:paraId="079234D6">
      <w:pPr>
        <w:pStyle w:val="19"/>
        <w:tabs>
          <w:tab w:val="right" w:leader="dot" w:pos="9344"/>
        </w:tabs>
        <w:rPr>
          <w:rFonts w:asciiTheme="minorHAnsi" w:hAnsiTheme="minorHAnsi" w:eastAsiaTheme="minorEastAsia" w:cstheme="minorBidi"/>
          <w:szCs w:val="22"/>
        </w:rPr>
      </w:pPr>
      <w:r>
        <w:fldChar w:fldCharType="begin"/>
      </w:r>
      <w:r>
        <w:instrText xml:space="preserve"> HYPERLINK \l "_Toc179530437" </w:instrText>
      </w:r>
      <w:r>
        <w:fldChar w:fldCharType="separate"/>
      </w:r>
      <w:r>
        <w:rPr>
          <w:rStyle w:val="32"/>
        </w:rPr>
        <w:t>4  生产场所</w:t>
      </w:r>
      <w:r>
        <w:tab/>
      </w:r>
      <w:r>
        <w:fldChar w:fldCharType="begin"/>
      </w:r>
      <w:r>
        <w:instrText xml:space="preserve"> PAGEREF _Toc179530437 \h </w:instrText>
      </w:r>
      <w:r>
        <w:fldChar w:fldCharType="separate"/>
      </w:r>
      <w:r>
        <w:t>1</w:t>
      </w:r>
      <w:r>
        <w:fldChar w:fldCharType="end"/>
      </w:r>
      <w:r>
        <w:fldChar w:fldCharType="end"/>
      </w:r>
    </w:p>
    <w:p w14:paraId="3BD07C4C">
      <w:pPr>
        <w:pStyle w:val="24"/>
        <w:rPr>
          <w:rFonts w:asciiTheme="minorHAnsi" w:hAnsiTheme="minorHAnsi" w:eastAsiaTheme="minorEastAsia" w:cstheme="minorBidi"/>
          <w:szCs w:val="22"/>
        </w:rPr>
      </w:pPr>
      <w:r>
        <w:fldChar w:fldCharType="begin"/>
      </w:r>
      <w:r>
        <w:instrText xml:space="preserve"> HYPERLINK \l "_Toc179530438" </w:instrText>
      </w:r>
      <w:r>
        <w:fldChar w:fldCharType="separate"/>
      </w:r>
      <w:r>
        <w:rPr>
          <w:rStyle w:val="32"/>
          <w14:scene3d w14:prst="orthographicFront">
            <w14:lightRig w14:rig="threePt" w14:dir="t">
              <w14:rot w14:lat="0" w14:lon="0" w14:rev="0"/>
            </w14:lightRig>
          </w14:scene3d>
        </w:rPr>
        <w:t xml:space="preserve">4.1 </w:t>
      </w:r>
      <w:r>
        <w:rPr>
          <w:rStyle w:val="32"/>
        </w:rPr>
        <w:t xml:space="preserve"> 选址</w:t>
      </w:r>
      <w:r>
        <w:tab/>
      </w:r>
      <w:r>
        <w:fldChar w:fldCharType="begin"/>
      </w:r>
      <w:r>
        <w:instrText xml:space="preserve"> PAGEREF _Toc179530438 \h </w:instrText>
      </w:r>
      <w:r>
        <w:fldChar w:fldCharType="separate"/>
      </w:r>
      <w:r>
        <w:t>1</w:t>
      </w:r>
      <w:r>
        <w:fldChar w:fldCharType="end"/>
      </w:r>
      <w:r>
        <w:fldChar w:fldCharType="end"/>
      </w:r>
    </w:p>
    <w:p w14:paraId="006B057B">
      <w:pPr>
        <w:pStyle w:val="24"/>
        <w:rPr>
          <w:rFonts w:asciiTheme="minorHAnsi" w:hAnsiTheme="minorHAnsi" w:eastAsiaTheme="minorEastAsia" w:cstheme="minorBidi"/>
          <w:szCs w:val="22"/>
        </w:rPr>
      </w:pPr>
      <w:r>
        <w:fldChar w:fldCharType="begin"/>
      </w:r>
      <w:r>
        <w:instrText xml:space="preserve"> HYPERLINK \l "_Toc179530439" </w:instrText>
      </w:r>
      <w:r>
        <w:fldChar w:fldCharType="separate"/>
      </w:r>
      <w:r>
        <w:rPr>
          <w:rStyle w:val="32"/>
          <w14:scene3d w14:prst="orthographicFront">
            <w14:lightRig w14:rig="threePt" w14:dir="t">
              <w14:rot w14:lat="0" w14:lon="0" w14:rev="0"/>
            </w14:lightRig>
          </w14:scene3d>
        </w:rPr>
        <w:t xml:space="preserve">4.2 </w:t>
      </w:r>
      <w:r>
        <w:rPr>
          <w:rStyle w:val="32"/>
        </w:rPr>
        <w:t xml:space="preserve"> 布局</w:t>
      </w:r>
      <w:r>
        <w:tab/>
      </w:r>
      <w:r>
        <w:fldChar w:fldCharType="begin"/>
      </w:r>
      <w:r>
        <w:instrText xml:space="preserve"> PAGEREF _Toc179530439 \h </w:instrText>
      </w:r>
      <w:r>
        <w:fldChar w:fldCharType="separate"/>
      </w:r>
      <w:r>
        <w:t>1</w:t>
      </w:r>
      <w:r>
        <w:fldChar w:fldCharType="end"/>
      </w:r>
      <w:r>
        <w:fldChar w:fldCharType="end"/>
      </w:r>
    </w:p>
    <w:p w14:paraId="294DD030">
      <w:pPr>
        <w:pStyle w:val="19"/>
        <w:tabs>
          <w:tab w:val="right" w:leader="dot" w:pos="9344"/>
        </w:tabs>
        <w:rPr>
          <w:rFonts w:asciiTheme="minorHAnsi" w:hAnsiTheme="minorHAnsi" w:eastAsiaTheme="minorEastAsia" w:cstheme="minorBidi"/>
          <w:szCs w:val="22"/>
        </w:rPr>
      </w:pPr>
      <w:r>
        <w:fldChar w:fldCharType="begin"/>
      </w:r>
      <w:r>
        <w:instrText xml:space="preserve"> HYPERLINK \l "_Toc179530440" </w:instrText>
      </w:r>
      <w:r>
        <w:fldChar w:fldCharType="separate"/>
      </w:r>
      <w:r>
        <w:rPr>
          <w:rStyle w:val="32"/>
        </w:rPr>
        <w:t>5  设施设备</w:t>
      </w:r>
      <w:r>
        <w:tab/>
      </w:r>
      <w:r>
        <w:fldChar w:fldCharType="begin"/>
      </w:r>
      <w:r>
        <w:instrText xml:space="preserve"> PAGEREF _Toc179530440 \h </w:instrText>
      </w:r>
      <w:r>
        <w:fldChar w:fldCharType="separate"/>
      </w:r>
      <w:r>
        <w:t>1</w:t>
      </w:r>
      <w:r>
        <w:fldChar w:fldCharType="end"/>
      </w:r>
      <w:r>
        <w:fldChar w:fldCharType="end"/>
      </w:r>
    </w:p>
    <w:p w14:paraId="36DA78CA">
      <w:pPr>
        <w:pStyle w:val="24"/>
        <w:rPr>
          <w:rFonts w:asciiTheme="minorHAnsi" w:hAnsiTheme="minorHAnsi" w:eastAsiaTheme="minorEastAsia" w:cstheme="minorBidi"/>
          <w:szCs w:val="22"/>
        </w:rPr>
      </w:pPr>
      <w:r>
        <w:fldChar w:fldCharType="begin"/>
      </w:r>
      <w:r>
        <w:instrText xml:space="preserve"> HYPERLINK \l "_Toc179530441" </w:instrText>
      </w:r>
      <w:r>
        <w:fldChar w:fldCharType="separate"/>
      </w:r>
      <w:r>
        <w:rPr>
          <w:rStyle w:val="32"/>
          <w14:scene3d w14:prst="orthographicFront">
            <w14:lightRig w14:rig="threePt" w14:dir="t">
              <w14:rot w14:lat="0" w14:lon="0" w14:rev="0"/>
            </w14:lightRig>
          </w14:scene3d>
        </w:rPr>
        <w:t xml:space="preserve">5.1 </w:t>
      </w:r>
      <w:r>
        <w:rPr>
          <w:rStyle w:val="32"/>
        </w:rPr>
        <w:t xml:space="preserve"> 生产设备</w:t>
      </w:r>
      <w:r>
        <w:tab/>
      </w:r>
      <w:r>
        <w:fldChar w:fldCharType="begin"/>
      </w:r>
      <w:r>
        <w:instrText xml:space="preserve"> PAGEREF _Toc179530441 \h </w:instrText>
      </w:r>
      <w:r>
        <w:fldChar w:fldCharType="separate"/>
      </w:r>
      <w:r>
        <w:t>2</w:t>
      </w:r>
      <w:r>
        <w:fldChar w:fldCharType="end"/>
      </w:r>
      <w:r>
        <w:fldChar w:fldCharType="end"/>
      </w:r>
    </w:p>
    <w:p w14:paraId="34ED0043">
      <w:pPr>
        <w:pStyle w:val="24"/>
        <w:rPr>
          <w:rFonts w:asciiTheme="minorHAnsi" w:hAnsiTheme="minorHAnsi" w:eastAsiaTheme="minorEastAsia" w:cstheme="minorBidi"/>
          <w:szCs w:val="22"/>
        </w:rPr>
      </w:pPr>
      <w:r>
        <w:fldChar w:fldCharType="begin"/>
      </w:r>
      <w:r>
        <w:instrText xml:space="preserve"> HYPERLINK \l "_Toc179530442" </w:instrText>
      </w:r>
      <w:r>
        <w:fldChar w:fldCharType="separate"/>
      </w:r>
      <w:r>
        <w:rPr>
          <w:rStyle w:val="32"/>
          <w14:scene3d w14:prst="orthographicFront">
            <w14:lightRig w14:rig="threePt" w14:dir="t">
              <w14:rot w14:lat="0" w14:lon="0" w14:rev="0"/>
            </w14:lightRig>
          </w14:scene3d>
        </w:rPr>
        <w:t xml:space="preserve">5.2 </w:t>
      </w:r>
      <w:r>
        <w:rPr>
          <w:rStyle w:val="32"/>
        </w:rPr>
        <w:t xml:space="preserve"> 检验设备</w:t>
      </w:r>
      <w:r>
        <w:tab/>
      </w:r>
      <w:r>
        <w:fldChar w:fldCharType="begin"/>
      </w:r>
      <w:r>
        <w:instrText xml:space="preserve"> PAGEREF _Toc179530442 \h </w:instrText>
      </w:r>
      <w:r>
        <w:fldChar w:fldCharType="separate"/>
      </w:r>
      <w:r>
        <w:t>2</w:t>
      </w:r>
      <w:r>
        <w:fldChar w:fldCharType="end"/>
      </w:r>
      <w:r>
        <w:fldChar w:fldCharType="end"/>
      </w:r>
    </w:p>
    <w:p w14:paraId="4FA20354">
      <w:pPr>
        <w:pStyle w:val="24"/>
        <w:rPr>
          <w:rFonts w:asciiTheme="minorHAnsi" w:hAnsiTheme="minorHAnsi" w:eastAsiaTheme="minorEastAsia" w:cstheme="minorBidi"/>
          <w:szCs w:val="22"/>
        </w:rPr>
      </w:pPr>
      <w:r>
        <w:fldChar w:fldCharType="begin"/>
      </w:r>
      <w:r>
        <w:instrText xml:space="preserve"> HYPERLINK \l "_Toc179530443" </w:instrText>
      </w:r>
      <w:r>
        <w:fldChar w:fldCharType="separate"/>
      </w:r>
      <w:r>
        <w:rPr>
          <w:rStyle w:val="32"/>
          <w14:scene3d w14:prst="orthographicFront">
            <w14:lightRig w14:rig="threePt" w14:dir="t">
              <w14:rot w14:lat="0" w14:lon="0" w14:rev="0"/>
            </w14:lightRig>
          </w14:scene3d>
        </w:rPr>
        <w:t xml:space="preserve">5.3 </w:t>
      </w:r>
      <w:r>
        <w:rPr>
          <w:rStyle w:val="32"/>
        </w:rPr>
        <w:t xml:space="preserve"> 其他设施设备</w:t>
      </w:r>
      <w:r>
        <w:tab/>
      </w:r>
      <w:r>
        <w:fldChar w:fldCharType="begin"/>
      </w:r>
      <w:r>
        <w:instrText xml:space="preserve"> PAGEREF _Toc179530443 \h </w:instrText>
      </w:r>
      <w:r>
        <w:fldChar w:fldCharType="separate"/>
      </w:r>
      <w:r>
        <w:t>2</w:t>
      </w:r>
      <w:r>
        <w:fldChar w:fldCharType="end"/>
      </w:r>
      <w:r>
        <w:fldChar w:fldCharType="end"/>
      </w:r>
    </w:p>
    <w:p w14:paraId="6FCCCD8C">
      <w:pPr>
        <w:pStyle w:val="19"/>
        <w:tabs>
          <w:tab w:val="right" w:leader="dot" w:pos="9344"/>
        </w:tabs>
        <w:rPr>
          <w:rFonts w:asciiTheme="minorHAnsi" w:hAnsiTheme="minorHAnsi" w:eastAsiaTheme="minorEastAsia" w:cstheme="minorBidi"/>
          <w:szCs w:val="22"/>
        </w:rPr>
      </w:pPr>
      <w:r>
        <w:fldChar w:fldCharType="begin"/>
      </w:r>
      <w:r>
        <w:instrText xml:space="preserve"> HYPERLINK \l "_Toc179530444" </w:instrText>
      </w:r>
      <w:r>
        <w:fldChar w:fldCharType="separate"/>
      </w:r>
      <w:r>
        <w:rPr>
          <w:rStyle w:val="32"/>
        </w:rPr>
        <w:t>6  生产加工</w:t>
      </w:r>
      <w:r>
        <w:tab/>
      </w:r>
      <w:r>
        <w:fldChar w:fldCharType="begin"/>
      </w:r>
      <w:r>
        <w:instrText xml:space="preserve"> PAGEREF _Toc179530444 \h </w:instrText>
      </w:r>
      <w:r>
        <w:fldChar w:fldCharType="separate"/>
      </w:r>
      <w:r>
        <w:t>2</w:t>
      </w:r>
      <w:r>
        <w:fldChar w:fldCharType="end"/>
      </w:r>
      <w:r>
        <w:fldChar w:fldCharType="end"/>
      </w:r>
    </w:p>
    <w:p w14:paraId="1ADBD869">
      <w:pPr>
        <w:pStyle w:val="19"/>
        <w:tabs>
          <w:tab w:val="right" w:leader="dot" w:pos="9344"/>
        </w:tabs>
        <w:rPr>
          <w:rFonts w:asciiTheme="minorHAnsi" w:hAnsiTheme="minorHAnsi" w:eastAsiaTheme="minorEastAsia" w:cstheme="minorBidi"/>
          <w:szCs w:val="22"/>
        </w:rPr>
      </w:pPr>
      <w:r>
        <w:fldChar w:fldCharType="begin"/>
      </w:r>
      <w:r>
        <w:instrText xml:space="preserve"> HYPERLINK \l "_Toc179530445" </w:instrText>
      </w:r>
      <w:r>
        <w:fldChar w:fldCharType="separate"/>
      </w:r>
      <w:r>
        <w:rPr>
          <w:rStyle w:val="32"/>
        </w:rPr>
        <w:t>7  人员及卫生</w:t>
      </w:r>
      <w:r>
        <w:tab/>
      </w:r>
      <w:r>
        <w:fldChar w:fldCharType="begin"/>
      </w:r>
      <w:r>
        <w:instrText xml:space="preserve"> PAGEREF _Toc179530445 \h </w:instrText>
      </w:r>
      <w:r>
        <w:fldChar w:fldCharType="separate"/>
      </w:r>
      <w:r>
        <w:t>2</w:t>
      </w:r>
      <w:r>
        <w:fldChar w:fldCharType="end"/>
      </w:r>
      <w:r>
        <w:fldChar w:fldCharType="end"/>
      </w:r>
    </w:p>
    <w:p w14:paraId="45E8610E">
      <w:pPr>
        <w:pStyle w:val="19"/>
        <w:tabs>
          <w:tab w:val="right" w:leader="dot" w:pos="9344"/>
        </w:tabs>
        <w:rPr>
          <w:rFonts w:asciiTheme="minorHAnsi" w:hAnsiTheme="minorHAnsi" w:eastAsiaTheme="minorEastAsia" w:cstheme="minorBidi"/>
          <w:szCs w:val="22"/>
        </w:rPr>
      </w:pPr>
      <w:r>
        <w:fldChar w:fldCharType="begin"/>
      </w:r>
      <w:r>
        <w:instrText xml:space="preserve"> HYPERLINK \l "_Toc179530446" </w:instrText>
      </w:r>
      <w:r>
        <w:fldChar w:fldCharType="separate"/>
      </w:r>
      <w:r>
        <w:rPr>
          <w:rStyle w:val="32"/>
        </w:rPr>
        <w:t>8  质量检测</w:t>
      </w:r>
      <w:r>
        <w:tab/>
      </w:r>
      <w:r>
        <w:fldChar w:fldCharType="begin"/>
      </w:r>
      <w:r>
        <w:instrText xml:space="preserve"> PAGEREF _Toc179530446 \h </w:instrText>
      </w:r>
      <w:r>
        <w:fldChar w:fldCharType="separate"/>
      </w:r>
      <w:r>
        <w:t>2</w:t>
      </w:r>
      <w:r>
        <w:fldChar w:fldCharType="end"/>
      </w:r>
      <w:r>
        <w:fldChar w:fldCharType="end"/>
      </w:r>
    </w:p>
    <w:p w14:paraId="74F15209">
      <w:pPr>
        <w:pStyle w:val="19"/>
        <w:tabs>
          <w:tab w:val="right" w:leader="dot" w:pos="9344"/>
        </w:tabs>
        <w:rPr>
          <w:rFonts w:asciiTheme="minorHAnsi" w:hAnsiTheme="minorHAnsi" w:eastAsiaTheme="minorEastAsia" w:cstheme="minorBidi"/>
          <w:szCs w:val="22"/>
        </w:rPr>
      </w:pPr>
      <w:r>
        <w:fldChar w:fldCharType="begin"/>
      </w:r>
      <w:r>
        <w:instrText xml:space="preserve"> HYPERLINK \l "_Toc179530447" </w:instrText>
      </w:r>
      <w:r>
        <w:fldChar w:fldCharType="separate"/>
      </w:r>
      <w:r>
        <w:rPr>
          <w:rStyle w:val="32"/>
        </w:rPr>
        <w:t>9  标签、包装及贮存</w:t>
      </w:r>
      <w:r>
        <w:tab/>
      </w:r>
      <w:r>
        <w:fldChar w:fldCharType="begin"/>
      </w:r>
      <w:r>
        <w:instrText xml:space="preserve"> PAGEREF _Toc179530447 \h </w:instrText>
      </w:r>
      <w:r>
        <w:fldChar w:fldCharType="separate"/>
      </w:r>
      <w:r>
        <w:t>2</w:t>
      </w:r>
      <w:r>
        <w:fldChar w:fldCharType="end"/>
      </w:r>
      <w:r>
        <w:fldChar w:fldCharType="end"/>
      </w:r>
    </w:p>
    <w:p w14:paraId="3488666B">
      <w:pPr>
        <w:pStyle w:val="19"/>
        <w:tabs>
          <w:tab w:val="right" w:leader="dot" w:pos="9344"/>
        </w:tabs>
        <w:rPr>
          <w:rFonts w:asciiTheme="minorHAnsi" w:hAnsiTheme="minorHAnsi" w:eastAsiaTheme="minorEastAsia" w:cstheme="minorBidi"/>
          <w:szCs w:val="22"/>
        </w:rPr>
      </w:pPr>
      <w:r>
        <w:fldChar w:fldCharType="begin"/>
      </w:r>
      <w:r>
        <w:instrText xml:space="preserve"> HYPERLINK \l "_Toc179530448" </w:instrText>
      </w:r>
      <w:r>
        <w:fldChar w:fldCharType="separate"/>
      </w:r>
      <w:r>
        <w:rPr>
          <w:rStyle w:val="32"/>
        </w:rPr>
        <w:t>附录A（资料性）  茶油小作坊规范整体布局图</w:t>
      </w:r>
      <w:r>
        <w:tab/>
      </w:r>
      <w:r>
        <w:fldChar w:fldCharType="begin"/>
      </w:r>
      <w:r>
        <w:instrText xml:space="preserve"> PAGEREF _Toc179530448 \h </w:instrText>
      </w:r>
      <w:r>
        <w:fldChar w:fldCharType="separate"/>
      </w:r>
      <w:r>
        <w:t>1</w:t>
      </w:r>
      <w:r>
        <w:fldChar w:fldCharType="end"/>
      </w:r>
      <w:r>
        <w:fldChar w:fldCharType="end"/>
      </w:r>
    </w:p>
    <w:p w14:paraId="6863779E">
      <w:pPr>
        <w:pStyle w:val="19"/>
        <w:tabs>
          <w:tab w:val="right" w:leader="dot" w:pos="9344"/>
        </w:tabs>
        <w:rPr>
          <w:rFonts w:asciiTheme="minorHAnsi" w:hAnsiTheme="minorHAnsi" w:eastAsiaTheme="minorEastAsia" w:cstheme="minorBidi"/>
          <w:szCs w:val="22"/>
        </w:rPr>
      </w:pPr>
      <w:r>
        <w:fldChar w:fldCharType="begin"/>
      </w:r>
      <w:r>
        <w:instrText xml:space="preserve"> HYPERLINK \l "_Toc179530449" </w:instrText>
      </w:r>
      <w:r>
        <w:fldChar w:fldCharType="separate"/>
      </w:r>
      <w:r>
        <w:rPr>
          <w:rStyle w:val="32"/>
        </w:rPr>
        <w:t>附录B（规范性）  茶油小作坊改造提升指标明细表</w:t>
      </w:r>
      <w:r>
        <w:tab/>
      </w:r>
      <w:r>
        <w:fldChar w:fldCharType="begin"/>
      </w:r>
      <w:r>
        <w:instrText xml:space="preserve"> PAGEREF _Toc179530449 \h </w:instrText>
      </w:r>
      <w:r>
        <w:fldChar w:fldCharType="separate"/>
      </w:r>
      <w:r>
        <w:t>2</w:t>
      </w:r>
      <w:r>
        <w:fldChar w:fldCharType="end"/>
      </w:r>
      <w:r>
        <w:fldChar w:fldCharType="end"/>
      </w:r>
    </w:p>
    <w:p w14:paraId="730CDDC6">
      <w:pPr>
        <w:pStyle w:val="19"/>
        <w:tabs>
          <w:tab w:val="right" w:leader="dot" w:pos="9344"/>
        </w:tabs>
        <w:rPr>
          <w:rFonts w:asciiTheme="minorHAnsi" w:hAnsiTheme="minorHAnsi" w:eastAsiaTheme="minorEastAsia" w:cstheme="minorBidi"/>
          <w:szCs w:val="22"/>
        </w:rPr>
      </w:pPr>
      <w:r>
        <w:fldChar w:fldCharType="begin"/>
      </w:r>
      <w:r>
        <w:instrText xml:space="preserve"> HYPERLINK \l "_Toc179530450" </w:instrText>
      </w:r>
      <w:r>
        <w:fldChar w:fldCharType="separate"/>
      </w:r>
      <w:r>
        <w:rPr>
          <w:rStyle w:val="32"/>
        </w:rPr>
        <w:t>参考文献</w:t>
      </w:r>
      <w:r>
        <w:tab/>
      </w:r>
      <w:r>
        <w:fldChar w:fldCharType="begin"/>
      </w:r>
      <w:r>
        <w:instrText xml:space="preserve"> PAGEREF _Toc179530450 \h </w:instrText>
      </w:r>
      <w:r>
        <w:fldChar w:fldCharType="separate"/>
      </w:r>
      <w:r>
        <w:t>5</w:t>
      </w:r>
      <w:r>
        <w:fldChar w:fldCharType="end"/>
      </w:r>
      <w:r>
        <w:fldChar w:fldCharType="end"/>
      </w:r>
    </w:p>
    <w:p w14:paraId="42097063">
      <w:pPr>
        <w:pStyle w:val="91"/>
        <w:spacing w:after="468"/>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2B4A700C">
      <w:pPr>
        <w:pStyle w:val="89"/>
        <w:spacing w:before="900" w:after="468"/>
      </w:pPr>
      <w:bookmarkStart w:id="24" w:name="_Toc179530433"/>
      <w:bookmarkStart w:id="25" w:name="BookMark2"/>
      <w:r>
        <w:rPr>
          <w:spacing w:val="320"/>
        </w:rPr>
        <w:t>前</w:t>
      </w:r>
      <w:r>
        <w:t>言</w:t>
      </w:r>
      <w:bookmarkEnd w:id="22"/>
      <w:bookmarkEnd w:id="23"/>
      <w:bookmarkEnd w:id="24"/>
    </w:p>
    <w:p w14:paraId="6CE8D620">
      <w:pPr>
        <w:pStyle w:val="56"/>
        <w:ind w:firstLine="420"/>
      </w:pPr>
      <w:r>
        <w:rPr>
          <w:rFonts w:hint="eastAsia"/>
        </w:rPr>
        <w:t>本文件按照GB/T 1.1—2020《标准化工作导则  第1部分：标准化文件的结构和起草规则》的规定起草。</w:t>
      </w:r>
    </w:p>
    <w:p w14:paraId="40607A4D">
      <w:pPr>
        <w:pStyle w:val="56"/>
        <w:ind w:firstLine="420"/>
      </w:pPr>
      <w:r>
        <w:rPr>
          <w:rFonts w:hint="eastAsia"/>
        </w:rPr>
        <w:t>请注意本文件的某些内容可能涉及专利，本文件的发布机构不承担识别这些专利的责任。</w:t>
      </w:r>
    </w:p>
    <w:p w14:paraId="378C1D59">
      <w:pPr>
        <w:pStyle w:val="56"/>
        <w:ind w:firstLine="420"/>
      </w:pPr>
      <w:r>
        <w:rPr>
          <w:rFonts w:hint="eastAsia"/>
        </w:rPr>
        <w:t>本文件由江西省市场监督管理局提出并归口。</w:t>
      </w:r>
    </w:p>
    <w:p w14:paraId="13A6ABB3">
      <w:pPr>
        <w:pStyle w:val="56"/>
        <w:ind w:firstLine="420"/>
      </w:pPr>
      <w:r>
        <w:rPr>
          <w:rFonts w:hint="eastAsia"/>
        </w:rPr>
        <w:t>本文件起草单位：江西省市场监督管理局食品</w:t>
      </w:r>
      <w:r>
        <w:t>生产安全监督管理处</w:t>
      </w:r>
      <w:r>
        <w:rPr>
          <w:rFonts w:hint="eastAsia"/>
        </w:rPr>
        <w:t>、江西省</w:t>
      </w:r>
      <w:r>
        <w:t>质量和标准化研究院、</w:t>
      </w:r>
      <w:r>
        <w:rPr>
          <w:rFonts w:hint="eastAsia"/>
        </w:rPr>
        <w:t>江西省林业局、江西中医药大学、江西省林业科学院、抚州林科所、江西省德义源生态农业发展有限公司、江西健达食品有限公司。</w:t>
      </w:r>
    </w:p>
    <w:p w14:paraId="616182E9">
      <w:pPr>
        <w:pStyle w:val="56"/>
        <w:ind w:firstLine="420"/>
      </w:pPr>
      <w:r>
        <w:rPr>
          <w:rFonts w:hint="eastAsia"/>
        </w:rPr>
        <w:t>本文件主要起草人：</w:t>
      </w:r>
    </w:p>
    <w:p w14:paraId="28B2CCB9">
      <w:pPr>
        <w:pStyle w:val="56"/>
        <w:ind w:firstLine="420"/>
      </w:pPr>
    </w:p>
    <w:p w14:paraId="1D5DB2C8">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5"/>
    <w:p w14:paraId="02A24127">
      <w:pPr>
        <w:spacing w:line="20" w:lineRule="exact"/>
        <w:jc w:val="center"/>
        <w:rPr>
          <w:rFonts w:ascii="黑体" w:hAnsi="黑体" w:eastAsia="黑体"/>
          <w:sz w:val="32"/>
          <w:szCs w:val="32"/>
        </w:rPr>
      </w:pPr>
      <w:bookmarkStart w:id="26" w:name="BookMark4"/>
    </w:p>
    <w:p w14:paraId="3566CAC8">
      <w:pPr>
        <w:spacing w:line="20" w:lineRule="exact"/>
        <w:jc w:val="center"/>
        <w:rPr>
          <w:rFonts w:ascii="黑体" w:hAnsi="黑体" w:eastAsia="黑体"/>
          <w:sz w:val="32"/>
          <w:szCs w:val="32"/>
        </w:rPr>
      </w:pPr>
    </w:p>
    <w:sdt>
      <w:sdtPr>
        <w:tag w:val="NEW_STAND_NAME"/>
        <w:id w:val="595910757"/>
        <w:lock w:val="sdtLocked"/>
        <w:placeholder>
          <w:docPart w:val="85E7ED004E3B47519C34C80DC2C9FD3E"/>
        </w:placeholder>
      </w:sdtPr>
      <w:sdtContent>
        <w:p w14:paraId="4247FE1E">
          <w:pPr>
            <w:pStyle w:val="177"/>
            <w:spacing w:before="312" w:beforeLines="100" w:after="686" w:afterLines="220"/>
          </w:pPr>
          <w:bookmarkStart w:id="27" w:name="NEW_STAND_NAME"/>
          <w:r>
            <w:rPr>
              <w:rFonts w:hint="eastAsia"/>
            </w:rPr>
            <w:t>茶油小作坊改造提升管理规范</w:t>
          </w:r>
        </w:p>
      </w:sdtContent>
    </w:sdt>
    <w:bookmarkEnd w:id="27"/>
    <w:p w14:paraId="212F49E2">
      <w:pPr>
        <w:pStyle w:val="104"/>
        <w:spacing w:before="312" w:after="312"/>
      </w:pPr>
      <w:bookmarkStart w:id="28" w:name="_Toc17233333"/>
      <w:bookmarkStart w:id="29" w:name="_Toc17233325"/>
      <w:bookmarkStart w:id="30" w:name="_Toc24884211"/>
      <w:bookmarkStart w:id="31" w:name="_Toc26648465"/>
      <w:bookmarkStart w:id="32" w:name="_Toc24884218"/>
      <w:bookmarkStart w:id="33" w:name="_Toc26986771"/>
      <w:bookmarkStart w:id="34" w:name="_Toc97191423"/>
      <w:bookmarkStart w:id="35" w:name="_Toc26718930"/>
      <w:bookmarkStart w:id="36" w:name="_Toc26986530"/>
      <w:bookmarkStart w:id="37" w:name="_Toc178600823"/>
      <w:bookmarkStart w:id="38" w:name="_Toc178600841"/>
      <w:bookmarkStart w:id="39" w:name="_Toc179530434"/>
      <w:r>
        <w:rPr>
          <w:rFonts w:hint="eastAsia"/>
        </w:rPr>
        <w:t>范围</w:t>
      </w:r>
      <w:bookmarkEnd w:id="28"/>
      <w:bookmarkEnd w:id="29"/>
      <w:bookmarkEnd w:id="30"/>
      <w:bookmarkEnd w:id="31"/>
      <w:bookmarkEnd w:id="32"/>
      <w:bookmarkEnd w:id="33"/>
      <w:bookmarkEnd w:id="34"/>
      <w:bookmarkEnd w:id="35"/>
      <w:bookmarkEnd w:id="36"/>
      <w:bookmarkEnd w:id="37"/>
      <w:bookmarkEnd w:id="38"/>
      <w:bookmarkEnd w:id="39"/>
    </w:p>
    <w:p w14:paraId="5398A51B">
      <w:pPr>
        <w:pStyle w:val="56"/>
        <w:ind w:firstLine="420"/>
      </w:pPr>
      <w:bookmarkStart w:id="40" w:name="_Toc26648466"/>
      <w:bookmarkStart w:id="41" w:name="_Toc24884219"/>
      <w:bookmarkStart w:id="42" w:name="_Toc17233334"/>
      <w:bookmarkStart w:id="43" w:name="_Toc17233326"/>
      <w:bookmarkStart w:id="44" w:name="_Toc24884212"/>
      <w:r>
        <w:rPr>
          <w:rFonts w:hint="eastAsia"/>
        </w:rPr>
        <w:t>本文件规定了茶油小作坊在</w:t>
      </w:r>
      <w:r>
        <w:t>生产场所、设施设备、生产加工、</w:t>
      </w:r>
      <w:r>
        <w:rPr>
          <w:rFonts w:hint="eastAsia"/>
        </w:rPr>
        <w:t>人员</w:t>
      </w:r>
      <w:r>
        <w:t>及卫生、质量检测、标签、包装及贮存等方面改造</w:t>
      </w:r>
      <w:r>
        <w:rPr>
          <w:rFonts w:hint="eastAsia"/>
        </w:rPr>
        <w:t>提升的要求。</w:t>
      </w:r>
    </w:p>
    <w:p w14:paraId="188C88E4">
      <w:pPr>
        <w:pStyle w:val="56"/>
        <w:ind w:firstLine="420"/>
      </w:pPr>
      <w:r>
        <w:rPr>
          <w:rFonts w:hint="eastAsia"/>
        </w:rPr>
        <w:t>本文件适用于江西省内茶油小作坊的改造提升。</w:t>
      </w:r>
    </w:p>
    <w:p w14:paraId="6F0E9FFC">
      <w:pPr>
        <w:pStyle w:val="104"/>
        <w:spacing w:before="312" w:after="312"/>
      </w:pPr>
      <w:bookmarkStart w:id="45" w:name="_Toc26718931"/>
      <w:bookmarkStart w:id="46" w:name="_Toc26986531"/>
      <w:bookmarkStart w:id="47" w:name="_Toc26986772"/>
      <w:bookmarkStart w:id="48" w:name="_Toc97191424"/>
      <w:bookmarkStart w:id="49" w:name="_Toc178600824"/>
      <w:bookmarkStart w:id="50" w:name="_Toc178600842"/>
      <w:bookmarkStart w:id="51" w:name="_Toc179530435"/>
      <w:r>
        <w:rPr>
          <w:rFonts w:hint="eastAsia"/>
        </w:rPr>
        <w:t>规范性引用文件</w:t>
      </w:r>
      <w:bookmarkEnd w:id="40"/>
      <w:bookmarkEnd w:id="41"/>
      <w:bookmarkEnd w:id="42"/>
      <w:bookmarkEnd w:id="43"/>
      <w:bookmarkEnd w:id="44"/>
      <w:bookmarkEnd w:id="45"/>
      <w:bookmarkEnd w:id="46"/>
      <w:bookmarkEnd w:id="47"/>
      <w:bookmarkEnd w:id="48"/>
      <w:bookmarkEnd w:id="49"/>
      <w:bookmarkEnd w:id="50"/>
      <w:bookmarkEnd w:id="51"/>
    </w:p>
    <w:sdt>
      <w:sdtPr>
        <w:rPr>
          <w:rFonts w:hint="eastAsia"/>
        </w:rPr>
        <w:id w:val="715848253"/>
        <w:placeholder>
          <w:docPart w:val="DD9F8A033B7C4C7EBAC41A2B01A6377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65AAC0EF">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D73733B">
      <w:pPr>
        <w:pStyle w:val="56"/>
        <w:ind w:firstLine="420"/>
      </w:pPr>
      <w:r>
        <w:rPr>
          <w:rFonts w:hint="eastAsia"/>
        </w:rPr>
        <w:t>GB</w:t>
      </w:r>
      <w:r>
        <w:t xml:space="preserve"> 8955  </w:t>
      </w:r>
      <w:r>
        <w:rPr>
          <w:rFonts w:hint="eastAsia"/>
        </w:rPr>
        <w:t>食品安全</w:t>
      </w:r>
      <w:r>
        <w:t>国家标准</w:t>
      </w:r>
      <w:r>
        <w:rPr>
          <w:rFonts w:hint="eastAsia"/>
        </w:rPr>
        <w:t xml:space="preserve"> 食用植物油及其制品生产</w:t>
      </w:r>
      <w:r>
        <w:t>卫生规范</w:t>
      </w:r>
    </w:p>
    <w:p w14:paraId="7A163C38">
      <w:pPr>
        <w:pStyle w:val="56"/>
        <w:ind w:firstLine="420"/>
      </w:pPr>
      <w:r>
        <w:rPr>
          <w:rFonts w:hint="eastAsia"/>
        </w:rPr>
        <w:t>GB</w:t>
      </w:r>
      <w:r>
        <w:t xml:space="preserve">/T 11765  </w:t>
      </w:r>
      <w:r>
        <w:rPr>
          <w:rFonts w:hint="eastAsia"/>
        </w:rPr>
        <w:t>油茶籽油</w:t>
      </w:r>
    </w:p>
    <w:p w14:paraId="7BB0B264">
      <w:pPr>
        <w:pStyle w:val="56"/>
        <w:ind w:firstLine="420"/>
      </w:pPr>
      <w:r>
        <w:rPr>
          <w:rFonts w:hint="eastAsia"/>
        </w:rPr>
        <w:t>GB</w:t>
      </w:r>
      <w:r>
        <w:t xml:space="preserve"> 14881  </w:t>
      </w:r>
      <w:r>
        <w:rPr>
          <w:rFonts w:hint="eastAsia"/>
        </w:rPr>
        <w:t>食品安全</w:t>
      </w:r>
      <w:r>
        <w:t>国家标准</w:t>
      </w:r>
      <w:r>
        <w:rPr>
          <w:rFonts w:hint="eastAsia"/>
        </w:rPr>
        <w:t xml:space="preserve"> 食品生产通用卫生</w:t>
      </w:r>
      <w:r>
        <w:t>规范</w:t>
      </w:r>
    </w:p>
    <w:p w14:paraId="57712FE3">
      <w:pPr>
        <w:pStyle w:val="56"/>
        <w:ind w:firstLine="420"/>
      </w:pPr>
      <w:r>
        <w:rPr>
          <w:rFonts w:hint="eastAsia"/>
        </w:rPr>
        <w:t>GB</w:t>
      </w:r>
      <w:r>
        <w:t xml:space="preserve">/T 37917  </w:t>
      </w:r>
      <w:r>
        <w:rPr>
          <w:rFonts w:hint="eastAsia"/>
        </w:rPr>
        <w:t>油茶籽</w:t>
      </w:r>
    </w:p>
    <w:p w14:paraId="44540B68">
      <w:pPr>
        <w:pStyle w:val="56"/>
        <w:ind w:firstLine="420"/>
      </w:pPr>
      <w:r>
        <w:rPr>
          <w:rFonts w:hint="eastAsia"/>
        </w:rPr>
        <w:t>DB</w:t>
      </w:r>
      <w:r>
        <w:t xml:space="preserve">36/T 1281  </w:t>
      </w:r>
      <w:r>
        <w:rPr>
          <w:rFonts w:hint="eastAsia"/>
        </w:rPr>
        <w:t>食品小作坊</w:t>
      </w:r>
      <w:r>
        <w:t>示范点</w:t>
      </w:r>
      <w:r>
        <w:rPr>
          <w:rFonts w:hint="eastAsia"/>
        </w:rPr>
        <w:t>评价规范</w:t>
      </w:r>
    </w:p>
    <w:p w14:paraId="327E0DB4">
      <w:pPr>
        <w:pStyle w:val="56"/>
        <w:ind w:firstLine="420"/>
      </w:pPr>
      <w:r>
        <w:rPr>
          <w:rFonts w:hint="eastAsia"/>
        </w:rPr>
        <w:t>DB</w:t>
      </w:r>
      <w:r>
        <w:t xml:space="preserve">36/T 1595  </w:t>
      </w:r>
      <w:r>
        <w:rPr>
          <w:rFonts w:hint="eastAsia"/>
        </w:rPr>
        <w:t>茶油</w:t>
      </w:r>
      <w:r>
        <w:t>加工</w:t>
      </w:r>
      <w:r>
        <w:rPr>
          <w:rFonts w:hint="eastAsia"/>
        </w:rPr>
        <w:t>技术规范</w:t>
      </w:r>
    </w:p>
    <w:p w14:paraId="18EF2666">
      <w:pPr>
        <w:pStyle w:val="104"/>
        <w:spacing w:before="312" w:after="312"/>
      </w:pPr>
      <w:bookmarkStart w:id="52" w:name="_Toc178600825"/>
      <w:bookmarkStart w:id="53" w:name="_Toc178600843"/>
      <w:bookmarkStart w:id="54" w:name="_Toc179530436"/>
      <w:bookmarkStart w:id="55" w:name="_Toc97191425"/>
      <w:r>
        <w:rPr>
          <w:rFonts w:hint="eastAsia"/>
          <w:szCs w:val="21"/>
        </w:rPr>
        <w:t>术语和定义</w:t>
      </w:r>
      <w:bookmarkEnd w:id="52"/>
      <w:bookmarkEnd w:id="53"/>
      <w:bookmarkEnd w:id="54"/>
      <w:bookmarkEnd w:id="55"/>
    </w:p>
    <w:sdt>
      <w:sdtPr>
        <w:id w:val="-1909835108"/>
        <w:placeholder>
          <w:docPart w:val="C68DDDEDA6D84C2A96EF9D56B5F1898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4C6FE2C">
          <w:pPr>
            <w:pStyle w:val="56"/>
            <w:ind w:firstLine="420"/>
          </w:pPr>
          <w:bookmarkStart w:id="56" w:name="_Toc26986532"/>
          <w:bookmarkEnd w:id="56"/>
          <w:r>
            <w:t>GB/T 11765</w:t>
          </w:r>
          <w:r>
            <w:rPr>
              <w:rFonts w:hint="eastAsia"/>
            </w:rPr>
            <w:t>、GB</w:t>
          </w:r>
          <w:r>
            <w:t xml:space="preserve"> 14881</w:t>
          </w:r>
          <w:r>
            <w:rPr>
              <w:rFonts w:hint="eastAsia"/>
            </w:rPr>
            <w:t>和GB</w:t>
          </w:r>
          <w:r>
            <w:t>/T 37917界定的以及下列术语和定义适用于本文件。</w:t>
          </w:r>
        </w:p>
      </w:sdtContent>
    </w:sdt>
    <w:p w14:paraId="62A9DD1C">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茶油小作坊</w:t>
      </w:r>
    </w:p>
    <w:p w14:paraId="0FB5C925">
      <w:pPr>
        <w:pStyle w:val="56"/>
        <w:ind w:firstLine="420"/>
      </w:pPr>
      <w:r>
        <w:rPr>
          <w:rFonts w:hint="eastAsia"/>
        </w:rPr>
        <w:t>生产加工</w:t>
      </w:r>
      <w:r>
        <w:t>面积</w:t>
      </w:r>
      <w:r>
        <w:rPr>
          <w:rFonts w:hint="eastAsia"/>
        </w:rPr>
        <w:t>15</w:t>
      </w:r>
      <w:r>
        <w:t>0m</w:t>
      </w:r>
      <w:r>
        <w:rPr>
          <w:rFonts w:hint="eastAsia"/>
        </w:rPr>
        <w:t>²以下，年销售额2</w:t>
      </w:r>
      <w:r>
        <w:t>00</w:t>
      </w:r>
      <w:r>
        <w:rPr>
          <w:rFonts w:hint="eastAsia"/>
        </w:rPr>
        <w:t>万元以下且从业人员7人</w:t>
      </w:r>
      <w:r>
        <w:t>以下</w:t>
      </w:r>
      <w:r>
        <w:rPr>
          <w:rFonts w:hint="eastAsia"/>
        </w:rPr>
        <w:t>，依法依规取得小作坊登记证，仅</w:t>
      </w:r>
      <w:r>
        <w:t>采用</w:t>
      </w:r>
      <w:r>
        <w:rPr>
          <w:rFonts w:hint="eastAsia"/>
        </w:rPr>
        <w:t>压榨、过滤</w:t>
      </w:r>
      <w:r>
        <w:t>等</w:t>
      </w:r>
      <w:r>
        <w:rPr>
          <w:rFonts w:hint="eastAsia"/>
        </w:rPr>
        <w:t>简单工艺，从事茶油生产加工（不含现场制售及前</w:t>
      </w:r>
      <w:r>
        <w:t>店后</w:t>
      </w:r>
      <w:r>
        <w:rPr>
          <w:rFonts w:hint="eastAsia"/>
        </w:rPr>
        <w:t>坊）的个体</w:t>
      </w:r>
      <w:r>
        <w:t>经营者</w:t>
      </w:r>
      <w:r>
        <w:rPr>
          <w:rFonts w:hint="eastAsia"/>
        </w:rPr>
        <w:t>。</w:t>
      </w:r>
    </w:p>
    <w:p w14:paraId="62D0C566">
      <w:pPr>
        <w:pStyle w:val="104"/>
        <w:spacing w:before="312" w:after="312"/>
      </w:pPr>
      <w:bookmarkStart w:id="57" w:name="_Toc178600826"/>
      <w:bookmarkStart w:id="58" w:name="_Toc179530437"/>
      <w:bookmarkStart w:id="59" w:name="_Toc178600844"/>
      <w:r>
        <w:rPr>
          <w:rFonts w:hint="eastAsia"/>
        </w:rPr>
        <w:t>生产</w:t>
      </w:r>
      <w:r>
        <w:t>场所</w:t>
      </w:r>
      <w:bookmarkEnd w:id="57"/>
      <w:bookmarkEnd w:id="58"/>
      <w:bookmarkEnd w:id="59"/>
    </w:p>
    <w:p w14:paraId="1D0569B0">
      <w:pPr>
        <w:pStyle w:val="105"/>
        <w:spacing w:before="156" w:after="156"/>
      </w:pPr>
      <w:bookmarkStart w:id="60" w:name="_Toc178600827"/>
      <w:bookmarkStart w:id="61" w:name="_Toc178600845"/>
      <w:bookmarkStart w:id="62" w:name="_Toc179530438"/>
      <w:r>
        <w:rPr>
          <w:rFonts w:hint="eastAsia"/>
        </w:rPr>
        <w:t>选址</w:t>
      </w:r>
      <w:bookmarkEnd w:id="60"/>
      <w:bookmarkEnd w:id="61"/>
      <w:bookmarkEnd w:id="62"/>
    </w:p>
    <w:p w14:paraId="35678E2E">
      <w:pPr>
        <w:pStyle w:val="56"/>
        <w:ind w:firstLine="420"/>
      </w:pPr>
      <w:r>
        <w:rPr>
          <w:rFonts w:hint="eastAsia"/>
        </w:rPr>
        <w:t>不得</w:t>
      </w:r>
      <w:r>
        <w:t>选择</w:t>
      </w:r>
      <w:r>
        <w:rPr>
          <w:rFonts w:hint="eastAsia"/>
        </w:rPr>
        <w:t>对</w:t>
      </w:r>
      <w:r>
        <w:t>茶油有显著污染</w:t>
      </w:r>
      <w:r>
        <w:rPr>
          <w:rFonts w:hint="eastAsia"/>
        </w:rPr>
        <w:t>，</w:t>
      </w:r>
      <w:r>
        <w:t>或存在</w:t>
      </w:r>
      <w:r>
        <w:rPr>
          <w:rFonts w:hint="eastAsia"/>
        </w:rPr>
        <w:t>有害</w:t>
      </w:r>
      <w:r>
        <w:t>废弃物以及粉尘、有害气体、放射性物质和其他扩散性污染源而不能有效</w:t>
      </w:r>
      <w:r>
        <w:rPr>
          <w:rFonts w:hint="eastAsia"/>
        </w:rPr>
        <w:t>清除的</w:t>
      </w:r>
      <w:r>
        <w:t>区域</w:t>
      </w:r>
      <w:r>
        <w:rPr>
          <w:rFonts w:hint="eastAsia"/>
        </w:rPr>
        <w:t>。交通</w:t>
      </w:r>
      <w:r>
        <w:t>便利，</w:t>
      </w:r>
      <w:r>
        <w:rPr>
          <w:rFonts w:hint="eastAsia"/>
        </w:rPr>
        <w:t>水</w:t>
      </w:r>
      <w:r>
        <w:t>、</w:t>
      </w:r>
      <w:r>
        <w:rPr>
          <w:rFonts w:hint="eastAsia"/>
        </w:rPr>
        <w:t>电</w:t>
      </w:r>
      <w:r>
        <w:t>等配套设施齐全。</w:t>
      </w:r>
    </w:p>
    <w:p w14:paraId="20B3337C">
      <w:pPr>
        <w:pStyle w:val="105"/>
        <w:spacing w:before="156" w:after="156"/>
      </w:pPr>
      <w:bookmarkStart w:id="63" w:name="_Toc178600846"/>
      <w:bookmarkStart w:id="64" w:name="_Toc178600828"/>
      <w:bookmarkStart w:id="65" w:name="_Toc179530439"/>
      <w:r>
        <w:rPr>
          <w:rFonts w:hint="eastAsia"/>
        </w:rPr>
        <w:t>布局</w:t>
      </w:r>
      <w:bookmarkEnd w:id="63"/>
      <w:bookmarkEnd w:id="64"/>
      <w:bookmarkEnd w:id="65"/>
    </w:p>
    <w:p w14:paraId="684A5995">
      <w:pPr>
        <w:pStyle w:val="165"/>
      </w:pPr>
      <w:r>
        <w:t>生产区</w:t>
      </w:r>
      <w:r>
        <w:rPr>
          <w:rFonts w:hint="eastAsia"/>
        </w:rPr>
        <w:t>应与</w:t>
      </w:r>
      <w:r>
        <w:t>生活区、检验室进行</w:t>
      </w:r>
      <w:r>
        <w:rPr>
          <w:rFonts w:hint="eastAsia"/>
        </w:rPr>
        <w:t>分隔</w:t>
      </w:r>
      <w:r>
        <w:t>，应根据生产工艺要求独立设置油茶籽贮存区、分选</w:t>
      </w:r>
      <w:r>
        <w:rPr>
          <w:rFonts w:hint="eastAsia"/>
        </w:rPr>
        <w:t>区</w:t>
      </w:r>
      <w:r>
        <w:t>、预</w:t>
      </w:r>
      <w:r>
        <w:rPr>
          <w:rFonts w:hint="eastAsia"/>
        </w:rPr>
        <w:t>处理区</w:t>
      </w:r>
      <w:r>
        <w:t>、</w:t>
      </w:r>
      <w:r>
        <w:rPr>
          <w:rFonts w:hint="eastAsia"/>
        </w:rPr>
        <w:t>压榨</w:t>
      </w:r>
      <w:r>
        <w:t>与过滤</w:t>
      </w:r>
      <w:r>
        <w:rPr>
          <w:rFonts w:hint="eastAsia"/>
        </w:rPr>
        <w:t>区</w:t>
      </w:r>
      <w:r>
        <w:t>、</w:t>
      </w:r>
      <w:r>
        <w:rPr>
          <w:rFonts w:hint="eastAsia"/>
        </w:rPr>
        <w:t>灌装</w:t>
      </w:r>
      <w:r>
        <w:t>区</w:t>
      </w:r>
      <w:r>
        <w:rPr>
          <w:rFonts w:hint="eastAsia"/>
        </w:rPr>
        <w:t>和成品存放区。布局可</w:t>
      </w:r>
      <w:r>
        <w:t>参照</w:t>
      </w:r>
      <w:r>
        <w:rPr>
          <w:rFonts w:hint="eastAsia"/>
        </w:rPr>
        <w:t>附录</w:t>
      </w:r>
      <w:r>
        <w:t>A。</w:t>
      </w:r>
    </w:p>
    <w:p w14:paraId="42311716">
      <w:pPr>
        <w:pStyle w:val="165"/>
      </w:pPr>
      <w:r>
        <w:rPr>
          <w:rFonts w:hint="eastAsia"/>
        </w:rPr>
        <w:t>各功能区划分明确</w:t>
      </w:r>
      <w:r>
        <w:t>、设置通畅</w:t>
      </w:r>
      <w:r>
        <w:rPr>
          <w:rFonts w:hint="eastAsia"/>
        </w:rPr>
        <w:t>、</w:t>
      </w:r>
      <w:r>
        <w:t>合理，各区域间有适当的</w:t>
      </w:r>
      <w:r>
        <w:rPr>
          <w:rFonts w:hint="eastAsia"/>
        </w:rPr>
        <w:t>分离</w:t>
      </w:r>
      <w:r>
        <w:t>或分隔措施，有明显的功能标识</w:t>
      </w:r>
      <w:r>
        <w:rPr>
          <w:rFonts w:hint="eastAsia"/>
        </w:rPr>
        <w:t>。</w:t>
      </w:r>
    </w:p>
    <w:p w14:paraId="007E8508">
      <w:pPr>
        <w:pStyle w:val="104"/>
        <w:spacing w:before="312" w:after="312"/>
      </w:pPr>
      <w:bookmarkStart w:id="66" w:name="_Toc178600829"/>
      <w:bookmarkStart w:id="67" w:name="_Toc178600847"/>
      <w:bookmarkStart w:id="68" w:name="_Toc179530440"/>
      <w:r>
        <w:rPr>
          <w:rFonts w:hint="eastAsia"/>
        </w:rPr>
        <w:t>设施</w:t>
      </w:r>
      <w:r>
        <w:t>设备</w:t>
      </w:r>
      <w:bookmarkEnd w:id="66"/>
      <w:bookmarkEnd w:id="67"/>
      <w:bookmarkEnd w:id="68"/>
    </w:p>
    <w:p w14:paraId="58E737F6">
      <w:pPr>
        <w:pStyle w:val="105"/>
        <w:spacing w:before="156" w:after="156"/>
      </w:pPr>
      <w:bookmarkStart w:id="69" w:name="_Toc178600830"/>
      <w:bookmarkStart w:id="70" w:name="_Toc178600848"/>
      <w:bookmarkStart w:id="71" w:name="_Toc179530441"/>
      <w:r>
        <w:rPr>
          <w:rFonts w:hint="eastAsia"/>
        </w:rPr>
        <w:t>生产</w:t>
      </w:r>
      <w:r>
        <w:t>设备</w:t>
      </w:r>
      <w:bookmarkEnd w:id="69"/>
      <w:bookmarkEnd w:id="70"/>
      <w:bookmarkEnd w:id="71"/>
    </w:p>
    <w:p w14:paraId="3158787D">
      <w:pPr>
        <w:pStyle w:val="56"/>
        <w:ind w:firstLine="420"/>
      </w:pPr>
      <w:r>
        <w:rPr>
          <w:rFonts w:hint="eastAsia"/>
        </w:rPr>
        <w:t>具有</w:t>
      </w:r>
      <w:r>
        <w:t>分选、</w:t>
      </w:r>
      <w:r>
        <w:rPr>
          <w:rFonts w:hint="eastAsia"/>
        </w:rPr>
        <w:t>烘干</w:t>
      </w:r>
      <w:r>
        <w:t>、粉碎、</w:t>
      </w:r>
      <w:r>
        <w:rPr>
          <w:rFonts w:hint="eastAsia"/>
        </w:rPr>
        <w:t>制</w:t>
      </w:r>
      <w:r>
        <w:t>饼</w:t>
      </w:r>
      <w:r>
        <w:rPr>
          <w:rFonts w:hint="eastAsia"/>
        </w:rPr>
        <w:t>、</w:t>
      </w:r>
      <w:r>
        <w:t>压榨、过滤及</w:t>
      </w:r>
      <w:r>
        <w:rPr>
          <w:rFonts w:hint="eastAsia"/>
        </w:rPr>
        <w:t>灌装</w:t>
      </w:r>
      <w:r>
        <w:t>等符合工艺要求的主要设备。</w:t>
      </w:r>
    </w:p>
    <w:p w14:paraId="05AE3514">
      <w:pPr>
        <w:pStyle w:val="105"/>
        <w:spacing w:before="156" w:after="156"/>
      </w:pPr>
      <w:bookmarkStart w:id="72" w:name="_Toc178600831"/>
      <w:bookmarkStart w:id="73" w:name="_Toc178600849"/>
      <w:bookmarkStart w:id="74" w:name="_Toc179530442"/>
      <w:r>
        <w:rPr>
          <w:rFonts w:hint="eastAsia"/>
        </w:rPr>
        <w:t>检验</w:t>
      </w:r>
      <w:r>
        <w:t>设备</w:t>
      </w:r>
      <w:bookmarkEnd w:id="72"/>
      <w:bookmarkEnd w:id="73"/>
      <w:bookmarkEnd w:id="74"/>
    </w:p>
    <w:p w14:paraId="5E2D6DC0">
      <w:pPr>
        <w:pStyle w:val="56"/>
        <w:ind w:firstLine="420"/>
      </w:pPr>
      <w:r>
        <w:rPr>
          <w:rFonts w:hint="eastAsia"/>
        </w:rPr>
        <w:t>具有</w:t>
      </w:r>
      <w:r>
        <w:t>分析天平和滴</w:t>
      </w:r>
      <w:r>
        <w:rPr>
          <w:rFonts w:hint="eastAsia"/>
        </w:rPr>
        <w:t>定</w:t>
      </w:r>
      <w:r>
        <w:t>管等必</w:t>
      </w:r>
      <w:r>
        <w:rPr>
          <w:rFonts w:hint="eastAsia"/>
        </w:rPr>
        <w:t>备的</w:t>
      </w:r>
      <w:r>
        <w:t>茶油出厂检验设备和</w:t>
      </w:r>
      <w:r>
        <w:rPr>
          <w:rFonts w:hint="eastAsia"/>
        </w:rPr>
        <w:t>玻璃仪器及</w:t>
      </w:r>
      <w:r>
        <w:t>相关检测试剂。</w:t>
      </w:r>
    </w:p>
    <w:p w14:paraId="1A7FA956">
      <w:pPr>
        <w:pStyle w:val="105"/>
        <w:spacing w:before="156" w:after="156"/>
      </w:pPr>
      <w:bookmarkStart w:id="75" w:name="_Toc178600850"/>
      <w:bookmarkStart w:id="76" w:name="_Toc178600832"/>
      <w:bookmarkStart w:id="77" w:name="_Toc179530443"/>
      <w:r>
        <w:rPr>
          <w:rFonts w:hint="eastAsia"/>
        </w:rPr>
        <w:t>其他</w:t>
      </w:r>
      <w:r>
        <w:t>设施设备</w:t>
      </w:r>
      <w:bookmarkEnd w:id="75"/>
      <w:bookmarkEnd w:id="76"/>
      <w:bookmarkEnd w:id="77"/>
    </w:p>
    <w:p w14:paraId="43CE029E">
      <w:pPr>
        <w:pStyle w:val="165"/>
      </w:pPr>
      <w:r>
        <w:rPr>
          <w:rFonts w:hint="eastAsia"/>
        </w:rPr>
        <w:t>具有</w:t>
      </w:r>
      <w:r>
        <w:t>供水和排水设施、清洁消毒设施、废弃物排放设施</w:t>
      </w:r>
      <w:r>
        <w:rPr>
          <w:rFonts w:hint="eastAsia"/>
        </w:rPr>
        <w:t>、</w:t>
      </w:r>
      <w:r>
        <w:t>个人卫生设施、通风设施、照明设施、仓储设施、温控设施</w:t>
      </w:r>
      <w:r>
        <w:rPr>
          <w:rFonts w:hint="eastAsia"/>
        </w:rPr>
        <w:t>等，要求应符合</w:t>
      </w:r>
      <w:r>
        <w:t>附录B</w:t>
      </w:r>
      <w:r>
        <w:rPr>
          <w:rFonts w:hint="eastAsia"/>
        </w:rPr>
        <w:t>。</w:t>
      </w:r>
    </w:p>
    <w:p w14:paraId="4818585B">
      <w:pPr>
        <w:pStyle w:val="165"/>
      </w:pPr>
      <w:r>
        <w:rPr>
          <w:rFonts w:hint="eastAsia"/>
        </w:rPr>
        <w:t>所有管道</w:t>
      </w:r>
      <w:r>
        <w:t>、管件及用具、容器等应为不锈钢、玻璃等符合食品安全</w:t>
      </w:r>
      <w:r>
        <w:rPr>
          <w:rFonts w:hint="eastAsia"/>
        </w:rPr>
        <w:t>要求</w:t>
      </w:r>
      <w:r>
        <w:t>的材料</w:t>
      </w:r>
      <w:r>
        <w:rPr>
          <w:rFonts w:hint="eastAsia"/>
        </w:rPr>
        <w:t>，</w:t>
      </w:r>
      <w:r>
        <w:t>防止塑化剂污染。</w:t>
      </w:r>
    </w:p>
    <w:p w14:paraId="42109F4A">
      <w:pPr>
        <w:pStyle w:val="104"/>
        <w:spacing w:before="312" w:after="312"/>
      </w:pPr>
      <w:bookmarkStart w:id="78" w:name="_Toc178600833"/>
      <w:bookmarkStart w:id="79" w:name="_Toc178600851"/>
      <w:bookmarkStart w:id="80" w:name="_Toc179530444"/>
      <w:r>
        <w:rPr>
          <w:rFonts w:hint="eastAsia"/>
        </w:rPr>
        <w:t>生产</w:t>
      </w:r>
      <w:r>
        <w:t>加工</w:t>
      </w:r>
      <w:bookmarkEnd w:id="78"/>
      <w:bookmarkEnd w:id="79"/>
      <w:bookmarkEnd w:id="80"/>
    </w:p>
    <w:p w14:paraId="43A735C6">
      <w:pPr>
        <w:pStyle w:val="56"/>
        <w:ind w:firstLine="420"/>
      </w:pPr>
      <w:r>
        <w:rPr>
          <w:rFonts w:hint="eastAsia"/>
        </w:rPr>
        <w:t>原辅料要求</w:t>
      </w:r>
      <w:r>
        <w:t>和</w:t>
      </w:r>
      <w:r>
        <w:rPr>
          <w:rFonts w:hint="eastAsia"/>
        </w:rPr>
        <w:t>生产</w:t>
      </w:r>
      <w:r>
        <w:t>加工</w:t>
      </w:r>
      <w:r>
        <w:rPr>
          <w:rFonts w:hint="eastAsia"/>
        </w:rPr>
        <w:t>流程符合DB</w:t>
      </w:r>
      <w:r>
        <w:t>36/T 1595</w:t>
      </w:r>
      <w:r>
        <w:rPr>
          <w:rFonts w:hint="eastAsia"/>
        </w:rPr>
        <w:t>的</w:t>
      </w:r>
      <w:r>
        <w:t>规定。</w:t>
      </w:r>
    </w:p>
    <w:p w14:paraId="53D77BF4">
      <w:pPr>
        <w:pStyle w:val="104"/>
        <w:spacing w:before="312" w:after="312"/>
      </w:pPr>
      <w:bookmarkStart w:id="81" w:name="_Toc178600834"/>
      <w:bookmarkStart w:id="82" w:name="_Toc179530445"/>
      <w:bookmarkStart w:id="83" w:name="_Toc178600852"/>
      <w:r>
        <w:rPr>
          <w:rFonts w:hint="eastAsia"/>
        </w:rPr>
        <w:t>人员</w:t>
      </w:r>
      <w:r>
        <w:t>及卫生</w:t>
      </w:r>
      <w:bookmarkEnd w:id="81"/>
      <w:bookmarkEnd w:id="82"/>
      <w:bookmarkEnd w:id="83"/>
    </w:p>
    <w:p w14:paraId="5E68C7EB">
      <w:pPr>
        <w:pStyle w:val="56"/>
        <w:ind w:firstLine="420"/>
      </w:pPr>
      <w:r>
        <w:rPr>
          <w:rFonts w:hint="eastAsia"/>
        </w:rPr>
        <w:t>人员</w:t>
      </w:r>
      <w:r>
        <w:t>健康管理及卫生管理应符合GB 8955</w:t>
      </w:r>
      <w:r>
        <w:rPr>
          <w:rFonts w:hint="eastAsia"/>
        </w:rPr>
        <w:t>的</w:t>
      </w:r>
      <w:r>
        <w:t>规定。</w:t>
      </w:r>
    </w:p>
    <w:p w14:paraId="77DEF8B1">
      <w:pPr>
        <w:pStyle w:val="104"/>
        <w:spacing w:before="312" w:after="312"/>
      </w:pPr>
      <w:bookmarkStart w:id="84" w:name="_Toc178600835"/>
      <w:bookmarkStart w:id="85" w:name="_Toc179530446"/>
      <w:bookmarkStart w:id="86" w:name="_Toc178600853"/>
      <w:r>
        <w:rPr>
          <w:rFonts w:hint="eastAsia"/>
        </w:rPr>
        <w:t>质量</w:t>
      </w:r>
      <w:r>
        <w:t>检测</w:t>
      </w:r>
      <w:bookmarkEnd w:id="84"/>
      <w:bookmarkEnd w:id="85"/>
      <w:bookmarkEnd w:id="86"/>
    </w:p>
    <w:p w14:paraId="28DC19C7">
      <w:pPr>
        <w:pStyle w:val="162"/>
      </w:pPr>
      <w:r>
        <w:rPr>
          <w:rFonts w:hint="eastAsia"/>
        </w:rPr>
        <w:t>应</w:t>
      </w:r>
      <w:r>
        <w:t>按照有关要求进行质量检测，对每批次茶油色泽、气味、</w:t>
      </w:r>
      <w:r>
        <w:rPr>
          <w:rFonts w:hint="eastAsia"/>
        </w:rPr>
        <w:t>滋味</w:t>
      </w:r>
      <w:r>
        <w:t>、酸价、过氧化值</w:t>
      </w:r>
      <w:r>
        <w:rPr>
          <w:rFonts w:hint="eastAsia"/>
        </w:rPr>
        <w:t>进行</w:t>
      </w:r>
      <w:r>
        <w:t>检验，检验合格后方可出厂。</w:t>
      </w:r>
    </w:p>
    <w:p w14:paraId="30C4C1D0">
      <w:pPr>
        <w:pStyle w:val="162"/>
      </w:pPr>
      <w:r>
        <w:rPr>
          <w:rFonts w:hint="eastAsia"/>
        </w:rPr>
        <w:t>应</w:t>
      </w:r>
      <w:r>
        <w:t>委托具备法定资质的检验检测机构对产品进行全项目检验，每年至少</w:t>
      </w:r>
      <w:r>
        <w:rPr>
          <w:rFonts w:hint="eastAsia"/>
        </w:rPr>
        <w:t>2批次</w:t>
      </w:r>
      <w:r>
        <w:t>。</w:t>
      </w:r>
    </w:p>
    <w:p w14:paraId="16E0FF6B">
      <w:pPr>
        <w:pStyle w:val="162"/>
      </w:pPr>
      <w:r>
        <w:rPr>
          <w:rFonts w:hint="eastAsia"/>
        </w:rPr>
        <w:t>产品</w:t>
      </w:r>
      <w:r>
        <w:t>质量应符合GB/T 11765</w:t>
      </w:r>
      <w:r>
        <w:rPr>
          <w:rFonts w:hint="eastAsia"/>
        </w:rPr>
        <w:t>的</w:t>
      </w:r>
      <w:r>
        <w:t>规定。</w:t>
      </w:r>
    </w:p>
    <w:p w14:paraId="23700ADE">
      <w:pPr>
        <w:pStyle w:val="104"/>
        <w:spacing w:before="312" w:after="312"/>
      </w:pPr>
      <w:bookmarkStart w:id="87" w:name="_Toc178600836"/>
      <w:bookmarkStart w:id="88" w:name="_Toc178600854"/>
      <w:bookmarkStart w:id="89" w:name="_Toc179530447"/>
      <w:r>
        <w:rPr>
          <w:rFonts w:hint="eastAsia"/>
        </w:rPr>
        <w:t>标签</w:t>
      </w:r>
      <w:r>
        <w:t>、包装及贮存</w:t>
      </w:r>
      <w:bookmarkEnd w:id="87"/>
      <w:bookmarkEnd w:id="88"/>
      <w:bookmarkEnd w:id="89"/>
    </w:p>
    <w:p w14:paraId="6ACDBA02">
      <w:pPr>
        <w:pStyle w:val="162"/>
      </w:pPr>
      <w:r>
        <w:rPr>
          <w:rFonts w:hint="eastAsia"/>
        </w:rPr>
        <w:t>包装</w:t>
      </w:r>
      <w:r>
        <w:t>标明产品名称、主要成分或配料、小作坊名称、地址、登记证名称和编号、生产日期、</w:t>
      </w:r>
      <w:r>
        <w:rPr>
          <w:rFonts w:hint="eastAsia"/>
        </w:rPr>
        <w:t>保质期</w:t>
      </w:r>
      <w:r>
        <w:t>和联系</w:t>
      </w:r>
      <w:r>
        <w:rPr>
          <w:rFonts w:hint="eastAsia"/>
        </w:rPr>
        <w:t>方式</w:t>
      </w:r>
      <w:r>
        <w:t>等内容</w:t>
      </w:r>
      <w:r>
        <w:rPr>
          <w:rFonts w:hint="eastAsia"/>
        </w:rPr>
        <w:t>，</w:t>
      </w:r>
      <w:r>
        <w:t>在显著位置标明</w:t>
      </w:r>
      <w:r>
        <w:rPr>
          <w:rFonts w:hAnsi="宋体"/>
        </w:rPr>
        <w:t>“</w:t>
      </w:r>
      <w:r>
        <w:rPr>
          <w:rFonts w:hint="eastAsia" w:hAnsi="宋体"/>
        </w:rPr>
        <w:t>作坊</w:t>
      </w:r>
      <w:r>
        <w:rPr>
          <w:rFonts w:hAnsi="宋体"/>
        </w:rPr>
        <w:t>食品”</w:t>
      </w:r>
      <w:r>
        <w:rPr>
          <w:rFonts w:hint="eastAsia"/>
        </w:rPr>
        <w:t>字样，</w:t>
      </w:r>
      <w:r>
        <w:t>宜标注主要原料产地。</w:t>
      </w:r>
    </w:p>
    <w:p w14:paraId="621C457D">
      <w:pPr>
        <w:pStyle w:val="162"/>
      </w:pPr>
      <w:r>
        <w:rPr>
          <w:rFonts w:hint="eastAsia"/>
        </w:rPr>
        <w:t>包装</w:t>
      </w:r>
      <w:r>
        <w:t>及贮存</w:t>
      </w:r>
      <w:r>
        <w:rPr>
          <w:rFonts w:hint="eastAsia"/>
        </w:rPr>
        <w:t>应符合</w:t>
      </w:r>
      <w:r>
        <w:t>GB/T 11765</w:t>
      </w:r>
      <w:r>
        <w:rPr>
          <w:rFonts w:hint="eastAsia"/>
        </w:rPr>
        <w:t>的</w:t>
      </w:r>
      <w:r>
        <w:t>规定</w:t>
      </w:r>
      <w:r>
        <w:rPr>
          <w:rFonts w:hint="eastAsia"/>
        </w:rPr>
        <w:t>。</w:t>
      </w:r>
    </w:p>
    <w:p w14:paraId="7F39DCE2">
      <w:pPr>
        <w:pStyle w:val="56"/>
        <w:ind w:firstLine="420"/>
        <w:rPr>
          <w:rFonts w:hAnsi="宋体"/>
        </w:rPr>
        <w:sectPr>
          <w:pgSz w:w="11906" w:h="16838"/>
          <w:pgMar w:top="1928" w:right="1134" w:bottom="1134" w:left="1134" w:header="1418" w:footer="1134" w:gutter="284"/>
          <w:pgNumType w:start="1"/>
          <w:cols w:space="425" w:num="1"/>
          <w:formProt w:val="0"/>
          <w:docGrid w:type="lines" w:linePitch="312" w:charSpace="0"/>
        </w:sectPr>
      </w:pPr>
    </w:p>
    <w:bookmarkEnd w:id="26"/>
    <w:p w14:paraId="6AD41EAC">
      <w:pPr>
        <w:pStyle w:val="198"/>
        <w:rPr>
          <w:vanish w:val="0"/>
        </w:rPr>
      </w:pPr>
      <w:bookmarkStart w:id="90" w:name="BookMark5"/>
    </w:p>
    <w:p w14:paraId="0CB84830">
      <w:pPr>
        <w:pStyle w:val="199"/>
        <w:rPr>
          <w:vanish w:val="0"/>
        </w:rPr>
      </w:pPr>
    </w:p>
    <w:p w14:paraId="49FE1FBE">
      <w:pPr>
        <w:pStyle w:val="76"/>
        <w:spacing w:after="156"/>
      </w:pPr>
      <w:r>
        <w:br w:type="textWrapping"/>
      </w:r>
      <w:bookmarkStart w:id="91" w:name="_Toc178600837"/>
      <w:bookmarkStart w:id="92" w:name="_Toc178600855"/>
      <w:bookmarkStart w:id="93" w:name="_Toc179530448"/>
      <w:r>
        <w:rPr>
          <w:rFonts w:hint="eastAsia"/>
        </w:rPr>
        <w:t>（资料性）</w:t>
      </w:r>
      <w:r>
        <w:br w:type="textWrapping"/>
      </w:r>
      <w:r>
        <w:rPr>
          <w:rFonts w:hint="eastAsia"/>
        </w:rPr>
        <w:t>茶油小作坊规范整体布局图</w:t>
      </w:r>
      <w:bookmarkEnd w:id="91"/>
      <w:bookmarkEnd w:id="92"/>
      <w:bookmarkEnd w:id="93"/>
    </w:p>
    <w:p w14:paraId="06016056">
      <w:pPr>
        <w:pStyle w:val="56"/>
        <w:ind w:firstLine="420"/>
      </w:pPr>
      <w:r>
        <w:drawing>
          <wp:inline distT="0" distB="0" distL="0" distR="0">
            <wp:extent cx="5931535" cy="2131060"/>
            <wp:effectExtent l="0" t="0" r="0" b="2540"/>
            <wp:docPr id="1" name="图片 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931535" cy="2131060"/>
                    </a:xfrm>
                    <a:prstGeom prst="rect">
                      <a:avLst/>
                    </a:prstGeom>
                    <a:noFill/>
                    <a:ln>
                      <a:noFill/>
                    </a:ln>
                  </pic:spPr>
                </pic:pic>
              </a:graphicData>
            </a:graphic>
          </wp:inline>
        </w:drawing>
      </w:r>
    </w:p>
    <w:p w14:paraId="015D1DAD">
      <w:pPr>
        <w:pStyle w:val="56"/>
        <w:ind w:firstLine="420"/>
      </w:pPr>
    </w:p>
    <w:p w14:paraId="03629691">
      <w:pPr>
        <w:pStyle w:val="56"/>
        <w:ind w:firstLine="420"/>
        <w:sectPr>
          <w:pgSz w:w="11906" w:h="16838"/>
          <w:pgMar w:top="1928" w:right="1134" w:bottom="1134" w:left="1134" w:header="1418" w:footer="1134" w:gutter="284"/>
          <w:pgNumType w:start="1"/>
          <w:cols w:space="425" w:num="1"/>
          <w:formProt w:val="0"/>
          <w:docGrid w:type="lines" w:linePitch="312" w:charSpace="0"/>
        </w:sectPr>
      </w:pPr>
    </w:p>
    <w:p w14:paraId="24D948DA">
      <w:pPr>
        <w:pStyle w:val="198"/>
        <w:rPr>
          <w:vanish w:val="0"/>
        </w:rPr>
      </w:pPr>
    </w:p>
    <w:p w14:paraId="7FE7CCB0">
      <w:pPr>
        <w:pStyle w:val="199"/>
        <w:rPr>
          <w:vanish w:val="0"/>
        </w:rPr>
      </w:pPr>
    </w:p>
    <w:p w14:paraId="0CD88A6A">
      <w:pPr>
        <w:pStyle w:val="76"/>
        <w:spacing w:after="156"/>
      </w:pPr>
      <w:r>
        <w:br w:type="textWrapping"/>
      </w:r>
      <w:bookmarkStart w:id="94" w:name="_Toc178600838"/>
      <w:bookmarkStart w:id="95" w:name="_Toc179530449"/>
      <w:bookmarkStart w:id="96" w:name="_Toc178600856"/>
      <w:r>
        <w:rPr>
          <w:rFonts w:hint="eastAsia"/>
        </w:rPr>
        <w:t>（规范性）</w:t>
      </w:r>
      <w:r>
        <w:br w:type="textWrapping"/>
      </w:r>
      <w:r>
        <w:rPr>
          <w:rFonts w:hint="eastAsia"/>
        </w:rPr>
        <w:t>茶油小作坊改造提升指标明细表</w:t>
      </w:r>
      <w:bookmarkEnd w:id="94"/>
      <w:bookmarkEnd w:id="95"/>
      <w:bookmarkEnd w:id="96"/>
    </w:p>
    <w:tbl>
      <w:tblPr>
        <w:tblStyle w:val="26"/>
        <w:tblW w:w="9380" w:type="dxa"/>
        <w:tblInd w:w="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94"/>
        <w:gridCol w:w="992"/>
        <w:gridCol w:w="1560"/>
        <w:gridCol w:w="6134"/>
      </w:tblGrid>
      <w:tr w14:paraId="6CE2E4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0" w:hRule="atLeast"/>
        </w:trPr>
        <w:tc>
          <w:tcPr>
            <w:tcW w:w="694" w:type="dxa"/>
            <w:vAlign w:val="center"/>
          </w:tcPr>
          <w:p w14:paraId="2D4C2E3D">
            <w:pPr>
              <w:pStyle w:val="230"/>
              <w:spacing w:before="53" w:line="210" w:lineRule="auto"/>
              <w:ind w:left="29"/>
              <w:jc w:val="center"/>
              <w:rPr>
                <w:sz w:val="21"/>
                <w:szCs w:val="21"/>
              </w:rPr>
            </w:pPr>
            <w:r>
              <w:rPr>
                <w:spacing w:val="-1"/>
                <w:sz w:val="21"/>
                <w:szCs w:val="21"/>
              </w:rPr>
              <w:t>序号</w:t>
            </w:r>
          </w:p>
        </w:tc>
        <w:tc>
          <w:tcPr>
            <w:tcW w:w="992" w:type="dxa"/>
            <w:vAlign w:val="center"/>
          </w:tcPr>
          <w:p w14:paraId="06C8B3FC">
            <w:pPr>
              <w:pStyle w:val="230"/>
              <w:spacing w:before="148" w:line="218" w:lineRule="auto"/>
              <w:ind w:left="50"/>
              <w:jc w:val="center"/>
              <w:rPr>
                <w:sz w:val="21"/>
                <w:szCs w:val="21"/>
              </w:rPr>
            </w:pPr>
            <w:r>
              <w:rPr>
                <w:spacing w:val="-1"/>
                <w:sz w:val="21"/>
                <w:szCs w:val="21"/>
              </w:rPr>
              <w:t>指标</w:t>
            </w:r>
          </w:p>
        </w:tc>
        <w:tc>
          <w:tcPr>
            <w:tcW w:w="1560" w:type="dxa"/>
            <w:vAlign w:val="center"/>
          </w:tcPr>
          <w:p w14:paraId="2F720B8B">
            <w:pPr>
              <w:pStyle w:val="230"/>
              <w:spacing w:before="149" w:line="220" w:lineRule="auto"/>
              <w:ind w:left="51"/>
              <w:jc w:val="center"/>
              <w:rPr>
                <w:sz w:val="21"/>
                <w:szCs w:val="21"/>
              </w:rPr>
            </w:pPr>
            <w:r>
              <w:rPr>
                <w:spacing w:val="4"/>
                <w:sz w:val="21"/>
                <w:szCs w:val="21"/>
              </w:rPr>
              <w:t>细化项目</w:t>
            </w:r>
          </w:p>
        </w:tc>
        <w:tc>
          <w:tcPr>
            <w:tcW w:w="6134" w:type="dxa"/>
            <w:vAlign w:val="center"/>
          </w:tcPr>
          <w:p w14:paraId="0E0AD613">
            <w:pPr>
              <w:pStyle w:val="230"/>
              <w:spacing w:before="148" w:line="218" w:lineRule="auto"/>
              <w:ind w:left="530" w:hanging="530" w:hangingChars="255"/>
              <w:jc w:val="center"/>
              <w:rPr>
                <w:sz w:val="21"/>
                <w:szCs w:val="21"/>
              </w:rPr>
            </w:pPr>
            <w:r>
              <w:rPr>
                <w:spacing w:val="-1"/>
                <w:sz w:val="21"/>
                <w:szCs w:val="21"/>
              </w:rPr>
              <w:t>要求</w:t>
            </w:r>
          </w:p>
        </w:tc>
      </w:tr>
      <w:tr w14:paraId="66E39C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96" w:hRule="atLeast"/>
        </w:trPr>
        <w:tc>
          <w:tcPr>
            <w:tcW w:w="694" w:type="dxa"/>
            <w:vMerge w:val="restart"/>
            <w:tcBorders>
              <w:bottom w:val="nil"/>
            </w:tcBorders>
            <w:vAlign w:val="center"/>
          </w:tcPr>
          <w:p w14:paraId="2F94599B">
            <w:pPr>
              <w:pStyle w:val="230"/>
              <w:spacing w:before="32" w:line="184" w:lineRule="auto"/>
              <w:ind w:left="65"/>
              <w:jc w:val="center"/>
              <w:rPr>
                <w:sz w:val="21"/>
                <w:szCs w:val="21"/>
              </w:rPr>
            </w:pPr>
            <w:r>
              <w:rPr>
                <w:sz w:val="21"/>
                <w:szCs w:val="21"/>
              </w:rPr>
              <w:t>1</w:t>
            </w:r>
          </w:p>
        </w:tc>
        <w:tc>
          <w:tcPr>
            <w:tcW w:w="992" w:type="dxa"/>
            <w:vMerge w:val="restart"/>
            <w:tcBorders>
              <w:bottom w:val="nil"/>
            </w:tcBorders>
            <w:vAlign w:val="center"/>
          </w:tcPr>
          <w:p w14:paraId="72398E01">
            <w:pPr>
              <w:pStyle w:val="230"/>
              <w:spacing w:before="32" w:line="219" w:lineRule="auto"/>
              <w:ind w:left="50"/>
              <w:jc w:val="center"/>
              <w:rPr>
                <w:sz w:val="21"/>
                <w:szCs w:val="21"/>
              </w:rPr>
            </w:pPr>
            <w:r>
              <w:rPr>
                <w:spacing w:val="-1"/>
                <w:sz w:val="21"/>
                <w:szCs w:val="21"/>
              </w:rPr>
              <w:t>生产场所</w:t>
            </w:r>
          </w:p>
        </w:tc>
        <w:tc>
          <w:tcPr>
            <w:tcW w:w="1560" w:type="dxa"/>
            <w:vAlign w:val="center"/>
          </w:tcPr>
          <w:p w14:paraId="6D626759">
            <w:pPr>
              <w:pStyle w:val="230"/>
              <w:spacing w:before="33" w:line="220" w:lineRule="auto"/>
              <w:ind w:left="51"/>
              <w:jc w:val="center"/>
              <w:rPr>
                <w:sz w:val="21"/>
                <w:szCs w:val="21"/>
              </w:rPr>
            </w:pPr>
            <w:r>
              <w:rPr>
                <w:spacing w:val="-1"/>
                <w:sz w:val="21"/>
                <w:szCs w:val="21"/>
              </w:rPr>
              <w:t>场所周围</w:t>
            </w:r>
          </w:p>
        </w:tc>
        <w:tc>
          <w:tcPr>
            <w:tcW w:w="6134" w:type="dxa"/>
            <w:vAlign w:val="center"/>
          </w:tcPr>
          <w:p w14:paraId="4F366782">
            <w:pPr>
              <w:pStyle w:val="230"/>
              <w:spacing w:before="26" w:line="295" w:lineRule="auto"/>
              <w:ind w:right="48"/>
              <w:jc w:val="left"/>
              <w:rPr>
                <w:sz w:val="21"/>
                <w:szCs w:val="21"/>
                <w:lang w:eastAsia="zh-CN"/>
              </w:rPr>
            </w:pPr>
            <w:r>
              <w:rPr>
                <w:spacing w:val="-1"/>
                <w:sz w:val="21"/>
                <w:szCs w:val="21"/>
                <w:lang w:eastAsia="zh-CN"/>
              </w:rPr>
              <w:t>生产场所不应选择对茶油有显著污染，或存在有害废弃物以及粉尘、有害气体、放射性物质和其他扩散性污染源而不能有效清除的区域，难以避开时应采取有效防范措施，保证生产场所不受污</w:t>
            </w:r>
            <w:r>
              <w:rPr>
                <w:spacing w:val="2"/>
                <w:sz w:val="21"/>
                <w:szCs w:val="21"/>
                <w:lang w:eastAsia="zh-CN"/>
              </w:rPr>
              <w:t>染源的污染</w:t>
            </w:r>
            <w:r>
              <w:rPr>
                <w:rFonts w:hint="eastAsia"/>
                <w:spacing w:val="2"/>
                <w:sz w:val="21"/>
                <w:szCs w:val="21"/>
                <w:lang w:eastAsia="zh-CN"/>
              </w:rPr>
              <w:t>。</w:t>
            </w:r>
          </w:p>
        </w:tc>
      </w:tr>
      <w:tr w14:paraId="02DB71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5" w:hRule="atLeast"/>
        </w:trPr>
        <w:tc>
          <w:tcPr>
            <w:tcW w:w="694" w:type="dxa"/>
            <w:vMerge w:val="continue"/>
            <w:tcBorders>
              <w:top w:val="nil"/>
              <w:bottom w:val="nil"/>
            </w:tcBorders>
            <w:vAlign w:val="center"/>
          </w:tcPr>
          <w:p w14:paraId="70E07DF4">
            <w:pPr>
              <w:jc w:val="center"/>
              <w:rPr>
                <w:rFonts w:ascii="Arial"/>
              </w:rPr>
            </w:pPr>
          </w:p>
        </w:tc>
        <w:tc>
          <w:tcPr>
            <w:tcW w:w="992" w:type="dxa"/>
            <w:vMerge w:val="continue"/>
            <w:tcBorders>
              <w:top w:val="nil"/>
              <w:bottom w:val="nil"/>
            </w:tcBorders>
            <w:vAlign w:val="center"/>
          </w:tcPr>
          <w:p w14:paraId="13EE7C6E">
            <w:pPr>
              <w:jc w:val="center"/>
              <w:rPr>
                <w:rFonts w:ascii="Arial"/>
              </w:rPr>
            </w:pPr>
          </w:p>
        </w:tc>
        <w:tc>
          <w:tcPr>
            <w:tcW w:w="1560" w:type="dxa"/>
            <w:vAlign w:val="center"/>
          </w:tcPr>
          <w:p w14:paraId="0AF59F20">
            <w:pPr>
              <w:pStyle w:val="230"/>
              <w:spacing w:before="227" w:line="219" w:lineRule="auto"/>
              <w:ind w:left="101"/>
              <w:jc w:val="center"/>
              <w:rPr>
                <w:sz w:val="21"/>
                <w:szCs w:val="21"/>
              </w:rPr>
            </w:pPr>
            <w:r>
              <w:rPr>
                <w:spacing w:val="-2"/>
                <w:sz w:val="21"/>
                <w:szCs w:val="21"/>
              </w:rPr>
              <w:t>生产区</w:t>
            </w:r>
            <w:r>
              <w:rPr>
                <w:spacing w:val="-1"/>
                <w:sz w:val="21"/>
                <w:szCs w:val="21"/>
              </w:rPr>
              <w:t>环境</w:t>
            </w:r>
          </w:p>
        </w:tc>
        <w:tc>
          <w:tcPr>
            <w:tcW w:w="6134" w:type="dxa"/>
            <w:vAlign w:val="center"/>
          </w:tcPr>
          <w:p w14:paraId="783852DA">
            <w:pPr>
              <w:pStyle w:val="230"/>
              <w:spacing w:before="26" w:line="290" w:lineRule="auto"/>
              <w:ind w:left="12"/>
              <w:jc w:val="left"/>
              <w:rPr>
                <w:sz w:val="21"/>
                <w:szCs w:val="21"/>
                <w:lang w:eastAsia="zh-CN"/>
              </w:rPr>
            </w:pPr>
            <w:r>
              <w:rPr>
                <w:spacing w:val="-3"/>
                <w:sz w:val="21"/>
                <w:szCs w:val="21"/>
                <w:lang w:eastAsia="zh-CN"/>
              </w:rPr>
              <w:t>生产区路面宜适当硬化应无扬尘、</w:t>
            </w:r>
            <w:r>
              <w:rPr>
                <w:sz w:val="21"/>
                <w:szCs w:val="21"/>
                <w:lang w:eastAsia="zh-CN"/>
              </w:rPr>
              <w:t>无积水：用于油茶籽原料堆放、</w:t>
            </w:r>
            <w:r>
              <w:rPr>
                <w:spacing w:val="-4"/>
                <w:sz w:val="21"/>
                <w:szCs w:val="21"/>
                <w:lang w:eastAsia="zh-CN"/>
              </w:rPr>
              <w:t>晾晒的地面不应产生污染，如沥青地面等</w:t>
            </w:r>
            <w:r>
              <w:rPr>
                <w:rFonts w:hint="eastAsia"/>
                <w:spacing w:val="-4"/>
                <w:sz w:val="21"/>
                <w:szCs w:val="21"/>
                <w:lang w:eastAsia="zh-CN"/>
              </w:rPr>
              <w:t>；</w:t>
            </w:r>
            <w:r>
              <w:rPr>
                <w:spacing w:val="-4"/>
                <w:sz w:val="21"/>
                <w:szCs w:val="21"/>
                <w:lang w:eastAsia="zh-CN"/>
              </w:rPr>
              <w:t>生产区不得</w:t>
            </w:r>
            <w:r>
              <w:rPr>
                <w:rFonts w:hint="eastAsia"/>
                <w:spacing w:val="-4"/>
                <w:sz w:val="21"/>
                <w:szCs w:val="21"/>
                <w:lang w:eastAsia="zh-CN"/>
              </w:rPr>
              <w:t>豢</w:t>
            </w:r>
            <w:r>
              <w:rPr>
                <w:spacing w:val="-4"/>
                <w:sz w:val="21"/>
                <w:szCs w:val="21"/>
                <w:lang w:eastAsia="zh-CN"/>
              </w:rPr>
              <w:t>养动物</w:t>
            </w:r>
            <w:r>
              <w:rPr>
                <w:rFonts w:hint="eastAsia"/>
                <w:spacing w:val="-4"/>
                <w:sz w:val="21"/>
                <w:szCs w:val="21"/>
                <w:lang w:eastAsia="zh-CN"/>
              </w:rPr>
              <w:t>。</w:t>
            </w:r>
          </w:p>
        </w:tc>
      </w:tr>
      <w:tr w14:paraId="0B8DA3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09" w:hRule="atLeast"/>
        </w:trPr>
        <w:tc>
          <w:tcPr>
            <w:tcW w:w="694" w:type="dxa"/>
            <w:vMerge w:val="continue"/>
            <w:tcBorders>
              <w:top w:val="nil"/>
            </w:tcBorders>
            <w:vAlign w:val="center"/>
          </w:tcPr>
          <w:p w14:paraId="5AB8141E">
            <w:pPr>
              <w:jc w:val="center"/>
              <w:rPr>
                <w:rFonts w:ascii="Arial"/>
              </w:rPr>
            </w:pPr>
          </w:p>
        </w:tc>
        <w:tc>
          <w:tcPr>
            <w:tcW w:w="992" w:type="dxa"/>
            <w:vMerge w:val="continue"/>
            <w:tcBorders>
              <w:top w:val="nil"/>
            </w:tcBorders>
            <w:vAlign w:val="center"/>
          </w:tcPr>
          <w:p w14:paraId="73BB870C">
            <w:pPr>
              <w:jc w:val="center"/>
              <w:rPr>
                <w:rFonts w:ascii="Arial"/>
              </w:rPr>
            </w:pPr>
          </w:p>
        </w:tc>
        <w:tc>
          <w:tcPr>
            <w:tcW w:w="1560" w:type="dxa"/>
            <w:vAlign w:val="center"/>
          </w:tcPr>
          <w:p w14:paraId="0DCB7F76">
            <w:pPr>
              <w:pStyle w:val="230"/>
              <w:spacing w:before="32" w:line="221" w:lineRule="auto"/>
              <w:ind w:left="101"/>
              <w:jc w:val="center"/>
              <w:rPr>
                <w:sz w:val="21"/>
                <w:szCs w:val="21"/>
              </w:rPr>
            </w:pPr>
            <w:r>
              <w:rPr>
                <w:spacing w:val="-2"/>
                <w:sz w:val="21"/>
                <w:szCs w:val="21"/>
              </w:rPr>
              <w:t>设计和</w:t>
            </w:r>
            <w:r>
              <w:rPr>
                <w:spacing w:val="-1"/>
                <w:sz w:val="21"/>
                <w:szCs w:val="21"/>
              </w:rPr>
              <w:t>布局</w:t>
            </w:r>
          </w:p>
        </w:tc>
        <w:tc>
          <w:tcPr>
            <w:tcW w:w="6134" w:type="dxa"/>
            <w:vAlign w:val="center"/>
          </w:tcPr>
          <w:p w14:paraId="36F5B329">
            <w:pPr>
              <w:pStyle w:val="230"/>
              <w:spacing w:before="28" w:line="295" w:lineRule="auto"/>
              <w:jc w:val="left"/>
              <w:rPr>
                <w:sz w:val="21"/>
                <w:szCs w:val="21"/>
                <w:lang w:eastAsia="zh-CN"/>
              </w:rPr>
            </w:pPr>
            <w:r>
              <w:rPr>
                <w:spacing w:val="-1"/>
                <w:sz w:val="21"/>
                <w:szCs w:val="21"/>
                <w:lang w:eastAsia="zh-CN"/>
              </w:rPr>
              <w:t>生产区应与生活区、检验</w:t>
            </w:r>
            <w:r>
              <w:rPr>
                <w:rFonts w:hint="eastAsia"/>
                <w:spacing w:val="-1"/>
                <w:sz w:val="21"/>
                <w:szCs w:val="21"/>
                <w:lang w:eastAsia="zh-CN"/>
              </w:rPr>
              <w:t>室</w:t>
            </w:r>
            <w:r>
              <w:rPr>
                <w:spacing w:val="-1"/>
                <w:sz w:val="21"/>
                <w:szCs w:val="21"/>
                <w:lang w:eastAsia="zh-CN"/>
              </w:rPr>
              <w:t>进行分隔；生产场所符合茶油生产工</w:t>
            </w:r>
            <w:r>
              <w:rPr>
                <w:spacing w:val="-5"/>
                <w:sz w:val="21"/>
                <w:szCs w:val="21"/>
                <w:lang w:eastAsia="zh-CN"/>
              </w:rPr>
              <w:t>艺要求，</w:t>
            </w:r>
            <w:r>
              <w:rPr>
                <w:rFonts w:hint="eastAsia"/>
                <w:spacing w:val="-5"/>
                <w:sz w:val="21"/>
                <w:szCs w:val="21"/>
                <w:lang w:eastAsia="zh-CN"/>
              </w:rPr>
              <w:t>做到</w:t>
            </w:r>
            <w:r>
              <w:rPr>
                <w:spacing w:val="-5"/>
                <w:sz w:val="21"/>
                <w:szCs w:val="21"/>
                <w:lang w:eastAsia="zh-CN"/>
              </w:rPr>
              <w:t>清洁、干净，避免交叉污</w:t>
            </w:r>
            <w:r>
              <w:rPr>
                <w:spacing w:val="-1"/>
                <w:sz w:val="21"/>
                <w:szCs w:val="21"/>
                <w:lang w:eastAsia="zh-CN"/>
              </w:rPr>
              <w:t>染；应独立设置原料储存与分选</w:t>
            </w:r>
            <w:r>
              <w:rPr>
                <w:spacing w:val="3"/>
                <w:sz w:val="21"/>
                <w:szCs w:val="21"/>
                <w:lang w:eastAsia="zh-CN"/>
              </w:rPr>
              <w:t>区、预处理区、压榨与过滤区、</w:t>
            </w:r>
            <w:r>
              <w:rPr>
                <w:spacing w:val="-1"/>
                <w:sz w:val="21"/>
                <w:szCs w:val="21"/>
                <w:lang w:eastAsia="zh-CN"/>
              </w:rPr>
              <w:t>灌装区和成品存放区，各功能区</w:t>
            </w:r>
            <w:r>
              <w:rPr>
                <w:spacing w:val="1"/>
                <w:sz w:val="21"/>
                <w:szCs w:val="21"/>
                <w:lang w:eastAsia="zh-CN"/>
              </w:rPr>
              <w:t>域划分明确，设置通畅、合理，</w:t>
            </w:r>
            <w:r>
              <w:rPr>
                <w:spacing w:val="-1"/>
                <w:sz w:val="21"/>
                <w:szCs w:val="21"/>
                <w:lang w:eastAsia="zh-CN"/>
              </w:rPr>
              <w:t>并有适当的分离或分隔措施，有</w:t>
            </w:r>
            <w:r>
              <w:rPr>
                <w:spacing w:val="2"/>
                <w:sz w:val="21"/>
                <w:szCs w:val="21"/>
                <w:lang w:eastAsia="zh-CN"/>
              </w:rPr>
              <w:t>明显的功能标识。</w:t>
            </w:r>
          </w:p>
        </w:tc>
      </w:tr>
      <w:tr w14:paraId="1B8F49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5" w:hRule="atLeast"/>
        </w:trPr>
        <w:tc>
          <w:tcPr>
            <w:tcW w:w="694" w:type="dxa"/>
            <w:vMerge w:val="restart"/>
            <w:vAlign w:val="center"/>
          </w:tcPr>
          <w:p w14:paraId="2C5C67CC">
            <w:pPr>
              <w:pStyle w:val="230"/>
              <w:spacing w:before="33" w:line="183" w:lineRule="auto"/>
              <w:ind w:left="65"/>
              <w:jc w:val="center"/>
              <w:rPr>
                <w:sz w:val="21"/>
                <w:szCs w:val="21"/>
              </w:rPr>
            </w:pPr>
            <w:r>
              <w:rPr>
                <w:sz w:val="21"/>
                <w:szCs w:val="21"/>
              </w:rPr>
              <w:t>2</w:t>
            </w:r>
          </w:p>
        </w:tc>
        <w:tc>
          <w:tcPr>
            <w:tcW w:w="992" w:type="dxa"/>
            <w:vMerge w:val="restart"/>
            <w:vAlign w:val="center"/>
          </w:tcPr>
          <w:p w14:paraId="14996D69">
            <w:pPr>
              <w:pStyle w:val="230"/>
              <w:spacing w:before="33" w:line="221" w:lineRule="auto"/>
              <w:ind w:left="50"/>
              <w:jc w:val="center"/>
              <w:rPr>
                <w:sz w:val="21"/>
                <w:szCs w:val="21"/>
              </w:rPr>
            </w:pPr>
            <w:r>
              <w:rPr>
                <w:spacing w:val="-2"/>
                <w:sz w:val="21"/>
                <w:szCs w:val="21"/>
              </w:rPr>
              <w:t>设施设备</w:t>
            </w:r>
          </w:p>
        </w:tc>
        <w:tc>
          <w:tcPr>
            <w:tcW w:w="1560" w:type="dxa"/>
            <w:vAlign w:val="center"/>
          </w:tcPr>
          <w:p w14:paraId="1835ADEB">
            <w:pPr>
              <w:pStyle w:val="230"/>
              <w:spacing w:before="33" w:line="219" w:lineRule="auto"/>
              <w:jc w:val="center"/>
              <w:rPr>
                <w:sz w:val="21"/>
                <w:szCs w:val="21"/>
              </w:rPr>
            </w:pPr>
            <w:r>
              <w:rPr>
                <w:spacing w:val="-1"/>
                <w:sz w:val="21"/>
                <w:szCs w:val="21"/>
              </w:rPr>
              <w:t>生产设备</w:t>
            </w:r>
          </w:p>
        </w:tc>
        <w:tc>
          <w:tcPr>
            <w:tcW w:w="6134" w:type="dxa"/>
            <w:vAlign w:val="center"/>
          </w:tcPr>
          <w:p w14:paraId="3A1DA2D7">
            <w:pPr>
              <w:pStyle w:val="230"/>
              <w:spacing w:before="30" w:line="291" w:lineRule="auto"/>
              <w:ind w:left="12"/>
              <w:jc w:val="left"/>
              <w:rPr>
                <w:sz w:val="21"/>
                <w:szCs w:val="21"/>
                <w:lang w:eastAsia="zh-CN"/>
              </w:rPr>
            </w:pPr>
            <w:r>
              <w:rPr>
                <w:spacing w:val="2"/>
                <w:sz w:val="21"/>
                <w:szCs w:val="21"/>
                <w:lang w:eastAsia="zh-CN"/>
              </w:rPr>
              <w:t>具备分选、烘干、粉碎、制</w:t>
            </w:r>
            <w:r>
              <w:rPr>
                <w:rFonts w:hint="eastAsia"/>
                <w:spacing w:val="2"/>
                <w:sz w:val="21"/>
                <w:szCs w:val="21"/>
                <w:lang w:eastAsia="zh-CN"/>
              </w:rPr>
              <w:t>饼</w:t>
            </w:r>
            <w:r>
              <w:rPr>
                <w:spacing w:val="2"/>
                <w:sz w:val="21"/>
                <w:szCs w:val="21"/>
                <w:lang w:eastAsia="zh-CN"/>
              </w:rPr>
              <w:t>、</w:t>
            </w:r>
            <w:r>
              <w:rPr>
                <w:spacing w:val="-1"/>
                <w:sz w:val="21"/>
                <w:szCs w:val="21"/>
                <w:lang w:eastAsia="zh-CN"/>
              </w:rPr>
              <w:t>压榨、过滤及灌装等符合工艺要求的主要设备</w:t>
            </w:r>
            <w:r>
              <w:rPr>
                <w:rFonts w:hint="eastAsia"/>
                <w:spacing w:val="-1"/>
                <w:sz w:val="21"/>
                <w:szCs w:val="21"/>
                <w:lang w:eastAsia="zh-CN"/>
              </w:rPr>
              <w:t>；</w:t>
            </w:r>
            <w:r>
              <w:rPr>
                <w:spacing w:val="-1"/>
                <w:sz w:val="21"/>
                <w:szCs w:val="21"/>
                <w:lang w:eastAsia="zh-CN"/>
              </w:rPr>
              <w:t>设备按照工艺流</w:t>
            </w:r>
            <w:r>
              <w:rPr>
                <w:spacing w:val="-3"/>
                <w:sz w:val="21"/>
                <w:szCs w:val="21"/>
                <w:lang w:eastAsia="zh-CN"/>
              </w:rPr>
              <w:t>程有序排列，避免引起交叉污染。</w:t>
            </w:r>
          </w:p>
        </w:tc>
      </w:tr>
      <w:tr w14:paraId="75BCEA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1" w:hRule="atLeast"/>
        </w:trPr>
        <w:tc>
          <w:tcPr>
            <w:tcW w:w="694" w:type="dxa"/>
            <w:vMerge w:val="continue"/>
          </w:tcPr>
          <w:p w14:paraId="6B8DA8EF">
            <w:pPr>
              <w:rPr>
                <w:rFonts w:ascii="Arial"/>
              </w:rPr>
            </w:pPr>
          </w:p>
        </w:tc>
        <w:tc>
          <w:tcPr>
            <w:tcW w:w="992" w:type="dxa"/>
            <w:vMerge w:val="continue"/>
            <w:vAlign w:val="center"/>
          </w:tcPr>
          <w:p w14:paraId="0802833B">
            <w:pPr>
              <w:jc w:val="center"/>
              <w:rPr>
                <w:rFonts w:ascii="Arial"/>
              </w:rPr>
            </w:pPr>
          </w:p>
        </w:tc>
        <w:tc>
          <w:tcPr>
            <w:tcW w:w="1560" w:type="dxa"/>
            <w:vAlign w:val="center"/>
          </w:tcPr>
          <w:p w14:paraId="77A20E8C">
            <w:pPr>
              <w:pStyle w:val="230"/>
              <w:spacing w:before="152" w:line="219" w:lineRule="auto"/>
              <w:ind w:left="51"/>
              <w:jc w:val="center"/>
              <w:rPr>
                <w:sz w:val="21"/>
                <w:szCs w:val="21"/>
              </w:rPr>
            </w:pPr>
            <w:r>
              <w:rPr>
                <w:spacing w:val="-1"/>
                <w:sz w:val="21"/>
                <w:szCs w:val="21"/>
              </w:rPr>
              <w:t>检验设备</w:t>
            </w:r>
          </w:p>
        </w:tc>
        <w:tc>
          <w:tcPr>
            <w:tcW w:w="6134" w:type="dxa"/>
            <w:vAlign w:val="center"/>
          </w:tcPr>
          <w:p w14:paraId="25615EF7">
            <w:pPr>
              <w:pStyle w:val="230"/>
              <w:spacing w:before="31" w:line="266" w:lineRule="auto"/>
              <w:ind w:right="34"/>
              <w:jc w:val="left"/>
              <w:rPr>
                <w:sz w:val="21"/>
                <w:szCs w:val="21"/>
                <w:lang w:eastAsia="zh-CN"/>
              </w:rPr>
            </w:pPr>
            <w:r>
              <w:rPr>
                <w:spacing w:val="-1"/>
                <w:sz w:val="21"/>
                <w:szCs w:val="21"/>
                <w:lang w:eastAsia="zh-CN"/>
              </w:rPr>
              <w:t>具有分析天平和滴定管等必备的</w:t>
            </w:r>
            <w:r>
              <w:rPr>
                <w:spacing w:val="-2"/>
                <w:sz w:val="21"/>
                <w:szCs w:val="21"/>
                <w:lang w:eastAsia="zh-CN"/>
              </w:rPr>
              <w:t>茶油出厂检验设备和相应试剂。</w:t>
            </w:r>
          </w:p>
        </w:tc>
      </w:tr>
      <w:tr w14:paraId="0979DE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1" w:hRule="atLeast"/>
        </w:trPr>
        <w:tc>
          <w:tcPr>
            <w:tcW w:w="694" w:type="dxa"/>
            <w:vMerge w:val="continue"/>
          </w:tcPr>
          <w:p w14:paraId="1484B30C">
            <w:pPr>
              <w:rPr>
                <w:rFonts w:ascii="Arial"/>
              </w:rPr>
            </w:pPr>
          </w:p>
        </w:tc>
        <w:tc>
          <w:tcPr>
            <w:tcW w:w="992" w:type="dxa"/>
            <w:vMerge w:val="continue"/>
            <w:vAlign w:val="center"/>
          </w:tcPr>
          <w:p w14:paraId="79E72797">
            <w:pPr>
              <w:jc w:val="center"/>
              <w:rPr>
                <w:rFonts w:ascii="Arial"/>
              </w:rPr>
            </w:pPr>
          </w:p>
        </w:tc>
        <w:tc>
          <w:tcPr>
            <w:tcW w:w="1560" w:type="dxa"/>
            <w:vAlign w:val="center"/>
          </w:tcPr>
          <w:p w14:paraId="27703089">
            <w:pPr>
              <w:pStyle w:val="230"/>
              <w:spacing w:before="62" w:line="219" w:lineRule="auto"/>
              <w:ind w:left="101"/>
              <w:jc w:val="center"/>
              <w:rPr>
                <w:sz w:val="21"/>
                <w:szCs w:val="21"/>
              </w:rPr>
            </w:pPr>
            <w:r>
              <w:rPr>
                <w:spacing w:val="-1"/>
                <w:sz w:val="21"/>
                <w:szCs w:val="21"/>
              </w:rPr>
              <w:t>供排水</w:t>
            </w:r>
            <w:r>
              <w:rPr>
                <w:spacing w:val="-2"/>
                <w:sz w:val="21"/>
                <w:szCs w:val="21"/>
              </w:rPr>
              <w:t>设施</w:t>
            </w:r>
          </w:p>
        </w:tc>
        <w:tc>
          <w:tcPr>
            <w:tcW w:w="6134" w:type="dxa"/>
            <w:vAlign w:val="center"/>
          </w:tcPr>
          <w:p w14:paraId="2016727E">
            <w:pPr>
              <w:pStyle w:val="230"/>
              <w:spacing w:before="32" w:line="277" w:lineRule="auto"/>
              <w:jc w:val="left"/>
              <w:rPr>
                <w:sz w:val="21"/>
                <w:szCs w:val="21"/>
                <w:lang w:eastAsia="zh-CN"/>
              </w:rPr>
            </w:pPr>
            <w:r>
              <w:rPr>
                <w:spacing w:val="-3"/>
                <w:sz w:val="21"/>
                <w:szCs w:val="21"/>
                <w:lang w:eastAsia="zh-CN"/>
              </w:rPr>
              <w:t>供排水设施畅通，排水口有防鼠、防虫设施</w:t>
            </w:r>
            <w:r>
              <w:rPr>
                <w:rFonts w:hint="eastAsia"/>
                <w:spacing w:val="-3"/>
                <w:sz w:val="21"/>
                <w:szCs w:val="21"/>
                <w:lang w:eastAsia="zh-CN"/>
              </w:rPr>
              <w:t>。</w:t>
            </w:r>
          </w:p>
        </w:tc>
      </w:tr>
      <w:tr w14:paraId="478135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trPr>
        <w:tc>
          <w:tcPr>
            <w:tcW w:w="694" w:type="dxa"/>
            <w:vMerge w:val="continue"/>
          </w:tcPr>
          <w:p w14:paraId="3B946C6B">
            <w:pPr>
              <w:rPr>
                <w:rFonts w:ascii="Arial"/>
              </w:rPr>
            </w:pPr>
          </w:p>
        </w:tc>
        <w:tc>
          <w:tcPr>
            <w:tcW w:w="992" w:type="dxa"/>
            <w:vMerge w:val="continue"/>
            <w:vAlign w:val="center"/>
          </w:tcPr>
          <w:p w14:paraId="0C5B8249">
            <w:pPr>
              <w:jc w:val="center"/>
              <w:rPr>
                <w:rFonts w:ascii="Arial"/>
              </w:rPr>
            </w:pPr>
          </w:p>
        </w:tc>
        <w:tc>
          <w:tcPr>
            <w:tcW w:w="1560" w:type="dxa"/>
            <w:vAlign w:val="center"/>
          </w:tcPr>
          <w:p w14:paraId="0398D5C5">
            <w:pPr>
              <w:pStyle w:val="230"/>
              <w:spacing w:before="44" w:line="259" w:lineRule="auto"/>
              <w:ind w:left="151" w:right="71" w:hanging="100"/>
              <w:jc w:val="center"/>
              <w:rPr>
                <w:sz w:val="21"/>
                <w:szCs w:val="21"/>
              </w:rPr>
            </w:pPr>
            <w:r>
              <w:rPr>
                <w:spacing w:val="-1"/>
                <w:sz w:val="21"/>
                <w:szCs w:val="21"/>
              </w:rPr>
              <w:t>清洁消毒</w:t>
            </w:r>
            <w:r>
              <w:rPr>
                <w:spacing w:val="-2"/>
                <w:sz w:val="21"/>
                <w:szCs w:val="21"/>
              </w:rPr>
              <w:t>设施</w:t>
            </w:r>
          </w:p>
        </w:tc>
        <w:tc>
          <w:tcPr>
            <w:tcW w:w="6134" w:type="dxa"/>
            <w:vAlign w:val="center"/>
          </w:tcPr>
          <w:p w14:paraId="5B98FA87">
            <w:pPr>
              <w:pStyle w:val="230"/>
              <w:spacing w:before="34" w:line="268" w:lineRule="auto"/>
              <w:ind w:right="48"/>
              <w:jc w:val="left"/>
              <w:rPr>
                <w:sz w:val="21"/>
                <w:szCs w:val="21"/>
                <w:lang w:eastAsia="zh-CN"/>
              </w:rPr>
            </w:pPr>
            <w:r>
              <w:rPr>
                <w:spacing w:val="-1"/>
                <w:sz w:val="21"/>
                <w:szCs w:val="21"/>
                <w:lang w:eastAsia="zh-CN"/>
              </w:rPr>
              <w:t>应配备足够的设备、工具和容器的清洗设施，必要时配备相应的消毒设施；</w:t>
            </w:r>
            <w:r>
              <w:rPr>
                <w:rFonts w:hint="eastAsia"/>
                <w:spacing w:val="-1"/>
                <w:sz w:val="21"/>
                <w:szCs w:val="21"/>
                <w:lang w:eastAsia="zh-CN"/>
              </w:rPr>
              <w:t>清洁</w:t>
            </w:r>
            <w:r>
              <w:rPr>
                <w:spacing w:val="-1"/>
                <w:sz w:val="21"/>
                <w:szCs w:val="21"/>
                <w:lang w:eastAsia="zh-CN"/>
              </w:rPr>
              <w:t>、消毒方式应避免对产品造成交叉污染，使用的洗涤剂、消毒剂应符合相关规定要求。</w:t>
            </w:r>
          </w:p>
        </w:tc>
      </w:tr>
      <w:tr w14:paraId="17FDF2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trPr>
        <w:tc>
          <w:tcPr>
            <w:tcW w:w="694" w:type="dxa"/>
            <w:vMerge w:val="continue"/>
          </w:tcPr>
          <w:p w14:paraId="2F73C271">
            <w:pPr>
              <w:rPr>
                <w:rFonts w:ascii="Arial"/>
              </w:rPr>
            </w:pPr>
          </w:p>
        </w:tc>
        <w:tc>
          <w:tcPr>
            <w:tcW w:w="992" w:type="dxa"/>
            <w:vMerge w:val="continue"/>
            <w:vAlign w:val="center"/>
          </w:tcPr>
          <w:p w14:paraId="387A5395">
            <w:pPr>
              <w:jc w:val="center"/>
              <w:rPr>
                <w:rFonts w:ascii="Arial"/>
              </w:rPr>
            </w:pPr>
          </w:p>
        </w:tc>
        <w:tc>
          <w:tcPr>
            <w:tcW w:w="1560" w:type="dxa"/>
            <w:vAlign w:val="center"/>
          </w:tcPr>
          <w:p w14:paraId="75BCF8A0">
            <w:pPr>
              <w:pStyle w:val="230"/>
              <w:spacing w:before="34" w:line="268" w:lineRule="auto"/>
              <w:ind w:left="32" w:right="48"/>
              <w:jc w:val="center"/>
              <w:rPr>
                <w:spacing w:val="-1"/>
                <w:sz w:val="21"/>
                <w:szCs w:val="21"/>
              </w:rPr>
            </w:pPr>
            <w:r>
              <w:rPr>
                <w:spacing w:val="-1"/>
                <w:sz w:val="21"/>
                <w:szCs w:val="21"/>
              </w:rPr>
              <w:t>废弃物存放设施</w:t>
            </w:r>
          </w:p>
        </w:tc>
        <w:tc>
          <w:tcPr>
            <w:tcW w:w="6134" w:type="dxa"/>
            <w:vAlign w:val="center"/>
          </w:tcPr>
          <w:p w14:paraId="7BCBD372">
            <w:pPr>
              <w:pStyle w:val="230"/>
              <w:spacing w:before="34" w:line="268" w:lineRule="auto"/>
              <w:ind w:right="48"/>
              <w:jc w:val="left"/>
              <w:rPr>
                <w:spacing w:val="-1"/>
                <w:sz w:val="21"/>
                <w:szCs w:val="21"/>
                <w:lang w:eastAsia="zh-CN"/>
              </w:rPr>
            </w:pPr>
            <w:r>
              <w:rPr>
                <w:spacing w:val="-1"/>
                <w:sz w:val="21"/>
                <w:szCs w:val="21"/>
                <w:lang w:eastAsia="zh-CN"/>
              </w:rPr>
              <w:t>应配备带盖、防渗漏、易于清洁的废弃物存放专用设施</w:t>
            </w:r>
            <w:r>
              <w:rPr>
                <w:rFonts w:hint="eastAsia"/>
                <w:spacing w:val="-1"/>
                <w:sz w:val="21"/>
                <w:szCs w:val="21"/>
                <w:lang w:eastAsia="zh-CN"/>
              </w:rPr>
              <w:t>；</w:t>
            </w:r>
            <w:r>
              <w:rPr>
                <w:spacing w:val="-1"/>
                <w:sz w:val="21"/>
                <w:szCs w:val="21"/>
                <w:lang w:eastAsia="zh-CN"/>
              </w:rPr>
              <w:t>存放废弃物的设施和容器应标识清晰。</w:t>
            </w:r>
          </w:p>
        </w:tc>
      </w:tr>
      <w:tr w14:paraId="7B161C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trPr>
        <w:tc>
          <w:tcPr>
            <w:tcW w:w="694" w:type="dxa"/>
            <w:vMerge w:val="continue"/>
          </w:tcPr>
          <w:p w14:paraId="6B998E69">
            <w:pPr>
              <w:rPr>
                <w:rFonts w:ascii="Arial"/>
              </w:rPr>
            </w:pPr>
          </w:p>
        </w:tc>
        <w:tc>
          <w:tcPr>
            <w:tcW w:w="992" w:type="dxa"/>
            <w:vMerge w:val="continue"/>
            <w:vAlign w:val="center"/>
          </w:tcPr>
          <w:p w14:paraId="59BFDD06">
            <w:pPr>
              <w:jc w:val="center"/>
              <w:rPr>
                <w:rFonts w:ascii="Arial"/>
              </w:rPr>
            </w:pPr>
          </w:p>
        </w:tc>
        <w:tc>
          <w:tcPr>
            <w:tcW w:w="1560" w:type="dxa"/>
            <w:vAlign w:val="center"/>
          </w:tcPr>
          <w:p w14:paraId="2907B6B4">
            <w:pPr>
              <w:pStyle w:val="230"/>
              <w:spacing w:before="34" w:line="268" w:lineRule="auto"/>
              <w:ind w:left="32" w:right="48"/>
              <w:jc w:val="center"/>
              <w:rPr>
                <w:spacing w:val="-1"/>
                <w:sz w:val="21"/>
                <w:szCs w:val="21"/>
              </w:rPr>
            </w:pPr>
            <w:r>
              <w:rPr>
                <w:spacing w:val="-1"/>
                <w:sz w:val="21"/>
                <w:szCs w:val="21"/>
              </w:rPr>
              <w:t>个人卫生设施</w:t>
            </w:r>
          </w:p>
        </w:tc>
        <w:tc>
          <w:tcPr>
            <w:tcW w:w="6134" w:type="dxa"/>
            <w:vAlign w:val="center"/>
          </w:tcPr>
          <w:p w14:paraId="6A88132C">
            <w:pPr>
              <w:pStyle w:val="230"/>
              <w:spacing w:before="34" w:line="268" w:lineRule="auto"/>
              <w:ind w:right="48"/>
              <w:jc w:val="left"/>
              <w:rPr>
                <w:spacing w:val="-1"/>
                <w:sz w:val="21"/>
                <w:szCs w:val="21"/>
                <w:lang w:eastAsia="zh-CN"/>
              </w:rPr>
            </w:pPr>
            <w:r>
              <w:rPr>
                <w:spacing w:val="-1"/>
                <w:sz w:val="21"/>
                <w:szCs w:val="21"/>
                <w:lang w:eastAsia="zh-CN"/>
              </w:rPr>
              <w:t>设置更衣、洗手、消毒设施。</w:t>
            </w:r>
          </w:p>
        </w:tc>
      </w:tr>
      <w:tr w14:paraId="36304F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trPr>
        <w:tc>
          <w:tcPr>
            <w:tcW w:w="694" w:type="dxa"/>
            <w:vMerge w:val="continue"/>
          </w:tcPr>
          <w:p w14:paraId="57501AEA">
            <w:pPr>
              <w:rPr>
                <w:rFonts w:ascii="Arial"/>
              </w:rPr>
            </w:pPr>
          </w:p>
        </w:tc>
        <w:tc>
          <w:tcPr>
            <w:tcW w:w="992" w:type="dxa"/>
            <w:vMerge w:val="continue"/>
            <w:vAlign w:val="center"/>
          </w:tcPr>
          <w:p w14:paraId="34883110">
            <w:pPr>
              <w:jc w:val="center"/>
              <w:rPr>
                <w:rFonts w:ascii="Arial"/>
              </w:rPr>
            </w:pPr>
          </w:p>
        </w:tc>
        <w:tc>
          <w:tcPr>
            <w:tcW w:w="1560" w:type="dxa"/>
            <w:vAlign w:val="center"/>
          </w:tcPr>
          <w:p w14:paraId="4102C133">
            <w:pPr>
              <w:pStyle w:val="230"/>
              <w:spacing w:before="32" w:line="220" w:lineRule="auto"/>
              <w:ind w:left="50"/>
              <w:jc w:val="center"/>
              <w:rPr>
                <w:spacing w:val="-1"/>
                <w:sz w:val="21"/>
                <w:szCs w:val="21"/>
              </w:rPr>
            </w:pPr>
            <w:r>
              <w:rPr>
                <w:spacing w:val="-1"/>
                <w:sz w:val="21"/>
                <w:szCs w:val="21"/>
              </w:rPr>
              <w:t>通风设施</w:t>
            </w:r>
          </w:p>
        </w:tc>
        <w:tc>
          <w:tcPr>
            <w:tcW w:w="6134" w:type="dxa"/>
            <w:vAlign w:val="center"/>
          </w:tcPr>
          <w:p w14:paraId="2682EEF6">
            <w:pPr>
              <w:pStyle w:val="230"/>
              <w:spacing w:before="118" w:line="291" w:lineRule="auto"/>
              <w:ind w:left="1"/>
              <w:jc w:val="left"/>
              <w:rPr>
                <w:spacing w:val="-1"/>
                <w:sz w:val="21"/>
                <w:szCs w:val="21"/>
                <w:lang w:eastAsia="zh-CN"/>
              </w:rPr>
            </w:pPr>
            <w:r>
              <w:rPr>
                <w:spacing w:val="-1"/>
                <w:sz w:val="21"/>
                <w:szCs w:val="21"/>
                <w:lang w:eastAsia="zh-CN"/>
              </w:rPr>
              <w:t>生产及储存场所应具有自然通风或人工通风设施；生产场所内产生大量</w:t>
            </w:r>
            <w:r>
              <w:rPr>
                <w:rFonts w:hint="eastAsia"/>
                <w:spacing w:val="-1"/>
                <w:sz w:val="21"/>
                <w:szCs w:val="21"/>
                <w:lang w:eastAsia="zh-CN"/>
              </w:rPr>
              <w:t>蒸汽</w:t>
            </w:r>
            <w:r>
              <w:rPr>
                <w:spacing w:val="-1"/>
                <w:sz w:val="21"/>
                <w:szCs w:val="21"/>
                <w:lang w:eastAsia="zh-CN"/>
              </w:rPr>
              <w:t>的设备上方应采用机械排风</w:t>
            </w:r>
            <w:r>
              <w:rPr>
                <w:rFonts w:hint="eastAsia"/>
                <w:spacing w:val="-1"/>
                <w:sz w:val="21"/>
                <w:szCs w:val="21"/>
                <w:lang w:eastAsia="zh-CN"/>
              </w:rPr>
              <w:t>；</w:t>
            </w:r>
            <w:r>
              <w:rPr>
                <w:spacing w:val="-1"/>
                <w:sz w:val="21"/>
                <w:szCs w:val="21"/>
                <w:lang w:eastAsia="zh-CN"/>
              </w:rPr>
              <w:t>排气口应装有易清洗、耐腐蚀、可防止虫害侵入的网罩。</w:t>
            </w:r>
          </w:p>
        </w:tc>
      </w:tr>
      <w:tr w14:paraId="72ED4B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trPr>
        <w:tc>
          <w:tcPr>
            <w:tcW w:w="694" w:type="dxa"/>
            <w:vMerge w:val="continue"/>
          </w:tcPr>
          <w:p w14:paraId="10480611">
            <w:pPr>
              <w:rPr>
                <w:rFonts w:ascii="Arial"/>
              </w:rPr>
            </w:pPr>
          </w:p>
        </w:tc>
        <w:tc>
          <w:tcPr>
            <w:tcW w:w="992" w:type="dxa"/>
            <w:vMerge w:val="continue"/>
            <w:vAlign w:val="center"/>
          </w:tcPr>
          <w:p w14:paraId="4A44041C">
            <w:pPr>
              <w:jc w:val="center"/>
              <w:rPr>
                <w:rFonts w:ascii="Arial"/>
              </w:rPr>
            </w:pPr>
          </w:p>
        </w:tc>
        <w:tc>
          <w:tcPr>
            <w:tcW w:w="1560" w:type="dxa"/>
            <w:vAlign w:val="center"/>
          </w:tcPr>
          <w:p w14:paraId="0D63023B">
            <w:pPr>
              <w:pStyle w:val="230"/>
              <w:spacing w:before="34" w:line="268" w:lineRule="auto"/>
              <w:ind w:left="32" w:right="48"/>
              <w:jc w:val="center"/>
              <w:rPr>
                <w:spacing w:val="-1"/>
                <w:sz w:val="21"/>
                <w:szCs w:val="21"/>
              </w:rPr>
            </w:pPr>
            <w:r>
              <w:rPr>
                <w:spacing w:val="-1"/>
                <w:sz w:val="21"/>
                <w:szCs w:val="21"/>
              </w:rPr>
              <w:t>照明设施</w:t>
            </w:r>
          </w:p>
        </w:tc>
        <w:tc>
          <w:tcPr>
            <w:tcW w:w="6134" w:type="dxa"/>
            <w:vAlign w:val="center"/>
          </w:tcPr>
          <w:p w14:paraId="77C56649">
            <w:pPr>
              <w:pStyle w:val="230"/>
              <w:spacing w:before="34" w:line="268" w:lineRule="auto"/>
              <w:ind w:right="48"/>
              <w:jc w:val="left"/>
              <w:rPr>
                <w:spacing w:val="-1"/>
                <w:sz w:val="21"/>
                <w:szCs w:val="21"/>
                <w:lang w:eastAsia="zh-CN"/>
              </w:rPr>
            </w:pPr>
            <w:r>
              <w:rPr>
                <w:spacing w:val="-1"/>
                <w:sz w:val="21"/>
                <w:szCs w:val="21"/>
                <w:lang w:eastAsia="zh-CN"/>
              </w:rPr>
              <w:t>生产场所有能满足生产和操作需要的自然采光或有防护的人工</w:t>
            </w:r>
            <w:r>
              <w:rPr>
                <w:rFonts w:hint="eastAsia"/>
                <w:spacing w:val="-1"/>
                <w:sz w:val="21"/>
                <w:szCs w:val="21"/>
                <w:lang w:eastAsia="zh-CN"/>
              </w:rPr>
              <w:t>照</w:t>
            </w:r>
            <w:r>
              <w:rPr>
                <w:spacing w:val="-1"/>
                <w:sz w:val="21"/>
                <w:szCs w:val="21"/>
                <w:lang w:eastAsia="zh-CN"/>
              </w:rPr>
              <w:t>明。</w:t>
            </w:r>
          </w:p>
        </w:tc>
      </w:tr>
      <w:tr w14:paraId="6FD7D8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trPr>
        <w:tc>
          <w:tcPr>
            <w:tcW w:w="694" w:type="dxa"/>
            <w:vMerge w:val="continue"/>
          </w:tcPr>
          <w:p w14:paraId="3C62B5D8">
            <w:pPr>
              <w:rPr>
                <w:rFonts w:ascii="Arial"/>
              </w:rPr>
            </w:pPr>
          </w:p>
        </w:tc>
        <w:tc>
          <w:tcPr>
            <w:tcW w:w="992" w:type="dxa"/>
            <w:vMerge w:val="continue"/>
            <w:vAlign w:val="center"/>
          </w:tcPr>
          <w:p w14:paraId="41E3560B">
            <w:pPr>
              <w:jc w:val="center"/>
              <w:rPr>
                <w:rFonts w:ascii="Arial"/>
              </w:rPr>
            </w:pPr>
          </w:p>
        </w:tc>
        <w:tc>
          <w:tcPr>
            <w:tcW w:w="1560" w:type="dxa"/>
            <w:vAlign w:val="center"/>
          </w:tcPr>
          <w:p w14:paraId="7CDCA8AA">
            <w:pPr>
              <w:pStyle w:val="230"/>
              <w:spacing w:before="33" w:line="220" w:lineRule="auto"/>
              <w:ind w:left="50"/>
              <w:jc w:val="center"/>
              <w:rPr>
                <w:spacing w:val="-1"/>
                <w:sz w:val="21"/>
                <w:szCs w:val="21"/>
              </w:rPr>
            </w:pPr>
            <w:r>
              <w:rPr>
                <w:spacing w:val="-1"/>
                <w:sz w:val="21"/>
                <w:szCs w:val="21"/>
              </w:rPr>
              <w:t>仓储设施</w:t>
            </w:r>
          </w:p>
        </w:tc>
        <w:tc>
          <w:tcPr>
            <w:tcW w:w="6134" w:type="dxa"/>
            <w:vAlign w:val="center"/>
          </w:tcPr>
          <w:p w14:paraId="167FB7A5">
            <w:pPr>
              <w:pStyle w:val="230"/>
              <w:spacing w:before="40" w:line="291" w:lineRule="auto"/>
              <w:ind w:right="38"/>
              <w:jc w:val="left"/>
              <w:rPr>
                <w:spacing w:val="-1"/>
                <w:sz w:val="21"/>
                <w:szCs w:val="21"/>
                <w:lang w:eastAsia="zh-CN"/>
              </w:rPr>
            </w:pPr>
            <w:r>
              <w:rPr>
                <w:spacing w:val="-1"/>
                <w:sz w:val="21"/>
                <w:szCs w:val="21"/>
                <w:lang w:eastAsia="zh-CN"/>
              </w:rPr>
              <w:t>具有与产品</w:t>
            </w:r>
            <w:r>
              <w:rPr>
                <w:rFonts w:hint="eastAsia"/>
                <w:spacing w:val="-1"/>
                <w:sz w:val="21"/>
                <w:szCs w:val="21"/>
                <w:lang w:eastAsia="zh-CN"/>
              </w:rPr>
              <w:t>数</w:t>
            </w:r>
            <w:r>
              <w:rPr>
                <w:spacing w:val="-1"/>
                <w:sz w:val="21"/>
                <w:szCs w:val="21"/>
                <w:lang w:eastAsia="zh-CN"/>
              </w:rPr>
              <w:t>量、贮存要求相适应的仓储设施</w:t>
            </w:r>
            <w:r>
              <w:rPr>
                <w:rFonts w:hint="eastAsia"/>
                <w:spacing w:val="-1"/>
                <w:sz w:val="21"/>
                <w:szCs w:val="21"/>
                <w:lang w:eastAsia="zh-CN"/>
              </w:rPr>
              <w:t>；</w:t>
            </w:r>
            <w:r>
              <w:rPr>
                <w:spacing w:val="-1"/>
                <w:sz w:val="21"/>
                <w:szCs w:val="21"/>
                <w:lang w:eastAsia="zh-CN"/>
              </w:rPr>
              <w:t>仓库应有防止虫害侵入的设施</w:t>
            </w:r>
            <w:r>
              <w:rPr>
                <w:rFonts w:hint="eastAsia"/>
                <w:spacing w:val="-1"/>
                <w:sz w:val="21"/>
                <w:szCs w:val="21"/>
                <w:lang w:eastAsia="zh-CN"/>
              </w:rPr>
              <w:t>；</w:t>
            </w:r>
            <w:r>
              <w:rPr>
                <w:spacing w:val="-1"/>
                <w:sz w:val="21"/>
                <w:szCs w:val="21"/>
                <w:lang w:eastAsia="zh-CN"/>
              </w:rPr>
              <w:t>原料、成品、包装材料等依据性质的不同分区域堆放，明确标识</w:t>
            </w:r>
            <w:r>
              <w:rPr>
                <w:rFonts w:hint="eastAsia"/>
                <w:spacing w:val="-1"/>
                <w:sz w:val="21"/>
                <w:szCs w:val="21"/>
                <w:lang w:eastAsia="zh-CN"/>
              </w:rPr>
              <w:t>。</w:t>
            </w:r>
          </w:p>
        </w:tc>
      </w:tr>
      <w:tr w14:paraId="09AA88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trPr>
        <w:tc>
          <w:tcPr>
            <w:tcW w:w="694" w:type="dxa"/>
            <w:vMerge w:val="continue"/>
          </w:tcPr>
          <w:p w14:paraId="3C558548">
            <w:pPr>
              <w:rPr>
                <w:rFonts w:ascii="Arial"/>
              </w:rPr>
            </w:pPr>
          </w:p>
        </w:tc>
        <w:tc>
          <w:tcPr>
            <w:tcW w:w="992" w:type="dxa"/>
            <w:vMerge w:val="continue"/>
            <w:vAlign w:val="center"/>
          </w:tcPr>
          <w:p w14:paraId="3A7A7ED5">
            <w:pPr>
              <w:jc w:val="center"/>
              <w:rPr>
                <w:rFonts w:ascii="Arial"/>
              </w:rPr>
            </w:pPr>
          </w:p>
        </w:tc>
        <w:tc>
          <w:tcPr>
            <w:tcW w:w="1560" w:type="dxa"/>
            <w:vAlign w:val="center"/>
          </w:tcPr>
          <w:p w14:paraId="6F169163">
            <w:pPr>
              <w:pStyle w:val="230"/>
              <w:spacing w:before="34" w:line="268" w:lineRule="auto"/>
              <w:ind w:left="32" w:right="48"/>
              <w:jc w:val="center"/>
              <w:rPr>
                <w:spacing w:val="-1"/>
                <w:sz w:val="21"/>
                <w:szCs w:val="21"/>
              </w:rPr>
            </w:pPr>
            <w:r>
              <w:rPr>
                <w:spacing w:val="-1"/>
                <w:sz w:val="21"/>
                <w:szCs w:val="21"/>
              </w:rPr>
              <w:t>温控设施</w:t>
            </w:r>
          </w:p>
        </w:tc>
        <w:tc>
          <w:tcPr>
            <w:tcW w:w="6134" w:type="dxa"/>
            <w:vAlign w:val="center"/>
          </w:tcPr>
          <w:p w14:paraId="299903A3">
            <w:pPr>
              <w:pStyle w:val="230"/>
              <w:spacing w:before="34" w:line="268" w:lineRule="auto"/>
              <w:ind w:right="48"/>
              <w:jc w:val="left"/>
              <w:rPr>
                <w:spacing w:val="-1"/>
                <w:sz w:val="21"/>
                <w:szCs w:val="21"/>
                <w:lang w:eastAsia="zh-CN"/>
              </w:rPr>
            </w:pPr>
            <w:r>
              <w:rPr>
                <w:spacing w:val="-1"/>
                <w:sz w:val="21"/>
                <w:szCs w:val="21"/>
                <w:lang w:eastAsia="zh-CN"/>
              </w:rPr>
              <w:t>应根据生产的需要，配备</w:t>
            </w:r>
            <w:r>
              <w:rPr>
                <w:rFonts w:hint="eastAsia"/>
                <w:spacing w:val="-1"/>
                <w:sz w:val="21"/>
                <w:szCs w:val="21"/>
                <w:lang w:eastAsia="zh-CN"/>
              </w:rPr>
              <w:t>适宜</w:t>
            </w:r>
            <w:r>
              <w:rPr>
                <w:spacing w:val="-1"/>
                <w:sz w:val="21"/>
                <w:szCs w:val="21"/>
                <w:lang w:eastAsia="zh-CN"/>
              </w:rPr>
              <w:t>的加热以及用于监测和控制温度、湿度的设施</w:t>
            </w:r>
            <w:r>
              <w:rPr>
                <w:rFonts w:hint="eastAsia"/>
                <w:spacing w:val="-1"/>
                <w:sz w:val="21"/>
                <w:szCs w:val="21"/>
                <w:lang w:eastAsia="zh-CN"/>
              </w:rPr>
              <w:t>。</w:t>
            </w:r>
          </w:p>
        </w:tc>
      </w:tr>
      <w:tr w14:paraId="67FD48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trPr>
        <w:tc>
          <w:tcPr>
            <w:tcW w:w="694" w:type="dxa"/>
            <w:vMerge w:val="continue"/>
          </w:tcPr>
          <w:p w14:paraId="50828FF2">
            <w:pPr>
              <w:rPr>
                <w:rFonts w:ascii="Arial"/>
              </w:rPr>
            </w:pPr>
          </w:p>
        </w:tc>
        <w:tc>
          <w:tcPr>
            <w:tcW w:w="992" w:type="dxa"/>
            <w:vMerge w:val="continue"/>
            <w:vAlign w:val="center"/>
          </w:tcPr>
          <w:p w14:paraId="77571B46">
            <w:pPr>
              <w:jc w:val="center"/>
              <w:rPr>
                <w:rFonts w:ascii="Arial"/>
              </w:rPr>
            </w:pPr>
          </w:p>
        </w:tc>
        <w:tc>
          <w:tcPr>
            <w:tcW w:w="1560" w:type="dxa"/>
            <w:vAlign w:val="center"/>
          </w:tcPr>
          <w:p w14:paraId="3A5AEC31">
            <w:pPr>
              <w:pStyle w:val="230"/>
              <w:spacing w:before="34" w:line="268" w:lineRule="auto"/>
              <w:ind w:left="32" w:right="48"/>
              <w:jc w:val="center"/>
              <w:rPr>
                <w:spacing w:val="-1"/>
                <w:sz w:val="21"/>
                <w:szCs w:val="21"/>
              </w:rPr>
            </w:pPr>
            <w:r>
              <w:rPr>
                <w:spacing w:val="-1"/>
                <w:sz w:val="21"/>
                <w:szCs w:val="21"/>
              </w:rPr>
              <w:t>废弃物存放设施</w:t>
            </w:r>
          </w:p>
        </w:tc>
        <w:tc>
          <w:tcPr>
            <w:tcW w:w="6134" w:type="dxa"/>
            <w:vAlign w:val="center"/>
          </w:tcPr>
          <w:p w14:paraId="384CCA49">
            <w:pPr>
              <w:pStyle w:val="230"/>
              <w:spacing w:before="34" w:line="268" w:lineRule="auto"/>
              <w:ind w:right="48"/>
              <w:jc w:val="left"/>
              <w:rPr>
                <w:spacing w:val="-1"/>
                <w:sz w:val="21"/>
                <w:szCs w:val="21"/>
                <w:lang w:eastAsia="zh-CN"/>
              </w:rPr>
            </w:pPr>
            <w:r>
              <w:rPr>
                <w:spacing w:val="-1"/>
                <w:sz w:val="21"/>
                <w:szCs w:val="21"/>
                <w:lang w:eastAsia="zh-CN"/>
              </w:rPr>
              <w:t>应配备带盖、防渗漏、易于清洁的废弃物存放专用设施：存放废弃物的设施和容器应标识清晰。</w:t>
            </w:r>
          </w:p>
        </w:tc>
      </w:tr>
      <w:tr w14:paraId="2956F1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2" w:hRule="atLeast"/>
        </w:trPr>
        <w:tc>
          <w:tcPr>
            <w:tcW w:w="694" w:type="dxa"/>
            <w:vMerge w:val="restart"/>
            <w:vAlign w:val="center"/>
          </w:tcPr>
          <w:p w14:paraId="1CCE1E38">
            <w:pPr>
              <w:pStyle w:val="231"/>
              <w:tabs>
                <w:tab w:val="clear" w:pos="4201"/>
              </w:tabs>
              <w:rPr>
                <w:rFonts w:ascii="宋体" w:hAnsi="宋体" w:eastAsia="宋体" w:cs="宋体"/>
              </w:rPr>
            </w:pPr>
            <w:r>
              <w:rPr>
                <w:rFonts w:hint="eastAsia" w:ascii="宋体" w:hAnsi="宋体" w:eastAsia="宋体" w:cs="宋体"/>
              </w:rPr>
              <w:t>3</w:t>
            </w:r>
          </w:p>
        </w:tc>
        <w:tc>
          <w:tcPr>
            <w:tcW w:w="992" w:type="dxa"/>
            <w:vMerge w:val="restart"/>
            <w:vAlign w:val="center"/>
          </w:tcPr>
          <w:p w14:paraId="1396ED6C">
            <w:pPr>
              <w:pStyle w:val="231"/>
              <w:tabs>
                <w:tab w:val="clear" w:pos="4201"/>
              </w:tabs>
              <w:rPr>
                <w:rFonts w:ascii="宋体" w:hAnsi="宋体" w:eastAsia="宋体" w:cs="宋体"/>
              </w:rPr>
            </w:pPr>
            <w:r>
              <w:rPr>
                <w:rFonts w:hint="eastAsia" w:ascii="宋体" w:hAnsi="宋体" w:eastAsia="宋体" w:cs="宋体"/>
              </w:rPr>
              <w:t>人员管理</w:t>
            </w:r>
          </w:p>
        </w:tc>
        <w:tc>
          <w:tcPr>
            <w:tcW w:w="1560" w:type="dxa"/>
            <w:vAlign w:val="center"/>
          </w:tcPr>
          <w:p w14:paraId="3D93D5E4">
            <w:pPr>
              <w:pStyle w:val="231"/>
              <w:tabs>
                <w:tab w:val="clear" w:pos="4201"/>
              </w:tabs>
              <w:rPr>
                <w:rFonts w:ascii="宋体" w:hAnsi="宋体" w:eastAsia="宋体" w:cs="宋体"/>
              </w:rPr>
            </w:pPr>
            <w:r>
              <w:rPr>
                <w:rFonts w:hint="eastAsia" w:ascii="宋体" w:hAnsi="宋体" w:eastAsia="宋体" w:cs="宋体"/>
              </w:rPr>
              <w:t>健康管理</w:t>
            </w:r>
          </w:p>
        </w:tc>
        <w:tc>
          <w:tcPr>
            <w:tcW w:w="6134" w:type="dxa"/>
            <w:vAlign w:val="center"/>
          </w:tcPr>
          <w:p w14:paraId="4DE40B9F">
            <w:pPr>
              <w:pStyle w:val="231"/>
              <w:tabs>
                <w:tab w:val="clear" w:pos="4201"/>
              </w:tabs>
              <w:jc w:val="left"/>
              <w:rPr>
                <w:rFonts w:ascii="宋体" w:hAnsi="宋体" w:eastAsia="宋体" w:cs="宋体"/>
              </w:rPr>
            </w:pPr>
            <w:r>
              <w:rPr>
                <w:rFonts w:hint="eastAsia" w:ascii="宋体" w:hAnsi="宋体" w:eastAsia="宋体" w:cs="宋体"/>
              </w:rPr>
              <w:t>生产人员应每年进行健康检查，取得健康证明后方可上岗工作；患有痢疾、伤寒、病毒性肝炎等消化道传染病，以及患有活动性肺结核、化脓性或者渗出性皮肤病等有碍食品安全的疾病，或有明显皮肤损伤未愈合的人员不得从事茶油生产工作。</w:t>
            </w:r>
          </w:p>
        </w:tc>
      </w:tr>
      <w:tr w14:paraId="5A261F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694" w:type="dxa"/>
            <w:vMerge w:val="continue"/>
            <w:vAlign w:val="center"/>
          </w:tcPr>
          <w:p w14:paraId="3BAC61E3">
            <w:pPr>
              <w:pStyle w:val="231"/>
              <w:tabs>
                <w:tab w:val="clear" w:pos="4201"/>
              </w:tabs>
              <w:rPr>
                <w:rFonts w:ascii="宋体" w:hAnsi="宋体" w:eastAsia="宋体" w:cs="宋体"/>
              </w:rPr>
            </w:pPr>
          </w:p>
        </w:tc>
        <w:tc>
          <w:tcPr>
            <w:tcW w:w="992" w:type="dxa"/>
            <w:vMerge w:val="continue"/>
            <w:vAlign w:val="center"/>
          </w:tcPr>
          <w:p w14:paraId="17A44B0C">
            <w:pPr>
              <w:pStyle w:val="231"/>
              <w:tabs>
                <w:tab w:val="clear" w:pos="4201"/>
              </w:tabs>
              <w:rPr>
                <w:rFonts w:ascii="宋体" w:hAnsi="宋体" w:eastAsia="宋体" w:cs="宋体"/>
              </w:rPr>
            </w:pPr>
          </w:p>
        </w:tc>
        <w:tc>
          <w:tcPr>
            <w:tcW w:w="1560" w:type="dxa"/>
            <w:vAlign w:val="center"/>
          </w:tcPr>
          <w:p w14:paraId="7467731A">
            <w:pPr>
              <w:pStyle w:val="231"/>
              <w:tabs>
                <w:tab w:val="clear" w:pos="4201"/>
              </w:tabs>
              <w:rPr>
                <w:rFonts w:ascii="宋体" w:hAnsi="宋体" w:eastAsia="宋体" w:cs="宋体"/>
              </w:rPr>
            </w:pPr>
            <w:r>
              <w:rPr>
                <w:rFonts w:hint="eastAsia" w:ascii="宋体" w:hAnsi="宋体" w:eastAsia="宋体" w:cs="宋体"/>
              </w:rPr>
              <w:t>人员卫生</w:t>
            </w:r>
          </w:p>
        </w:tc>
        <w:tc>
          <w:tcPr>
            <w:tcW w:w="6134" w:type="dxa"/>
            <w:vAlign w:val="center"/>
          </w:tcPr>
          <w:p w14:paraId="37FA2222">
            <w:pPr>
              <w:pStyle w:val="231"/>
              <w:tabs>
                <w:tab w:val="clear" w:pos="4201"/>
              </w:tabs>
              <w:jc w:val="left"/>
              <w:rPr>
                <w:rFonts w:ascii="宋体" w:hAnsi="宋体" w:eastAsia="宋体" w:cs="宋体"/>
              </w:rPr>
            </w:pPr>
            <w:r>
              <w:rPr>
                <w:rFonts w:hint="eastAsia" w:ascii="宋体" w:hAnsi="宋体" w:eastAsia="宋体" w:cs="宋体"/>
              </w:rPr>
              <w:t>生产人员进入生产区域应穿戴洁净的工作衣、帽；在操作前应洗净手部，操作过程中应保持手部清洁，手部受到污染后应及时洗手；使用卫生间、接触可能污染产品的物品，或从事与产品生产无关的其他活动后，再次从事产品生产相关活动，应洗手。</w:t>
            </w:r>
          </w:p>
        </w:tc>
      </w:tr>
      <w:tr w14:paraId="76CB56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694" w:type="dxa"/>
            <w:vMerge w:val="continue"/>
            <w:tcBorders>
              <w:bottom w:val="single" w:color="auto" w:sz="4" w:space="0"/>
            </w:tcBorders>
            <w:vAlign w:val="center"/>
          </w:tcPr>
          <w:p w14:paraId="68A46722">
            <w:pPr>
              <w:pStyle w:val="231"/>
              <w:tabs>
                <w:tab w:val="clear" w:pos="4201"/>
              </w:tabs>
              <w:rPr>
                <w:rFonts w:ascii="宋体" w:hAnsi="宋体" w:eastAsia="宋体" w:cs="宋体"/>
              </w:rPr>
            </w:pPr>
          </w:p>
        </w:tc>
        <w:tc>
          <w:tcPr>
            <w:tcW w:w="992" w:type="dxa"/>
            <w:vMerge w:val="continue"/>
            <w:tcBorders>
              <w:bottom w:val="single" w:color="auto" w:sz="4" w:space="0"/>
            </w:tcBorders>
            <w:vAlign w:val="center"/>
          </w:tcPr>
          <w:p w14:paraId="7A16965E">
            <w:pPr>
              <w:pStyle w:val="231"/>
              <w:tabs>
                <w:tab w:val="clear" w:pos="4201"/>
              </w:tabs>
              <w:rPr>
                <w:rFonts w:ascii="宋体" w:hAnsi="宋体" w:eastAsia="宋体" w:cs="宋体"/>
              </w:rPr>
            </w:pPr>
          </w:p>
        </w:tc>
        <w:tc>
          <w:tcPr>
            <w:tcW w:w="1560" w:type="dxa"/>
            <w:vAlign w:val="center"/>
          </w:tcPr>
          <w:p w14:paraId="1B4691A8">
            <w:pPr>
              <w:pStyle w:val="230"/>
              <w:spacing w:before="32" w:line="219" w:lineRule="auto"/>
              <w:ind w:left="51"/>
              <w:jc w:val="center"/>
              <w:rPr>
                <w:kern w:val="0"/>
                <w:sz w:val="21"/>
                <w:szCs w:val="20"/>
                <w:lang w:eastAsia="zh-CN"/>
              </w:rPr>
            </w:pPr>
            <w:r>
              <w:rPr>
                <w:rFonts w:hint="eastAsia"/>
                <w:kern w:val="0"/>
                <w:sz w:val="21"/>
                <w:szCs w:val="20"/>
                <w:lang w:eastAsia="zh-CN"/>
              </w:rPr>
              <w:t>培训管理</w:t>
            </w:r>
          </w:p>
        </w:tc>
        <w:tc>
          <w:tcPr>
            <w:tcW w:w="6134" w:type="dxa"/>
            <w:vAlign w:val="center"/>
          </w:tcPr>
          <w:p w14:paraId="40F25671">
            <w:pPr>
              <w:pStyle w:val="230"/>
              <w:spacing w:before="5" w:line="295" w:lineRule="auto"/>
              <w:ind w:right="50"/>
              <w:jc w:val="left"/>
              <w:rPr>
                <w:kern w:val="0"/>
                <w:sz w:val="21"/>
                <w:szCs w:val="20"/>
                <w:lang w:eastAsia="zh-CN"/>
              </w:rPr>
            </w:pPr>
            <w:r>
              <w:rPr>
                <w:rFonts w:hint="eastAsia"/>
                <w:kern w:val="0"/>
                <w:sz w:val="21"/>
                <w:szCs w:val="20"/>
                <w:lang w:eastAsia="zh-CN"/>
              </w:rPr>
              <w:t>管理人员、生产人员应当接受食品安全知识培训；检验人员应接受检验检测相关知识培训，并提供相关证明。</w:t>
            </w:r>
          </w:p>
        </w:tc>
      </w:tr>
      <w:tr w14:paraId="0FFC27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3" w:hRule="atLeast"/>
        </w:trPr>
        <w:tc>
          <w:tcPr>
            <w:tcW w:w="694" w:type="dxa"/>
            <w:vMerge w:val="restart"/>
            <w:tcBorders>
              <w:top w:val="single" w:color="auto" w:sz="4" w:space="0"/>
              <w:left w:val="single" w:color="auto" w:sz="4" w:space="0"/>
              <w:bottom w:val="single" w:color="auto" w:sz="4" w:space="0"/>
              <w:right w:val="single" w:color="auto" w:sz="4" w:space="0"/>
            </w:tcBorders>
            <w:vAlign w:val="center"/>
          </w:tcPr>
          <w:p w14:paraId="2551372A">
            <w:pPr>
              <w:pStyle w:val="231"/>
              <w:tabs>
                <w:tab w:val="clear" w:pos="4201"/>
              </w:tabs>
              <w:rPr>
                <w:rFonts w:ascii="宋体" w:hAnsi="宋体" w:eastAsia="宋体" w:cs="宋体"/>
              </w:rPr>
            </w:pPr>
            <w:r>
              <w:rPr>
                <w:rFonts w:hint="eastAsia" w:ascii="宋体" w:hAnsi="宋体" w:eastAsia="宋体" w:cs="宋体"/>
              </w:rPr>
              <w:t>4</w:t>
            </w: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59EEB11C">
            <w:pPr>
              <w:pStyle w:val="231"/>
              <w:tabs>
                <w:tab w:val="clear" w:pos="4201"/>
              </w:tabs>
              <w:rPr>
                <w:rFonts w:ascii="宋体" w:hAnsi="宋体" w:eastAsia="宋体" w:cs="宋体"/>
              </w:rPr>
            </w:pPr>
            <w:r>
              <w:rPr>
                <w:rFonts w:hint="eastAsia" w:ascii="宋体" w:hAnsi="宋体" w:eastAsia="宋体" w:cs="宋体"/>
              </w:rPr>
              <w:t>卫生管理</w:t>
            </w:r>
          </w:p>
        </w:tc>
        <w:tc>
          <w:tcPr>
            <w:tcW w:w="1560" w:type="dxa"/>
            <w:tcBorders>
              <w:left w:val="single" w:color="auto" w:sz="4" w:space="0"/>
            </w:tcBorders>
            <w:vAlign w:val="center"/>
          </w:tcPr>
          <w:p w14:paraId="07B41407">
            <w:pPr>
              <w:pStyle w:val="231"/>
              <w:tabs>
                <w:tab w:val="clear" w:pos="4201"/>
              </w:tabs>
              <w:rPr>
                <w:rFonts w:ascii="宋体" w:hAnsi="宋体" w:eastAsia="宋体" w:cs="宋体"/>
              </w:rPr>
            </w:pPr>
            <w:r>
              <w:rPr>
                <w:rFonts w:hint="eastAsia" w:ascii="宋体" w:hAnsi="宋体" w:eastAsia="宋体" w:cs="宋体"/>
              </w:rPr>
              <w:t>场所及设施卫生管理</w:t>
            </w:r>
          </w:p>
        </w:tc>
        <w:tc>
          <w:tcPr>
            <w:tcW w:w="6134" w:type="dxa"/>
            <w:vAlign w:val="center"/>
          </w:tcPr>
          <w:p w14:paraId="1DFA447D">
            <w:pPr>
              <w:pStyle w:val="231"/>
              <w:tabs>
                <w:tab w:val="clear" w:pos="4201"/>
              </w:tabs>
              <w:jc w:val="left"/>
              <w:rPr>
                <w:rFonts w:ascii="宋体" w:hAnsi="宋体" w:eastAsia="宋体" w:cs="宋体"/>
              </w:rPr>
            </w:pPr>
            <w:r>
              <w:rPr>
                <w:rFonts w:hint="eastAsia" w:ascii="宋体" w:hAnsi="宋体" w:eastAsia="宋体" w:cs="宋体"/>
              </w:rPr>
              <w:t>生产场所设施保持清洁、完好；生产场所内不得</w:t>
            </w:r>
            <w:bookmarkStart w:id="102" w:name="_GoBack"/>
            <w:r>
              <w:rPr>
                <w:rFonts w:hint="eastAsia" w:ascii="宋体" w:hAnsi="宋体" w:eastAsia="宋体" w:cs="宋体"/>
              </w:rPr>
              <w:t>放置与</w:t>
            </w:r>
            <w:bookmarkEnd w:id="102"/>
            <w:r>
              <w:rPr>
                <w:rFonts w:hint="eastAsia" w:ascii="宋体" w:hAnsi="宋体" w:eastAsia="宋体" w:cs="宋体"/>
              </w:rPr>
              <w:t>生产无关的物品；生产车间内每天产生的废弃物及时清理，废弃物容器及时清洗、消毒。</w:t>
            </w:r>
          </w:p>
        </w:tc>
      </w:tr>
      <w:tr w14:paraId="4D4C0D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4" w:hRule="atLeast"/>
        </w:trPr>
        <w:tc>
          <w:tcPr>
            <w:tcW w:w="694" w:type="dxa"/>
            <w:vMerge w:val="continue"/>
            <w:tcBorders>
              <w:top w:val="single" w:color="auto" w:sz="4" w:space="0"/>
              <w:left w:val="single" w:color="auto" w:sz="4" w:space="0"/>
              <w:bottom w:val="single" w:color="auto" w:sz="4" w:space="0"/>
              <w:right w:val="single" w:color="auto" w:sz="4" w:space="0"/>
            </w:tcBorders>
            <w:vAlign w:val="center"/>
          </w:tcPr>
          <w:p w14:paraId="68D13D05">
            <w:pPr>
              <w:pStyle w:val="231"/>
              <w:tabs>
                <w:tab w:val="clear" w:pos="4201"/>
              </w:tabs>
              <w:rPr>
                <w:rFonts w:ascii="宋体" w:hAnsi="宋体" w:eastAsia="宋体" w:cs="宋体"/>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277578A4">
            <w:pPr>
              <w:pStyle w:val="231"/>
              <w:tabs>
                <w:tab w:val="clear" w:pos="4201"/>
              </w:tabs>
              <w:rPr>
                <w:rFonts w:ascii="宋体" w:hAnsi="宋体" w:eastAsia="宋体" w:cs="宋体"/>
              </w:rPr>
            </w:pPr>
          </w:p>
        </w:tc>
        <w:tc>
          <w:tcPr>
            <w:tcW w:w="1560" w:type="dxa"/>
            <w:tcBorders>
              <w:left w:val="single" w:color="auto" w:sz="4" w:space="0"/>
            </w:tcBorders>
            <w:vAlign w:val="center"/>
          </w:tcPr>
          <w:p w14:paraId="52219D06">
            <w:pPr>
              <w:pStyle w:val="231"/>
              <w:tabs>
                <w:tab w:val="clear" w:pos="4201"/>
              </w:tabs>
              <w:rPr>
                <w:rFonts w:ascii="宋体" w:hAnsi="宋体" w:eastAsia="宋体" w:cs="宋体"/>
              </w:rPr>
            </w:pPr>
            <w:r>
              <w:rPr>
                <w:rFonts w:hint="eastAsia" w:ascii="宋体" w:hAnsi="宋体" w:eastAsia="宋体" w:cs="宋体"/>
              </w:rPr>
              <w:t>设备、工具和容器 卫生管理</w:t>
            </w:r>
          </w:p>
        </w:tc>
        <w:tc>
          <w:tcPr>
            <w:tcW w:w="6134" w:type="dxa"/>
            <w:vAlign w:val="center"/>
          </w:tcPr>
          <w:p w14:paraId="512E7AE5">
            <w:pPr>
              <w:pStyle w:val="231"/>
              <w:tabs>
                <w:tab w:val="clear" w:pos="4201"/>
              </w:tabs>
              <w:jc w:val="left"/>
              <w:rPr>
                <w:rFonts w:ascii="宋体" w:hAnsi="宋体" w:eastAsia="宋体" w:cs="宋体"/>
              </w:rPr>
            </w:pPr>
            <w:r>
              <w:rPr>
                <w:rFonts w:hint="eastAsia" w:ascii="宋体" w:hAnsi="宋体" w:eastAsia="宋体" w:cs="宋体"/>
              </w:rPr>
              <w:t>生产工具和容器应与家庭生活用品严格分开，不得混用，不得用作与产品生产无关的用途；直接与产品接触的设备、工具和容器使用后应清洁，必要时还应进行消毒；已清洁和消毒过的设备、工具和容器，应定位存放，避免再次受到污染。</w:t>
            </w:r>
          </w:p>
        </w:tc>
      </w:tr>
      <w:tr w14:paraId="7C60A5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8" w:hRule="atLeast"/>
        </w:trPr>
        <w:tc>
          <w:tcPr>
            <w:tcW w:w="694" w:type="dxa"/>
            <w:vMerge w:val="continue"/>
            <w:tcBorders>
              <w:top w:val="single" w:color="auto" w:sz="4" w:space="0"/>
              <w:left w:val="single" w:color="auto" w:sz="4" w:space="0"/>
              <w:bottom w:val="single" w:color="auto" w:sz="4" w:space="0"/>
              <w:right w:val="single" w:color="auto" w:sz="4" w:space="0"/>
            </w:tcBorders>
            <w:vAlign w:val="center"/>
          </w:tcPr>
          <w:p w14:paraId="2B7649DB">
            <w:pPr>
              <w:pStyle w:val="231"/>
              <w:tabs>
                <w:tab w:val="clear" w:pos="4201"/>
              </w:tabs>
              <w:rPr>
                <w:rFonts w:ascii="宋体" w:hAnsi="宋体" w:eastAsia="宋体" w:cs="宋体"/>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6AD5BEFC">
            <w:pPr>
              <w:pStyle w:val="231"/>
              <w:tabs>
                <w:tab w:val="clear" w:pos="4201"/>
              </w:tabs>
              <w:rPr>
                <w:rFonts w:ascii="宋体" w:hAnsi="宋体" w:eastAsia="宋体" w:cs="宋体"/>
              </w:rPr>
            </w:pPr>
          </w:p>
        </w:tc>
        <w:tc>
          <w:tcPr>
            <w:tcW w:w="1560" w:type="dxa"/>
            <w:tcBorders>
              <w:left w:val="single" w:color="auto" w:sz="4" w:space="0"/>
            </w:tcBorders>
            <w:vAlign w:val="center"/>
          </w:tcPr>
          <w:p w14:paraId="12E8E786">
            <w:pPr>
              <w:pStyle w:val="231"/>
              <w:tabs>
                <w:tab w:val="clear" w:pos="4201"/>
              </w:tabs>
              <w:rPr>
                <w:rFonts w:ascii="宋体" w:hAnsi="宋体" w:eastAsia="宋体" w:cs="宋体"/>
              </w:rPr>
            </w:pPr>
            <w:r>
              <w:rPr>
                <w:rFonts w:hint="eastAsia" w:ascii="宋体" w:hAnsi="宋体" w:eastAsia="宋体" w:cs="宋体"/>
              </w:rPr>
              <w:t>虫害控制</w:t>
            </w:r>
          </w:p>
        </w:tc>
        <w:tc>
          <w:tcPr>
            <w:tcW w:w="6134" w:type="dxa"/>
            <w:vAlign w:val="center"/>
          </w:tcPr>
          <w:p w14:paraId="5EF07353">
            <w:pPr>
              <w:pStyle w:val="231"/>
              <w:tabs>
                <w:tab w:val="clear" w:pos="4201"/>
              </w:tabs>
              <w:jc w:val="left"/>
              <w:rPr>
                <w:rFonts w:ascii="宋体" w:hAnsi="宋体" w:eastAsia="宋体" w:cs="宋体"/>
              </w:rPr>
            </w:pPr>
            <w:r>
              <w:rPr>
                <w:rFonts w:hint="eastAsia" w:ascii="宋体" w:hAnsi="宋体" w:eastAsia="宋体" w:cs="宋体"/>
              </w:rPr>
              <w:t>保持建筑物完好、环境整洁，采取有效措施防止鼠类、蚊、蝇、昆虫等有害动物侵入及滋生。</w:t>
            </w:r>
          </w:p>
        </w:tc>
      </w:tr>
      <w:tr w14:paraId="09AEFC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2" w:hRule="atLeast"/>
        </w:trPr>
        <w:tc>
          <w:tcPr>
            <w:tcW w:w="694" w:type="dxa"/>
            <w:vMerge w:val="restart"/>
            <w:tcBorders>
              <w:top w:val="single" w:color="auto" w:sz="4" w:space="0"/>
              <w:bottom w:val="nil"/>
            </w:tcBorders>
            <w:vAlign w:val="center"/>
          </w:tcPr>
          <w:p w14:paraId="07358D45">
            <w:pPr>
              <w:pStyle w:val="231"/>
              <w:tabs>
                <w:tab w:val="clear" w:pos="4201"/>
              </w:tabs>
              <w:rPr>
                <w:rFonts w:ascii="宋体" w:hAnsi="宋体" w:eastAsia="宋体" w:cs="宋体"/>
              </w:rPr>
            </w:pPr>
            <w:r>
              <w:rPr>
                <w:rFonts w:hint="eastAsia" w:ascii="宋体" w:hAnsi="宋体" w:eastAsia="宋体" w:cs="宋体"/>
              </w:rPr>
              <w:t>5</w:t>
            </w:r>
          </w:p>
        </w:tc>
        <w:tc>
          <w:tcPr>
            <w:tcW w:w="992" w:type="dxa"/>
            <w:vMerge w:val="restart"/>
            <w:tcBorders>
              <w:top w:val="single" w:color="auto" w:sz="4" w:space="0"/>
              <w:bottom w:val="nil"/>
            </w:tcBorders>
            <w:vAlign w:val="center"/>
          </w:tcPr>
          <w:p w14:paraId="3BD76D91">
            <w:pPr>
              <w:pStyle w:val="231"/>
              <w:tabs>
                <w:tab w:val="clear" w:pos="4201"/>
              </w:tabs>
              <w:rPr>
                <w:rFonts w:ascii="宋体" w:hAnsi="宋体" w:eastAsia="宋体" w:cs="宋体"/>
              </w:rPr>
            </w:pPr>
            <w:r>
              <w:rPr>
                <w:rFonts w:hint="eastAsia" w:ascii="宋体" w:hAnsi="宋体" w:eastAsia="宋体" w:cs="宋体"/>
              </w:rPr>
              <w:t>原辅料</w:t>
            </w:r>
          </w:p>
        </w:tc>
        <w:tc>
          <w:tcPr>
            <w:tcW w:w="1560" w:type="dxa"/>
            <w:vAlign w:val="center"/>
          </w:tcPr>
          <w:p w14:paraId="4B202775">
            <w:pPr>
              <w:pStyle w:val="231"/>
              <w:tabs>
                <w:tab w:val="clear" w:pos="4201"/>
              </w:tabs>
              <w:rPr>
                <w:rFonts w:ascii="宋体" w:hAnsi="宋体" w:eastAsia="宋体" w:cs="宋体"/>
              </w:rPr>
            </w:pPr>
            <w:r>
              <w:rPr>
                <w:rFonts w:hint="eastAsia" w:ascii="宋体" w:hAnsi="宋体" w:eastAsia="宋体" w:cs="宋体"/>
              </w:rPr>
              <w:t>符合性</w:t>
            </w:r>
          </w:p>
          <w:p w14:paraId="166C1CE2">
            <w:pPr>
              <w:pStyle w:val="231"/>
              <w:tabs>
                <w:tab w:val="clear" w:pos="4201"/>
              </w:tabs>
              <w:rPr>
                <w:rFonts w:ascii="宋体" w:hAnsi="宋体" w:eastAsia="宋体" w:cs="宋体"/>
              </w:rPr>
            </w:pPr>
            <w:r>
              <w:rPr>
                <w:rFonts w:hint="eastAsia" w:ascii="宋体" w:hAnsi="宋体" w:eastAsia="宋体" w:cs="宋体"/>
              </w:rPr>
              <w:t>规定</w:t>
            </w:r>
          </w:p>
        </w:tc>
        <w:tc>
          <w:tcPr>
            <w:tcW w:w="6134" w:type="dxa"/>
            <w:vAlign w:val="center"/>
          </w:tcPr>
          <w:p w14:paraId="7766A223">
            <w:pPr>
              <w:pStyle w:val="231"/>
              <w:tabs>
                <w:tab w:val="clear" w:pos="4201"/>
              </w:tabs>
              <w:jc w:val="left"/>
              <w:rPr>
                <w:rFonts w:ascii="宋体" w:hAnsi="宋体" w:eastAsia="宋体" w:cs="宋体"/>
              </w:rPr>
            </w:pPr>
            <w:r>
              <w:rPr>
                <w:rFonts w:hint="eastAsia" w:ascii="宋体" w:hAnsi="宋体" w:eastAsia="宋体" w:cs="宋体"/>
              </w:rPr>
              <w:t>采购和使用符合食品安全标准的原辅料和食品相关产品，不得使用非食用物质、非食品原料，不得使用变质或超过保质期的原辅料，食品添加剂和食品相关产品。</w:t>
            </w:r>
          </w:p>
        </w:tc>
      </w:tr>
      <w:tr w14:paraId="17E205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5" w:hRule="atLeast"/>
        </w:trPr>
        <w:tc>
          <w:tcPr>
            <w:tcW w:w="694" w:type="dxa"/>
            <w:vMerge w:val="continue"/>
            <w:tcBorders>
              <w:top w:val="nil"/>
              <w:bottom w:val="nil"/>
            </w:tcBorders>
            <w:vAlign w:val="center"/>
          </w:tcPr>
          <w:p w14:paraId="282551CC">
            <w:pPr>
              <w:pStyle w:val="231"/>
              <w:tabs>
                <w:tab w:val="clear" w:pos="4201"/>
              </w:tabs>
              <w:rPr>
                <w:rFonts w:ascii="宋体" w:hAnsi="宋体" w:eastAsia="宋体" w:cs="宋体"/>
              </w:rPr>
            </w:pPr>
          </w:p>
        </w:tc>
        <w:tc>
          <w:tcPr>
            <w:tcW w:w="992" w:type="dxa"/>
            <w:vMerge w:val="continue"/>
            <w:tcBorders>
              <w:top w:val="nil"/>
              <w:bottom w:val="nil"/>
            </w:tcBorders>
            <w:vAlign w:val="center"/>
          </w:tcPr>
          <w:p w14:paraId="71F2BE54">
            <w:pPr>
              <w:pStyle w:val="231"/>
              <w:tabs>
                <w:tab w:val="clear" w:pos="4201"/>
              </w:tabs>
              <w:rPr>
                <w:rFonts w:ascii="宋体" w:hAnsi="宋体" w:eastAsia="宋体" w:cs="宋体"/>
              </w:rPr>
            </w:pPr>
          </w:p>
        </w:tc>
        <w:tc>
          <w:tcPr>
            <w:tcW w:w="1560" w:type="dxa"/>
            <w:vAlign w:val="center"/>
          </w:tcPr>
          <w:p w14:paraId="344EE389">
            <w:pPr>
              <w:pStyle w:val="231"/>
              <w:tabs>
                <w:tab w:val="clear" w:pos="4201"/>
              </w:tabs>
              <w:rPr>
                <w:rFonts w:ascii="宋体" w:hAnsi="宋体" w:eastAsia="宋体" w:cs="宋体"/>
              </w:rPr>
            </w:pPr>
            <w:r>
              <w:rPr>
                <w:rFonts w:hint="eastAsia" w:ascii="宋体" w:hAnsi="宋体" w:eastAsia="宋体" w:cs="宋体"/>
              </w:rPr>
              <w:t>进货查验</w:t>
            </w:r>
          </w:p>
        </w:tc>
        <w:tc>
          <w:tcPr>
            <w:tcW w:w="6134" w:type="dxa"/>
            <w:vAlign w:val="center"/>
          </w:tcPr>
          <w:p w14:paraId="39DFB57D">
            <w:pPr>
              <w:pStyle w:val="231"/>
              <w:tabs>
                <w:tab w:val="clear" w:pos="4201"/>
              </w:tabs>
              <w:jc w:val="left"/>
              <w:rPr>
                <w:rFonts w:ascii="宋体" w:hAnsi="宋体" w:eastAsia="宋体" w:cs="宋体"/>
              </w:rPr>
            </w:pPr>
            <w:r>
              <w:rPr>
                <w:rFonts w:hint="eastAsia" w:ascii="宋体" w:hAnsi="宋体" w:eastAsia="宋体" w:cs="宋体"/>
              </w:rPr>
              <w:t>采购原辅料、食品添加剂和食品相关产品应进行进货查验，查验油茶籽是否有质变、霉变等情况，索取进货查验台账等相关材料。</w:t>
            </w:r>
          </w:p>
        </w:tc>
      </w:tr>
      <w:tr w14:paraId="47882D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2" w:hRule="atLeast"/>
        </w:trPr>
        <w:tc>
          <w:tcPr>
            <w:tcW w:w="694" w:type="dxa"/>
            <w:vMerge w:val="continue"/>
            <w:tcBorders>
              <w:top w:val="nil"/>
              <w:bottom w:val="nil"/>
            </w:tcBorders>
            <w:vAlign w:val="center"/>
          </w:tcPr>
          <w:p w14:paraId="2D25AA5E">
            <w:pPr>
              <w:pStyle w:val="231"/>
              <w:tabs>
                <w:tab w:val="clear" w:pos="4201"/>
              </w:tabs>
              <w:rPr>
                <w:rFonts w:ascii="宋体" w:hAnsi="宋体" w:eastAsia="宋体" w:cs="宋体"/>
              </w:rPr>
            </w:pPr>
          </w:p>
        </w:tc>
        <w:tc>
          <w:tcPr>
            <w:tcW w:w="992" w:type="dxa"/>
            <w:vMerge w:val="continue"/>
            <w:tcBorders>
              <w:top w:val="nil"/>
              <w:bottom w:val="nil"/>
            </w:tcBorders>
            <w:vAlign w:val="center"/>
          </w:tcPr>
          <w:p w14:paraId="2A3987CF">
            <w:pPr>
              <w:pStyle w:val="231"/>
              <w:tabs>
                <w:tab w:val="clear" w:pos="4201"/>
              </w:tabs>
              <w:rPr>
                <w:rFonts w:ascii="宋体" w:hAnsi="宋体" w:eastAsia="宋体" w:cs="宋体"/>
              </w:rPr>
            </w:pPr>
          </w:p>
        </w:tc>
        <w:tc>
          <w:tcPr>
            <w:tcW w:w="1560" w:type="dxa"/>
            <w:vAlign w:val="center"/>
          </w:tcPr>
          <w:p w14:paraId="7FAC1564">
            <w:pPr>
              <w:pStyle w:val="231"/>
              <w:tabs>
                <w:tab w:val="clear" w:pos="4201"/>
              </w:tabs>
              <w:rPr>
                <w:rFonts w:ascii="宋体" w:hAnsi="宋体" w:eastAsia="宋体" w:cs="宋体"/>
              </w:rPr>
            </w:pPr>
            <w:r>
              <w:rPr>
                <w:rFonts w:hint="eastAsia" w:ascii="宋体" w:hAnsi="宋体" w:eastAsia="宋体" w:cs="宋体"/>
              </w:rPr>
              <w:t>定期检查</w:t>
            </w:r>
          </w:p>
        </w:tc>
        <w:tc>
          <w:tcPr>
            <w:tcW w:w="6134" w:type="dxa"/>
            <w:vAlign w:val="center"/>
          </w:tcPr>
          <w:p w14:paraId="732F8513">
            <w:pPr>
              <w:pStyle w:val="231"/>
              <w:tabs>
                <w:tab w:val="clear" w:pos="4201"/>
              </w:tabs>
              <w:jc w:val="left"/>
              <w:rPr>
                <w:rFonts w:ascii="宋体" w:hAnsi="宋体" w:eastAsia="宋体" w:cs="宋体"/>
              </w:rPr>
            </w:pPr>
            <w:r>
              <w:rPr>
                <w:rFonts w:hint="eastAsia" w:ascii="宋体" w:hAnsi="宋体" w:eastAsia="宋体" w:cs="宋体"/>
              </w:rPr>
              <w:t>定期检查原料、食品相关产品的质量和卫生情况；及时清理变质或超过保质期的产品；仓库出货顺序宜遵循先进先出的原则。</w:t>
            </w:r>
          </w:p>
        </w:tc>
      </w:tr>
      <w:tr w14:paraId="546CFB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694" w:type="dxa"/>
            <w:vMerge w:val="continue"/>
            <w:tcBorders>
              <w:top w:val="nil"/>
              <w:bottom w:val="single" w:color="auto" w:sz="4" w:space="0"/>
            </w:tcBorders>
            <w:vAlign w:val="center"/>
          </w:tcPr>
          <w:p w14:paraId="62342D6B">
            <w:pPr>
              <w:pStyle w:val="231"/>
              <w:tabs>
                <w:tab w:val="clear" w:pos="4201"/>
              </w:tabs>
              <w:rPr>
                <w:rFonts w:ascii="宋体" w:hAnsi="宋体" w:eastAsia="宋体" w:cs="宋体"/>
              </w:rPr>
            </w:pPr>
          </w:p>
        </w:tc>
        <w:tc>
          <w:tcPr>
            <w:tcW w:w="992" w:type="dxa"/>
            <w:vMerge w:val="continue"/>
            <w:tcBorders>
              <w:top w:val="nil"/>
              <w:bottom w:val="single" w:color="auto" w:sz="4" w:space="0"/>
            </w:tcBorders>
            <w:vAlign w:val="center"/>
          </w:tcPr>
          <w:p w14:paraId="6A89D5B3">
            <w:pPr>
              <w:pStyle w:val="231"/>
              <w:tabs>
                <w:tab w:val="clear" w:pos="4201"/>
              </w:tabs>
              <w:rPr>
                <w:rFonts w:ascii="宋体" w:hAnsi="宋体" w:eastAsia="宋体" w:cs="宋体"/>
              </w:rPr>
            </w:pPr>
          </w:p>
        </w:tc>
        <w:tc>
          <w:tcPr>
            <w:tcW w:w="1560" w:type="dxa"/>
            <w:tcBorders>
              <w:bottom w:val="single" w:color="auto" w:sz="4" w:space="0"/>
            </w:tcBorders>
            <w:vAlign w:val="center"/>
          </w:tcPr>
          <w:p w14:paraId="37631A0C">
            <w:pPr>
              <w:pStyle w:val="231"/>
              <w:tabs>
                <w:tab w:val="clear" w:pos="4201"/>
              </w:tabs>
              <w:rPr>
                <w:rFonts w:ascii="宋体" w:hAnsi="宋体" w:eastAsia="宋体" w:cs="宋体"/>
              </w:rPr>
            </w:pPr>
            <w:r>
              <w:rPr>
                <w:rFonts w:hint="eastAsia" w:ascii="宋体" w:hAnsi="宋体" w:eastAsia="宋体" w:cs="宋体"/>
              </w:rPr>
              <w:t>专人管理</w:t>
            </w:r>
          </w:p>
        </w:tc>
        <w:tc>
          <w:tcPr>
            <w:tcW w:w="6134" w:type="dxa"/>
            <w:vAlign w:val="center"/>
          </w:tcPr>
          <w:p w14:paraId="54BD7BEE">
            <w:pPr>
              <w:pStyle w:val="231"/>
              <w:tabs>
                <w:tab w:val="clear" w:pos="4201"/>
              </w:tabs>
              <w:jc w:val="left"/>
              <w:rPr>
                <w:rFonts w:ascii="宋体" w:hAnsi="宋体" w:eastAsia="宋体" w:cs="宋体"/>
              </w:rPr>
            </w:pPr>
            <w:r>
              <w:rPr>
                <w:rFonts w:hint="eastAsia" w:ascii="宋体" w:hAnsi="宋体" w:eastAsia="宋体" w:cs="宋体"/>
              </w:rPr>
              <w:t>食品添加剂的储存应有专人管理；有固定的场所(或橱柜)储存食品添加剂，并标识“食品添加剂”字样，盛装容器上应标明食品添加剂名称。</w:t>
            </w:r>
          </w:p>
        </w:tc>
      </w:tr>
      <w:tr w14:paraId="5D22F1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8" w:hRule="atLeast"/>
        </w:trPr>
        <w:tc>
          <w:tcPr>
            <w:tcW w:w="694" w:type="dxa"/>
            <w:vMerge w:val="restart"/>
            <w:tcBorders>
              <w:top w:val="single" w:color="auto" w:sz="4" w:space="0"/>
              <w:left w:val="single" w:color="auto" w:sz="4" w:space="0"/>
              <w:bottom w:val="single" w:color="auto" w:sz="4" w:space="0"/>
              <w:right w:val="single" w:color="auto" w:sz="4" w:space="0"/>
            </w:tcBorders>
            <w:vAlign w:val="center"/>
          </w:tcPr>
          <w:p w14:paraId="30A909C8">
            <w:pPr>
              <w:pStyle w:val="231"/>
              <w:tabs>
                <w:tab w:val="clear" w:pos="4201"/>
              </w:tabs>
              <w:rPr>
                <w:rFonts w:ascii="宋体" w:hAnsi="宋体" w:eastAsia="宋体" w:cs="宋体"/>
              </w:rPr>
            </w:pPr>
            <w:r>
              <w:rPr>
                <w:rFonts w:hint="eastAsia" w:ascii="宋体" w:hAnsi="宋体" w:eastAsia="宋体" w:cs="宋体"/>
              </w:rPr>
              <w:t>6</w:t>
            </w: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08767B1A">
            <w:pPr>
              <w:pStyle w:val="231"/>
              <w:tabs>
                <w:tab w:val="clear" w:pos="4201"/>
              </w:tabs>
              <w:rPr>
                <w:rFonts w:ascii="宋体" w:hAnsi="宋体" w:eastAsia="宋体" w:cs="宋体"/>
              </w:rPr>
            </w:pPr>
            <w:r>
              <w:rPr>
                <w:rFonts w:hint="eastAsia" w:ascii="宋体" w:hAnsi="宋体" w:eastAsia="宋体" w:cs="宋体"/>
              </w:rPr>
              <w:t>生产控制</w:t>
            </w:r>
          </w:p>
        </w:tc>
        <w:tc>
          <w:tcPr>
            <w:tcW w:w="1560" w:type="dxa"/>
            <w:tcBorders>
              <w:top w:val="single" w:color="auto" w:sz="4" w:space="0"/>
              <w:left w:val="single" w:color="auto" w:sz="4" w:space="0"/>
              <w:bottom w:val="single" w:color="auto" w:sz="4" w:space="0"/>
              <w:right w:val="single" w:color="auto" w:sz="4" w:space="0"/>
            </w:tcBorders>
            <w:vAlign w:val="center"/>
          </w:tcPr>
          <w:p w14:paraId="10D26421">
            <w:pPr>
              <w:pStyle w:val="231"/>
              <w:tabs>
                <w:tab w:val="clear" w:pos="4201"/>
              </w:tabs>
              <w:rPr>
                <w:rFonts w:ascii="宋体" w:hAnsi="宋体" w:eastAsia="宋体" w:cs="宋体"/>
              </w:rPr>
            </w:pPr>
            <w:r>
              <w:rPr>
                <w:rFonts w:hint="eastAsia" w:ascii="宋体" w:hAnsi="宋体" w:eastAsia="宋体" w:cs="宋体"/>
              </w:rPr>
              <w:t>生物污染控制</w:t>
            </w:r>
          </w:p>
        </w:tc>
        <w:tc>
          <w:tcPr>
            <w:tcW w:w="6134" w:type="dxa"/>
            <w:tcBorders>
              <w:left w:val="single" w:color="auto" w:sz="4" w:space="0"/>
            </w:tcBorders>
            <w:vAlign w:val="center"/>
          </w:tcPr>
          <w:p w14:paraId="3250B13B">
            <w:pPr>
              <w:pStyle w:val="231"/>
              <w:tabs>
                <w:tab w:val="clear" w:pos="4201"/>
              </w:tabs>
              <w:jc w:val="left"/>
              <w:rPr>
                <w:rFonts w:ascii="宋体" w:hAnsi="宋体" w:eastAsia="宋体" w:cs="宋体"/>
              </w:rPr>
            </w:pPr>
            <w:r>
              <w:rPr>
                <w:rFonts w:hint="eastAsia" w:ascii="宋体" w:hAnsi="宋体" w:eastAsia="宋体" w:cs="宋体"/>
              </w:rPr>
              <w:t>针对生产设备和环境实施清洁消毒，对关键控制环节进行安全控制，并降低微生物污染的风险。</w:t>
            </w:r>
          </w:p>
        </w:tc>
      </w:tr>
      <w:tr w14:paraId="739D2A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5" w:hRule="atLeast"/>
        </w:trPr>
        <w:tc>
          <w:tcPr>
            <w:tcW w:w="694" w:type="dxa"/>
            <w:vMerge w:val="continue"/>
            <w:tcBorders>
              <w:top w:val="single" w:color="auto" w:sz="4" w:space="0"/>
              <w:left w:val="single" w:color="auto" w:sz="4" w:space="0"/>
              <w:bottom w:val="single" w:color="auto" w:sz="4" w:space="0"/>
              <w:right w:val="single" w:color="auto" w:sz="4" w:space="0"/>
            </w:tcBorders>
            <w:vAlign w:val="center"/>
          </w:tcPr>
          <w:p w14:paraId="2EBC4EC8">
            <w:pPr>
              <w:pStyle w:val="231"/>
              <w:tabs>
                <w:tab w:val="clear" w:pos="4201"/>
              </w:tabs>
              <w:jc w:val="both"/>
              <w:rPr>
                <w:rFonts w:ascii="宋体" w:hAnsi="宋体" w:eastAsia="宋体" w:cs="宋体"/>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7BC8D740">
            <w:pPr>
              <w:pStyle w:val="231"/>
              <w:tabs>
                <w:tab w:val="clear" w:pos="4201"/>
              </w:tabs>
              <w:rPr>
                <w:rFonts w:ascii="宋体" w:hAnsi="宋体" w:eastAsia="宋体" w:cs="宋体"/>
              </w:rPr>
            </w:pPr>
          </w:p>
        </w:tc>
        <w:tc>
          <w:tcPr>
            <w:tcW w:w="1560" w:type="dxa"/>
            <w:tcBorders>
              <w:top w:val="single" w:color="auto" w:sz="4" w:space="0"/>
              <w:left w:val="single" w:color="auto" w:sz="4" w:space="0"/>
              <w:bottom w:val="single" w:color="auto" w:sz="4" w:space="0"/>
              <w:right w:val="single" w:color="auto" w:sz="4" w:space="0"/>
            </w:tcBorders>
            <w:vAlign w:val="center"/>
          </w:tcPr>
          <w:p w14:paraId="5AB85964">
            <w:pPr>
              <w:pStyle w:val="231"/>
              <w:tabs>
                <w:tab w:val="clear" w:pos="4201"/>
              </w:tabs>
              <w:rPr>
                <w:rFonts w:ascii="宋体" w:hAnsi="宋体" w:eastAsia="宋体" w:cs="宋体"/>
              </w:rPr>
            </w:pPr>
            <w:r>
              <w:rPr>
                <w:rFonts w:hint="eastAsia" w:ascii="宋体" w:hAnsi="宋体" w:eastAsia="宋体" w:cs="宋体"/>
              </w:rPr>
              <w:t>化学污染控制</w:t>
            </w:r>
          </w:p>
        </w:tc>
        <w:tc>
          <w:tcPr>
            <w:tcW w:w="6134" w:type="dxa"/>
            <w:tcBorders>
              <w:left w:val="single" w:color="auto" w:sz="4" w:space="0"/>
            </w:tcBorders>
            <w:vAlign w:val="center"/>
          </w:tcPr>
          <w:p w14:paraId="7A1E66DF">
            <w:pPr>
              <w:pStyle w:val="231"/>
              <w:tabs>
                <w:tab w:val="clear" w:pos="4201"/>
              </w:tabs>
              <w:jc w:val="left"/>
              <w:rPr>
                <w:rFonts w:ascii="宋体" w:hAnsi="宋体" w:eastAsia="宋体" w:cs="宋体"/>
              </w:rPr>
            </w:pPr>
            <w:r>
              <w:rPr>
                <w:rFonts w:hint="eastAsia" w:ascii="宋体" w:hAnsi="宋体" w:eastAsia="宋体" w:cs="宋体"/>
              </w:rPr>
              <w:t>不得在生产场所使用和存放与生产无关的化学制剂，洗涤剂、消毒剂妥善保管使用，避免污染产品。</w:t>
            </w:r>
          </w:p>
        </w:tc>
      </w:tr>
      <w:tr w14:paraId="7B35FF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8" w:hRule="atLeast"/>
        </w:trPr>
        <w:tc>
          <w:tcPr>
            <w:tcW w:w="694" w:type="dxa"/>
            <w:vMerge w:val="continue"/>
            <w:tcBorders>
              <w:top w:val="single" w:color="auto" w:sz="4" w:space="0"/>
              <w:left w:val="single" w:color="auto" w:sz="4" w:space="0"/>
              <w:bottom w:val="single" w:color="auto" w:sz="4" w:space="0"/>
              <w:right w:val="single" w:color="auto" w:sz="4" w:space="0"/>
            </w:tcBorders>
            <w:vAlign w:val="center"/>
          </w:tcPr>
          <w:p w14:paraId="587D1D9D">
            <w:pPr>
              <w:pStyle w:val="231"/>
              <w:tabs>
                <w:tab w:val="clear" w:pos="4201"/>
              </w:tabs>
              <w:jc w:val="both"/>
              <w:rPr>
                <w:rFonts w:ascii="宋体" w:hAnsi="宋体" w:eastAsia="宋体" w:cs="宋体"/>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6238E216">
            <w:pPr>
              <w:pStyle w:val="231"/>
              <w:tabs>
                <w:tab w:val="clear" w:pos="4201"/>
              </w:tabs>
              <w:rPr>
                <w:rFonts w:ascii="宋体" w:hAnsi="宋体" w:eastAsia="宋体" w:cs="宋体"/>
              </w:rPr>
            </w:pPr>
          </w:p>
        </w:tc>
        <w:tc>
          <w:tcPr>
            <w:tcW w:w="1560" w:type="dxa"/>
            <w:tcBorders>
              <w:top w:val="single" w:color="auto" w:sz="4" w:space="0"/>
              <w:left w:val="single" w:color="auto" w:sz="4" w:space="0"/>
              <w:bottom w:val="single" w:color="auto" w:sz="4" w:space="0"/>
              <w:right w:val="single" w:color="auto" w:sz="4" w:space="0"/>
            </w:tcBorders>
            <w:vAlign w:val="center"/>
          </w:tcPr>
          <w:p w14:paraId="6B2FDB71">
            <w:pPr>
              <w:pStyle w:val="231"/>
              <w:tabs>
                <w:tab w:val="clear" w:pos="4201"/>
              </w:tabs>
              <w:rPr>
                <w:rFonts w:ascii="宋体" w:hAnsi="宋体" w:eastAsia="宋体" w:cs="宋体"/>
              </w:rPr>
            </w:pPr>
            <w:r>
              <w:rPr>
                <w:rFonts w:hint="eastAsia" w:ascii="宋体" w:hAnsi="宋体" w:eastAsia="宋体" w:cs="宋体"/>
              </w:rPr>
              <w:t>物理污染控制</w:t>
            </w:r>
          </w:p>
        </w:tc>
        <w:tc>
          <w:tcPr>
            <w:tcW w:w="6134" w:type="dxa"/>
            <w:tcBorders>
              <w:left w:val="single" w:color="auto" w:sz="4" w:space="0"/>
            </w:tcBorders>
            <w:vAlign w:val="center"/>
          </w:tcPr>
          <w:p w14:paraId="19EE8D35">
            <w:pPr>
              <w:pStyle w:val="231"/>
              <w:tabs>
                <w:tab w:val="clear" w:pos="4201"/>
              </w:tabs>
              <w:jc w:val="left"/>
              <w:rPr>
                <w:rFonts w:ascii="宋体" w:hAnsi="宋体" w:eastAsia="宋体" w:cs="宋体"/>
              </w:rPr>
            </w:pPr>
            <w:r>
              <w:rPr>
                <w:rFonts w:hint="eastAsia" w:ascii="宋体" w:hAnsi="宋体" w:eastAsia="宋体" w:cs="宋体"/>
              </w:rPr>
              <w:t>采取有效的控制措施，最大程度地降低产品受到塑料制品等污染的风险。</w:t>
            </w:r>
          </w:p>
        </w:tc>
      </w:tr>
      <w:tr w14:paraId="5B9F7B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8" w:hRule="atLeast"/>
        </w:trPr>
        <w:tc>
          <w:tcPr>
            <w:tcW w:w="694" w:type="dxa"/>
            <w:vMerge w:val="restart"/>
            <w:tcBorders>
              <w:top w:val="single" w:color="auto" w:sz="4" w:space="0"/>
              <w:left w:val="single" w:color="auto" w:sz="4" w:space="0"/>
              <w:bottom w:val="single" w:color="auto" w:sz="4" w:space="0"/>
            </w:tcBorders>
            <w:vAlign w:val="center"/>
          </w:tcPr>
          <w:p w14:paraId="2B25863D">
            <w:pPr>
              <w:pStyle w:val="231"/>
              <w:tabs>
                <w:tab w:val="clear" w:pos="4201"/>
              </w:tabs>
              <w:rPr>
                <w:rFonts w:ascii="宋体" w:hAnsi="宋体" w:eastAsia="宋体" w:cs="宋体"/>
              </w:rPr>
            </w:pPr>
            <w:r>
              <w:rPr>
                <w:rFonts w:hint="eastAsia" w:ascii="宋体" w:hAnsi="宋体" w:eastAsia="宋体" w:cs="宋体"/>
              </w:rPr>
              <w:t>7</w:t>
            </w:r>
          </w:p>
        </w:tc>
        <w:tc>
          <w:tcPr>
            <w:tcW w:w="992" w:type="dxa"/>
            <w:vMerge w:val="restart"/>
            <w:tcBorders>
              <w:top w:val="single" w:color="auto" w:sz="4" w:space="0"/>
              <w:bottom w:val="single" w:color="auto" w:sz="4" w:space="0"/>
              <w:right w:val="single" w:color="auto" w:sz="4" w:space="0"/>
            </w:tcBorders>
            <w:vAlign w:val="center"/>
          </w:tcPr>
          <w:p w14:paraId="09CD1287">
            <w:pPr>
              <w:pStyle w:val="231"/>
              <w:tabs>
                <w:tab w:val="clear" w:pos="4201"/>
              </w:tabs>
              <w:rPr>
                <w:rFonts w:ascii="宋体" w:hAnsi="宋体" w:eastAsia="宋体" w:cs="宋体"/>
              </w:rPr>
            </w:pPr>
            <w:r>
              <w:rPr>
                <w:rFonts w:hint="eastAsia" w:ascii="宋体" w:hAnsi="宋体" w:eastAsia="宋体" w:cs="宋体"/>
              </w:rPr>
              <w:t>产品检验</w:t>
            </w:r>
          </w:p>
        </w:tc>
        <w:tc>
          <w:tcPr>
            <w:tcW w:w="1560" w:type="dxa"/>
            <w:tcBorders>
              <w:top w:val="single" w:color="auto" w:sz="4" w:space="0"/>
              <w:left w:val="single" w:color="auto" w:sz="4" w:space="0"/>
            </w:tcBorders>
            <w:vAlign w:val="center"/>
          </w:tcPr>
          <w:p w14:paraId="12E054F8">
            <w:pPr>
              <w:pStyle w:val="231"/>
              <w:tabs>
                <w:tab w:val="clear" w:pos="4201"/>
              </w:tabs>
              <w:rPr>
                <w:rFonts w:ascii="宋体" w:hAnsi="宋体" w:eastAsia="宋体" w:cs="宋体"/>
              </w:rPr>
            </w:pPr>
            <w:r>
              <w:rPr>
                <w:rFonts w:hint="eastAsia" w:ascii="宋体" w:hAnsi="宋体" w:eastAsia="宋体" w:cs="宋体"/>
              </w:rPr>
              <w:t>出厂检验</w:t>
            </w:r>
          </w:p>
        </w:tc>
        <w:tc>
          <w:tcPr>
            <w:tcW w:w="6134" w:type="dxa"/>
            <w:vAlign w:val="center"/>
          </w:tcPr>
          <w:p w14:paraId="231F9B33">
            <w:pPr>
              <w:pStyle w:val="231"/>
              <w:tabs>
                <w:tab w:val="clear" w:pos="4201"/>
              </w:tabs>
              <w:jc w:val="left"/>
              <w:rPr>
                <w:rFonts w:ascii="宋体" w:hAnsi="宋体" w:eastAsia="宋体" w:cs="宋体"/>
              </w:rPr>
            </w:pPr>
            <w:r>
              <w:rPr>
                <w:rFonts w:hint="eastAsia" w:ascii="宋体" w:hAnsi="宋体" w:eastAsia="宋体" w:cs="宋体"/>
              </w:rPr>
              <w:t>应对每批次茶油色泽、气味、滋味、酸价、过氧化值进行检验，检验合格后方可出厂。</w:t>
            </w:r>
          </w:p>
        </w:tc>
      </w:tr>
      <w:tr w14:paraId="688C0A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2" w:hRule="atLeast"/>
        </w:trPr>
        <w:tc>
          <w:tcPr>
            <w:tcW w:w="694" w:type="dxa"/>
            <w:vMerge w:val="continue"/>
            <w:tcBorders>
              <w:top w:val="single" w:color="auto" w:sz="4" w:space="0"/>
              <w:left w:val="single" w:color="auto" w:sz="4" w:space="0"/>
              <w:bottom w:val="single" w:color="auto" w:sz="4" w:space="0"/>
            </w:tcBorders>
            <w:vAlign w:val="center"/>
          </w:tcPr>
          <w:p w14:paraId="2B232286">
            <w:pPr>
              <w:pStyle w:val="231"/>
              <w:tabs>
                <w:tab w:val="clear" w:pos="4201"/>
              </w:tabs>
              <w:jc w:val="both"/>
              <w:rPr>
                <w:rFonts w:ascii="宋体" w:hAnsi="宋体" w:eastAsia="宋体" w:cs="宋体"/>
              </w:rPr>
            </w:pPr>
          </w:p>
        </w:tc>
        <w:tc>
          <w:tcPr>
            <w:tcW w:w="992" w:type="dxa"/>
            <w:vMerge w:val="continue"/>
            <w:tcBorders>
              <w:top w:val="single" w:color="auto" w:sz="4" w:space="0"/>
              <w:bottom w:val="single" w:color="auto" w:sz="4" w:space="0"/>
              <w:right w:val="single" w:color="auto" w:sz="4" w:space="0"/>
            </w:tcBorders>
            <w:vAlign w:val="center"/>
          </w:tcPr>
          <w:p w14:paraId="55FB80A2">
            <w:pPr>
              <w:pStyle w:val="231"/>
              <w:tabs>
                <w:tab w:val="clear" w:pos="4201"/>
              </w:tabs>
              <w:rPr>
                <w:rFonts w:ascii="宋体" w:hAnsi="宋体" w:eastAsia="宋体" w:cs="宋体"/>
              </w:rPr>
            </w:pPr>
          </w:p>
        </w:tc>
        <w:tc>
          <w:tcPr>
            <w:tcW w:w="1560" w:type="dxa"/>
            <w:tcBorders>
              <w:left w:val="single" w:color="auto" w:sz="4" w:space="0"/>
              <w:bottom w:val="single" w:color="auto" w:sz="4" w:space="0"/>
            </w:tcBorders>
            <w:vAlign w:val="center"/>
          </w:tcPr>
          <w:p w14:paraId="5F1CF4BF">
            <w:pPr>
              <w:pStyle w:val="231"/>
              <w:tabs>
                <w:tab w:val="clear" w:pos="4201"/>
              </w:tabs>
              <w:rPr>
                <w:rFonts w:ascii="宋体" w:hAnsi="宋体" w:eastAsia="宋体" w:cs="宋体"/>
              </w:rPr>
            </w:pPr>
            <w:r>
              <w:rPr>
                <w:rFonts w:hint="eastAsia" w:ascii="宋体" w:hAnsi="宋体" w:eastAsia="宋体" w:cs="宋体"/>
              </w:rPr>
              <w:t>委托检验</w:t>
            </w:r>
          </w:p>
        </w:tc>
        <w:tc>
          <w:tcPr>
            <w:tcW w:w="6134" w:type="dxa"/>
            <w:vAlign w:val="center"/>
          </w:tcPr>
          <w:p w14:paraId="2D6E305E">
            <w:pPr>
              <w:pStyle w:val="231"/>
              <w:tabs>
                <w:tab w:val="clear" w:pos="4201"/>
              </w:tabs>
              <w:jc w:val="left"/>
              <w:rPr>
                <w:rFonts w:ascii="宋体" w:hAnsi="宋体" w:eastAsia="宋体" w:cs="宋体"/>
              </w:rPr>
            </w:pPr>
            <w:r>
              <w:rPr>
                <w:rFonts w:hint="eastAsia" w:ascii="宋体" w:hAnsi="宋体" w:eastAsia="宋体" w:cs="宋体"/>
              </w:rPr>
              <w:t>申报前应提供产品全项目检验合格报告；应委托具备法定资质的检验检测机构对产品按照GB/T 11765进行检验，每年不少于2批次。</w:t>
            </w:r>
          </w:p>
        </w:tc>
      </w:tr>
      <w:tr w14:paraId="41DCA5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2" w:hRule="atLeast"/>
        </w:trPr>
        <w:tc>
          <w:tcPr>
            <w:tcW w:w="694" w:type="dxa"/>
            <w:tcBorders>
              <w:top w:val="single" w:color="auto" w:sz="4" w:space="0"/>
              <w:left w:val="single" w:color="auto" w:sz="4" w:space="0"/>
              <w:bottom w:val="single" w:color="auto" w:sz="4" w:space="0"/>
              <w:right w:val="single" w:color="auto" w:sz="4" w:space="0"/>
            </w:tcBorders>
            <w:vAlign w:val="center"/>
          </w:tcPr>
          <w:p w14:paraId="4936FD64">
            <w:pPr>
              <w:pStyle w:val="230"/>
              <w:spacing w:before="32" w:line="183" w:lineRule="auto"/>
              <w:ind w:left="65"/>
              <w:jc w:val="center"/>
              <w:rPr>
                <w:sz w:val="21"/>
                <w:szCs w:val="21"/>
                <w:lang w:eastAsia="zh-CN"/>
              </w:rPr>
            </w:pPr>
            <w:r>
              <w:rPr>
                <w:sz w:val="21"/>
                <w:szCs w:val="21"/>
              </w:rPr>
              <w:t>8</w:t>
            </w:r>
          </w:p>
        </w:tc>
        <w:tc>
          <w:tcPr>
            <w:tcW w:w="2552" w:type="dxa"/>
            <w:gridSpan w:val="2"/>
            <w:tcBorders>
              <w:top w:val="single" w:color="auto" w:sz="4" w:space="0"/>
              <w:left w:val="single" w:color="auto" w:sz="4" w:space="0"/>
              <w:bottom w:val="single" w:color="auto" w:sz="4" w:space="0"/>
              <w:right w:val="single" w:color="auto" w:sz="4" w:space="0"/>
            </w:tcBorders>
            <w:vAlign w:val="center"/>
          </w:tcPr>
          <w:p w14:paraId="75B6D7FE">
            <w:pPr>
              <w:pStyle w:val="230"/>
              <w:spacing w:before="41" w:line="290" w:lineRule="auto"/>
              <w:ind w:left="2" w:firstLine="29"/>
              <w:jc w:val="center"/>
              <w:rPr>
                <w:spacing w:val="-3"/>
                <w:sz w:val="21"/>
                <w:szCs w:val="21"/>
                <w:lang w:eastAsia="zh-CN"/>
              </w:rPr>
            </w:pPr>
            <w:r>
              <w:rPr>
                <w:spacing w:val="-3"/>
                <w:sz w:val="21"/>
                <w:szCs w:val="21"/>
              </w:rPr>
              <w:t>标签</w:t>
            </w:r>
          </w:p>
        </w:tc>
        <w:tc>
          <w:tcPr>
            <w:tcW w:w="6134" w:type="dxa"/>
            <w:tcBorders>
              <w:left w:val="single" w:color="auto" w:sz="4" w:space="0"/>
            </w:tcBorders>
            <w:vAlign w:val="center"/>
          </w:tcPr>
          <w:p w14:paraId="5DB3832F">
            <w:pPr>
              <w:pStyle w:val="230"/>
              <w:spacing w:before="41" w:line="290" w:lineRule="auto"/>
              <w:ind w:left="2"/>
              <w:jc w:val="left"/>
              <w:rPr>
                <w:sz w:val="21"/>
                <w:szCs w:val="21"/>
                <w:lang w:eastAsia="zh-CN"/>
              </w:rPr>
            </w:pPr>
            <w:r>
              <w:rPr>
                <w:spacing w:val="1"/>
                <w:sz w:val="21"/>
                <w:szCs w:val="21"/>
                <w:lang w:eastAsia="zh-CN"/>
              </w:rPr>
              <w:t>应在包装上如实标明产品名称、</w:t>
            </w:r>
            <w:r>
              <w:rPr>
                <w:spacing w:val="-1"/>
                <w:sz w:val="21"/>
                <w:szCs w:val="21"/>
                <w:lang w:eastAsia="zh-CN"/>
              </w:rPr>
              <w:t>主要成分或者配料、小作坊名称</w:t>
            </w:r>
            <w:r>
              <w:rPr>
                <w:rFonts w:hint="eastAsia"/>
                <w:spacing w:val="-1"/>
                <w:sz w:val="21"/>
                <w:szCs w:val="21"/>
                <w:lang w:eastAsia="zh-CN"/>
              </w:rPr>
              <w:t>、</w:t>
            </w:r>
            <w:r>
              <w:rPr>
                <w:spacing w:val="-1"/>
                <w:sz w:val="21"/>
                <w:szCs w:val="21"/>
                <w:lang w:eastAsia="zh-CN"/>
              </w:rPr>
              <w:t>地址、登记证名称和编号、生产</w:t>
            </w:r>
            <w:r>
              <w:rPr>
                <w:spacing w:val="-3"/>
                <w:sz w:val="21"/>
                <w:szCs w:val="21"/>
                <w:lang w:eastAsia="zh-CN"/>
              </w:rPr>
              <w:t>日期、保质期和联系方式等内容</w:t>
            </w:r>
            <w:r>
              <w:rPr>
                <w:rFonts w:hint="eastAsia"/>
                <w:spacing w:val="-3"/>
                <w:sz w:val="21"/>
                <w:szCs w:val="21"/>
                <w:lang w:eastAsia="zh-CN"/>
              </w:rPr>
              <w:t>，</w:t>
            </w:r>
            <w:r>
              <w:rPr>
                <w:spacing w:val="-1"/>
                <w:sz w:val="21"/>
                <w:szCs w:val="21"/>
                <w:lang w:eastAsia="zh-CN"/>
              </w:rPr>
              <w:t>并按照规定在显著位置标明“作</w:t>
            </w:r>
            <w:r>
              <w:rPr>
                <w:spacing w:val="-3"/>
                <w:sz w:val="21"/>
                <w:szCs w:val="21"/>
                <w:lang w:eastAsia="zh-CN"/>
              </w:rPr>
              <w:t>坊食品”字样。</w:t>
            </w:r>
          </w:p>
        </w:tc>
      </w:tr>
      <w:tr w14:paraId="6F3326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39" w:hRule="atLeast"/>
        </w:trPr>
        <w:tc>
          <w:tcPr>
            <w:tcW w:w="694" w:type="dxa"/>
            <w:tcBorders>
              <w:top w:val="single" w:color="auto" w:sz="4" w:space="0"/>
            </w:tcBorders>
            <w:vAlign w:val="center"/>
          </w:tcPr>
          <w:p w14:paraId="76A8019B">
            <w:pPr>
              <w:pStyle w:val="230"/>
              <w:spacing w:before="41" w:line="290" w:lineRule="auto"/>
              <w:ind w:left="2" w:firstLine="29"/>
              <w:jc w:val="center"/>
              <w:rPr>
                <w:spacing w:val="-3"/>
                <w:sz w:val="21"/>
                <w:szCs w:val="21"/>
              </w:rPr>
            </w:pPr>
            <w:r>
              <w:rPr>
                <w:spacing w:val="-3"/>
                <w:sz w:val="21"/>
                <w:szCs w:val="21"/>
              </w:rPr>
              <w:t>9</w:t>
            </w:r>
          </w:p>
        </w:tc>
        <w:tc>
          <w:tcPr>
            <w:tcW w:w="2552" w:type="dxa"/>
            <w:gridSpan w:val="2"/>
            <w:tcBorders>
              <w:top w:val="single" w:color="auto" w:sz="4" w:space="0"/>
            </w:tcBorders>
            <w:vAlign w:val="center"/>
          </w:tcPr>
          <w:p w14:paraId="6DA3DE1F">
            <w:pPr>
              <w:pStyle w:val="230"/>
              <w:spacing w:before="41" w:line="290" w:lineRule="auto"/>
              <w:ind w:left="2" w:firstLine="29"/>
              <w:jc w:val="center"/>
              <w:rPr>
                <w:spacing w:val="-3"/>
                <w:sz w:val="21"/>
                <w:szCs w:val="21"/>
              </w:rPr>
            </w:pPr>
            <w:r>
              <w:rPr>
                <w:spacing w:val="-3"/>
                <w:sz w:val="21"/>
                <w:szCs w:val="21"/>
              </w:rPr>
              <w:t>包装储存</w:t>
            </w:r>
          </w:p>
        </w:tc>
        <w:tc>
          <w:tcPr>
            <w:tcW w:w="6134" w:type="dxa"/>
            <w:vAlign w:val="center"/>
          </w:tcPr>
          <w:p w14:paraId="369123A0">
            <w:pPr>
              <w:pStyle w:val="230"/>
              <w:spacing w:before="201" w:line="286" w:lineRule="auto"/>
              <w:ind w:right="38"/>
              <w:jc w:val="left"/>
              <w:rPr>
                <w:sz w:val="21"/>
                <w:szCs w:val="21"/>
                <w:lang w:eastAsia="zh-CN"/>
              </w:rPr>
            </w:pPr>
            <w:r>
              <w:rPr>
                <w:spacing w:val="-1"/>
                <w:sz w:val="21"/>
                <w:szCs w:val="21"/>
                <w:lang w:eastAsia="zh-CN"/>
              </w:rPr>
              <w:t>选择适宜的贮存和运输条件；不得将产品与有毒、有害或有异味的物品一同贮存；定期检查仓储</w:t>
            </w:r>
            <w:r>
              <w:rPr>
                <w:sz w:val="21"/>
                <w:szCs w:val="21"/>
                <w:lang w:eastAsia="zh-CN"/>
              </w:rPr>
              <w:t>食品，发现异常及时处理。</w:t>
            </w:r>
          </w:p>
        </w:tc>
      </w:tr>
    </w:tbl>
    <w:p w14:paraId="2A55DD2C">
      <w:pPr>
        <w:pStyle w:val="56"/>
        <w:ind w:firstLine="420"/>
      </w:pPr>
    </w:p>
    <w:p w14:paraId="6E6E68E8">
      <w:pPr>
        <w:pStyle w:val="56"/>
        <w:ind w:firstLine="420"/>
      </w:pPr>
    </w:p>
    <w:p w14:paraId="7180AFE0">
      <w:pPr>
        <w:pStyle w:val="56"/>
        <w:ind w:firstLine="420"/>
      </w:pPr>
    </w:p>
    <w:p w14:paraId="2F2D3B35">
      <w:pPr>
        <w:pStyle w:val="56"/>
        <w:ind w:firstLine="420"/>
      </w:pPr>
    </w:p>
    <w:p w14:paraId="7426FEE0">
      <w:pPr>
        <w:pStyle w:val="56"/>
        <w:ind w:firstLine="420"/>
      </w:pPr>
    </w:p>
    <w:bookmarkEnd w:id="90"/>
    <w:p w14:paraId="307A1CFE">
      <w:pPr>
        <w:pStyle w:val="56"/>
        <w:ind w:firstLine="420"/>
        <w:sectPr>
          <w:pgSz w:w="11906" w:h="16838"/>
          <w:pgMar w:top="1928" w:right="1134" w:bottom="1134" w:left="1134" w:header="1418" w:footer="1134" w:gutter="284"/>
          <w:cols w:space="425" w:num="1"/>
          <w:formProt w:val="0"/>
          <w:docGrid w:type="lines" w:linePitch="312" w:charSpace="0"/>
        </w:sectPr>
      </w:pPr>
      <w:bookmarkStart w:id="97" w:name="BookMark6"/>
    </w:p>
    <w:p w14:paraId="021F3662">
      <w:pPr>
        <w:pStyle w:val="63"/>
        <w:spacing w:after="156"/>
      </w:pPr>
      <w:bookmarkStart w:id="98" w:name="_Toc178600839"/>
      <w:bookmarkStart w:id="99" w:name="_Toc178600857"/>
      <w:bookmarkStart w:id="100" w:name="_Toc179530450"/>
      <w:r>
        <w:rPr>
          <w:rFonts w:hint="eastAsia"/>
          <w:spacing w:val="105"/>
        </w:rPr>
        <w:t>参考文</w:t>
      </w:r>
      <w:r>
        <w:rPr>
          <w:rFonts w:hint="eastAsia"/>
        </w:rPr>
        <w:t>献</w:t>
      </w:r>
      <w:bookmarkEnd w:id="98"/>
      <w:bookmarkEnd w:id="99"/>
      <w:bookmarkEnd w:id="100"/>
    </w:p>
    <w:p w14:paraId="06C045F8">
      <w:pPr>
        <w:pStyle w:val="56"/>
        <w:ind w:firstLine="420"/>
      </w:pPr>
    </w:p>
    <w:p w14:paraId="0B320050">
      <w:pPr>
        <w:pStyle w:val="56"/>
        <w:ind w:firstLine="420"/>
      </w:pPr>
    </w:p>
    <w:p w14:paraId="07B23008">
      <w:pPr>
        <w:pStyle w:val="56"/>
        <w:ind w:firstLine="420"/>
      </w:pPr>
      <w:r>
        <w:rPr>
          <w:rFonts w:hint="eastAsia"/>
        </w:rPr>
        <w:t>[</w:t>
      </w:r>
      <w:r>
        <w:t>1]</w:t>
      </w:r>
      <w:r>
        <w:rPr>
          <w:rFonts w:hint="eastAsia"/>
        </w:rPr>
        <w:t>《江西省推动油茶</w:t>
      </w:r>
      <w:r>
        <w:t>产业</w:t>
      </w:r>
      <w:r>
        <w:rPr>
          <w:rFonts w:hint="eastAsia"/>
        </w:rPr>
        <w:t>高质量</w:t>
      </w:r>
      <w:r>
        <w:t>发展三年行动（</w:t>
      </w:r>
      <w:r>
        <w:rPr>
          <w:rFonts w:hint="eastAsia"/>
        </w:rPr>
        <w:t>2023-2025年</w:t>
      </w:r>
      <w:r>
        <w:t>）</w:t>
      </w:r>
      <w:r>
        <w:rPr>
          <w:rFonts w:hint="eastAsia"/>
        </w:rPr>
        <w:t>》</w:t>
      </w:r>
    </w:p>
    <w:p w14:paraId="33E20571">
      <w:pPr>
        <w:pStyle w:val="56"/>
        <w:ind w:firstLine="420"/>
      </w:pPr>
      <w:r>
        <w:t>[2]</w:t>
      </w:r>
      <w:r>
        <w:rPr>
          <w:rFonts w:hint="eastAsia"/>
        </w:rPr>
        <w:t>《江西省</w:t>
      </w:r>
      <w:r>
        <w:rPr>
          <w:rFonts w:ascii="Times New Roman"/>
        </w:rPr>
        <w:t>食品小作坊小餐饮小食杂店小摊贩管理条例</w:t>
      </w:r>
      <w:r>
        <w:rPr>
          <w:rFonts w:hint="eastAsia"/>
        </w:rPr>
        <w:t>》</w:t>
      </w:r>
    </w:p>
    <w:p w14:paraId="222F6620">
      <w:pPr>
        <w:pStyle w:val="56"/>
        <w:ind w:firstLine="420"/>
      </w:pPr>
      <w:r>
        <w:t xml:space="preserve">[3]DB36/T 1281  </w:t>
      </w:r>
      <w:r>
        <w:rPr>
          <w:rFonts w:hint="eastAsia"/>
        </w:rPr>
        <w:t>食品</w:t>
      </w:r>
      <w:r>
        <w:t>小作坊</w:t>
      </w:r>
      <w:r>
        <w:rPr>
          <w:rFonts w:hint="eastAsia"/>
        </w:rPr>
        <w:t>示范点评价规范</w:t>
      </w:r>
    </w:p>
    <w:bookmarkEnd w:id="97"/>
    <w:p w14:paraId="0552DA01">
      <w:pPr>
        <w:pStyle w:val="56"/>
        <w:ind w:firstLine="0" w:firstLineChars="0"/>
        <w:jc w:val="center"/>
      </w:pPr>
      <w:bookmarkStart w:id="101" w:name="BookMark8"/>
      <w:r>
        <w:rPr>
          <w:rFonts w:hint="eastAsia"/>
        </w:rPr>
        <w:drawing>
          <wp:inline distT="0" distB="0" distL="0" distR="0">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01"/>
    </w:p>
    <w:sectPr>
      <w:pgSz w:w="11906" w:h="16838"/>
      <w:pgMar w:top="1928" w:right="1134" w:bottom="1134" w:left="1134" w:header="1418" w:footer="1134" w:gutter="284"/>
      <w:cols w:space="425"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等线">
    <w:altName w:val="微软雅黑"/>
    <w:panose1 w:val="02010600030101010101"/>
    <w:charset w:val="86"/>
    <w:family w:val="auto"/>
    <w:pitch w:val="default"/>
    <w:sig w:usb0="00000000" w:usb1="00000000" w:usb2="00000016" w:usb3="00000000" w:csb0="0004000F" w:csb1="00000000"/>
  </w:font>
  <w:font w:name="DengXian">
    <w:altName w:val="Segoe Print"/>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4C4A23">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284479">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CCF0FA">
    <w:pPr>
      <w:pStyle w:val="52"/>
    </w:pPr>
    <w:r>
      <w:fldChar w:fldCharType="begin"/>
    </w:r>
    <w:r>
      <w:instrText xml:space="preserve">PAGE   \* MERGEFORMAT</w:instrText>
    </w:r>
    <w:r>
      <w:fldChar w:fldCharType="separate"/>
    </w:r>
    <w:r>
      <w:rPr>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9CCE35">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23EF17">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51B796">
    <w:pPr>
      <w:pStyle w:val="61"/>
    </w:pPr>
    <w:r>
      <w:fldChar w:fldCharType="begin"/>
    </w:r>
    <w:r>
      <w:instrText xml:space="preserve"> STYLEREF  标准文件_文件编号  \* MERGEFORMAT </w:instrText>
    </w:r>
    <w:r>
      <w:fldChar w:fldCharType="separate"/>
    </w:r>
    <w:r>
      <w:t>DB 36/T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284E33">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36/T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tXdK/9Az3XwECPMTaE/hQgLBmbzJ39GTc9p/gxC+s2kkicw5GApI5y+BkgYO+s2tpKUxpU6rgL1gexikwMbvJA==" w:salt="KXWTmLsk+wmLnP1lbZbY5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494A"/>
    <w:rsid w:val="0000040A"/>
    <w:rsid w:val="00000A94"/>
    <w:rsid w:val="00001972"/>
    <w:rsid w:val="00001D9A"/>
    <w:rsid w:val="00007B3A"/>
    <w:rsid w:val="000107E0"/>
    <w:rsid w:val="00011FDE"/>
    <w:rsid w:val="00012FFD"/>
    <w:rsid w:val="00014162"/>
    <w:rsid w:val="00014340"/>
    <w:rsid w:val="00016A9C"/>
    <w:rsid w:val="0002018F"/>
    <w:rsid w:val="00021B28"/>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6B9C"/>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7A5"/>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4035"/>
    <w:rsid w:val="00156B25"/>
    <w:rsid w:val="00156E1A"/>
    <w:rsid w:val="00157894"/>
    <w:rsid w:val="00157B55"/>
    <w:rsid w:val="001614A1"/>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0C3A"/>
    <w:rsid w:val="001913C4"/>
    <w:rsid w:val="0019348F"/>
    <w:rsid w:val="00193558"/>
    <w:rsid w:val="00193A07"/>
    <w:rsid w:val="00194C95"/>
    <w:rsid w:val="00195C34"/>
    <w:rsid w:val="00196EF5"/>
    <w:rsid w:val="001A1A53"/>
    <w:rsid w:val="001A234A"/>
    <w:rsid w:val="001A4CF3"/>
    <w:rsid w:val="001B06E8"/>
    <w:rsid w:val="001B71D0"/>
    <w:rsid w:val="001B71EE"/>
    <w:rsid w:val="001C04A8"/>
    <w:rsid w:val="001C063D"/>
    <w:rsid w:val="001C2C03"/>
    <w:rsid w:val="001C42F7"/>
    <w:rsid w:val="001C49E5"/>
    <w:rsid w:val="001C680C"/>
    <w:rsid w:val="001C7FEA"/>
    <w:rsid w:val="001D0499"/>
    <w:rsid w:val="001D0BBE"/>
    <w:rsid w:val="001D0ED4"/>
    <w:rsid w:val="001D212F"/>
    <w:rsid w:val="001D29D7"/>
    <w:rsid w:val="001D2DE7"/>
    <w:rsid w:val="001D411C"/>
    <w:rsid w:val="001D587E"/>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269"/>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85DCE"/>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6A36"/>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5FA"/>
    <w:rsid w:val="00322E62"/>
    <w:rsid w:val="00324D13"/>
    <w:rsid w:val="00324D2A"/>
    <w:rsid w:val="00324EDD"/>
    <w:rsid w:val="003331E4"/>
    <w:rsid w:val="00336C64"/>
    <w:rsid w:val="00337162"/>
    <w:rsid w:val="0034194F"/>
    <w:rsid w:val="00343E69"/>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0BE4"/>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513"/>
    <w:rsid w:val="004167A3"/>
    <w:rsid w:val="00432DAA"/>
    <w:rsid w:val="00434305"/>
    <w:rsid w:val="00435DF7"/>
    <w:rsid w:val="0044083F"/>
    <w:rsid w:val="00441AE7"/>
    <w:rsid w:val="00445574"/>
    <w:rsid w:val="004467FB"/>
    <w:rsid w:val="00450D7A"/>
    <w:rsid w:val="00452D6B"/>
    <w:rsid w:val="00454484"/>
    <w:rsid w:val="0045517B"/>
    <w:rsid w:val="00463B77"/>
    <w:rsid w:val="00463C7B"/>
    <w:rsid w:val="004644A6"/>
    <w:rsid w:val="004659BD"/>
    <w:rsid w:val="00470775"/>
    <w:rsid w:val="004746B1"/>
    <w:rsid w:val="0047583F"/>
    <w:rsid w:val="00475DE8"/>
    <w:rsid w:val="004763B2"/>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0A91"/>
    <w:rsid w:val="00512F6E"/>
    <w:rsid w:val="00513038"/>
    <w:rsid w:val="00514174"/>
    <w:rsid w:val="00516088"/>
    <w:rsid w:val="00516B0B"/>
    <w:rsid w:val="005220EC"/>
    <w:rsid w:val="00523F95"/>
    <w:rsid w:val="00524D65"/>
    <w:rsid w:val="00525B16"/>
    <w:rsid w:val="00533D04"/>
    <w:rsid w:val="005345EB"/>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77349"/>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2B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1EF4"/>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2708"/>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6F20"/>
    <w:rsid w:val="006770F4"/>
    <w:rsid w:val="00677A84"/>
    <w:rsid w:val="0068026D"/>
    <w:rsid w:val="00680A27"/>
    <w:rsid w:val="006816A4"/>
    <w:rsid w:val="006819B8"/>
    <w:rsid w:val="006840A6"/>
    <w:rsid w:val="006850CD"/>
    <w:rsid w:val="00685AAB"/>
    <w:rsid w:val="00695D22"/>
    <w:rsid w:val="00697483"/>
    <w:rsid w:val="006A07AA"/>
    <w:rsid w:val="006A25E5"/>
    <w:rsid w:val="006A2B46"/>
    <w:rsid w:val="006A336D"/>
    <w:rsid w:val="006A37B9"/>
    <w:rsid w:val="006B2672"/>
    <w:rsid w:val="006B54BF"/>
    <w:rsid w:val="006B5F44"/>
    <w:rsid w:val="006B5F90"/>
    <w:rsid w:val="006B62E4"/>
    <w:rsid w:val="006C1BBA"/>
    <w:rsid w:val="006C2079"/>
    <w:rsid w:val="006C5A1C"/>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278"/>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647"/>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4854"/>
    <w:rsid w:val="00A06A6B"/>
    <w:rsid w:val="00A07E47"/>
    <w:rsid w:val="00A129D0"/>
    <w:rsid w:val="00A12C33"/>
    <w:rsid w:val="00A138BA"/>
    <w:rsid w:val="00A14C8E"/>
    <w:rsid w:val="00A153D9"/>
    <w:rsid w:val="00A15661"/>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1B64"/>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2DD"/>
    <w:rsid w:val="00AF0C18"/>
    <w:rsid w:val="00AF47C5"/>
    <w:rsid w:val="00AF5398"/>
    <w:rsid w:val="00B049AF"/>
    <w:rsid w:val="00B07242"/>
    <w:rsid w:val="00B10534"/>
    <w:rsid w:val="00B113DB"/>
    <w:rsid w:val="00B11D8A"/>
    <w:rsid w:val="00B12981"/>
    <w:rsid w:val="00B13C0A"/>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3465"/>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36F06"/>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494A"/>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311B"/>
    <w:rsid w:val="00CD4092"/>
    <w:rsid w:val="00CD4A20"/>
    <w:rsid w:val="00CD50A1"/>
    <w:rsid w:val="00CD519E"/>
    <w:rsid w:val="00CD561D"/>
    <w:rsid w:val="00CE0C4F"/>
    <w:rsid w:val="00CE22C9"/>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4F24"/>
    <w:rsid w:val="00D66846"/>
    <w:rsid w:val="00D675FB"/>
    <w:rsid w:val="00D71D94"/>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0F8"/>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67398"/>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8E4"/>
    <w:rsid w:val="00E969D5"/>
    <w:rsid w:val="00EA58D1"/>
    <w:rsid w:val="00EA61BC"/>
    <w:rsid w:val="00EA681A"/>
    <w:rsid w:val="00EA735B"/>
    <w:rsid w:val="00EB17DE"/>
    <w:rsid w:val="00EB1E69"/>
    <w:rsid w:val="00EB2086"/>
    <w:rsid w:val="00EB2594"/>
    <w:rsid w:val="00EB5EDF"/>
    <w:rsid w:val="00EB60FE"/>
    <w:rsid w:val="00EB74DB"/>
    <w:rsid w:val="00EC5359"/>
    <w:rsid w:val="00EC562A"/>
    <w:rsid w:val="00ED0145"/>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313"/>
    <w:rsid w:val="00FF3E7D"/>
    <w:rsid w:val="00FF5B99"/>
    <w:rsid w:val="00FF730C"/>
    <w:rsid w:val="00FF73F4"/>
    <w:rsid w:val="00FF7CE4"/>
    <w:rsid w:val="00FF7E39"/>
    <w:rsid w:val="175239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autoRedefine/>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uiPriority w:val="0"/>
    <w:rPr>
      <w:rFonts w:ascii="Arial" w:hAnsi="Arial" w:eastAsia="黑体"/>
      <w:kern w:val="2"/>
      <w:sz w:val="24"/>
      <w:szCs w:val="24"/>
    </w:rPr>
  </w:style>
  <w:style w:type="character" w:customStyle="1" w:styleId="42">
    <w:name w:val="标题 9 字符"/>
    <w:link w:val="10"/>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uiPriority w:val="99"/>
    <w:rPr>
      <w:rFonts w:ascii="宋体"/>
      <w:kern w:val="2"/>
      <w:sz w:val="18"/>
      <w:szCs w:val="18"/>
    </w:rPr>
  </w:style>
  <w:style w:type="character" w:customStyle="1" w:styleId="45">
    <w:name w:val="批注框文本 字符"/>
    <w:link w:val="16"/>
    <w:semiHidden/>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uiPriority w:val="29"/>
    <w:rPr>
      <w:i/>
      <w:iCs/>
      <w:color w:val="000000"/>
      <w:kern w:val="2"/>
      <w:sz w:val="21"/>
      <w:szCs w:val="21"/>
    </w:rPr>
  </w:style>
  <w:style w:type="character" w:customStyle="1" w:styleId="48">
    <w:name w:val="标题 字符"/>
    <w:link w:val="25"/>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uiPriority w:val="0"/>
    <w:rPr>
      <w:rFonts w:ascii="黑体" w:eastAsia="黑体"/>
      <w:b/>
      <w:kern w:val="0"/>
      <w:sz w:val="28"/>
    </w:rPr>
  </w:style>
  <w:style w:type="paragraph" w:customStyle="1" w:styleId="70">
    <w:name w:val="标准文件_封面标准名称"/>
    <w:basedOn w:val="1"/>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uiPriority w:val="0"/>
    <w:rPr>
      <w:kern w:val="2"/>
      <w:sz w:val="21"/>
      <w:szCs w:val="21"/>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ind w:left="0" w:firstLine="0"/>
    </w:pPr>
  </w:style>
  <w:style w:type="paragraph" w:customStyle="1" w:styleId="91">
    <w:name w:val="标准文件_目录标题"/>
    <w:basedOn w:val="1"/>
    <w:uiPriority w:val="0"/>
    <w:pPr>
      <w:spacing w:before="480" w:after="15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pPr>
  </w:style>
  <w:style w:type="paragraph" w:customStyle="1" w:styleId="94">
    <w:name w:val="标准文件_三级条标题"/>
    <w:basedOn w:val="65"/>
    <w:next w:val="56"/>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uiPriority w:val="0"/>
    <w:rPr>
      <w:rFonts w:ascii="宋体"/>
      <w:kern w:val="2"/>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50" w:beforeLines="50" w:after="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uiPriority w:val="0"/>
    <w:pPr>
      <w:spacing w:line="240" w:lineRule="auto"/>
    </w:pPr>
    <w:rPr>
      <w:rFonts w:ascii="宋体" w:hAnsi="宋体"/>
    </w:rPr>
  </w:style>
  <w:style w:type="paragraph" w:customStyle="1" w:styleId="146">
    <w:name w:val="目录 61"/>
    <w:basedOn w:val="1"/>
    <w:next w:val="1"/>
    <w:autoRedefine/>
    <w:semiHidden/>
    <w:uiPriority w:val="0"/>
    <w:pPr>
      <w:adjustRightInd/>
      <w:spacing w:line="240" w:lineRule="auto"/>
      <w:jc w:val="left"/>
    </w:pPr>
  </w:style>
  <w:style w:type="paragraph" w:customStyle="1" w:styleId="147">
    <w:name w:val="目录 71"/>
    <w:basedOn w:val="146"/>
    <w:autoRedefine/>
    <w:semiHidden/>
    <w:uiPriority w:val="0"/>
    <w:pPr>
      <w:ind w:left="1260"/>
    </w:pPr>
  </w:style>
  <w:style w:type="paragraph" w:customStyle="1" w:styleId="148">
    <w:name w:val="目录 81"/>
    <w:basedOn w:val="147"/>
    <w:autoRedefine/>
    <w:semiHidden/>
    <w:uiPriority w:val="0"/>
    <w:pPr>
      <w:ind w:left="1470"/>
    </w:pPr>
  </w:style>
  <w:style w:type="paragraph" w:customStyle="1" w:styleId="149">
    <w:name w:val="目录 91"/>
    <w:basedOn w:val="148"/>
    <w:autoRedefine/>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 w:type="paragraph" w:customStyle="1" w:styleId="230">
    <w:name w:val="Table Text"/>
    <w:basedOn w:val="1"/>
    <w:semiHidden/>
    <w:qFormat/>
    <w:uiPriority w:val="0"/>
    <w:pPr>
      <w:adjustRightInd/>
      <w:spacing w:line="240" w:lineRule="auto"/>
    </w:pPr>
    <w:rPr>
      <w:rFonts w:ascii="宋体" w:hAnsi="宋体" w:cs="宋体"/>
      <w:sz w:val="10"/>
      <w:szCs w:val="10"/>
      <w:lang w:eastAsia="en-US"/>
    </w:rPr>
  </w:style>
  <w:style w:type="paragraph" w:customStyle="1" w:styleId="231">
    <w:name w:val="附录标题"/>
    <w:basedOn w:val="1"/>
    <w:next w:val="1"/>
    <w:uiPriority w:val="0"/>
    <w:pPr>
      <w:widowControl/>
      <w:tabs>
        <w:tab w:val="center" w:pos="4201"/>
        <w:tab w:val="right" w:leader="dot" w:pos="9298"/>
      </w:tabs>
      <w:autoSpaceDE w:val="0"/>
      <w:autoSpaceDN w:val="0"/>
      <w:adjustRightInd/>
      <w:spacing w:line="240" w:lineRule="auto"/>
      <w:jc w:val="center"/>
    </w:pPr>
    <w:rPr>
      <w:rFonts w:ascii="黑体" w:hAnsi="Times New Roman" w:eastAsia="黑体"/>
      <w:kern w:val="0"/>
      <w:szCs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3.jpeg"/><Relationship Id="rId14" Type="http://schemas.openxmlformats.org/officeDocument/2006/relationships/image" Target="media/image2.pn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5E7ED004E3B47519C34C80DC2C9FD3E"/>
        <w:style w:val=""/>
        <w:category>
          <w:name w:val="常规"/>
          <w:gallery w:val="placeholder"/>
        </w:category>
        <w:types>
          <w:type w:val="bbPlcHdr"/>
        </w:types>
        <w:behaviors>
          <w:behavior w:val="content"/>
        </w:behaviors>
        <w:description w:val=""/>
        <w:guid w:val="{C0A55BF2-2981-4F85-B365-B18484724BBC}"/>
      </w:docPartPr>
      <w:docPartBody>
        <w:p w14:paraId="095A158E">
          <w:pPr>
            <w:pStyle w:val="5"/>
          </w:pPr>
          <w:r>
            <w:rPr>
              <w:rStyle w:val="4"/>
              <w:rFonts w:hint="eastAsia"/>
            </w:rPr>
            <w:t>单击或点击此处输入文字。</w:t>
          </w:r>
        </w:p>
      </w:docPartBody>
    </w:docPart>
    <w:docPart>
      <w:docPartPr>
        <w:name w:val="DD9F8A033B7C4C7EBAC41A2B01A63778"/>
        <w:style w:val=""/>
        <w:category>
          <w:name w:val="常规"/>
          <w:gallery w:val="placeholder"/>
        </w:category>
        <w:types>
          <w:type w:val="bbPlcHdr"/>
        </w:types>
        <w:behaviors>
          <w:behavior w:val="content"/>
        </w:behaviors>
        <w:description w:val=""/>
        <w:guid w:val="{E71BFCB1-41A0-405C-9E26-E306DF8210C3}"/>
      </w:docPartPr>
      <w:docPartBody>
        <w:p w14:paraId="2FC6E32D">
          <w:pPr>
            <w:pStyle w:val="6"/>
          </w:pPr>
          <w:r>
            <w:rPr>
              <w:rStyle w:val="4"/>
              <w:rFonts w:hint="eastAsia"/>
            </w:rPr>
            <w:t>选择一项。</w:t>
          </w:r>
        </w:p>
      </w:docPartBody>
    </w:docPart>
    <w:docPart>
      <w:docPartPr>
        <w:name w:val="C68DDDEDA6D84C2A96EF9D56B5F18985"/>
        <w:style w:val=""/>
        <w:category>
          <w:name w:val="常规"/>
          <w:gallery w:val="placeholder"/>
        </w:category>
        <w:types>
          <w:type w:val="bbPlcHdr"/>
        </w:types>
        <w:behaviors>
          <w:behavior w:val="content"/>
        </w:behaviors>
        <w:description w:val=""/>
        <w:guid w:val="{F3FB2F76-3309-4DD8-922D-B17C53A36516}"/>
      </w:docPartPr>
      <w:docPartBody>
        <w:p w14:paraId="63B94E05">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DengXian">
    <w:altName w:val="Segoe Print"/>
    <w:panose1 w:val="00000000000000000000"/>
    <w:charset w:val="00"/>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77B"/>
    <w:rsid w:val="00363DA0"/>
    <w:rsid w:val="007F1D95"/>
    <w:rsid w:val="00A6677B"/>
    <w:rsid w:val="00AB17BF"/>
    <w:rsid w:val="00AE49DC"/>
    <w:rsid w:val="00B60F57"/>
    <w:rsid w:val="00CC7B25"/>
    <w:rsid w:val="00F542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85E7ED004E3B47519C34C80DC2C9FD3E"/>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DD9F8A033B7C4C7EBAC41A2B01A6377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C68DDDEDA6D84C2A96EF9D56B5F18985"/>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5D4C4C-E6DB-4899-97B8-35C3A6BE0611}">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10</Pages>
  <Words>3582</Words>
  <Characters>3757</Characters>
  <Lines>39</Lines>
  <Paragraphs>11</Paragraphs>
  <TotalTime>254</TotalTime>
  <ScaleCrop>false</ScaleCrop>
  <LinksUpToDate>false</LinksUpToDate>
  <CharactersWithSpaces>3858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2024-09-30T02:10:00Z</dcterms:created>
  <dc:creator>Administrator</dc:creator>
  <dc:description>&lt;config cover="true" show_menu="true" version="1.0.0" doctype="SDKXY"&gt;_x000d_
&lt;/config&gt;</dc:description>
  <cp:lastModifiedBy>陈星曈</cp:lastModifiedBy>
  <cp:lastPrinted>2024-12-11T06:49:00Z</cp:lastPrinted>
  <dcterms:modified xsi:type="dcterms:W3CDTF">2025-02-11T06:08:05Z</dcterms:modified>
  <dc:title>地方标准</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eyJoZGlkIjoiNzhiMjFhNjIyYzE0ZWNjMWI5NjJlODEyYTM4NmRiY2EiLCJ1c2VySWQiOiIxMjEzNjU0MDg4In0=</vt:lpwstr>
  </property>
  <property fmtid="{D5CDD505-2E9C-101B-9397-08002B2CF9AE}" pid="15" name="KSOProductBuildVer">
    <vt:lpwstr>2052-12.1.0.19770</vt:lpwstr>
  </property>
  <property fmtid="{D5CDD505-2E9C-101B-9397-08002B2CF9AE}" pid="16" name="ICV">
    <vt:lpwstr>7DB4D29114FC479092D00B81F0019936_12</vt:lpwstr>
  </property>
</Properties>
</file>