
<file path=[Content_Types].xml><?xml version="1.0" encoding="utf-8"?>
<Types xmlns="http://schemas.openxmlformats.org/package/2006/content-types">
  <Default Extension="xml" ContentType="application/xml"/>
  <Default Extension="tiff" ContentType="image/tif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D6BC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BB182F0">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A6A69D5">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14:paraId="6E6B5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007A2F1">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EC462ED">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61"/>
      </w:tblGrid>
      <w:tr w14:paraId="7EA7FD7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661" w:type="dxa"/>
          </w:tcPr>
          <w:p w14:paraId="5ED5CA73">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14:paraId="3FB8DDE4">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169CF762">
      <w:pPr>
        <w:pStyle w:val="195"/>
      </w:pPr>
      <w:r>
        <w:t>DB</w:t>
      </w:r>
      <w:r>
        <w:rPr>
          <w:sz w:val="15"/>
          <w:szCs w:val="15"/>
        </w:rPr>
        <w:t xml:space="preserve"> </w:t>
      </w:r>
      <w:r>
        <w:fldChar w:fldCharType="begin">
          <w:ffData>
            <w:name w:val="文字1"/>
            <w:enabled/>
            <w:calcOnExit w:val="0"/>
            <w:textInput>
              <w:default w:val="XX"/>
            </w:textInput>
          </w:ffData>
        </w:fldChar>
      </w:r>
      <w:bookmarkStart w:id="5" w:name="文字1"/>
      <w:r>
        <w:instrText xml:space="preserve"> FORMTEXT </w:instrText>
      </w:r>
      <w:r>
        <w:fldChar w:fldCharType="separate"/>
      </w:r>
      <w:r>
        <w:t>XX</w:t>
      </w:r>
      <w:r>
        <w:fldChar w:fldCharType="end"/>
      </w:r>
      <w:bookmarkEnd w:id="5"/>
      <w:r>
        <w:t xml:space="preserve"> </w:t>
      </w:r>
      <w:r>
        <w:fldChar w:fldCharType="begin">
          <w:ffData>
            <w:name w:val="NSTD_CODE_F"/>
            <w:enabled/>
            <w:calcOnExit w:val="0"/>
            <w:textInput>
              <w:default w:val="XXXXX"/>
            </w:textInput>
          </w:ffData>
        </w:fldChar>
      </w:r>
      <w:bookmarkStart w:id="6" w:name="NSTD_CODE_F"/>
      <w:r>
        <w:instrText xml:space="preserve"> FORMTEXT </w:instrText>
      </w:r>
      <w:r>
        <w:fldChar w:fldCharType="separate"/>
      </w:r>
      <w:r>
        <w:t>XXXXX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6A7A3FDD">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A546EB6">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3AABB5B">
      <w:pPr>
        <w:pStyle w:val="50"/>
        <w:framePr w:w="9639" w:h="6976" w:hRule="exact" w:hSpace="0" w:vSpace="0" w:wrap="around" w:hAnchor="page" w:y="6408"/>
        <w:jc w:val="center"/>
        <w:rPr>
          <w:rFonts w:ascii="黑体" w:hAnsi="黑体" w:eastAsia="黑体"/>
          <w:b w:val="0"/>
          <w:bCs w:val="0"/>
          <w:w w:val="100"/>
        </w:rPr>
      </w:pPr>
    </w:p>
    <w:p w14:paraId="77597118">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农村公共卫生突发事件应急处置指南</w:t>
      </w:r>
      <w:r>
        <w:fldChar w:fldCharType="end"/>
      </w:r>
      <w:bookmarkEnd w:id="9"/>
    </w:p>
    <w:p w14:paraId="68CE1BEF">
      <w:pPr>
        <w:framePr w:w="9639" w:h="6974" w:hRule="exact" w:wrap="around" w:vAnchor="page" w:hAnchor="page" w:x="1419" w:y="6408" w:anchorLock="1"/>
        <w:ind w:left="-1418"/>
      </w:pPr>
    </w:p>
    <w:p w14:paraId="0E6232F1">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Guidelines for Emergency Management of public health Emergencies in rural areas</w:t>
      </w:r>
      <w:r>
        <w:rPr>
          <w:rFonts w:eastAsia="黑体"/>
          <w:szCs w:val="28"/>
        </w:rPr>
        <w:fldChar w:fldCharType="end"/>
      </w:r>
      <w:bookmarkEnd w:id="10"/>
    </w:p>
    <w:p w14:paraId="6EC77695">
      <w:pPr>
        <w:framePr w:w="9639" w:h="6974" w:hRule="exact" w:wrap="around" w:vAnchor="page" w:hAnchor="page" w:x="1419" w:y="6408" w:anchorLock="1"/>
        <w:spacing w:line="760" w:lineRule="exact"/>
        <w:ind w:left="-1418"/>
      </w:pPr>
    </w:p>
    <w:p w14:paraId="119669B2">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szCs w:val="28"/>
        </w:rPr>
        <w:instrText xml:space="preserve"> FORMTEXT </w:instrText>
      </w:r>
      <w:r>
        <w:rPr>
          <w:rFonts w:eastAsia="黑体"/>
          <w:szCs w:val="28"/>
        </w:rPr>
        <w:fldChar w:fldCharType="separate"/>
      </w:r>
      <w:r>
        <w:rPr>
          <w:rFonts w:hint="eastAsia" w:eastAsia="黑体"/>
          <w:szCs w:val="28"/>
        </w:rPr>
        <w:t>(点击此处添加与国际标准一致性程度的标识)</w:t>
      </w:r>
      <w:r>
        <w:rPr>
          <w:rFonts w:eastAsia="黑体"/>
          <w:szCs w:val="28"/>
        </w:rPr>
        <w:fldChar w:fldCharType="end"/>
      </w:r>
      <w:bookmarkEnd w:id="11"/>
    </w:p>
    <w:p w14:paraId="38175A18">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fldChar w:fldCharType="separate"/>
      </w:r>
      <w:r>
        <w:rPr>
          <w:sz w:val="24"/>
          <w:szCs w:val="28"/>
        </w:rPr>
        <w:fldChar w:fldCharType="end"/>
      </w:r>
      <w:bookmarkEnd w:id="12"/>
    </w:p>
    <w:p w14:paraId="3085DD25">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fldChar w:fldCharType="separate"/>
      </w:r>
      <w:r>
        <w:rPr>
          <w:rFonts w:hint="eastAsia"/>
          <w:sz w:val="21"/>
          <w:szCs w:val="28"/>
        </w:rPr>
        <w:t>（本草案完成时间：2</w:t>
      </w:r>
      <w:r>
        <w:rPr>
          <w:sz w:val="21"/>
          <w:szCs w:val="28"/>
        </w:rPr>
        <w:t>023</w:t>
      </w:r>
      <w:r>
        <w:rPr>
          <w:rFonts w:hint="eastAsia"/>
          <w:sz w:val="21"/>
          <w:szCs w:val="28"/>
        </w:rPr>
        <w:t>年3月2</w:t>
      </w:r>
      <w:r>
        <w:rPr>
          <w:sz w:val="21"/>
          <w:szCs w:val="28"/>
        </w:rPr>
        <w:t>2</w:t>
      </w:r>
      <w:r>
        <w:rPr>
          <w:rFonts w:hint="eastAsia"/>
          <w:sz w:val="21"/>
          <w:szCs w:val="28"/>
        </w:rPr>
        <w:t>日）</w:t>
      </w:r>
      <w:r>
        <w:rPr>
          <w:sz w:val="21"/>
          <w:szCs w:val="28"/>
        </w:rPr>
        <w:fldChar w:fldCharType="end"/>
      </w:r>
      <w:bookmarkEnd w:id="13"/>
    </w:p>
    <w:p w14:paraId="5D1517D0">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fldChar w:fldCharType="separate"/>
      </w:r>
      <w:r>
        <w:rPr>
          <w:b/>
          <w:sz w:val="21"/>
          <w:szCs w:val="28"/>
        </w:rPr>
        <w:fldChar w:fldCharType="end"/>
      </w:r>
      <w:bookmarkEnd w:id="14"/>
    </w:p>
    <w:p w14:paraId="2D3D770C">
      <w:pPr>
        <w:pStyle w:val="193"/>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发布</w:t>
      </w:r>
    </w:p>
    <w:p w14:paraId="5E90051D">
      <w:pPr>
        <w:pStyle w:val="194"/>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20"/>
      <w:r>
        <w:rPr>
          <w:rFonts w:hint="eastAsia"/>
        </w:rPr>
        <w:t>实施</w:t>
      </w:r>
    </w:p>
    <w:p w14:paraId="269D243B">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21"/>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738E7816">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BA278DF">
      <w:pPr>
        <w:pStyle w:val="91"/>
        <w:spacing w:after="468"/>
      </w:pPr>
      <w:bookmarkStart w:id="22" w:name="BookMark1"/>
      <w:r>
        <w:rPr>
          <w:rFonts w:hint="eastAsia"/>
          <w:spacing w:val="320"/>
        </w:rPr>
        <w:t>目</w:t>
      </w:r>
      <w:r>
        <w:rPr>
          <w:rFonts w:hint="eastAsia"/>
        </w:rPr>
        <w:t>次</w:t>
      </w:r>
    </w:p>
    <w:p w14:paraId="1D7F8A41">
      <w:pPr>
        <w:pStyle w:val="19"/>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"_Toc130504794" </w:instrText>
      </w:r>
      <w:r>
        <w:fldChar w:fldCharType="separate"/>
      </w:r>
      <w:r>
        <w:rPr>
          <w:rStyle w:val="32"/>
        </w:rPr>
        <w:t>前言</w:t>
      </w:r>
      <w:r>
        <w:tab/>
      </w:r>
      <w:r>
        <w:fldChar w:fldCharType="begin"/>
      </w:r>
      <w:r>
        <w:instrText xml:space="preserve"> PAGEREF _Toc130504794 \h </w:instrText>
      </w:r>
      <w:r>
        <w:fldChar w:fldCharType="separate"/>
      </w:r>
      <w:r>
        <w:t>II</w:t>
      </w:r>
      <w:r>
        <w:fldChar w:fldCharType="end"/>
      </w:r>
      <w:r>
        <w:fldChar w:fldCharType="end"/>
      </w:r>
    </w:p>
    <w:p w14:paraId="77E29421">
      <w:pPr>
        <w:pStyle w:val="19"/>
        <w:tabs>
          <w:tab w:val="right" w:leader="dot" w:pos="9344"/>
        </w:tabs>
        <w:rPr>
          <w:rFonts w:asciiTheme="minorHAnsi" w:hAnsiTheme="minorHAnsi" w:eastAsiaTheme="minorEastAsia" w:cstheme="minorBidi"/>
          <w:szCs w:val="22"/>
        </w:rPr>
      </w:pPr>
      <w:r>
        <w:fldChar w:fldCharType="begin"/>
      </w:r>
      <w:r>
        <w:instrText xml:space="preserve"> HYPERLINK \l "_Toc130504795" </w:instrText>
      </w:r>
      <w:r>
        <w:fldChar w:fldCharType="separate"/>
      </w:r>
      <w:r>
        <w:rPr>
          <w:rStyle w:val="32"/>
        </w:rPr>
        <w:t>1  范围</w:t>
      </w:r>
      <w:r>
        <w:tab/>
      </w:r>
      <w:r>
        <w:fldChar w:fldCharType="begin"/>
      </w:r>
      <w:r>
        <w:instrText xml:space="preserve"> PAGEREF _Toc130504795 \h </w:instrText>
      </w:r>
      <w:r>
        <w:fldChar w:fldCharType="separate"/>
      </w:r>
      <w:r>
        <w:t>1</w:t>
      </w:r>
      <w:r>
        <w:fldChar w:fldCharType="end"/>
      </w:r>
      <w:r>
        <w:fldChar w:fldCharType="end"/>
      </w:r>
    </w:p>
    <w:p w14:paraId="2101A288">
      <w:pPr>
        <w:pStyle w:val="19"/>
        <w:tabs>
          <w:tab w:val="right" w:leader="dot" w:pos="9344"/>
        </w:tabs>
        <w:rPr>
          <w:rFonts w:asciiTheme="minorHAnsi" w:hAnsiTheme="minorHAnsi" w:eastAsiaTheme="minorEastAsia" w:cstheme="minorBidi"/>
          <w:szCs w:val="22"/>
        </w:rPr>
      </w:pPr>
      <w:r>
        <w:fldChar w:fldCharType="begin"/>
      </w:r>
      <w:r>
        <w:instrText xml:space="preserve"> HYPERLINK \l "_Toc130504796" </w:instrText>
      </w:r>
      <w:r>
        <w:fldChar w:fldCharType="separate"/>
      </w:r>
      <w:r>
        <w:rPr>
          <w:rStyle w:val="32"/>
        </w:rPr>
        <w:t>2  规范性引用文件</w:t>
      </w:r>
      <w:r>
        <w:tab/>
      </w:r>
      <w:r>
        <w:fldChar w:fldCharType="begin"/>
      </w:r>
      <w:r>
        <w:instrText xml:space="preserve"> PAGEREF _Toc130504796 \h </w:instrText>
      </w:r>
      <w:r>
        <w:fldChar w:fldCharType="separate"/>
      </w:r>
      <w:r>
        <w:t>1</w:t>
      </w:r>
      <w:r>
        <w:fldChar w:fldCharType="end"/>
      </w:r>
      <w:r>
        <w:fldChar w:fldCharType="end"/>
      </w:r>
    </w:p>
    <w:p w14:paraId="0074CEA5">
      <w:pPr>
        <w:pStyle w:val="19"/>
        <w:tabs>
          <w:tab w:val="right" w:leader="dot" w:pos="9344"/>
        </w:tabs>
        <w:rPr>
          <w:rFonts w:asciiTheme="minorHAnsi" w:hAnsiTheme="minorHAnsi" w:eastAsiaTheme="minorEastAsia" w:cstheme="minorBidi"/>
          <w:szCs w:val="22"/>
        </w:rPr>
      </w:pPr>
      <w:r>
        <w:fldChar w:fldCharType="begin"/>
      </w:r>
      <w:r>
        <w:instrText xml:space="preserve"> HYPERLINK \l "_Toc130504797" </w:instrText>
      </w:r>
      <w:r>
        <w:fldChar w:fldCharType="separate"/>
      </w:r>
      <w:r>
        <w:rPr>
          <w:rStyle w:val="32"/>
        </w:rPr>
        <w:t>3  术语和定义</w:t>
      </w:r>
      <w:r>
        <w:tab/>
      </w:r>
      <w:r>
        <w:fldChar w:fldCharType="begin"/>
      </w:r>
      <w:r>
        <w:instrText xml:space="preserve"> PAGEREF _Toc130504797 \h </w:instrText>
      </w:r>
      <w:r>
        <w:fldChar w:fldCharType="separate"/>
      </w:r>
      <w:r>
        <w:t>1</w:t>
      </w:r>
      <w:r>
        <w:fldChar w:fldCharType="end"/>
      </w:r>
      <w:r>
        <w:fldChar w:fldCharType="end"/>
      </w:r>
    </w:p>
    <w:p w14:paraId="493CB107">
      <w:pPr>
        <w:pStyle w:val="19"/>
        <w:tabs>
          <w:tab w:val="right" w:leader="dot" w:pos="9344"/>
        </w:tabs>
        <w:rPr>
          <w:rFonts w:asciiTheme="minorHAnsi" w:hAnsiTheme="minorHAnsi" w:eastAsiaTheme="minorEastAsia" w:cstheme="minorBidi"/>
          <w:szCs w:val="22"/>
        </w:rPr>
      </w:pPr>
      <w:r>
        <w:fldChar w:fldCharType="begin"/>
      </w:r>
      <w:r>
        <w:instrText xml:space="preserve"> HYPERLINK \l "_Toc130504798" </w:instrText>
      </w:r>
      <w:r>
        <w:fldChar w:fldCharType="separate"/>
      </w:r>
      <w:r>
        <w:rPr>
          <w:rStyle w:val="32"/>
        </w:rPr>
        <w:t>4  组织机构和职责</w:t>
      </w:r>
      <w:r>
        <w:tab/>
      </w:r>
      <w:r>
        <w:fldChar w:fldCharType="begin"/>
      </w:r>
      <w:r>
        <w:instrText xml:space="preserve"> PAGEREF _Toc130504798 \h </w:instrText>
      </w:r>
      <w:r>
        <w:fldChar w:fldCharType="separate"/>
      </w:r>
      <w:r>
        <w:t>2</w:t>
      </w:r>
      <w:r>
        <w:fldChar w:fldCharType="end"/>
      </w:r>
      <w:r>
        <w:fldChar w:fldCharType="end"/>
      </w:r>
    </w:p>
    <w:p w14:paraId="20FADB83">
      <w:pPr>
        <w:pStyle w:val="19"/>
        <w:tabs>
          <w:tab w:val="right" w:leader="dot" w:pos="9344"/>
        </w:tabs>
        <w:rPr>
          <w:rFonts w:asciiTheme="minorHAnsi" w:hAnsiTheme="minorHAnsi" w:eastAsiaTheme="minorEastAsia" w:cstheme="minorBidi"/>
          <w:szCs w:val="22"/>
        </w:rPr>
      </w:pPr>
      <w:r>
        <w:fldChar w:fldCharType="begin"/>
      </w:r>
      <w:r>
        <w:instrText xml:space="preserve"> HYPERLINK \l "_Toc130504799" </w:instrText>
      </w:r>
      <w:r>
        <w:fldChar w:fldCharType="separate"/>
      </w:r>
      <w:r>
        <w:rPr>
          <w:rStyle w:val="32"/>
        </w:rPr>
        <w:t>5  工作原则</w:t>
      </w:r>
      <w:r>
        <w:tab/>
      </w:r>
      <w:r>
        <w:fldChar w:fldCharType="begin"/>
      </w:r>
      <w:r>
        <w:instrText xml:space="preserve"> PAGEREF _Toc130504799 \h </w:instrText>
      </w:r>
      <w:r>
        <w:fldChar w:fldCharType="separate"/>
      </w:r>
      <w:r>
        <w:t>4</w:t>
      </w:r>
      <w:r>
        <w:fldChar w:fldCharType="end"/>
      </w:r>
      <w:r>
        <w:fldChar w:fldCharType="end"/>
      </w:r>
    </w:p>
    <w:p w14:paraId="0204E543">
      <w:pPr>
        <w:pStyle w:val="19"/>
        <w:tabs>
          <w:tab w:val="right" w:leader="dot" w:pos="9344"/>
        </w:tabs>
        <w:rPr>
          <w:rFonts w:asciiTheme="minorHAnsi" w:hAnsiTheme="minorHAnsi" w:eastAsiaTheme="minorEastAsia" w:cstheme="minorBidi"/>
          <w:szCs w:val="22"/>
        </w:rPr>
      </w:pPr>
      <w:r>
        <w:fldChar w:fldCharType="begin"/>
      </w:r>
      <w:r>
        <w:instrText xml:space="preserve"> HYPERLINK \l "_Toc130504800" </w:instrText>
      </w:r>
      <w:r>
        <w:fldChar w:fldCharType="separate"/>
      </w:r>
      <w:r>
        <w:rPr>
          <w:rStyle w:val="32"/>
        </w:rPr>
        <w:t>6  预防与预警机制</w:t>
      </w:r>
      <w:r>
        <w:tab/>
      </w:r>
      <w:r>
        <w:fldChar w:fldCharType="begin"/>
      </w:r>
      <w:r>
        <w:instrText xml:space="preserve"> PAGEREF _Toc130504800 \h </w:instrText>
      </w:r>
      <w:r>
        <w:fldChar w:fldCharType="separate"/>
      </w:r>
      <w:r>
        <w:t>4</w:t>
      </w:r>
      <w:r>
        <w:fldChar w:fldCharType="end"/>
      </w:r>
      <w:r>
        <w:fldChar w:fldCharType="end"/>
      </w:r>
    </w:p>
    <w:p w14:paraId="3D3226C6">
      <w:pPr>
        <w:pStyle w:val="19"/>
        <w:tabs>
          <w:tab w:val="right" w:leader="dot" w:pos="9344"/>
        </w:tabs>
        <w:rPr>
          <w:rFonts w:asciiTheme="minorHAnsi" w:hAnsiTheme="minorHAnsi" w:eastAsiaTheme="minorEastAsia" w:cstheme="minorBidi"/>
          <w:szCs w:val="22"/>
        </w:rPr>
      </w:pPr>
      <w:r>
        <w:fldChar w:fldCharType="begin"/>
      </w:r>
      <w:r>
        <w:instrText xml:space="preserve"> HYPERLINK \l "_Toc130504801" </w:instrText>
      </w:r>
      <w:r>
        <w:fldChar w:fldCharType="separate"/>
      </w:r>
      <w:r>
        <w:rPr>
          <w:rStyle w:val="32"/>
        </w:rPr>
        <w:t>7  信息报告</w:t>
      </w:r>
      <w:r>
        <w:tab/>
      </w:r>
      <w:r>
        <w:fldChar w:fldCharType="begin"/>
      </w:r>
      <w:r>
        <w:instrText xml:space="preserve"> PAGEREF _Toc130504801 \h </w:instrText>
      </w:r>
      <w:r>
        <w:fldChar w:fldCharType="separate"/>
      </w:r>
      <w:r>
        <w:t>5</w:t>
      </w:r>
      <w:r>
        <w:fldChar w:fldCharType="end"/>
      </w:r>
      <w:r>
        <w:fldChar w:fldCharType="end"/>
      </w:r>
    </w:p>
    <w:p w14:paraId="48F16138">
      <w:pPr>
        <w:pStyle w:val="19"/>
        <w:tabs>
          <w:tab w:val="right" w:leader="dot" w:pos="9344"/>
        </w:tabs>
        <w:rPr>
          <w:rFonts w:asciiTheme="minorHAnsi" w:hAnsiTheme="minorHAnsi" w:eastAsiaTheme="minorEastAsia" w:cstheme="minorBidi"/>
          <w:szCs w:val="22"/>
        </w:rPr>
      </w:pPr>
      <w:r>
        <w:fldChar w:fldCharType="begin"/>
      </w:r>
      <w:r>
        <w:instrText xml:space="preserve"> HYPERLINK \l "_Toc130504802" </w:instrText>
      </w:r>
      <w:r>
        <w:fldChar w:fldCharType="separate"/>
      </w:r>
      <w:r>
        <w:rPr>
          <w:rStyle w:val="32"/>
        </w:rPr>
        <w:t>8  后期处置</w:t>
      </w:r>
      <w:r>
        <w:tab/>
      </w:r>
      <w:r>
        <w:fldChar w:fldCharType="begin"/>
      </w:r>
      <w:r>
        <w:instrText xml:space="preserve"> PAGEREF _Toc130504802 \h </w:instrText>
      </w:r>
      <w:r>
        <w:fldChar w:fldCharType="separate"/>
      </w:r>
      <w:r>
        <w:t>5</w:t>
      </w:r>
      <w:r>
        <w:fldChar w:fldCharType="end"/>
      </w:r>
      <w:r>
        <w:fldChar w:fldCharType="end"/>
      </w:r>
    </w:p>
    <w:p w14:paraId="528AA5D7">
      <w:pPr>
        <w:pStyle w:val="91"/>
        <w:spacing w:after="468"/>
        <w:sectPr>
          <w:headerReference r:id="rId11" w:type="default"/>
          <w:footerReference r:id="rId13" w:type="default"/>
          <w:headerReference r:id="rId12" w:type="even"/>
          <w:pgSz w:w="11906" w:h="16838"/>
          <w:pgMar w:top="1871" w:right="1134" w:bottom="1134" w:left="1134" w:header="1418" w:footer="1134" w:gutter="284"/>
          <w:pgNumType w:fmt="upperRoman" w:start="1"/>
          <w:cols w:space="425" w:num="1"/>
          <w:formProt w:val="0"/>
          <w:docGrid w:type="lines" w:linePitch="312" w:charSpace="0"/>
        </w:sectPr>
      </w:pPr>
      <w:r>
        <w:fldChar w:fldCharType="end"/>
      </w:r>
    </w:p>
    <w:bookmarkEnd w:id="22"/>
    <w:p w14:paraId="3F894C75">
      <w:pPr>
        <w:pStyle w:val="89"/>
        <w:spacing w:after="468"/>
      </w:pPr>
      <w:bookmarkStart w:id="23" w:name="_Toc130504794"/>
      <w:bookmarkStart w:id="24" w:name="BookMark2"/>
      <w:r>
        <w:rPr>
          <w:spacing w:val="320"/>
        </w:rPr>
        <w:t>前</w:t>
      </w:r>
      <w:r>
        <w:t>言</w:t>
      </w:r>
      <w:bookmarkEnd w:id="23"/>
    </w:p>
    <w:p w14:paraId="7BD7FE5B">
      <w:pPr>
        <w:pStyle w:val="56"/>
        <w:ind w:firstLine="420"/>
      </w:pPr>
      <w:r>
        <w:rPr>
          <w:rFonts w:hint="eastAsia"/>
        </w:rPr>
        <w:t>本</w:t>
      </w:r>
      <w:r>
        <w:rPr>
          <w:rFonts w:hint="eastAsia"/>
          <w:lang w:val="en-US" w:eastAsia="zh-CN"/>
        </w:rPr>
        <w:t>标准</w:t>
      </w:r>
      <w:r>
        <w:rPr>
          <w:rFonts w:hint="eastAsia"/>
        </w:rPr>
        <w:t>按照GB/T 1.1—2020《标准化工作导则  第1部分：标准化文件的结构和起草规则》的规定起草。</w:t>
      </w:r>
    </w:p>
    <w:p w14:paraId="0B99AC1A">
      <w:pPr>
        <w:pStyle w:val="56"/>
        <w:ind w:firstLine="420"/>
      </w:pPr>
    </w:p>
    <w:p w14:paraId="760FFD67">
      <w:pPr>
        <w:pStyle w:val="56"/>
        <w:ind w:firstLine="420"/>
        <w:rPr>
          <w:rFonts w:hint="eastAsia" w:eastAsia="宋体"/>
          <w:lang w:eastAsia="zh-CN"/>
        </w:rPr>
      </w:pPr>
      <w:r>
        <w:rPr>
          <w:rFonts w:hint="eastAsia"/>
        </w:rPr>
        <w:t>本</w:t>
      </w:r>
      <w:r>
        <w:rPr>
          <w:rFonts w:hint="eastAsia"/>
          <w:lang w:val="en-US" w:eastAsia="zh-CN"/>
        </w:rPr>
        <w:t>标准</w:t>
      </w:r>
      <w:r>
        <w:rPr>
          <w:rFonts w:hint="eastAsia"/>
        </w:rPr>
        <w:t>由安徽卫生健康职业学院</w:t>
      </w:r>
      <w:r>
        <w:rPr>
          <w:rFonts w:hint="eastAsia"/>
          <w:lang w:val="en-US" w:eastAsia="zh-CN"/>
        </w:rPr>
        <w:t>提出</w:t>
      </w:r>
      <w:r>
        <w:rPr>
          <w:rFonts w:hint="eastAsia"/>
          <w:lang w:eastAsia="zh-CN"/>
        </w:rPr>
        <w:t>。</w:t>
      </w:r>
    </w:p>
    <w:p w14:paraId="432F2606">
      <w:pPr>
        <w:pStyle w:val="56"/>
        <w:ind w:firstLine="420"/>
        <w:rPr>
          <w:rFonts w:hint="eastAsia"/>
          <w:lang w:val="en-US" w:eastAsia="zh-CN"/>
        </w:rPr>
      </w:pPr>
      <w:r>
        <w:rPr>
          <w:rFonts w:hint="eastAsia"/>
        </w:rPr>
        <w:t>本</w:t>
      </w:r>
      <w:r>
        <w:rPr>
          <w:rFonts w:hint="eastAsia"/>
          <w:lang w:val="en-US" w:eastAsia="zh-CN"/>
        </w:rPr>
        <w:t>标准由安徽省卫生健康委员会归口。</w:t>
      </w:r>
    </w:p>
    <w:p w14:paraId="4CAB2C0A">
      <w:pPr>
        <w:pStyle w:val="56"/>
        <w:ind w:firstLine="420"/>
        <w:rPr>
          <w:rFonts w:hint="default" w:eastAsia="宋体"/>
          <w:lang w:val="en-US" w:eastAsia="zh-CN"/>
        </w:rPr>
      </w:pPr>
      <w:r>
        <w:rPr>
          <w:rFonts w:hint="eastAsia"/>
          <w:lang w:val="en-US" w:eastAsia="zh-CN"/>
        </w:rPr>
        <w:t>本标准</w:t>
      </w:r>
      <w:r>
        <w:rPr>
          <w:rFonts w:hint="eastAsia"/>
        </w:rPr>
        <w:t>起草单位：</w:t>
      </w:r>
      <w:r>
        <w:rPr>
          <w:rFonts w:hint="eastAsia"/>
          <w:lang w:val="en-US" w:eastAsia="zh-CN"/>
        </w:rPr>
        <w:t>安徽卫生健康职业学院、安徽省卫生健康委员会基层卫生健康处、安徽省疾病预防控制中心、安徽省第二人民医院、池州市疾病预防控制中心、池州市第二人民医院、淮南东方医院集团凤凰医院紧密型医供体岳张集分院、淮南东方医院集团凤凰医院紧密型医供体经开区分院、颍上县迪沟镇卫生院、池州市贵池区乌沙镇中心卫生院。</w:t>
      </w:r>
    </w:p>
    <w:p w14:paraId="644211AE">
      <w:pPr>
        <w:pStyle w:val="56"/>
        <w:ind w:firstLine="420"/>
        <w:rPr>
          <w:rFonts w:hint="eastAsia"/>
        </w:rPr>
      </w:pPr>
      <w:r>
        <w:rPr>
          <w:rFonts w:hint="eastAsia"/>
        </w:rPr>
        <w:t>本</w:t>
      </w:r>
      <w:r>
        <w:rPr>
          <w:rFonts w:hint="eastAsia"/>
          <w:lang w:val="en-US" w:eastAsia="zh-CN"/>
        </w:rPr>
        <w:t>标准</w:t>
      </w:r>
      <w:r>
        <w:rPr>
          <w:rFonts w:hint="eastAsia"/>
        </w:rPr>
        <w:t>主要起草人：胡慧萍，魏锁，陈启超，张璐，胡荣红，徐玉龙，龚磊，张文胜，侯赛，</w:t>
      </w:r>
    </w:p>
    <w:p w14:paraId="5C4E8E67">
      <w:pPr>
        <w:pStyle w:val="56"/>
        <w:ind w:firstLine="420"/>
        <w:rPr>
          <w:rFonts w:hint="eastAsia" w:eastAsia="宋体"/>
          <w:lang w:eastAsia="zh-CN"/>
        </w:rPr>
      </w:pPr>
      <w:r>
        <w:rPr>
          <w:rFonts w:hint="eastAsia"/>
        </w:rPr>
        <w:t>黄平萍，张逸，施姮，杨丽萍，姜贯宏，方华，朱凤平，石秀全，</w:t>
      </w:r>
      <w:r>
        <w:rPr>
          <w:rFonts w:hint="eastAsia"/>
          <w:lang w:eastAsia="zh-CN"/>
        </w:rPr>
        <w:t>陈琰，</w:t>
      </w:r>
      <w:r>
        <w:rPr>
          <w:rFonts w:hint="eastAsia"/>
        </w:rPr>
        <w:t>钱庆久</w:t>
      </w:r>
      <w:r>
        <w:rPr>
          <w:rFonts w:hint="eastAsia"/>
          <w:lang w:eastAsia="zh-CN"/>
        </w:rPr>
        <w:t>。</w:t>
      </w:r>
    </w:p>
    <w:p w14:paraId="52955CCC">
      <w:pPr>
        <w:pStyle w:val="56"/>
        <w:ind w:firstLine="420"/>
      </w:pPr>
    </w:p>
    <w:p w14:paraId="01AEC4BD">
      <w:pPr>
        <w:pStyle w:val="56"/>
        <w:ind w:firstLine="420"/>
        <w:sectPr>
          <w:pgSz w:w="11906" w:h="16838"/>
          <w:pgMar w:top="1871" w:right="1134" w:bottom="1134" w:left="1134" w:header="1418" w:footer="1134" w:gutter="284"/>
          <w:pgNumType w:fmt="upperRoman"/>
          <w:cols w:space="425" w:num="1"/>
          <w:formProt w:val="0"/>
          <w:docGrid w:type="lines" w:linePitch="312" w:charSpace="0"/>
        </w:sectPr>
      </w:pPr>
    </w:p>
    <w:bookmarkEnd w:id="24"/>
    <w:p w14:paraId="43070EC3">
      <w:pPr>
        <w:spacing w:line="20" w:lineRule="exact"/>
        <w:jc w:val="center"/>
        <w:rPr>
          <w:rFonts w:ascii="黑体" w:hAnsi="黑体" w:eastAsia="黑体"/>
          <w:sz w:val="32"/>
          <w:szCs w:val="32"/>
        </w:rPr>
      </w:pPr>
      <w:bookmarkStart w:id="25" w:name="BookMark4"/>
    </w:p>
    <w:p w14:paraId="44784BC7">
      <w:pPr>
        <w:spacing w:line="20" w:lineRule="exact"/>
        <w:jc w:val="center"/>
        <w:rPr>
          <w:rFonts w:ascii="黑体" w:hAnsi="黑体" w:eastAsia="黑体"/>
          <w:sz w:val="32"/>
          <w:szCs w:val="32"/>
        </w:rPr>
      </w:pPr>
    </w:p>
    <w:sdt>
      <w:sdtPr>
        <w:tag w:val="NEW_STAND_NAME"/>
        <w:id w:val="595910757"/>
        <w:lock w:val="sdtLocked"/>
        <w:placeholder>
          <w:docPart w:val="C3E21B1013CB46D9BD2578FEDF2B7D59"/>
        </w:placeholder>
      </w:sdtPr>
      <w:sdtContent>
        <w:p w14:paraId="7AE7622D">
          <w:pPr>
            <w:pStyle w:val="177"/>
            <w:spacing w:before="312" w:beforeLines="100" w:after="686" w:afterLines="220"/>
          </w:pPr>
          <w:bookmarkStart w:id="26" w:name="NEW_STAND_NAME"/>
          <w:r>
            <w:rPr>
              <w:rFonts w:hint="eastAsia"/>
            </w:rPr>
            <w:t>农村公共卫生突发事件应急处置指南</w:t>
          </w:r>
        </w:p>
      </w:sdtContent>
    </w:sdt>
    <w:bookmarkEnd w:id="26"/>
    <w:p w14:paraId="049FA16F">
      <w:pPr>
        <w:pStyle w:val="104"/>
        <w:spacing w:before="312" w:after="312"/>
      </w:pPr>
      <w:bookmarkStart w:id="27" w:name="_Toc26648465"/>
      <w:bookmarkStart w:id="28" w:name="_Toc24884211"/>
      <w:bookmarkStart w:id="29" w:name="_Toc26718930"/>
      <w:bookmarkStart w:id="30" w:name="_Toc130504795"/>
      <w:bookmarkStart w:id="31" w:name="_Toc17233333"/>
      <w:bookmarkStart w:id="32" w:name="_Toc17233325"/>
      <w:bookmarkStart w:id="33" w:name="_Toc24884218"/>
      <w:bookmarkStart w:id="34" w:name="_Toc26986771"/>
      <w:bookmarkStart w:id="35" w:name="_Toc26986530"/>
      <w:r>
        <w:rPr>
          <w:rFonts w:hint="eastAsia"/>
        </w:rPr>
        <w:t>范围</w:t>
      </w:r>
      <w:bookmarkEnd w:id="27"/>
      <w:bookmarkEnd w:id="28"/>
      <w:bookmarkEnd w:id="29"/>
      <w:bookmarkEnd w:id="30"/>
      <w:bookmarkEnd w:id="31"/>
      <w:bookmarkEnd w:id="32"/>
      <w:bookmarkEnd w:id="33"/>
      <w:bookmarkEnd w:id="34"/>
      <w:bookmarkEnd w:id="35"/>
    </w:p>
    <w:p w14:paraId="0C6ED5D6">
      <w:pPr>
        <w:pStyle w:val="56"/>
        <w:ind w:firstLine="420"/>
      </w:pPr>
      <w:bookmarkStart w:id="36" w:name="_Toc17233334"/>
      <w:bookmarkStart w:id="37" w:name="_Toc17233326"/>
      <w:bookmarkStart w:id="38" w:name="_Toc24884219"/>
      <w:bookmarkStart w:id="39" w:name="_Toc26648466"/>
      <w:bookmarkStart w:id="40" w:name="_Toc24884212"/>
      <w:r>
        <w:rPr>
          <w:rFonts w:hint="eastAsia"/>
        </w:rPr>
        <w:t>本文件规定了农村公共卫生突发事件应急处置指南的术语和定义、组织机构和职责、工作原则、预防与预警机制、信息报告、后期处置。</w:t>
      </w:r>
    </w:p>
    <w:p w14:paraId="2C3F9B7D">
      <w:pPr>
        <w:pStyle w:val="56"/>
        <w:ind w:firstLine="420"/>
      </w:pPr>
      <w:r>
        <w:rPr>
          <w:rFonts w:hint="eastAsia"/>
        </w:rPr>
        <w:t>本文件适用安徽省农村公共卫生突发事件应急管理工作。</w:t>
      </w:r>
    </w:p>
    <w:p w14:paraId="3365E87E">
      <w:pPr>
        <w:pStyle w:val="104"/>
        <w:spacing w:before="312" w:after="312"/>
      </w:pPr>
      <w:bookmarkStart w:id="41" w:name="_Toc130504796"/>
      <w:bookmarkStart w:id="42" w:name="_Toc26986531"/>
      <w:bookmarkStart w:id="43" w:name="_Toc26718931"/>
      <w:bookmarkStart w:id="44" w:name="_Toc26986772"/>
      <w:r>
        <w:rPr>
          <w:rFonts w:hint="eastAsia"/>
        </w:rPr>
        <w:t>规范性引用文件</w:t>
      </w:r>
      <w:bookmarkEnd w:id="36"/>
      <w:bookmarkEnd w:id="37"/>
      <w:bookmarkEnd w:id="38"/>
      <w:bookmarkEnd w:id="39"/>
      <w:bookmarkEnd w:id="40"/>
      <w:bookmarkEnd w:id="41"/>
      <w:bookmarkEnd w:id="42"/>
      <w:bookmarkEnd w:id="43"/>
      <w:bookmarkEnd w:id="44"/>
    </w:p>
    <w:sdt>
      <w:sdtPr>
        <w:rPr>
          <w:rFonts w:hint="eastAsia"/>
        </w:rPr>
        <w:id w:val="715848253"/>
        <w:placeholder>
          <w:docPart w:val="9B91B391B46844A5AC89BBED18024AF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0E620CA">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53238EE">
      <w:pPr>
        <w:pStyle w:val="56"/>
        <w:ind w:firstLine="420"/>
        <w:rPr>
          <w:rFonts w:hint="eastAsia"/>
        </w:rPr>
      </w:pPr>
      <w:r>
        <w:rPr>
          <w:rFonts w:hint="eastAsia"/>
        </w:rPr>
        <w:t>B3710/T132-2021 镇街（村居）应急管理能力建设规范</w:t>
      </w:r>
    </w:p>
    <w:p w14:paraId="157FC9C6">
      <w:pPr>
        <w:pStyle w:val="56"/>
        <w:ind w:firstLine="420"/>
        <w:rPr>
          <w:rFonts w:hint="eastAsia"/>
        </w:rPr>
      </w:pPr>
      <w:r>
        <w:rPr>
          <w:rFonts w:hint="eastAsia"/>
        </w:rPr>
        <w:t>DB4401/T139-2021 社会组织应对突发公共卫生事件防控规范</w:t>
      </w:r>
    </w:p>
    <w:p w14:paraId="73ED2353">
      <w:pPr>
        <w:pStyle w:val="56"/>
        <w:ind w:firstLine="420"/>
        <w:rPr>
          <w:rFonts w:hint="eastAsia"/>
          <w:highlight w:val="none"/>
        </w:rPr>
      </w:pPr>
      <w:r>
        <w:rPr>
          <w:rFonts w:hint="eastAsia"/>
          <w:highlight w:val="none"/>
        </w:rPr>
        <w:t>DB4212/T19-2020   传染病防控人员</w:t>
      </w:r>
      <w:r>
        <w:rPr>
          <w:rFonts w:hint="eastAsia"/>
          <w:highlight w:val="none"/>
          <w:lang w:eastAsia="zh-CN"/>
        </w:rPr>
        <w:t>健</w:t>
      </w:r>
      <w:r>
        <w:rPr>
          <w:rFonts w:hint="eastAsia"/>
          <w:highlight w:val="none"/>
        </w:rPr>
        <w:t>康码管理规范</w:t>
      </w:r>
    </w:p>
    <w:p w14:paraId="3F7DDD27">
      <w:pPr>
        <w:pStyle w:val="56"/>
        <w:ind w:firstLine="420"/>
        <w:rPr>
          <w:rFonts w:hint="eastAsia"/>
        </w:rPr>
      </w:pPr>
      <w:r>
        <w:rPr>
          <w:rFonts w:hint="eastAsia"/>
        </w:rPr>
        <w:t>DB3204/T1007-2020 突发事件应急预案编制指南</w:t>
      </w:r>
    </w:p>
    <w:p w14:paraId="062D05F3">
      <w:pPr>
        <w:pStyle w:val="56"/>
        <w:ind w:firstLine="409" w:firstLineChars="195"/>
        <w:rPr>
          <w:rFonts w:hint="eastAsia"/>
        </w:rPr>
      </w:pPr>
      <w:r>
        <w:rPr>
          <w:rFonts w:hint="eastAsia"/>
        </w:rPr>
        <w:t xml:space="preserve">《中华人民共和国突发事件应对法》 中华人民共和国主席令 第69号 </w:t>
      </w:r>
    </w:p>
    <w:p w14:paraId="4EF2E5E3">
      <w:pPr>
        <w:pStyle w:val="56"/>
        <w:ind w:firstLine="420"/>
        <w:rPr>
          <w:rFonts w:hint="eastAsia"/>
        </w:rPr>
      </w:pPr>
      <w:r>
        <w:rPr>
          <w:rFonts w:hint="eastAsia"/>
        </w:rPr>
        <w:t>《中华人民共和国传染病防治法》 中华人民共和国主席令 第17号《突发公共卫生事件应急条例》 中华人民共和国国务院令 第376号《国家突发公共卫生事件应急预案》</w:t>
      </w:r>
    </w:p>
    <w:p w14:paraId="070B2DD4">
      <w:pPr>
        <w:pStyle w:val="56"/>
        <w:ind w:firstLine="420"/>
      </w:pPr>
      <w:r>
        <w:rPr>
          <w:rFonts w:hint="eastAsia"/>
        </w:rPr>
        <w:t xml:space="preserve">《突发公共卫生事件与传染病疫情监测信息报告管理办法》 原中华人民共和国卫生部令 第37号  </w:t>
      </w:r>
    </w:p>
    <w:p w14:paraId="309CDF1F">
      <w:pPr>
        <w:pStyle w:val="104"/>
        <w:spacing w:before="312" w:after="312"/>
      </w:pPr>
      <w:bookmarkStart w:id="45" w:name="_Toc130504797"/>
      <w:r>
        <w:rPr>
          <w:rFonts w:hint="eastAsia"/>
          <w:szCs w:val="21"/>
        </w:rPr>
        <w:t>术语和定义</w:t>
      </w:r>
      <w:bookmarkEnd w:id="45"/>
    </w:p>
    <w:sdt>
      <w:sdtPr>
        <w:id w:val="-1909835108"/>
        <w:placeholder>
          <w:docPart w:val="634C6EB788C34D1A8AFEDFAA65E8211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5544DF2">
          <w:pPr>
            <w:pStyle w:val="56"/>
            <w:ind w:firstLine="420"/>
          </w:pPr>
          <w:bookmarkStart w:id="46" w:name="_Toc26986532"/>
          <w:bookmarkEnd w:id="46"/>
          <w:r>
            <w:t>下列术语和定义适用于本文件。</w:t>
          </w:r>
        </w:p>
      </w:sdtContent>
    </w:sdt>
    <w:p w14:paraId="1C9718A6">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lang w:eastAsia="zh-CN"/>
        </w:rPr>
        <w:t>农</w:t>
      </w:r>
      <w:r>
        <w:rPr>
          <w:rFonts w:hint="eastAsia" w:ascii="黑体" w:hAnsi="黑体" w:eastAsia="黑体" w:cs="黑体"/>
          <w:b/>
          <w:highlight w:val="none"/>
        </w:rPr>
        <w:t>村</w:t>
      </w:r>
      <w:r>
        <w:rPr>
          <w:rFonts w:hint="eastAsia" w:ascii="黑体" w:hAnsi="黑体" w:eastAsia="黑体" w:cs="黑体"/>
          <w:b/>
        </w:rPr>
        <w:t xml:space="preserve"> village</w:t>
      </w:r>
    </w:p>
    <w:p w14:paraId="10585129">
      <w:pPr>
        <w:pStyle w:val="56"/>
        <w:ind w:firstLine="420"/>
      </w:pPr>
      <w:r>
        <w:rPr>
          <w:rFonts w:hint="eastAsia"/>
        </w:rPr>
        <w:t>具有特定的自然景观和社会经济条件，指以从事农业生产为主的劳动者聚居的地方，是不同于城市、城镇而从事农业的人群聚居地。</w:t>
      </w:r>
    </w:p>
    <w:p w14:paraId="43AC1D28">
      <w:pPr>
        <w:pStyle w:val="223"/>
        <w:ind w:left="420" w:hanging="420" w:hangingChars="200"/>
        <w:rPr>
          <w:rFonts w:ascii="黑体" w:hAnsi="黑体" w:eastAsia="黑体" w:cs="黑体"/>
          <w:b/>
          <w:snapToGrid w:val="0"/>
          <w:szCs w:val="21"/>
        </w:rPr>
      </w:pPr>
      <w:r>
        <w:rPr>
          <w:rFonts w:ascii="黑体" w:hAnsi="黑体" w:eastAsia="黑体"/>
        </w:rPr>
        <w:br w:type="textWrapping"/>
      </w:r>
      <w:r>
        <w:rPr>
          <w:rFonts w:hint="eastAsia" w:ascii="黑体" w:hAnsi="黑体" w:eastAsia="黑体" w:cs="黑体"/>
          <w:b/>
          <w:snapToGrid w:val="0"/>
          <w:szCs w:val="21"/>
          <w:highlight w:val="none"/>
        </w:rPr>
        <w:t>公共卫生</w:t>
      </w:r>
      <w:r>
        <w:rPr>
          <w:rFonts w:hint="eastAsia" w:ascii="黑体" w:hAnsi="黑体" w:eastAsia="黑体" w:cs="黑体"/>
          <w:b/>
          <w:snapToGrid w:val="0"/>
          <w:szCs w:val="21"/>
        </w:rPr>
        <w:t xml:space="preserve">  </w:t>
      </w:r>
      <w:r>
        <w:rPr>
          <w:rFonts w:ascii="黑体" w:hAnsi="黑体" w:eastAsia="黑体" w:cs="黑体"/>
          <w:b/>
          <w:snapToGrid w:val="0"/>
          <w:szCs w:val="21"/>
        </w:rPr>
        <w:t>public health</w:t>
      </w:r>
    </w:p>
    <w:p w14:paraId="75C6B61C">
      <w:pPr>
        <w:pStyle w:val="56"/>
        <w:ind w:firstLine="420"/>
      </w:pPr>
      <w:r>
        <w:rPr>
          <w:rFonts w:hint="eastAsia"/>
        </w:rPr>
        <w:t>公共卫生是关系到一国或一个地区人民大众健康的公共事业。公共卫生的具体内容包括对重大疾病尤其是传染病（如结核、艾滋病、SARS等）的预防、监控和医治；对食品、药品、公共环境卫生的监督管制，以及相关的卫生宣传、健康教育、免疫接种等。例如对SARS的控制预防治疗属于典型的公共卫生职能范畴。</w:t>
      </w:r>
    </w:p>
    <w:p w14:paraId="57ABA88C">
      <w:pPr>
        <w:pStyle w:val="223"/>
        <w:ind w:left="420" w:hanging="420" w:hangingChars="200"/>
        <w:rPr>
          <w:rFonts w:ascii="黑体" w:hAnsi="黑体" w:eastAsia="黑体" w:cs="黑体"/>
          <w:b/>
          <w:bCs/>
          <w:snapToGrid w:val="0"/>
          <w:szCs w:val="21"/>
        </w:rPr>
      </w:pPr>
      <w:r>
        <w:rPr>
          <w:rFonts w:ascii="黑体" w:hAnsi="黑体" w:eastAsia="黑体"/>
        </w:rPr>
        <w:br w:type="textWrapping"/>
      </w:r>
      <w:r>
        <w:rPr>
          <w:rFonts w:ascii="黑体" w:hAnsi="黑体" w:eastAsia="黑体" w:cs="黑体"/>
          <w:b/>
          <w:bCs/>
          <w:snapToGrid w:val="0"/>
          <w:szCs w:val="21"/>
          <w:highlight w:val="none"/>
        </w:rPr>
        <w:t>突发事件</w:t>
      </w:r>
      <w:r>
        <w:rPr>
          <w:rFonts w:ascii="黑体" w:hAnsi="黑体" w:eastAsia="黑体" w:cs="黑体"/>
          <w:snapToGrid w:val="0"/>
          <w:szCs w:val="21"/>
        </w:rPr>
        <w:t xml:space="preserve"> </w:t>
      </w:r>
      <w:r>
        <w:rPr>
          <w:rFonts w:ascii="黑体" w:hAnsi="黑体" w:eastAsia="黑体" w:cs="黑体"/>
          <w:b/>
          <w:bCs/>
          <w:snapToGrid w:val="0"/>
          <w:szCs w:val="21"/>
        </w:rPr>
        <w:t>unexpected</w:t>
      </w:r>
      <w:r>
        <w:rPr>
          <w:rFonts w:ascii="黑体" w:hAnsi="黑体" w:eastAsia="黑体" w:cs="黑体"/>
          <w:snapToGrid w:val="0"/>
          <w:szCs w:val="21"/>
        </w:rPr>
        <w:t xml:space="preserve">  </w:t>
      </w:r>
      <w:r>
        <w:rPr>
          <w:rFonts w:ascii="黑体" w:hAnsi="黑体" w:eastAsia="黑体" w:cs="黑体"/>
          <w:b/>
          <w:bCs/>
          <w:snapToGrid w:val="0"/>
          <w:szCs w:val="21"/>
        </w:rPr>
        <w:t>incident</w:t>
      </w:r>
    </w:p>
    <w:p w14:paraId="35E8A428">
      <w:pPr>
        <w:pStyle w:val="56"/>
        <w:ind w:firstLine="420"/>
      </w:pPr>
      <w:r>
        <w:rPr>
          <w:rFonts w:hint="eastAsia"/>
        </w:rPr>
        <w:t>突然发生、造成或可能造成严重危害，需采取应急处置措施应对的自然灾害、事故灾难、公共卫生事件和社会安全事件。</w:t>
      </w:r>
    </w:p>
    <w:p w14:paraId="4D159087">
      <w:pPr>
        <w:pStyle w:val="223"/>
        <w:ind w:left="420" w:hanging="420" w:hangingChars="200"/>
        <w:rPr>
          <w:rFonts w:ascii="黑体" w:hAnsi="黑体" w:eastAsia="黑体" w:cs="黑体"/>
          <w:b/>
        </w:rPr>
      </w:pPr>
      <w:r>
        <w:rPr>
          <w:rFonts w:ascii="黑体" w:hAnsi="黑体" w:eastAsia="黑体"/>
        </w:rPr>
        <w:br w:type="textWrapping"/>
      </w:r>
      <w:r>
        <w:rPr>
          <w:rFonts w:hint="eastAsia" w:ascii="黑体" w:hAnsi="黑体" w:eastAsia="黑体" w:cs="黑体"/>
          <w:b/>
        </w:rPr>
        <w:t>应急处置 emergency</w:t>
      </w:r>
      <w:r>
        <w:rPr>
          <w:rFonts w:ascii="黑体" w:hAnsi="黑体" w:eastAsia="黑体" w:cs="黑体"/>
          <w:b/>
        </w:rPr>
        <w:t xml:space="preserve"> </w:t>
      </w:r>
      <w:r>
        <w:rPr>
          <w:rFonts w:hint="eastAsia" w:ascii="黑体" w:hAnsi="黑体" w:eastAsia="黑体" w:cs="黑体"/>
          <w:b/>
        </w:rPr>
        <w:t>management</w:t>
      </w:r>
    </w:p>
    <w:p w14:paraId="258681B0">
      <w:pPr>
        <w:pStyle w:val="56"/>
        <w:rPr>
          <w:b w:val="0"/>
          <w:bCs/>
          <w:highlight w:val="yellow"/>
        </w:rPr>
      </w:pPr>
      <w:r>
        <w:rPr>
          <w:rFonts w:hint="eastAsia"/>
          <w:b w:val="0"/>
          <w:bCs/>
          <w:highlight w:val="none"/>
        </w:rPr>
        <w:t>政府及</w:t>
      </w:r>
      <w:r>
        <w:rPr>
          <w:rFonts w:hint="eastAsia"/>
          <w:b w:val="0"/>
          <w:bCs/>
          <w:highlight w:val="none"/>
          <w:lang w:val="en-US" w:eastAsia="zh-CN"/>
        </w:rPr>
        <w:t>相关</w:t>
      </w:r>
      <w:r>
        <w:rPr>
          <w:rFonts w:hint="eastAsia"/>
          <w:b w:val="0"/>
          <w:bCs/>
          <w:highlight w:val="none"/>
        </w:rPr>
        <w:t>部门为尽快控制和减缓突发事件造成的危害和影响，依据有关应急预案</w:t>
      </w:r>
      <w:r>
        <w:rPr>
          <w:rFonts w:hint="eastAsia"/>
          <w:b w:val="0"/>
          <w:bCs/>
          <w:highlight w:val="none"/>
          <w:lang w:val="en-US" w:eastAsia="zh-CN"/>
        </w:rPr>
        <w:t>而进行的一系列有组织、有计划的</w:t>
      </w:r>
      <w:r>
        <w:rPr>
          <w:rFonts w:hint="eastAsia"/>
          <w:b w:val="0"/>
          <w:bCs/>
          <w:highlight w:val="none"/>
        </w:rPr>
        <w:t>活动。</w:t>
      </w:r>
    </w:p>
    <w:p w14:paraId="3649F690">
      <w:pPr>
        <w:pStyle w:val="223"/>
        <w:ind w:left="420" w:hanging="420" w:hangingChars="200"/>
        <w:rPr>
          <w:rFonts w:ascii="黑体" w:hAnsi="黑体" w:eastAsia="黑体" w:cs="黑体"/>
          <w:b/>
        </w:rPr>
      </w:pPr>
      <w:r>
        <w:rPr>
          <w:rFonts w:ascii="黑体" w:hAnsi="黑体" w:eastAsia="黑体"/>
        </w:rPr>
        <w:br w:type="textWrapping"/>
      </w:r>
      <w:r>
        <w:rPr>
          <w:rFonts w:hint="eastAsia" w:ascii="黑体" w:hAnsi="黑体" w:eastAsia="黑体" w:cs="黑体"/>
          <w:b/>
        </w:rPr>
        <w:t xml:space="preserve">指南 </w:t>
      </w:r>
      <w:r>
        <w:rPr>
          <w:rFonts w:ascii="黑体" w:hAnsi="黑体" w:eastAsia="黑体" w:cs="黑体"/>
          <w:b/>
        </w:rPr>
        <w:t>guidelines</w:t>
      </w:r>
    </w:p>
    <w:p w14:paraId="79F34176">
      <w:pPr>
        <w:pStyle w:val="56"/>
        <w:ind w:firstLine="420"/>
      </w:pPr>
      <w:r>
        <w:rPr>
          <w:rFonts w:hint="eastAsia"/>
        </w:rPr>
        <w:t>给出某主题的一般性、原则性、方向性的信息、指导或建议的文件。</w:t>
      </w:r>
    </w:p>
    <w:p w14:paraId="722AD5F3">
      <w:pPr>
        <w:pStyle w:val="104"/>
        <w:spacing w:before="312" w:after="312"/>
      </w:pPr>
      <w:bookmarkStart w:id="47" w:name="_Toc130504798"/>
      <w:r>
        <w:rPr>
          <w:rFonts w:hint="eastAsia"/>
        </w:rPr>
        <w:t>组织机构和职责</w:t>
      </w:r>
      <w:bookmarkEnd w:id="47"/>
    </w:p>
    <w:p w14:paraId="0D32BFE9">
      <w:pPr>
        <w:pStyle w:val="56"/>
        <w:ind w:firstLine="420"/>
      </w:pPr>
      <w:r>
        <w:drawing>
          <wp:inline distT="0" distB="0" distL="0" distR="0">
            <wp:extent cx="4495165" cy="2343150"/>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a:stretch>
                      <a:fillRect/>
                    </a:stretch>
                  </pic:blipFill>
                  <pic:spPr>
                    <a:xfrm>
                      <a:off x="0" y="0"/>
                      <a:ext cx="4505226" cy="2348351"/>
                    </a:xfrm>
                    <a:prstGeom prst="rect">
                      <a:avLst/>
                    </a:prstGeom>
                  </pic:spPr>
                </pic:pic>
              </a:graphicData>
            </a:graphic>
          </wp:inline>
        </w:drawing>
      </w:r>
    </w:p>
    <w:p w14:paraId="7BF96550">
      <w:pPr>
        <w:pStyle w:val="105"/>
        <w:spacing w:before="156" w:after="156"/>
      </w:pPr>
      <w:r>
        <w:rPr>
          <w:rFonts w:hint="eastAsia"/>
        </w:rPr>
        <w:t>突发事件总指挥应由</w:t>
      </w:r>
      <w:r>
        <w:rPr>
          <w:rFonts w:hint="eastAsia"/>
          <w:highlight w:val="none"/>
        </w:rPr>
        <w:t>当地疾病预防控制中心负责人和村支书担任，副总指挥应由村安全生产主要负责人担任，</w:t>
      </w:r>
      <w:r>
        <w:rPr>
          <w:rFonts w:hint="eastAsia"/>
          <w:highlight w:val="none"/>
          <w:lang w:val="en-US" w:eastAsia="zh-CN"/>
        </w:rPr>
        <w:t>应急办公室和各组</w:t>
      </w:r>
      <w:r>
        <w:rPr>
          <w:rFonts w:hint="eastAsia"/>
          <w:highlight w:val="none"/>
        </w:rPr>
        <w:t>成员应由该疾病预防控制中心</w:t>
      </w:r>
      <w:r>
        <w:rPr>
          <w:rFonts w:hint="eastAsia"/>
        </w:rPr>
        <w:t>和农村内安全生产各领域和各部门的工作人员担任。</w:t>
      </w:r>
    </w:p>
    <w:p w14:paraId="3F2DB956">
      <w:pPr>
        <w:pStyle w:val="105"/>
        <w:spacing w:before="156" w:after="156"/>
      </w:pPr>
      <w:r>
        <w:rPr>
          <w:rFonts w:hint="eastAsia"/>
        </w:rPr>
        <w:t>职责</w:t>
      </w:r>
    </w:p>
    <w:p w14:paraId="40CF65AC">
      <w:pPr>
        <w:pStyle w:val="65"/>
        <w:spacing w:before="156" w:after="156"/>
      </w:pPr>
      <w:r>
        <w:rPr>
          <w:rFonts w:hint="eastAsia"/>
        </w:rPr>
        <w:t>总指挥职责</w:t>
      </w:r>
    </w:p>
    <w:p w14:paraId="73D3E7CD">
      <w:pPr>
        <w:pStyle w:val="94"/>
        <w:spacing w:before="156" w:after="156"/>
      </w:pPr>
      <w:r>
        <w:rPr>
          <w:rFonts w:hint="eastAsia"/>
        </w:rPr>
        <w:t>组织制定应急预案和建立健全该村应急架构体系。</w:t>
      </w:r>
    </w:p>
    <w:p w14:paraId="6C62A736">
      <w:pPr>
        <w:pStyle w:val="94"/>
        <w:spacing w:before="156" w:after="156"/>
      </w:pPr>
      <w:r>
        <w:rPr>
          <w:rFonts w:hint="eastAsia"/>
        </w:rPr>
        <w:t>根据实际情况决定启动或终止应急救援。</w:t>
      </w:r>
    </w:p>
    <w:p w14:paraId="1F3F95F6">
      <w:pPr>
        <w:pStyle w:val="94"/>
        <w:spacing w:before="156" w:after="156"/>
      </w:pPr>
      <w:r>
        <w:rPr>
          <w:rFonts w:hint="eastAsia"/>
        </w:rPr>
        <w:t>组织指挥应急队伍实施应急疏散和抢险救援行动。</w:t>
      </w:r>
    </w:p>
    <w:p w14:paraId="6F06C6B7">
      <w:pPr>
        <w:pStyle w:val="94"/>
        <w:spacing w:before="156" w:after="156"/>
      </w:pPr>
      <w:r>
        <w:rPr>
          <w:rFonts w:hint="eastAsia"/>
        </w:rPr>
        <w:t>根据现场情况，及时报告</w:t>
      </w:r>
      <w:r>
        <w:rPr>
          <w:rFonts w:hint="eastAsia"/>
          <w:highlight w:val="none"/>
          <w:lang w:val="en-US" w:eastAsia="zh-CN"/>
        </w:rPr>
        <w:t>当地人民政府行政卫生主管</w:t>
      </w:r>
      <w:r>
        <w:rPr>
          <w:rFonts w:hint="eastAsia"/>
          <w:highlight w:val="none"/>
        </w:rPr>
        <w:t>部门</w:t>
      </w:r>
      <w:r>
        <w:rPr>
          <w:rFonts w:hint="eastAsia"/>
        </w:rPr>
        <w:t>和外部救援机构，并告知该村其他单位事故情况。</w:t>
      </w:r>
    </w:p>
    <w:p w14:paraId="400383A8">
      <w:pPr>
        <w:pStyle w:val="94"/>
        <w:spacing w:before="156" w:after="156"/>
      </w:pPr>
      <w:r>
        <w:rPr>
          <w:rFonts w:hint="eastAsia"/>
        </w:rPr>
        <w:t>调配应急资源。</w:t>
      </w:r>
    </w:p>
    <w:p w14:paraId="0C5112C1">
      <w:pPr>
        <w:pStyle w:val="94"/>
        <w:spacing w:before="156" w:after="156"/>
      </w:pPr>
      <w:r>
        <w:rPr>
          <w:rFonts w:hint="eastAsia"/>
        </w:rPr>
        <w:t>组织事故后期处置工作。</w:t>
      </w:r>
    </w:p>
    <w:p w14:paraId="771E3069">
      <w:pPr>
        <w:pStyle w:val="94"/>
        <w:spacing w:before="156" w:after="156"/>
      </w:pPr>
      <w:r>
        <w:rPr>
          <w:rFonts w:hint="eastAsia"/>
        </w:rPr>
        <w:t>组织事故调查，总结应急救援经验教训。</w:t>
      </w:r>
    </w:p>
    <w:p w14:paraId="61AA3DC1">
      <w:pPr>
        <w:pStyle w:val="94"/>
        <w:spacing w:before="156" w:after="156"/>
      </w:pPr>
      <w:r>
        <w:rPr>
          <w:rFonts w:hint="eastAsia"/>
        </w:rPr>
        <w:t>负责组织保护事故现场及相关数据，事故信息的上报。</w:t>
      </w:r>
    </w:p>
    <w:p w14:paraId="5976FC0E">
      <w:pPr>
        <w:pStyle w:val="65"/>
        <w:spacing w:before="156" w:after="156"/>
      </w:pPr>
      <w:r>
        <w:rPr>
          <w:rFonts w:hint="eastAsia"/>
        </w:rPr>
        <w:t>副总指挥职责</w:t>
      </w:r>
    </w:p>
    <w:p w14:paraId="01B10B03">
      <w:pPr>
        <w:pStyle w:val="94"/>
        <w:spacing w:before="156" w:after="156"/>
      </w:pPr>
      <w:r>
        <w:rPr>
          <w:rFonts w:hint="eastAsia"/>
        </w:rPr>
        <w:t>协助总指挥负责现场应急救援的具体指挥工作。</w:t>
      </w:r>
    </w:p>
    <w:p w14:paraId="055EFEDD">
      <w:pPr>
        <w:pStyle w:val="94"/>
        <w:spacing w:before="156" w:after="156"/>
      </w:pPr>
      <w:r>
        <w:rPr>
          <w:rFonts w:hint="eastAsia"/>
        </w:rPr>
        <w:t>总指挥不在单位时，受总指挥的指定或委托，代行总指挥职责。</w:t>
      </w:r>
    </w:p>
    <w:p w14:paraId="2A2986AA">
      <w:pPr>
        <w:pStyle w:val="94"/>
        <w:spacing w:before="156" w:after="156"/>
      </w:pPr>
      <w:r>
        <w:rPr>
          <w:rFonts w:hint="eastAsia"/>
        </w:rPr>
        <w:t>及时向总指挥汇报抢险救援工作及事故应急处理的进展情况。</w:t>
      </w:r>
    </w:p>
    <w:p w14:paraId="5117E6D1">
      <w:pPr>
        <w:pStyle w:val="94"/>
        <w:spacing w:before="156" w:after="156"/>
      </w:pPr>
      <w:r>
        <w:rPr>
          <w:rFonts w:hint="eastAsia"/>
        </w:rPr>
        <w:t>组织相关人员核实事故现场人员伤亡和损失情况。</w:t>
      </w:r>
    </w:p>
    <w:p w14:paraId="1930A399">
      <w:pPr>
        <w:pStyle w:val="94"/>
        <w:spacing w:before="156" w:after="156"/>
      </w:pPr>
      <w:r>
        <w:rPr>
          <w:rFonts w:hint="eastAsia"/>
        </w:rPr>
        <w:t>在应急终止后，负责组织事故现场的恢复工作。</w:t>
      </w:r>
    </w:p>
    <w:p w14:paraId="10A2D900">
      <w:pPr>
        <w:pStyle w:val="65"/>
        <w:spacing w:before="156" w:after="156"/>
      </w:pPr>
      <w:r>
        <w:rPr>
          <w:rFonts w:hint="eastAsia"/>
        </w:rPr>
        <w:t>应急办公室职责</w:t>
      </w:r>
    </w:p>
    <w:p w14:paraId="25BCC5FC">
      <w:pPr>
        <w:pStyle w:val="94"/>
        <w:spacing w:before="156" w:after="156"/>
      </w:pPr>
      <w:r>
        <w:rPr>
          <w:rFonts w:hint="eastAsia"/>
        </w:rPr>
        <w:t>负责制定该地内突发事件应急处置预案。</w:t>
      </w:r>
    </w:p>
    <w:p w14:paraId="0E8C35E2">
      <w:pPr>
        <w:pStyle w:val="94"/>
        <w:spacing w:before="156" w:after="156"/>
      </w:pPr>
      <w:r>
        <w:rPr>
          <w:rFonts w:hint="eastAsia"/>
        </w:rPr>
        <w:t>负责日常应急管理工作，负责接听应急救援电话和应急处置信息的记录更新工作。</w:t>
      </w:r>
    </w:p>
    <w:p w14:paraId="7BA54E51">
      <w:pPr>
        <w:pStyle w:val="94"/>
        <w:spacing w:before="156" w:after="156"/>
      </w:pPr>
      <w:r>
        <w:rPr>
          <w:rFonts w:hint="eastAsia"/>
        </w:rPr>
        <w:t>组织应急物资的保障和人员的应急救援教育、培训和演练。</w:t>
      </w:r>
    </w:p>
    <w:p w14:paraId="41C83C51">
      <w:pPr>
        <w:pStyle w:val="94"/>
        <w:spacing w:before="156" w:after="156"/>
      </w:pPr>
      <w:r>
        <w:rPr>
          <w:rFonts w:hint="eastAsia"/>
        </w:rPr>
        <w:t>做好应急物资的配备、检查工作。</w:t>
      </w:r>
    </w:p>
    <w:p w14:paraId="2D705399">
      <w:pPr>
        <w:pStyle w:val="94"/>
        <w:bidi w:val="0"/>
        <w:ind w:left="0" w:leftChars="0" w:firstLine="0" w:firstLineChars="0"/>
        <w:rPr>
          <w:rFonts w:hint="default"/>
          <w:lang w:val="en-US" w:eastAsia="zh-CN"/>
        </w:rPr>
      </w:pPr>
      <w:r>
        <w:rPr>
          <w:rFonts w:hint="eastAsia"/>
        </w:rPr>
        <w:t>做好应急队伍的调度、补充工作。</w:t>
      </w:r>
    </w:p>
    <w:p w14:paraId="186DD3F9">
      <w:pPr>
        <w:pStyle w:val="94"/>
        <w:bidi w:val="0"/>
        <w:ind w:left="0" w:leftChars="0" w:firstLine="0" w:firstLineChars="0"/>
        <w:rPr>
          <w:rFonts w:hint="default"/>
          <w:highlight w:val="none"/>
          <w:lang w:val="en-US" w:eastAsia="zh-CN"/>
        </w:rPr>
      </w:pPr>
      <w:r>
        <w:rPr>
          <w:rFonts w:hint="eastAsia"/>
          <w:highlight w:val="none"/>
          <w:lang w:val="en-US" w:eastAsia="zh-CN"/>
        </w:rPr>
        <w:t>做好资金管理，专款专用，保障基本公共卫生服务开展支出。</w:t>
      </w:r>
    </w:p>
    <w:p w14:paraId="148A422A">
      <w:pPr>
        <w:pStyle w:val="65"/>
        <w:spacing w:before="156" w:after="156"/>
        <w:rPr>
          <w:highlight w:val="none"/>
        </w:rPr>
      </w:pPr>
      <w:r>
        <w:rPr>
          <w:rFonts w:hint="eastAsia"/>
          <w:highlight w:val="none"/>
        </w:rPr>
        <w:t>专家评估组职责</w:t>
      </w:r>
    </w:p>
    <w:p w14:paraId="77B4BC6B">
      <w:pPr>
        <w:pStyle w:val="94"/>
        <w:spacing w:before="156" w:after="156"/>
        <w:rPr>
          <w:highlight w:val="none"/>
        </w:rPr>
      </w:pPr>
      <w:r>
        <w:rPr>
          <w:rFonts w:hint="eastAsia"/>
          <w:highlight w:val="none"/>
        </w:rPr>
        <w:t>执行总指挥的指令。</w:t>
      </w:r>
    </w:p>
    <w:p w14:paraId="2B60B5B2">
      <w:pPr>
        <w:pStyle w:val="94"/>
        <w:spacing w:before="156" w:after="156"/>
        <w:rPr>
          <w:highlight w:val="none"/>
        </w:rPr>
      </w:pPr>
      <w:r>
        <w:rPr>
          <w:rFonts w:hint="eastAsia"/>
          <w:highlight w:val="none"/>
        </w:rPr>
        <w:t>负责评估救援风险等级。</w:t>
      </w:r>
    </w:p>
    <w:p w14:paraId="7ED437ED">
      <w:pPr>
        <w:pStyle w:val="94"/>
        <w:spacing w:before="156" w:after="156"/>
        <w:rPr>
          <w:highlight w:val="none"/>
        </w:rPr>
      </w:pPr>
      <w:r>
        <w:rPr>
          <w:rFonts w:hint="eastAsia"/>
          <w:highlight w:val="none"/>
        </w:rPr>
        <w:t>负责判断</w:t>
      </w:r>
      <w:r>
        <w:rPr>
          <w:rFonts w:hint="eastAsia"/>
          <w:highlight w:val="none"/>
          <w:lang w:val="en-US" w:eastAsia="zh-CN"/>
        </w:rPr>
        <w:t>传染病等级。</w:t>
      </w:r>
    </w:p>
    <w:p w14:paraId="54FD6169">
      <w:pPr>
        <w:pStyle w:val="94"/>
        <w:spacing w:before="156" w:after="156"/>
      </w:pPr>
      <w:r>
        <w:rPr>
          <w:rFonts w:hint="eastAsia"/>
        </w:rPr>
        <w:t>负责排险、控险。</w:t>
      </w:r>
    </w:p>
    <w:p w14:paraId="303E36B9">
      <w:pPr>
        <w:pStyle w:val="65"/>
        <w:spacing w:before="156" w:after="156"/>
      </w:pPr>
      <w:r>
        <w:rPr>
          <w:rFonts w:hint="eastAsia"/>
        </w:rPr>
        <w:t>警戒安全保卫组职责</w:t>
      </w:r>
    </w:p>
    <w:p w14:paraId="2FB486D8">
      <w:pPr>
        <w:pStyle w:val="94"/>
        <w:spacing w:before="156" w:after="156"/>
      </w:pPr>
      <w:r>
        <w:rPr>
          <w:rFonts w:hint="eastAsia"/>
        </w:rPr>
        <w:t>执行总指挥的指令，配合上级政府应急救援组织开展应急救援工作。</w:t>
      </w:r>
    </w:p>
    <w:p w14:paraId="5A4D0690">
      <w:pPr>
        <w:pStyle w:val="94"/>
        <w:spacing w:before="156" w:after="156"/>
      </w:pPr>
      <w:r>
        <w:rPr>
          <w:rFonts w:hint="eastAsia"/>
        </w:rPr>
        <w:t>负责现场警戒，严禁无关人员进入抢险救援现场。</w:t>
      </w:r>
    </w:p>
    <w:p w14:paraId="72F6150A">
      <w:pPr>
        <w:pStyle w:val="94"/>
        <w:spacing w:before="156" w:after="156"/>
      </w:pPr>
      <w:r>
        <w:rPr>
          <w:rFonts w:hint="eastAsia"/>
        </w:rPr>
        <w:t>负责人员疏散、维护现场秩序、保护事故现场。</w:t>
      </w:r>
    </w:p>
    <w:p w14:paraId="736B8D0F">
      <w:pPr>
        <w:pStyle w:val="94"/>
        <w:spacing w:before="156" w:after="156"/>
      </w:pPr>
      <w:r>
        <w:rPr>
          <w:rFonts w:hint="eastAsia"/>
        </w:rPr>
        <w:t>保障救援现场道路交通畅通无阻。</w:t>
      </w:r>
    </w:p>
    <w:p w14:paraId="2EBE1316">
      <w:pPr>
        <w:pStyle w:val="94"/>
        <w:spacing w:before="156" w:after="156"/>
      </w:pPr>
      <w:r>
        <w:rPr>
          <w:rFonts w:hint="eastAsia"/>
        </w:rPr>
        <w:t>负责引导消防、120救援车辆以及医护人员进入该地。</w:t>
      </w:r>
    </w:p>
    <w:p w14:paraId="5458098C">
      <w:pPr>
        <w:pStyle w:val="65"/>
        <w:spacing w:before="156" w:after="156"/>
      </w:pPr>
      <w:r>
        <w:rPr>
          <w:rFonts w:hint="eastAsia"/>
        </w:rPr>
        <w:t>应急通讯联络组职责</w:t>
      </w:r>
    </w:p>
    <w:p w14:paraId="09D75F46">
      <w:pPr>
        <w:pStyle w:val="94"/>
        <w:spacing w:before="156" w:after="156"/>
      </w:pPr>
      <w:r>
        <w:rPr>
          <w:rFonts w:hint="eastAsia"/>
        </w:rPr>
        <w:t>保证总指挥指挥信息的畅通和及时传达。</w:t>
      </w:r>
    </w:p>
    <w:p w14:paraId="5D45F19C">
      <w:pPr>
        <w:pStyle w:val="94"/>
        <w:spacing w:before="156" w:after="156"/>
      </w:pPr>
      <w:r>
        <w:rPr>
          <w:rFonts w:hint="eastAsia"/>
        </w:rPr>
        <w:t>负责对外联络事宜。</w:t>
      </w:r>
    </w:p>
    <w:p w14:paraId="41C96219">
      <w:pPr>
        <w:pStyle w:val="94"/>
        <w:spacing w:before="156" w:after="156"/>
      </w:pPr>
      <w:r>
        <w:rPr>
          <w:rFonts w:hint="eastAsia"/>
        </w:rPr>
        <w:t>负责提供相应救援组织和人员的通讯联络方式。</w:t>
      </w:r>
    </w:p>
    <w:p w14:paraId="5EC30537">
      <w:pPr>
        <w:pStyle w:val="94"/>
        <w:spacing w:before="156" w:after="156"/>
      </w:pPr>
      <w:r>
        <w:rPr>
          <w:rFonts w:hint="eastAsia"/>
        </w:rPr>
        <w:t>负责掌握内、外联络信息、方式。</w:t>
      </w:r>
    </w:p>
    <w:p w14:paraId="1BB8E393">
      <w:pPr>
        <w:pStyle w:val="94"/>
        <w:spacing w:before="156" w:after="156"/>
      </w:pPr>
      <w:r>
        <w:rPr>
          <w:rFonts w:hint="eastAsia"/>
        </w:rPr>
        <w:t>负责在紧急情况下保持通讯联络的畅通。</w:t>
      </w:r>
    </w:p>
    <w:p w14:paraId="58E02528">
      <w:pPr>
        <w:pStyle w:val="65"/>
        <w:spacing w:before="156" w:after="156"/>
      </w:pPr>
      <w:r>
        <w:rPr>
          <w:rFonts w:hint="eastAsia"/>
        </w:rPr>
        <w:t>医疗救护组职责</w:t>
      </w:r>
    </w:p>
    <w:p w14:paraId="1FF7D6CE">
      <w:pPr>
        <w:pStyle w:val="94"/>
        <w:spacing w:before="156" w:after="156"/>
      </w:pPr>
      <w:r>
        <w:rPr>
          <w:rFonts w:hint="eastAsia"/>
        </w:rPr>
        <w:t>执行总指挥的指令。</w:t>
      </w:r>
    </w:p>
    <w:p w14:paraId="5943A57A">
      <w:pPr>
        <w:pStyle w:val="94"/>
        <w:spacing w:before="156" w:after="156"/>
      </w:pPr>
      <w:r>
        <w:rPr>
          <w:rFonts w:hint="eastAsia"/>
        </w:rPr>
        <w:t>负责受伤人员的紧急救助和救护工作。</w:t>
      </w:r>
    </w:p>
    <w:p w14:paraId="2F5A6216">
      <w:pPr>
        <w:pStyle w:val="94"/>
        <w:spacing w:before="156" w:after="156"/>
      </w:pPr>
      <w:r>
        <w:rPr>
          <w:rFonts w:hint="eastAsia"/>
        </w:rPr>
        <w:t>负责转运受伤人员到医院急救。</w:t>
      </w:r>
    </w:p>
    <w:p w14:paraId="74FD98B5">
      <w:pPr>
        <w:pStyle w:val="94"/>
        <w:spacing w:before="156" w:after="156"/>
      </w:pPr>
      <w:r>
        <w:rPr>
          <w:rFonts w:hint="eastAsia"/>
        </w:rPr>
        <w:t>负责引导救护车停靠并接收伤病员。</w:t>
      </w:r>
    </w:p>
    <w:p w14:paraId="6950C974">
      <w:pPr>
        <w:pStyle w:val="94"/>
        <w:spacing w:before="156" w:after="156"/>
      </w:pPr>
      <w:r>
        <w:rPr>
          <w:rFonts w:hint="eastAsia"/>
        </w:rPr>
        <w:t>负责提供抢险救灾人员的食品、药品、生活用品的供应工作。</w:t>
      </w:r>
    </w:p>
    <w:p w14:paraId="14868715">
      <w:pPr>
        <w:pStyle w:val="65"/>
        <w:spacing w:before="156" w:after="156"/>
      </w:pPr>
      <w:r>
        <w:rPr>
          <w:rFonts w:hint="eastAsia"/>
        </w:rPr>
        <w:t>调查善后处理组</w:t>
      </w:r>
    </w:p>
    <w:p w14:paraId="0E4A1972">
      <w:pPr>
        <w:pStyle w:val="94"/>
        <w:spacing w:before="156" w:after="156"/>
      </w:pPr>
      <w:r>
        <w:rPr>
          <w:rFonts w:hint="eastAsia"/>
        </w:rPr>
        <w:t xml:space="preserve">负责现场处置、伤亡善后工作。 </w:t>
      </w:r>
    </w:p>
    <w:p w14:paraId="177EB641">
      <w:pPr>
        <w:pStyle w:val="94"/>
        <w:spacing w:before="156" w:after="156"/>
      </w:pPr>
      <w:r>
        <w:rPr>
          <w:rFonts w:hint="eastAsia"/>
        </w:rPr>
        <w:t>负责尽快消除事故影响，妥善安置和慰问受害及受影响人员，保证人员情绪稳定，尽量恢复正常工作秩序。</w:t>
      </w:r>
    </w:p>
    <w:p w14:paraId="240652F7">
      <w:pPr>
        <w:pStyle w:val="94"/>
        <w:spacing w:before="156" w:after="156"/>
      </w:pPr>
      <w:r>
        <w:rPr>
          <w:rFonts w:hint="eastAsia"/>
        </w:rPr>
        <w:t>查明公共卫生事件发生的经过、原因、人员伤亡情况及直接经济损失。</w:t>
      </w:r>
    </w:p>
    <w:p w14:paraId="36FCBC7C">
      <w:pPr>
        <w:pStyle w:val="94"/>
        <w:spacing w:before="156" w:after="156"/>
      </w:pPr>
      <w:r>
        <w:rPr>
          <w:rFonts w:hint="eastAsia"/>
        </w:rPr>
        <w:t>提出对事件责任者的处理建议。总结事件教训，提出防范和整改措施。</w:t>
      </w:r>
    </w:p>
    <w:p w14:paraId="66A82EB5">
      <w:pPr>
        <w:pStyle w:val="94"/>
        <w:spacing w:before="156" w:after="156"/>
      </w:pPr>
      <w:r>
        <w:rPr>
          <w:rFonts w:hint="eastAsia"/>
        </w:rPr>
        <w:t>提交事件调查报告。</w:t>
      </w:r>
    </w:p>
    <w:p w14:paraId="7A016868">
      <w:pPr>
        <w:pStyle w:val="105"/>
        <w:spacing w:before="156" w:after="156"/>
      </w:pPr>
      <w:r>
        <w:rPr>
          <w:rFonts w:hint="eastAsia"/>
        </w:rPr>
        <w:t>村卫生室康复服务人员应具有医疗、教育、康复、心理、社工、辅具、托养等康复相关专业执业资格证书（康复医师、康复护士、康复治疗师、心理治疗师、社会工作师等），每年至少接受30~50 学时培训。</w:t>
      </w:r>
    </w:p>
    <w:p w14:paraId="00D400F1">
      <w:pPr>
        <w:pStyle w:val="105"/>
        <w:spacing w:before="156" w:after="156"/>
      </w:pPr>
      <w:r>
        <w:rPr>
          <w:rFonts w:hint="eastAsia"/>
        </w:rPr>
        <w:t>专家技术指导小组的专家成员应爱岗敬业、乐于奉献，具有相关专业中级以上职称及5年以上工作经验。</w:t>
      </w:r>
    </w:p>
    <w:p w14:paraId="7F4B6182">
      <w:pPr>
        <w:pStyle w:val="104"/>
        <w:spacing w:before="312" w:after="312"/>
      </w:pPr>
      <w:bookmarkStart w:id="48" w:name="_Toc130504799"/>
      <w:r>
        <w:rPr>
          <w:rFonts w:hint="eastAsia"/>
        </w:rPr>
        <w:t>工作原则</w:t>
      </w:r>
      <w:bookmarkEnd w:id="48"/>
    </w:p>
    <w:p w14:paraId="1C378AF8">
      <w:pPr>
        <w:pStyle w:val="105"/>
        <w:spacing w:before="156" w:after="156"/>
        <w:rPr>
          <w:highlight w:val="none"/>
        </w:rPr>
      </w:pPr>
      <w:r>
        <w:rPr>
          <w:rFonts w:hint="eastAsia"/>
          <w:highlight w:val="none"/>
        </w:rPr>
        <w:t>预防为主，平战结合。应坚持突发事件应急与预防工作相结合，加强重大风险管理，做好事故预防工作。开展培训教育，组织应急演练，做到常备不懈，提高从业人员应急意识，做好物资和技术储备工作。</w:t>
      </w:r>
    </w:p>
    <w:p w14:paraId="304AD810">
      <w:pPr>
        <w:pStyle w:val="105"/>
        <w:spacing w:before="156" w:after="156"/>
      </w:pPr>
      <w:r>
        <w:rPr>
          <w:rFonts w:hint="eastAsia"/>
          <w:highlight w:val="none"/>
        </w:rPr>
        <w:t>以人为本，安全第一 。发生突发事件时优先保护人的安全。应急人员应做到处事不乱，</w:t>
      </w:r>
      <w:r>
        <w:rPr>
          <w:rFonts w:hint="eastAsia"/>
          <w:highlight w:val="none"/>
          <w:lang w:val="en-US" w:eastAsia="zh-CN"/>
        </w:rPr>
        <w:t>在保证自身安全的前提下，</w:t>
      </w:r>
      <w:r>
        <w:rPr>
          <w:rFonts w:hint="eastAsia"/>
          <w:highlight w:val="none"/>
        </w:rPr>
        <w:t>按预案要求尽可能地采取有效措施，若不能消除和阻止事故扩大，应采取正确的逃生方法进行撤离，并迅速将险情</w:t>
      </w:r>
      <w:r>
        <w:rPr>
          <w:rFonts w:hint="eastAsia"/>
        </w:rPr>
        <w:t>上报。</w:t>
      </w:r>
    </w:p>
    <w:p w14:paraId="02845680">
      <w:pPr>
        <w:pStyle w:val="105"/>
        <w:spacing w:before="156" w:after="156"/>
      </w:pPr>
      <w:r>
        <w:rPr>
          <w:rFonts w:hint="eastAsia"/>
        </w:rPr>
        <w:t>统一指挥，分级负责。总指挥负责指挥本单位事故应急救援工作，有关部门、应急人员按照各自职责和权限，负责突发事件的应急处置工作。</w:t>
      </w:r>
    </w:p>
    <w:p w14:paraId="0300CBCA">
      <w:pPr>
        <w:pStyle w:val="105"/>
        <w:spacing w:before="156" w:after="156"/>
      </w:pPr>
      <w:r>
        <w:rPr>
          <w:rFonts w:hint="eastAsia"/>
        </w:rPr>
        <w:t>快速响应，果断处置。突发事件的发生具有很强的突发性，在很短的时间内快速扩大，应按照快速响应的原则快速、及时启动应急预案。</w:t>
      </w:r>
    </w:p>
    <w:p w14:paraId="25C4EEBB">
      <w:pPr>
        <w:pStyle w:val="104"/>
        <w:spacing w:before="312" w:after="312"/>
      </w:pPr>
      <w:bookmarkStart w:id="49" w:name="_Toc130504800"/>
      <w:r>
        <w:rPr>
          <w:rFonts w:hint="eastAsia"/>
        </w:rPr>
        <w:t>预防与预警机制</w:t>
      </w:r>
      <w:bookmarkEnd w:id="49"/>
    </w:p>
    <w:p w14:paraId="0C39F114">
      <w:pPr>
        <w:pStyle w:val="105"/>
        <w:spacing w:before="156" w:after="156"/>
      </w:pPr>
      <w:r>
        <w:rPr>
          <w:rFonts w:hint="eastAsia"/>
        </w:rPr>
        <w:t>包括应急准备措施、预警分级指标及标准、预警发布或解除的程序和预警响应措施等。</w:t>
      </w:r>
    </w:p>
    <w:p w14:paraId="2C26ED28">
      <w:pPr>
        <w:pStyle w:val="105"/>
        <w:spacing w:before="156" w:after="156"/>
      </w:pPr>
      <w:r>
        <w:rPr>
          <w:rFonts w:hint="eastAsia"/>
        </w:rPr>
        <w:t>应急处置包括应急预案启动条件、信息报告、先期处置、分级响应、指挥与协调、信息发布、应急终止等。</w:t>
      </w:r>
    </w:p>
    <w:p w14:paraId="4A48F41A">
      <w:pPr>
        <w:pStyle w:val="105"/>
        <w:spacing w:before="156" w:after="156"/>
      </w:pPr>
      <w:r>
        <w:rPr>
          <w:rFonts w:hint="eastAsia"/>
        </w:rPr>
        <w:t>恢复与重建包括善后处置、社会救助、调查与评估、恢复重建等。</w:t>
      </w:r>
    </w:p>
    <w:p w14:paraId="5E1C14A2">
      <w:pPr>
        <w:pStyle w:val="105"/>
        <w:spacing w:before="156" w:after="156"/>
      </w:pPr>
      <w:r>
        <w:rPr>
          <w:rFonts w:hint="eastAsia"/>
        </w:rPr>
        <w:t xml:space="preserve">应急保障   </w:t>
      </w:r>
    </w:p>
    <w:p w14:paraId="3C125E2B">
      <w:pPr>
        <w:pStyle w:val="65"/>
        <w:spacing w:before="156" w:after="156"/>
        <w:rPr>
          <w:highlight w:val="none"/>
        </w:rPr>
      </w:pPr>
      <w:r>
        <w:rPr>
          <w:rFonts w:hint="eastAsia"/>
        </w:rPr>
        <w:t>包括应急队伍保障、财力保障、物资保障、医疗卫生保障、交通运输保障、治安维护、人员防护</w:t>
      </w:r>
      <w:r>
        <w:rPr>
          <w:rFonts w:hint="eastAsia"/>
          <w:highlight w:val="none"/>
        </w:rPr>
        <w:t>、通信保障、现场救援和工程抢险装备保障、应急避难场所保障、科技支撑、气象服务保障、环境监测保障</w:t>
      </w:r>
      <w:r>
        <w:rPr>
          <w:rFonts w:hint="eastAsia"/>
          <w:highlight w:val="none"/>
          <w:lang w:eastAsia="zh-CN"/>
        </w:rPr>
        <w:t>、</w:t>
      </w:r>
      <w:r>
        <w:rPr>
          <w:rFonts w:hint="eastAsia"/>
          <w:highlight w:val="none"/>
          <w:lang w:val="en-US" w:eastAsia="zh-CN"/>
        </w:rPr>
        <w:t>金融保险保障</w:t>
      </w:r>
      <w:r>
        <w:rPr>
          <w:rFonts w:hint="eastAsia"/>
          <w:highlight w:val="none"/>
        </w:rPr>
        <w:t>等。</w:t>
      </w:r>
    </w:p>
    <w:p w14:paraId="758DCC20">
      <w:pPr>
        <w:pStyle w:val="105"/>
        <w:spacing w:before="156" w:after="156"/>
        <w:rPr>
          <w:highlight w:val="none"/>
        </w:rPr>
      </w:pPr>
      <w:r>
        <w:rPr>
          <w:rFonts w:hint="eastAsia"/>
          <w:highlight w:val="none"/>
        </w:rPr>
        <w:t xml:space="preserve">宣教培训与演练 </w:t>
      </w:r>
    </w:p>
    <w:p w14:paraId="77D45034">
      <w:pPr>
        <w:pStyle w:val="65"/>
        <w:spacing w:before="156" w:after="156"/>
        <w:rPr>
          <w:highlight w:val="none"/>
        </w:rPr>
      </w:pPr>
      <w:r>
        <w:rPr>
          <w:rFonts w:hint="eastAsia"/>
          <w:highlight w:val="none"/>
          <w:lang w:val="en-US" w:eastAsia="zh-CN"/>
        </w:rPr>
        <w:t>包括</w:t>
      </w:r>
      <w:r>
        <w:rPr>
          <w:rFonts w:hint="eastAsia"/>
          <w:highlight w:val="none"/>
        </w:rPr>
        <w:t>将应急预案列入应急知识宣教培训内容、采取多种形式开展宣传普及</w:t>
      </w:r>
      <w:r>
        <w:rPr>
          <w:rFonts w:hint="eastAsia"/>
          <w:highlight w:val="none"/>
          <w:lang w:eastAsia="zh-CN"/>
        </w:rPr>
        <w:t>。</w:t>
      </w:r>
    </w:p>
    <w:p w14:paraId="0F498449">
      <w:pPr>
        <w:pStyle w:val="65"/>
        <w:spacing w:before="156" w:after="156"/>
        <w:rPr>
          <w:highlight w:val="none"/>
        </w:rPr>
      </w:pPr>
      <w:r>
        <w:rPr>
          <w:rFonts w:hint="eastAsia"/>
          <w:highlight w:val="none"/>
        </w:rPr>
        <w:t>依法依规制定应急预案演练规划</w:t>
      </w:r>
      <w:r>
        <w:rPr>
          <w:rFonts w:hint="eastAsia"/>
          <w:highlight w:val="none"/>
          <w:lang w:eastAsia="zh-CN"/>
        </w:rPr>
        <w:t>，</w:t>
      </w:r>
      <w:r>
        <w:rPr>
          <w:rFonts w:hint="eastAsia"/>
          <w:highlight w:val="none"/>
        </w:rPr>
        <w:t>建立健全应急预案演练制度和定期组织应急预案演练等。</w:t>
      </w:r>
    </w:p>
    <w:p w14:paraId="0EED79A1">
      <w:pPr>
        <w:pStyle w:val="104"/>
        <w:spacing w:before="312" w:after="312"/>
      </w:pPr>
      <w:bookmarkStart w:id="50" w:name="_Toc130504801"/>
      <w:r>
        <w:rPr>
          <w:rFonts w:hint="eastAsia"/>
        </w:rPr>
        <w:t>信息报告</w:t>
      </w:r>
      <w:bookmarkEnd w:id="50"/>
    </w:p>
    <w:p w14:paraId="2E5BFBF2">
      <w:pPr>
        <w:pStyle w:val="105"/>
        <w:spacing w:before="156" w:after="156"/>
      </w:pPr>
      <w:r>
        <w:rPr>
          <w:rFonts w:hint="eastAsia"/>
        </w:rPr>
        <w:t>信息上报</w:t>
      </w:r>
    </w:p>
    <w:p w14:paraId="342D368C">
      <w:pPr>
        <w:pStyle w:val="65"/>
        <w:spacing w:before="156" w:after="156"/>
        <w:rPr>
          <w:rFonts w:hint="eastAsia"/>
          <w:lang w:eastAsia="zh-CN"/>
        </w:rPr>
      </w:pPr>
      <w:r>
        <w:rPr>
          <w:rFonts w:hint="eastAsia"/>
        </w:rPr>
        <w:t>事故发生后，总指挥应根据事故类型和严重程度，按照法律、法规和相关要求在</w:t>
      </w:r>
      <w:r>
        <w:rPr>
          <w:rFonts w:hint="eastAsia"/>
          <w:highlight w:val="none"/>
        </w:rPr>
        <w:t>规定的时间</w:t>
      </w:r>
      <w:r>
        <w:rPr>
          <w:rFonts w:hint="eastAsia"/>
        </w:rPr>
        <w:t>内向有关部门报告</w:t>
      </w:r>
      <w:r>
        <w:rPr>
          <w:rFonts w:hint="eastAsia"/>
          <w:lang w:eastAsia="zh-CN"/>
        </w:rPr>
        <w:t>。</w:t>
      </w:r>
    </w:p>
    <w:p w14:paraId="51CB2E01">
      <w:pPr>
        <w:pStyle w:val="65"/>
        <w:spacing w:before="156" w:after="156"/>
      </w:pPr>
      <w:r>
        <w:rPr>
          <w:rFonts w:hint="eastAsia"/>
        </w:rPr>
        <w:t>事故报告应当包括如下内容：</w:t>
      </w:r>
    </w:p>
    <w:p w14:paraId="1813E330">
      <w:pPr>
        <w:pStyle w:val="109"/>
      </w:pPr>
      <w:r>
        <w:rPr>
          <w:rFonts w:hint="eastAsia"/>
        </w:rPr>
        <w:t>事故发生单位概况：</w:t>
      </w:r>
    </w:p>
    <w:p w14:paraId="5ABA52BE">
      <w:pPr>
        <w:pStyle w:val="109"/>
      </w:pPr>
      <w:r>
        <w:rPr>
          <w:rFonts w:hint="eastAsia"/>
        </w:rPr>
        <w:t>事故发生的时间、地点以及事故现场情况；</w:t>
      </w:r>
    </w:p>
    <w:p w14:paraId="40972158">
      <w:pPr>
        <w:pStyle w:val="109"/>
      </w:pPr>
      <w:r>
        <w:rPr>
          <w:rFonts w:hint="eastAsia"/>
        </w:rPr>
        <w:t>事故的简要经过；</w:t>
      </w:r>
    </w:p>
    <w:p w14:paraId="210058AA">
      <w:pPr>
        <w:pStyle w:val="109"/>
      </w:pPr>
      <w:r>
        <w:rPr>
          <w:rFonts w:hint="eastAsia"/>
        </w:rPr>
        <w:t>事故已经造成或者可能造成的伤亡人数(包括下落不明的人数)和初步估计的直接经济损失；</w:t>
      </w:r>
    </w:p>
    <w:p w14:paraId="453BC80B">
      <w:pPr>
        <w:pStyle w:val="109"/>
        <w:rPr>
          <w:highlight w:val="none"/>
        </w:rPr>
      </w:pPr>
      <w:r>
        <w:rPr>
          <w:rFonts w:hint="eastAsia"/>
          <w:highlight w:val="none"/>
        </w:rPr>
        <w:t>已经采取的措施；</w:t>
      </w:r>
    </w:p>
    <w:p w14:paraId="4C39F05E">
      <w:pPr>
        <w:pStyle w:val="109"/>
        <w:rPr>
          <w:highlight w:val="none"/>
        </w:rPr>
      </w:pPr>
      <w:r>
        <w:rPr>
          <w:rFonts w:hint="eastAsia"/>
          <w:highlight w:val="none"/>
        </w:rPr>
        <w:t>其他应当报告的情况</w:t>
      </w:r>
      <w:r>
        <w:rPr>
          <w:rFonts w:hint="eastAsia"/>
          <w:highlight w:val="none"/>
          <w:lang w:eastAsia="zh-CN"/>
        </w:rPr>
        <w:t>，</w:t>
      </w:r>
      <w:r>
        <w:rPr>
          <w:rFonts w:hint="eastAsia"/>
          <w:highlight w:val="none"/>
          <w:lang w:val="en-US" w:eastAsia="zh-CN"/>
        </w:rPr>
        <w:t>包括但不限于事故的潜在风险评估等。</w:t>
      </w:r>
    </w:p>
    <w:p w14:paraId="5A798EBC">
      <w:pPr>
        <w:pStyle w:val="65"/>
        <w:spacing w:before="156" w:after="156"/>
        <w:rPr>
          <w:highlight w:val="none"/>
        </w:rPr>
      </w:pPr>
      <w:r>
        <w:rPr>
          <w:rFonts w:hint="eastAsia"/>
          <w:highlight w:val="none"/>
        </w:rPr>
        <w:t>事故报告</w:t>
      </w:r>
      <w:r>
        <w:rPr>
          <w:rFonts w:hint="eastAsia"/>
          <w:highlight w:val="none"/>
          <w:lang w:val="en-US" w:eastAsia="zh-CN"/>
        </w:rPr>
        <w:t>时限</w:t>
      </w:r>
    </w:p>
    <w:p w14:paraId="1A24876F">
      <w:pPr>
        <w:pStyle w:val="109"/>
        <w:numPr>
          <w:ilvl w:val="1"/>
          <w:numId w:val="32"/>
        </w:numPr>
        <w:rPr>
          <w:rFonts w:hint="eastAsia"/>
          <w:highlight w:val="none"/>
        </w:rPr>
      </w:pPr>
      <w:r>
        <w:rPr>
          <w:rFonts w:hint="eastAsia"/>
          <w:highlight w:val="none"/>
        </w:rPr>
        <w:t>传染病暴发</w:t>
      </w:r>
      <w:r>
        <w:rPr>
          <w:rFonts w:hint="eastAsia"/>
          <w:highlight w:val="none"/>
          <w:lang w:val="en-US" w:eastAsia="zh-CN"/>
        </w:rPr>
        <w:t>或</w:t>
      </w:r>
      <w:r>
        <w:rPr>
          <w:rFonts w:hint="eastAsia"/>
          <w:highlight w:val="none"/>
        </w:rPr>
        <w:t>流行</w:t>
      </w:r>
      <w:r>
        <w:rPr>
          <w:rFonts w:hint="eastAsia"/>
          <w:highlight w:val="none"/>
          <w:lang w:eastAsia="zh-CN"/>
        </w:rPr>
        <w:t>、</w:t>
      </w:r>
      <w:r>
        <w:rPr>
          <w:rFonts w:hint="eastAsia"/>
          <w:highlight w:val="none"/>
        </w:rPr>
        <w:t>不明原因的群体性疾病</w:t>
      </w:r>
      <w:r>
        <w:rPr>
          <w:rFonts w:hint="eastAsia"/>
          <w:highlight w:val="none"/>
          <w:lang w:eastAsia="zh-CN"/>
        </w:rPr>
        <w:t>、</w:t>
      </w:r>
      <w:r>
        <w:rPr>
          <w:rFonts w:hint="eastAsia"/>
          <w:highlight w:val="none"/>
        </w:rPr>
        <w:t>传染病菌种、毒种</w:t>
      </w:r>
      <w:r>
        <w:rPr>
          <w:rFonts w:hint="eastAsia"/>
          <w:highlight w:val="none"/>
          <w:lang w:val="en-US" w:eastAsia="zh-CN"/>
        </w:rPr>
        <w:t>丢失、</w:t>
      </w:r>
      <w:r>
        <w:rPr>
          <w:rFonts w:hint="eastAsia"/>
          <w:highlight w:val="none"/>
        </w:rPr>
        <w:t>重大食物和职业中毒</w:t>
      </w:r>
      <w:r>
        <w:rPr>
          <w:rFonts w:hint="eastAsia"/>
          <w:highlight w:val="none"/>
          <w:lang w:val="en-US" w:eastAsia="zh-CN"/>
        </w:rPr>
        <w:t>等</w:t>
      </w:r>
      <w:r>
        <w:rPr>
          <w:rFonts w:hint="eastAsia"/>
          <w:highlight w:val="none"/>
        </w:rPr>
        <w:t>事件</w:t>
      </w:r>
      <w:r>
        <w:rPr>
          <w:rFonts w:hint="eastAsia"/>
          <w:highlight w:val="none"/>
          <w:lang w:val="en-US" w:eastAsia="zh-CN"/>
        </w:rPr>
        <w:t>应当在2小时内向有关部门报告；</w:t>
      </w:r>
    </w:p>
    <w:p w14:paraId="68F5B7D2">
      <w:pPr>
        <w:pStyle w:val="109"/>
        <w:numPr>
          <w:ilvl w:val="1"/>
          <w:numId w:val="32"/>
        </w:numPr>
        <w:rPr>
          <w:rFonts w:hint="eastAsia"/>
          <w:highlight w:val="none"/>
          <w:lang w:val="en-US" w:eastAsia="zh-CN"/>
        </w:rPr>
      </w:pPr>
      <w:r>
        <w:rPr>
          <w:rFonts w:hint="eastAsia"/>
          <w:highlight w:val="none"/>
          <w:lang w:val="en-US" w:eastAsia="zh-CN"/>
        </w:rPr>
        <w:t>发现甲类传染病病人和乙类传染病中的艾滋病、肺炭疽的病人、病原携带者和疑似传染病病人，应当在12小时内向有关部门报告；</w:t>
      </w:r>
    </w:p>
    <w:p w14:paraId="3542EB8A">
      <w:pPr>
        <w:pStyle w:val="109"/>
        <w:numPr>
          <w:ilvl w:val="1"/>
          <w:numId w:val="32"/>
        </w:numPr>
        <w:rPr>
          <w:rFonts w:hint="eastAsia"/>
          <w:highlight w:val="none"/>
        </w:rPr>
      </w:pPr>
      <w:r>
        <w:rPr>
          <w:rFonts w:hint="eastAsia"/>
          <w:highlight w:val="none"/>
          <w:lang w:val="en-US" w:eastAsia="zh-CN"/>
        </w:rPr>
        <w:t>发现乙类传染病病人、病原携带者和疑似传染病病人、丙类传染病病人，应当在24小时内向有关部门报告。</w:t>
      </w:r>
    </w:p>
    <w:p w14:paraId="719C8E1F">
      <w:pPr>
        <w:pStyle w:val="105"/>
        <w:spacing w:before="156" w:after="156"/>
        <w:rPr>
          <w:highlight w:val="none"/>
        </w:rPr>
      </w:pPr>
      <w:r>
        <w:rPr>
          <w:rFonts w:hint="eastAsia"/>
          <w:highlight w:val="none"/>
        </w:rPr>
        <w:t xml:space="preserve">信息发布 </w:t>
      </w:r>
    </w:p>
    <w:p w14:paraId="371E735F">
      <w:pPr>
        <w:pStyle w:val="65"/>
        <w:spacing w:before="156" w:after="156"/>
        <w:rPr>
          <w:highlight w:val="none"/>
        </w:rPr>
      </w:pPr>
      <w:r>
        <w:rPr>
          <w:rFonts w:hint="eastAsia"/>
          <w:highlight w:val="none"/>
        </w:rPr>
        <w:t>突发事件的信息发布由总指挥负责配合政府相关主管部门，由政府相关主管部门统一对外发布，任何人不得擅自发布与事件和救援相关的言论。</w:t>
      </w:r>
    </w:p>
    <w:p w14:paraId="2B047BD8">
      <w:pPr>
        <w:pStyle w:val="65"/>
        <w:numPr>
          <w:numId w:val="0"/>
        </w:numPr>
        <w:spacing w:before="156" w:after="156"/>
        <w:ind w:leftChars="0"/>
        <w:rPr>
          <w:rFonts w:hint="eastAsia"/>
          <w:highlight w:val="yellow"/>
        </w:rPr>
      </w:pPr>
      <w:r>
        <w:rPr>
          <w:rFonts w:hint="eastAsia"/>
          <w:highlight w:val="none"/>
          <w:lang w:val="en-US" w:eastAsia="zh-CN"/>
        </w:rPr>
        <w:t xml:space="preserve">7.2.2 </w:t>
      </w:r>
      <w:r>
        <w:rPr>
          <w:rFonts w:hint="eastAsia"/>
          <w:highlight w:val="none"/>
        </w:rPr>
        <w:t>信息发布主体单位应建立健全信息监控机制，在信息发布后，实时追踪信息的传播范围</w:t>
      </w:r>
      <w:r>
        <w:rPr>
          <w:rFonts w:hint="eastAsia"/>
          <w:highlight w:val="none"/>
          <w:lang w:eastAsia="zh-CN"/>
        </w:rPr>
        <w:t>，</w:t>
      </w:r>
      <w:r>
        <w:rPr>
          <w:rFonts w:hint="eastAsia"/>
          <w:highlight w:val="none"/>
        </w:rPr>
        <w:t>运用专业工具与人员团队相结合的方式，对各类传播渠道的数据进行收集整理。</w:t>
      </w:r>
    </w:p>
    <w:p w14:paraId="495746F3">
      <w:pPr>
        <w:pStyle w:val="104"/>
        <w:spacing w:before="312" w:after="312"/>
      </w:pPr>
      <w:bookmarkStart w:id="51" w:name="_Toc130504802"/>
      <w:r>
        <w:rPr>
          <w:rFonts w:hint="eastAsia"/>
        </w:rPr>
        <w:t>后期处置</w:t>
      </w:r>
      <w:bookmarkEnd w:id="51"/>
    </w:p>
    <w:p w14:paraId="454457CD">
      <w:pPr>
        <w:pStyle w:val="105"/>
        <w:spacing w:before="156" w:after="156"/>
      </w:pPr>
      <w:r>
        <w:rPr>
          <w:rFonts w:hint="eastAsia"/>
        </w:rPr>
        <w:t>经营秩序恢复</w:t>
      </w:r>
    </w:p>
    <w:p w14:paraId="5B285D22">
      <w:pPr>
        <w:pStyle w:val="65"/>
        <w:spacing w:before="156" w:after="156"/>
        <w:rPr>
          <w:highlight w:val="none"/>
        </w:rPr>
      </w:pPr>
      <w:r>
        <w:rPr>
          <w:rFonts w:hint="eastAsia"/>
        </w:rPr>
        <w:t>经总指挥、当地管理部门同意后，确认突发事件地区无隐患后，当地要组织清理现场，尽快恢复当</w:t>
      </w:r>
      <w:r>
        <w:rPr>
          <w:rFonts w:hint="eastAsia"/>
          <w:highlight w:val="none"/>
        </w:rPr>
        <w:t>地</w:t>
      </w:r>
      <w:r>
        <w:rPr>
          <w:rFonts w:hint="eastAsia"/>
          <w:highlight w:val="none"/>
          <w:lang w:val="en-US" w:eastAsia="zh-CN"/>
        </w:rPr>
        <w:t>的生产</w:t>
      </w:r>
      <w:r>
        <w:rPr>
          <w:rFonts w:hint="eastAsia"/>
          <w:highlight w:val="none"/>
        </w:rPr>
        <w:t>，尽可能的降低突发事件损失。</w:t>
      </w:r>
    </w:p>
    <w:p w14:paraId="7C80785F">
      <w:pPr>
        <w:pStyle w:val="105"/>
        <w:spacing w:before="156" w:after="156"/>
        <w:rPr>
          <w:highlight w:val="none"/>
        </w:rPr>
      </w:pPr>
      <w:r>
        <w:rPr>
          <w:rFonts w:hint="eastAsia"/>
          <w:highlight w:val="none"/>
        </w:rPr>
        <w:t>医疗救治及人员安置</w:t>
      </w:r>
    </w:p>
    <w:p w14:paraId="129B0B5D">
      <w:pPr>
        <w:pStyle w:val="65"/>
        <w:spacing w:before="156" w:after="156"/>
        <w:rPr>
          <w:highlight w:val="none"/>
        </w:rPr>
      </w:pPr>
      <w:r>
        <w:rPr>
          <w:rFonts w:hint="eastAsia"/>
          <w:highlight w:val="none"/>
        </w:rPr>
        <w:t>应做好善后处置工作，包括伤亡救援人员、遇难人员补偿、亲属安置、征用物资补偿，救援费用支付，重建</w:t>
      </w:r>
      <w:r>
        <w:rPr>
          <w:rFonts w:hint="eastAsia"/>
          <w:highlight w:val="none"/>
          <w:lang w:eastAsia="zh-CN"/>
        </w:rPr>
        <w:t>、</w:t>
      </w:r>
      <w:r>
        <w:rPr>
          <w:rFonts w:hint="eastAsia"/>
          <w:highlight w:val="none"/>
        </w:rPr>
        <w:t>关注情绪和创伤后应激障碍</w:t>
      </w:r>
      <w:r>
        <w:rPr>
          <w:rFonts w:hint="eastAsia"/>
          <w:highlight w:val="none"/>
          <w:lang w:val="en-US" w:eastAsia="zh-CN"/>
        </w:rPr>
        <w:t>等事项。</w:t>
      </w:r>
    </w:p>
    <w:p w14:paraId="52E704B8">
      <w:pPr>
        <w:pStyle w:val="105"/>
        <w:spacing w:before="156" w:after="156"/>
        <w:rPr>
          <w:highlight w:val="none"/>
        </w:rPr>
      </w:pPr>
      <w:r>
        <w:rPr>
          <w:rFonts w:hint="eastAsia"/>
          <w:highlight w:val="none"/>
        </w:rPr>
        <w:t>应急救援评估</w:t>
      </w:r>
    </w:p>
    <w:p w14:paraId="0D8574F4">
      <w:pPr>
        <w:pStyle w:val="65"/>
        <w:spacing w:before="156" w:after="156"/>
        <w:rPr>
          <w:highlight w:val="none"/>
        </w:rPr>
      </w:pPr>
      <w:r>
        <w:rPr>
          <w:rFonts w:hint="eastAsia"/>
          <w:highlight w:val="none"/>
        </w:rPr>
        <w:t>根据事故后的应急总结，组织相关人员，召开专题会议，分析事故原因，</w:t>
      </w:r>
      <w:r>
        <w:rPr>
          <w:rFonts w:hint="eastAsia"/>
          <w:highlight w:val="none"/>
          <w:lang w:val="en-US" w:eastAsia="zh-CN"/>
        </w:rPr>
        <w:t>总结事故处置重点，</w:t>
      </w:r>
      <w:r>
        <w:rPr>
          <w:rFonts w:hint="eastAsia"/>
          <w:highlight w:val="none"/>
        </w:rPr>
        <w:t>整理出整改意</w:t>
      </w:r>
      <w:bookmarkEnd w:id="25"/>
      <w:r>
        <w:rPr>
          <w:rFonts w:hint="eastAsia"/>
          <w:highlight w:val="none"/>
          <w:lang w:val="en-US" w:eastAsia="zh-CN"/>
        </w:rPr>
        <w:t>见</w:t>
      </w:r>
      <w:r>
        <w:rPr>
          <w:rFonts w:hint="eastAsia"/>
          <w:highlight w:val="none"/>
        </w:rPr>
        <w:t>。</w:t>
      </w:r>
    </w:p>
    <w:p w14:paraId="32ABAFEE">
      <w:pPr>
        <w:pStyle w:val="105"/>
        <w:spacing w:before="156" w:after="156"/>
        <w:rPr>
          <w:rFonts w:hint="default"/>
          <w:highlight w:val="none"/>
          <w:lang w:val="en-US"/>
        </w:rPr>
      </w:pPr>
      <w:r>
        <w:rPr>
          <w:rFonts w:hint="eastAsia"/>
          <w:highlight w:val="none"/>
        </w:rPr>
        <w:t>应急救援</w:t>
      </w:r>
      <w:r>
        <w:rPr>
          <w:rFonts w:hint="eastAsia"/>
          <w:highlight w:val="none"/>
          <w:lang w:val="en-US" w:eastAsia="zh-CN"/>
        </w:rPr>
        <w:t>考核</w:t>
      </w:r>
    </w:p>
    <w:p w14:paraId="7EAB6F7B">
      <w:pPr>
        <w:pStyle w:val="65"/>
        <w:spacing w:before="156" w:after="156"/>
        <w:rPr>
          <w:highlight w:val="none"/>
        </w:rPr>
      </w:pPr>
      <w:r>
        <w:rPr>
          <w:rFonts w:hint="eastAsia"/>
          <w:highlight w:val="none"/>
          <w:lang w:val="en-US" w:eastAsia="zh-CN"/>
        </w:rPr>
        <w:t>应建立突发事件应急管理能力考核机制，并定期开展考核工作，主要方式包括：模拟实操与演练、问卷与测试等。</w:t>
      </w:r>
    </w:p>
    <w:p w14:paraId="41BA1438">
      <w:pPr>
        <w:pStyle w:val="56"/>
        <w:rPr>
          <w:rFonts w:hint="default"/>
          <w:lang w:val="en-US"/>
        </w:rPr>
      </w:pPr>
      <w:bookmarkStart w:id="52" w:name="_GoBack"/>
      <w:bookmarkEnd w:id="52"/>
    </w:p>
    <w:p w14:paraId="66B99547">
      <w:pPr>
        <w:pStyle w:val="56"/>
        <w:ind w:left="0" w:leftChars="0" w:firstLine="0" w:firstLineChars="0"/>
      </w:pPr>
    </w:p>
    <w:p w14:paraId="13066AC3">
      <w:pPr>
        <w:pStyle w:val="56"/>
      </w:pPr>
    </w:p>
    <w:p w14:paraId="5A34FDA9">
      <w:pPr>
        <w:pStyle w:val="56"/>
        <w:ind w:firstLine="420"/>
      </w:pPr>
    </w:p>
    <w:sectPr>
      <w:pgSz w:w="11906" w:h="16838"/>
      <w:pgMar w:top="1871"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6C0A5">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63CDC5">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38DC3">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8D29C">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4FDAB">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986F9">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056B0">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7014C">
    <w:pPr>
      <w:pStyle w:val="61"/>
    </w:pPr>
    <w:r>
      <w:fldChar w:fldCharType="begin"/>
    </w:r>
    <w:r>
      <w:instrText xml:space="preserve"> STYLEREF  标准文件_文件编号  \* MERGEFORMAT </w:instrText>
    </w:r>
    <w:r>
      <w:fldChar w:fldCharType="separate"/>
    </w:r>
    <w:r>
      <w:t>DB XX XXXXX—XXXX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29DD9">
    <w:pPr>
      <w:pStyle w:val="18"/>
      <w:jc w:val="right"/>
    </w:pPr>
    <w:r>
      <w:fldChar w:fldCharType="begin"/>
    </w:r>
    <w:r>
      <w:instrText xml:space="preserve"> STYLEREF  标准文件_文件编号  \* MERGEFORMAT </w:instrText>
    </w:r>
    <w:r>
      <w:fldChar w:fldCharType="separate"/>
    </w:r>
    <w:r>
      <w:t>DB XX 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14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284"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bordersDoNotSurroundHeader w:val="0"/>
  <w:bordersDoNotSurroundFooter w:val="0"/>
  <w:attachedTemplate r:id="rId1"/>
  <w:documentProtection w:edit="forms" w:enforcement="1" w:cryptProviderType="rsaAES" w:cryptAlgorithmClass="hash" w:cryptAlgorithmType="typeAny" w:cryptAlgorithmSid="14" w:cryptSpinCount="100000" w:hash="OUFOVEoXYxOu1QfzVE5pKEMkPpdG/TC7Sa0Dsyp/hynAX0LEf35qZ7CFPX9hnE+2a1EnGT0IfX0GpW//Xz0uzQ==" w:salt="f5mmhxGGNHatmgXDWXAhbg=="/>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ljYjQ3YjJjMTYwMDg0ZmU4NmY5NjFjNWE5MDA4MDMifQ=="/>
  </w:docVars>
  <w:rsids>
    <w:rsidRoot w:val="0020700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07006"/>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04B5"/>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4D85"/>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807"/>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66193"/>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9AD"/>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5C5"/>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1CD8"/>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59C29EE"/>
    <w:rsid w:val="1A0E09F0"/>
    <w:rsid w:val="328417B0"/>
    <w:rsid w:val="3845266D"/>
    <w:rsid w:val="3D23269C"/>
    <w:rsid w:val="465E3AE3"/>
    <w:rsid w:val="49550B76"/>
    <w:rsid w:val="4BE32867"/>
    <w:rsid w:val="50D83952"/>
    <w:rsid w:val="5A102E1C"/>
    <w:rsid w:val="5B822260"/>
    <w:rsid w:val="5B974697"/>
    <w:rsid w:val="64246459"/>
    <w:rsid w:val="65576871"/>
    <w:rsid w:val="6BFF59B7"/>
    <w:rsid w:val="70F565D5"/>
    <w:rsid w:val="76EB6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227"/>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ind w:left="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3E21B1013CB46D9BD2578FEDF2B7D59"/>
        <w:style w:val=""/>
        <w:category>
          <w:name w:val="常规"/>
          <w:gallery w:val="placeholder"/>
        </w:category>
        <w:types>
          <w:type w:val="bbPlcHdr"/>
        </w:types>
        <w:behaviors>
          <w:behavior w:val="content"/>
        </w:behaviors>
        <w:description w:val=""/>
        <w:guid w:val="{CB072ACF-CFDB-47B4-91FB-64CD69D9E235}"/>
      </w:docPartPr>
      <w:docPartBody>
        <w:p w14:paraId="34B20D6F">
          <w:pPr>
            <w:pStyle w:val="5"/>
          </w:pPr>
          <w:r>
            <w:rPr>
              <w:rStyle w:val="4"/>
              <w:rFonts w:hint="eastAsia"/>
            </w:rPr>
            <w:t>单击或点击此处输入文字。</w:t>
          </w:r>
        </w:p>
      </w:docPartBody>
    </w:docPart>
    <w:docPart>
      <w:docPartPr>
        <w:name w:val="9B91B391B46844A5AC89BBED18024AF7"/>
        <w:style w:val=""/>
        <w:category>
          <w:name w:val="常规"/>
          <w:gallery w:val="placeholder"/>
        </w:category>
        <w:types>
          <w:type w:val="bbPlcHdr"/>
        </w:types>
        <w:behaviors>
          <w:behavior w:val="content"/>
        </w:behaviors>
        <w:description w:val=""/>
        <w:guid w:val="{43CE61D2-A1A9-4048-8A04-44A35B29D7F8}"/>
      </w:docPartPr>
      <w:docPartBody>
        <w:p w14:paraId="64EEF370">
          <w:pPr>
            <w:pStyle w:val="6"/>
          </w:pPr>
          <w:r>
            <w:rPr>
              <w:rStyle w:val="4"/>
              <w:rFonts w:hint="eastAsia"/>
            </w:rPr>
            <w:t>选择一项。</w:t>
          </w:r>
        </w:p>
      </w:docPartBody>
    </w:docPart>
    <w:docPart>
      <w:docPartPr>
        <w:name w:val="634C6EB788C34D1A8AFEDFAA65E8211C"/>
        <w:style w:val=""/>
        <w:category>
          <w:name w:val="常规"/>
          <w:gallery w:val="placeholder"/>
        </w:category>
        <w:types>
          <w:type w:val="bbPlcHdr"/>
        </w:types>
        <w:behaviors>
          <w:behavior w:val="content"/>
        </w:behaviors>
        <w:description w:val=""/>
        <w:guid w:val="{ACF0B418-9D4E-4B4B-8206-B8D21EEF8F70}"/>
      </w:docPartPr>
      <w:docPartBody>
        <w:p w14:paraId="52A171C0">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D24"/>
    <w:rsid w:val="006F4A39"/>
    <w:rsid w:val="00AA72CC"/>
    <w:rsid w:val="00C72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3E21B1013CB46D9BD2578FEDF2B7D5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B91B391B46844A5AC89BBED18024AF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634C6EB788C34D1A8AFEDFAA65E8211C"/>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3794</Words>
  <Characters>4046</Characters>
  <Lines>32</Lines>
  <Paragraphs>9</Paragraphs>
  <TotalTime>13</TotalTime>
  <ScaleCrop>false</ScaleCrop>
  <LinksUpToDate>false</LinksUpToDate>
  <CharactersWithSpaces>4134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2023-03-23T14:29:00Z</dcterms:created>
  <dc:creator>Xuan Li</dc:creator>
  <dc:description>&lt;config cover="true" show_menu="true" version="1.0.0" doctype="SDKXY"&gt;_x000d_
&lt;/config&gt;</dc:description>
  <cp:lastModifiedBy>悄悄</cp:lastModifiedBy>
  <cp:lastPrinted>2023-03-23T15:00:00Z</cp:lastPrinted>
  <dcterms:modified xsi:type="dcterms:W3CDTF">2025-02-19T05:39:51Z</dcterms:modified>
  <dc:title>地方标准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2052-12.1.0.19770</vt:lpwstr>
  </property>
  <property fmtid="{D5CDD505-2E9C-101B-9397-08002B2CF9AE}" pid="15" name="ICV">
    <vt:lpwstr>D5E44C27A8B14D7BA770708CEEEBA0C2_12</vt:lpwstr>
  </property>
  <property fmtid="{D5CDD505-2E9C-101B-9397-08002B2CF9AE}" pid="16" name="KSOTemplateDocerSaveRecord">
    <vt:lpwstr>eyJoZGlkIjoiMzY0OWM0OTA2NjlhY2M1OTg2ZTUwYzQ5Yjk3NWMxMmIiLCJ1c2VySWQiOiIzMzE0OTY4ODYifQ==</vt:lpwstr>
  </property>
</Properties>
</file>